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>ESTUDO TÉCNICO PRELIMINAR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b/>
          <w:b/>
          <w:color w:val="000000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</w:r>
    </w:p>
    <w:tbl>
      <w:tblPr>
        <w:tblW w:w="9133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6"/>
        <w:gridCol w:w="4926"/>
      </w:tblGrid>
      <w:tr>
        <w:trPr>
          <w:trHeight w:val="344" w:hRule="atLeast"/>
        </w:trPr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ETP Nº    03/2024                                        </w:t>
            </w:r>
          </w:p>
        </w:tc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Data da Elaboração: </w:t>
            </w:r>
            <w:r>
              <w:rPr>
                <w:b w:val="false"/>
                <w:bCs w:val="false"/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>/02/2024</w:t>
            </w:r>
          </w:p>
        </w:tc>
      </w:tr>
      <w:tr>
        <w:trPr>
          <w:trHeight w:val="1500" w:hRule="atLeast"/>
        </w:trPr>
        <w:tc>
          <w:tcPr>
            <w:tcW w:w="9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REQUISITANTE: DAD</w:t>
            </w:r>
          </w:p>
        </w:tc>
      </w:tr>
    </w:tbl>
    <w:p>
      <w:pPr>
        <w:pStyle w:val="Normal"/>
        <w:spacing w:lineRule="auto" w:line="276"/>
        <w:jc w:val="both"/>
        <w:rPr>
          <w:rFonts w:ascii="Times New Roman" w:hAnsi="Times New Roman" w:eastAsia="Arial" w:cs="Arial"/>
          <w:b/>
          <w:b/>
          <w:color w:val="000000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>INTRODUÇÃO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b/>
          <w:b/>
          <w:color w:val="000000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ab/>
        <w:t xml:space="preserve">A Nova Lei de Licitações, Lei 14.133/2021 atribuiu ao planejamento das licitações a hierarquia de princípio, propiciando aos gestores públicos instrumentos para governança e concretude deste princípio. As contratações públicas são instrumentos para a realização das políticas públicas, cujo planejamento ocasiona contratações significativamente mais efetivas. 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ab/>
        <w:t xml:space="preserve">Desse modo, a realização de estudos prévios à contratação conduz ao conhecimento de novas modelagens/metodologias ofertadas pelo mercado, resultando na melhor qualidade do gasto promovendo uma gestão mais eficiente dos recursos públicos. 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color w:val="000000"/>
          <w:sz w:val="24"/>
          <w:szCs w:val="24"/>
          <w:shd w:fill="00FFFF" w:val="clear"/>
        </w:rPr>
      </w:pPr>
      <w:r>
        <w:rPr>
          <w:rFonts w:eastAsia="Arial" w:cs="Arial"/>
          <w:color w:val="000000"/>
          <w:sz w:val="24"/>
          <w:szCs w:val="24"/>
          <w:shd w:fill="00FFFF" w:val="clear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ab/>
        <w:t>Neste contexto, o presente documento, enquanto elemento essencial ao planejamento, ao cumprir as determinações legais relacionadas à sua elaboração, caracteriza a primeira etapa da fase de planejamento, uma vez que, apresenta os devidos estudos para a contratação de solução que atenderá à necessidade abaixo especificada. Deste modo, se busca assegurar a viabilidade (t</w:t>
      </w:r>
      <w:r>
        <w:rPr>
          <w:rFonts w:eastAsia="Arial" w:cs="Century Gothic"/>
          <w:color w:val="000000"/>
          <w:sz w:val="24"/>
          <w:szCs w:val="24"/>
        </w:rPr>
        <w:t>é</w:t>
      </w:r>
      <w:r>
        <w:rPr>
          <w:rFonts w:eastAsia="Arial" w:cs="Arial"/>
          <w:color w:val="000000"/>
          <w:sz w:val="24"/>
          <w:szCs w:val="24"/>
        </w:rPr>
        <w:t>cnica e econ</w:t>
      </w:r>
      <w:r>
        <w:rPr>
          <w:rFonts w:eastAsia="Arial" w:cs="Century Gothic"/>
          <w:color w:val="000000"/>
          <w:sz w:val="24"/>
          <w:szCs w:val="24"/>
        </w:rPr>
        <w:t>ô</w:t>
      </w:r>
      <w:r>
        <w:rPr>
          <w:rFonts w:eastAsia="Arial" w:cs="Arial"/>
          <w:color w:val="000000"/>
          <w:sz w:val="24"/>
          <w:szCs w:val="24"/>
        </w:rPr>
        <w:t>mica) da contrata</w:t>
      </w:r>
      <w:r>
        <w:rPr>
          <w:rFonts w:eastAsia="Arial" w:cs="Century Gothic"/>
          <w:color w:val="000000"/>
          <w:sz w:val="24"/>
          <w:szCs w:val="24"/>
        </w:rPr>
        <w:t>çã</w:t>
      </w:r>
      <w:r>
        <w:rPr>
          <w:rFonts w:eastAsia="Arial" w:cs="Arial"/>
          <w:color w:val="000000"/>
          <w:sz w:val="24"/>
          <w:szCs w:val="24"/>
        </w:rPr>
        <w:t>o p</w:t>
      </w:r>
      <w:r>
        <w:rPr>
          <w:rFonts w:eastAsia="Arial" w:cs="Century Gothic"/>
          <w:color w:val="000000"/>
          <w:sz w:val="24"/>
          <w:szCs w:val="24"/>
        </w:rPr>
        <w:t>ú</w:t>
      </w:r>
      <w:r>
        <w:rPr>
          <w:rFonts w:eastAsia="Arial" w:cs="Arial"/>
          <w:color w:val="000000"/>
          <w:sz w:val="24"/>
          <w:szCs w:val="24"/>
        </w:rPr>
        <w:t>blica pretendida, bem como o levantamento dos elementos essenciais, que servirão de base para compor o anteprojeto, termo de referência ou projeto básico a serem elaborados, caso se conclua pela viabilidade da contratação.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ab/>
        <w:t>O objetivo principal é estudar detalhadamente a necessidade e identificar no mercado a melhor solução para supri-la, em observância às normas vigentes e aos princípios que regem a Administração Pública, avaliando todos os aspectos necessários e suficientes à contrata</w:t>
      </w:r>
      <w:r>
        <w:rPr>
          <w:rFonts w:eastAsia="Arial" w:cs="Century Gothic"/>
          <w:color w:val="000000"/>
          <w:sz w:val="24"/>
          <w:szCs w:val="24"/>
        </w:rPr>
        <w:t>çã</w:t>
      </w:r>
      <w:r>
        <w:rPr>
          <w:rFonts w:eastAsia="Arial" w:cs="Arial"/>
          <w:color w:val="000000"/>
          <w:sz w:val="24"/>
          <w:szCs w:val="24"/>
        </w:rPr>
        <w:t>o.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>1. DA NECESSIDADE DA CONTRATAÇÃO – JUSTIFICATIVA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  <w:t>A implementação da Lei Federal Nº 14.133/2021 representa um marco importante na modernização dos processos de licitação e contratação administrativa, exigindo uma adaptação significativa por parte dos órgãos públicos, incluindo o Tribunal de Contas dos Municípios do Pará (TCMPA). A complexidade da nova legislação e sua aplicabilidade extensiva demandam uma compreensão aprofundada e atualizada por parte dos servidores, especialmente aqueles vinculados ao Departamento de Administração (DAD). Diante deste cenário, evidencia-se a necessidade extrema de capacitação e treinamento especializado.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Neste contexto, o TCMPA está tomando uma medida proativa ao criar um setor específico, denominado Divisão </w:t>
      </w:r>
      <w:r>
        <w:rPr>
          <w:sz w:val="24"/>
          <w:szCs w:val="24"/>
        </w:rPr>
        <w:t>Gestão</w:t>
      </w:r>
      <w:r>
        <w:rPr>
          <w:sz w:val="24"/>
          <w:szCs w:val="24"/>
        </w:rPr>
        <w:t xml:space="preserve"> da Contratação, dentro do DAD. A criação desta divisão sublinha a importância crítica que o tribunal atribui à atualização e ao fortalecimento das competências dos seus servidores frente às exigências da nova lei. Essa iniciativa reflete o reconhecimento de que, para uma implementação eficaz e conformidade com a legislação, é indispensável que os envolvidos nos processos de licitação e contratação estejam bem preparados e informados.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A decisão de criar a </w:t>
      </w:r>
      <w:r>
        <w:rPr>
          <w:sz w:val="24"/>
          <w:szCs w:val="24"/>
        </w:rPr>
        <w:t>referida</w:t>
      </w:r>
      <w:r>
        <w:rPr>
          <w:sz w:val="24"/>
          <w:szCs w:val="24"/>
        </w:rPr>
        <w:t xml:space="preserve"> Divisão destaca a necessidade extrema de contratação de serviços de </w:t>
      </w:r>
      <w:r>
        <w:rPr>
          <w:sz w:val="24"/>
          <w:szCs w:val="24"/>
        </w:rPr>
        <w:t>acompanhamento na Nova lei de licitações</w:t>
      </w:r>
      <w:r>
        <w:rPr>
          <w:sz w:val="24"/>
          <w:szCs w:val="24"/>
        </w:rPr>
        <w:t xml:space="preserve"> que sejam capazes de fornecer aos servidores do TCMPA o conhecimento e as habilidades necessárias para navegar com sucesso na nova legislação. Este passo é essencial para garantir que o tribunal possa cumprir sua missão de maneira eficiente, transparente e em plena conformidade com as normas legais.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Nesse sentido, a seleção de um parceiro adequado para fornecer esses serviços de </w:t>
      </w:r>
      <w:r>
        <w:rPr>
          <w:sz w:val="24"/>
          <w:szCs w:val="24"/>
        </w:rPr>
        <w:t>acompanhamento</w:t>
      </w:r>
      <w:r>
        <w:rPr>
          <w:sz w:val="24"/>
          <w:szCs w:val="24"/>
        </w:rPr>
        <w:t xml:space="preserve"> será um passo crucial par</w:t>
      </w:r>
      <w:r>
        <w:rPr>
          <w:sz w:val="24"/>
          <w:szCs w:val="24"/>
        </w:rPr>
        <w:t>a</w:t>
      </w:r>
      <w:r>
        <w:rPr>
          <w:sz w:val="24"/>
          <w:szCs w:val="24"/>
        </w:rPr>
        <w:t xml:space="preserve"> a nova Divisão, por extensão, todo o DAD, a liderar com competência e eficácia os desafios impostos pela nova legislação de licitações e contratos.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Este momento representa uma oportunidade única para o TCMPA fortalecer suas capacidades internas, promover a excelência administrativa e jurídica e, assim, melhor servir aos municípios do Pará, garantindo a aplicação eficiente, ética e transparente dos recursos públicos em todas as suas atividades de licitação e contratação.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 xml:space="preserve">2. PREVISÃO NO PLANO DE CONTRATAÇÕES ANUAL </w:t>
      </w:r>
    </w:p>
    <w:p>
      <w:pPr>
        <w:pStyle w:val="Normal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>A presente contratação ainda não está incluída no Plano de Contratações Anual em razão de sua superveniência, contudo, será encaminhada para inclusão, após a autorização da autoridade competente. Vale ressaltar que a contratação se compatibiliza com os demais instrumentos de planejamento.</w:t>
      </w:r>
    </w:p>
    <w:p>
      <w:pPr>
        <w:pStyle w:val="Normal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 xml:space="preserve">3. REQUISITOS DA CONTRATAÇÃO 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 xml:space="preserve">  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 xml:space="preserve">Para que o objeto da contratação seja contratado, é necessário o atendimento de alguns requisitos de acordo com as características do objeto, dentre eles os de qualidade e capacidade de execução pelo contratado, minimamente, os dispostos nos artigos 62, 66, 67, 68 e 69 da Lei n. 14.133/2021. 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 xml:space="preserve">Sendo assim, os documentos exigidos serão: </w:t>
      </w:r>
    </w:p>
    <w:p>
      <w:pPr>
        <w:pStyle w:val="Normal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bCs/>
          <w:color w:val="000000"/>
          <w:sz w:val="24"/>
          <w:szCs w:val="24"/>
          <w:shd w:fill="auto" w:val="clear"/>
        </w:rPr>
        <w:t>Habilitação jurídica:</w:t>
      </w:r>
      <w:r>
        <w:rPr>
          <w:rFonts w:eastAsia="Arial" w:cs="Arial"/>
          <w:color w:val="000000"/>
          <w:sz w:val="24"/>
          <w:szCs w:val="24"/>
          <w:shd w:fill="auto" w:val="clear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 xml:space="preserve">No caso de empresário individual: inscrição no Registro Público de Empresas Mercantis, a cargo da Junta Comercial da respectiva sede; 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 xml:space="preserve">Em se tratando de microempreendedor individual – MEI: Certificado da Condição de Microempreendedor Individual - CCMEI, cuja aceitação ficará condicionada à verificação da autenticidade no sítio www.portaldoempreendedor.gov.br; 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 xml:space="preserve">No caso de sociedade empresária ou empresa individual de responsabilidade limitada - EIRELI: ato constitutivo, estatuto ou contrato social em vigor, devidamente registrado na Junta Comercial da respectiva sede, acompanhado de documento comprobatório de seus administradores; 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>Inscrição no Registro Público de Empresas Mercantis onde opera, com averbação no Registro onde tem sede a matriz, no caso de ser o participante sucursal, filial ou agência;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>No caso de sociedade simples: inscrição do ato constitutivo no Registro Civil das Pessoas Jurídicas do local de sua sede, acompanhada de prova da indicação dos seus administradores;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>No caso de cooperativa: ata de fundação e estatuto social em vigor, com a ata da assembleia que o aprovou, devidamente arquivado na Junta Comercial ou inscrito no Registro Civil das Pessoas Jurídicas da respectiva sede, bem como o registro de que trata o art. 107 da Lei Federal nº 5.764, de 16 de dezembro de 1971;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>Os documentos acima deverão estar acompanhados de todas as alterações ou da consolidação respectiva;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color w:val="000000"/>
          <w:sz w:val="24"/>
          <w:szCs w:val="24"/>
          <w:shd w:fill="auto" w:val="clear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bCs/>
          <w:color w:val="000000"/>
          <w:sz w:val="24"/>
          <w:szCs w:val="24"/>
          <w:shd w:fill="auto" w:val="clear"/>
        </w:rPr>
        <w:t>Regularidade fiscal e trabalhista: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>Prova de inscrição no Cadastro Nacional de Pessoas Jurídicas ou no Cadastro de Pessoas Físicas, conforme o caso;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2014, do Secretário da Receita Federal do Brasil e da Procuradora-Geral da Fazenda Nacional.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>Prova de regularidade com o Fundo de Garantia do Tempo de Serviço (FGTS);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DecretoLei Federal nº 5.452, de 1º de maio de 1943;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>Prova de regularidade com a Fazenda Estadual e Municipal do domicílio ou sede da empresa, relativa à atividade em cujo exercício contrata ou concorre;</w:t>
      </w:r>
    </w:p>
    <w:p>
      <w:pPr>
        <w:pStyle w:val="Normal"/>
        <w:spacing w:lineRule="auto" w:line="276"/>
        <w:jc w:val="both"/>
        <w:rPr>
          <w:rFonts w:eastAsia="Arial" w:cs="Arial"/>
          <w:color w:val="000000"/>
          <w:shd w:fill="auto" w:val="clear"/>
        </w:rPr>
      </w:pPr>
      <w:r>
        <w:rPr>
          <w:rFonts w:eastAsia="Arial" w:cs="Arial"/>
          <w:color w:val="000000"/>
          <w:shd w:fill="auto" w:val="clear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eastAsia="Arial" w:cs="Arial"/>
          <w:b/>
          <w:bCs/>
          <w:color w:val="000000"/>
          <w:sz w:val="24"/>
          <w:szCs w:val="24"/>
          <w:shd w:fill="auto" w:val="clear"/>
        </w:rPr>
        <w:t>Qualificação Econômico-Financeira: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 xml:space="preserve">Certidão negativa de efeitos de falência, recuperação judicial ou recuperação extrajudicial, expedida pelo distribuidor da sede do licitante, datada de até 90 (noventa) dias anteriores à data da abertura da sessão. No caso de recuperação judicial a licitante deve comprovar a aprovação do plano de recuperação judicial. </w:t>
      </w:r>
    </w:p>
    <w:p>
      <w:pPr>
        <w:pStyle w:val="Normal"/>
        <w:spacing w:lineRule="auto" w:line="276"/>
        <w:jc w:val="both"/>
        <w:rPr>
          <w:rFonts w:eastAsia="Arial" w:cs="Arial"/>
          <w:color w:val="000000"/>
          <w:shd w:fill="auto" w:val="clear"/>
        </w:rPr>
      </w:pPr>
      <w:r>
        <w:rPr>
          <w:rFonts w:eastAsia="Arial" w:cs="Arial"/>
          <w:color w:val="000000"/>
          <w:shd w:fill="auto" w:val="clear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eastAsia="Arial" w:cs="Arial"/>
          <w:b/>
          <w:bCs/>
          <w:color w:val="000000"/>
          <w:sz w:val="24"/>
          <w:szCs w:val="24"/>
          <w:shd w:fill="auto" w:val="clear"/>
        </w:rPr>
        <w:t xml:space="preserve">Qualificação técnica: 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>Atestado de Capacidade Técnica: fornecido(s) por pessoa jurídica de direito público ou privado, que comprove(m) que a licitante tenha executado, com qualidade e eficiência, serviços de assessoria de licitação, comprovando a entrega de serviço, de no mínimo, 30% do valor da quantidade solicitada,.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t xml:space="preserve">Poderá ser admitida, para fins de comprovação de quantitativo mínimo do serviço, a apresentação de diferentes atestados de serviços executados de forma concomitante, pois essa situação se equivale, para fins de comprovação de capacidade técnico-operacional, a uma única contratação, nos termos do item 10.9 do Anexo VII-A da IN SEGES/MP n. 5/2017. </w:t>
      </w:r>
    </w:p>
    <w:p>
      <w:pPr>
        <w:pStyle w:val="Normal"/>
        <w:spacing w:lineRule="auto" w:line="276"/>
        <w:jc w:val="both"/>
        <w:rPr>
          <w:rFonts w:eastAsia="Arial" w:cs="Arial"/>
          <w:color w:val="000000"/>
          <w:shd w:fill="auto" w:val="clear"/>
        </w:rPr>
      </w:pPr>
      <w:r>
        <w:rPr>
          <w:rFonts w:eastAsia="Arial" w:cs="Arial"/>
          <w:color w:val="000000"/>
          <w:shd w:fill="auto" w:val="clear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 xml:space="preserve">4. LEVANTAMENTO DE MERCADO 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  <w:shd w:fill="auto" w:val="clear"/>
        </w:rPr>
        <w:br/>
      </w:r>
      <w:r>
        <w:rPr>
          <w:sz w:val="24"/>
          <w:szCs w:val="24"/>
        </w:rPr>
        <w:t>No processo analítico de busca por opções de treinamento especializado para o Tribunal de Contas dos Municípios do Pará (TCMPA), a fase de levantamento e avaliação das potenciais soluções no mercado foi abordada com rigor e precisão. Esta abordagem meticulosa tinha o objetivo de identificar prestadores de serviços que não apenas atendessem aos altos padrões de qualidade e especialização exigidos pelo Tribunal, mas também oferecessem flexibilidade e personalização nos programas de capacitação, alinhando-se às necessidades específicas e às peculiaridades da nossa instituição.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Inicialmente, definimos critérios claros de seleção, focando em áreas como a especialização em Administração Pública, a capacidade de oferecer conteúdo personalizado </w:t>
      </w:r>
      <w:r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a flexibilidade no formato do </w:t>
      </w:r>
      <w:r>
        <w:rPr>
          <w:sz w:val="24"/>
          <w:szCs w:val="24"/>
        </w:rPr>
        <w:t>acompanhamento a ser realizado.</w:t>
      </w:r>
      <w:r>
        <w:rPr>
          <w:sz w:val="24"/>
          <w:szCs w:val="24"/>
        </w:rPr>
        <w:t xml:space="preserve"> Com base nesses critérios, realizamos um extenso levantamento de fornecedores, incluindo consultorias, instituições de ensino e especialistas independentes, seguido por uma avaliação preliminar para verificar o alinhamento com as necessidades do TCMPA.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Após a solicitação e análise de propostas detalhadas, tornou-se evidente que muitos fornecedores não atendiam integralmente aos nossos requisitos. A especialização adequada nas áreas de interesse e a capacidade de personalizar </w:t>
      </w:r>
      <w:r>
        <w:rPr>
          <w:sz w:val="24"/>
          <w:szCs w:val="24"/>
        </w:rPr>
        <w:t>o atendimento às</w:t>
      </w:r>
      <w:r>
        <w:rPr>
          <w:sz w:val="24"/>
          <w:szCs w:val="24"/>
        </w:rPr>
        <w:t xml:space="preserve"> demandas específicas do Tribunal foram aspectos particularmente desafiadores para muitos potenciais parceiros.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Nesse contexto, a empresa Vianna de Carvalho Cursos e Aulas Ltda emergiu como uma opção notável, destacando-se pela sua capacidade de atender às nossas expectativas de especialização, personalização e flexibilidade. A presença do renomado Professor Matheus Carvalho em seu corpo técnico adicionou um valor significativo à sua proposta, reforçando a qualidade e relevância do treinamento oferecido.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Portanto, sugerimos uma opção que alinhar os requisitos </w:t>
      </w:r>
      <w:r>
        <w:rPr>
          <w:sz w:val="24"/>
          <w:szCs w:val="24"/>
        </w:rPr>
        <w:t>necessários</w:t>
      </w:r>
      <w:r>
        <w:rPr>
          <w:sz w:val="24"/>
          <w:szCs w:val="24"/>
        </w:rPr>
        <w:t>. O fundamento para essa sugestão encontra respaldo no Art 74, inciso III, alíneas A e C, que embora não vincule diretamente a nossa decisão, oferece uma base sólida para considerar a relevância e a adequação da capacitação oferecida em relação às necessidades do TCMPA.</w:t>
      </w:r>
    </w:p>
    <w:p>
      <w:pPr>
        <w:pStyle w:val="Normal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>5 e 6. ESTIMATIVA DAS QUANTIDADES E DO VALOR DA CONTRATAÇÃO</w:t>
      </w:r>
    </w:p>
    <w:p>
      <w:pPr>
        <w:pStyle w:val="Normal"/>
        <w:spacing w:lineRule="auto" w:line="276"/>
        <w:ind w:left="2268" w:right="0" w:hanging="0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 xml:space="preserve">Dentro do presente estudo, foram realizadas pesquisas no mercado nacional para a </w:t>
      </w:r>
      <w:r>
        <w:rPr>
          <w:rFonts w:eastAsia="Arial" w:cs="Arial"/>
          <w:color w:val="000000"/>
          <w:sz w:val="24"/>
          <w:szCs w:val="24"/>
          <w:shd w:fill="auto" w:val="clear"/>
        </w:rPr>
        <w:t>prestação dos serviços e encontrado os seguintes valores e quantitativos: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</w:p>
    <w:tbl>
      <w:tblPr>
        <w:tblW w:w="9645" w:type="dxa"/>
        <w:jc w:val="left"/>
        <w:tblInd w:w="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"/>
        <w:gridCol w:w="2730"/>
        <w:gridCol w:w="1263"/>
        <w:gridCol w:w="2064"/>
        <w:gridCol w:w="2589"/>
      </w:tblGrid>
      <w:tr>
        <w:trPr>
          <w:trHeight w:val="254" w:hRule="atLeast"/>
        </w:trPr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E599" w:val="clear"/>
            <w:vAlign w:val="bottom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27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FFE599" w:val="clear"/>
            <w:vAlign w:val="bottom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2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FFE599" w:val="clear"/>
            <w:vAlign w:val="bottom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Período</w:t>
            </w:r>
          </w:p>
        </w:tc>
        <w:tc>
          <w:tcPr>
            <w:tcW w:w="20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FFE599" w:val="clear"/>
            <w:vAlign w:val="bottom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QUANT</w:t>
            </w:r>
          </w:p>
        </w:tc>
        <w:tc>
          <w:tcPr>
            <w:tcW w:w="25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FFE599" w:val="clea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VALOR TOTAL</w:t>
            </w:r>
          </w:p>
        </w:tc>
      </w:tr>
      <w:tr>
        <w:trPr>
          <w:trHeight w:val="240" w:hRule="atLeast"/>
        </w:trPr>
        <w:tc>
          <w:tcPr>
            <w:tcW w:w="9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cs="Arial"/>
                <w:color w:val="000000"/>
                <w:sz w:val="24"/>
                <w:szCs w:val="24"/>
                <w:shd w:fill="FFFFFF" w:val="clear"/>
              </w:rPr>
              <w:t>01</w:t>
            </w:r>
          </w:p>
        </w:tc>
        <w:tc>
          <w:tcPr>
            <w:tcW w:w="27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cs="Arial"/>
                <w:color w:val="000000"/>
                <w:sz w:val="24"/>
                <w:szCs w:val="24"/>
                <w:shd w:fill="FFFFFF" w:val="clear"/>
              </w:rPr>
              <w:t>Prestação de serviço especializado para acompanhamento de rotinas e procedimentos para aplicação da lei 14.133/2021</w:t>
            </w:r>
          </w:p>
        </w:tc>
        <w:tc>
          <w:tcPr>
            <w:tcW w:w="12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cs="Arial"/>
                <w:color w:val="000000"/>
                <w:sz w:val="24"/>
                <w:szCs w:val="24"/>
                <w:shd w:fill="FFFFFF" w:val="clear"/>
              </w:rPr>
              <w:t>Mês</w:t>
            </w:r>
          </w:p>
        </w:tc>
        <w:tc>
          <w:tcPr>
            <w:tcW w:w="20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cs="Arial"/>
                <w:color w:val="000000"/>
                <w:sz w:val="24"/>
                <w:szCs w:val="24"/>
                <w:shd w:fill="FFFFFF" w:val="clear"/>
              </w:rPr>
              <w:t>06</w:t>
            </w:r>
          </w:p>
        </w:tc>
        <w:tc>
          <w:tcPr>
            <w:tcW w:w="25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cs="Arial"/>
                <w:color w:val="000000"/>
                <w:sz w:val="24"/>
                <w:szCs w:val="24"/>
                <w:shd w:fill="FFFFFF" w:val="clear"/>
              </w:rPr>
              <w:t>R$ 210.000,00</w:t>
            </w:r>
          </w:p>
        </w:tc>
      </w:tr>
    </w:tbl>
    <w:p>
      <w:pPr>
        <w:pStyle w:val="Normal"/>
        <w:spacing w:lineRule="auto" w:line="276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  <w:highlight w:val="none"/>
          <w:shd w:fill="FFFFFF" w:val="clear"/>
        </w:rPr>
      </w:pPr>
      <w:r>
        <w:rPr>
          <w:rFonts w:eastAsia="Arial" w:cs="Arial"/>
          <w:color w:val="000000"/>
          <w:sz w:val="24"/>
          <w:szCs w:val="24"/>
          <w:shd w:fill="FFFFFF" w:val="clear"/>
        </w:rPr>
        <w:t xml:space="preserve">A solução está estimada R$ 210.000,000  para um período de 06 (seis) meses. </w:t>
      </w:r>
    </w:p>
    <w:p>
      <w:pPr>
        <w:pStyle w:val="Normal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>7. DESCRIÇÃO DA SOLUÇÃO COM UM TODO</w:t>
      </w:r>
    </w:p>
    <w:p>
      <w:pPr>
        <w:pStyle w:val="Normal"/>
        <w:spacing w:lineRule="auto" w:line="276"/>
        <w:ind w:left="2268" w:right="0" w:hanging="0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  <w:t>A solução proposta para atender às necessidades do Tribunal de Contas dos Municípios do Pará (TCMPA) em relação à capacitação e atualização sobre a Lei Federal Nº 14.133/2021 e demais aspectos da Administração Pública consiste em um programa de consultoria especializada abrangente. Este programa visa fornecer um suporte completo e integrado que aborde desde a análise inicial dos instrumentos de planejamento até a resposta a questionamentos de órgãos de controle, garantindo o cumprimento efetivo dos requisitos legais e a otimização dos processos licitatórios. A seguir, detalhamos os componentes principais da solução:</w:t>
      </w:r>
    </w:p>
    <w:p>
      <w:pPr>
        <w:pStyle w:val="Corpodotexto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76"/>
        <w:ind w:left="709" w:hanging="283"/>
        <w:jc w:val="both"/>
        <w:rPr/>
      </w:pPr>
      <w:r>
        <w:rPr>
          <w:rStyle w:val="Nfaseforte"/>
          <w:sz w:val="24"/>
          <w:szCs w:val="24"/>
        </w:rPr>
        <w:t>Análise dos Instrumentos de Planejamento</w:t>
      </w:r>
      <w:r>
        <w:rPr>
          <w:sz w:val="24"/>
          <w:szCs w:val="24"/>
        </w:rPr>
        <w:t>: Inicialmente, a consultoria realizará uma análise detalhada dos instrumentos de planejamento do TCMPA, como planos anuais de compras e contratações, para assegurar que estão em conformidade com os requisitos legais vigentes. Esta etapa é fundamental para identificar possíveis lacunas e áreas de melhoria, estabelecendo uma base sólida para o aprimoramento dos processos licitatórios.</w:t>
      </w:r>
    </w:p>
    <w:p>
      <w:pPr>
        <w:pStyle w:val="Corpodotexto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76"/>
        <w:ind w:left="709" w:hanging="283"/>
        <w:jc w:val="both"/>
        <w:rPr/>
      </w:pPr>
      <w:r>
        <w:rPr>
          <w:rStyle w:val="Nfaseforte"/>
          <w:sz w:val="24"/>
          <w:szCs w:val="24"/>
        </w:rPr>
        <w:t>Análise de Editais</w:t>
      </w:r>
      <w:r>
        <w:rPr>
          <w:sz w:val="24"/>
          <w:szCs w:val="24"/>
        </w:rPr>
        <w:t>: A consultoria procederá com a análise criteriosa de editais de licitação, verificando a aderência às novas normativas e identificando pontos de atenção que podem gerar riscos ou impugnações. Esta análise visa garantir a legalidade, a transparência e a competitividade dos certames.</w:t>
      </w:r>
    </w:p>
    <w:p>
      <w:pPr>
        <w:pStyle w:val="Corpodotexto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76"/>
        <w:ind w:left="709" w:hanging="283"/>
        <w:jc w:val="both"/>
        <w:rPr/>
      </w:pPr>
      <w:r>
        <w:rPr>
          <w:rStyle w:val="Nfaseforte"/>
          <w:sz w:val="24"/>
          <w:szCs w:val="24"/>
        </w:rPr>
        <w:t>Desenvolvimento de Manuais, Rotinas e Cartilhas</w:t>
      </w:r>
      <w:r>
        <w:rPr>
          <w:sz w:val="24"/>
          <w:szCs w:val="24"/>
        </w:rPr>
        <w:t>: Serão elaborados manuais, rotinas operacionais e cartilhas instrutivas que detalhem o passo a passo dos processos licitatórios conforme a nova legislação. Esses materiais servirão como guias práticos para os servidores, facilitando a compreensão e a aplicação dos procedimentos legais e técnicos necessários.</w:t>
      </w:r>
    </w:p>
    <w:p>
      <w:pPr>
        <w:pStyle w:val="Corpodotexto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76"/>
        <w:ind w:left="709" w:hanging="283"/>
        <w:jc w:val="both"/>
        <w:rPr/>
      </w:pPr>
      <w:r>
        <w:rPr>
          <w:rStyle w:val="Nfaseforte"/>
          <w:sz w:val="24"/>
          <w:szCs w:val="24"/>
        </w:rPr>
        <w:t>Orientação e Acompanhamento dos Processos Licitatórios</w:t>
      </w:r>
      <w:r>
        <w:rPr>
          <w:sz w:val="24"/>
          <w:szCs w:val="24"/>
        </w:rPr>
        <w:t>: A consultoria oferecerá suporte contínuo na orientação e no acompanhamento dos processos licitatórios, atuando como um parceiro estratégico para resolver dúvidas e fornecer direcionamentos conforme a evolução das demandas e dos projetos.</w:t>
      </w:r>
    </w:p>
    <w:p>
      <w:pPr>
        <w:pStyle w:val="Corpodotexto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76"/>
        <w:ind w:left="709" w:hanging="283"/>
        <w:jc w:val="both"/>
        <w:rPr/>
      </w:pPr>
      <w:r>
        <w:rPr>
          <w:rStyle w:val="Nfaseforte"/>
          <w:sz w:val="24"/>
          <w:szCs w:val="24"/>
        </w:rPr>
        <w:t>Orientações em Relação à Orçamentação</w:t>
      </w:r>
      <w:r>
        <w:rPr>
          <w:sz w:val="24"/>
          <w:szCs w:val="24"/>
        </w:rPr>
        <w:t>: Serão fornecidas orientações específicas sobre práticas de orçamentação eficazes, incluindo a elaboração de orçamentos baseados em preços de mercado e a adequação financeira dos projetos, visando assegurar a viabilidade e a conformidade dos processos licitatórios.</w:t>
      </w:r>
    </w:p>
    <w:p>
      <w:pPr>
        <w:pStyle w:val="Corpodotexto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76"/>
        <w:ind w:left="709" w:hanging="283"/>
        <w:jc w:val="both"/>
        <w:rPr/>
      </w:pPr>
      <w:r>
        <w:rPr>
          <w:rStyle w:val="Nfaseforte"/>
          <w:sz w:val="24"/>
          <w:szCs w:val="24"/>
        </w:rPr>
        <w:t>Orientação na Elaboração de Padronização</w:t>
      </w:r>
      <w:r>
        <w:rPr>
          <w:sz w:val="24"/>
          <w:szCs w:val="24"/>
        </w:rPr>
        <w:t>: A padronização de documentos, especificações técnicas e termos de referência será objeto de orientação específica, visando simplificar e tornar mais eficientes os processos licitatórios, além de facilitar a comparação de propostas e a seleção de fornecedores.</w:t>
      </w:r>
    </w:p>
    <w:p>
      <w:pPr>
        <w:pStyle w:val="Corpodotexto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76"/>
        <w:ind w:left="709" w:hanging="283"/>
        <w:jc w:val="both"/>
        <w:rPr/>
      </w:pPr>
      <w:r>
        <w:rPr>
          <w:rStyle w:val="Nfaseforte"/>
          <w:sz w:val="24"/>
          <w:szCs w:val="24"/>
        </w:rPr>
        <w:t>Auxílio em Resposta para Questionamento de Órgãos de Controle</w:t>
      </w:r>
      <w:r>
        <w:rPr>
          <w:sz w:val="24"/>
          <w:szCs w:val="24"/>
        </w:rPr>
        <w:t>: A consultoria também prestará apoio na elaboração de respostas aos questionamentos de órgãos de controle externo, contribuindo para a defesa dos interesses do TCMPA e a manutenção da transparência e da legalidade de suas ações.</w:t>
      </w:r>
    </w:p>
    <w:p>
      <w:pPr>
        <w:pStyle w:val="Corpodotexto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76"/>
        <w:ind w:left="709" w:hanging="283"/>
        <w:jc w:val="both"/>
        <w:rPr/>
      </w:pPr>
      <w:r>
        <w:rPr>
          <w:rStyle w:val="Nfaseforte"/>
          <w:sz w:val="24"/>
          <w:szCs w:val="24"/>
        </w:rPr>
        <w:t>Capacitação Contínua</w:t>
      </w:r>
      <w:r>
        <w:rPr>
          <w:sz w:val="24"/>
          <w:szCs w:val="24"/>
        </w:rPr>
        <w:t>: Será implementado um programa de capacitação contínua, incluindo workshops, seminários e treinamentos específicos, para manter os servidores atualizados sobre as melhores práticas e as mudanças legislativas no âmbito da administração pública e da gestão de contratos.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Este programa de consultoria especializada foi concebido para oferecer uma solução completa e integrada que atenda às necessidades do TCMPA, fortalecendo suas capacidades institucionais e garantindo a excelência e a eficiência nos processos de licitação e contratação, em plena conformidade com as exigências legais e regulamentares.</w:t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 w:eastAsia="Arial" w:cs="Arial"/>
          <w:color w:val="C9211E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>8. JUSTIFICATIVA PARA O PARCELAMENTO OU NÃO</w:t>
      </w:r>
    </w:p>
    <w:p>
      <w:pPr>
        <w:pStyle w:val="Normal"/>
        <w:spacing w:lineRule="auto" w:line="276"/>
        <w:jc w:val="both"/>
        <w:rPr>
          <w:rFonts w:eastAsia="Arial" w:cs="Arial"/>
          <w:b w:val="false"/>
          <w:b w:val="false"/>
          <w:i w:val="false"/>
          <w:i w:val="false"/>
          <w:caps w:val="false"/>
          <w:smallCaps w:val="false"/>
          <w:color w:val="0D0D0D"/>
          <w:spacing w:val="0"/>
        </w:rPr>
      </w:pPr>
      <w:r>
        <w:rPr>
          <w:rFonts w:eastAsia="Arial" w:cs="Arial"/>
          <w:b w:val="false"/>
          <w:i w:val="false"/>
          <w:caps w:val="false"/>
          <w:smallCaps w:val="false"/>
          <w:color w:val="0D0D0D"/>
          <w:spacing w:val="0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 w:val="false"/>
          <w:i w:val="false"/>
          <w:caps w:val="false"/>
          <w:smallCaps w:val="false"/>
          <w:color w:val="0D0D0D"/>
          <w:spacing w:val="0"/>
          <w:sz w:val="24"/>
          <w:szCs w:val="24"/>
        </w:rPr>
        <w:t>Não há necessidade de parcelamento do serviço. A consultoria especializada oferecida é concebida como uma solução integrada, cuja eficácia depende da implementação coesa e sistemática das estratégias propostas, garantindo uma melhoria contínua e abrangente dos processos licitatórios no Tribunal de Contas dos Municípios do Pará (TCMPA).</w:t>
      </w:r>
      <w:r>
        <w:rPr>
          <w:rFonts w:eastAsia="Arial" w:cs="Arial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>9. DEMONSTRATIVO DOS RESULTADOS PRETENDIDOS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pt-BR"/>
        </w:rPr>
        <w:tab/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pt-BR"/>
        </w:rPr>
        <w:t>A contratação de serviço especializado para o acompanhamento de rotinas e procedimentos para aplicação da Lei 14.133/2021 pelo Tribunal de Contas dos Municípios do Pará (TCMPA) reflete um passo estratégico e essencial na direção da excelência operacional e jurisdicional. Este serviço tem como objetivo principal garantir a adaptação eficaz e a conformidade do Tribunal com as novas normativas de licitações e contratos administrativos estabelecidas pela referida lei, visando a otimização do funcionamento institucional.</w:t>
      </w:r>
    </w:p>
    <w:p>
      <w:pPr>
        <w:pStyle w:val="Ttulo3"/>
        <w:spacing w:lineRule="auto" w:line="276"/>
        <w:jc w:val="both"/>
        <w:rPr>
          <w:rFonts w:ascii="Times New Roman" w:hAnsi="Times New Roman"/>
          <w:i/>
          <w:i/>
          <w:iCs/>
          <w:sz w:val="24"/>
          <w:szCs w:val="24"/>
          <w:u w:val="single"/>
        </w:rPr>
      </w:pPr>
      <w:r>
        <w:rPr>
          <w:rFonts w:ascii="Times New Roman" w:hAnsi="Times New Roman"/>
          <w:i/>
          <w:iCs/>
          <w:sz w:val="24"/>
          <w:szCs w:val="24"/>
          <w:u w:val="single"/>
        </w:rPr>
        <w:t>Fortalecimento da Segurança Jurídica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 principal expectativa desta contratação é o fortalecimento da segurança jurídica das decisões do TCMPA. Por meio de um acompanhamento especializado, o Tribunal será capaz de interpretar e aplicar corretamente as disposições da Lei 14.133/2021, assegurando que todas as decisões e procedimentos estejam em plena conformidade com o novo marco legal. Isso contribuirá significativamente para a qualidade e fundamentação das decisões, reforçando a confiabilidade e a autoridade do Tribunal perante o ordenamento jurídico e a sociedade.</w:t>
      </w:r>
    </w:p>
    <w:p>
      <w:pPr>
        <w:pStyle w:val="Ttulo3"/>
        <w:spacing w:lineRule="auto" w:line="276"/>
        <w:jc w:val="both"/>
        <w:rPr>
          <w:rFonts w:ascii="Times New Roman" w:hAnsi="Times New Roman"/>
          <w:i/>
          <w:i/>
          <w:iCs/>
          <w:sz w:val="24"/>
          <w:szCs w:val="24"/>
          <w:u w:val="single"/>
        </w:rPr>
      </w:pPr>
      <w:r>
        <w:rPr>
          <w:rFonts w:ascii="Times New Roman" w:hAnsi="Times New Roman"/>
          <w:i/>
          <w:iCs/>
          <w:sz w:val="24"/>
          <w:szCs w:val="24"/>
          <w:u w:val="single"/>
        </w:rPr>
        <w:t>Pleno Funcionamento dos Setores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O serviço especializado também visa garantir o pleno funcionamento dos setores do Tribunal, especialmente aqueles diretamente envolvidos com licitações e contratos administrativos. A consultoria proporcionará orientações detalhadas e customizadas, facilitando a implementação de rotinas e procedimentos eficientes que estão alinhados com as exigências da nova legislação. Isso promoverá uma gestão mais ágil e estratégica, otimizando os processos internos e melhorando a resposta do Tribunal às demandas.</w:t>
      </w:r>
    </w:p>
    <w:p>
      <w:pPr>
        <w:pStyle w:val="Ttulo3"/>
        <w:spacing w:lineRule="auto" w:line="276"/>
        <w:jc w:val="both"/>
        <w:rPr>
          <w:rFonts w:ascii="Times New Roman" w:hAnsi="Times New Roman"/>
          <w:i/>
          <w:i/>
          <w:iCs/>
          <w:sz w:val="24"/>
          <w:szCs w:val="24"/>
          <w:u w:val="single"/>
        </w:rPr>
      </w:pPr>
      <w:r>
        <w:rPr>
          <w:rFonts w:ascii="Times New Roman" w:hAnsi="Times New Roman"/>
          <w:i/>
          <w:iCs/>
          <w:sz w:val="24"/>
          <w:szCs w:val="24"/>
          <w:u w:val="single"/>
        </w:rPr>
        <w:t>Elevação da Eficiência Administrativa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Outro resultado esperado é a elevação da eficiência administrativa. Através do desenvolvimento e da revisão de rotinas e procedimentos, o serviço especializado contribuirá para a otimização dos recursos humanos e materiais, conduzindo a uma gestão mais econômica e eficaz. A melhoria nos processos licitatórios, especificamente, resultará em uma alocação mais estratégica de recursos e em uma maior transparência nas contratações públicas.</w:t>
      </w:r>
    </w:p>
    <w:p>
      <w:pPr>
        <w:pStyle w:val="Ttulo3"/>
        <w:spacing w:lineRule="auto" w:line="276"/>
        <w:jc w:val="both"/>
        <w:rPr>
          <w:rFonts w:ascii="Times New Roman" w:hAnsi="Times New Roman"/>
          <w:i/>
          <w:i/>
          <w:iCs/>
          <w:sz w:val="24"/>
          <w:szCs w:val="24"/>
          <w:u w:val="single"/>
        </w:rPr>
      </w:pPr>
      <w:r>
        <w:rPr>
          <w:rFonts w:ascii="Times New Roman" w:hAnsi="Times New Roman"/>
          <w:i/>
          <w:iCs/>
          <w:sz w:val="24"/>
          <w:szCs w:val="24"/>
          <w:u w:val="single"/>
        </w:rPr>
        <w:t>Cultura de Aprendizagem Contínua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 promoção de uma cultura de aprendizagem contínua é outro benefício crucial desta contratação. O acompanhamento especializado incentivará a atualização constante e o aperfeiçoamento contínuo dos servidores, elevando o padrão de desempenho e fomentando a excelência coletiva. A capacitação em torno da nova lei não só preparará os servidores para os desafios atuais, mas também os habilitará a enfrentar futuras mudanças legislativas e procedimentais.</w:t>
      </w:r>
    </w:p>
    <w:p>
      <w:pPr>
        <w:pStyle w:val="Ttulo3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  <w:u w:val="single"/>
        </w:rPr>
        <w:t>Modernização das Práticas Administrativas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 avaliação contínua dos resultados alcançados será fundamental para assegurar a eficácia deste serviço, permitindo ajustes e melhorias constantes nas rotinas e procedimentos do Tribunal. Esse processo de melhoria contínua garantirá que o TCMPA permaneça alinhado com os objetivos institucionais e as melhores práticas no âmbito das licitações e contratos administrativos.</w:t>
      </w:r>
    </w:p>
    <w:p>
      <w:pPr>
        <w:pStyle w:val="Normal"/>
        <w:spacing w:lineRule="auto" w:line="276"/>
        <w:jc w:val="both"/>
        <w:rPr>
          <w:rFonts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lang w:eastAsia="pt-BR"/>
        </w:rPr>
      </w:pPr>
      <w:r>
        <w:rPr>
          <w:rFonts w:eastAsia="Arial" w:cs="Arial"/>
          <w:b w:val="false"/>
          <w:i w:val="false"/>
          <w:caps w:val="false"/>
          <w:smallCaps w:val="false"/>
          <w:color w:val="000000"/>
          <w:spacing w:val="0"/>
          <w:lang w:eastAsia="pt-BR"/>
        </w:rPr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>10. PROVIDÊNCIAS A SEREM ADOTADAS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Com a definição de que a Vianna de Carvalho Cursos e Aulas Ltda será a responsável pela prestação do serviço de acompanhamento de rotinas e procedimentos para a aplicação da Lei 14.133/2021 no Tribunal de Contas dos Municípios do Pará (TCMPA), algumas providências essenciais devem ser adotadas para assegurar a implementação eficaz e o máximo aproveitamento deste serviço.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Primeiramente, é crucial estabelecer uma comunicação clara e objetiva entre as equipes do TCMPA e da Vianna de Carvalho, definindo pontos de contato específicos para facilitar o fluxo de informações e assegurar que todas as dúvidas e necessidades sejam prontamente atendidas. Isso envolve a organização de reuniões iniciais para alinhar expectativas, objetivos e cronogramas, bem como a definição de um plano de trabalho detalhado que especifique as etapas do serviço de acompanhamento, incluindo análises, treinamentos, revisões de procedimentos e qualquer outra atividade relevante.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Em seguida, é necessário realizar um diagnóstico inicial dos processos de licitação e contratos administrativos atualmente empregados pelo TCMPA para identificar pontos de melhoria, desafios específicos e oportunidades de otimização. Esse diagnóstico servirá como base para a personalização do serviço de acompanhamento, garantindo que as soluções propostas sejam diretamente aplicáveis e efetivamente contribuam para a conformidade com a Lei 14.133/2021.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Outra providência importante é a capacitação dos servidores envolvidos nos processos de licitação e contratos administrativos. Embora o serviço não seja um curso tradicional, elementos de treinamento e atualização serão fundamentais para garantir que a equipe do TCMPA esteja bem preparada para implementar as novas rotinas e procedimentos. Isso pode incluir sessões de treinamento específicas, workshops e a disponibilização de materiais de apoio e referência.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Além disso, deve-se estabelecer um mecanismo de monitoramento e avaliação contínua do serviço de acompanhamento, permitindo ajustes e melhorias em tempo real. Isso envolve a definição de indicadores de desempenho, a realização de avaliações periódicas do progresso alcançado e a adaptação do plano de trabalho conforme necessário para atender às demandas e superar quaisquer obstáculos que possam surgir.</w:t>
      </w:r>
    </w:p>
    <w:p>
      <w:pPr>
        <w:pStyle w:val="Corpodotexto"/>
        <w:spacing w:lineRule="auto" w:line="276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>11. CONTRATAÇÕES CORRELATAS E/OU INTERDEPENDENTES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No contexto das iniciativas do Tribunal de Contas dos Municípios do Pará (TCMPA) para aprimorar suas práticas administrativas e jurisdicionais em conformidade com a legislação vigente, destaca-se a contratação anterior, sob o número 030/2023, focada na implementação da nova Lei de Contratos, Lei 14.133/2021. Esta contratação, realizada com a Vianna de Carvalho Cursos e Aulas Ltda, teve como objetivo principal facilitar a transição para o novo regime de licitações e contratos, assegurando que o TCMPA estivesse preparado para aplicar as disposições da lei de forma eficaz e eficiente.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 colaboração com a Vianna de Carvalho Cursos e Aulas Ltda na contratação 030/2023 proporcionou ao TCMPA uma base sólida de conhecimento e práticas alinhadas com os requisitos da Lei 14.133/2021. Este projeto inicial foi crucial para estabelecer os alicerces necessários para a adaptação aos novos procedimentos e práticas de contratação pública.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Entretanto, a dinâmica e a complexidade das mudanças trazidas pela nova legislação exigem um acompanhamento contínuo e especializado, visando não apenas a aplicação imediata das normas, mas também a sustentabilidade dessas práticas ao longo do tempo. Neste sentido, torna-se necessário prosseguir com uma nova contratação de serviço especializado para o acompanhamento de rotinas e procedimentos específicos para a aplicação contínua e aprofundada da Lei 14.133/2021.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Esta nova contratação, focada no serviço de acompanhamento, é fundamental para assegurar que as práticas e conhecimentos previamente estabelecidos sejam constantemente atualizados, refinados e adaptados às realidades e desafios emergentes que o TCMPA enfrenta. O objetivo é garantir não apenas a conformidade com a lei, mas também a eficácia e eficiência dos processos licitatórios e de contratação, contribuindo para uma gestão pública transparente, responsável e alinhada com as melhores práticas nacionais e internacionais.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Portanto, embora a contratação com a Vianna de Carvalho Cursos e Aulas Ltda sob o número 030/2023 tenha sido um passo importante na direção certa, a complexidade e a contínua evolução das demandas institucionais e legais justificam plenamente a necessidade desta nova contratação. Isso demonstra o compromisso do TCMPA com a melhoria contínua e a busca pela excelência na administração pública, assegurando que a instituição permaneça na vanguarda das práticas de licitação e contratação em conformidade com a Lei 14.133/2021.</w:t>
      </w:r>
    </w:p>
    <w:p>
      <w:pPr>
        <w:pStyle w:val="Corpodotexto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>12. POSSÍVEIS IMPACTOS AMBIENTAIS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>Não há impacto ambiental na presente contratação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b/>
          <w:b/>
          <w:color w:val="000000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</w:r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>13. DECLARAÇÃO DE VIABILIDADE OU NÃO DA CONTRATAÇÃO</w:t>
      </w:r>
    </w:p>
    <w:p>
      <w:pPr>
        <w:pStyle w:val="Normal"/>
        <w:spacing w:lineRule="auto" w:line="276"/>
        <w:ind w:left="2268" w:right="0" w:hanging="0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ab/>
        <w:t>Os estudos preliminares evidenciaram que a contratação do serviço descrita mostra-se possível tecnicamente e fundamentadamente necessária. Diante do exposto, declara-se ser viável a contratação pretendida.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shd w:val="clear" w:fill="FFE599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b/>
          <w:color w:val="000000"/>
          <w:sz w:val="24"/>
          <w:szCs w:val="24"/>
        </w:rPr>
        <w:t>14. EQUIPE DE PLANEJAMENTO</w:t>
      </w:r>
      <w:r>
        <w:rPr>
          <w:rFonts w:eastAsia="Arial" w:cs="Arial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ab/>
        <w:t>Certificamos que somos responsáveis pela elaboração do presente documento que materializa o Estudo Técnico Preliminar da contratação em tela, o qual traz o conteúdo necessário para a elaboração do Termo de Referência.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>Diante do exposto, declara-se ser viável a contratação pretendida.</w:t>
      </w:r>
    </w:p>
    <w:p>
      <w:pPr>
        <w:pStyle w:val="Normal"/>
        <w:tabs>
          <w:tab w:val="clear" w:pos="708"/>
          <w:tab w:val="left" w:pos="2295" w:leader="none"/>
        </w:tabs>
        <w:spacing w:lineRule="auto" w:line="276"/>
        <w:jc w:val="both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 w:eastAsia="Arial" w:cs="Arial"/>
          <w:b/>
          <w:b/>
          <w:color w:val="000000"/>
          <w:sz w:val="24"/>
          <w:szCs w:val="24"/>
          <w:shd w:fill="FFFF00" w:val="clear"/>
        </w:rPr>
      </w:pPr>
      <w:r>
        <w:rPr>
          <w:rFonts w:eastAsia="Arial" w:cs="Arial"/>
          <w:b/>
          <w:color w:val="000000"/>
          <w:sz w:val="24"/>
          <w:szCs w:val="24"/>
          <w:shd w:fill="FFFF00" w:val="clear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90" w:gutter="0" w:header="708" w:top="170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Franklin Gothic Book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spacing w:before="240" w:after="0"/>
      <w:jc w:val="both"/>
      <w:rPr>
        <w:b w:val="false"/>
        <w:b w:val="false"/>
        <w:bCs w:val="false"/>
      </w:rPr>
    </w:pPr>
    <w:r>
      <w:rPr>
        <w:b w:val="false"/>
        <w:bCs w:val="false"/>
      </w:rPr>
      <w:t>Travessa Magno de Araújo, nº 474 – DAD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center"/>
      <w:rPr/>
    </w:pPr>
    <w:r>
      <w:rPr/>
      <w:drawing>
        <wp:anchor behindDoc="1" distT="0" distB="0" distL="0" distR="0" simplePos="0" locked="0" layoutInCell="0" allowOverlap="1" relativeHeight="10">
          <wp:simplePos x="0" y="0"/>
          <wp:positionH relativeFrom="column">
            <wp:posOffset>18415</wp:posOffset>
          </wp:positionH>
          <wp:positionV relativeFrom="paragraph">
            <wp:posOffset>-10795</wp:posOffset>
          </wp:positionV>
          <wp:extent cx="1449705" cy="527050"/>
          <wp:effectExtent l="0" t="0" r="0" b="0"/>
          <wp:wrapNone/>
          <wp:docPr id="1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49705" cy="527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2">
    <w:name w:val="Heading 2"/>
    <w:basedOn w:val="Normal"/>
    <w:link w:val="Ttulo2Char"/>
    <w:qFormat/>
    <w:pPr>
      <w:spacing w:before="280" w:after="280"/>
      <w:outlineLvl w:val="1"/>
    </w:pPr>
    <w:rPr>
      <w:b/>
      <w:bCs/>
      <w:sz w:val="36"/>
      <w:szCs w:val="36"/>
    </w:rPr>
  </w:style>
  <w:style w:type="paragraph" w:styleId="Ttulo3">
    <w:name w:val="Heading 3"/>
    <w:basedOn w:val="Ttulo"/>
    <w:next w:val="Corpodotexto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Ttulo2Char">
    <w:name w:val="Título 2 Char"/>
    <w:basedOn w:val="DefaultParagraphFont"/>
    <w:qFormat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character" w:styleId="Strong">
    <w:name w:val="Strong"/>
    <w:basedOn w:val="DefaultParagraphFont"/>
    <w:qFormat/>
    <w:rPr>
      <w:b/>
      <w:bCs/>
    </w:rPr>
  </w:style>
  <w:style w:type="character" w:styleId="Dtxt">
    <w:name w:val="dtxt"/>
    <w:basedOn w:val="DefaultParagraphFont"/>
    <w:qFormat/>
    <w:rPr/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character" w:styleId="AssinaturaChar">
    <w:name w:val="Assinatura Char"/>
    <w:basedOn w:val="DefaultParagraphFont"/>
    <w:qFormat/>
    <w:rPr>
      <w:rFonts w:ascii="Franklin Gothic Book" w:hAnsi="Franklin Gothic Book" w:eastAsia="Franklin Gothic Book" w:cs="Times New Roman"/>
      <w:b/>
      <w:bCs/>
      <w:color w:val="17406D"/>
      <w:kern w:val="2"/>
      <w:sz w:val="24"/>
      <w:szCs w:val="20"/>
      <w:lang w:val="pt-PT" w:eastAsia="ja-JP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xtodecomentrioChar">
    <w:name w:val="Texto de comentário Char"/>
    <w:basedOn w:val="DefaultParagraphFont"/>
    <w:link w:val="Annotationtext"/>
    <w:qFormat/>
    <w:rPr>
      <w:sz w:val="20"/>
      <w:szCs w:val="20"/>
    </w:rPr>
  </w:style>
  <w:style w:type="character" w:styleId="AssuntodocomentrioChar">
    <w:name w:val="Assunto do comentário Char"/>
    <w:basedOn w:val="TextodecomentrioChar"/>
    <w:link w:val="Annotationsubject"/>
    <w:qFormat/>
    <w:rPr>
      <w:b/>
      <w:bCs/>
      <w:sz w:val="20"/>
      <w:szCs w:val="20"/>
    </w:rPr>
  </w:style>
  <w:style w:type="character" w:styleId="TextodebaloChar">
    <w:name w:val="Texto de balão Char"/>
    <w:basedOn w:val="DefaultParagraphFont"/>
    <w:link w:val="BalloonText"/>
    <w:qFormat/>
    <w:rPr>
      <w:rFonts w:ascii="Segoe UI" w:hAnsi="Segoe UI" w:cs="Segoe UI"/>
      <w:sz w:val="18"/>
      <w:szCs w:val="18"/>
    </w:rPr>
  </w:style>
  <w:style w:type="character" w:styleId="PargrafodaListaChar">
    <w:name w:val="Parágrafo da Lista Char"/>
    <w:link w:val="ListParagraph"/>
    <w:qFormat/>
    <w:rPr>
      <w:rFonts w:ascii="Franklin Gothic Book" w:hAnsi="Franklin Gothic Book" w:eastAsia="Franklin Gothic Book" w:cs="Times New Roman"/>
      <w:color w:val="595959"/>
      <w:kern w:val="2"/>
      <w:sz w:val="24"/>
      <w:szCs w:val="20"/>
      <w:lang w:val="pt-PT" w:eastAsia="ja-JP"/>
    </w:rPr>
  </w:style>
  <w:style w:type="character" w:styleId="Smbolosdenumerao">
    <w:name w:val="Símbolos de numeração"/>
    <w:qFormat/>
    <w:rPr/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Assinatura">
    <w:name w:val="Signature"/>
    <w:basedOn w:val="Normal"/>
    <w:link w:val="AssinaturaChar"/>
    <w:pPr>
      <w:spacing w:before="40" w:after="360"/>
      <w:ind w:left="720" w:right="720" w:hanging="0"/>
      <w:contextualSpacing/>
    </w:pPr>
    <w:rPr>
      <w:rFonts w:ascii="Franklin Gothic Book" w:hAnsi="Franklin Gothic Book" w:eastAsia="Franklin Gothic Book"/>
      <w:b/>
      <w:bCs/>
      <w:color w:val="17406D"/>
      <w:kern w:val="2"/>
      <w:szCs w:val="20"/>
      <w:lang w:val="pt-PT" w:eastAsia="ja-JP"/>
    </w:rPr>
  </w:style>
  <w:style w:type="paragraph" w:styleId="ListParagraph">
    <w:name w:val="List Paragraph"/>
    <w:basedOn w:val="Normal"/>
    <w:link w:val="PargrafodaListaChar"/>
    <w:qFormat/>
    <w:pPr>
      <w:spacing w:before="40" w:after="360"/>
      <w:ind w:left="708" w:right="720" w:hanging="0"/>
    </w:pPr>
    <w:rPr>
      <w:rFonts w:ascii="Franklin Gothic Book" w:hAnsi="Franklin Gothic Book" w:eastAsia="Franklin Gothic Book"/>
      <w:color w:val="595959"/>
      <w:kern w:val="2"/>
      <w:szCs w:val="20"/>
      <w:lang w:val="pt-PT" w:eastAsia="ja-JP"/>
    </w:rPr>
  </w:style>
  <w:style w:type="paragraph" w:styleId="Annotationtext">
    <w:name w:val="annotation text"/>
    <w:basedOn w:val="Normal"/>
    <w:link w:val="TextodecomentrioChar"/>
    <w:qFormat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qFormat/>
    <w:pPr/>
    <w:rPr>
      <w:b/>
      <w:bCs/>
    </w:rPr>
  </w:style>
  <w:style w:type="paragraph" w:styleId="BalloonText">
    <w:name w:val="Balloon Text"/>
    <w:basedOn w:val="Normal"/>
    <w:link w:val="TextodebaloChar"/>
    <w:qFormat/>
    <w:pPr/>
    <w:rPr>
      <w:rFonts w:ascii="Segoe UI" w:hAnsi="Segoe UI" w:cs="Segoe UI"/>
      <w:sz w:val="18"/>
      <w:szCs w:val="18"/>
    </w:rPr>
  </w:style>
  <w:style w:type="paragraph" w:styleId="LOCDAT1">
    <w:name w:val="LOC_DAT_1"/>
    <w:qFormat/>
    <w:pPr>
      <w:widowControl w:val="false"/>
      <w:suppressAutoHyphens w:val="true"/>
      <w:overflowPunct w:val="true"/>
      <w:bidi w:val="0"/>
      <w:spacing w:lineRule="auto" w:line="240" w:before="0" w:after="479"/>
      <w:jc w:val="both"/>
    </w:pPr>
    <w:rPr>
      <w:rFonts w:ascii="Times New Roman" w:hAnsi="Times New Roman" w:eastAsia="Times New Roman" w:cs="Times New Roman"/>
      <w:color w:val="4C4C4C"/>
      <w:kern w:val="0"/>
      <w:sz w:val="24"/>
      <w:szCs w:val="20"/>
      <w:lang w:val="pt-BR" w:eastAsia="pt-BR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Application>LibreOffice/7.3.2.2$Windows_x86 LibreOffice_project/49f2b1bff42cfccbd8f788c8dc32c1c309559be0</Application>
  <AppVersion>15.0000</AppVersion>
  <Pages>9</Pages>
  <Words>3321</Words>
  <Characters>20026</Characters>
  <CharactersWithSpaces>23313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2023-10-23T13:52:00Z</dcterms:created>
  <dc:creator>User;gbenevides.oliveira@gmail.com</dc:creator>
  <dc:description/>
  <cp:keywords>DANTA_DJ</cp:keywords>
  <dc:language>pt-BR</dc:language>
  <cp:lastModifiedBy/>
  <cp:lastPrinted>2024-02-16T15:29:54Z</cp:lastPrinted>
  <dcterms:modified xsi:type="dcterms:W3CDTF">2024-03-13T10:54:48Z</dcterms:modified>
  <cp:revision>23</cp:revision>
  <dc:subject/>
  <dc:title>MINUTAS_DJ _DANTAS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