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1"/>
        <w:spacing w:lineRule="auto" w:line="360"/>
        <w:ind w:hanging="0" w:right="0"/>
        <w:jc w:val="center"/>
        <w:rPr>
          <w:lang w:val="pt-BR"/>
        </w:rPr>
      </w:pPr>
      <w:r>
        <w:rPr>
          <w:rFonts w:eastAsia="Arial" w:cs="Arial" w:ascii="Arial" w:hAnsi="Arial"/>
          <w:b/>
          <w:bCs/>
          <w:color w:val="000000"/>
          <w:position w:val="0"/>
          <w:sz w:val="24"/>
          <w:szCs w:val="24"/>
          <w:u w:val="none"/>
          <w:vertAlign w:val="baseline"/>
          <w:lang w:val="pt-BR"/>
        </w:rPr>
        <w:t>EDITAL</w:t>
      </w:r>
    </w:p>
    <w:p>
      <w:pPr>
        <w:pStyle w:val="normal11"/>
        <w:spacing w:lineRule="auto" w:line="360"/>
        <w:ind w:hanging="0" w:right="0"/>
        <w:jc w:val="center"/>
        <w:rPr>
          <w:lang w:val="pt-BR"/>
        </w:rPr>
      </w:pPr>
      <w:r>
        <w:rPr>
          <w:rFonts w:eastAsia="Arial" w:cs="Arial" w:ascii="Arial" w:hAnsi="Arial"/>
          <w:b/>
          <w:bCs/>
          <w:color w:val="000000"/>
          <w:position w:val="0"/>
          <w:sz w:val="24"/>
          <w:szCs w:val="24"/>
          <w:u w:val="none"/>
          <w:vertAlign w:val="baseline"/>
          <w:lang w:val="pt-BR"/>
        </w:rPr>
        <w:t xml:space="preserve">DISPENSA  ELETRÔNICA </w:t>
      </w:r>
      <w:r>
        <w:rPr>
          <w:rFonts w:eastAsia="Arial" w:cs="Arial" w:ascii="Arial" w:hAnsi="Arial"/>
          <w:b/>
          <w:bCs/>
          <w:color w:val="000000"/>
          <w:position w:val="0"/>
          <w:sz w:val="24"/>
          <w:szCs w:val="24"/>
          <w:u w:val="none"/>
          <w:shd w:fill="FFFFFF" w:val="clear"/>
          <w:vertAlign w:val="baseline"/>
          <w:lang w:val="pt-BR"/>
        </w:rPr>
        <w:t>14/2026</w:t>
      </w:r>
    </w:p>
    <w:p>
      <w:pPr>
        <w:pStyle w:val="normal11"/>
        <w:spacing w:lineRule="auto" w:line="360"/>
        <w:ind w:hanging="0" w:right="0"/>
        <w:jc w:val="center"/>
        <w:rPr>
          <w:lang w:val="pt-BR"/>
        </w:rPr>
      </w:pPr>
      <w:r>
        <w:rPr>
          <w:rFonts w:eastAsia="Arial" w:cs="Arial" w:ascii="Arial" w:hAnsi="Arial"/>
          <w:b/>
          <w:bCs/>
          <w:color w:val="000000"/>
          <w:sz w:val="24"/>
          <w:szCs w:val="24"/>
          <w:u w:val="none"/>
          <w:lang w:val="pt-BR"/>
        </w:rPr>
        <w:t>PROCESSO ADMINISTRA</w:t>
      </w:r>
      <w:r>
        <w:rPr>
          <w:rFonts w:eastAsia="Arial" w:cs="Arial" w:ascii="Arial" w:hAnsi="Arial"/>
          <w:b/>
          <w:bCs/>
          <w:color w:val="000000"/>
          <w:sz w:val="24"/>
          <w:szCs w:val="24"/>
          <w:u w:val="none"/>
          <w:shd w:fill="FFFFFF" w:val="clear"/>
          <w:lang w:val="pt-BR"/>
        </w:rPr>
        <w:t>TIVO Nº 27/2026</w:t>
      </w:r>
    </w:p>
    <w:p>
      <w:pPr>
        <w:pStyle w:val="normal11"/>
        <w:spacing w:lineRule="auto" w:line="360"/>
        <w:ind w:hanging="0" w:right="0"/>
        <w:jc w:val="center"/>
        <w:rPr>
          <w:rFonts w:ascii="Arial" w:hAnsi="Arial" w:eastAsia="Arial" w:cs="Arial"/>
          <w:b/>
          <w:bCs/>
          <w:color w:val="000000"/>
          <w:position w:val="0"/>
          <w:sz w:val="24"/>
          <w:szCs w:val="24"/>
          <w:u w:val="none"/>
          <w:vertAlign w:val="baseline"/>
          <w:lang w:val="pt-BR"/>
        </w:rPr>
      </w:pPr>
      <w:r>
        <w:rPr>
          <w:rFonts w:eastAsia="Arial" w:cs="Arial" w:ascii="Arial" w:hAnsi="Arial"/>
          <w:b/>
          <w:bCs/>
          <w:color w:val="000000"/>
          <w:position w:val="0"/>
          <w:sz w:val="24"/>
          <w:szCs w:val="24"/>
          <w:u w:val="none"/>
          <w:vertAlign w:val="baseline"/>
          <w:lang w:val="pt-BR"/>
        </w:rPr>
      </w:r>
    </w:p>
    <w:p>
      <w:pPr>
        <w:pStyle w:val="normal11"/>
        <w:spacing w:lineRule="auto" w:line="360"/>
        <w:ind w:hanging="0" w:left="0"/>
        <w:rPr/>
      </w:pPr>
      <w:r>
        <w:rPr>
          <w:rFonts w:ascii="Arial" w:hAnsi="Arial"/>
          <w:sz w:val="24"/>
          <w:szCs w:val="24"/>
          <w:lang w:val="pt-BR"/>
        </w:rPr>
        <w:t xml:space="preserve">O Instituto de Aposentadorias e Pensões de Campo Largo, inscrito no CNPJ nº 05.067.274/0001-11, com sede à Rua Gonçalves Dias, nº 870, Centro, Campo Largo – PR, torna público que realizará </w:t>
      </w:r>
      <w:r>
        <w:rPr>
          <w:rFonts w:ascii="Arial" w:hAnsi="Arial"/>
          <w:b/>
          <w:bCs/>
          <w:sz w:val="24"/>
          <w:szCs w:val="24"/>
          <w:lang w:val="pt-BR"/>
        </w:rPr>
        <w:t xml:space="preserve">Dispensa Eletrônica </w:t>
      </w:r>
      <w:r>
        <w:rPr>
          <w:rFonts w:ascii="Arial" w:hAnsi="Arial"/>
          <w:b/>
          <w:bCs/>
          <w:sz w:val="24"/>
          <w:szCs w:val="24"/>
          <w:shd w:fill="FFFFFF" w:val="clear"/>
          <w:lang w:val="pt-BR"/>
        </w:rPr>
        <w:t>com disputa</w:t>
      </w:r>
      <w:r>
        <w:rPr>
          <w:rFonts w:ascii="Arial" w:hAnsi="Arial"/>
          <w:sz w:val="24"/>
          <w:szCs w:val="24"/>
          <w:lang w:val="pt-BR"/>
        </w:rPr>
        <w:t xml:space="preserve">, sob o critério de julgamento de </w:t>
      </w:r>
      <w:r>
        <w:rPr>
          <w:rFonts w:ascii="Arial" w:hAnsi="Arial"/>
          <w:b/>
          <w:bCs/>
          <w:sz w:val="24"/>
          <w:szCs w:val="24"/>
          <w:lang w:val="pt-BR"/>
        </w:rPr>
        <w:t>menor preço global,</w:t>
      </w:r>
      <w:r>
        <w:rPr>
          <w:rFonts w:ascii="Arial" w:hAnsi="Arial"/>
          <w:sz w:val="24"/>
          <w:szCs w:val="24"/>
          <w:lang w:val="pt-BR"/>
        </w:rPr>
        <w:t xml:space="preserve"> nos termos do art. 75, inciso II, da Lei Federal nº 14.133/2021 e do Decreto Municipal nº 316/2023.</w:t>
      </w:r>
    </w:p>
    <w:p>
      <w:pPr>
        <w:pStyle w:val="normal11"/>
        <w:spacing w:lineRule="auto" w:line="360"/>
        <w:ind w:hanging="0" w:left="0"/>
        <w:rPr>
          <w:rFonts w:ascii="Arial" w:hAnsi="Arial"/>
          <w:sz w:val="24"/>
          <w:szCs w:val="24"/>
          <w:lang w:val="pt-BR"/>
        </w:rPr>
      </w:pPr>
      <w:r>
        <w:rPr>
          <w:rFonts w:ascii="Arial" w:hAnsi="Arial"/>
          <w:sz w:val="24"/>
          <w:szCs w:val="24"/>
          <w:lang w:val="pt-BR"/>
        </w:rPr>
      </w:r>
    </w:p>
    <w:p>
      <w:pPr>
        <w:pStyle w:val="Normal"/>
        <w:pBdr>
          <w:top w:val="double" w:sz="4" w:space="1" w:color="000000"/>
          <w:left w:val="double" w:sz="4" w:space="1" w:color="000000"/>
          <w:bottom w:val="double" w:sz="4" w:space="1" w:color="000000"/>
          <w:right w:val="double" w:sz="4" w:space="1" w:color="000000"/>
        </w:pBdr>
        <w:spacing w:lineRule="auto" w:line="360"/>
        <w:ind w:hanging="0" w:left="0"/>
        <w:rPr/>
      </w:pPr>
      <w:r>
        <w:rPr>
          <w:rStyle w:val="Strong"/>
          <w:rFonts w:cs="Arial" w:ascii="Arial" w:hAnsi="Arial"/>
          <w:color w:val="000000"/>
          <w:sz w:val="24"/>
          <w:szCs w:val="24"/>
          <w:shd w:fill="auto" w:val="clear"/>
        </w:rPr>
        <w:t>Data da Sessão Pública: 17 de Setembro</w:t>
      </w:r>
      <w:r>
        <w:rPr>
          <w:rStyle w:val="Strong"/>
          <w:rFonts w:cs="Arial" w:ascii="Arial" w:hAnsi="Arial"/>
          <w:b w:val="false"/>
          <w:bCs w:val="false"/>
          <w:color w:val="000000"/>
          <w:sz w:val="24"/>
          <w:szCs w:val="24"/>
          <w:shd w:fill="auto" w:val="clear"/>
        </w:rPr>
        <w:t xml:space="preserve"> de 2026.</w:t>
      </w:r>
    </w:p>
    <w:p>
      <w:pPr>
        <w:pStyle w:val="Normal"/>
        <w:pBdr>
          <w:top w:val="double" w:sz="4" w:space="1" w:color="000000"/>
          <w:left w:val="double" w:sz="4" w:space="1" w:color="000000"/>
          <w:bottom w:val="double" w:sz="4" w:space="1" w:color="000000"/>
          <w:right w:val="double" w:sz="4" w:space="1" w:color="000000"/>
        </w:pBdr>
        <w:spacing w:lineRule="auto" w:line="360"/>
        <w:ind w:hanging="0" w:left="0"/>
        <w:rPr/>
      </w:pPr>
      <w:r>
        <w:rPr>
          <w:rStyle w:val="Strong"/>
          <w:rFonts w:cs="Arial" w:ascii="Arial" w:hAnsi="Arial"/>
          <w:color w:val="000000"/>
          <w:sz w:val="24"/>
          <w:szCs w:val="24"/>
          <w:shd w:fill="auto" w:val="clear"/>
        </w:rPr>
        <w:t>Data da disputa: 17 de Setembro</w:t>
      </w:r>
      <w:r>
        <w:rPr>
          <w:rStyle w:val="Strong"/>
          <w:rFonts w:cs="Arial" w:ascii="Arial" w:hAnsi="Arial"/>
          <w:b w:val="false"/>
          <w:bCs w:val="false"/>
          <w:color w:val="000000"/>
          <w:sz w:val="24"/>
          <w:szCs w:val="24"/>
          <w:shd w:fill="auto" w:val="clear"/>
        </w:rPr>
        <w:t xml:space="preserve"> 2026, às 14h00.</w:t>
      </w:r>
    </w:p>
    <w:p>
      <w:pPr>
        <w:pStyle w:val="Normal"/>
        <w:pBdr>
          <w:top w:val="double" w:sz="4" w:space="1" w:color="000000"/>
          <w:left w:val="double" w:sz="4" w:space="1" w:color="000000"/>
          <w:bottom w:val="double" w:sz="4" w:space="1" w:color="000000"/>
          <w:right w:val="double" w:sz="4" w:space="1" w:color="000000"/>
        </w:pBdr>
        <w:spacing w:lineRule="auto" w:line="360"/>
        <w:ind w:hanging="0" w:left="0"/>
        <w:rPr/>
      </w:pPr>
      <w:r>
        <w:rPr>
          <w:rStyle w:val="Strong"/>
          <w:rFonts w:cs="Arial" w:ascii="Arial" w:hAnsi="Arial"/>
          <w:color w:val="000000"/>
          <w:sz w:val="24"/>
          <w:szCs w:val="24"/>
          <w:shd w:fill="auto" w:val="clear"/>
          <w:lang w:val="pt-BR"/>
        </w:rPr>
        <w:t xml:space="preserve">Link de Acesso: </w:t>
      </w:r>
      <w:hyperlink r:id="rId2">
        <w:r>
          <w:rPr>
            <w:rStyle w:val="Hyperlink"/>
            <w:rFonts w:cs="Arial" w:ascii="Arial" w:hAnsi="Arial"/>
            <w:b/>
            <w:bCs/>
            <w:color w:val="000000"/>
            <w:sz w:val="24"/>
            <w:szCs w:val="24"/>
            <w:shd w:fill="auto" w:val="clear"/>
            <w:lang w:val="pt-BR"/>
          </w:rPr>
          <w:t>https://bll.org.br</w:t>
        </w:r>
      </w:hyperlink>
    </w:p>
    <w:p>
      <w:pPr>
        <w:pStyle w:val="Normal"/>
        <w:pBdr>
          <w:top w:val="double" w:sz="4" w:space="1" w:color="000000"/>
          <w:left w:val="double" w:sz="4" w:space="1" w:color="000000"/>
          <w:bottom w:val="double" w:sz="4" w:space="1" w:color="000000"/>
          <w:right w:val="double" w:sz="4" w:space="1" w:color="000000"/>
        </w:pBdr>
        <w:spacing w:lineRule="auto" w:line="360"/>
        <w:ind w:hanging="0" w:left="0"/>
        <w:rPr/>
      </w:pPr>
      <w:r>
        <w:rPr>
          <w:rStyle w:val="Strong"/>
          <w:rFonts w:cs="Arial" w:ascii="Arial" w:hAnsi="Arial"/>
          <w:color w:val="000000"/>
          <w:sz w:val="24"/>
          <w:szCs w:val="24"/>
          <w:shd w:fill="auto" w:val="clear"/>
          <w:lang w:val="pt-BR"/>
        </w:rPr>
        <w:t>Apresentação das propostas:</w:t>
      </w:r>
      <w:r>
        <w:rPr>
          <w:rStyle w:val="Strong"/>
          <w:rFonts w:cs="Arial" w:ascii="Arial" w:hAnsi="Arial"/>
          <w:b w:val="false"/>
          <w:bCs w:val="false"/>
          <w:color w:val="000000"/>
          <w:sz w:val="24"/>
          <w:szCs w:val="24"/>
          <w:shd w:fill="auto" w:val="clear"/>
          <w:lang w:val="pt-BR"/>
        </w:rPr>
        <w:t xml:space="preserve"> de 14 de setembro de 2026, às 0</w:t>
      </w:r>
      <w:r>
        <w:rPr>
          <w:rStyle w:val="Strong"/>
          <w:rFonts w:cs="Arial" w:ascii="Arial" w:hAnsi="Arial"/>
          <w:b w:val="false"/>
          <w:bCs w:val="false"/>
          <w:color w:val="000000"/>
          <w:sz w:val="24"/>
          <w:szCs w:val="24"/>
          <w:shd w:fill="auto" w:val="clear"/>
          <w:lang w:val="pt-BR"/>
        </w:rPr>
        <w:t>9</w:t>
      </w:r>
      <w:r>
        <w:rPr>
          <w:rStyle w:val="Strong"/>
          <w:rFonts w:cs="Arial" w:ascii="Arial" w:hAnsi="Arial"/>
          <w:b w:val="false"/>
          <w:bCs w:val="false"/>
          <w:color w:val="000000"/>
          <w:sz w:val="24"/>
          <w:szCs w:val="24"/>
          <w:shd w:fill="auto" w:val="clear"/>
          <w:lang w:val="pt-BR"/>
        </w:rPr>
        <w:t>h00,</w:t>
      </w:r>
      <w:r>
        <w:rPr>
          <w:rStyle w:val="Strong"/>
          <w:rFonts w:cs="Arial" w:ascii="Arial" w:hAnsi="Arial"/>
          <w:b/>
          <w:bCs/>
          <w:color w:val="000000"/>
          <w:sz w:val="24"/>
          <w:szCs w:val="24"/>
          <w:shd w:fill="auto" w:val="clear"/>
          <w:lang w:val="pt-BR"/>
        </w:rPr>
        <w:t xml:space="preserve"> </w:t>
      </w:r>
      <w:r>
        <w:rPr>
          <w:rStyle w:val="Strong"/>
          <w:rFonts w:cs="Arial" w:ascii="Arial" w:hAnsi="Arial"/>
          <w:b w:val="false"/>
          <w:bCs w:val="false"/>
          <w:color w:val="000000"/>
          <w:sz w:val="24"/>
          <w:szCs w:val="24"/>
          <w:shd w:fill="auto" w:val="clear"/>
          <w:lang w:val="pt-BR"/>
        </w:rPr>
        <w:t>até 17 de setembro de 2026, às 13h00.</w:t>
      </w:r>
    </w:p>
    <w:p>
      <w:pPr>
        <w:pStyle w:val="normal11"/>
        <w:ind w:hanging="0" w:left="0"/>
        <w:rPr>
          <w:rFonts w:ascii="Arial" w:hAnsi="Arial"/>
          <w:sz w:val="24"/>
          <w:szCs w:val="24"/>
          <w:lang w:val="pt-BR"/>
        </w:rPr>
      </w:pPr>
      <w:r>
        <w:rPr>
          <w:rFonts w:ascii="Arial" w:hAnsi="Arial"/>
          <w:sz w:val="24"/>
          <w:szCs w:val="24"/>
          <w:lang w:val="pt-BR"/>
        </w:rPr>
      </w:r>
    </w:p>
    <w:p>
      <w:pPr>
        <w:pStyle w:val="normal11"/>
        <w:spacing w:lineRule="auto" w:line="360"/>
        <w:ind w:hanging="0"/>
        <w:rPr>
          <w:lang w:val="pt-BR"/>
        </w:rPr>
      </w:pPr>
      <w:r>
        <w:rPr>
          <w:rFonts w:eastAsia="Arial" w:cs="Arial" w:ascii="Arial" w:hAnsi="Arial"/>
          <w:b/>
          <w:bCs/>
          <w:color w:val="000000"/>
          <w:sz w:val="24"/>
          <w:szCs w:val="24"/>
          <w:shd w:fill="FFFFFF" w:val="clear"/>
          <w:lang w:val="pt-BR"/>
        </w:rPr>
        <w:t xml:space="preserve">1. DO OBJETO </w:t>
      </w:r>
    </w:p>
    <w:p>
      <w:pPr>
        <w:pStyle w:val="normal11"/>
        <w:spacing w:lineRule="auto" w:line="360"/>
        <w:ind w:hanging="0"/>
        <w:rPr>
          <w:lang w:val="pt-BR"/>
        </w:rPr>
      </w:pPr>
      <w:r>
        <w:rPr>
          <w:rFonts w:eastAsia="Arial" w:cs="Arial" w:ascii="Arial" w:hAnsi="Arial"/>
          <w:b/>
          <w:bCs/>
          <w:color w:val="000000"/>
          <w:shd w:fill="FFFFFF" w:val="clear"/>
          <w:lang w:val="pt-BR"/>
        </w:rPr>
        <w:t xml:space="preserve">1.1. </w:t>
      </w:r>
      <w:r>
        <w:rPr>
          <w:rFonts w:eastAsia="Arial" w:cs="Arial" w:ascii="Arial" w:hAnsi="Arial"/>
          <w:b w:val="false"/>
          <w:bCs w:val="false"/>
          <w:color w:val="000000"/>
          <w:shd w:fill="FFFFFF" w:val="clear"/>
          <w:lang w:val="pt-BR"/>
        </w:rPr>
        <w:t xml:space="preserve">A presente dispensa tem por objeto a </w:t>
      </w:r>
      <w:r>
        <w:rPr>
          <w:rFonts w:eastAsia="Arial" w:cs="Arial" w:ascii="Arial" w:hAnsi="Arial"/>
          <w:b w:val="false"/>
          <w:bCs w:val="false"/>
          <w:color w:val="000000"/>
          <w:sz w:val="24"/>
          <w:szCs w:val="24"/>
          <w:shd w:fill="FFFFFF" w:val="clear"/>
          <w:lang w:val="pt-BR"/>
        </w:rPr>
        <w:t>Contratação de licenças de software de antivírus, por dispositivo, destinadas à proteção dos computadores e demais dispositivos de informática do Instituto de Aposentadorias e Pensões de Campo Largo – FAPEN, pelo período de 24 (vinte e quatro) meses, contados a partir da data de ativação da primeira licença.</w:t>
      </w:r>
    </w:p>
    <w:p>
      <w:pPr>
        <w:pStyle w:val="normal11"/>
        <w:spacing w:lineRule="auto" w:line="360"/>
        <w:ind w:hanging="0"/>
        <w:rPr>
          <w:lang w:val="pt-BR"/>
        </w:rPr>
      </w:pPr>
      <w:r>
        <w:rPr>
          <w:rFonts w:eastAsia="Arial" w:cs="Arial" w:ascii="Arial" w:hAnsi="Arial"/>
          <w:b w:val="false"/>
          <w:bCs w:val="false"/>
          <w:color w:val="000000"/>
          <w:sz w:val="24"/>
          <w:szCs w:val="24"/>
          <w:shd w:fill="FFFFFF" w:val="clear"/>
          <w:lang w:val="pt-BR"/>
        </w:rPr>
        <w:t>A contratação compreende o fornecimento das licenças de antivírus, atualizações durante todo o período de vigência, suporte técnico e demais recursos necessários ao adequado funcionamento da solução de proteção.</w:t>
      </w:r>
    </w:p>
    <w:p>
      <w:pPr>
        <w:pStyle w:val="normal11"/>
        <w:spacing w:lineRule="auto" w:line="360"/>
        <w:ind w:hanging="0"/>
        <w:rPr>
          <w:rFonts w:ascii="Arial" w:hAnsi="Arial"/>
          <w:color w:val="000000"/>
          <w:lang w:val="pt-BR"/>
        </w:rPr>
      </w:pPr>
      <w:r>
        <w:rPr>
          <w:rFonts w:ascii="Arial" w:hAnsi="Arial"/>
          <w:color w:val="000000"/>
          <w:lang w:val="pt-BR"/>
        </w:rPr>
      </w:r>
    </w:p>
    <w:p>
      <w:pPr>
        <w:pStyle w:val="normal11"/>
        <w:spacing w:lineRule="auto" w:line="360"/>
        <w:ind w:hanging="0"/>
        <w:rPr>
          <w:lang w:val="pt-BR"/>
        </w:rPr>
      </w:pPr>
      <w:r>
        <w:rPr>
          <w:rFonts w:ascii="Arial" w:hAnsi="Arial"/>
          <w:b/>
          <w:bCs/>
          <w:color w:val="000000"/>
          <w:lang w:val="pt-BR"/>
        </w:rPr>
        <w:t>2 JUSTIFICATIVA E FUNDAMENTAÇÃO LEGAL</w:t>
      </w:r>
    </w:p>
    <w:p>
      <w:pPr>
        <w:pStyle w:val="Normal"/>
        <w:spacing w:lineRule="auto" w:line="360"/>
        <w:ind w:hanging="0" w:left="0"/>
        <w:jc w:val="both"/>
        <w:rPr>
          <w:rFonts w:ascii="Arial" w:hAnsi="Arial"/>
          <w:sz w:val="24"/>
          <w:szCs w:val="24"/>
        </w:rPr>
      </w:pPr>
      <w:r>
        <w:rPr>
          <w:rFonts w:ascii="Arial" w:hAnsi="Arial"/>
          <w:b/>
          <w:bCs/>
          <w:sz w:val="24"/>
          <w:szCs w:val="24"/>
        </w:rPr>
        <w:t>2.1</w:t>
      </w:r>
      <w:r>
        <w:rPr>
          <w:rFonts w:ascii="Arial" w:hAnsi="Arial"/>
          <w:sz w:val="24"/>
          <w:szCs w:val="24"/>
        </w:rPr>
        <w:t>. A contratação justifica-se pela necessidade de assegurar a proteção dos computadores e demais dispositivos de informática utilizados pelo Instituto de Aposentadorias e Pensões de Campo Largo – FAPEN contra vírus, malwares e outras ameaças digitais que possam comprometer a segurança das informações, o funcionamento dos equipamentos e a continuidade das atividades administrativas.</w:t>
      </w:r>
    </w:p>
    <w:p>
      <w:pPr>
        <w:pStyle w:val="Normal"/>
        <w:spacing w:lineRule="auto" w:line="360"/>
        <w:ind w:hanging="0" w:left="0"/>
        <w:jc w:val="both"/>
        <w:rPr>
          <w:rFonts w:ascii="Arial" w:hAnsi="Arial"/>
          <w:sz w:val="24"/>
          <w:szCs w:val="24"/>
        </w:rPr>
      </w:pPr>
      <w:r>
        <w:rPr>
          <w:rFonts w:ascii="Arial" w:hAnsi="Arial"/>
          <w:b/>
          <w:bCs/>
          <w:sz w:val="24"/>
          <w:szCs w:val="24"/>
        </w:rPr>
        <w:t>2.2.</w:t>
      </w:r>
      <w:r>
        <w:rPr>
          <w:rFonts w:ascii="Arial" w:hAnsi="Arial"/>
          <w:sz w:val="24"/>
          <w:szCs w:val="24"/>
        </w:rPr>
        <w:t xml:space="preserve"> Os equipamentos utilizados pelo Instituto armazenam e processam informações necessárias à execução de suas atividades administrativas e previdenciárias, tornando necessária a adoção de mecanismos de proteção contra ameaças virtuais.</w:t>
      </w:r>
    </w:p>
    <w:p>
      <w:pPr>
        <w:pStyle w:val="Normal"/>
        <w:spacing w:lineRule="auto" w:line="360"/>
        <w:ind w:hanging="0" w:left="0"/>
        <w:jc w:val="both"/>
        <w:rPr>
          <w:rFonts w:ascii="Arial" w:hAnsi="Arial"/>
          <w:sz w:val="24"/>
          <w:szCs w:val="24"/>
        </w:rPr>
      </w:pPr>
      <w:r>
        <w:rPr>
          <w:rFonts w:ascii="Arial" w:hAnsi="Arial"/>
          <w:b/>
          <w:bCs/>
          <w:sz w:val="24"/>
          <w:szCs w:val="24"/>
        </w:rPr>
        <w:t>2.3.</w:t>
      </w:r>
      <w:r>
        <w:rPr>
          <w:rFonts w:ascii="Arial" w:hAnsi="Arial"/>
          <w:sz w:val="24"/>
          <w:szCs w:val="24"/>
        </w:rPr>
        <w:t xml:space="preserve"> A utilização de software antivírus atualizado possibilita a identificação, bloqueio e remoção de códigos maliciosos, contribuindo para a prevenção a ameças virtuais e cibernéticas, perda ou comprometimento de dados, indisponibilidade dos equipamentos e interrupção dos serviços.</w:t>
      </w:r>
    </w:p>
    <w:p>
      <w:pPr>
        <w:pStyle w:val="Normal"/>
        <w:spacing w:lineRule="auto" w:line="360"/>
        <w:ind w:hanging="0" w:left="0"/>
        <w:jc w:val="both"/>
        <w:rPr>
          <w:rFonts w:ascii="Arial" w:hAnsi="Arial"/>
          <w:sz w:val="24"/>
          <w:szCs w:val="24"/>
        </w:rPr>
      </w:pPr>
      <w:r>
        <w:rPr>
          <w:rFonts w:ascii="Arial" w:hAnsi="Arial"/>
          <w:b/>
          <w:bCs/>
          <w:sz w:val="24"/>
          <w:szCs w:val="24"/>
          <w:lang w:val="pt-BR"/>
        </w:rPr>
        <w:t>2.4.</w:t>
      </w:r>
      <w:r>
        <w:rPr>
          <w:rFonts w:ascii="Arial" w:hAnsi="Arial"/>
          <w:sz w:val="24"/>
          <w:szCs w:val="24"/>
          <w:lang w:val="pt-BR"/>
        </w:rPr>
        <w:t xml:space="preserve"> A contratação pelo período de 24 (vinte e quatro) meses busca garantir a continuidade da proteção dos equipamentos, evitando a interrupção das licenças e reduzindo a necessidade de realização de nova contratação em curto período.</w:t>
      </w:r>
    </w:p>
    <w:p>
      <w:pPr>
        <w:pStyle w:val="normal11"/>
        <w:spacing w:lineRule="auto" w:line="360"/>
        <w:ind w:hanging="0" w:right="0"/>
        <w:jc w:val="both"/>
        <w:rPr>
          <w:lang w:val="pt-BR"/>
        </w:rPr>
      </w:pPr>
      <w:r>
        <w:rPr>
          <w:lang w:val="pt-BR"/>
        </w:rPr>
      </w:r>
    </w:p>
    <w:p>
      <w:pPr>
        <w:pStyle w:val="Normal"/>
        <w:spacing w:lineRule="auto" w:line="360"/>
        <w:ind w:hanging="0" w:left="0"/>
        <w:jc w:val="both"/>
        <w:rPr>
          <w:rFonts w:ascii="Arial" w:hAnsi="Arial"/>
          <w:b/>
          <w:bCs/>
          <w:sz w:val="24"/>
          <w:szCs w:val="24"/>
          <w:lang w:val="pt-BR"/>
        </w:rPr>
      </w:pPr>
      <w:r>
        <w:rPr>
          <w:rFonts w:ascii="Arial" w:hAnsi="Arial"/>
          <w:b/>
          <w:bCs/>
          <w:sz w:val="24"/>
          <w:szCs w:val="24"/>
          <w:lang w:val="pt-BR"/>
        </w:rPr>
        <w:t>3. DESCRIÇÃO DO OBJETO E ESTIMATIVA DO VALOR DA CONTRATAÇÃO</w:t>
      </w:r>
    </w:p>
    <w:p>
      <w:pPr>
        <w:pStyle w:val="Normal"/>
        <w:spacing w:lineRule="auto" w:line="360"/>
        <w:ind w:hanging="0" w:left="0"/>
        <w:jc w:val="both"/>
        <w:rPr>
          <w:rFonts w:ascii="Arial" w:hAnsi="Arial"/>
          <w:sz w:val="24"/>
          <w:szCs w:val="24"/>
          <w:lang w:val="pt-BR"/>
        </w:rPr>
      </w:pPr>
      <w:r>
        <w:rPr>
          <w:rFonts w:ascii="Arial" w:hAnsi="Arial"/>
          <w:b/>
          <w:bCs/>
          <w:sz w:val="24"/>
          <w:szCs w:val="24"/>
          <w:lang w:val="pt-BR"/>
        </w:rPr>
        <w:t xml:space="preserve">3.1 </w:t>
      </w:r>
      <w:r>
        <w:rPr>
          <w:rFonts w:ascii="Arial" w:hAnsi="Arial"/>
          <w:sz w:val="24"/>
          <w:szCs w:val="24"/>
          <w:lang w:val="pt-BR"/>
        </w:rPr>
        <w:t xml:space="preserve">A prestação dos serviços solicitados, enquadra-se como </w:t>
      </w:r>
      <w:r>
        <w:rPr>
          <w:rFonts w:ascii="Arial" w:hAnsi="Arial"/>
          <w:b/>
          <w:bCs/>
          <w:sz w:val="24"/>
          <w:szCs w:val="24"/>
          <w:lang w:val="pt-BR"/>
        </w:rPr>
        <w:t>bens e serviços</w:t>
      </w:r>
      <w:r>
        <w:rPr>
          <w:rFonts w:ascii="Arial" w:hAnsi="Arial"/>
          <w:sz w:val="24"/>
          <w:szCs w:val="24"/>
          <w:lang w:val="pt-BR"/>
        </w:rPr>
        <w:t xml:space="preserve"> </w:t>
      </w:r>
      <w:r>
        <w:rPr>
          <w:rFonts w:ascii="Arial" w:hAnsi="Arial"/>
          <w:b/>
          <w:bCs/>
          <w:sz w:val="24"/>
          <w:szCs w:val="24"/>
          <w:lang w:val="pt-BR"/>
        </w:rPr>
        <w:t>comuns</w:t>
      </w:r>
      <w:r>
        <w:rPr>
          <w:rFonts w:ascii="Arial" w:hAnsi="Arial"/>
          <w:sz w:val="24"/>
          <w:szCs w:val="24"/>
          <w:lang w:val="pt-BR"/>
        </w:rPr>
        <w:t xml:space="preserve"> conforme descrito no art. 6.</w:t>
      </w:r>
      <w:r>
        <w:rPr>
          <w:rFonts w:ascii="Arial" w:hAnsi="Arial"/>
          <w:sz w:val="24"/>
          <w:szCs w:val="24"/>
          <w:vertAlign w:val="superscript"/>
          <w:lang w:val="pt-BR"/>
        </w:rPr>
        <w:t>o</w:t>
      </w:r>
      <w:r>
        <w:rPr>
          <w:rFonts w:ascii="Arial" w:hAnsi="Arial"/>
          <w:position w:val="0"/>
          <w:sz w:val="24"/>
          <w:szCs w:val="24"/>
          <w:vertAlign w:val="baseline"/>
          <w:lang w:val="pt-BR"/>
        </w:rPr>
        <w:t>, inciso XIII da Lei Federal n</w:t>
      </w:r>
      <w:r>
        <w:rPr>
          <w:rFonts w:ascii="Arial" w:hAnsi="Arial"/>
          <w:sz w:val="24"/>
          <w:szCs w:val="24"/>
          <w:vertAlign w:val="superscript"/>
          <w:lang w:val="pt-BR"/>
        </w:rPr>
        <w:t>o</w:t>
      </w:r>
      <w:r>
        <w:rPr>
          <w:rFonts w:ascii="Arial" w:hAnsi="Arial"/>
          <w:position w:val="0"/>
          <w:sz w:val="24"/>
          <w:szCs w:val="24"/>
          <w:vertAlign w:val="baseline"/>
          <w:lang w:val="pt-BR"/>
        </w:rPr>
        <w:t xml:space="preserve"> 14.133 /2021 sendo possível o enquadramento na </w:t>
      </w:r>
      <w:r>
        <w:rPr>
          <w:rFonts w:ascii="Arial" w:hAnsi="Arial"/>
          <w:b/>
          <w:bCs/>
          <w:position w:val="0"/>
          <w:sz w:val="24"/>
          <w:szCs w:val="24"/>
          <w:vertAlign w:val="baseline"/>
          <w:lang w:val="pt-BR"/>
        </w:rPr>
        <w:t>modalidade dispensa de licitação</w:t>
      </w:r>
      <w:r>
        <w:rPr>
          <w:rFonts w:ascii="Arial" w:hAnsi="Arial"/>
          <w:position w:val="0"/>
          <w:sz w:val="24"/>
          <w:szCs w:val="24"/>
          <w:vertAlign w:val="baseline"/>
          <w:lang w:val="pt-BR"/>
        </w:rPr>
        <w:t xml:space="preserve"> (art. 75, inciso II da  Lei Federal n</w:t>
      </w:r>
      <w:r>
        <w:rPr>
          <w:rFonts w:ascii="Arial" w:hAnsi="Arial"/>
          <w:sz w:val="24"/>
          <w:szCs w:val="24"/>
          <w:vertAlign w:val="superscript"/>
          <w:lang w:val="pt-BR"/>
        </w:rPr>
        <w:t>o</w:t>
      </w:r>
      <w:r>
        <w:rPr>
          <w:rFonts w:ascii="Arial" w:hAnsi="Arial"/>
          <w:position w:val="0"/>
          <w:sz w:val="24"/>
          <w:szCs w:val="24"/>
          <w:vertAlign w:val="baseline"/>
          <w:lang w:val="pt-BR"/>
        </w:rPr>
        <w:t xml:space="preserve"> 14.133 /2021).</w:t>
      </w:r>
    </w:p>
    <w:p>
      <w:pPr>
        <w:pStyle w:val="Normal"/>
        <w:spacing w:lineRule="auto" w:line="360"/>
        <w:ind w:hanging="0" w:left="0"/>
        <w:jc w:val="both"/>
        <w:rPr>
          <w:rFonts w:ascii="Arial" w:hAnsi="Arial"/>
          <w:sz w:val="24"/>
          <w:szCs w:val="24"/>
          <w:lang w:val="pt-BR"/>
        </w:rPr>
      </w:pPr>
      <w:r>
        <w:rPr>
          <w:rFonts w:ascii="Arial" w:hAnsi="Arial"/>
          <w:b/>
          <w:bCs/>
          <w:sz w:val="24"/>
          <w:szCs w:val="24"/>
          <w:lang w:val="pt-BR"/>
        </w:rPr>
        <w:t>3.2</w:t>
      </w:r>
      <w:r>
        <w:rPr>
          <w:rFonts w:ascii="Arial" w:hAnsi="Arial"/>
          <w:sz w:val="24"/>
          <w:szCs w:val="24"/>
          <w:lang w:val="pt-BR"/>
        </w:rPr>
        <w:t xml:space="preserve"> A estimativa do valor foi realizada mediante pesquisa de preços realizada no Portal Nacional de Contratações Públicas (PNCP) e pesquisa direta a fornecedores (e-mail e whatsapp). </w:t>
      </w:r>
    </w:p>
    <w:p>
      <w:pPr>
        <w:pStyle w:val="normal11"/>
        <w:spacing w:lineRule="auto" w:line="360"/>
        <w:ind w:hanging="0" w:right="0"/>
        <w:jc w:val="both"/>
        <w:rPr>
          <w:rFonts w:ascii="Arial" w:hAnsi="Arial"/>
          <w:sz w:val="24"/>
          <w:szCs w:val="24"/>
          <w:lang w:val="pt-BR"/>
        </w:rPr>
      </w:pPr>
      <w:r>
        <w:rPr>
          <w:rFonts w:ascii="Arial" w:hAnsi="Arial"/>
          <w:b/>
          <w:bCs/>
          <w:sz w:val="24"/>
          <w:szCs w:val="24"/>
          <w:lang w:val="pt-BR"/>
        </w:rPr>
        <w:t>3.3</w:t>
      </w:r>
      <w:r>
        <w:rPr>
          <w:rFonts w:ascii="Arial" w:hAnsi="Arial"/>
          <w:sz w:val="24"/>
          <w:szCs w:val="24"/>
          <w:lang w:val="pt-BR"/>
        </w:rPr>
        <w:t xml:space="preserve"> Para fins de comparabilidade e isonomia entre propostas apresentadas foram calculadas as médias, medianas, desvio padrão e coeficiente de variação conforme as considerações abaixo, contidas nos manuais do TCU e STJ. </w:t>
      </w:r>
    </w:p>
    <w:p>
      <w:pPr>
        <w:pStyle w:val="Normal"/>
        <w:numPr>
          <w:ilvl w:val="0"/>
          <w:numId w:val="1"/>
        </w:numPr>
        <w:spacing w:lineRule="auto" w:line="360"/>
        <w:jc w:val="both"/>
        <w:rPr>
          <w:rFonts w:ascii="Arial" w:hAnsi="Arial"/>
          <w:sz w:val="24"/>
          <w:szCs w:val="24"/>
          <w:lang w:val="pt-BR"/>
        </w:rPr>
      </w:pPr>
      <w:r>
        <w:rPr>
          <w:rFonts w:ascii="Arial" w:hAnsi="Arial"/>
          <w:b/>
          <w:bCs/>
          <w:sz w:val="24"/>
          <w:szCs w:val="24"/>
          <w:u w:val="single"/>
          <w:lang w:val="pt-BR"/>
        </w:rPr>
        <w:t>CV até 25%:</w:t>
      </w:r>
      <w:r>
        <w:rPr>
          <w:rFonts w:ascii="Arial" w:hAnsi="Arial"/>
          <w:sz w:val="24"/>
          <w:szCs w:val="24"/>
          <w:lang w:val="pt-BR"/>
        </w:rPr>
        <w:t xml:space="preserve"> A dispersão é considerada baixa, indicando que os preços são homogêneos e confiáveis. Recomenda-se usar a </w:t>
      </w:r>
      <w:r>
        <w:rPr>
          <w:rFonts w:ascii="Arial" w:hAnsi="Arial"/>
          <w:b/>
          <w:bCs/>
          <w:sz w:val="24"/>
          <w:szCs w:val="24"/>
          <w:lang w:val="pt-BR"/>
        </w:rPr>
        <w:t>média aritmética simples</w:t>
      </w:r>
      <w:r>
        <w:rPr>
          <w:rFonts w:ascii="Arial" w:hAnsi="Arial"/>
          <w:sz w:val="24"/>
          <w:szCs w:val="24"/>
          <w:lang w:val="pt-BR"/>
        </w:rPr>
        <w:t>.</w:t>
      </w:r>
    </w:p>
    <w:p>
      <w:pPr>
        <w:pStyle w:val="Normal"/>
        <w:numPr>
          <w:ilvl w:val="0"/>
          <w:numId w:val="1"/>
        </w:numPr>
        <w:spacing w:lineRule="auto" w:line="360"/>
        <w:jc w:val="both"/>
        <w:rPr>
          <w:rFonts w:ascii="Arial" w:hAnsi="Arial"/>
          <w:sz w:val="24"/>
          <w:szCs w:val="24"/>
          <w:lang w:val="pt-BR"/>
        </w:rPr>
      </w:pPr>
      <w:r>
        <w:rPr>
          <w:rFonts w:ascii="Arial" w:hAnsi="Arial"/>
          <w:b/>
          <w:bCs/>
          <w:sz w:val="24"/>
          <w:szCs w:val="24"/>
          <w:u w:val="single"/>
          <w:lang w:val="pt-BR"/>
        </w:rPr>
        <w:t xml:space="preserve">CV acima de 25%: </w:t>
      </w:r>
      <w:r>
        <w:rPr>
          <w:rFonts w:ascii="Arial" w:hAnsi="Arial"/>
          <w:sz w:val="24"/>
          <w:szCs w:val="24"/>
          <w:lang w:val="pt-BR"/>
        </w:rPr>
        <w:t xml:space="preserve">A dispersão é alta, indicando que há discrepância nos dados. Nesses casos, recomenda-se a </w:t>
      </w:r>
      <w:r>
        <w:rPr>
          <w:rFonts w:ascii="Arial" w:hAnsi="Arial"/>
          <w:b/>
          <w:bCs/>
          <w:sz w:val="24"/>
          <w:szCs w:val="24"/>
          <w:lang w:val="pt-BR"/>
        </w:rPr>
        <w:t>mediana</w:t>
      </w:r>
      <w:r>
        <w:rPr>
          <w:rFonts w:ascii="Arial" w:hAnsi="Arial"/>
          <w:sz w:val="24"/>
          <w:szCs w:val="24"/>
          <w:lang w:val="pt-BR"/>
        </w:rPr>
        <w:t xml:space="preserve"> como medida de tendência central, pois ela é menos afetada por valores extremos. </w:t>
      </w:r>
    </w:p>
    <w:p>
      <w:pPr>
        <w:pStyle w:val="Normal"/>
        <w:spacing w:lineRule="auto" w:line="360"/>
        <w:ind w:hanging="0" w:left="0"/>
        <w:rPr>
          <w:b w:val="false"/>
          <w:bCs w:val="false"/>
        </w:rPr>
      </w:pPr>
      <w:r>
        <w:rPr>
          <w:rFonts w:ascii="Arial" w:hAnsi="Arial"/>
          <w:b/>
          <w:bCs/>
          <w:sz w:val="24"/>
          <w:szCs w:val="24"/>
          <w:shd w:fill="FFFFFF" w:val="clear"/>
          <w:lang w:val="pt-BR"/>
        </w:rPr>
        <w:t xml:space="preserve">3.4 </w:t>
      </w:r>
      <w:r>
        <w:rPr>
          <w:rFonts w:ascii="Arial" w:hAnsi="Arial"/>
          <w:b w:val="false"/>
          <w:bCs w:val="false"/>
          <w:shd w:fill="FFFFFF" w:val="clear"/>
          <w:lang w:val="pt-BR"/>
        </w:rPr>
        <w:t>Considerando o coeficiente de variação (21,86%) apurado na pesquisa mercadológica , adotou-se a média aritmética simples como referência para a estimativa do valor.</w:t>
      </w:r>
    </w:p>
    <w:p>
      <w:pPr>
        <w:pStyle w:val="normal11"/>
        <w:spacing w:lineRule="auto" w:line="360"/>
        <w:ind w:hanging="0" w:right="0"/>
        <w:jc w:val="both"/>
        <w:rPr>
          <w:rFonts w:ascii="Arial" w:hAnsi="Arial"/>
          <w:sz w:val="24"/>
          <w:szCs w:val="24"/>
          <w:shd w:fill="FFFF00" w:val="clear"/>
          <w:lang w:val="pt-BR"/>
        </w:rPr>
      </w:pPr>
      <w:r>
        <w:rPr>
          <w:rFonts w:ascii="Arial" w:hAnsi="Arial"/>
          <w:b/>
          <w:bCs/>
          <w:lang w:val="pt-BR"/>
        </w:rPr>
        <w:t>3.5</w:t>
      </w:r>
      <w:r>
        <w:rPr>
          <w:rFonts w:ascii="Arial" w:hAnsi="Arial"/>
          <w:lang w:val="pt-BR"/>
        </w:rPr>
        <w:t xml:space="preserve"> A contratação compreende os seguintes quantitativos e parâmetros, conforme detalhado na tabela abaixo:</w:t>
      </w:r>
    </w:p>
    <w:p>
      <w:pPr>
        <w:pStyle w:val="normal11"/>
        <w:spacing w:lineRule="auto" w:line="360"/>
        <w:ind w:hanging="0" w:right="0"/>
        <w:jc w:val="both"/>
        <w:rPr>
          <w:rFonts w:ascii="Arial" w:hAnsi="Arial"/>
          <w:sz w:val="24"/>
          <w:szCs w:val="24"/>
          <w:shd w:fill="FFFF00" w:val="clear"/>
          <w:lang w:val="pt-BR"/>
        </w:rPr>
      </w:pPr>
      <w:r>
        <w:rPr>
          <w:rFonts w:ascii="Arial" w:hAnsi="Arial"/>
          <w:sz w:val="24"/>
          <w:szCs w:val="24"/>
          <w:shd w:fill="FFFF00" w:val="clear"/>
          <w:lang w:val="pt-BR"/>
        </w:rPr>
      </w:r>
    </w:p>
    <w:p>
      <w:pPr>
        <w:pStyle w:val="normal11"/>
        <w:spacing w:lineRule="auto" w:line="360"/>
        <w:ind w:hanging="0" w:right="0"/>
        <w:jc w:val="both"/>
        <w:rPr>
          <w:rFonts w:ascii="Arial" w:hAnsi="Arial"/>
          <w:sz w:val="24"/>
          <w:szCs w:val="24"/>
          <w:shd w:fill="FFFF00" w:val="clear"/>
          <w:lang w:val="pt-BR"/>
        </w:rPr>
      </w:pPr>
      <w:r>
        <w:rPr>
          <w:rFonts w:ascii="Arial" w:hAnsi="Arial"/>
          <w:sz w:val="24"/>
          <w:szCs w:val="24"/>
          <w:shd w:fill="FFFF00" w:val="clear"/>
          <w:lang w:val="pt-BR"/>
        </w:rPr>
      </w:r>
    </w:p>
    <w:p>
      <w:pPr>
        <w:pStyle w:val="normal11"/>
        <w:spacing w:lineRule="auto" w:line="360"/>
        <w:ind w:hanging="0" w:right="0"/>
        <w:jc w:val="both"/>
        <w:rPr>
          <w:rFonts w:ascii="Arial" w:hAnsi="Arial"/>
          <w:b/>
          <w:bCs/>
          <w:lang w:val="pt-BR"/>
        </w:rPr>
      </w:pPr>
      <w:r>
        <w:rPr>
          <w:rFonts w:ascii="Arial" w:hAnsi="Arial"/>
          <w:b/>
          <w:bCs/>
          <w:lang w:val="pt-BR"/>
        </w:rPr>
        <w:t>Tabela 01: Descrição dos Serviços, quantidade e periodicidade.</w:t>
      </w:r>
    </w:p>
    <w:tbl>
      <w:tblPr>
        <w:tblW w:w="9720" w:type="dxa"/>
        <w:jc w:val="left"/>
        <w:tblInd w:w="28" w:type="dxa"/>
        <w:tblLayout w:type="fixed"/>
        <w:tblCellMar>
          <w:top w:w="28" w:type="dxa"/>
          <w:left w:w="28" w:type="dxa"/>
          <w:bottom w:w="28" w:type="dxa"/>
          <w:right w:w="28" w:type="dxa"/>
        </w:tblCellMar>
      </w:tblPr>
      <w:tblGrid>
        <w:gridCol w:w="659"/>
        <w:gridCol w:w="4786"/>
        <w:gridCol w:w="1110"/>
        <w:gridCol w:w="1350"/>
        <w:gridCol w:w="1815"/>
      </w:tblGrid>
      <w:tr>
        <w:trPr/>
        <w:tc>
          <w:tcPr>
            <w:tcW w:w="9720" w:type="dxa"/>
            <w:gridSpan w:val="5"/>
            <w:tcBorders>
              <w:top w:val="single" w:sz="2" w:space="0" w:color="000000"/>
              <w:left w:val="single" w:sz="2" w:space="0" w:color="000000"/>
              <w:bottom w:val="single" w:sz="2" w:space="0" w:color="000000"/>
              <w:right w:val="single" w:sz="2" w:space="0" w:color="000000"/>
            </w:tcBorders>
            <w:shd w:fill="CCCCCC" w:val="clear"/>
            <w:vAlign w:val="center"/>
          </w:tcPr>
          <w:p>
            <w:pPr>
              <w:pStyle w:val="Normal"/>
              <w:jc w:val="left"/>
              <w:rPr>
                <w:rFonts w:ascii="Arial" w:hAnsi="Arial"/>
                <w:b/>
                <w:bCs/>
              </w:rPr>
            </w:pPr>
            <w:r>
              <w:rPr>
                <w:rFonts w:ascii="Arial" w:hAnsi="Arial"/>
                <w:b/>
                <w:bCs/>
              </w:rPr>
              <w:t xml:space="preserve">            </w:t>
            </w:r>
            <w:r>
              <w:rPr>
                <w:rFonts w:ascii="Arial" w:hAnsi="Arial"/>
                <w:b/>
                <w:bCs/>
              </w:rPr>
              <w:t>LOTE ÚNICO</w:t>
            </w:r>
          </w:p>
        </w:tc>
      </w:tr>
      <w:tr>
        <w:trPr/>
        <w:tc>
          <w:tcPr>
            <w:tcW w:w="659" w:type="dxa"/>
            <w:tcBorders>
              <w:top w:val="single" w:sz="2" w:space="0" w:color="000000"/>
              <w:left w:val="single" w:sz="2" w:space="0" w:color="000000"/>
              <w:bottom w:val="single" w:sz="2" w:space="0" w:color="000000"/>
              <w:right w:val="single" w:sz="2" w:space="0" w:color="000000"/>
            </w:tcBorders>
            <w:vAlign w:val="center"/>
          </w:tcPr>
          <w:p>
            <w:pPr>
              <w:pStyle w:val="Normal"/>
              <w:spacing w:lineRule="auto" w:line="360"/>
              <w:ind w:hanging="0" w:left="0"/>
              <w:jc w:val="center"/>
              <w:rPr>
                <w:rFonts w:ascii="Arial" w:hAnsi="Arial"/>
                <w:b/>
                <w:bCs/>
                <w:sz w:val="24"/>
                <w:szCs w:val="24"/>
              </w:rPr>
            </w:pPr>
            <w:r>
              <w:rPr>
                <w:rFonts w:ascii="Arial" w:hAnsi="Arial"/>
                <w:b/>
                <w:bCs/>
                <w:sz w:val="24"/>
                <w:szCs w:val="24"/>
              </w:rPr>
              <w:t>Item</w:t>
            </w:r>
          </w:p>
        </w:tc>
        <w:tc>
          <w:tcPr>
            <w:tcW w:w="4786" w:type="dxa"/>
            <w:tcBorders>
              <w:top w:val="single" w:sz="2" w:space="0" w:color="000000"/>
              <w:left w:val="single" w:sz="2" w:space="0" w:color="000000"/>
              <w:bottom w:val="single" w:sz="2" w:space="0" w:color="000000"/>
              <w:right w:val="single" w:sz="2" w:space="0" w:color="000000"/>
            </w:tcBorders>
            <w:vAlign w:val="center"/>
          </w:tcPr>
          <w:p>
            <w:pPr>
              <w:pStyle w:val="Normal"/>
              <w:spacing w:lineRule="auto" w:line="360"/>
              <w:ind w:hanging="0" w:left="0"/>
              <w:jc w:val="center"/>
              <w:rPr>
                <w:rFonts w:ascii="Arial" w:hAnsi="Arial"/>
                <w:b/>
                <w:bCs/>
                <w:sz w:val="24"/>
                <w:szCs w:val="24"/>
              </w:rPr>
            </w:pPr>
            <w:r>
              <w:rPr>
                <w:rFonts w:ascii="Arial" w:hAnsi="Arial"/>
                <w:b/>
                <w:bCs/>
                <w:sz w:val="24"/>
                <w:szCs w:val="24"/>
              </w:rPr>
              <w:t>Descrição</w:t>
            </w:r>
          </w:p>
        </w:tc>
        <w:tc>
          <w:tcPr>
            <w:tcW w:w="1110" w:type="dxa"/>
            <w:tcBorders>
              <w:top w:val="single" w:sz="2" w:space="0" w:color="000000"/>
              <w:left w:val="single" w:sz="2" w:space="0" w:color="000000"/>
              <w:bottom w:val="single" w:sz="2" w:space="0" w:color="000000"/>
              <w:right w:val="single" w:sz="2" w:space="0" w:color="000000"/>
            </w:tcBorders>
            <w:vAlign w:val="center"/>
          </w:tcPr>
          <w:p>
            <w:pPr>
              <w:pStyle w:val="Normal"/>
              <w:spacing w:lineRule="auto" w:line="360"/>
              <w:ind w:hanging="0" w:left="0"/>
              <w:jc w:val="center"/>
              <w:rPr>
                <w:rFonts w:ascii="Arial" w:hAnsi="Arial"/>
                <w:b/>
                <w:bCs/>
                <w:sz w:val="24"/>
                <w:szCs w:val="24"/>
              </w:rPr>
            </w:pPr>
            <w:r>
              <w:rPr>
                <w:rFonts w:ascii="Arial" w:hAnsi="Arial"/>
                <w:b/>
                <w:bCs/>
                <w:sz w:val="24"/>
                <w:szCs w:val="24"/>
              </w:rPr>
              <w:t>Qtde</w:t>
            </w:r>
          </w:p>
          <w:p>
            <w:pPr>
              <w:pStyle w:val="Normal"/>
              <w:spacing w:lineRule="auto" w:line="360"/>
              <w:ind w:hanging="0" w:left="0"/>
              <w:jc w:val="center"/>
              <w:rPr>
                <w:rFonts w:ascii="Arial" w:hAnsi="Arial"/>
                <w:b/>
                <w:bCs/>
                <w:sz w:val="24"/>
                <w:szCs w:val="24"/>
              </w:rPr>
            </w:pPr>
            <w:r>
              <w:rPr>
                <w:rFonts w:ascii="Arial" w:hAnsi="Arial"/>
                <w:b/>
                <w:bCs/>
                <w:sz w:val="24"/>
                <w:szCs w:val="24"/>
              </w:rPr>
              <w:t>(und)</w:t>
            </w:r>
          </w:p>
        </w:tc>
        <w:tc>
          <w:tcPr>
            <w:tcW w:w="1350" w:type="dxa"/>
            <w:tcBorders>
              <w:top w:val="single" w:sz="2" w:space="0" w:color="000000"/>
              <w:left w:val="single" w:sz="2" w:space="0" w:color="000000"/>
              <w:bottom w:val="single" w:sz="2" w:space="0" w:color="000000"/>
            </w:tcBorders>
            <w:vAlign w:val="center"/>
          </w:tcPr>
          <w:p>
            <w:pPr>
              <w:pStyle w:val="Normal"/>
              <w:spacing w:lineRule="auto" w:line="360"/>
              <w:ind w:hanging="0" w:left="0"/>
              <w:jc w:val="center"/>
              <w:rPr>
                <w:rFonts w:ascii="Arial" w:hAnsi="Arial"/>
                <w:b/>
                <w:bCs/>
                <w:sz w:val="24"/>
                <w:szCs w:val="24"/>
              </w:rPr>
            </w:pPr>
            <w:r>
              <w:rPr>
                <w:rFonts w:ascii="Arial" w:hAnsi="Arial"/>
                <w:b/>
                <w:bCs/>
                <w:sz w:val="24"/>
                <w:szCs w:val="24"/>
              </w:rPr>
              <w:t>Valor Unitário</w:t>
            </w:r>
          </w:p>
          <w:p>
            <w:pPr>
              <w:pStyle w:val="Normal"/>
              <w:spacing w:lineRule="auto" w:line="360"/>
              <w:ind w:hanging="0" w:left="0"/>
              <w:jc w:val="center"/>
              <w:rPr>
                <w:rFonts w:ascii="Arial" w:hAnsi="Arial"/>
                <w:b/>
                <w:bCs/>
                <w:sz w:val="24"/>
                <w:szCs w:val="24"/>
              </w:rPr>
            </w:pPr>
            <w:r>
              <w:rPr>
                <w:rFonts w:ascii="Arial" w:hAnsi="Arial"/>
                <w:b/>
                <w:bCs/>
                <w:sz w:val="24"/>
                <w:szCs w:val="24"/>
              </w:rPr>
              <w:t>(24 meses)</w:t>
            </w:r>
          </w:p>
        </w:tc>
        <w:tc>
          <w:tcPr>
            <w:tcW w:w="1815" w:type="dxa"/>
            <w:tcBorders>
              <w:top w:val="single" w:sz="2" w:space="0" w:color="000000"/>
              <w:left w:val="single" w:sz="2" w:space="0" w:color="000000"/>
              <w:bottom w:val="single" w:sz="2" w:space="0" w:color="000000"/>
              <w:right w:val="single" w:sz="2" w:space="0" w:color="000000"/>
            </w:tcBorders>
            <w:vAlign w:val="center"/>
          </w:tcPr>
          <w:p>
            <w:pPr>
              <w:pStyle w:val="Normal"/>
              <w:spacing w:lineRule="auto" w:line="360"/>
              <w:ind w:hanging="0" w:left="0"/>
              <w:jc w:val="center"/>
              <w:rPr>
                <w:rFonts w:ascii="Arial" w:hAnsi="Arial"/>
                <w:b/>
                <w:bCs/>
                <w:sz w:val="24"/>
                <w:szCs w:val="24"/>
              </w:rPr>
            </w:pPr>
            <w:r>
              <w:rPr>
                <w:rFonts w:ascii="Arial" w:hAnsi="Arial"/>
                <w:b/>
                <w:bCs/>
                <w:sz w:val="24"/>
                <w:szCs w:val="24"/>
              </w:rPr>
              <w:t>Valor</w:t>
            </w:r>
          </w:p>
          <w:p>
            <w:pPr>
              <w:pStyle w:val="Normal"/>
              <w:spacing w:lineRule="auto" w:line="360"/>
              <w:ind w:hanging="0" w:left="0"/>
              <w:jc w:val="center"/>
              <w:rPr>
                <w:rFonts w:ascii="Arial" w:hAnsi="Arial"/>
                <w:b/>
                <w:bCs/>
                <w:sz w:val="24"/>
                <w:szCs w:val="24"/>
              </w:rPr>
            </w:pPr>
            <w:r>
              <w:rPr>
                <w:rFonts w:ascii="Arial" w:hAnsi="Arial"/>
                <w:b/>
                <w:bCs/>
                <w:sz w:val="24"/>
                <w:szCs w:val="24"/>
              </w:rPr>
              <w:t>Total</w:t>
            </w:r>
          </w:p>
          <w:p>
            <w:pPr>
              <w:pStyle w:val="Normal"/>
              <w:spacing w:lineRule="auto" w:line="360"/>
              <w:ind w:hanging="0" w:left="0"/>
              <w:jc w:val="center"/>
              <w:rPr>
                <w:rFonts w:ascii="Arial" w:hAnsi="Arial"/>
                <w:b/>
                <w:bCs/>
                <w:sz w:val="24"/>
                <w:szCs w:val="24"/>
              </w:rPr>
            </w:pPr>
            <w:r>
              <w:rPr>
                <w:rFonts w:ascii="Arial" w:hAnsi="Arial"/>
                <w:b/>
                <w:bCs/>
                <w:sz w:val="24"/>
                <w:szCs w:val="24"/>
              </w:rPr>
              <w:t>(24 meses)</w:t>
            </w:r>
          </w:p>
        </w:tc>
      </w:tr>
      <w:tr>
        <w:trPr/>
        <w:tc>
          <w:tcPr>
            <w:tcW w:w="659" w:type="dxa"/>
            <w:tcBorders>
              <w:left w:val="single" w:sz="2" w:space="0" w:color="000000"/>
              <w:bottom w:val="single" w:sz="2" w:space="0" w:color="000000"/>
              <w:right w:val="single" w:sz="2" w:space="0" w:color="000000"/>
            </w:tcBorders>
            <w:vAlign w:val="center"/>
          </w:tcPr>
          <w:p>
            <w:pPr>
              <w:pStyle w:val="Normal"/>
              <w:spacing w:lineRule="auto" w:line="360"/>
              <w:ind w:hanging="0" w:left="0"/>
              <w:jc w:val="center"/>
              <w:rPr>
                <w:rFonts w:ascii="Arial" w:hAnsi="Arial"/>
                <w:b/>
                <w:bCs/>
                <w:sz w:val="24"/>
                <w:szCs w:val="24"/>
              </w:rPr>
            </w:pPr>
            <w:r>
              <w:rPr>
                <w:rFonts w:ascii="Arial" w:hAnsi="Arial"/>
                <w:b/>
                <w:bCs/>
                <w:sz w:val="24"/>
                <w:szCs w:val="24"/>
              </w:rPr>
              <w:t>1</w:t>
            </w:r>
          </w:p>
        </w:tc>
        <w:tc>
          <w:tcPr>
            <w:tcW w:w="4786" w:type="dxa"/>
            <w:tcBorders>
              <w:left w:val="single" w:sz="2" w:space="0" w:color="000000"/>
              <w:bottom w:val="single" w:sz="2" w:space="0" w:color="000000"/>
              <w:right w:val="single" w:sz="2" w:space="0" w:color="000000"/>
            </w:tcBorders>
            <w:vAlign w:val="center"/>
          </w:tcPr>
          <w:p>
            <w:pPr>
              <w:pStyle w:val="Normal"/>
              <w:spacing w:lineRule="auto" w:line="360"/>
              <w:ind w:hanging="0" w:left="0"/>
              <w:jc w:val="both"/>
              <w:rPr>
                <w:rFonts w:ascii="Arial" w:hAnsi="Arial"/>
                <w:sz w:val="24"/>
                <w:szCs w:val="24"/>
              </w:rPr>
            </w:pPr>
            <w:r>
              <w:rPr>
                <w:rFonts w:ascii="Arial" w:hAnsi="Arial"/>
                <w:sz w:val="24"/>
                <w:szCs w:val="24"/>
              </w:rPr>
              <w:t>Licença de Antivírus para computadores (desktops e notebooks)</w:t>
            </w:r>
          </w:p>
        </w:tc>
        <w:tc>
          <w:tcPr>
            <w:tcW w:w="1110" w:type="dxa"/>
            <w:tcBorders>
              <w:left w:val="single" w:sz="2" w:space="0" w:color="000000"/>
              <w:bottom w:val="single" w:sz="2" w:space="0" w:color="000000"/>
              <w:right w:val="single" w:sz="2" w:space="0" w:color="000000"/>
            </w:tcBorders>
            <w:vAlign w:val="center"/>
          </w:tcPr>
          <w:p>
            <w:pPr>
              <w:pStyle w:val="Normal"/>
              <w:spacing w:lineRule="auto" w:line="360"/>
              <w:ind w:hanging="0" w:left="0"/>
              <w:jc w:val="center"/>
              <w:rPr>
                <w:rFonts w:ascii="Arial" w:hAnsi="Arial"/>
                <w:sz w:val="24"/>
                <w:szCs w:val="24"/>
              </w:rPr>
            </w:pPr>
            <w:r>
              <w:rPr>
                <w:rFonts w:ascii="Arial" w:hAnsi="Arial"/>
                <w:sz w:val="24"/>
                <w:szCs w:val="24"/>
              </w:rPr>
              <w:t>13</w:t>
            </w:r>
          </w:p>
        </w:tc>
        <w:tc>
          <w:tcPr>
            <w:tcW w:w="1350" w:type="dxa"/>
            <w:tcBorders>
              <w:left w:val="single" w:sz="2" w:space="0" w:color="000000"/>
              <w:bottom w:val="single" w:sz="2" w:space="0" w:color="000000"/>
            </w:tcBorders>
            <w:vAlign w:val="center"/>
          </w:tcPr>
          <w:p>
            <w:pPr>
              <w:pStyle w:val="Normal"/>
              <w:spacing w:lineRule="auto" w:line="360"/>
              <w:ind w:hanging="0" w:left="0"/>
              <w:jc w:val="center"/>
              <w:rPr>
                <w:rFonts w:ascii="Arial" w:hAnsi="Arial"/>
                <w:sz w:val="24"/>
                <w:szCs w:val="24"/>
              </w:rPr>
            </w:pPr>
            <w:r>
              <w:rPr>
                <w:rFonts w:ascii="Arial" w:hAnsi="Arial"/>
                <w:sz w:val="24"/>
                <w:szCs w:val="24"/>
              </w:rPr>
              <w:t>143,95*</w:t>
            </w:r>
          </w:p>
        </w:tc>
        <w:tc>
          <w:tcPr>
            <w:tcW w:w="1815" w:type="dxa"/>
            <w:tcBorders>
              <w:left w:val="single" w:sz="2" w:space="0" w:color="000000"/>
              <w:bottom w:val="single" w:sz="2" w:space="0" w:color="000000"/>
              <w:right w:val="single" w:sz="2" w:space="0" w:color="000000"/>
            </w:tcBorders>
            <w:vAlign w:val="center"/>
          </w:tcPr>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ind w:hanging="0" w:left="0"/>
              <w:jc w:val="center"/>
              <w:rPr>
                <w:rFonts w:ascii="Arial" w:hAnsi="Arial"/>
                <w:sz w:val="24"/>
                <w:szCs w:val="24"/>
              </w:rPr>
            </w:pPr>
            <w:r>
              <w:rPr>
                <w:rFonts w:ascii="Arial" w:hAnsi="Arial"/>
                <w:sz w:val="24"/>
                <w:szCs w:val="24"/>
              </w:rPr>
              <w:t>1.871,35</w:t>
            </w:r>
          </w:p>
          <w:p>
            <w:pPr>
              <w:pStyle w:val="Normal"/>
              <w:spacing w:lineRule="auto" w:line="360"/>
              <w:jc w:val="center"/>
              <w:rPr>
                <w:rFonts w:ascii="Arial" w:hAnsi="Arial"/>
                <w:sz w:val="24"/>
                <w:szCs w:val="24"/>
              </w:rPr>
            </w:pPr>
            <w:r>
              <w:rPr>
                <w:rFonts w:ascii="Arial" w:hAnsi="Arial"/>
                <w:sz w:val="24"/>
                <w:szCs w:val="24"/>
              </w:rPr>
            </w:r>
          </w:p>
        </w:tc>
      </w:tr>
      <w:tr>
        <w:trPr/>
        <w:tc>
          <w:tcPr>
            <w:tcW w:w="5445" w:type="dxa"/>
            <w:gridSpan w:val="2"/>
            <w:tcBorders>
              <w:left w:val="single" w:sz="2" w:space="0" w:color="000000"/>
              <w:bottom w:val="single" w:sz="2" w:space="0" w:color="000000"/>
              <w:right w:val="single" w:sz="2" w:space="0" w:color="000000"/>
            </w:tcBorders>
            <w:vAlign w:val="center"/>
          </w:tcPr>
          <w:p>
            <w:pPr>
              <w:pStyle w:val="Normal"/>
              <w:ind w:hanging="0" w:left="0"/>
              <w:jc w:val="center"/>
              <w:rPr>
                <w:rFonts w:ascii="Arial" w:hAnsi="Arial"/>
                <w:b/>
                <w:bCs/>
              </w:rPr>
            </w:pPr>
            <w:r>
              <w:rPr>
                <w:rFonts w:ascii="Arial" w:hAnsi="Arial"/>
                <w:b/>
                <w:bCs/>
              </w:rPr>
              <w:t>Valor Total</w:t>
            </w:r>
          </w:p>
        </w:tc>
        <w:tc>
          <w:tcPr>
            <w:tcW w:w="4275" w:type="dxa"/>
            <w:gridSpan w:val="3"/>
            <w:tcBorders>
              <w:left w:val="single" w:sz="2" w:space="0" w:color="000000"/>
              <w:bottom w:val="single" w:sz="2" w:space="0" w:color="000000"/>
              <w:right w:val="single" w:sz="2" w:space="0" w:color="000000"/>
            </w:tcBorders>
            <w:vAlign w:val="center"/>
          </w:tcPr>
          <w:p>
            <w:pPr>
              <w:pStyle w:val="Normal"/>
              <w:ind w:hanging="0" w:left="0"/>
              <w:jc w:val="center"/>
              <w:rPr>
                <w:rFonts w:ascii="Arial" w:hAnsi="Arial"/>
                <w:b/>
                <w:bCs/>
              </w:rPr>
            </w:pPr>
            <w:r>
              <w:rPr>
                <w:rFonts w:ascii="Arial" w:hAnsi="Arial"/>
                <w:b/>
                <w:bCs/>
              </w:rPr>
              <w:t>R$ 1.871,35</w:t>
            </w:r>
          </w:p>
        </w:tc>
      </w:tr>
    </w:tbl>
    <w:p>
      <w:pPr>
        <w:pStyle w:val="Normal"/>
        <w:ind w:hanging="0" w:left="0"/>
        <w:rPr>
          <w:rFonts w:ascii="Arial" w:hAnsi="Arial"/>
          <w:lang w:val="pt-BR"/>
        </w:rPr>
      </w:pPr>
      <w:r>
        <w:rPr>
          <w:rFonts w:ascii="Arial" w:hAnsi="Arial"/>
          <w:lang w:val="pt-BR"/>
        </w:rPr>
        <w:t xml:space="preserve">Média artmética simples </w:t>
      </w:r>
    </w:p>
    <w:p>
      <w:pPr>
        <w:pStyle w:val="Normal"/>
        <w:rPr>
          <w:rFonts w:ascii="Arial" w:hAnsi="Arial"/>
          <w:lang w:val="pt-BR"/>
        </w:rPr>
      </w:pPr>
      <w:r>
        <w:rPr>
          <w:rFonts w:ascii="Arial" w:hAnsi="Arial"/>
          <w:lang w:val="pt-BR"/>
        </w:rPr>
      </w:r>
    </w:p>
    <w:p>
      <w:pPr>
        <w:pStyle w:val="Normal"/>
        <w:ind w:hanging="0" w:left="0"/>
        <w:rPr>
          <w:highlight w:val="none"/>
          <w:shd w:fill="FFFFFF" w:val="clear"/>
          <w:lang w:val="pt-BR"/>
        </w:rPr>
      </w:pPr>
      <w:r>
        <w:rPr>
          <w:shd w:fill="FFFFFF" w:val="clear"/>
          <w:lang w:val="pt-BR"/>
        </w:rPr>
      </w:r>
    </w:p>
    <w:p>
      <w:pPr>
        <w:pStyle w:val="normal11"/>
        <w:spacing w:lineRule="auto" w:line="360"/>
        <w:ind w:hanging="0"/>
        <w:rPr>
          <w:highlight w:val="none"/>
          <w:shd w:fill="FFFFFF" w:val="clear"/>
        </w:rPr>
      </w:pPr>
      <w:r>
        <w:rPr>
          <w:rFonts w:ascii="Arial" w:hAnsi="Arial"/>
          <w:b/>
          <w:bCs/>
          <w:color w:val="000000"/>
          <w:shd w:fill="FFFFFF" w:val="clear"/>
          <w:lang w:val="pt-BR"/>
        </w:rPr>
        <w:t>4. DOTAÇÃO ORÇAMENTÁRIA</w:t>
      </w:r>
    </w:p>
    <w:p>
      <w:pPr>
        <w:pStyle w:val="Normal"/>
        <w:spacing w:lineRule="auto" w:line="360"/>
        <w:ind w:hanging="0" w:left="0"/>
        <w:rPr/>
      </w:pPr>
      <w:r>
        <w:rPr>
          <w:rFonts w:ascii="Arial" w:hAnsi="Arial"/>
          <w:b/>
          <w:bCs/>
          <w:color w:val="000000"/>
          <w:shd w:fill="FFFFFF" w:val="clear"/>
          <w:lang w:val="pt-BR"/>
        </w:rPr>
        <w:t xml:space="preserve">4.1 </w:t>
      </w:r>
      <w:r>
        <w:rPr>
          <w:rFonts w:ascii="Arial" w:hAnsi="Arial"/>
          <w:color w:val="000000"/>
          <w:sz w:val="24"/>
          <w:szCs w:val="24"/>
          <w:shd w:fill="FFFFFF" w:val="clear"/>
          <w:lang w:val="pt-BR"/>
        </w:rPr>
        <w:t xml:space="preserve">As despesas decorrentes da presente contratação correrão à conta de recursos próprios consignados no orçamento vigente da Contratante, na dotação orçamentária 1418-3.3.3.9.0.4.0 – Serviços de Tecnologia da informação e comunicação – Pessoa Jurídica. </w:t>
      </w:r>
    </w:p>
    <w:p>
      <w:pPr>
        <w:pStyle w:val="Normal"/>
        <w:spacing w:lineRule="auto" w:line="360"/>
        <w:rPr>
          <w:rFonts w:ascii="Arial" w:hAnsi="Arial"/>
          <w:color w:val="000000"/>
          <w:sz w:val="24"/>
          <w:szCs w:val="24"/>
          <w:shd w:fill="FFFFFF" w:val="clear"/>
          <w:lang w:val="pt-BR"/>
        </w:rPr>
      </w:pPr>
      <w:r>
        <w:rPr>
          <w:rFonts w:ascii="Arial" w:hAnsi="Arial"/>
          <w:color w:val="000000"/>
          <w:sz w:val="24"/>
          <w:szCs w:val="24"/>
          <w:shd w:fill="FFFFFF" w:val="clear"/>
          <w:lang w:val="pt-BR"/>
        </w:rPr>
      </w:r>
    </w:p>
    <w:p>
      <w:pPr>
        <w:pStyle w:val="normal11"/>
        <w:spacing w:lineRule="auto" w:line="360"/>
        <w:ind w:hanging="0"/>
        <w:rPr>
          <w:lang w:val="pt-BR"/>
        </w:rPr>
      </w:pPr>
      <w:r>
        <w:rPr>
          <w:rFonts w:eastAsia="Arial" w:cs="Arial" w:ascii="Arial" w:hAnsi="Arial"/>
          <w:b/>
          <w:bCs/>
          <w:color w:val="000000"/>
          <w:shd w:fill="FFFFFF" w:val="clear"/>
          <w:lang w:val="pt-BR"/>
        </w:rPr>
        <w:t xml:space="preserve">5. </w:t>
      </w:r>
      <w:r>
        <w:rPr>
          <w:rFonts w:eastAsia="Arial" w:cs="Arial" w:ascii="Arial" w:hAnsi="Arial"/>
          <w:b/>
          <w:bCs/>
          <w:color w:val="000000"/>
          <w:u w:val="none"/>
          <w:shd w:fill="FFFFFF" w:val="clear"/>
          <w:lang w:val="pt-BR"/>
        </w:rPr>
        <w:t>CONDIÇÕES DE PARTICIPAÇÃO</w:t>
      </w:r>
    </w:p>
    <w:p>
      <w:pPr>
        <w:pStyle w:val="normal11"/>
        <w:spacing w:lineRule="auto" w:line="360"/>
        <w:ind w:hanging="0"/>
        <w:rPr>
          <w:lang w:val="pt-BR"/>
        </w:rPr>
      </w:pPr>
      <w:r>
        <w:rPr>
          <w:rFonts w:eastAsia="Arial" w:cs="Arial" w:ascii="Arial" w:hAnsi="Arial"/>
          <w:b/>
          <w:bCs/>
          <w:color w:val="000000"/>
          <w:u w:val="none"/>
          <w:shd w:fill="FFFFFF" w:val="clear"/>
          <w:lang w:val="pt-BR"/>
        </w:rPr>
        <w:t xml:space="preserve">5.1. </w:t>
      </w:r>
      <w:r>
        <w:rPr>
          <w:rFonts w:eastAsia="Arial" w:cs="Arial" w:ascii="Arial" w:hAnsi="Arial"/>
          <w:b w:val="false"/>
          <w:bCs w:val="false"/>
          <w:color w:val="000000"/>
          <w:u w:val="none"/>
          <w:shd w:fill="FFFFFF" w:val="clear"/>
          <w:lang w:val="pt-BR"/>
        </w:rPr>
        <w:t>Poderão participar da dispensa empresas que atuem em ramo de atividade compatível com o objeto descrito e que atendam a todas as exigências deste edital e seus anexos.</w:t>
      </w:r>
    </w:p>
    <w:p>
      <w:pPr>
        <w:pStyle w:val="normal11"/>
        <w:spacing w:lineRule="auto" w:line="360"/>
        <w:ind w:hanging="0"/>
        <w:rPr>
          <w:rFonts w:ascii="Arial" w:hAnsi="Arial" w:eastAsia="Arial" w:cs="Arial"/>
          <w:b w:val="false"/>
          <w:bCs w:val="false"/>
          <w:color w:val="000000"/>
          <w:u w:val="none"/>
          <w:shd w:fill="FFFFFF" w:val="clear"/>
          <w:lang w:val="pt-BR"/>
        </w:rPr>
      </w:pPr>
      <w:r>
        <w:rPr>
          <w:rFonts w:eastAsia="Arial" w:cs="Arial" w:ascii="Arial" w:hAnsi="Arial"/>
          <w:b/>
          <w:bCs/>
          <w:color w:val="000000"/>
          <w:u w:val="none"/>
          <w:shd w:fill="FFFFFF" w:val="clear"/>
          <w:lang w:val="pt-BR"/>
        </w:rPr>
        <w:t>5.2</w:t>
      </w:r>
      <w:r>
        <w:rPr>
          <w:rFonts w:eastAsia="Arial" w:cs="Arial" w:ascii="Arial" w:hAnsi="Arial"/>
          <w:b w:val="false"/>
          <w:bCs w:val="false"/>
          <w:color w:val="000000"/>
          <w:u w:val="none"/>
          <w:shd w:fill="FFFFFF" w:val="clear"/>
          <w:lang w:val="pt-BR"/>
        </w:rPr>
        <w:t xml:space="preserve"> Estejam regularmente constituídas e em funcionamento.</w:t>
      </w:r>
    </w:p>
    <w:p>
      <w:pPr>
        <w:pStyle w:val="normal11"/>
        <w:spacing w:lineRule="auto" w:line="360"/>
        <w:ind w:hanging="0"/>
        <w:rPr>
          <w:rFonts w:ascii="Arial" w:hAnsi="Arial" w:eastAsia="Arial" w:cs="Arial"/>
          <w:b w:val="false"/>
          <w:bCs w:val="false"/>
          <w:color w:val="000000"/>
          <w:u w:val="none"/>
          <w:shd w:fill="FFFFFF" w:val="clear"/>
          <w:lang w:val="pt-BR"/>
        </w:rPr>
      </w:pPr>
      <w:r>
        <w:rPr>
          <w:rFonts w:eastAsia="Arial" w:cs="Arial" w:ascii="Arial" w:hAnsi="Arial"/>
          <w:b/>
          <w:bCs/>
          <w:color w:val="000000"/>
          <w:u w:val="none"/>
          <w:shd w:fill="FFFFFF" w:val="clear"/>
          <w:lang w:val="pt-BR"/>
        </w:rPr>
        <w:t xml:space="preserve">5.3 </w:t>
      </w:r>
      <w:r>
        <w:rPr>
          <w:rFonts w:eastAsia="Arial" w:cs="Arial" w:ascii="Arial" w:hAnsi="Arial"/>
          <w:b w:val="false"/>
          <w:bCs w:val="false"/>
          <w:color w:val="000000"/>
          <w:u w:val="none"/>
          <w:shd w:fill="FFFFFF" w:val="clear"/>
          <w:lang w:val="pt-BR"/>
        </w:rPr>
        <w:t>Não estejam impedidas de licitar ou contratar com a Administração Pública.</w:t>
      </w:r>
    </w:p>
    <w:p>
      <w:pPr>
        <w:pStyle w:val="normal11"/>
        <w:spacing w:lineRule="auto" w:line="360"/>
        <w:ind w:hanging="0"/>
        <w:rPr>
          <w:rFonts w:ascii="Arial" w:hAnsi="Arial" w:eastAsia="Arial" w:cs="Arial"/>
          <w:b w:val="false"/>
          <w:bCs w:val="false"/>
          <w:color w:val="000000"/>
          <w:u w:val="none"/>
          <w:shd w:fill="FFFFFF" w:val="clear"/>
          <w:lang w:val="pt-BR"/>
        </w:rPr>
      </w:pPr>
      <w:r>
        <w:rPr>
          <w:rFonts w:eastAsia="Arial" w:cs="Arial" w:ascii="Arial" w:hAnsi="Arial"/>
          <w:b/>
          <w:bCs/>
          <w:color w:val="000000"/>
          <w:u w:val="none"/>
          <w:shd w:fill="FFFFFF" w:val="clear"/>
          <w:lang w:val="pt-BR"/>
        </w:rPr>
        <w:t>5.4</w:t>
      </w:r>
      <w:r>
        <w:rPr>
          <w:rFonts w:eastAsia="Arial" w:cs="Arial" w:ascii="Arial" w:hAnsi="Arial"/>
          <w:b w:val="false"/>
          <w:bCs w:val="false"/>
          <w:color w:val="000000"/>
          <w:u w:val="none"/>
          <w:shd w:fill="FFFFFF" w:val="clear"/>
          <w:lang w:val="pt-BR"/>
        </w:rPr>
        <w:t xml:space="preserve"> Possuam qualificação técnica para a execução do objeto, atendendo a legislação vigente.</w:t>
      </w:r>
    </w:p>
    <w:p>
      <w:pPr>
        <w:pStyle w:val="normal11"/>
        <w:spacing w:lineRule="auto" w:line="360"/>
        <w:ind w:hanging="0"/>
        <w:rPr>
          <w:highlight w:val="none"/>
          <w:shd w:fill="FFFFFF" w:val="clear"/>
        </w:rPr>
      </w:pPr>
      <w:r>
        <w:rPr>
          <w:rFonts w:eastAsia="Arial" w:cs="Arial" w:ascii="Arial" w:hAnsi="Arial"/>
          <w:b/>
          <w:bCs/>
          <w:color w:val="000000"/>
          <w:u w:val="none"/>
          <w:shd w:fill="FFFFFF" w:val="clear"/>
          <w:lang w:val="pt-BR"/>
        </w:rPr>
        <w:t xml:space="preserve">5.5 </w:t>
      </w:r>
      <w:r>
        <w:rPr>
          <w:rFonts w:eastAsia="Arial" w:cs="Arial" w:ascii="Arial" w:hAnsi="Arial"/>
          <w:b w:val="false"/>
          <w:bCs w:val="false"/>
          <w:color w:val="000000"/>
          <w:u w:val="none"/>
          <w:shd w:fill="FFFFFF" w:val="clear"/>
          <w:lang w:val="pt-BR"/>
        </w:rPr>
        <w:t xml:space="preserve">O licitante deverá promover a sua inscrição e credenciamento diretamente na plataforma da </w:t>
      </w:r>
      <w:r>
        <w:rPr>
          <w:rFonts w:eastAsia="Arial" w:cs="Arial" w:ascii="Arial" w:hAnsi="Arial"/>
          <w:b/>
          <w:bCs/>
          <w:color w:val="000000"/>
          <w:u w:val="none"/>
          <w:shd w:fill="FFFFFF" w:val="clear"/>
          <w:lang w:val="pt-BR"/>
        </w:rPr>
        <w:t>Bolsa de Licitações e Leilões do Brasil – www.bll.org.br,</w:t>
      </w:r>
      <w:r>
        <w:rPr>
          <w:rFonts w:eastAsia="Arial" w:cs="Arial" w:ascii="Arial" w:hAnsi="Arial"/>
          <w:b w:val="false"/>
          <w:bCs w:val="false"/>
          <w:color w:val="000000"/>
          <w:u w:val="none"/>
          <w:shd w:fill="FFFFFF" w:val="clear"/>
          <w:lang w:val="pt-BR"/>
        </w:rPr>
        <w:t xml:space="preserve"> até o horário fixado neste Edital.</w:t>
      </w:r>
    </w:p>
    <w:p>
      <w:pPr>
        <w:pStyle w:val="normal11"/>
        <w:spacing w:lineRule="auto" w:line="360"/>
        <w:ind w:hanging="0"/>
        <w:rPr>
          <w:lang w:val="pt-BR"/>
        </w:rPr>
      </w:pPr>
      <w:r>
        <w:rPr>
          <w:rFonts w:eastAsia="Arial" w:cs="Arial" w:ascii="Arial" w:hAnsi="Arial"/>
          <w:b/>
          <w:bCs/>
          <w:color w:val="000000"/>
          <w:u w:val="none"/>
          <w:shd w:fill="FFFFFF" w:val="clear"/>
          <w:lang w:val="pt-BR"/>
        </w:rPr>
        <w:t>5.6</w:t>
      </w:r>
      <w:r>
        <w:rPr>
          <w:rFonts w:eastAsia="Arial" w:cs="Arial" w:ascii="Arial" w:hAnsi="Arial"/>
          <w:b w:val="false"/>
          <w:bCs w:val="false"/>
          <w:color w:val="000000"/>
          <w:u w:val="none"/>
          <w:shd w:fill="FFFFFF" w:val="clear"/>
          <w:lang w:val="pt-BR"/>
        </w:rPr>
        <w:t xml:space="preserve"> A participação está condicionada ao prévio credenciamento do licitante na plataforma, até o horário limite estabelecido neste Edital.</w:t>
      </w:r>
    </w:p>
    <w:p>
      <w:pPr>
        <w:pStyle w:val="normal11"/>
        <w:spacing w:lineRule="auto" w:line="360"/>
        <w:ind w:hanging="0"/>
        <w:rPr>
          <w:lang w:val="pt-BR"/>
        </w:rPr>
      </w:pPr>
      <w:r>
        <w:rPr>
          <w:rFonts w:eastAsia="Arial" w:cs="Arial" w:ascii="Arial" w:hAnsi="Arial"/>
          <w:b/>
          <w:bCs/>
          <w:color w:val="000000"/>
          <w:u w:val="none"/>
          <w:shd w:fill="FFFFFF" w:val="clear"/>
          <w:lang w:val="pt-BR"/>
        </w:rPr>
        <w:t>5.7</w:t>
      </w:r>
      <w:r>
        <w:rPr>
          <w:rFonts w:eastAsia="Arial" w:cs="Arial" w:ascii="Arial" w:hAnsi="Arial"/>
          <w:b w:val="false"/>
          <w:bCs w:val="false"/>
          <w:color w:val="000000"/>
          <w:u w:val="none"/>
          <w:shd w:fill="FFFFFF" w:val="clear"/>
          <w:lang w:val="pt-BR"/>
        </w:rPr>
        <w:t xml:space="preserve"> Não poderão participar da presente dispensa de licitação:</w:t>
      </w:r>
    </w:p>
    <w:p>
      <w:pPr>
        <w:pStyle w:val="normal11"/>
        <w:spacing w:lineRule="auto" w:line="360"/>
        <w:ind w:hanging="0"/>
        <w:rPr>
          <w:lang w:val="pt-BR"/>
        </w:rPr>
      </w:pPr>
      <w:r>
        <w:rPr>
          <w:rFonts w:eastAsia="Arial" w:cs="Arial" w:ascii="Arial" w:hAnsi="Arial"/>
          <w:b w:val="false"/>
          <w:bCs w:val="false"/>
          <w:color w:val="000000"/>
          <w:u w:val="none"/>
          <w:shd w:fill="FFFFFF" w:val="clear"/>
          <w:lang w:val="pt-BR"/>
        </w:rPr>
        <w:t>a) aquele que mantenha vínculo de natureza técnica, comercial, econômica, financeira, trabalhista ou civil com dirigente do órgão ou entidade contratante ou com agente público que desempenhe função na licitação ou atue na fiscalização ou gestão do contrato;</w:t>
      </w:r>
    </w:p>
    <w:p>
      <w:pPr>
        <w:pStyle w:val="normal11"/>
        <w:spacing w:lineRule="auto" w:line="360"/>
        <w:ind w:hanging="0"/>
        <w:rPr>
          <w:lang w:val="pt-BR"/>
        </w:rPr>
      </w:pPr>
      <w:r>
        <w:rPr>
          <w:rFonts w:eastAsia="Arial" w:cs="Arial" w:ascii="Arial" w:hAnsi="Arial"/>
          <w:b w:val="false"/>
          <w:bCs w:val="false"/>
          <w:color w:val="000000"/>
          <w:u w:val="none"/>
          <w:shd w:fill="FFFFFF" w:val="clear"/>
          <w:lang w:val="pt-BR"/>
        </w:rPr>
        <w:t>b) empresas que se encontrem sob falência, dissolução ou liquidação;</w:t>
      </w:r>
    </w:p>
    <w:p>
      <w:pPr>
        <w:pStyle w:val="normal11"/>
        <w:spacing w:lineRule="auto" w:line="360"/>
        <w:ind w:hanging="0"/>
        <w:rPr>
          <w:lang w:val="pt-BR"/>
        </w:rPr>
      </w:pPr>
      <w:r>
        <w:rPr>
          <w:rFonts w:eastAsia="Arial" w:cs="Arial" w:ascii="Arial" w:hAnsi="Arial"/>
          <w:b w:val="false"/>
          <w:bCs w:val="false"/>
          <w:color w:val="000000"/>
          <w:u w:val="none"/>
          <w:shd w:fill="FFFFFF" w:val="clear"/>
          <w:lang w:val="pt-BR"/>
        </w:rPr>
        <w:t>c) empresas que tenham sido declaradas inidôneas ou suspensas para licitar e contratar com a Administração Pública;</w:t>
      </w:r>
    </w:p>
    <w:p>
      <w:pPr>
        <w:pStyle w:val="normal11"/>
        <w:spacing w:lineRule="auto" w:line="360"/>
        <w:ind w:hanging="0"/>
        <w:rPr>
          <w:lang w:val="pt-BR"/>
        </w:rPr>
      </w:pPr>
      <w:r>
        <w:rPr>
          <w:rFonts w:eastAsia="Arial" w:cs="Arial" w:ascii="Arial" w:hAnsi="Arial"/>
          <w:b w:val="false"/>
          <w:bCs w:val="false"/>
          <w:color w:val="000000"/>
          <w:u w:val="none"/>
          <w:shd w:fill="FFFFFF" w:val="clear"/>
          <w:lang w:val="pt-BR"/>
        </w:rPr>
        <w:t>d) empresas que empreguem menores em desacordo com o disposto no art. 7º, XXXIII, da Constituição Federal.</w:t>
      </w:r>
    </w:p>
    <w:p>
      <w:pPr>
        <w:pStyle w:val="normal11"/>
        <w:spacing w:lineRule="auto" w:line="360"/>
        <w:ind w:hanging="0"/>
        <w:jc w:val="both"/>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360"/>
        <w:ind w:hanging="0"/>
        <w:jc w:val="both"/>
        <w:rPr/>
      </w:pPr>
      <w:r>
        <w:rPr>
          <w:rFonts w:eastAsia="Arial" w:cs="Arial" w:ascii="Arial" w:hAnsi="Arial"/>
          <w:b/>
          <w:bCs/>
          <w:color w:val="000000"/>
          <w:shd w:fill="FFFFFF" w:val="clear"/>
          <w:lang w:val="pt-BR"/>
        </w:rPr>
        <w:t>6. DA PROPOSTA</w:t>
      </w:r>
    </w:p>
    <w:p>
      <w:pPr>
        <w:pStyle w:val="normal11"/>
        <w:spacing w:lineRule="auto" w:line="360"/>
        <w:ind w:hanging="0"/>
        <w:jc w:val="both"/>
        <w:rPr/>
      </w:pPr>
      <w:r>
        <w:rPr>
          <w:rFonts w:eastAsia="Arial" w:cs="Arial" w:ascii="Arial" w:hAnsi="Arial"/>
          <w:b/>
          <w:bCs/>
          <w:color w:val="000000"/>
          <w:shd w:fill="FFFFFF" w:val="clear"/>
          <w:lang w:val="pt-BR"/>
        </w:rPr>
        <w:t xml:space="preserve">6.1 </w:t>
      </w:r>
      <w:r>
        <w:rPr>
          <w:rFonts w:eastAsia="Arial" w:cs="Arial" w:ascii="Arial" w:hAnsi="Arial"/>
          <w:b w:val="false"/>
          <w:bCs w:val="false"/>
          <w:color w:val="000000"/>
          <w:shd w:fill="FFFFFF" w:val="clear"/>
          <w:lang w:val="pt-BR"/>
        </w:rPr>
        <w:t xml:space="preserve">A proposta eletrônica deverá ser encaminhada, </w:t>
      </w:r>
      <w:r>
        <w:rPr>
          <w:rFonts w:eastAsia="Arial" w:cs="Arial" w:ascii="Arial" w:hAnsi="Arial"/>
          <w:b/>
          <w:bCs/>
          <w:color w:val="000000"/>
          <w:u w:val="single"/>
          <w:shd w:fill="FFFFFF" w:val="clear"/>
          <w:lang w:val="pt-BR"/>
        </w:rPr>
        <w:t>exclusivamente</w:t>
      </w:r>
      <w:r>
        <w:rPr>
          <w:rFonts w:eastAsia="Arial" w:cs="Arial" w:ascii="Arial" w:hAnsi="Arial"/>
          <w:b w:val="false"/>
          <w:bCs w:val="false"/>
          <w:color w:val="000000"/>
          <w:shd w:fill="FFFFFF" w:val="clear"/>
          <w:lang w:val="pt-BR"/>
        </w:rPr>
        <w:t xml:space="preserve"> por meio da plataforma </w:t>
      </w:r>
      <w:r>
        <w:rPr>
          <w:rFonts w:eastAsia="Arial" w:cs="Arial" w:ascii="Arial" w:hAnsi="Arial"/>
          <w:b/>
          <w:bCs/>
          <w:color w:val="000000"/>
          <w:shd w:fill="FFFFFF" w:val="clear"/>
          <w:lang w:val="pt-BR"/>
        </w:rPr>
        <w:t>www.bll.org.br</w:t>
      </w:r>
      <w:r>
        <w:rPr>
          <w:rFonts w:eastAsia="Arial" w:cs="Arial" w:ascii="Arial" w:hAnsi="Arial"/>
          <w:b w:val="false"/>
          <w:bCs w:val="false"/>
          <w:color w:val="000000"/>
          <w:shd w:fill="FFFFFF" w:val="clear"/>
          <w:lang w:val="pt-BR"/>
        </w:rPr>
        <w:t>, a partir da liberação do Edital de Dispensa de Licitação.</w:t>
      </w:r>
    </w:p>
    <w:p>
      <w:pPr>
        <w:pStyle w:val="normal11"/>
        <w:spacing w:lineRule="auto" w:line="360"/>
        <w:ind w:hanging="0"/>
        <w:jc w:val="both"/>
        <w:rPr>
          <w:highlight w:val="none"/>
          <w:shd w:fill="FFFFFF" w:val="clear"/>
        </w:rPr>
      </w:pPr>
      <w:r>
        <w:rPr>
          <w:rFonts w:eastAsia="Arial" w:cs="Arial" w:ascii="Arial" w:hAnsi="Arial"/>
          <w:b/>
          <w:bCs/>
          <w:color w:val="000000"/>
          <w:shd w:fill="FFFFFF" w:val="clear"/>
          <w:lang w:val="pt-BR"/>
        </w:rPr>
        <w:t xml:space="preserve">6.2 </w:t>
      </w:r>
      <w:r>
        <w:rPr>
          <w:rFonts w:eastAsia="Arial" w:cs="Arial" w:ascii="Arial" w:hAnsi="Arial"/>
          <w:b w:val="false"/>
          <w:bCs w:val="false"/>
          <w:color w:val="000000"/>
          <w:shd w:fill="FFFFFF" w:val="clear"/>
          <w:lang w:val="pt-BR"/>
        </w:rPr>
        <w:t xml:space="preserve">O início do recebimento das propostas ocorrerá em </w:t>
      </w:r>
      <w:r>
        <w:rPr>
          <w:rFonts w:eastAsia="Arial" w:cs="Arial" w:ascii="Arial" w:hAnsi="Arial"/>
          <w:b/>
          <w:bCs/>
          <w:color w:val="000000"/>
          <w:shd w:fill="FFFFFF" w:val="clear"/>
          <w:lang w:val="pt-BR"/>
        </w:rPr>
        <w:t>14/09/2026, às 0</w:t>
      </w:r>
      <w:r>
        <w:rPr>
          <w:rFonts w:eastAsia="Arial" w:cs="Arial" w:ascii="Arial" w:hAnsi="Arial"/>
          <w:b/>
          <w:bCs/>
          <w:color w:val="000000"/>
          <w:shd w:fill="FFFFFF" w:val="clear"/>
          <w:lang w:val="pt-BR"/>
        </w:rPr>
        <w:t>9</w:t>
      </w:r>
      <w:r>
        <w:rPr>
          <w:rFonts w:eastAsia="Arial" w:cs="Arial" w:ascii="Arial" w:hAnsi="Arial"/>
          <w:b/>
          <w:bCs/>
          <w:color w:val="000000"/>
          <w:shd w:fill="FFFFFF" w:val="clear"/>
          <w:lang w:val="pt-BR"/>
        </w:rPr>
        <w:t>h00.</w:t>
      </w:r>
    </w:p>
    <w:p>
      <w:pPr>
        <w:pStyle w:val="normal11"/>
        <w:spacing w:lineRule="auto" w:line="360"/>
        <w:ind w:hanging="0"/>
        <w:jc w:val="both"/>
        <w:rPr>
          <w:highlight w:val="none"/>
          <w:shd w:fill="FFFFFF" w:val="clear"/>
        </w:rPr>
      </w:pPr>
      <w:r>
        <w:rPr>
          <w:rFonts w:eastAsia="Arial" w:cs="Arial" w:ascii="Arial" w:hAnsi="Arial"/>
          <w:b/>
          <w:bCs/>
          <w:color w:val="000000"/>
          <w:shd w:fill="FFFFFF" w:val="clear"/>
          <w:lang w:val="pt-BR"/>
        </w:rPr>
        <w:t>6.3</w:t>
      </w:r>
      <w:r>
        <w:rPr>
          <w:rFonts w:eastAsia="Arial" w:cs="Arial" w:ascii="Arial" w:hAnsi="Arial"/>
          <w:b w:val="false"/>
          <w:bCs w:val="false"/>
          <w:color w:val="000000"/>
          <w:shd w:fill="FFFFFF" w:val="clear"/>
          <w:lang w:val="pt-BR"/>
        </w:rPr>
        <w:t xml:space="preserve"> O encerramento do recebimento das propostas ocorrerá em </w:t>
      </w:r>
      <w:r>
        <w:rPr>
          <w:rFonts w:eastAsia="Arial" w:cs="Arial" w:ascii="Arial" w:hAnsi="Arial"/>
          <w:b/>
          <w:bCs/>
          <w:color w:val="000000"/>
          <w:shd w:fill="FFFFFF" w:val="clear"/>
          <w:lang w:val="pt-BR"/>
        </w:rPr>
        <w:t>17/09/2026, às 13h00.</w:t>
      </w:r>
    </w:p>
    <w:p>
      <w:pPr>
        <w:pStyle w:val="normal11"/>
        <w:spacing w:lineRule="auto" w:line="360"/>
        <w:ind w:hanging="0"/>
        <w:jc w:val="both"/>
        <w:rPr>
          <w:highlight w:val="none"/>
          <w:shd w:fill="FFFFFF" w:val="clear"/>
        </w:rPr>
      </w:pPr>
      <w:r>
        <w:rPr>
          <w:rFonts w:eastAsia="Arial" w:cs="Arial" w:ascii="Arial" w:hAnsi="Arial"/>
          <w:b/>
          <w:bCs/>
          <w:color w:val="000000"/>
          <w:shd w:fill="FFFFFF" w:val="clear"/>
          <w:lang w:val="pt-BR"/>
        </w:rPr>
        <w:t>6.4</w:t>
      </w:r>
      <w:r>
        <w:rPr>
          <w:rFonts w:eastAsia="Arial" w:cs="Arial" w:ascii="Arial" w:hAnsi="Arial"/>
          <w:b w:val="false"/>
          <w:bCs w:val="false"/>
          <w:color w:val="000000"/>
          <w:shd w:fill="FFFFFF" w:val="clear"/>
          <w:lang w:val="pt-BR"/>
        </w:rPr>
        <w:t xml:space="preserve"> A abertura da sessão pública e da fase de disputa ocorrerá em </w:t>
      </w:r>
      <w:r>
        <w:rPr>
          <w:rFonts w:eastAsia="Arial" w:cs="Arial" w:ascii="Arial" w:hAnsi="Arial"/>
          <w:b/>
          <w:bCs/>
          <w:color w:val="000000"/>
          <w:shd w:fill="FFFFFF" w:val="clear"/>
          <w:lang w:val="pt-BR"/>
        </w:rPr>
        <w:t>17/09/2026, às 14h00.</w:t>
      </w:r>
    </w:p>
    <w:p>
      <w:pPr>
        <w:pStyle w:val="normal11"/>
        <w:spacing w:lineRule="auto" w:line="360"/>
        <w:ind w:hanging="0"/>
        <w:jc w:val="both"/>
        <w:rPr>
          <w:highlight w:val="none"/>
          <w:shd w:fill="FFFFFF" w:val="clear"/>
        </w:rPr>
      </w:pPr>
      <w:r>
        <w:rPr>
          <w:rFonts w:eastAsia="Arial" w:cs="Arial" w:ascii="Arial" w:hAnsi="Arial"/>
          <w:b/>
          <w:bCs/>
          <w:color w:val="000000"/>
          <w:shd w:fill="FFFFFF" w:val="clear"/>
          <w:lang w:val="pt-BR"/>
        </w:rPr>
        <w:t>6.5</w:t>
      </w:r>
      <w:r>
        <w:rPr>
          <w:rFonts w:eastAsia="Arial" w:cs="Arial" w:ascii="Arial" w:hAnsi="Arial"/>
          <w:b w:val="false"/>
          <w:bCs w:val="false"/>
          <w:color w:val="000000"/>
          <w:shd w:fill="FFFFFF" w:val="clear"/>
          <w:lang w:val="pt-BR"/>
        </w:rPr>
        <w:t xml:space="preserve"> A fase de disputa ocorrerá na modalidade aberta, com duração de </w:t>
      </w:r>
      <w:r>
        <w:rPr>
          <w:rFonts w:eastAsia="Arial" w:cs="Arial" w:ascii="Arial" w:hAnsi="Arial"/>
          <w:b/>
          <w:bCs/>
          <w:color w:val="000000"/>
          <w:shd w:fill="FFFFFF" w:val="clear"/>
          <w:lang w:val="pt-BR"/>
        </w:rPr>
        <w:t>01 (uma) hora,</w:t>
      </w:r>
      <w:r>
        <w:rPr>
          <w:rFonts w:eastAsia="Arial" w:cs="Arial" w:ascii="Arial" w:hAnsi="Arial"/>
          <w:b w:val="false"/>
          <w:bCs w:val="false"/>
          <w:color w:val="000000"/>
          <w:shd w:fill="FFFFFF" w:val="clear"/>
          <w:lang w:val="pt-BR"/>
        </w:rPr>
        <w:t xml:space="preserve"> observado o intervalo mínimo entre lances de R$ 2,00 (dois reais).</w:t>
      </w:r>
    </w:p>
    <w:p>
      <w:pPr>
        <w:pStyle w:val="normal11"/>
        <w:spacing w:lineRule="auto" w:line="360"/>
        <w:ind w:hanging="0"/>
        <w:jc w:val="both"/>
        <w:rPr/>
      </w:pPr>
      <w:r>
        <w:rPr>
          <w:rFonts w:eastAsia="Arial" w:cs="Arial" w:ascii="Arial" w:hAnsi="Arial"/>
          <w:b/>
          <w:bCs/>
          <w:color w:val="000000"/>
          <w:shd w:fill="FFFFFF" w:val="clear"/>
          <w:lang w:val="pt-BR"/>
        </w:rPr>
        <w:t>6.6</w:t>
      </w:r>
      <w:r>
        <w:rPr>
          <w:rFonts w:eastAsia="Arial" w:cs="Arial" w:ascii="Arial" w:hAnsi="Arial"/>
          <w:b w:val="false"/>
          <w:bCs w:val="false"/>
          <w:color w:val="000000"/>
          <w:shd w:fill="FFFFFF" w:val="clear"/>
          <w:lang w:val="pt-BR"/>
        </w:rPr>
        <w:t xml:space="preserve"> O encaminhamento de proposta pressupõe o pleno conhecimento e atendimento de todas as exigências contidas neste Edital de Dispensa de Licitação e seus anexos, sendo o licitante responsável por todas as transações que forem efetuadas em seu nome no sistema eletrônico, assumindo como verdadeiras suas propostas e lances.</w:t>
      </w:r>
    </w:p>
    <w:p>
      <w:pPr>
        <w:pStyle w:val="normal11"/>
        <w:spacing w:lineRule="auto" w:line="360"/>
        <w:ind w:hanging="0"/>
        <w:jc w:val="both"/>
        <w:rPr/>
      </w:pPr>
      <w:r>
        <w:rPr>
          <w:rFonts w:eastAsia="Arial" w:cs="Arial" w:ascii="Arial" w:hAnsi="Arial"/>
          <w:b/>
          <w:bCs/>
          <w:color w:val="000000"/>
          <w:shd w:fill="FFFFFF" w:val="clear"/>
          <w:lang w:val="pt-BR"/>
        </w:rPr>
        <w:t>6.7</w:t>
      </w:r>
      <w:r>
        <w:rPr>
          <w:rFonts w:eastAsia="Arial" w:cs="Arial" w:ascii="Arial" w:hAnsi="Arial"/>
          <w:b w:val="false"/>
          <w:bCs w:val="false"/>
          <w:color w:val="000000"/>
          <w:shd w:fill="FFFFFF" w:val="clear"/>
          <w:lang w:val="pt-BR"/>
        </w:rPr>
        <w:t xml:space="preserve"> As propostas encaminhadas não terão prazo de validade inferior a</w:t>
      </w:r>
      <w:r>
        <w:rPr>
          <w:rFonts w:eastAsia="Arial" w:cs="Arial" w:ascii="Arial" w:hAnsi="Arial"/>
          <w:b/>
          <w:bCs/>
          <w:color w:val="000000"/>
          <w:shd w:fill="FFFFFF" w:val="clear"/>
          <w:lang w:val="pt-BR"/>
        </w:rPr>
        <w:t xml:space="preserve"> 60 (sessenta) dias,</w:t>
      </w:r>
      <w:r>
        <w:rPr>
          <w:rFonts w:eastAsia="Arial" w:cs="Arial" w:ascii="Arial" w:hAnsi="Arial"/>
          <w:b w:val="false"/>
          <w:bCs w:val="false"/>
          <w:color w:val="000000"/>
          <w:shd w:fill="FFFFFF" w:val="clear"/>
          <w:lang w:val="pt-BR"/>
        </w:rPr>
        <w:t xml:space="preserve"> contados da data da sessão de abertura desta dispensa de licitação.</w:t>
      </w:r>
    </w:p>
    <w:p>
      <w:pPr>
        <w:pStyle w:val="normal11"/>
        <w:spacing w:lineRule="auto" w:line="360"/>
        <w:ind w:hanging="0"/>
        <w:jc w:val="both"/>
        <w:rPr/>
      </w:pPr>
      <w:r>
        <w:rPr>
          <w:rFonts w:eastAsia="Arial" w:cs="Arial" w:ascii="Arial" w:hAnsi="Arial"/>
          <w:b/>
          <w:bCs/>
          <w:color w:val="000000"/>
          <w:shd w:fill="FFFFFF" w:val="clear"/>
          <w:lang w:val="pt-BR"/>
        </w:rPr>
        <w:t>6.8</w:t>
      </w:r>
      <w:r>
        <w:rPr>
          <w:rFonts w:eastAsia="Arial" w:cs="Arial" w:ascii="Arial" w:hAnsi="Arial"/>
          <w:b w:val="false"/>
          <w:bCs w:val="false"/>
          <w:color w:val="000000"/>
          <w:shd w:fill="FFFFFF" w:val="clear"/>
          <w:lang w:val="pt-BR"/>
        </w:rPr>
        <w:t xml:space="preserve"> Ao apresentar sua proposta, o licitante concorda especificamente que os serviços/produtos ofertados deverão atender integralmente às especificações constantes neste Edital de Dispensa e no Termo de Referência.</w:t>
      </w:r>
    </w:p>
    <w:p>
      <w:pPr>
        <w:pStyle w:val="normal11"/>
        <w:spacing w:lineRule="auto" w:line="360"/>
        <w:ind w:hanging="0"/>
        <w:jc w:val="both"/>
        <w:rPr/>
      </w:pPr>
      <w:r>
        <w:rPr>
          <w:rFonts w:eastAsia="Arial" w:cs="Arial" w:ascii="Arial" w:hAnsi="Arial"/>
          <w:b/>
          <w:bCs/>
          <w:color w:val="000000"/>
          <w:shd w:fill="FFFFFF" w:val="clear"/>
          <w:lang w:val="pt-BR"/>
        </w:rPr>
        <w:t>6.9</w:t>
      </w:r>
      <w:r>
        <w:rPr>
          <w:rFonts w:eastAsia="Arial" w:cs="Arial" w:ascii="Arial" w:hAnsi="Arial"/>
          <w:b w:val="false"/>
          <w:bCs w:val="false"/>
          <w:color w:val="000000"/>
          <w:shd w:fill="FFFFFF" w:val="clear"/>
          <w:lang w:val="pt-BR"/>
        </w:rPr>
        <w:t xml:space="preserve"> No valor proposto deverão ser incluídos todos os custos diretos e indiretos necessários à execução do objeto, inclusive encargos sociais, tributos, seguros e demais despesas.</w:t>
      </w:r>
    </w:p>
    <w:p>
      <w:pPr>
        <w:pStyle w:val="normal11"/>
        <w:spacing w:lineRule="auto" w:line="360"/>
        <w:ind w:hanging="0"/>
        <w:jc w:val="both"/>
        <w:rPr/>
      </w:pPr>
      <w:r>
        <w:rPr>
          <w:rFonts w:eastAsia="Arial" w:cs="Arial" w:ascii="Arial" w:hAnsi="Arial"/>
          <w:b/>
          <w:bCs/>
          <w:color w:val="000000"/>
          <w:shd w:fill="FFFFFF" w:val="clear"/>
          <w:lang w:val="pt-BR"/>
        </w:rPr>
        <w:t xml:space="preserve">6.10 </w:t>
      </w:r>
      <w:r>
        <w:rPr>
          <w:rFonts w:eastAsia="Arial" w:cs="Arial" w:ascii="Arial" w:hAnsi="Arial"/>
          <w:b w:val="false"/>
          <w:bCs w:val="false"/>
          <w:color w:val="000000"/>
          <w:shd w:fill="FFFFFF" w:val="clear"/>
          <w:lang w:val="pt-BR"/>
        </w:rPr>
        <w:t>O licitante deverá declarar que sua proposta econômica compreende a integralidade dos custos para atendimento dos direitos trabalhistas, nos termos da legislação vigente.</w:t>
      </w:r>
    </w:p>
    <w:p>
      <w:pPr>
        <w:pStyle w:val="normal11"/>
        <w:spacing w:lineRule="auto" w:line="360"/>
        <w:ind w:hanging="0"/>
        <w:jc w:val="both"/>
        <w:rPr/>
      </w:pPr>
      <w:r>
        <w:rPr>
          <w:rFonts w:eastAsia="Arial" w:cs="Arial" w:ascii="Arial" w:hAnsi="Arial"/>
          <w:b/>
          <w:bCs/>
          <w:color w:val="000000"/>
          <w:shd w:fill="FFFFFF" w:val="clear"/>
          <w:lang w:val="pt-BR"/>
        </w:rPr>
        <w:t>6.11</w:t>
      </w:r>
      <w:r>
        <w:rPr>
          <w:rFonts w:eastAsia="Arial" w:cs="Arial" w:ascii="Arial" w:hAnsi="Arial"/>
          <w:b w:val="false"/>
          <w:bCs w:val="false"/>
          <w:color w:val="000000"/>
          <w:shd w:fill="FFFFFF" w:val="clear"/>
          <w:lang w:val="pt-BR"/>
        </w:rPr>
        <w:t xml:space="preserve"> O licitante deverá informar, em campo próprio da plataforma, sua condição de microempresa (ME) ou empresa de pequeno porte (EPP), quando aplicável.</w:t>
      </w:r>
    </w:p>
    <w:p>
      <w:pPr>
        <w:pStyle w:val="normal11"/>
        <w:spacing w:lineRule="auto" w:line="360"/>
        <w:ind w:hanging="0"/>
        <w:jc w:val="both"/>
        <w:rPr/>
      </w:pPr>
      <w:r>
        <w:rPr>
          <w:rFonts w:eastAsia="Arial" w:cs="Arial" w:ascii="Arial" w:hAnsi="Arial"/>
          <w:b/>
          <w:bCs/>
          <w:color w:val="000000"/>
          <w:shd w:fill="FFFFFF" w:val="clear"/>
          <w:lang w:val="pt-BR"/>
        </w:rPr>
        <w:t>6.12</w:t>
      </w:r>
      <w:r>
        <w:rPr>
          <w:rFonts w:eastAsia="Arial" w:cs="Arial" w:ascii="Arial" w:hAnsi="Arial"/>
          <w:b w:val="false"/>
          <w:bCs w:val="false"/>
          <w:color w:val="000000"/>
          <w:shd w:fill="FFFFFF" w:val="clear"/>
          <w:lang w:val="pt-BR"/>
        </w:rPr>
        <w:t xml:space="preserve"> A apreciação das propostas adotará o critério de </w:t>
      </w:r>
      <w:r>
        <w:rPr>
          <w:rFonts w:eastAsia="Arial" w:cs="Arial" w:ascii="Arial" w:hAnsi="Arial"/>
          <w:b/>
          <w:bCs/>
          <w:color w:val="000000"/>
          <w:shd w:fill="FFFFFF" w:val="clear"/>
          <w:lang w:val="pt-BR"/>
        </w:rPr>
        <w:t>MENOR PREÇO GLOBAL,</w:t>
      </w:r>
      <w:r>
        <w:rPr>
          <w:rFonts w:eastAsia="Arial" w:cs="Arial" w:ascii="Arial" w:hAnsi="Arial"/>
          <w:b w:val="false"/>
          <w:bCs w:val="false"/>
          <w:color w:val="000000"/>
          <w:shd w:fill="FFFFFF" w:val="clear"/>
          <w:lang w:val="pt-BR"/>
        </w:rPr>
        <w:t xml:space="preserve"> desde que atendidas às especificações deste Edital.</w:t>
      </w:r>
    </w:p>
    <w:p>
      <w:pPr>
        <w:pStyle w:val="normal11"/>
        <w:spacing w:lineRule="auto" w:line="360"/>
        <w:ind w:hanging="0"/>
        <w:jc w:val="both"/>
        <w:rPr/>
      </w:pPr>
      <w:r>
        <w:rPr>
          <w:rFonts w:eastAsia="Arial" w:cs="Arial" w:ascii="Arial" w:hAnsi="Arial"/>
          <w:b/>
          <w:bCs/>
          <w:color w:val="000000"/>
          <w:shd w:fill="FFFFFF" w:val="clear"/>
          <w:lang w:val="pt-BR"/>
        </w:rPr>
        <w:t xml:space="preserve">6.13 </w:t>
      </w:r>
      <w:r>
        <w:rPr>
          <w:rFonts w:eastAsia="Arial" w:cs="Arial" w:ascii="Arial" w:hAnsi="Arial"/>
          <w:b w:val="false"/>
          <w:bCs w:val="false"/>
          <w:color w:val="000000"/>
          <w:shd w:fill="FFFFFF" w:val="clear"/>
          <w:lang w:val="pt-BR"/>
        </w:rPr>
        <w:t>Serão desclassificadas as propostas que:</w:t>
      </w:r>
    </w:p>
    <w:p>
      <w:pPr>
        <w:pStyle w:val="normal11"/>
        <w:spacing w:lineRule="auto" w:line="360"/>
        <w:ind w:hanging="0"/>
        <w:jc w:val="both"/>
        <w:rPr/>
      </w:pPr>
      <w:r>
        <w:rPr>
          <w:rFonts w:eastAsia="Arial" w:cs="Arial" w:ascii="Arial" w:hAnsi="Arial"/>
          <w:b w:val="false"/>
          <w:bCs w:val="false"/>
          <w:color w:val="000000"/>
          <w:shd w:fill="FFFFFF" w:val="clear"/>
          <w:lang w:val="pt-BR"/>
        </w:rPr>
        <w:t>a) não atenderem às exigências deste Edital de Dispensa de Licitação;</w:t>
      </w:r>
    </w:p>
    <w:p>
      <w:pPr>
        <w:pStyle w:val="Normal"/>
        <w:spacing w:lineRule="auto" w:line="360"/>
        <w:ind w:hanging="0" w:left="0"/>
        <w:jc w:val="both"/>
        <w:rPr>
          <w:rFonts w:ascii="Arial" w:hAnsi="Arial"/>
        </w:rPr>
      </w:pPr>
      <w:r>
        <w:rPr>
          <w:rFonts w:ascii="Arial" w:hAnsi="Arial"/>
        </w:rPr>
        <w:t>b) apresentarem valores inexequíveis ou em desconformidade com as especificações constantes neste Edital e seus anexos.</w:t>
      </w:r>
    </w:p>
    <w:p>
      <w:pPr>
        <w:pStyle w:val="Normal"/>
        <w:spacing w:lineRule="auto" w:line="360"/>
        <w:ind w:hanging="0" w:left="0"/>
        <w:jc w:val="both"/>
        <w:rPr>
          <w:rFonts w:ascii="Arial" w:hAnsi="Arial"/>
        </w:rPr>
      </w:pPr>
      <w:r>
        <w:rPr>
          <w:rFonts w:ascii="Arial" w:hAnsi="Arial"/>
        </w:rPr>
        <w:t>c) contiverem vícios, erros ou inconsistências que comprometam o julgamento.</w:t>
      </w:r>
    </w:p>
    <w:p>
      <w:pPr>
        <w:pStyle w:val="Normal"/>
        <w:spacing w:lineRule="auto" w:line="360"/>
        <w:ind w:hanging="0" w:left="0"/>
        <w:jc w:val="both"/>
        <w:rPr>
          <w:rFonts w:ascii="Arial" w:hAnsi="Arial"/>
        </w:rPr>
      </w:pPr>
      <w:r>
        <w:rPr>
          <w:rFonts w:eastAsia="Arial" w:cs="Arial" w:ascii="Arial" w:hAnsi="Arial"/>
          <w:b/>
          <w:bCs/>
          <w:color w:val="000000"/>
          <w:shd w:fill="FFFFFF" w:val="clear"/>
          <w:lang w:val="pt-BR"/>
        </w:rPr>
        <w:t>6.14</w:t>
      </w:r>
      <w:r>
        <w:rPr>
          <w:rFonts w:eastAsia="Arial" w:cs="Arial" w:ascii="Arial" w:hAnsi="Arial"/>
          <w:b w:val="false"/>
          <w:bCs w:val="false"/>
          <w:color w:val="000000"/>
          <w:shd w:fill="FFFFFF" w:val="clear"/>
          <w:lang w:val="pt-BR"/>
        </w:rPr>
        <w:t xml:space="preserve"> A Administração poderá solicitar ao licitante a comprovação da exequibilidade da proposta, podendo desclassificá-la caso não seja demonstrada sua viabilidade.</w:t>
      </w:r>
    </w:p>
    <w:p>
      <w:pPr>
        <w:pStyle w:val="Normal"/>
        <w:spacing w:lineRule="auto" w:line="360"/>
        <w:ind w:hanging="0" w:left="0"/>
        <w:jc w:val="both"/>
        <w:rPr>
          <w:rFonts w:ascii="Arial" w:hAnsi="Arial"/>
        </w:rPr>
      </w:pPr>
      <w:r>
        <w:rPr>
          <w:rFonts w:eastAsia="Arial" w:cs="Arial" w:ascii="Arial" w:hAnsi="Arial"/>
          <w:b/>
          <w:bCs/>
          <w:color w:val="000000"/>
          <w:shd w:fill="FFFFFF" w:val="clear"/>
          <w:lang w:val="pt-BR"/>
        </w:rPr>
        <w:t>6.15</w:t>
      </w:r>
      <w:r>
        <w:rPr>
          <w:rFonts w:eastAsia="Arial" w:cs="Arial" w:ascii="Arial" w:hAnsi="Arial"/>
          <w:b w:val="false"/>
          <w:bCs w:val="false"/>
          <w:color w:val="000000"/>
          <w:shd w:fill="FFFFFF" w:val="clear"/>
          <w:lang w:val="pt-BR"/>
        </w:rPr>
        <w:t xml:space="preserve"> Será considerada vencedora a proposta que apresentar o menor preço global , desde que atendidas as exigências deste Edital e do Termo de Referência.</w:t>
      </w:r>
    </w:p>
    <w:p>
      <w:pPr>
        <w:pStyle w:val="normal11"/>
        <w:spacing w:lineRule="auto" w:line="360"/>
        <w:ind w:hanging="0" w:right="0"/>
        <w:jc w:val="both"/>
        <w:rPr>
          <w:rFonts w:ascii="Arial" w:hAnsi="Arial"/>
          <w:shd w:fill="FFFF00" w:val="clear"/>
        </w:rPr>
      </w:pPr>
      <w:r>
        <w:rPr>
          <w:rFonts w:ascii="Arial" w:hAnsi="Arial"/>
          <w:shd w:fill="FFFF00" w:val="clear"/>
        </w:rPr>
      </w:r>
    </w:p>
    <w:p>
      <w:pPr>
        <w:pStyle w:val="normal11"/>
        <w:spacing w:lineRule="auto" w:line="360"/>
        <w:ind w:hanging="0" w:right="0"/>
        <w:jc w:val="both"/>
        <w:rPr/>
      </w:pPr>
      <w:r>
        <w:rPr>
          <w:rFonts w:ascii="Arial" w:hAnsi="Arial"/>
          <w:b/>
          <w:bCs/>
          <w:shd w:fill="FFFFFF" w:val="clear"/>
          <w:lang w:val="pt-BR"/>
        </w:rPr>
        <w:t>7. HABILITAÇÃO JURÍDICA</w:t>
      </w:r>
    </w:p>
    <w:p>
      <w:pPr>
        <w:pStyle w:val="normal11"/>
        <w:spacing w:lineRule="auto" w:line="360"/>
        <w:ind w:hanging="0" w:right="0"/>
        <w:jc w:val="both"/>
        <w:rPr/>
      </w:pPr>
      <w:r>
        <w:rPr>
          <w:rFonts w:cs="Calibri" w:ascii="Arial" w:hAnsi="Arial"/>
          <w:b/>
          <w:bCs/>
          <w:color w:val="000000"/>
          <w:sz w:val="24"/>
          <w:szCs w:val="24"/>
          <w:shd w:fill="FFFFFF" w:val="clear"/>
          <w:lang w:val="pt-BR"/>
        </w:rPr>
        <w:t xml:space="preserve">7.1 </w:t>
      </w:r>
      <w:r>
        <w:rPr>
          <w:rFonts w:cs="Calibri" w:ascii="Arial" w:hAnsi="Arial"/>
          <w:b w:val="false"/>
          <w:bCs w:val="false"/>
          <w:color w:val="000000"/>
          <w:sz w:val="24"/>
          <w:szCs w:val="24"/>
          <w:shd w:fill="FFFFFF" w:val="clear"/>
          <w:lang w:val="pt-BR"/>
        </w:rPr>
        <w:t>Ato constitutivo, estatuto ou contrato social, em vigor, devidamente registrado.</w:t>
      </w:r>
    </w:p>
    <w:p>
      <w:pPr>
        <w:pStyle w:val="normal11"/>
        <w:spacing w:lineRule="auto" w:line="360"/>
        <w:ind w:hanging="0"/>
        <w:jc w:val="both"/>
        <w:rPr/>
      </w:pPr>
      <w:r>
        <w:rPr>
          <w:rFonts w:eastAsia="Arial" w:cs="Arial" w:ascii="Arial" w:hAnsi="Arial"/>
          <w:b/>
          <w:bCs/>
          <w:color w:val="000000"/>
          <w:lang w:val="pt-BR"/>
        </w:rPr>
        <w:t>7.2</w:t>
      </w:r>
      <w:r>
        <w:rPr>
          <w:rFonts w:eastAsia="Arial" w:cs="Arial" w:ascii="Arial" w:hAnsi="Arial"/>
          <w:color w:val="000000"/>
          <w:lang w:val="pt-BR"/>
        </w:rPr>
        <w:t xml:space="preserve"> No caso de MEI, apresentar Certificado da Condição de Microempreendedor Individual (CCMEI) e documento de identificação do titular (CPF e RG).</w:t>
      </w:r>
    </w:p>
    <w:p>
      <w:pPr>
        <w:pStyle w:val="normal11"/>
        <w:spacing w:lineRule="auto" w:line="360"/>
        <w:ind w:hanging="0" w:right="0"/>
        <w:jc w:val="both"/>
        <w:rPr/>
      </w:pPr>
      <w:r>
        <w:rPr>
          <w:rFonts w:cs="Calibri" w:ascii="Arial" w:hAnsi="Arial"/>
          <w:b/>
          <w:bCs/>
          <w:color w:val="000000"/>
          <w:sz w:val="24"/>
          <w:szCs w:val="24"/>
          <w:shd w:fill="FFFFFF" w:val="clear"/>
          <w:lang w:val="pt-BR"/>
        </w:rPr>
        <w:t xml:space="preserve">7.3 </w:t>
      </w:r>
      <w:r>
        <w:rPr>
          <w:rFonts w:cs="Calibri" w:ascii="Arial" w:hAnsi="Arial"/>
          <w:b w:val="false"/>
          <w:bCs w:val="false"/>
          <w:color w:val="000000"/>
          <w:sz w:val="24"/>
          <w:szCs w:val="24"/>
          <w:shd w:fill="FFFFFF" w:val="clear"/>
          <w:lang w:val="pt-BR"/>
        </w:rPr>
        <w:t>Comprovante de inscrição no Cadastro Nacional de Pessoa Jurídica – Cartão CNPJ.</w:t>
      </w:r>
    </w:p>
    <w:p>
      <w:pPr>
        <w:pStyle w:val="Normal"/>
        <w:spacing w:lineRule="auto" w:line="360"/>
        <w:ind w:hanging="0" w:left="0" w:right="0"/>
        <w:jc w:val="both"/>
        <w:rPr/>
      </w:pPr>
      <w:r>
        <w:rPr>
          <w:rFonts w:cs="Calibri" w:ascii="Arial" w:hAnsi="Arial"/>
          <w:b/>
          <w:bCs/>
          <w:color w:val="000000"/>
          <w:sz w:val="24"/>
          <w:szCs w:val="24"/>
        </w:rPr>
        <w:t>7.4</w:t>
      </w:r>
      <w:r>
        <w:rPr>
          <w:rFonts w:cs="Calibri" w:ascii="Arial" w:hAnsi="Arial"/>
          <w:bCs/>
          <w:color w:val="000000"/>
          <w:sz w:val="24"/>
          <w:szCs w:val="24"/>
        </w:rPr>
        <w:t xml:space="preserve"> Documentos de identificação (CPF e RG) do representante legal da empresa.</w:t>
      </w:r>
    </w:p>
    <w:p>
      <w:pPr>
        <w:pStyle w:val="Normal"/>
        <w:spacing w:lineRule="auto" w:line="360"/>
        <w:ind w:hanging="0" w:left="0" w:right="0"/>
        <w:jc w:val="both"/>
        <w:rPr>
          <w:rFonts w:ascii="Arial" w:hAnsi="Arial" w:cs="Calibri"/>
          <w:bCs/>
          <w:color w:val="000000"/>
          <w:sz w:val="24"/>
          <w:szCs w:val="24"/>
        </w:rPr>
      </w:pPr>
      <w:r>
        <w:rPr>
          <w:rFonts w:cs="Calibri" w:ascii="Arial" w:hAnsi="Arial"/>
          <w:bCs/>
          <w:color w:val="000000"/>
          <w:sz w:val="24"/>
          <w:szCs w:val="24"/>
        </w:rPr>
      </w:r>
    </w:p>
    <w:p>
      <w:pPr>
        <w:pStyle w:val="Normal"/>
        <w:spacing w:lineRule="auto" w:line="360"/>
        <w:ind w:hanging="0" w:left="0" w:right="0"/>
        <w:jc w:val="both"/>
        <w:rPr/>
      </w:pPr>
      <w:r>
        <w:rPr>
          <w:rFonts w:cs="Calibri" w:ascii="Arial" w:hAnsi="Arial"/>
          <w:b/>
          <w:bCs/>
          <w:color w:val="000000"/>
          <w:sz w:val="24"/>
          <w:szCs w:val="24"/>
        </w:rPr>
        <w:t>8. HABILITAÇÃO FISCAL E TRABALHISTA</w:t>
      </w:r>
    </w:p>
    <w:p>
      <w:pPr>
        <w:pStyle w:val="Normal"/>
        <w:spacing w:lineRule="auto" w:line="360"/>
        <w:ind w:hanging="0" w:left="0" w:right="0"/>
        <w:jc w:val="both"/>
        <w:rPr/>
      </w:pPr>
      <w:r>
        <w:rPr>
          <w:rFonts w:cs="Calibri" w:ascii="Arial" w:hAnsi="Arial"/>
          <w:b/>
          <w:bCs/>
          <w:color w:val="000000"/>
          <w:sz w:val="24"/>
          <w:szCs w:val="24"/>
        </w:rPr>
        <w:t>8.1</w:t>
      </w:r>
      <w:r>
        <w:rPr>
          <w:rFonts w:cs="Calibri" w:ascii="Arial" w:hAnsi="Arial"/>
          <w:bCs/>
          <w:color w:val="000000"/>
          <w:sz w:val="24"/>
          <w:szCs w:val="24"/>
        </w:rPr>
        <w:t xml:space="preserve"> Certidão Negativa de Débitos relativos aos Tributos Federais e à Dívida Ativa da União (CND Federal).</w:t>
      </w:r>
    </w:p>
    <w:p>
      <w:pPr>
        <w:pStyle w:val="Normal"/>
        <w:spacing w:lineRule="auto" w:line="360"/>
        <w:ind w:hanging="0" w:left="0" w:right="0"/>
        <w:jc w:val="both"/>
        <w:rPr/>
      </w:pPr>
      <w:r>
        <w:rPr>
          <w:rFonts w:cs="Calibri" w:ascii="Arial" w:hAnsi="Arial"/>
          <w:b/>
          <w:bCs/>
          <w:color w:val="000000"/>
          <w:sz w:val="24"/>
          <w:szCs w:val="24"/>
        </w:rPr>
        <w:t>8.2</w:t>
      </w:r>
      <w:r>
        <w:rPr>
          <w:rFonts w:cs="Calibri" w:ascii="Arial" w:hAnsi="Arial"/>
          <w:bCs/>
          <w:color w:val="000000"/>
          <w:sz w:val="24"/>
          <w:szCs w:val="24"/>
        </w:rPr>
        <w:t xml:space="preserve"> Certidão de Regularidade Fiscal perante à Secretaria de Estado da Fazenda.</w:t>
      </w:r>
    </w:p>
    <w:p>
      <w:pPr>
        <w:pStyle w:val="Normal"/>
        <w:spacing w:lineRule="auto" w:line="360"/>
        <w:ind w:hanging="0" w:left="0" w:right="0"/>
        <w:jc w:val="both"/>
        <w:rPr/>
      </w:pPr>
      <w:r>
        <w:rPr>
          <w:rFonts w:cs="Calibri" w:ascii="Arial" w:hAnsi="Arial"/>
          <w:b/>
          <w:bCs/>
          <w:color w:val="000000"/>
          <w:sz w:val="24"/>
          <w:szCs w:val="24"/>
        </w:rPr>
        <w:t>8.3</w:t>
      </w:r>
      <w:r>
        <w:rPr>
          <w:rFonts w:cs="Calibri" w:ascii="Arial" w:hAnsi="Arial"/>
          <w:bCs/>
          <w:color w:val="000000"/>
          <w:sz w:val="24"/>
          <w:szCs w:val="24"/>
        </w:rPr>
        <w:t xml:space="preserve"> Certidão Negativa de Débitos Municipais (CND Municipal).</w:t>
      </w:r>
    </w:p>
    <w:p>
      <w:pPr>
        <w:pStyle w:val="Normal"/>
        <w:spacing w:lineRule="auto" w:line="360"/>
        <w:ind w:hanging="0" w:left="0" w:right="0"/>
        <w:jc w:val="both"/>
        <w:rPr/>
      </w:pPr>
      <w:r>
        <w:rPr>
          <w:rFonts w:cs="Calibri" w:ascii="Arial" w:hAnsi="Arial"/>
          <w:b/>
          <w:bCs/>
          <w:color w:val="000000"/>
          <w:sz w:val="24"/>
          <w:szCs w:val="24"/>
        </w:rPr>
        <w:t>8.4</w:t>
      </w:r>
      <w:r>
        <w:rPr>
          <w:rFonts w:cs="Calibri" w:ascii="Arial" w:hAnsi="Arial"/>
          <w:bCs/>
          <w:color w:val="000000"/>
          <w:sz w:val="24"/>
          <w:szCs w:val="24"/>
        </w:rPr>
        <w:t xml:space="preserve"> Certificado de Regularidade do FGTS – CRF.</w:t>
      </w:r>
    </w:p>
    <w:p>
      <w:pPr>
        <w:pStyle w:val="Normal"/>
        <w:spacing w:lineRule="auto" w:line="360"/>
        <w:ind w:hanging="0" w:left="0" w:right="0"/>
        <w:jc w:val="both"/>
        <w:rPr/>
      </w:pPr>
      <w:r>
        <w:rPr>
          <w:rFonts w:cs="Calibri" w:ascii="Arial" w:hAnsi="Arial"/>
          <w:b/>
          <w:bCs/>
          <w:color w:val="000000"/>
          <w:sz w:val="24"/>
          <w:szCs w:val="24"/>
        </w:rPr>
        <w:t>8.5</w:t>
      </w:r>
      <w:r>
        <w:rPr>
          <w:rFonts w:cs="Calibri" w:ascii="Arial" w:hAnsi="Arial"/>
          <w:bCs/>
          <w:color w:val="000000"/>
          <w:sz w:val="24"/>
          <w:szCs w:val="24"/>
        </w:rPr>
        <w:t xml:space="preserve"> Certidão Negativa de Débitos Trabalhistas (CNDT).</w:t>
      </w:r>
    </w:p>
    <w:p>
      <w:pPr>
        <w:pStyle w:val="normal11"/>
        <w:spacing w:lineRule="auto" w:line="360"/>
        <w:ind w:hanging="0"/>
        <w:rPr/>
      </w:pPr>
      <w:r>
        <w:rPr>
          <w:rFonts w:eastAsia="Arial" w:cs="Arial" w:ascii="Arial" w:hAnsi="Arial"/>
          <w:b/>
          <w:bCs/>
          <w:color w:val="000000"/>
          <w:shd w:fill="FFFFFF" w:val="clear"/>
          <w:lang w:val="pt-BR"/>
        </w:rPr>
        <w:t>8.6</w:t>
      </w:r>
      <w:r>
        <w:rPr>
          <w:rFonts w:eastAsia="Arial" w:cs="Arial" w:ascii="Arial" w:hAnsi="Arial"/>
          <w:b w:val="false"/>
          <w:bCs w:val="false"/>
          <w:color w:val="000000"/>
          <w:shd w:fill="FFFFFF" w:val="clear"/>
          <w:lang w:val="pt-BR"/>
        </w:rPr>
        <w:t xml:space="preserve"> Os documentos deverão ser anexados preferencialmente por meio da plataforma eletrônica BLL Compras, em formato PDF, podendo ser encaminhados para o e-mail </w:t>
      </w:r>
      <w:hyperlink r:id="rId3">
        <w:r>
          <w:rPr>
            <w:rStyle w:val="Hyperlink"/>
            <w:rFonts w:eastAsia="Arial" w:cs="Arial" w:ascii="Arial" w:hAnsi="Arial"/>
            <w:b w:val="false"/>
            <w:bCs w:val="false"/>
            <w:color w:val="000000"/>
            <w:shd w:fill="FFFFFF" w:val="clear"/>
            <w:lang w:val="pt-BR"/>
          </w:rPr>
          <w:t>licitacao@fapencampolargo.com.br</w:t>
        </w:r>
      </w:hyperlink>
      <w:r>
        <w:rPr>
          <w:rFonts w:eastAsia="Arial" w:cs="Arial" w:ascii="Arial" w:hAnsi="Arial"/>
          <w:b w:val="false"/>
          <w:bCs w:val="false"/>
          <w:color w:val="000000"/>
          <w:shd w:fill="FFFFFF" w:val="clear"/>
          <w:lang w:val="pt-BR"/>
        </w:rPr>
        <w:t>, quando solicitado pela Administração.</w:t>
      </w:r>
    </w:p>
    <w:p>
      <w:pPr>
        <w:pStyle w:val="normal11"/>
        <w:spacing w:lineRule="auto" w:line="360"/>
        <w:ind w:hanging="0"/>
        <w:rPr>
          <w:rFonts w:ascii="Arial" w:hAnsi="Arial" w:eastAsia="Arial" w:cs="Arial"/>
          <w:b w:val="false"/>
          <w:bCs w:val="false"/>
          <w:color w:val="000000"/>
          <w:highlight w:val="none"/>
          <w:shd w:fill="FFFFFF" w:val="clear"/>
          <w:lang w:val="pt-BR"/>
        </w:rPr>
      </w:pPr>
      <w:r>
        <w:rPr>
          <w:rFonts w:eastAsia="Arial" w:cs="Arial" w:ascii="Arial" w:hAnsi="Arial"/>
          <w:b w:val="false"/>
          <w:bCs w:val="false"/>
          <w:color w:val="000000"/>
          <w:shd w:fill="FFFFFF" w:val="clear"/>
          <w:lang w:val="pt-BR"/>
        </w:rPr>
      </w:r>
    </w:p>
    <w:p>
      <w:pPr>
        <w:pStyle w:val="normal11"/>
        <w:spacing w:lineRule="auto" w:line="360"/>
        <w:ind w:hanging="0"/>
        <w:rPr>
          <w:rFonts w:ascii="Arial" w:hAnsi="Arial" w:eastAsia="Arial" w:cs="Arial"/>
          <w:b/>
          <w:bCs/>
          <w:color w:val="000000"/>
          <w:highlight w:val="none"/>
          <w:shd w:fill="FFFFFF" w:val="clear"/>
          <w:lang w:val="pt-BR"/>
        </w:rPr>
      </w:pPr>
      <w:r>
        <w:rPr>
          <w:rFonts w:eastAsia="Arial" w:cs="Arial" w:ascii="Arial" w:hAnsi="Arial"/>
          <w:b/>
          <w:bCs/>
          <w:color w:val="000000"/>
          <w:shd w:fill="FFFFFF" w:val="clear"/>
          <w:lang w:val="pt-BR"/>
        </w:rPr>
        <w:t>9. CRITÉRIO DE JULGAMENTO</w:t>
      </w:r>
    </w:p>
    <w:p>
      <w:pPr>
        <w:pStyle w:val="normal11"/>
        <w:spacing w:lineRule="auto" w:line="360"/>
        <w:ind w:hanging="0"/>
        <w:rPr>
          <w:rFonts w:ascii="Arial" w:hAnsi="Arial" w:eastAsia="Arial" w:cs="Arial"/>
          <w:b w:val="false"/>
          <w:bCs w:val="false"/>
          <w:color w:val="000000"/>
          <w:highlight w:val="none"/>
          <w:shd w:fill="FFFFFF" w:val="clear"/>
          <w:lang w:val="pt-BR"/>
        </w:rPr>
      </w:pPr>
      <w:r>
        <w:rPr>
          <w:rFonts w:eastAsia="Arial" w:cs="Arial" w:ascii="Arial" w:hAnsi="Arial"/>
          <w:b/>
          <w:bCs/>
          <w:color w:val="000000"/>
          <w:shd w:fill="FFFFFF" w:val="clear"/>
          <w:lang w:val="pt-BR"/>
        </w:rPr>
        <w:t>9.1</w:t>
      </w:r>
      <w:r>
        <w:rPr>
          <w:rFonts w:eastAsia="Arial" w:cs="Arial" w:ascii="Arial" w:hAnsi="Arial"/>
          <w:b w:val="false"/>
          <w:bCs w:val="false"/>
          <w:color w:val="000000"/>
          <w:shd w:fill="FFFFFF" w:val="clear"/>
          <w:lang w:val="pt-BR"/>
        </w:rPr>
        <w:t xml:space="preserve"> Para fins de julgamento das propostas, serão considerados os valores globais, sendo considerado o vencedor aquele que apresentar o </w:t>
      </w:r>
      <w:r>
        <w:rPr>
          <w:rFonts w:eastAsia="Arial" w:cs="Arial" w:ascii="Arial" w:hAnsi="Arial"/>
          <w:b/>
          <w:bCs/>
          <w:color w:val="000000"/>
          <w:shd w:fill="FFFFFF" w:val="clear"/>
          <w:lang w:val="pt-BR"/>
        </w:rPr>
        <w:t xml:space="preserve">menor preço global </w:t>
      </w:r>
      <w:r>
        <w:rPr>
          <w:rFonts w:eastAsia="Arial" w:cs="Arial" w:ascii="Arial" w:hAnsi="Arial"/>
          <w:b w:val="false"/>
          <w:bCs w:val="false"/>
          <w:color w:val="000000"/>
          <w:shd w:fill="FFFFFF" w:val="clear"/>
          <w:lang w:val="pt-BR"/>
        </w:rPr>
        <w:t>para a execução do objeto.</w:t>
      </w:r>
    </w:p>
    <w:p>
      <w:pPr>
        <w:pStyle w:val="normal11"/>
        <w:rPr>
          <w:rFonts w:ascii="Arial" w:hAnsi="Arial" w:eastAsia="Arial" w:cs="Arial"/>
          <w:b w:val="false"/>
          <w:bCs w:val="false"/>
          <w:color w:val="000000"/>
          <w:shd w:fill="FFFFFF" w:val="clear"/>
        </w:rPr>
      </w:pPr>
      <w:r>
        <w:rPr>
          <w:rFonts w:eastAsia="Arial" w:cs="Arial" w:ascii="Arial" w:hAnsi="Arial"/>
          <w:b w:val="false"/>
          <w:bCs w:val="false"/>
          <w:color w:val="000000"/>
          <w:shd w:fill="FFFFFF" w:val="clear"/>
        </w:rPr>
      </w:r>
    </w:p>
    <w:p>
      <w:pPr>
        <w:pStyle w:val="normal11"/>
        <w:rPr>
          <w:rFonts w:ascii="Arial" w:hAnsi="Arial" w:eastAsia="Arial" w:cs="Arial"/>
          <w:b w:val="false"/>
          <w:bCs w:val="false"/>
          <w:color w:val="000000"/>
          <w:shd w:fill="FFFFFF" w:val="clear"/>
        </w:rPr>
      </w:pPr>
      <w:r>
        <w:rPr>
          <w:rFonts w:eastAsia="Arial" w:cs="Arial" w:ascii="Arial" w:hAnsi="Arial"/>
          <w:b w:val="false"/>
          <w:bCs w:val="false"/>
          <w:color w:val="000000"/>
          <w:shd w:fill="FFFFFF" w:val="clear"/>
        </w:rPr>
      </w:r>
    </w:p>
    <w:p>
      <w:pPr>
        <w:pStyle w:val="normal11"/>
        <w:rPr>
          <w:rFonts w:ascii="Arial" w:hAnsi="Arial" w:eastAsia="Arial" w:cs="Arial"/>
          <w:b w:val="false"/>
          <w:bCs w:val="false"/>
          <w:color w:val="000000"/>
          <w:shd w:fill="FFFFFF" w:val="clear"/>
        </w:rPr>
      </w:pPr>
      <w:r>
        <w:rPr>
          <w:rFonts w:eastAsia="Arial" w:cs="Arial" w:ascii="Arial" w:hAnsi="Arial"/>
          <w:b w:val="false"/>
          <w:bCs w:val="false"/>
          <w:color w:val="000000"/>
          <w:shd w:fill="FFFFFF" w:val="clear"/>
        </w:rPr>
      </w:r>
    </w:p>
    <w:p>
      <w:pPr>
        <w:pStyle w:val="normal11"/>
        <w:rPr>
          <w:rFonts w:ascii="Arial" w:hAnsi="Arial" w:eastAsia="Arial" w:cs="Arial"/>
          <w:b w:val="false"/>
          <w:bCs w:val="false"/>
          <w:color w:val="000000"/>
          <w:shd w:fill="FFFFFF" w:val="clear"/>
        </w:rPr>
      </w:pPr>
      <w:r>
        <w:rPr>
          <w:rFonts w:eastAsia="Arial" w:cs="Arial" w:ascii="Arial" w:hAnsi="Arial"/>
          <w:b w:val="false"/>
          <w:bCs w:val="false"/>
          <w:color w:val="000000"/>
          <w:shd w:fill="FFFFFF" w:val="clear"/>
        </w:rPr>
      </w:r>
    </w:p>
    <w:p>
      <w:pPr>
        <w:pStyle w:val="normal11"/>
        <w:spacing w:lineRule="auto" w:line="360"/>
        <w:ind w:hanging="0"/>
        <w:rPr>
          <w:rFonts w:ascii="Arial" w:hAnsi="Arial" w:eastAsia="Arial" w:cs="Arial"/>
          <w:b/>
          <w:bCs/>
          <w:color w:val="000000"/>
          <w:shd w:fill="FFFFFF" w:val="clear"/>
          <w:lang w:val="pt-BR"/>
        </w:rPr>
      </w:pPr>
      <w:r>
        <w:rPr>
          <w:rFonts w:eastAsia="Arial" w:cs="Arial" w:ascii="Arial" w:hAnsi="Arial"/>
          <w:b/>
          <w:bCs/>
          <w:color w:val="000000"/>
          <w:shd w:fill="FFFFFF" w:val="clear"/>
          <w:lang w:val="pt-BR"/>
        </w:rPr>
        <w:t>10. EXECUÇÃO DO OBJETO</w:t>
      </w:r>
    </w:p>
    <w:p>
      <w:pPr>
        <w:pStyle w:val="Normal"/>
        <w:spacing w:lineRule="auto" w:line="360"/>
        <w:ind w:hanging="0" w:left="0"/>
        <w:jc w:val="both"/>
        <w:rPr>
          <w:rFonts w:ascii="Arial" w:hAnsi="Arial"/>
          <w:sz w:val="24"/>
          <w:szCs w:val="24"/>
        </w:rPr>
      </w:pPr>
      <w:r>
        <w:rPr>
          <w:rFonts w:ascii="Arial" w:hAnsi="Arial"/>
          <w:b/>
          <w:bCs/>
          <w:sz w:val="24"/>
          <w:szCs w:val="24"/>
        </w:rPr>
        <w:t xml:space="preserve">10.1 </w:t>
      </w:r>
      <w:r>
        <w:rPr>
          <w:rFonts w:ascii="Arial" w:hAnsi="Arial"/>
          <w:sz w:val="24"/>
          <w:szCs w:val="24"/>
        </w:rPr>
        <w:t>O fornecimento das licenças deverá ocorrer após a formalização da contratação, mediante disponibilização dos códigos, chaves, credenciais, links ou mecanismos necessários à ativação do software.</w:t>
      </w:r>
    </w:p>
    <w:p>
      <w:pPr>
        <w:pStyle w:val="Normal"/>
        <w:spacing w:lineRule="auto" w:line="360"/>
        <w:ind w:hanging="0" w:left="0"/>
        <w:jc w:val="both"/>
        <w:rPr>
          <w:rFonts w:ascii="Arial" w:hAnsi="Arial"/>
          <w:sz w:val="24"/>
          <w:szCs w:val="24"/>
        </w:rPr>
      </w:pPr>
      <w:r>
        <w:rPr>
          <w:rFonts w:ascii="Arial" w:hAnsi="Arial"/>
          <w:b/>
          <w:bCs/>
          <w:sz w:val="24"/>
          <w:szCs w:val="24"/>
        </w:rPr>
        <w:t>10.2</w:t>
      </w:r>
      <w:r>
        <w:rPr>
          <w:rFonts w:ascii="Arial" w:hAnsi="Arial"/>
          <w:sz w:val="24"/>
          <w:szCs w:val="24"/>
        </w:rPr>
        <w:t xml:space="preserve"> A instalação e ativação deverão ser realizadas pela </w:t>
      </w:r>
      <w:r>
        <w:rPr>
          <w:rFonts w:ascii="Arial" w:hAnsi="Arial"/>
          <w:b/>
          <w:bCs/>
          <w:sz w:val="24"/>
          <w:szCs w:val="24"/>
        </w:rPr>
        <w:t>CONTRATADA,</w:t>
      </w:r>
      <w:r>
        <w:rPr>
          <w:rFonts w:ascii="Arial" w:hAnsi="Arial"/>
          <w:sz w:val="24"/>
          <w:szCs w:val="24"/>
        </w:rPr>
        <w:t xml:space="preserve"> podendo ocorrer de forma </w:t>
      </w:r>
      <w:r>
        <w:rPr>
          <w:rFonts w:ascii="Arial" w:hAnsi="Arial"/>
          <w:b/>
          <w:bCs/>
          <w:sz w:val="24"/>
          <w:szCs w:val="24"/>
          <w:u w:val="single"/>
        </w:rPr>
        <w:t>presencial ou remotamente</w:t>
      </w:r>
      <w:r>
        <w:rPr>
          <w:rFonts w:ascii="Arial" w:hAnsi="Arial"/>
          <w:sz w:val="24"/>
          <w:szCs w:val="24"/>
        </w:rPr>
        <w:t>, conforme a necessidade do contratante e mediante orientação e acompanhamento da contratada.</w:t>
      </w:r>
    </w:p>
    <w:p>
      <w:pPr>
        <w:pStyle w:val="Normal"/>
        <w:spacing w:lineRule="auto" w:line="360"/>
        <w:ind w:hanging="0" w:left="0"/>
        <w:jc w:val="both"/>
        <w:rPr>
          <w:rFonts w:ascii="Arial" w:hAnsi="Arial"/>
          <w:sz w:val="24"/>
          <w:szCs w:val="24"/>
        </w:rPr>
      </w:pPr>
      <w:r>
        <w:rPr>
          <w:rFonts w:ascii="Arial" w:hAnsi="Arial"/>
          <w:b/>
          <w:bCs/>
          <w:sz w:val="24"/>
          <w:szCs w:val="24"/>
        </w:rPr>
        <w:t>10.3</w:t>
      </w:r>
      <w:r>
        <w:rPr>
          <w:rFonts w:ascii="Arial" w:hAnsi="Arial"/>
          <w:sz w:val="24"/>
          <w:szCs w:val="24"/>
        </w:rPr>
        <w:t xml:space="preserve"> A contratada deverá assegurar que o software fornecido esteja devidamente licenciado e apto a receber atualizações durante todo o período contratado. </w:t>
      </w:r>
    </w:p>
    <w:p>
      <w:pPr>
        <w:pStyle w:val="Normal"/>
        <w:spacing w:lineRule="auto" w:line="360"/>
        <w:ind w:hanging="0" w:left="0"/>
        <w:jc w:val="both"/>
        <w:rPr>
          <w:rFonts w:ascii="Arial" w:hAnsi="Arial"/>
          <w:sz w:val="24"/>
          <w:szCs w:val="24"/>
        </w:rPr>
      </w:pPr>
      <w:r>
        <w:rPr>
          <w:rFonts w:ascii="Arial" w:hAnsi="Arial"/>
          <w:b/>
          <w:bCs/>
          <w:sz w:val="24"/>
          <w:szCs w:val="24"/>
        </w:rPr>
        <w:t>10.4</w:t>
      </w:r>
      <w:r>
        <w:rPr>
          <w:rFonts w:ascii="Arial" w:hAnsi="Arial"/>
          <w:sz w:val="24"/>
          <w:szCs w:val="24"/>
        </w:rPr>
        <w:t xml:space="preserve"> Após a ativação, deverá ser possível verificar a situação da licença e o período de validade correspondente. </w:t>
      </w:r>
    </w:p>
    <w:p>
      <w:pPr>
        <w:pStyle w:val="Normal"/>
        <w:spacing w:lineRule="auto" w:line="360"/>
        <w:ind w:hanging="0" w:left="0"/>
        <w:jc w:val="both"/>
        <w:rPr>
          <w:rFonts w:ascii="Arial" w:hAnsi="Arial"/>
          <w:sz w:val="24"/>
          <w:szCs w:val="24"/>
        </w:rPr>
      </w:pPr>
      <w:r>
        <w:rPr>
          <w:rFonts w:ascii="Arial" w:hAnsi="Arial"/>
          <w:b/>
          <w:bCs/>
          <w:sz w:val="24"/>
          <w:szCs w:val="24"/>
        </w:rPr>
        <w:t>10.5</w:t>
      </w:r>
      <w:r>
        <w:rPr>
          <w:rFonts w:ascii="Arial" w:hAnsi="Arial"/>
          <w:sz w:val="24"/>
          <w:szCs w:val="24"/>
        </w:rPr>
        <w:t xml:space="preserve"> O objeto será recebido após a disponibilização das licenças e verificação de sua regularidade. Para fins de recebimento, deverão ser verificados a instalação e ativação das 13 (treze) licenças, validade das licenças pelo período contratado, funcionamento da proteção antivíus e disponibilidade das atualizações. </w:t>
      </w:r>
    </w:p>
    <w:p>
      <w:pPr>
        <w:pStyle w:val="Normal"/>
        <w:spacing w:lineRule="auto" w:line="360"/>
        <w:ind w:hanging="0" w:left="0"/>
        <w:jc w:val="both"/>
        <w:rPr>
          <w:rFonts w:ascii="Arial" w:hAnsi="Arial"/>
          <w:sz w:val="24"/>
          <w:szCs w:val="24"/>
        </w:rPr>
      </w:pPr>
      <w:r>
        <w:rPr>
          <w:rFonts w:eastAsia="NSimSun" w:ascii="Arial" w:hAnsi="Arial"/>
          <w:b/>
          <w:bCs/>
          <w:color w:val="000000"/>
          <w:sz w:val="24"/>
          <w:szCs w:val="24"/>
          <w:lang w:val="pt-BR"/>
        </w:rPr>
        <w:t>10.6</w:t>
      </w:r>
      <w:r>
        <w:rPr>
          <w:rFonts w:eastAsia="NSimSun" w:ascii="Arial" w:hAnsi="Arial"/>
          <w:b w:val="false"/>
          <w:bCs w:val="false"/>
          <w:color w:val="000000"/>
          <w:sz w:val="24"/>
          <w:szCs w:val="24"/>
          <w:lang w:val="pt-BR"/>
        </w:rPr>
        <w:t xml:space="preserve"> Caso sejam identificadas falhas ou irregularidades, a contratada deverá providenciar sua correção no prazo de 7 (sete) dias, a partir da comunicação da ocorrência e sem custos adicionais. </w:t>
      </w:r>
    </w:p>
    <w:p>
      <w:pPr>
        <w:pStyle w:val="Normal"/>
        <w:spacing w:lineRule="auto" w:line="360"/>
        <w:ind w:hanging="0" w:left="0"/>
        <w:jc w:val="both"/>
        <w:rPr>
          <w:rFonts w:ascii="Arial" w:hAnsi="Arial"/>
          <w:sz w:val="24"/>
          <w:szCs w:val="24"/>
        </w:rPr>
      </w:pPr>
      <w:r>
        <w:rPr>
          <w:rFonts w:ascii="Arial" w:hAnsi="Arial"/>
          <w:sz w:val="24"/>
          <w:szCs w:val="24"/>
        </w:rPr>
      </w:r>
    </w:p>
    <w:p>
      <w:pPr>
        <w:pStyle w:val="Normal"/>
        <w:spacing w:lineRule="auto" w:line="360"/>
        <w:ind w:hanging="0" w:left="0"/>
        <w:jc w:val="both"/>
        <w:rPr>
          <w:rFonts w:ascii="Arial" w:hAnsi="Arial"/>
          <w:b/>
          <w:bCs/>
          <w:sz w:val="24"/>
          <w:szCs w:val="24"/>
        </w:rPr>
      </w:pPr>
      <w:r>
        <w:rPr>
          <w:rFonts w:ascii="Arial" w:hAnsi="Arial"/>
          <w:b/>
          <w:bCs/>
          <w:sz w:val="24"/>
          <w:szCs w:val="24"/>
        </w:rPr>
        <w:t>11. SUPORTE TÉCNICO</w:t>
      </w:r>
    </w:p>
    <w:p>
      <w:pPr>
        <w:pStyle w:val="Normal"/>
        <w:spacing w:lineRule="auto" w:line="360"/>
        <w:ind w:hanging="0" w:left="0"/>
        <w:jc w:val="both"/>
        <w:rPr>
          <w:rFonts w:ascii="Arial" w:hAnsi="Arial"/>
          <w:b w:val="false"/>
          <w:bCs w:val="false"/>
          <w:sz w:val="24"/>
          <w:szCs w:val="24"/>
        </w:rPr>
      </w:pPr>
      <w:r>
        <w:rPr>
          <w:rFonts w:ascii="Arial" w:hAnsi="Arial"/>
          <w:b w:val="false"/>
          <w:bCs w:val="false"/>
          <w:sz w:val="24"/>
          <w:szCs w:val="24"/>
        </w:rPr>
        <w:t>A contratada deverá disponibilizar suporte técnico durante todo o período de vigência das licenças. O suporte técnico deverá abranger esclarecimentos quanto à utilização do software, auxílio na atualização do sistema, solução de problemas relacionados ao funcionamento da proteção, orientação para identificação e tratamento das ameaças detectadas pelo software.</w:t>
      </w:r>
    </w:p>
    <w:p>
      <w:pPr>
        <w:pStyle w:val="Normal"/>
        <w:spacing w:lineRule="auto" w:line="360"/>
        <w:ind w:hanging="0" w:left="0"/>
        <w:jc w:val="both"/>
        <w:rPr>
          <w:rFonts w:ascii="Arial" w:hAnsi="Arial"/>
          <w:b w:val="false"/>
          <w:bCs w:val="false"/>
          <w:sz w:val="24"/>
          <w:szCs w:val="24"/>
        </w:rPr>
      </w:pPr>
      <w:r>
        <w:rPr>
          <w:rFonts w:ascii="Arial" w:hAnsi="Arial"/>
          <w:b w:val="false"/>
          <w:bCs w:val="false"/>
          <w:sz w:val="24"/>
          <w:szCs w:val="24"/>
        </w:rPr>
        <w:t>O suporte técnico deverá ser prestado por meio eletrônico, por e-mail, chat, portal de atendimento ou outro meio disponibilizado pela contratada.</w:t>
      </w:r>
    </w:p>
    <w:p>
      <w:pPr>
        <w:pStyle w:val="Normal"/>
        <w:spacing w:lineRule="auto" w:line="360"/>
        <w:ind w:hanging="0" w:left="0"/>
        <w:jc w:val="both"/>
        <w:rPr>
          <w:rFonts w:ascii="Arial" w:hAnsi="Arial"/>
          <w:b w:val="false"/>
          <w:bCs w:val="false"/>
          <w:sz w:val="24"/>
          <w:szCs w:val="24"/>
        </w:rPr>
      </w:pPr>
      <w:r>
        <w:rPr>
          <w:rFonts w:ascii="Arial" w:hAnsi="Arial"/>
          <w:b w:val="false"/>
          <w:bCs w:val="false"/>
          <w:sz w:val="24"/>
          <w:szCs w:val="24"/>
        </w:rPr>
      </w:r>
    </w:p>
    <w:p>
      <w:pPr>
        <w:pStyle w:val="Normal"/>
        <w:spacing w:lineRule="auto" w:line="360"/>
        <w:ind w:hanging="0" w:left="0"/>
        <w:rPr>
          <w:rFonts w:ascii="Arial" w:hAnsi="Arial"/>
          <w:b/>
          <w:bCs/>
          <w:sz w:val="24"/>
          <w:szCs w:val="24"/>
          <w:highlight w:val="none"/>
          <w:shd w:fill="FFFFFF" w:val="clear"/>
        </w:rPr>
      </w:pPr>
      <w:r>
        <w:rPr>
          <w:rFonts w:ascii="Arial" w:hAnsi="Arial"/>
          <w:b/>
          <w:bCs/>
          <w:sz w:val="24"/>
          <w:szCs w:val="24"/>
          <w:shd w:fill="FFFFFF" w:val="clear"/>
        </w:rPr>
        <w:t>12. OBRIGAÇÕES DA CONTRATADA</w:t>
      </w:r>
    </w:p>
    <w:p>
      <w:pPr>
        <w:pStyle w:val="Normal"/>
        <w:spacing w:lineRule="auto" w:line="360"/>
        <w:ind w:hanging="0" w:left="0"/>
        <w:rPr>
          <w:rFonts w:ascii="Arial" w:hAnsi="Arial"/>
          <w:sz w:val="24"/>
          <w:szCs w:val="24"/>
        </w:rPr>
      </w:pPr>
      <w:r>
        <w:rPr>
          <w:rFonts w:ascii="Arial" w:hAnsi="Arial"/>
          <w:sz w:val="24"/>
          <w:szCs w:val="24"/>
        </w:rPr>
        <w:t>São obrigações da contratada:</w:t>
      </w:r>
    </w:p>
    <w:p>
      <w:pPr>
        <w:pStyle w:val="Normal"/>
        <w:numPr>
          <w:ilvl w:val="0"/>
          <w:numId w:val="2"/>
        </w:numPr>
        <w:spacing w:lineRule="auto" w:line="360"/>
        <w:rPr>
          <w:rFonts w:ascii="Arial" w:hAnsi="Arial"/>
          <w:sz w:val="24"/>
          <w:szCs w:val="24"/>
        </w:rPr>
      </w:pPr>
      <w:r>
        <w:rPr>
          <w:rFonts w:ascii="Arial" w:hAnsi="Arial"/>
          <w:sz w:val="24"/>
          <w:szCs w:val="24"/>
        </w:rPr>
        <w:t>Fornecer as licenças de acordo com as especificações estabelecidas neste Termo de Referência;</w:t>
      </w:r>
    </w:p>
    <w:p>
      <w:pPr>
        <w:pStyle w:val="Normal"/>
        <w:numPr>
          <w:ilvl w:val="0"/>
          <w:numId w:val="2"/>
        </w:numPr>
        <w:spacing w:lineRule="auto" w:line="360"/>
        <w:rPr>
          <w:rFonts w:ascii="Arial" w:hAnsi="Arial"/>
          <w:sz w:val="24"/>
          <w:szCs w:val="24"/>
        </w:rPr>
      </w:pPr>
      <w:r>
        <w:rPr>
          <w:rFonts w:ascii="Arial" w:hAnsi="Arial"/>
          <w:sz w:val="24"/>
          <w:szCs w:val="24"/>
        </w:rPr>
        <w:t>Garantir a validade e regularidade das licenças durante todo o período contratado;</w:t>
      </w:r>
    </w:p>
    <w:p>
      <w:pPr>
        <w:pStyle w:val="Normal"/>
        <w:numPr>
          <w:ilvl w:val="0"/>
          <w:numId w:val="2"/>
        </w:numPr>
        <w:spacing w:lineRule="auto" w:line="360"/>
        <w:rPr>
          <w:rFonts w:ascii="Arial" w:hAnsi="Arial"/>
          <w:sz w:val="24"/>
          <w:szCs w:val="24"/>
        </w:rPr>
      </w:pPr>
      <w:r>
        <w:rPr>
          <w:rFonts w:ascii="Arial" w:hAnsi="Arial"/>
          <w:sz w:val="24"/>
          <w:szCs w:val="24"/>
        </w:rPr>
        <w:t>Disponibilizar as atualizações necessárias ao funcionamento do software;</w:t>
      </w:r>
    </w:p>
    <w:p>
      <w:pPr>
        <w:pStyle w:val="Normal"/>
        <w:numPr>
          <w:ilvl w:val="0"/>
          <w:numId w:val="2"/>
        </w:numPr>
        <w:spacing w:lineRule="auto" w:line="360"/>
        <w:rPr>
          <w:rFonts w:ascii="Arial" w:hAnsi="Arial"/>
          <w:sz w:val="24"/>
          <w:szCs w:val="24"/>
        </w:rPr>
      </w:pPr>
      <w:r>
        <w:rPr>
          <w:rFonts w:ascii="Arial" w:hAnsi="Arial"/>
          <w:sz w:val="24"/>
          <w:szCs w:val="24"/>
        </w:rPr>
        <w:t>Prestar suporte técnico durante a vigência da contratação;</w:t>
      </w:r>
    </w:p>
    <w:p>
      <w:pPr>
        <w:pStyle w:val="Normal"/>
        <w:numPr>
          <w:ilvl w:val="0"/>
          <w:numId w:val="2"/>
        </w:numPr>
        <w:spacing w:lineRule="auto" w:line="360"/>
        <w:rPr>
          <w:rFonts w:ascii="Arial" w:hAnsi="Arial"/>
          <w:sz w:val="24"/>
          <w:szCs w:val="24"/>
        </w:rPr>
      </w:pPr>
      <w:r>
        <w:rPr>
          <w:rFonts w:ascii="Arial" w:hAnsi="Arial"/>
          <w:sz w:val="24"/>
          <w:szCs w:val="24"/>
        </w:rPr>
        <w:t>Solucionar problemas relacionados à ativação e ao funcionamento do software;</w:t>
      </w:r>
    </w:p>
    <w:p>
      <w:pPr>
        <w:pStyle w:val="Normal"/>
        <w:numPr>
          <w:ilvl w:val="0"/>
          <w:numId w:val="2"/>
        </w:numPr>
        <w:spacing w:lineRule="auto" w:line="360"/>
        <w:rPr>
          <w:rFonts w:ascii="Arial" w:hAnsi="Arial"/>
          <w:sz w:val="24"/>
          <w:szCs w:val="24"/>
        </w:rPr>
      </w:pPr>
      <w:r>
        <w:rPr>
          <w:rFonts w:ascii="Arial" w:hAnsi="Arial"/>
          <w:sz w:val="24"/>
          <w:szCs w:val="24"/>
        </w:rPr>
        <w:t>Manter as condições de habilitação e qualificação exigidas durante a execução da contratação;</w:t>
      </w:r>
    </w:p>
    <w:p>
      <w:pPr>
        <w:pStyle w:val="Normal"/>
        <w:numPr>
          <w:ilvl w:val="0"/>
          <w:numId w:val="2"/>
        </w:numPr>
        <w:spacing w:lineRule="auto" w:line="360"/>
        <w:rPr>
          <w:rFonts w:ascii="Arial" w:hAnsi="Arial"/>
          <w:sz w:val="24"/>
          <w:szCs w:val="24"/>
        </w:rPr>
      </w:pPr>
      <w:r>
        <w:rPr>
          <w:rFonts w:ascii="Arial" w:hAnsi="Arial"/>
          <w:sz w:val="24"/>
          <w:szCs w:val="24"/>
        </w:rPr>
        <w:t>Comunicar ao FAPEN qualquer situação que possa comprometer a execução do objeto;</w:t>
      </w:r>
    </w:p>
    <w:p>
      <w:pPr>
        <w:pStyle w:val="Normal"/>
        <w:numPr>
          <w:ilvl w:val="0"/>
          <w:numId w:val="2"/>
        </w:numPr>
        <w:spacing w:lineRule="auto" w:line="360"/>
        <w:rPr>
          <w:rFonts w:ascii="Arial" w:hAnsi="Arial"/>
          <w:sz w:val="24"/>
          <w:szCs w:val="24"/>
        </w:rPr>
      </w:pPr>
      <w:r>
        <w:rPr>
          <w:rFonts w:ascii="Arial" w:hAnsi="Arial"/>
          <w:sz w:val="24"/>
          <w:szCs w:val="24"/>
        </w:rPr>
        <w:t>Responsabilizar-se pelos encargos decorrentes da execução do objeto e,</w:t>
      </w:r>
    </w:p>
    <w:p>
      <w:pPr>
        <w:pStyle w:val="Normal"/>
        <w:numPr>
          <w:ilvl w:val="0"/>
          <w:numId w:val="2"/>
        </w:numPr>
        <w:spacing w:lineRule="auto" w:line="360"/>
        <w:rPr>
          <w:rFonts w:ascii="Arial" w:hAnsi="Arial"/>
          <w:sz w:val="24"/>
          <w:szCs w:val="24"/>
        </w:rPr>
      </w:pPr>
      <w:r>
        <w:rPr>
          <w:rFonts w:ascii="Arial" w:hAnsi="Arial"/>
          <w:sz w:val="24"/>
          <w:szCs w:val="24"/>
        </w:rPr>
        <w:t>Não cobrar valores adicionais relativos a atualizações e recursos que estejam incluídos na licença contratada.</w:t>
      </w:r>
    </w:p>
    <w:p>
      <w:pPr>
        <w:pStyle w:val="Normal"/>
        <w:spacing w:lineRule="auto" w:line="360"/>
        <w:rPr>
          <w:rFonts w:ascii="Arial" w:hAnsi="Arial"/>
          <w:sz w:val="24"/>
          <w:szCs w:val="24"/>
        </w:rPr>
      </w:pPr>
      <w:r>
        <w:rPr>
          <w:rFonts w:ascii="Arial" w:hAnsi="Arial"/>
          <w:sz w:val="24"/>
          <w:szCs w:val="24"/>
        </w:rPr>
      </w:r>
    </w:p>
    <w:p>
      <w:pPr>
        <w:pStyle w:val="Normal"/>
        <w:spacing w:lineRule="auto" w:line="360"/>
        <w:ind w:hanging="0" w:left="0"/>
        <w:rPr/>
      </w:pPr>
      <w:r>
        <w:rPr>
          <w:rStyle w:val="Strong"/>
          <w:rFonts w:ascii="Arial" w:hAnsi="Arial"/>
          <w:sz w:val="24"/>
          <w:szCs w:val="24"/>
        </w:rPr>
        <w:t>13. OBRIGAÇÕES DA CONTRATANTE</w:t>
      </w:r>
    </w:p>
    <w:p>
      <w:pPr>
        <w:pStyle w:val="Normal"/>
        <w:spacing w:lineRule="auto" w:line="360"/>
        <w:ind w:hanging="0" w:left="0"/>
        <w:jc w:val="both"/>
        <w:rPr>
          <w:rFonts w:ascii="Arial" w:hAnsi="Arial"/>
          <w:sz w:val="24"/>
          <w:szCs w:val="24"/>
        </w:rPr>
      </w:pPr>
      <w:r>
        <w:rPr>
          <w:rFonts w:ascii="Arial" w:hAnsi="Arial"/>
          <w:sz w:val="24"/>
          <w:szCs w:val="24"/>
        </w:rPr>
        <w:t>São obrigações da FAPEN:</w:t>
      </w:r>
    </w:p>
    <w:p>
      <w:pPr>
        <w:pStyle w:val="Normal"/>
        <w:numPr>
          <w:ilvl w:val="0"/>
          <w:numId w:val="3"/>
        </w:numPr>
        <w:spacing w:lineRule="auto" w:line="360"/>
        <w:jc w:val="both"/>
        <w:rPr>
          <w:rFonts w:ascii="Arial" w:hAnsi="Arial"/>
          <w:sz w:val="24"/>
          <w:szCs w:val="24"/>
        </w:rPr>
      </w:pPr>
      <w:r>
        <w:rPr>
          <w:rFonts w:ascii="Arial" w:hAnsi="Arial"/>
          <w:sz w:val="24"/>
          <w:szCs w:val="24"/>
        </w:rPr>
        <w:t>Fornecer as informações necessárias à execução do objeto;</w:t>
      </w:r>
    </w:p>
    <w:p>
      <w:pPr>
        <w:pStyle w:val="Normal"/>
        <w:numPr>
          <w:ilvl w:val="0"/>
          <w:numId w:val="3"/>
        </w:numPr>
        <w:spacing w:lineRule="auto" w:line="360"/>
        <w:jc w:val="both"/>
        <w:rPr>
          <w:rFonts w:ascii="Arial" w:hAnsi="Arial"/>
          <w:sz w:val="24"/>
          <w:szCs w:val="24"/>
        </w:rPr>
      </w:pPr>
      <w:r>
        <w:rPr>
          <w:rFonts w:ascii="Arial" w:hAnsi="Arial"/>
          <w:sz w:val="24"/>
          <w:szCs w:val="24"/>
        </w:rPr>
        <w:t>Disponibilizar os equipamentos nos quais as licenças serão instaladas;</w:t>
      </w:r>
    </w:p>
    <w:p>
      <w:pPr>
        <w:pStyle w:val="Normal"/>
        <w:numPr>
          <w:ilvl w:val="0"/>
          <w:numId w:val="3"/>
        </w:numPr>
        <w:spacing w:lineRule="auto" w:line="360"/>
        <w:jc w:val="both"/>
        <w:rPr>
          <w:rFonts w:ascii="Arial" w:hAnsi="Arial"/>
          <w:sz w:val="24"/>
          <w:szCs w:val="24"/>
        </w:rPr>
      </w:pPr>
      <w:r>
        <w:rPr>
          <w:rFonts w:ascii="Arial" w:hAnsi="Arial"/>
          <w:sz w:val="24"/>
          <w:szCs w:val="24"/>
        </w:rPr>
        <w:t>Acompanhar e fiscalizar a execução da contratação;</w:t>
      </w:r>
    </w:p>
    <w:p>
      <w:pPr>
        <w:pStyle w:val="Normal"/>
        <w:numPr>
          <w:ilvl w:val="0"/>
          <w:numId w:val="3"/>
        </w:numPr>
        <w:spacing w:lineRule="auto" w:line="360"/>
        <w:jc w:val="both"/>
        <w:rPr>
          <w:rFonts w:ascii="Arial" w:hAnsi="Arial"/>
          <w:sz w:val="24"/>
          <w:szCs w:val="24"/>
        </w:rPr>
      </w:pPr>
      <w:r>
        <w:rPr>
          <w:rFonts w:ascii="Arial" w:hAnsi="Arial"/>
          <w:sz w:val="24"/>
          <w:szCs w:val="24"/>
        </w:rPr>
        <w:t>Comunicar à CONTRATADA eventuais falhas ou irregularidades verificadas;</w:t>
      </w:r>
    </w:p>
    <w:p>
      <w:pPr>
        <w:pStyle w:val="Normal"/>
        <w:numPr>
          <w:ilvl w:val="0"/>
          <w:numId w:val="3"/>
        </w:numPr>
        <w:spacing w:lineRule="auto" w:line="360"/>
        <w:jc w:val="both"/>
        <w:rPr>
          <w:rFonts w:ascii="Arial" w:hAnsi="Arial"/>
          <w:sz w:val="24"/>
          <w:szCs w:val="24"/>
        </w:rPr>
      </w:pPr>
      <w:r>
        <w:rPr>
          <w:rFonts w:ascii="Arial" w:hAnsi="Arial"/>
          <w:sz w:val="24"/>
          <w:szCs w:val="24"/>
        </w:rPr>
        <w:t xml:space="preserve">Efetuar o pagamento nas condições estabelecidas e, </w:t>
      </w:r>
    </w:p>
    <w:p>
      <w:pPr>
        <w:pStyle w:val="Normal"/>
        <w:numPr>
          <w:ilvl w:val="0"/>
          <w:numId w:val="3"/>
        </w:numPr>
        <w:spacing w:lineRule="auto" w:line="360"/>
        <w:jc w:val="both"/>
        <w:rPr>
          <w:rFonts w:ascii="Arial" w:hAnsi="Arial"/>
          <w:sz w:val="24"/>
          <w:szCs w:val="24"/>
        </w:rPr>
      </w:pPr>
      <w:r>
        <w:rPr>
          <w:rFonts w:ascii="Arial" w:hAnsi="Arial"/>
          <w:sz w:val="24"/>
          <w:szCs w:val="24"/>
        </w:rPr>
        <w:t>Utilizar as licenças de acordo com as condições estabelecidas pelo fabricante e pelo contrato.</w:t>
      </w:r>
    </w:p>
    <w:p>
      <w:pPr>
        <w:pStyle w:val="Normal"/>
        <w:numPr>
          <w:ilvl w:val="0"/>
          <w:numId w:val="0"/>
        </w:numPr>
        <w:spacing w:lineRule="auto" w:line="360"/>
        <w:ind w:hanging="0" w:left="720"/>
        <w:jc w:val="both"/>
        <w:rPr>
          <w:rFonts w:ascii="Arial" w:hAnsi="Arial"/>
          <w:sz w:val="24"/>
          <w:szCs w:val="24"/>
        </w:rPr>
      </w:pPr>
      <w:r>
        <w:rPr>
          <w:rFonts w:ascii="Arial" w:hAnsi="Arial"/>
          <w:sz w:val="24"/>
          <w:szCs w:val="24"/>
        </w:rPr>
      </w:r>
    </w:p>
    <w:p>
      <w:pPr>
        <w:pStyle w:val="Normal"/>
        <w:spacing w:lineRule="auto" w:line="360"/>
        <w:ind w:hanging="0" w:left="0"/>
        <w:jc w:val="both"/>
        <w:rPr>
          <w:rFonts w:ascii="Arial" w:hAnsi="Arial"/>
          <w:b/>
          <w:bCs/>
          <w:sz w:val="24"/>
          <w:szCs w:val="24"/>
        </w:rPr>
      </w:pPr>
      <w:r>
        <w:rPr>
          <w:rFonts w:ascii="Arial" w:hAnsi="Arial"/>
          <w:b/>
          <w:bCs/>
          <w:sz w:val="24"/>
          <w:szCs w:val="24"/>
        </w:rPr>
        <w:t>14. GESTÃO E FISCALIZAÇÃO</w:t>
      </w:r>
    </w:p>
    <w:p>
      <w:pPr>
        <w:pStyle w:val="Normal"/>
        <w:spacing w:lineRule="auto" w:line="360"/>
        <w:ind w:hanging="0" w:left="0"/>
        <w:jc w:val="both"/>
        <w:rPr>
          <w:rFonts w:ascii="Arial" w:hAnsi="Arial"/>
          <w:sz w:val="24"/>
          <w:szCs w:val="24"/>
        </w:rPr>
      </w:pPr>
      <w:r>
        <w:rPr>
          <w:rFonts w:ascii="Arial" w:hAnsi="Arial"/>
          <w:b/>
          <w:bCs/>
          <w:sz w:val="24"/>
          <w:szCs w:val="24"/>
        </w:rPr>
        <w:t>14.1</w:t>
      </w:r>
      <w:r>
        <w:rPr>
          <w:rFonts w:ascii="Arial" w:hAnsi="Arial"/>
          <w:sz w:val="24"/>
          <w:szCs w:val="24"/>
        </w:rPr>
        <w:t xml:space="preserve"> A gestão e a fiscalização da contratação serão exercidas por servidores formalmente designados pelo FAPEN.</w:t>
      </w:r>
    </w:p>
    <w:p>
      <w:pPr>
        <w:pStyle w:val="Normal"/>
        <w:spacing w:lineRule="auto" w:line="360"/>
        <w:ind w:hanging="0" w:left="0"/>
        <w:jc w:val="both"/>
        <w:rPr>
          <w:rFonts w:ascii="Arial" w:hAnsi="Arial"/>
          <w:sz w:val="24"/>
          <w:szCs w:val="24"/>
        </w:rPr>
      </w:pPr>
      <w:r>
        <w:rPr>
          <w:rFonts w:ascii="Arial" w:hAnsi="Arial"/>
          <w:b/>
          <w:bCs/>
          <w:sz w:val="24"/>
          <w:szCs w:val="24"/>
        </w:rPr>
        <w:t>14.2</w:t>
      </w:r>
      <w:r>
        <w:rPr>
          <w:rFonts w:ascii="Arial" w:hAnsi="Arial"/>
          <w:sz w:val="24"/>
          <w:szCs w:val="24"/>
        </w:rPr>
        <w:t xml:space="preserve"> Compete ao gestor acompanhar a execução contratual, controlar a vigência, os pagamentos e demais aspectos administrativos da contratação.</w:t>
      </w:r>
    </w:p>
    <w:p>
      <w:pPr>
        <w:pStyle w:val="Normal"/>
        <w:spacing w:lineRule="auto" w:line="360"/>
        <w:ind w:hanging="0" w:left="0"/>
        <w:jc w:val="both"/>
        <w:rPr>
          <w:rFonts w:ascii="Arial" w:hAnsi="Arial"/>
          <w:sz w:val="24"/>
          <w:szCs w:val="24"/>
        </w:rPr>
      </w:pPr>
      <w:r>
        <w:rPr>
          <w:rFonts w:ascii="Arial" w:hAnsi="Arial"/>
          <w:b/>
          <w:bCs/>
          <w:sz w:val="24"/>
          <w:szCs w:val="24"/>
        </w:rPr>
        <w:t>14.3</w:t>
      </w:r>
      <w:r>
        <w:rPr>
          <w:rFonts w:ascii="Arial" w:hAnsi="Arial"/>
          <w:sz w:val="24"/>
          <w:szCs w:val="24"/>
        </w:rPr>
        <w:t xml:space="preserve"> Compete ao fiscal verificar a adequada execução do objeto, especialmente quanto à disponibilização, ativação e funcionamento das licenças.</w:t>
      </w:r>
    </w:p>
    <w:p>
      <w:pPr>
        <w:pStyle w:val="Normal"/>
        <w:spacing w:lineRule="auto" w:line="360"/>
        <w:ind w:hanging="0" w:left="0"/>
        <w:jc w:val="both"/>
        <w:rPr>
          <w:rFonts w:ascii="Arial" w:hAnsi="Arial"/>
          <w:sz w:val="24"/>
          <w:szCs w:val="24"/>
        </w:rPr>
      </w:pPr>
      <w:r>
        <w:rPr>
          <w:rFonts w:ascii="Arial" w:hAnsi="Arial"/>
          <w:sz w:val="24"/>
          <w:szCs w:val="24"/>
        </w:rPr>
      </w:r>
    </w:p>
    <w:p>
      <w:pPr>
        <w:pStyle w:val="Normal"/>
        <w:spacing w:lineRule="auto" w:line="360"/>
        <w:ind w:hanging="0" w:left="0"/>
        <w:jc w:val="both"/>
        <w:rPr>
          <w:rFonts w:ascii="Arial" w:hAnsi="Arial"/>
          <w:sz w:val="24"/>
          <w:szCs w:val="24"/>
        </w:rPr>
      </w:pPr>
      <w:r>
        <w:rPr>
          <w:rFonts w:ascii="Arial" w:hAnsi="Arial"/>
          <w:b/>
          <w:bCs/>
          <w:sz w:val="24"/>
          <w:szCs w:val="24"/>
        </w:rPr>
        <w:t xml:space="preserve">GESTOR DO CONTRATO: </w:t>
      </w:r>
      <w:r>
        <w:rPr>
          <w:rFonts w:ascii="Arial" w:hAnsi="Arial"/>
          <w:sz w:val="24"/>
          <w:szCs w:val="24"/>
        </w:rPr>
        <w:t>Hevelin Crisina Lissa – Matrícula 06</w:t>
      </w:r>
    </w:p>
    <w:p>
      <w:pPr>
        <w:pStyle w:val="Normal"/>
        <w:spacing w:lineRule="auto" w:line="360"/>
        <w:ind w:hanging="0" w:left="0"/>
        <w:jc w:val="both"/>
        <w:rPr>
          <w:rFonts w:ascii="Arial" w:hAnsi="Arial"/>
          <w:sz w:val="24"/>
          <w:szCs w:val="24"/>
        </w:rPr>
      </w:pPr>
      <w:r>
        <w:rPr>
          <w:rFonts w:ascii="Arial" w:hAnsi="Arial"/>
          <w:b/>
          <w:bCs/>
          <w:sz w:val="24"/>
          <w:szCs w:val="24"/>
        </w:rPr>
        <w:t xml:space="preserve">FISCAL DO CONTRATO: </w:t>
      </w:r>
      <w:r>
        <w:rPr>
          <w:rFonts w:ascii="Arial" w:hAnsi="Arial"/>
          <w:sz w:val="24"/>
          <w:szCs w:val="24"/>
        </w:rPr>
        <w:t>Thiago Augusto Bedim – Matrícula 12</w:t>
      </w:r>
    </w:p>
    <w:p>
      <w:pPr>
        <w:pStyle w:val="Normal"/>
        <w:spacing w:lineRule="auto" w:line="360"/>
        <w:jc w:val="both"/>
        <w:rPr>
          <w:rFonts w:ascii="Arial" w:hAnsi="Arial"/>
          <w:sz w:val="24"/>
          <w:szCs w:val="24"/>
        </w:rPr>
      </w:pPr>
      <w:r>
        <w:rPr>
          <w:rFonts w:ascii="Arial" w:hAnsi="Arial"/>
          <w:sz w:val="24"/>
          <w:szCs w:val="24"/>
        </w:rPr>
      </w:r>
    </w:p>
    <w:p>
      <w:pPr>
        <w:pStyle w:val="Normal"/>
        <w:spacing w:lineRule="auto" w:line="360"/>
        <w:jc w:val="both"/>
        <w:rPr>
          <w:rFonts w:ascii="Arial" w:hAnsi="Arial"/>
          <w:sz w:val="24"/>
          <w:szCs w:val="24"/>
        </w:rPr>
      </w:pPr>
      <w:r>
        <w:rPr>
          <w:rFonts w:ascii="Arial" w:hAnsi="Arial"/>
          <w:sz w:val="24"/>
          <w:szCs w:val="24"/>
        </w:rPr>
      </w:r>
    </w:p>
    <w:p>
      <w:pPr>
        <w:pStyle w:val="Normal"/>
        <w:spacing w:lineRule="auto" w:line="360"/>
        <w:ind w:hanging="0" w:left="0"/>
        <w:rPr>
          <w:rFonts w:ascii="Arial" w:hAnsi="Arial"/>
          <w:b/>
          <w:bCs/>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 DO PAGAMENTO</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.1</w:t>
      </w:r>
      <w:r>
        <w:rPr>
          <w:rFonts w:ascii="Arial" w:hAnsi="Arial"/>
          <w:sz w:val="24"/>
          <w:szCs w:val="24"/>
        </w:rPr>
        <w:t xml:space="preserve"> O pagamento será efetuado após a execução do contrato e a apresentação da respectiva Nota Fiscal/Fatura pela Contratada, devidamente atestada pelo órgão requisitante, comprovando a regular prestação dos serviços.</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.2</w:t>
      </w:r>
      <w:r>
        <w:rPr>
          <w:rFonts w:ascii="Arial" w:hAnsi="Arial"/>
          <w:sz w:val="24"/>
          <w:szCs w:val="24"/>
        </w:rPr>
        <w:t xml:space="preserve"> A Contratada deverá apresentar, junto a Nota Fiscal/Fatura, os relatórios, certificados, laudos ou demais documentos comprobatórios da execução dos serviços, quando aplicável.</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.3</w:t>
      </w:r>
      <w:r>
        <w:rPr>
          <w:rFonts w:ascii="Arial" w:hAnsi="Arial"/>
          <w:sz w:val="24"/>
          <w:szCs w:val="24"/>
        </w:rPr>
        <w:t xml:space="preserve"> O pagamento será realizado por meio de depósito ou transferência bancária em conta de titularidade da Contratada, no prazo de até 15 (quinze) dias, contados da data do atesto da Nota Fiscal/Fatura pela unidade requisitante.</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.4</w:t>
      </w:r>
      <w:r>
        <w:rPr>
          <w:rFonts w:ascii="Arial" w:hAnsi="Arial"/>
          <w:sz w:val="24"/>
          <w:szCs w:val="24"/>
        </w:rPr>
        <w:t xml:space="preserve"> A Nota Fiscal/Fatura que apresentar incorreções, inconsistências ou divergências será devolvida à Contratada para as devidas correções, reiniciando-se a contagem do prazo para pagamento após sua reapresentação regular.</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.5</w:t>
      </w:r>
      <w:r>
        <w:rPr>
          <w:rFonts w:ascii="Arial" w:hAnsi="Arial"/>
          <w:sz w:val="24"/>
          <w:szCs w:val="24"/>
        </w:rPr>
        <w:t xml:space="preserve"> A contratada deverá emitir a Nota Fiscal Eletrônica – NF-e em nome do Instituto de Aposentadorias e Pensões de Campo Largo – FAPEN. As notas fiscais deverão conter o mesmo CNPJ e razão social constantes na proposta apresentada e documentos de habilitação.</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5</w:t>
      </w:r>
      <w:r>
        <w:rPr>
          <w:rFonts w:ascii="Arial" w:hAnsi="Arial"/>
          <w:b/>
          <w:bCs/>
          <w:sz w:val="24"/>
          <w:szCs w:val="24"/>
        </w:rPr>
        <w:t xml:space="preserve">.6 </w:t>
      </w:r>
      <w:r>
        <w:rPr>
          <w:rFonts w:ascii="Arial" w:hAnsi="Arial"/>
          <w:sz w:val="24"/>
          <w:szCs w:val="24"/>
        </w:rPr>
        <w:t>Qualquer alteração contratual ou societária que modifique as informações cadastrais da contratada deverá ser comunicada formalmente ao FAPEN.</w:t>
      </w:r>
    </w:p>
    <w:p>
      <w:pPr>
        <w:pStyle w:val="Normal"/>
        <w:spacing w:lineRule="auto" w:line="360"/>
        <w:ind w:hanging="0" w:left="0"/>
        <w:jc w:val="both"/>
        <w:rPr/>
      </w:pPr>
      <w:r>
        <w:rPr>
          <w:rFonts w:ascii="Arial" w:hAnsi="Arial"/>
          <w:b/>
          <w:bCs/>
          <w:sz w:val="24"/>
          <w:szCs w:val="24"/>
        </w:rPr>
        <w:t>1</w:t>
      </w:r>
      <w:r>
        <w:rPr>
          <w:rFonts w:ascii="Arial" w:hAnsi="Arial"/>
          <w:b/>
          <w:bCs/>
          <w:sz w:val="24"/>
          <w:szCs w:val="24"/>
        </w:rPr>
        <w:t>5</w:t>
      </w:r>
      <w:r>
        <w:rPr>
          <w:rFonts w:ascii="Arial" w:hAnsi="Arial"/>
          <w:b/>
          <w:bCs/>
          <w:sz w:val="24"/>
          <w:szCs w:val="24"/>
        </w:rPr>
        <w:t xml:space="preserve">.7 </w:t>
      </w:r>
      <w:r>
        <w:rPr>
          <w:rFonts w:ascii="Arial" w:hAnsi="Arial"/>
          <w:sz w:val="24"/>
          <w:szCs w:val="24"/>
        </w:rPr>
        <w:t>Os pagamentos estarão condicionados ao efetivo recebimento dos serviços pela Contratante e ao cumprimento integral das obrigações contratuais assumidas pela Contratada.</w:t>
      </w:r>
    </w:p>
    <w:p>
      <w:pPr>
        <w:pStyle w:val="normal11"/>
        <w:spacing w:lineRule="auto" w:line="360"/>
        <w:ind w:hanging="0"/>
        <w:rPr>
          <w:lang w:val="pt-BR"/>
        </w:rPr>
      </w:pPr>
      <w:r>
        <w:rPr>
          <w:lang w:val="pt-BR"/>
        </w:rPr>
      </w:r>
    </w:p>
    <w:p>
      <w:pPr>
        <w:pStyle w:val="Normal"/>
        <w:spacing w:lineRule="auto" w:line="360"/>
        <w:ind w:hanging="0" w:left="0"/>
        <w:rPr>
          <w:rFonts w:ascii="Arial" w:hAnsi="Arial"/>
          <w:b/>
          <w:bCs/>
        </w:rPr>
      </w:pPr>
      <w:r>
        <w:rPr>
          <w:rFonts w:ascii="Arial" w:hAnsi="Arial"/>
          <w:b/>
          <w:bCs/>
        </w:rPr>
        <w:t>1</w:t>
      </w:r>
      <w:r>
        <w:rPr>
          <w:rFonts w:ascii="Arial" w:hAnsi="Arial"/>
          <w:b/>
          <w:bCs/>
        </w:rPr>
        <w:t>6</w:t>
      </w:r>
      <w:r>
        <w:rPr>
          <w:rFonts w:ascii="Arial" w:hAnsi="Arial"/>
          <w:b/>
          <w:bCs/>
        </w:rPr>
        <w:t>. DA VIGÊNCIA E PRORROGAÇÃO</w:t>
      </w:r>
    </w:p>
    <w:p>
      <w:pPr>
        <w:pStyle w:val="Normal"/>
        <w:spacing w:lineRule="auto" w:line="360"/>
        <w:ind w:hanging="0" w:left="0"/>
        <w:rPr>
          <w:b w:val="false"/>
          <w:bCs w:val="false"/>
        </w:rPr>
      </w:pPr>
      <w:r>
        <w:rPr>
          <w:rFonts w:ascii="Arial" w:hAnsi="Arial"/>
          <w:b/>
          <w:bCs/>
          <w:color w:val="000000"/>
        </w:rPr>
        <w:t>1</w:t>
      </w:r>
      <w:r>
        <w:rPr>
          <w:rFonts w:ascii="Arial" w:hAnsi="Arial"/>
          <w:b/>
          <w:bCs/>
          <w:color w:val="000000"/>
        </w:rPr>
        <w:t>6</w:t>
      </w:r>
      <w:r>
        <w:rPr>
          <w:rFonts w:ascii="Arial" w:hAnsi="Arial"/>
          <w:b/>
          <w:bCs/>
          <w:color w:val="000000"/>
        </w:rPr>
        <w:t>.1</w:t>
      </w:r>
      <w:r>
        <w:rPr>
          <w:rFonts w:ascii="Arial" w:hAnsi="Arial"/>
          <w:b w:val="false"/>
          <w:bCs w:val="false"/>
          <w:color w:val="000000"/>
        </w:rPr>
        <w:t xml:space="preserve"> </w:t>
      </w:r>
      <w:r>
        <w:rPr>
          <w:rFonts w:ascii="Arial" w:hAnsi="Arial"/>
          <w:b w:val="false"/>
          <w:bCs w:val="false"/>
          <w:color w:val="000000"/>
          <w:sz w:val="24"/>
          <w:szCs w:val="24"/>
        </w:rPr>
        <w:t>O prazo de vigência da contratação será de 24 (vinte e quatro) meses, contados da assinatura do instrumento contratual, podendo ser prorrogado por meio de termo aditivo, por um ou mais períodos atendidos os requisitos dos artigos 106 e 107 da Lei Federal 14.133/2021.</w:t>
      </w:r>
    </w:p>
    <w:p>
      <w:pPr>
        <w:pStyle w:val="Normal"/>
        <w:spacing w:lineRule="auto" w:line="360"/>
        <w:ind w:hanging="0" w:left="0"/>
        <w:rPr>
          <w:rFonts w:ascii="Arial" w:hAnsi="Arial"/>
          <w:b/>
          <w:bCs/>
          <w:sz w:val="24"/>
          <w:szCs w:val="24"/>
        </w:rPr>
      </w:pPr>
      <w:r>
        <w:rPr>
          <w:rFonts w:ascii="Arial" w:hAnsi="Arial"/>
          <w:b/>
          <w:bCs/>
          <w:sz w:val="24"/>
          <w:szCs w:val="24"/>
        </w:rPr>
      </w:r>
    </w:p>
    <w:p>
      <w:pPr>
        <w:pStyle w:val="normal11"/>
        <w:spacing w:lineRule="auto" w:line="360"/>
        <w:ind w:hanging="0"/>
        <w:rPr>
          <w:lang w:val="pt-BR"/>
        </w:rPr>
      </w:pPr>
      <w:r>
        <w:rPr>
          <w:rFonts w:eastAsia="Arial" w:cs="Arial" w:ascii="Arial" w:hAnsi="Arial"/>
          <w:b/>
          <w:bCs/>
          <w:color w:val="000000"/>
          <w:shd w:fill="FFFFFF" w:val="clear"/>
          <w:lang w:val="pt-BR"/>
        </w:rPr>
        <w:t>1</w:t>
      </w:r>
      <w:r>
        <w:rPr>
          <w:rFonts w:eastAsia="Arial" w:cs="Arial" w:ascii="Arial" w:hAnsi="Arial"/>
          <w:b/>
          <w:bCs/>
          <w:color w:val="000000"/>
          <w:shd w:fill="FFFFFF" w:val="clear"/>
          <w:lang w:val="pt-BR"/>
        </w:rPr>
        <w:t>6</w:t>
      </w:r>
      <w:r>
        <w:rPr>
          <w:rFonts w:eastAsia="Arial" w:cs="Arial" w:ascii="Arial" w:hAnsi="Arial"/>
          <w:b/>
          <w:bCs/>
          <w:color w:val="000000"/>
          <w:shd w:fill="FFFFFF" w:val="clear"/>
          <w:lang w:val="pt-BR"/>
        </w:rPr>
        <w:t>. DO REAJUSTE</w:t>
      </w:r>
    </w:p>
    <w:p>
      <w:pPr>
        <w:pStyle w:val="Normal"/>
        <w:spacing w:lineRule="auto" w:line="360"/>
        <w:ind w:hanging="0" w:left="0"/>
        <w:jc w:val="both"/>
        <w:rPr>
          <w:rFonts w:ascii="Arial" w:hAnsi="Arial"/>
          <w:sz w:val="24"/>
          <w:szCs w:val="24"/>
        </w:rPr>
      </w:pPr>
      <w:r>
        <w:rPr>
          <w:rFonts w:ascii="Arial" w:hAnsi="Arial"/>
          <w:b/>
          <w:bCs/>
          <w:sz w:val="24"/>
          <w:szCs w:val="24"/>
        </w:rPr>
        <w:t>1</w:t>
      </w:r>
      <w:r>
        <w:rPr>
          <w:rFonts w:ascii="Arial" w:hAnsi="Arial"/>
          <w:b/>
          <w:bCs/>
          <w:sz w:val="24"/>
          <w:szCs w:val="24"/>
        </w:rPr>
        <w:t>6</w:t>
      </w:r>
      <w:r>
        <w:rPr>
          <w:rFonts w:ascii="Arial" w:hAnsi="Arial"/>
          <w:b/>
          <w:bCs/>
          <w:sz w:val="24"/>
          <w:szCs w:val="24"/>
        </w:rPr>
        <w:t xml:space="preserve">.1 </w:t>
      </w:r>
      <w:r>
        <w:rPr>
          <w:rFonts w:ascii="Arial" w:hAnsi="Arial"/>
          <w:sz w:val="24"/>
          <w:szCs w:val="24"/>
        </w:rPr>
        <w:t>O valor contratual poderá ser reajustado após 24 meses, mediante aplicação do IPCA acumulado no período.</w:t>
      </w:r>
    </w:p>
    <w:p>
      <w:pPr>
        <w:pStyle w:val="Normal"/>
        <w:spacing w:lineRule="auto" w:line="360"/>
        <w:ind w:hanging="0" w:left="0"/>
        <w:jc w:val="both"/>
        <w:rPr>
          <w:rFonts w:ascii="Arial" w:hAnsi="Arial"/>
          <w:sz w:val="24"/>
          <w:szCs w:val="24"/>
        </w:rPr>
      </w:pPr>
      <w:r>
        <w:rPr>
          <w:rFonts w:ascii="Arial" w:hAnsi="Arial"/>
          <w:sz w:val="24"/>
          <w:szCs w:val="24"/>
        </w:rPr>
      </w:r>
    </w:p>
    <w:p>
      <w:pPr>
        <w:pStyle w:val="Normal"/>
        <w:spacing w:lineRule="auto" w:line="360"/>
        <w:ind w:hanging="0" w:left="0"/>
        <w:rPr>
          <w:rFonts w:ascii="Arial" w:hAnsi="Arial"/>
          <w:b/>
          <w:bCs/>
          <w:sz w:val="24"/>
          <w:szCs w:val="24"/>
        </w:rPr>
      </w:pPr>
      <w:r>
        <w:rPr>
          <w:rFonts w:ascii="Arial" w:hAnsi="Arial"/>
          <w:b/>
          <w:bCs/>
          <w:sz w:val="24"/>
          <w:szCs w:val="24"/>
        </w:rPr>
        <w:t>1</w:t>
      </w:r>
      <w:r>
        <w:rPr>
          <w:rFonts w:ascii="Arial" w:hAnsi="Arial"/>
          <w:b/>
          <w:bCs/>
          <w:sz w:val="24"/>
          <w:szCs w:val="24"/>
        </w:rPr>
        <w:t>7</w:t>
      </w:r>
      <w:r>
        <w:rPr>
          <w:rFonts w:ascii="Arial" w:hAnsi="Arial"/>
          <w:b/>
          <w:bCs/>
          <w:sz w:val="24"/>
          <w:szCs w:val="24"/>
        </w:rPr>
        <w:t>. SANÇÕES ADMINISTRATIVAS</w:t>
      </w:r>
    </w:p>
    <w:p>
      <w:pPr>
        <w:pStyle w:val="Normal"/>
        <w:spacing w:lineRule="auto" w:line="360"/>
        <w:ind w:hanging="0" w:left="0"/>
        <w:rPr>
          <w:rFonts w:ascii="Arial" w:hAnsi="Arial"/>
          <w:sz w:val="24"/>
          <w:szCs w:val="24"/>
        </w:rPr>
      </w:pPr>
      <w:r>
        <w:rPr>
          <w:rFonts w:ascii="Arial" w:hAnsi="Arial"/>
          <w:b/>
          <w:bCs/>
          <w:sz w:val="24"/>
          <w:szCs w:val="24"/>
        </w:rPr>
        <w:t>1</w:t>
      </w:r>
      <w:r>
        <w:rPr>
          <w:rFonts w:ascii="Arial" w:hAnsi="Arial"/>
          <w:b/>
          <w:bCs/>
          <w:sz w:val="24"/>
          <w:szCs w:val="24"/>
        </w:rPr>
        <w:t>7</w:t>
      </w:r>
      <w:r>
        <w:rPr>
          <w:rFonts w:ascii="Arial" w:hAnsi="Arial"/>
          <w:b/>
          <w:bCs/>
          <w:sz w:val="24"/>
          <w:szCs w:val="24"/>
        </w:rPr>
        <w:t>.1</w:t>
      </w:r>
      <w:r>
        <w:rPr>
          <w:rFonts w:ascii="Arial" w:hAnsi="Arial"/>
          <w:sz w:val="24"/>
          <w:szCs w:val="24"/>
        </w:rPr>
        <w:t xml:space="preserve"> O descumprimento total ou parcial das obrigações sujeitará a Contratada às sanções previstas no art. 156 da Lei nº 14.133/2021, conforme descrição a seguir:</w:t>
      </w:r>
    </w:p>
    <w:p>
      <w:pPr>
        <w:pStyle w:val="Normal"/>
        <w:spacing w:lineRule="auto" w:line="360"/>
        <w:ind w:hanging="0" w:left="0"/>
        <w:rPr>
          <w:rFonts w:ascii="Arial" w:hAnsi="Arial"/>
          <w:sz w:val="24"/>
          <w:szCs w:val="24"/>
        </w:rPr>
      </w:pPr>
      <w:r>
        <w:rPr>
          <w:rFonts w:ascii="Arial" w:hAnsi="Arial"/>
          <w:sz w:val="24"/>
          <w:szCs w:val="24"/>
        </w:rPr>
        <w:t>a) Advertência: será aplicada quando a infração for de menor gravidade.</w:t>
      </w:r>
    </w:p>
    <w:p>
      <w:pPr>
        <w:pStyle w:val="Normal"/>
        <w:spacing w:lineRule="auto" w:line="360"/>
        <w:ind w:hanging="0" w:left="0"/>
        <w:rPr>
          <w:rFonts w:ascii="Arial" w:hAnsi="Arial"/>
          <w:sz w:val="24"/>
          <w:szCs w:val="24"/>
        </w:rPr>
      </w:pPr>
      <w:r>
        <w:rPr>
          <w:rFonts w:ascii="Arial" w:hAnsi="Arial"/>
          <w:sz w:val="24"/>
          <w:szCs w:val="24"/>
        </w:rPr>
        <w:t>b) Multa Moratória: 0,5% (meio por cento) por dia de atraso limitada ao valor da parcela inadimplada.</w:t>
      </w:r>
    </w:p>
    <w:p>
      <w:pPr>
        <w:pStyle w:val="Normal"/>
        <w:spacing w:lineRule="auto" w:line="360"/>
        <w:ind w:hanging="0" w:left="0"/>
        <w:rPr>
          <w:rFonts w:ascii="Arial" w:hAnsi="Arial"/>
          <w:sz w:val="24"/>
          <w:szCs w:val="24"/>
        </w:rPr>
      </w:pPr>
      <w:r>
        <w:rPr>
          <w:rFonts w:ascii="Arial" w:hAnsi="Arial"/>
          <w:sz w:val="24"/>
          <w:szCs w:val="24"/>
        </w:rPr>
        <w:t>c) Multa Compensatória (Inexecução parcial): 10% (dez por cento) sobre o valor da parcela inadimplada.</w:t>
      </w:r>
    </w:p>
    <w:p>
      <w:pPr>
        <w:pStyle w:val="Normal"/>
        <w:spacing w:lineRule="auto" w:line="360"/>
        <w:ind w:hanging="0" w:left="0"/>
        <w:rPr>
          <w:rFonts w:ascii="Arial" w:hAnsi="Arial"/>
          <w:sz w:val="24"/>
          <w:szCs w:val="24"/>
        </w:rPr>
      </w:pPr>
      <w:r>
        <w:rPr>
          <w:rFonts w:ascii="Arial" w:hAnsi="Arial"/>
          <w:sz w:val="24"/>
          <w:szCs w:val="24"/>
        </w:rPr>
        <w:t>c) Multa Compensatória (Inexecução Total) :  30% (trinta por cento) sobre o valor total da contratação em caso de inexecução total do objeto.</w:t>
      </w:r>
    </w:p>
    <w:p>
      <w:pPr>
        <w:pStyle w:val="Normal"/>
        <w:spacing w:lineRule="auto" w:line="360"/>
        <w:ind w:hanging="0" w:left="0"/>
        <w:rPr>
          <w:rFonts w:ascii="Arial" w:hAnsi="Arial"/>
          <w:sz w:val="24"/>
          <w:szCs w:val="24"/>
        </w:rPr>
      </w:pPr>
      <w:r>
        <w:rPr>
          <w:rFonts w:ascii="Arial" w:hAnsi="Arial"/>
          <w:sz w:val="24"/>
          <w:szCs w:val="24"/>
        </w:rPr>
        <w:t>d) Impedimento de licitar e contratar:  será aplicada nos casos de infrações graves, pelo prazo de até 3 (três) anos, conforme incisos II, III, IV, V, VI e VII do caput do art. 155 da lei 14.133/2021.</w:t>
      </w:r>
    </w:p>
    <w:p>
      <w:pPr>
        <w:pStyle w:val="Normal"/>
        <w:spacing w:lineRule="auto" w:line="360"/>
        <w:ind w:hanging="0" w:left="0"/>
        <w:rPr>
          <w:rFonts w:ascii="Arial" w:hAnsi="Arial"/>
          <w:sz w:val="24"/>
          <w:szCs w:val="24"/>
        </w:rPr>
      </w:pPr>
      <w:r>
        <w:rPr>
          <w:rFonts w:ascii="Arial" w:hAnsi="Arial"/>
          <w:sz w:val="24"/>
          <w:szCs w:val="24"/>
        </w:rPr>
        <w:t>e) Declaração de inidoneidade para licitar ou contratar, nos termos do inciso I, II, III e IV do art. 156  da Lei Federal nº 14.133/2021.</w:t>
      </w:r>
    </w:p>
    <w:p>
      <w:pPr>
        <w:pStyle w:val="Normal"/>
        <w:spacing w:lineRule="auto" w:line="360"/>
        <w:ind w:hanging="0" w:left="0"/>
        <w:rPr>
          <w:rFonts w:ascii="Arial" w:hAnsi="Arial" w:eastAsia="Arial" w:cs="Arial"/>
          <w:b/>
          <w:bCs/>
          <w:color w:val="000000"/>
          <w:shd w:fill="FFFFFF" w:val="clear"/>
          <w:lang w:val="pt-BR"/>
        </w:rPr>
      </w:pPr>
      <w:r>
        <w:rPr>
          <w:rFonts w:eastAsia="Arial" w:cs="Arial" w:ascii="Arial" w:hAnsi="Arial"/>
          <w:b/>
          <w:bCs/>
          <w:color w:val="000000"/>
          <w:shd w:fill="FFFFFF" w:val="clear"/>
          <w:lang w:val="pt-BR"/>
        </w:rPr>
      </w:r>
    </w:p>
    <w:p>
      <w:pPr>
        <w:pStyle w:val="normal11"/>
        <w:spacing w:lineRule="auto" w:line="360"/>
        <w:ind w:hanging="0"/>
        <w:rPr>
          <w:lang w:val="pt-BR"/>
        </w:rPr>
      </w:pPr>
      <w:r>
        <w:rPr>
          <w:rFonts w:eastAsia="Arial" w:cs="Arial" w:ascii="Arial" w:hAnsi="Arial"/>
          <w:b/>
          <w:bCs/>
          <w:color w:val="000000"/>
          <w:shd w:fill="FFFFFF" w:val="clear"/>
          <w:lang w:val="pt-BR"/>
        </w:rPr>
        <w:t>1</w:t>
      </w:r>
      <w:r>
        <w:rPr>
          <w:rFonts w:eastAsia="Arial" w:cs="Arial" w:ascii="Arial" w:hAnsi="Arial"/>
          <w:b/>
          <w:bCs/>
          <w:color w:val="000000"/>
          <w:shd w:fill="FFFFFF" w:val="clear"/>
          <w:lang w:val="pt-BR"/>
        </w:rPr>
        <w:t>8</w:t>
      </w:r>
      <w:r>
        <w:rPr>
          <w:rFonts w:eastAsia="Arial" w:cs="Arial" w:ascii="Arial" w:hAnsi="Arial"/>
          <w:b/>
          <w:bCs/>
          <w:color w:val="000000"/>
          <w:shd w:fill="FFFFFF" w:val="clear"/>
          <w:lang w:val="pt-BR"/>
        </w:rPr>
        <w:t xml:space="preserve">. DAS CONDIÇÕES GERAIS </w:t>
      </w:r>
    </w:p>
    <w:p>
      <w:pPr>
        <w:pStyle w:val="normal11"/>
        <w:spacing w:lineRule="auto" w:line="360"/>
        <w:ind w:hanging="0"/>
        <w:rPr>
          <w:lang w:val="pt-BR"/>
        </w:rPr>
      </w:pPr>
      <w:r>
        <w:rPr>
          <w:rFonts w:eastAsia="Arial" w:cs="Arial" w:ascii="Arial" w:hAnsi="Arial"/>
          <w:b/>
          <w:bCs/>
          <w:color w:val="000000"/>
          <w:shd w:fill="FFFFFF" w:val="clear"/>
          <w:lang w:val="pt-BR"/>
        </w:rPr>
        <w:t>1</w:t>
      </w:r>
      <w:r>
        <w:rPr>
          <w:rFonts w:eastAsia="Arial" w:cs="Arial" w:ascii="Arial" w:hAnsi="Arial"/>
          <w:b/>
          <w:bCs/>
          <w:color w:val="000000"/>
          <w:shd w:fill="FFFFFF" w:val="clear"/>
          <w:lang w:val="pt-BR"/>
        </w:rPr>
        <w:t>8</w:t>
      </w:r>
      <w:r>
        <w:rPr>
          <w:rFonts w:eastAsia="Arial" w:cs="Arial" w:ascii="Arial" w:hAnsi="Arial"/>
          <w:b/>
          <w:bCs/>
          <w:color w:val="000000"/>
          <w:shd w:fill="FFFFFF" w:val="clear"/>
          <w:lang w:val="pt-BR"/>
        </w:rPr>
        <w:t>.1</w:t>
      </w:r>
      <w:r>
        <w:rPr>
          <w:rFonts w:eastAsia="Arial" w:cs="Arial" w:ascii="Arial" w:hAnsi="Arial"/>
          <w:color w:val="000000"/>
          <w:shd w:fill="FFFFFF" w:val="clear"/>
          <w:lang w:val="pt-BR"/>
        </w:rPr>
        <w:t xml:space="preserve"> </w:t>
      </w:r>
      <w:r>
        <w:rPr>
          <w:rFonts w:eastAsia="Arial" w:cs="Arial" w:ascii="Arial" w:hAnsi="Arial"/>
          <w:color w:val="000000"/>
          <w:sz w:val="24"/>
          <w:szCs w:val="24"/>
          <w:shd w:fill="FFFFFF" w:val="clear"/>
          <w:lang w:val="pt-BR"/>
        </w:rPr>
        <w:t>Aplicam-se à presente contratação as normas previstas na Lei nº 14.133/2021 e demais legislações pertinentes.</w:t>
      </w:r>
    </w:p>
    <w:p>
      <w:pPr>
        <w:pStyle w:val="normal11"/>
        <w:spacing w:lineRule="auto" w:line="360"/>
        <w:ind w:hanging="0"/>
        <w:rPr>
          <w:rFonts w:ascii="Arial" w:hAnsi="Arial" w:eastAsia="Arial" w:cs="Arial"/>
          <w:color w:val="000000"/>
          <w:sz w:val="24"/>
          <w:szCs w:val="24"/>
          <w:shd w:fill="FFFFFF" w:val="clear"/>
          <w:lang w:val="pt-BR"/>
        </w:rPr>
      </w:pPr>
      <w:r>
        <w:rPr>
          <w:rFonts w:eastAsia="Arial" w:cs="Arial" w:ascii="Arial" w:hAnsi="Arial"/>
          <w:b/>
          <w:bCs/>
          <w:color w:val="000000"/>
          <w:sz w:val="24"/>
          <w:szCs w:val="24"/>
          <w:shd w:fill="FFFFFF" w:val="clear"/>
          <w:lang w:val="pt-BR"/>
        </w:rPr>
        <w:t>1</w:t>
      </w:r>
      <w:r>
        <w:rPr>
          <w:rFonts w:eastAsia="Arial" w:cs="Arial" w:ascii="Arial" w:hAnsi="Arial"/>
          <w:b/>
          <w:bCs/>
          <w:color w:val="000000"/>
          <w:sz w:val="24"/>
          <w:szCs w:val="24"/>
          <w:shd w:fill="FFFFFF" w:val="clear"/>
          <w:lang w:val="pt-BR"/>
        </w:rPr>
        <w:t>8</w:t>
      </w:r>
      <w:r>
        <w:rPr>
          <w:rFonts w:eastAsia="Arial" w:cs="Arial" w:ascii="Arial" w:hAnsi="Arial"/>
          <w:b/>
          <w:bCs/>
          <w:color w:val="000000"/>
          <w:sz w:val="24"/>
          <w:szCs w:val="24"/>
          <w:shd w:fill="FFFFFF" w:val="clear"/>
          <w:lang w:val="pt-BR"/>
        </w:rPr>
        <w:t>.2</w:t>
      </w:r>
      <w:r>
        <w:rPr>
          <w:rFonts w:eastAsia="Arial" w:cs="Arial" w:ascii="Arial" w:hAnsi="Arial"/>
          <w:color w:val="000000"/>
          <w:sz w:val="24"/>
          <w:szCs w:val="24"/>
          <w:shd w:fill="FFFFFF" w:val="clear"/>
          <w:lang w:val="pt-BR"/>
        </w:rPr>
        <w:t xml:space="preserve"> Os casos omissos serão resolvidos pela Administração, observando os princípios da legalidade, impessoalidade, moralidade, publicidade, eficiência e interesse público.</w:t>
      </w:r>
    </w:p>
    <w:p>
      <w:pPr>
        <w:pStyle w:val="normal11"/>
        <w:spacing w:lineRule="auto" w:line="360"/>
        <w:ind w:hanging="0"/>
        <w:rPr>
          <w:rFonts w:ascii="Arial" w:hAnsi="Arial" w:eastAsia="Arial" w:cs="Arial"/>
          <w:color w:val="000000"/>
          <w:sz w:val="24"/>
          <w:szCs w:val="24"/>
          <w:shd w:fill="FFFFFF" w:val="clear"/>
          <w:lang w:val="pt-BR"/>
        </w:rPr>
      </w:pPr>
      <w:r>
        <w:rPr>
          <w:rFonts w:eastAsia="Arial" w:cs="Arial" w:ascii="Arial" w:hAnsi="Arial"/>
          <w:b/>
          <w:bCs/>
          <w:color w:val="000000"/>
          <w:sz w:val="24"/>
          <w:szCs w:val="24"/>
          <w:shd w:fill="FFFFFF" w:val="clear"/>
          <w:lang w:val="pt-BR"/>
        </w:rPr>
        <w:t>1</w:t>
      </w:r>
      <w:r>
        <w:rPr>
          <w:rFonts w:eastAsia="Arial" w:cs="Arial" w:ascii="Arial" w:hAnsi="Arial"/>
          <w:b/>
          <w:bCs/>
          <w:color w:val="000000"/>
          <w:sz w:val="24"/>
          <w:szCs w:val="24"/>
          <w:shd w:fill="FFFFFF" w:val="clear"/>
          <w:lang w:val="pt-BR"/>
        </w:rPr>
        <w:t>8</w:t>
      </w:r>
      <w:r>
        <w:rPr>
          <w:rFonts w:eastAsia="Arial" w:cs="Arial" w:ascii="Arial" w:hAnsi="Arial"/>
          <w:b/>
          <w:bCs/>
          <w:color w:val="000000"/>
          <w:sz w:val="24"/>
          <w:szCs w:val="24"/>
          <w:shd w:fill="FFFFFF" w:val="clear"/>
          <w:lang w:val="pt-BR"/>
        </w:rPr>
        <w:t>.3</w:t>
      </w:r>
      <w:r>
        <w:rPr>
          <w:rFonts w:eastAsia="Arial" w:cs="Arial" w:ascii="Arial" w:hAnsi="Arial"/>
          <w:color w:val="000000"/>
          <w:sz w:val="24"/>
          <w:szCs w:val="24"/>
          <w:shd w:fill="FFFFFF" w:val="clear"/>
          <w:lang w:val="pt-BR"/>
        </w:rPr>
        <w:t xml:space="preserve"> A comunicação entre contratante e contratada deverá ser formalizada por escrito, admitindo-se os meios eletrônicos.</w:t>
      </w:r>
    </w:p>
    <w:p>
      <w:pPr>
        <w:pStyle w:val="Normal"/>
        <w:spacing w:lineRule="auto" w:line="360"/>
        <w:ind w:hanging="0" w:left="0"/>
        <w:jc w:val="both"/>
        <w:rPr>
          <w:sz w:val="24"/>
          <w:szCs w:val="24"/>
          <w:lang w:val="pt-BR"/>
        </w:rPr>
      </w:pPr>
      <w:r>
        <w:rPr>
          <w:rFonts w:ascii="Arial" w:hAnsi="Arial"/>
          <w:b/>
          <w:bCs/>
          <w:sz w:val="24"/>
          <w:szCs w:val="24"/>
          <w:lang w:val="pt-BR"/>
        </w:rPr>
        <w:t>1</w:t>
      </w:r>
      <w:r>
        <w:rPr>
          <w:rFonts w:ascii="Arial" w:hAnsi="Arial"/>
          <w:b/>
          <w:bCs/>
          <w:sz w:val="24"/>
          <w:szCs w:val="24"/>
          <w:lang w:val="pt-BR"/>
        </w:rPr>
        <w:t>8</w:t>
      </w:r>
      <w:r>
        <w:rPr>
          <w:rFonts w:ascii="Arial" w:hAnsi="Arial"/>
          <w:b/>
          <w:bCs/>
          <w:sz w:val="24"/>
          <w:szCs w:val="24"/>
          <w:lang w:val="pt-BR"/>
        </w:rPr>
        <w:t>.4</w:t>
      </w:r>
      <w:r>
        <w:rPr>
          <w:rFonts w:ascii="Arial" w:hAnsi="Arial"/>
          <w:sz w:val="24"/>
          <w:szCs w:val="24"/>
          <w:lang w:val="pt-BR"/>
        </w:rPr>
        <w:t xml:space="preserve"> As eventuais alterações contratuais observarão os limites e condições estabelecidos na legislação vigente. </w:t>
      </w:r>
    </w:p>
    <w:p>
      <w:pPr>
        <w:pStyle w:val="normal11"/>
        <w:spacing w:lineRule="auto" w:line="360"/>
        <w:ind w:hanging="0"/>
        <w:rPr/>
      </w:pPr>
      <w:r>
        <w:rPr>
          <w:rFonts w:eastAsia="Arial" w:cs="Arial" w:ascii="Arial" w:hAnsi="Arial"/>
          <w:b/>
          <w:bCs/>
          <w:color w:val="000000"/>
          <w:shd w:fill="FFFFFF" w:val="clear"/>
          <w:lang w:val="pt-BR"/>
        </w:rPr>
        <w:t>1</w:t>
      </w:r>
      <w:r>
        <w:rPr>
          <w:rFonts w:eastAsia="Arial" w:cs="Arial" w:ascii="Arial" w:hAnsi="Arial"/>
          <w:b/>
          <w:bCs/>
          <w:color w:val="000000"/>
          <w:shd w:fill="FFFFFF" w:val="clear"/>
          <w:lang w:val="pt-BR"/>
        </w:rPr>
        <w:t>8</w:t>
      </w:r>
      <w:r>
        <w:rPr>
          <w:rFonts w:eastAsia="Arial" w:cs="Arial" w:ascii="Arial" w:hAnsi="Arial"/>
          <w:b/>
          <w:bCs/>
          <w:color w:val="000000"/>
          <w:shd w:fill="FFFFFF" w:val="clear"/>
          <w:lang w:val="pt-BR"/>
        </w:rPr>
        <w:t xml:space="preserve">.5 </w:t>
      </w:r>
      <w:r>
        <w:rPr>
          <w:rFonts w:eastAsia="Arial" w:cs="Arial" w:ascii="Arial" w:hAnsi="Arial"/>
          <w:color w:val="000000"/>
          <w:shd w:fill="FFFFFF" w:val="clear"/>
          <w:lang w:val="pt-BR"/>
        </w:rPr>
        <w:t xml:space="preserve">Eventuais pedidos de esclarecimentos deverão ser enviados ao e-mail </w:t>
      </w:r>
      <w:hyperlink r:id="rId4">
        <w:r>
          <w:rPr>
            <w:rStyle w:val="Hyperlink"/>
            <w:rFonts w:eastAsia="Arial" w:cs="Arial" w:ascii="Arial" w:hAnsi="Arial"/>
            <w:color w:val="000000"/>
            <w:shd w:fill="FFFFFF" w:val="clear"/>
            <w:lang w:val="pt-BR"/>
          </w:rPr>
          <w:t>licitacao@fapencampolargo.com.br</w:t>
        </w:r>
      </w:hyperlink>
      <w:r>
        <w:rPr>
          <w:rStyle w:val="Hyperlink"/>
          <w:rFonts w:eastAsia="Arial" w:cs="Arial" w:ascii="Arial" w:hAnsi="Arial"/>
          <w:color w:val="000000"/>
          <w:shd w:fill="FFFFFF" w:val="clear"/>
          <w:lang w:val="pt-BR"/>
        </w:rPr>
        <w:t xml:space="preserve"> </w:t>
      </w:r>
    </w:p>
    <w:p>
      <w:pPr>
        <w:pStyle w:val="normal11"/>
        <w:spacing w:lineRule="auto" w:line="360"/>
        <w:ind w:hanging="0"/>
        <w:rPr/>
      </w:pPr>
      <w:r>
        <w:rPr>
          <w:rStyle w:val="Hyperlink"/>
          <w:rFonts w:eastAsia="Arial" w:cs="Arial" w:ascii="Arial" w:hAnsi="Arial"/>
          <w:b/>
          <w:bCs/>
          <w:color w:val="000000"/>
          <w:u w:val="none"/>
          <w:shd w:fill="FFFFFF" w:val="clear"/>
          <w:lang w:val="pt-BR"/>
        </w:rPr>
        <w:t>1</w:t>
      </w:r>
      <w:r>
        <w:rPr>
          <w:rStyle w:val="Hyperlink"/>
          <w:rFonts w:eastAsia="Arial" w:cs="Arial" w:ascii="Arial" w:hAnsi="Arial"/>
          <w:b/>
          <w:bCs/>
          <w:color w:val="000000"/>
          <w:u w:val="none"/>
          <w:shd w:fill="FFFFFF" w:val="clear"/>
          <w:lang w:val="pt-BR"/>
        </w:rPr>
        <w:t>8</w:t>
      </w:r>
      <w:r>
        <w:rPr>
          <w:rStyle w:val="Hyperlink"/>
          <w:rFonts w:eastAsia="Arial" w:cs="Arial" w:ascii="Arial" w:hAnsi="Arial"/>
          <w:b/>
          <w:bCs/>
          <w:color w:val="000000"/>
          <w:u w:val="none"/>
          <w:shd w:fill="FFFFFF" w:val="clear"/>
          <w:lang w:val="pt-BR"/>
        </w:rPr>
        <w:t>.6</w:t>
      </w:r>
      <w:r>
        <w:rPr>
          <w:rStyle w:val="Hyperlink"/>
          <w:rFonts w:eastAsia="Arial" w:cs="Arial" w:ascii="Arial" w:hAnsi="Arial"/>
          <w:color w:val="000000"/>
          <w:u w:val="none"/>
          <w:shd w:fill="FFFFFF" w:val="clear"/>
          <w:lang w:val="pt-BR"/>
        </w:rPr>
        <w:t xml:space="preserve"> A contratação implica a aceitação integral das condições estabelecidas no Edital e nos anexos.</w:t>
      </w:r>
    </w:p>
    <w:p>
      <w:pPr>
        <w:pStyle w:val="normal11"/>
        <w:spacing w:lineRule="auto" w:line="360"/>
        <w:ind w:hanging="0"/>
        <w:rPr>
          <w:rFonts w:ascii="Arial" w:hAnsi="Arial" w:eastAsia="Arial" w:cs="Arial"/>
          <w:color w:val="000000"/>
          <w:shd w:fill="FFFF00" w:val="clear"/>
          <w:lang w:val="pt-BR"/>
        </w:rPr>
      </w:pPr>
      <w:r>
        <w:rPr>
          <w:rFonts w:eastAsia="Arial" w:cs="Arial" w:ascii="Arial" w:hAnsi="Arial"/>
          <w:color w:val="000000"/>
          <w:shd w:fill="FFFF00" w:val="clear"/>
          <w:lang w:val="pt-BR"/>
        </w:rPr>
      </w:r>
    </w:p>
    <w:p>
      <w:pPr>
        <w:pStyle w:val="normal11"/>
        <w:spacing w:lineRule="auto" w:line="360"/>
        <w:ind w:hanging="0"/>
        <w:rPr>
          <w:lang w:val="pt-BR"/>
        </w:rPr>
      </w:pPr>
      <w:r>
        <w:rPr>
          <w:rFonts w:eastAsia="Arial" w:cs="Arial" w:ascii="Arial" w:hAnsi="Arial"/>
          <w:b/>
          <w:bCs/>
          <w:color w:val="000000"/>
          <w:shd w:fill="FFFFFF" w:val="clear"/>
          <w:lang w:val="pt-BR"/>
        </w:rPr>
        <w:t>1</w:t>
      </w:r>
      <w:r>
        <w:rPr>
          <w:rFonts w:eastAsia="Arial" w:cs="Arial" w:ascii="Arial" w:hAnsi="Arial"/>
          <w:b/>
          <w:bCs/>
          <w:color w:val="000000"/>
          <w:shd w:fill="FFFFFF" w:val="clear"/>
          <w:lang w:val="pt-BR"/>
        </w:rPr>
        <w:t>9</w:t>
      </w:r>
      <w:r>
        <w:rPr>
          <w:rFonts w:eastAsia="Arial" w:cs="Arial" w:ascii="Arial" w:hAnsi="Arial"/>
          <w:b/>
          <w:bCs/>
          <w:color w:val="000000"/>
          <w:shd w:fill="FFFFFF" w:val="clear"/>
          <w:lang w:val="pt-BR"/>
        </w:rPr>
        <w:t xml:space="preserve">. DOS ANEXOS </w:t>
      </w:r>
    </w:p>
    <w:p>
      <w:pPr>
        <w:pStyle w:val="normal11"/>
        <w:spacing w:lineRule="auto" w:line="360"/>
        <w:ind w:hanging="0"/>
        <w:rPr>
          <w:lang w:val="pt-BR"/>
        </w:rPr>
      </w:pPr>
      <w:r>
        <w:rPr>
          <w:rFonts w:eastAsia="Arial" w:cs="Arial" w:ascii="Arial" w:hAnsi="Arial"/>
          <w:color w:val="000000"/>
          <w:shd w:fill="FFFFFF" w:val="clear"/>
          <w:lang w:val="pt-BR"/>
        </w:rPr>
        <w:t>ANEXO I – TERMO DE REFERÊNCIA</w:t>
      </w:r>
    </w:p>
    <w:p>
      <w:pPr>
        <w:pStyle w:val="normal11"/>
        <w:spacing w:lineRule="auto" w:line="360"/>
        <w:ind w:hanging="0"/>
        <w:rPr>
          <w:lang w:val="pt-BR"/>
        </w:rPr>
      </w:pPr>
      <w:r>
        <w:rPr>
          <w:rFonts w:eastAsia="Arial" w:cs="Arial" w:ascii="Arial" w:hAnsi="Arial"/>
          <w:color w:val="000000"/>
          <w:shd w:fill="FFFFFF" w:val="clear"/>
          <w:lang w:val="pt-BR"/>
        </w:rPr>
        <w:t>ANEXO II – MODELO DE PROPOSTA COMERCIAL</w:t>
      </w:r>
    </w:p>
    <w:p>
      <w:pPr>
        <w:pStyle w:val="normal11"/>
        <w:spacing w:lineRule="auto" w:line="360"/>
        <w:ind w:hanging="0"/>
        <w:rPr>
          <w:lang w:val="pt-BR"/>
        </w:rPr>
      </w:pPr>
      <w:r>
        <w:rPr>
          <w:rFonts w:eastAsia="Arial" w:cs="Arial" w:ascii="Arial" w:hAnsi="Arial"/>
          <w:color w:val="000000"/>
          <w:shd w:fill="FFFFFF" w:val="clear"/>
          <w:lang w:val="pt-BR"/>
        </w:rPr>
        <w:t>ANEXO III – MINUTA DO CONTRATO</w:t>
      </w:r>
    </w:p>
    <w:p>
      <w:pPr>
        <w:pStyle w:val="normal11"/>
        <w:spacing w:lineRule="auto" w:line="360"/>
        <w:ind w:hanging="0"/>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360"/>
        <w:ind w:hanging="0"/>
        <w:jc w:val="right"/>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360"/>
        <w:ind w:hanging="0"/>
        <w:jc w:val="right"/>
        <w:rPr>
          <w:lang w:val="pt-BR"/>
        </w:rPr>
      </w:pPr>
      <w:r>
        <w:rPr>
          <w:rFonts w:eastAsia="Arial" w:cs="Arial" w:ascii="Arial" w:hAnsi="Arial"/>
          <w:color w:val="000000"/>
          <w:shd w:fill="FFFFFF" w:val="clear"/>
          <w:lang w:val="pt-BR"/>
        </w:rPr>
        <w:t>Campo Largo/PR,  assinado e datado eletronicamente.</w:t>
      </w:r>
    </w:p>
    <w:p>
      <w:pPr>
        <w:pStyle w:val="normal11"/>
        <w:spacing w:lineRule="auto" w:line="360"/>
        <w:ind w:hanging="0"/>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360"/>
        <w:ind w:hanging="0"/>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360"/>
        <w:ind w:hanging="0"/>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360"/>
        <w:ind w:hanging="0"/>
        <w:rPr>
          <w:rFonts w:ascii="Arial" w:hAnsi="Arial" w:eastAsia="Arial" w:cs="Arial"/>
          <w:color w:val="000000"/>
          <w:shd w:fill="FFFFFF" w:val="clear"/>
          <w:lang w:val="pt-BR"/>
        </w:rPr>
      </w:pPr>
      <w:r>
        <w:rPr>
          <w:rFonts w:eastAsia="Arial" w:cs="Arial" w:ascii="Arial" w:hAnsi="Arial"/>
          <w:color w:val="000000"/>
          <w:shd w:fill="FFFFFF" w:val="clear"/>
          <w:lang w:val="pt-BR"/>
        </w:rPr>
      </w:r>
    </w:p>
    <w:p>
      <w:pPr>
        <w:pStyle w:val="normal11"/>
        <w:spacing w:lineRule="auto" w:line="240"/>
        <w:ind w:hanging="0"/>
        <w:jc w:val="center"/>
        <w:rPr>
          <w:lang w:val="pt-BR"/>
        </w:rPr>
      </w:pPr>
      <w:r>
        <w:rPr>
          <w:rFonts w:eastAsia="Arial" w:cs="Arial" w:ascii="Arial" w:hAnsi="Arial"/>
          <w:b/>
          <w:bCs/>
          <w:color w:val="000000"/>
          <w:shd w:fill="FFFFFF" w:val="clear"/>
          <w:lang w:val="pt-BR"/>
        </w:rPr>
        <w:t>Viviane Massue Sakazaki</w:t>
      </w:r>
    </w:p>
    <w:p>
      <w:pPr>
        <w:pStyle w:val="normal11"/>
        <w:spacing w:lineRule="auto" w:line="240"/>
        <w:ind w:hanging="0"/>
        <w:jc w:val="center"/>
        <w:rPr>
          <w:lang w:val="pt-BR"/>
        </w:rPr>
      </w:pPr>
      <w:r>
        <w:rPr>
          <w:rFonts w:eastAsia="Arial" w:cs="Arial" w:ascii="Arial" w:hAnsi="Arial"/>
          <w:color w:val="000000"/>
          <w:shd w:fill="FFFFFF" w:val="clear"/>
          <w:lang w:val="pt-BR"/>
        </w:rPr>
        <w:t xml:space="preserve">Pregoeiro e Agente de Contratação </w:t>
      </w:r>
    </w:p>
    <w:p>
      <w:pPr>
        <w:pStyle w:val="normal11"/>
        <w:spacing w:lineRule="auto" w:line="240"/>
        <w:ind w:hanging="0"/>
        <w:jc w:val="center"/>
        <w:rPr>
          <w:lang w:val="pt-BR"/>
        </w:rPr>
      </w:pPr>
      <w:r>
        <w:rPr>
          <w:rFonts w:eastAsia="Arial" w:cs="Arial" w:ascii="Arial" w:hAnsi="Arial"/>
          <w:color w:val="000000"/>
          <w:shd w:fill="FFFFFF" w:val="clear"/>
          <w:lang w:val="pt-BR"/>
        </w:rPr>
        <w:t xml:space="preserve"> </w:t>
      </w:r>
      <w:r>
        <w:rPr>
          <w:rFonts w:eastAsia="Arial" w:cs="Arial" w:ascii="Arial" w:hAnsi="Arial"/>
          <w:color w:val="000000"/>
          <w:shd w:fill="FFFFFF" w:val="clear"/>
          <w:lang w:val="pt-BR"/>
        </w:rPr>
        <w:t>Portaria 035/2026</w:t>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11"/>
        <w:spacing w:lineRule="auto" w:line="240"/>
        <w:ind w:hanging="0"/>
        <w:jc w:val="center"/>
        <w:rPr>
          <w:lang w:val="pt-BR"/>
        </w:rPr>
      </w:pPr>
      <w:r>
        <w:rPr>
          <w:lang w:val="pt-BR"/>
        </w:rPr>
      </w:r>
    </w:p>
    <w:p>
      <w:pPr>
        <w:pStyle w:val="Normal"/>
        <w:rPr>
          <w:rFonts w:ascii="Arial" w:hAnsi="Arial"/>
          <w:b/>
          <w:bCs/>
          <w:sz w:val="24"/>
          <w:szCs w:val="24"/>
        </w:rPr>
      </w:pPr>
      <w:r>
        <w:rPr>
          <w:rFonts w:ascii="Arial" w:hAnsi="Arial"/>
          <w:b/>
          <w:bCs/>
          <w:sz w:val="24"/>
          <w:szCs w:val="24"/>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020" w:right="1134" w:gutter="0" w:header="390" w:top="2145" w:footer="9" w:bottom="90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ntique Olive">
    <w:charset w:val="00"/>
    <w:family w:val="roman"/>
    <w:pitch w:val="variable"/>
  </w:font>
  <w:font w:name="Calibri">
    <w:charset w:val="00"/>
    <w:family w:val="roman"/>
    <w:pitch w:val="variable"/>
  </w:font>
  <w:font w:name="Courier New">
    <w:charset w:val="00"/>
    <w:family w:val="roman"/>
    <w:pitch w:val="variable"/>
  </w:font>
  <w:font w:name="Wingdings">
    <w:charset w:val="00"/>
    <w:family w:val="roman"/>
    <w:pitch w:val="variable"/>
    <w:embedRegular r:id="rId1" w:fontKey="{01014A78-CABC-4EF0-12AC-5CD89AEFDE01}"/>
  </w:font>
  <w:font w:name="Tahoma">
    <w:charset w:val="00"/>
    <w:family w:val="roman"/>
    <w:pitch w:val="variable"/>
  </w:font>
  <w:font w:name="OpenSymbol">
    <w:altName w:val="Arial Unicode MS"/>
    <w:charset w:val="02"/>
    <w:family w:val="roman"/>
    <w:pitch w:val="variable"/>
  </w:font>
  <w:font w:name="Liberation Sans">
    <w:altName w:val="Arial"/>
    <w:charset w:val="00"/>
    <w:family w:val="roman"/>
    <w:pitch w:val="variable"/>
  </w:font>
  <w:font w:name="Georgia">
    <w:charset w:val="00"/>
    <w:family w:val="roman"/>
    <w:pitch w:val="variable"/>
    <w:embedRegular r:id="rId2" w:fontKey="{02014A78-CABC-4EF0-12AC-5CD89AEFDE02}"/>
    <w:embedBold r:id="rId3" w:fontKey="{03014A78-CABC-4EF0-12AC-5CD89AEFDE03}"/>
    <w:embedItalic r:id="rId4" w:fontKey="{04014A78-CABC-4EF0-12AC-5CD89AEFDE04}"/>
    <w:embedBoldItalic r:id="rId5" w:fontKey="{05014A78-CABC-4EF0-12AC-5CD89AEFDE05}"/>
  </w:font>
  <w:font w:name="OpenSymbol">
    <w:altName w:val="Arial Unicode MS"/>
    <w:charset w:val="01"/>
    <w:family w:val="auto"/>
    <w:pitch w:val="variable"/>
  </w:font>
  <w:font w:name="Wingdings">
    <w:charset w:val="02"/>
    <w:family w:val="auto"/>
    <w:pitch w:val="variable"/>
    <w:embedRegular r:id="rId6" w:fontKey="{06014A78-CABC-4EF0-12AC-5CD89AEFDE06}"/>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
      <w:keepNext w:val="false"/>
      <w:keepLines w:val="false"/>
      <w:widowControl/>
      <w:tabs>
        <w:tab w:val="clear" w:pos="720"/>
        <w:tab w:val="center" w:pos="4252" w:leader="none"/>
        <w:tab w:val="right" w:pos="8504" w:leader="none"/>
        <w:tab w:val="right" w:pos="9540" w:leader="none"/>
      </w:tabs>
      <w:spacing w:lineRule="auto" w:line="240" w:before="0" w:after="0"/>
      <w:ind w:hanging="0" w:left="0" w:right="-1036"/>
      <w:contextualSpacing w:val="false"/>
      <w:jc w:val="both"/>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 xml:space="preserve">                                             </w:t>
    </w: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Rua Gonçalves Dias, nº 870, Centro, Campo Largo, Pr – CEP 83.601-130</w:t>
    </w:r>
  </w:p>
  <w:p>
    <w:pPr>
      <w:pStyle w:val="normal11"/>
      <w:keepNext w:val="false"/>
      <w:keepLines w:val="false"/>
      <w:widowControl/>
      <w:tabs>
        <w:tab w:val="clear" w:pos="720"/>
        <w:tab w:val="left" w:pos="3450" w:leader="none"/>
        <w:tab w:val="center" w:pos="4252" w:leader="none"/>
        <w:tab w:val="center" w:pos="4677" w:leader="none"/>
        <w:tab w:val="right" w:pos="8504" w:leader="none"/>
      </w:tabs>
      <w:spacing w:lineRule="auto" w:line="240" w:before="0" w:after="0"/>
      <w:ind w:hanging="0" w:left="0" w:right="0"/>
      <w:contextualSpacing w:val="false"/>
      <w:jc w:val="left"/>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ab/>
      <w:tab/>
      <w:t>CNPJ 05.067.274/0001-11</w:t>
    </w:r>
  </w:p>
  <w:p>
    <w:pPr>
      <w:pStyle w:val="normal11"/>
      <w:keepNext w:val="false"/>
      <w:keepLines w:val="false"/>
      <w:widowControl/>
      <w:tabs>
        <w:tab w:val="clear" w:pos="720"/>
        <w:tab w:val="center" w:pos="4252" w:leader="none"/>
        <w:tab w:val="right" w:pos="8504" w:leader="none"/>
      </w:tabs>
      <w:spacing w:lineRule="auto" w:line="240" w:before="0" w:after="0"/>
      <w:ind w:hanging="0" w:left="0" w:right="0"/>
      <w:contextualSpacing w:val="false"/>
      <w:jc w:val="center"/>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 xml:space="preserve">Fone/Fax: (41) 3292-4217 ou 3392-4512 - Email: </w:t>
    </w:r>
    <w:r>
      <w:rPr>
        <w:rFonts w:eastAsia="Arial" w:cs="Arial" w:ascii="Arial" w:hAnsi="Arial"/>
        <w:b w:val="false"/>
        <w:bCs w:val="false"/>
        <w:i w:val="false"/>
        <w:iCs w:val="false"/>
        <w:caps w:val="false"/>
        <w:smallCaps w:val="false"/>
        <w:strike w:val="false"/>
        <w:dstrike w:val="false"/>
        <w:color w:val="0000FF"/>
        <w:position w:val="0"/>
        <w:sz w:val="18"/>
        <w:szCs w:val="18"/>
        <w:u w:val="single"/>
        <w:shd w:fill="auto" w:val="clear"/>
        <w:vertAlign w:val="baseline"/>
        <w:lang w:val="pt-BR"/>
      </w:rPr>
      <w:t>licitacao@fapencampolargo.com.br</w:t>
    </w:r>
  </w:p>
  <w:p>
    <w:pPr>
      <w:pStyle w:val="normal11"/>
      <w:keepNext w:val="false"/>
      <w:keepLines w:val="false"/>
      <w:widowControl/>
      <w:tabs>
        <w:tab w:val="clear" w:pos="720"/>
        <w:tab w:val="center" w:pos="4252" w:leader="none"/>
        <w:tab w:val="right" w:pos="8504" w:leader="none"/>
      </w:tabs>
      <w:spacing w:lineRule="auto" w:line="240" w:before="0" w:after="0"/>
      <w:ind w:hanging="0" w:left="0" w:right="360"/>
      <w:contextualSpacing w:val="false"/>
      <w:jc w:val="both"/>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
      <w:keepNext w:val="false"/>
      <w:keepLines w:val="false"/>
      <w:widowControl/>
      <w:tabs>
        <w:tab w:val="clear" w:pos="720"/>
        <w:tab w:val="center" w:pos="4252" w:leader="none"/>
        <w:tab w:val="right" w:pos="8504" w:leader="none"/>
        <w:tab w:val="right" w:pos="9540" w:leader="none"/>
      </w:tabs>
      <w:spacing w:lineRule="auto" w:line="240" w:before="0" w:after="0"/>
      <w:ind w:hanging="0" w:left="0" w:right="-1036"/>
      <w:contextualSpacing w:val="false"/>
      <w:jc w:val="both"/>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 xml:space="preserve">                                             </w:t>
    </w: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Rua Gonçalves Dias, nº 870, Centro, Campo Largo, Pr – CEP 83.601-130</w:t>
    </w:r>
  </w:p>
  <w:p>
    <w:pPr>
      <w:pStyle w:val="normal11"/>
      <w:keepNext w:val="false"/>
      <w:keepLines w:val="false"/>
      <w:widowControl/>
      <w:tabs>
        <w:tab w:val="clear" w:pos="720"/>
        <w:tab w:val="left" w:pos="3450" w:leader="none"/>
        <w:tab w:val="center" w:pos="4252" w:leader="none"/>
        <w:tab w:val="center" w:pos="4677" w:leader="none"/>
        <w:tab w:val="right" w:pos="8504" w:leader="none"/>
      </w:tabs>
      <w:spacing w:lineRule="auto" w:line="240" w:before="0" w:after="0"/>
      <w:ind w:hanging="0" w:left="0" w:right="0"/>
      <w:contextualSpacing w:val="false"/>
      <w:jc w:val="left"/>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ab/>
      <w:tab/>
      <w:t>CNPJ 05.067.274/0001-11</w:t>
    </w:r>
  </w:p>
  <w:p>
    <w:pPr>
      <w:pStyle w:val="normal11"/>
      <w:keepNext w:val="false"/>
      <w:keepLines w:val="false"/>
      <w:widowControl/>
      <w:tabs>
        <w:tab w:val="clear" w:pos="720"/>
        <w:tab w:val="center" w:pos="4252" w:leader="none"/>
        <w:tab w:val="right" w:pos="8504" w:leader="none"/>
      </w:tabs>
      <w:spacing w:lineRule="auto" w:line="240" w:before="0" w:after="0"/>
      <w:ind w:hanging="0" w:left="0" w:right="0"/>
      <w:contextualSpacing w:val="false"/>
      <w:jc w:val="center"/>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lang w:val="pt-BR"/>
      </w:rPr>
      <w:t xml:space="preserve">Fone/Fax: (41) 3292-4217 ou 3392-4512 - Email: </w:t>
    </w:r>
    <w:r>
      <w:rPr>
        <w:rFonts w:eastAsia="Arial" w:cs="Arial" w:ascii="Arial" w:hAnsi="Arial"/>
        <w:b w:val="false"/>
        <w:bCs w:val="false"/>
        <w:i w:val="false"/>
        <w:iCs w:val="false"/>
        <w:caps w:val="false"/>
        <w:smallCaps w:val="false"/>
        <w:strike w:val="false"/>
        <w:dstrike w:val="false"/>
        <w:color w:val="0000FF"/>
        <w:position w:val="0"/>
        <w:sz w:val="18"/>
        <w:szCs w:val="18"/>
        <w:u w:val="single"/>
        <w:shd w:fill="auto" w:val="clear"/>
        <w:vertAlign w:val="baseline"/>
        <w:lang w:val="pt-BR"/>
      </w:rPr>
      <w:t>licitacao@fapencampolargo.com.br</w:t>
    </w:r>
  </w:p>
  <w:p>
    <w:pPr>
      <w:pStyle w:val="normal11"/>
      <w:keepNext w:val="false"/>
      <w:keepLines w:val="false"/>
      <w:widowControl/>
      <w:tabs>
        <w:tab w:val="clear" w:pos="720"/>
        <w:tab w:val="center" w:pos="4252" w:leader="none"/>
        <w:tab w:val="right" w:pos="8504" w:leader="none"/>
      </w:tabs>
      <w:spacing w:lineRule="auto" w:line="240" w:before="0" w:after="0"/>
      <w:ind w:hanging="0" w:left="0" w:right="360"/>
      <w:contextualSpacing w:val="false"/>
      <w:jc w:val="both"/>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Cs w:val="18"/>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
      <w:keepNext w:val="false"/>
      <w:keepLines w:val="false"/>
      <w:widowControl/>
      <w:tabs>
        <w:tab w:val="clear" w:pos="720"/>
        <w:tab w:val="center" w:pos="4252" w:leader="none"/>
        <w:tab w:val="right" w:pos="8504" w:leader="none"/>
      </w:tabs>
      <w:spacing w:lineRule="auto" w:line="240" w:before="0" w:after="0"/>
      <w:ind w:hanging="0" w:left="0" w:right="0"/>
      <w:contextualSpacing w:val="false"/>
      <w:jc w:val="center"/>
      <w:rPr>
        <w:rFonts w:ascii="Arial" w:hAnsi="Arial"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pPr>
    <w:r>
      <w:rPr/>
      <w:drawing>
        <wp:inline distT="0" distB="0" distL="0" distR="0">
          <wp:extent cx="5939790" cy="11049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5939790" cy="110490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1"/>
      <w:keepNext w:val="false"/>
      <w:keepLines w:val="false"/>
      <w:widowControl/>
      <w:tabs>
        <w:tab w:val="clear" w:pos="720"/>
        <w:tab w:val="center" w:pos="4252" w:leader="none"/>
        <w:tab w:val="right" w:pos="8504" w:leader="none"/>
      </w:tabs>
      <w:spacing w:lineRule="auto" w:line="240" w:before="0" w:after="0"/>
      <w:ind w:hanging="0" w:left="0" w:right="0"/>
      <w:contextualSpacing w:val="false"/>
      <w:jc w:val="center"/>
      <w:rPr>
        <w:rFonts w:ascii="Arial" w:hAnsi="Arial" w:eastAsia="Times New Roman" w:cs="Times New Roman"/>
        <w:b w:val="false"/>
        <w:bCs w:val="false"/>
        <w:i w:val="false"/>
        <w:iCs w:val="false"/>
        <w:caps w:val="false"/>
        <w:smallCaps w:val="false"/>
        <w:strike w:val="false"/>
        <w:dstrike w:val="false"/>
        <w:color w:val="000000"/>
        <w:position w:val="0"/>
        <w:sz w:val="24"/>
        <w:szCs w:val="24"/>
        <w:u w:val="none"/>
        <w:shd w:fill="auto" w:val="clear"/>
        <w:vertAlign w:val="baseline"/>
      </w:rPr>
    </w:pPr>
    <w:r>
      <w:rPr/>
      <w:drawing>
        <wp:inline distT="0" distB="0" distL="0" distR="0">
          <wp:extent cx="5939790" cy="11049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noChangeArrowheads="1"/>
                  </pic:cNvPicPr>
                </pic:nvPicPr>
                <pic:blipFill>
                  <a:blip r:embed="rId1"/>
                  <a:stretch>
                    <a:fillRect/>
                  </a:stretch>
                </pic:blipFill>
                <pic:spPr bwMode="auto">
                  <a:xfrm>
                    <a:off x="0" y="0"/>
                    <a:ext cx="5939790" cy="110490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w w:val="100"/>
        <w:position w:val="0"/>
        <w:sz w:val="24"/>
        <w:effect w:val="none"/>
        <w:vertAlign w:val="baseline"/>
        <w:em w:val="none"/>
      </w:rPr>
    </w:lvl>
    <w:lvl w:ilvl="1">
      <w:start w:val="1"/>
      <w:numFmt w:val="bullet"/>
      <w:lvlText w:val="◦"/>
      <w:lvlJc w:val="left"/>
      <w:pPr>
        <w:tabs>
          <w:tab w:val="num" w:pos="1080"/>
        </w:tabs>
        <w:ind w:left="1080" w:hanging="360"/>
      </w:pPr>
      <w:rPr>
        <w:rFonts w:ascii="OpenSymbol" w:hAnsi="OpenSymbol" w:cs="OpenSymbol" w:hint="default"/>
        <w:w w:val="100"/>
        <w:position w:val="0"/>
        <w:sz w:val="24"/>
        <w:effect w:val="none"/>
        <w:vertAlign w:val="baseline"/>
        <w:em w:val="none"/>
      </w:rPr>
    </w:lvl>
    <w:lvl w:ilvl="2">
      <w:start w:val="1"/>
      <w:numFmt w:val="bullet"/>
      <w:lvlText w:val="▪"/>
      <w:lvlJc w:val="left"/>
      <w:pPr>
        <w:tabs>
          <w:tab w:val="num" w:pos="1440"/>
        </w:tabs>
        <w:ind w:left="1440" w:hanging="360"/>
      </w:pPr>
      <w:rPr>
        <w:rFonts w:ascii="OpenSymbol" w:hAnsi="OpenSymbol" w:cs="OpenSymbol" w:hint="default"/>
        <w:w w:val="100"/>
        <w:position w:val="0"/>
        <w:sz w:val="24"/>
        <w:effect w:val="none"/>
        <w:vertAlign w:val="baseline"/>
        <w:em w:val="none"/>
      </w:rPr>
    </w:lvl>
    <w:lvl w:ilvl="3">
      <w:start w:val="1"/>
      <w:numFmt w:val="bullet"/>
      <w:lvlText w:val=""/>
      <w:lvlJc w:val="left"/>
      <w:pPr>
        <w:tabs>
          <w:tab w:val="num" w:pos="1800"/>
        </w:tabs>
        <w:ind w:left="1800" w:hanging="360"/>
      </w:pPr>
      <w:rPr>
        <w:rFonts w:ascii="Symbol" w:hAnsi="Symbol" w:cs="Symbol" w:hint="default"/>
        <w:w w:val="100"/>
        <w:position w:val="0"/>
        <w:sz w:val="24"/>
        <w:effect w:val="none"/>
        <w:vertAlign w:val="baseline"/>
        <w:em w:val="none"/>
      </w:rPr>
    </w:lvl>
    <w:lvl w:ilvl="4">
      <w:start w:val="1"/>
      <w:numFmt w:val="bullet"/>
      <w:lvlText w:val="◦"/>
      <w:lvlJc w:val="left"/>
      <w:pPr>
        <w:tabs>
          <w:tab w:val="num" w:pos="2160"/>
        </w:tabs>
        <w:ind w:left="2160" w:hanging="360"/>
      </w:pPr>
      <w:rPr>
        <w:rFonts w:ascii="OpenSymbol" w:hAnsi="OpenSymbol" w:cs="OpenSymbol" w:hint="default"/>
        <w:w w:val="100"/>
        <w:position w:val="0"/>
        <w:sz w:val="24"/>
        <w:effect w:val="none"/>
        <w:vertAlign w:val="baseline"/>
        <w:em w:val="none"/>
      </w:rPr>
    </w:lvl>
    <w:lvl w:ilvl="5">
      <w:start w:val="1"/>
      <w:numFmt w:val="bullet"/>
      <w:lvlText w:val="▪"/>
      <w:lvlJc w:val="left"/>
      <w:pPr>
        <w:tabs>
          <w:tab w:val="num" w:pos="2520"/>
        </w:tabs>
        <w:ind w:left="2520" w:hanging="360"/>
      </w:pPr>
      <w:rPr>
        <w:rFonts w:ascii="OpenSymbol" w:hAnsi="OpenSymbol" w:cs="OpenSymbol" w:hint="default"/>
        <w:w w:val="100"/>
        <w:position w:val="0"/>
        <w:sz w:val="24"/>
        <w:effect w:val="none"/>
        <w:vertAlign w:val="baseline"/>
        <w:em w:val="none"/>
      </w:rPr>
    </w:lvl>
    <w:lvl w:ilvl="6">
      <w:start w:val="1"/>
      <w:numFmt w:val="bullet"/>
      <w:lvlText w:val=""/>
      <w:lvlJc w:val="left"/>
      <w:pPr>
        <w:tabs>
          <w:tab w:val="num" w:pos="2880"/>
        </w:tabs>
        <w:ind w:left="2880" w:hanging="360"/>
      </w:pPr>
      <w:rPr>
        <w:rFonts w:ascii="Symbol" w:hAnsi="Symbol" w:cs="Symbol" w:hint="default"/>
        <w:w w:val="100"/>
        <w:position w:val="0"/>
        <w:sz w:val="24"/>
        <w:effect w:val="none"/>
        <w:vertAlign w:val="baseline"/>
        <w:em w:val="none"/>
      </w:rPr>
    </w:lvl>
    <w:lvl w:ilvl="7">
      <w:start w:val="1"/>
      <w:numFmt w:val="bullet"/>
      <w:lvlText w:val="◦"/>
      <w:lvlJc w:val="left"/>
      <w:pPr>
        <w:tabs>
          <w:tab w:val="num" w:pos="3240"/>
        </w:tabs>
        <w:ind w:left="3240" w:hanging="360"/>
      </w:pPr>
      <w:rPr>
        <w:rFonts w:ascii="OpenSymbol" w:hAnsi="OpenSymbol" w:cs="OpenSymbol" w:hint="default"/>
        <w:w w:val="100"/>
        <w:position w:val="0"/>
        <w:sz w:val="24"/>
        <w:effect w:val="none"/>
        <w:vertAlign w:val="baseline"/>
        <w:em w:val="none"/>
      </w:rPr>
    </w:lvl>
    <w:lvl w:ilvl="8">
      <w:start w:val="1"/>
      <w:numFmt w:val="bullet"/>
      <w:lvlText w:val="▪"/>
      <w:lvlJc w:val="left"/>
      <w:pPr>
        <w:tabs>
          <w:tab w:val="num" w:pos="3600"/>
        </w:tabs>
        <w:ind w:left="3600" w:hanging="360"/>
      </w:pPr>
      <w:rPr>
        <w:rFonts w:ascii="OpenSymbol" w:hAnsi="OpenSymbol" w:cs="OpenSymbol" w:hint="default"/>
        <w:w w:val="100"/>
        <w:position w:val="0"/>
        <w:sz w:val="24"/>
        <w:effect w:val="none"/>
        <w:vertAlign w:val="baseline"/>
        <w:em w:val="none"/>
      </w:rPr>
    </w:lvl>
  </w:abstractNum>
  <w:abstractNum w:abstractNumId="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5"/>
  <w:embedTrueTypeFonts/>
  <w:defaultTabStop w:val="720"/>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ind w:firstLine="3402"/>
      <w:jc w:val="both"/>
    </w:pPr>
    <w:rPr>
      <w:rFonts w:ascii="Times New Roman" w:hAnsi="Times New Roman" w:eastAsia="NSimSun" w:cs="Arial"/>
      <w:color w:val="auto"/>
      <w:kern w:val="0"/>
      <w:sz w:val="24"/>
      <w:szCs w:val="24"/>
      <w:lang w:val="en-US" w:eastAsia="zh-CN" w:bidi="hi-IN"/>
    </w:rPr>
  </w:style>
  <w:style w:type="paragraph" w:styleId="Heading1">
    <w:name w:val="heading 1"/>
    <w:basedOn w:val="normal1"/>
    <w:next w:val="normal1"/>
    <w:qFormat/>
    <w:pPr>
      <w:keepNext w:val="true"/>
      <w:keepLines w:val="false"/>
      <w:pageBreakBefore w:val="false"/>
      <w:widowControl/>
      <w:spacing w:lineRule="auto" w:line="240" w:before="0" w:after="0"/>
      <w:ind w:firstLine="2977" w:left="0" w:right="0"/>
      <w:jc w:val="both"/>
    </w:pPr>
    <w:rPr>
      <w:rFonts w:ascii="Antique Olive" w:hAnsi="Antique Olive" w:eastAsia="Antique Olive" w:cs="Antique Olive"/>
      <w:b/>
      <w:bCs/>
      <w:i w:val="false"/>
      <w:iCs w:val="false"/>
      <w:caps w:val="false"/>
      <w:smallCaps w:val="false"/>
      <w:strike w:val="false"/>
      <w:dstrike w:val="false"/>
      <w:color w:val="000000"/>
      <w:position w:val="0"/>
      <w:sz w:val="24"/>
      <w:szCs w:val="24"/>
      <w:u w:val="none"/>
      <w:shd w:fill="auto" w:val="clear"/>
      <w:vertAlign w:val="baseline"/>
    </w:rPr>
  </w:style>
  <w:style w:type="paragraph" w:styleId="Heading2">
    <w:name w:val="heading 2"/>
    <w:basedOn w:val="normal1"/>
    <w:next w:val="normal1"/>
    <w:qFormat/>
    <w:pPr>
      <w:keepNext w:val="false"/>
      <w:keepLines w:val="false"/>
      <w:pageBreakBefore w:val="false"/>
      <w:widowControl/>
      <w:spacing w:lineRule="auto" w:line="240" w:before="120" w:after="0"/>
      <w:ind w:firstLine="3402" w:left="0" w:right="0"/>
      <w:jc w:val="both"/>
    </w:pPr>
    <w:rPr>
      <w:rFonts w:ascii="Arial" w:hAnsi="Arial" w:eastAsia="Arial" w:cs="Arial"/>
      <w:b/>
      <w:bCs/>
      <w:i w:val="false"/>
      <w:iCs w:val="false"/>
      <w:caps w:val="false"/>
      <w:smallCaps w:val="false"/>
      <w:strike w:val="false"/>
      <w:dstrike w:val="false"/>
      <w:color w:val="000000"/>
      <w:position w:val="0"/>
      <w:sz w:val="24"/>
      <w:szCs w:val="24"/>
      <w:u w:val="none"/>
      <w:shd w:fill="auto" w:val="clear"/>
      <w:vertAlign w:val="baseline"/>
    </w:rPr>
  </w:style>
  <w:style w:type="paragraph" w:styleId="Heading3">
    <w:name w:val="heading 3"/>
    <w:basedOn w:val="normal1"/>
    <w:next w:val="normal1"/>
    <w:qFormat/>
    <w:pPr>
      <w:keepNext w:val="true"/>
      <w:keepLines w:val="false"/>
      <w:pageBreakBefore w:val="false"/>
      <w:widowControl/>
      <w:spacing w:lineRule="auto" w:line="240" w:before="0" w:after="0"/>
      <w:ind w:firstLine="3402" w:left="0" w:right="0"/>
      <w:jc w:val="both"/>
    </w:pPr>
    <w:rPr>
      <w:rFonts w:ascii="Times New Roman" w:hAnsi="Times New Roman" w:eastAsia="Times New Roman" w:cs="Times New Roman"/>
      <w:b/>
      <w:bCs/>
      <w:i w:val="false"/>
      <w:iCs w:val="false"/>
      <w:caps w:val="false"/>
      <w:smallCaps w:val="false"/>
      <w:strike w:val="false"/>
      <w:dstrike w:val="false"/>
      <w:color w:val="000000"/>
      <w:position w:val="0"/>
      <w:sz w:val="24"/>
      <w:szCs w:val="24"/>
      <w:u w:val="single"/>
      <w:shd w:fill="auto" w:val="clear"/>
      <w:vertAlign w:val="baseline"/>
    </w:rPr>
  </w:style>
  <w:style w:type="paragraph" w:styleId="Heading4">
    <w:name w:val="heading 4"/>
    <w:basedOn w:val="normal1"/>
    <w:next w:val="normal1"/>
    <w:qFormat/>
    <w:pPr>
      <w:keepNext w:val="true"/>
      <w:keepLines/>
      <w:pageBreakBefore w:val="false"/>
      <w:widowControl/>
      <w:spacing w:lineRule="auto" w:line="240" w:before="240" w:after="40"/>
      <w:ind w:firstLine="3402" w:left="0" w:right="0"/>
      <w:jc w:val="both"/>
    </w:pPr>
    <w:rPr>
      <w:rFonts w:ascii="Times New Roman" w:hAnsi="Times New Roman" w:eastAsia="Times New Roman" w:cs="Times New Roman"/>
      <w:b/>
      <w:bCs/>
      <w:i w:val="false"/>
      <w:iCs w:val="false"/>
      <w:caps w:val="false"/>
      <w:smallCaps w:val="false"/>
      <w:strike w:val="false"/>
      <w:dstrike w:val="false"/>
      <w:color w:val="000000"/>
      <w:position w:val="0"/>
      <w:sz w:val="24"/>
      <w:szCs w:val="24"/>
      <w:u w:val="none"/>
      <w:shd w:fill="auto" w:val="clear"/>
      <w:vertAlign w:val="baseline"/>
    </w:rPr>
  </w:style>
  <w:style w:type="paragraph" w:styleId="Heading5">
    <w:name w:val="heading 5"/>
    <w:basedOn w:val="normal1"/>
    <w:next w:val="normal1"/>
    <w:qFormat/>
    <w:pPr>
      <w:keepNext w:val="true"/>
      <w:keepLines/>
      <w:pageBreakBefore w:val="false"/>
      <w:widowControl/>
      <w:spacing w:lineRule="auto" w:line="240" w:before="220" w:after="40"/>
      <w:ind w:firstLine="3402" w:left="0" w:right="0"/>
      <w:jc w:val="both"/>
    </w:pPr>
    <w:rPr>
      <w:rFonts w:ascii="Times New Roman" w:hAnsi="Times New Roman" w:eastAsia="Times New Roman" w:cs="Times New Roman"/>
      <w:b/>
      <w:bCs/>
      <w:i w:val="false"/>
      <w:iCs w:val="false"/>
      <w:caps w:val="false"/>
      <w:smallCaps w:val="false"/>
      <w:strike w:val="false"/>
      <w:dstrike w:val="false"/>
      <w:color w:val="000000"/>
      <w:position w:val="0"/>
      <w:sz w:val="22"/>
      <w:szCs w:val="22"/>
      <w:u w:val="none"/>
      <w:shd w:fill="auto" w:val="clear"/>
      <w:vertAlign w:val="baseline"/>
    </w:rPr>
  </w:style>
  <w:style w:type="paragraph" w:styleId="Heading6">
    <w:name w:val="heading 6"/>
    <w:basedOn w:val="normal1"/>
    <w:next w:val="normal1"/>
    <w:qFormat/>
    <w:pPr>
      <w:keepNext w:val="true"/>
      <w:keepLines/>
      <w:pageBreakBefore w:val="false"/>
      <w:widowControl/>
      <w:spacing w:lineRule="auto" w:line="240" w:before="200" w:after="40"/>
      <w:ind w:firstLine="3402" w:left="0" w:right="0"/>
      <w:jc w:val="both"/>
    </w:pPr>
    <w:rPr>
      <w:rFonts w:ascii="Times New Roman" w:hAnsi="Times New Roman" w:eastAsia="Times New Roman" w:cs="Times New Roman"/>
      <w:b/>
      <w:bCs/>
      <w:i w:val="false"/>
      <w:iCs w:val="false"/>
      <w:caps w:val="false"/>
      <w:smallCaps w:val="false"/>
      <w:strike w:val="false"/>
      <w:dstrike w:val="false"/>
      <w:color w:val="000000"/>
      <w:position w:val="0"/>
      <w:sz w:val="20"/>
      <w:szCs w:val="20"/>
      <w:u w:val="none"/>
      <w:shd w:fill="auto" w:val="clear"/>
      <w:vertAlign w:val="baseline"/>
    </w:rPr>
  </w:style>
  <w:style w:type="character" w:styleId="WW8Num2z0">
    <w:name w:val="WW8Num2z0"/>
    <w:qFormat/>
    <w:rPr>
      <w:rFonts w:ascii="Calibri" w:hAnsi="Calibri" w:cs="Calibri"/>
      <w:w w:val="100"/>
      <w:position w:val="0"/>
      <w:sz w:val="24"/>
      <w:effect w:val="none"/>
      <w:vertAlign w:val="baseline"/>
      <w:em w:val="none"/>
    </w:rPr>
  </w:style>
  <w:style w:type="character" w:styleId="WW8Num1z0">
    <w:name w:val="WW8Num1z0"/>
    <w:qFormat/>
    <w:rPr>
      <w:rFonts w:ascii="Arial" w:hAnsi="Arial" w:eastAsia="FreeSans" w:cs="Arial"/>
      <w:b w:val="false"/>
      <w:bCs w:val="false"/>
      <w:w w:val="100"/>
      <w:position w:val="0"/>
      <w:sz w:val="24"/>
      <w:szCs w:val="24"/>
      <w:effect w:val="none"/>
      <w:vertAlign w:val="baseline"/>
      <w:em w:val="none"/>
    </w:rPr>
  </w:style>
  <w:style w:type="character" w:styleId="WW8Num2z1">
    <w:name w:val="WW8Num2z1"/>
    <w:qFormat/>
    <w:rPr>
      <w:rFonts w:ascii="Courier New" w:hAnsi="Courier New" w:cs="Courier New"/>
      <w:w w:val="100"/>
      <w:position w:val="0"/>
      <w:sz w:val="24"/>
      <w:effect w:val="none"/>
      <w:vertAlign w:val="baseline"/>
      <w:em w:val="none"/>
    </w:rPr>
  </w:style>
  <w:style w:type="character" w:styleId="WW8Num2z2">
    <w:name w:val="WW8Num2z2"/>
    <w:qFormat/>
    <w:rPr>
      <w:rFonts w:ascii="Wingdings" w:hAnsi="Wingdings" w:cs="Wingdings"/>
      <w:w w:val="100"/>
      <w:position w:val="0"/>
      <w:sz w:val="24"/>
      <w:effect w:val="none"/>
      <w:vertAlign w:val="baseline"/>
      <w:em w:val="none"/>
    </w:rPr>
  </w:style>
  <w:style w:type="character" w:styleId="WW8Num3z0">
    <w:name w:val="WW8Num3z0"/>
    <w:qFormat/>
    <w:rPr>
      <w:rFonts w:ascii="Symbol" w:hAnsi="Symbol" w:cs="Symbol"/>
      <w:w w:val="100"/>
      <w:position w:val="0"/>
      <w:sz w:val="24"/>
      <w:effect w:val="none"/>
      <w:vertAlign w:val="baseline"/>
      <w:em w:val="none"/>
    </w:rPr>
  </w:style>
  <w:style w:type="character" w:styleId="WW8Num3z1">
    <w:name w:val="WW8Num3z1"/>
    <w:qFormat/>
    <w:rPr>
      <w:rFonts w:ascii="Courier New" w:hAnsi="Courier New" w:cs="Courier New"/>
      <w:w w:val="100"/>
      <w:position w:val="0"/>
      <w:sz w:val="24"/>
      <w:effect w:val="none"/>
      <w:vertAlign w:val="baseline"/>
      <w:em w:val="none"/>
    </w:rPr>
  </w:style>
  <w:style w:type="character" w:styleId="WW8Num3z2">
    <w:name w:val="WW8Num3z2"/>
    <w:qFormat/>
    <w:rPr>
      <w:rFonts w:ascii="Wingdings" w:hAnsi="Wingdings" w:cs="Wingdings"/>
      <w:w w:val="100"/>
      <w:position w:val="0"/>
      <w:sz w:val="24"/>
      <w:effect w:val="none"/>
      <w:vertAlign w:val="baseline"/>
      <w:em w:val="none"/>
    </w:rPr>
  </w:style>
  <w:style w:type="character" w:styleId="WW8Num4z0">
    <w:name w:val="WW8Num4z0"/>
    <w:qFormat/>
    <w:rPr>
      <w:w w:val="100"/>
      <w:position w:val="0"/>
      <w:sz w:val="24"/>
      <w:effect w:val="none"/>
      <w:vertAlign w:val="baseline"/>
      <w:em w:val="none"/>
    </w:rPr>
  </w:style>
  <w:style w:type="character" w:styleId="WW8Num5z0">
    <w:name w:val="WW8Num5z0"/>
    <w:qFormat/>
    <w:rPr>
      <w:rFonts w:ascii="Symbol" w:hAnsi="Symbol" w:cs="Symbol"/>
      <w:w w:val="100"/>
      <w:position w:val="0"/>
      <w:sz w:val="24"/>
      <w:effect w:val="none"/>
      <w:vertAlign w:val="baseline"/>
      <w:em w:val="none"/>
    </w:rPr>
  </w:style>
  <w:style w:type="character" w:styleId="WW8Num5z1">
    <w:name w:val="WW8Num5z1"/>
    <w:qFormat/>
    <w:rPr>
      <w:rFonts w:ascii="Courier New" w:hAnsi="Courier New" w:cs="Courier New"/>
      <w:w w:val="100"/>
      <w:position w:val="0"/>
      <w:sz w:val="24"/>
      <w:effect w:val="none"/>
      <w:vertAlign w:val="baseline"/>
      <w:em w:val="none"/>
    </w:rPr>
  </w:style>
  <w:style w:type="character" w:styleId="WW8Num5z2">
    <w:name w:val="WW8Num5z2"/>
    <w:qFormat/>
    <w:rPr>
      <w:rFonts w:ascii="Wingdings" w:hAnsi="Wingdings" w:cs="Wingdings"/>
      <w:w w:val="100"/>
      <w:position w:val="0"/>
      <w:sz w:val="24"/>
      <w:effect w:val="none"/>
      <w:vertAlign w:val="baseline"/>
      <w:em w:val="none"/>
    </w:rPr>
  </w:style>
  <w:style w:type="character" w:styleId="WW8Num6z0">
    <w:name w:val="WW8Num6z0"/>
    <w:qFormat/>
    <w:rPr>
      <w:rFonts w:ascii="Symbol" w:hAnsi="Symbol" w:cs="Symbol"/>
      <w:w w:val="100"/>
      <w:position w:val="0"/>
      <w:sz w:val="24"/>
      <w:effect w:val="none"/>
      <w:vertAlign w:val="baseline"/>
      <w:em w:val="none"/>
    </w:rPr>
  </w:style>
  <w:style w:type="character" w:styleId="WW8Num6z1">
    <w:name w:val="WW8Num6z1"/>
    <w:qFormat/>
    <w:rPr>
      <w:rFonts w:ascii="Courier New" w:hAnsi="Courier New" w:cs="Courier New"/>
      <w:w w:val="100"/>
      <w:position w:val="0"/>
      <w:sz w:val="24"/>
      <w:effect w:val="none"/>
      <w:vertAlign w:val="baseline"/>
      <w:em w:val="none"/>
    </w:rPr>
  </w:style>
  <w:style w:type="character" w:styleId="WW8Num6z2">
    <w:name w:val="WW8Num6z2"/>
    <w:qFormat/>
    <w:rPr>
      <w:rFonts w:ascii="Wingdings" w:hAnsi="Wingdings" w:cs="Wingdings"/>
      <w:w w:val="100"/>
      <w:position w:val="0"/>
      <w:sz w:val="24"/>
      <w:effect w:val="none"/>
      <w:vertAlign w:val="baseline"/>
      <w:em w:val="none"/>
    </w:rPr>
  </w:style>
  <w:style w:type="character" w:styleId="WW8Num7z0">
    <w:name w:val="WW8Num7z0"/>
    <w:qFormat/>
    <w:rPr>
      <w:rFonts w:ascii="Symbol" w:hAnsi="Symbol" w:cs="Symbol"/>
      <w:w w:val="100"/>
      <w:position w:val="0"/>
      <w:sz w:val="24"/>
      <w:effect w:val="none"/>
      <w:vertAlign w:val="baseline"/>
      <w:em w:val="none"/>
    </w:rPr>
  </w:style>
  <w:style w:type="character" w:styleId="WW8Num7z1">
    <w:name w:val="WW8Num7z1"/>
    <w:qFormat/>
    <w:rPr>
      <w:rFonts w:ascii="Courier New" w:hAnsi="Courier New" w:cs="Courier New"/>
      <w:w w:val="100"/>
      <w:position w:val="0"/>
      <w:sz w:val="24"/>
      <w:effect w:val="none"/>
      <w:vertAlign w:val="baseline"/>
      <w:em w:val="none"/>
    </w:rPr>
  </w:style>
  <w:style w:type="character" w:styleId="WW8Num7z2">
    <w:name w:val="WW8Num7z2"/>
    <w:qFormat/>
    <w:rPr>
      <w:rFonts w:ascii="Wingdings" w:hAnsi="Wingdings" w:cs="Wingdings"/>
      <w:w w:val="100"/>
      <w:position w:val="0"/>
      <w:sz w:val="24"/>
      <w:effect w:val="none"/>
      <w:vertAlign w:val="baseline"/>
      <w:em w:val="none"/>
    </w:rPr>
  </w:style>
  <w:style w:type="character" w:styleId="WW8Num8z0">
    <w:name w:val="WW8Num8z0"/>
    <w:qFormat/>
    <w:rPr>
      <w:rFonts w:ascii="Symbol" w:hAnsi="Symbol" w:cs="Symbol"/>
      <w:w w:val="100"/>
      <w:position w:val="0"/>
      <w:sz w:val="24"/>
      <w:effect w:val="none"/>
      <w:vertAlign w:val="baseline"/>
      <w:em w:val="none"/>
    </w:rPr>
  </w:style>
  <w:style w:type="character" w:styleId="WW8Num8z1">
    <w:name w:val="WW8Num8z1"/>
    <w:qFormat/>
    <w:rPr>
      <w:rFonts w:ascii="Courier New" w:hAnsi="Courier New" w:cs="Courier New"/>
      <w:w w:val="100"/>
      <w:position w:val="0"/>
      <w:sz w:val="24"/>
      <w:effect w:val="none"/>
      <w:vertAlign w:val="baseline"/>
      <w:em w:val="none"/>
    </w:rPr>
  </w:style>
  <w:style w:type="character" w:styleId="WW8Num8z2">
    <w:name w:val="WW8Num8z2"/>
    <w:qFormat/>
    <w:rPr>
      <w:rFonts w:ascii="Wingdings" w:hAnsi="Wingdings" w:cs="Wingdings"/>
      <w:w w:val="100"/>
      <w:position w:val="0"/>
      <w:sz w:val="24"/>
      <w:effect w:val="none"/>
      <w:vertAlign w:val="baseline"/>
      <w:em w:val="none"/>
    </w:rPr>
  </w:style>
  <w:style w:type="character" w:styleId="WW8Num9z0">
    <w:name w:val="WW8Num9z0"/>
    <w:qFormat/>
    <w:rPr>
      <w:b/>
      <w:w w:val="100"/>
      <w:position w:val="0"/>
      <w:sz w:val="24"/>
      <w:effect w:val="none"/>
      <w:vertAlign w:val="baseline"/>
      <w:em w:val="none"/>
    </w:rPr>
  </w:style>
  <w:style w:type="character" w:styleId="WW8Num11z0">
    <w:name w:val="WW8Num11z0"/>
    <w:qFormat/>
    <w:rPr>
      <w:rFonts w:ascii="Symbol" w:hAnsi="Symbol" w:cs="Symbol"/>
      <w:w w:val="100"/>
      <w:position w:val="0"/>
      <w:sz w:val="24"/>
      <w:effect w:val="none"/>
      <w:vertAlign w:val="baseline"/>
      <w:em w:val="none"/>
    </w:rPr>
  </w:style>
  <w:style w:type="character" w:styleId="WW8Num11z1">
    <w:name w:val="WW8Num11z1"/>
    <w:qFormat/>
    <w:rPr>
      <w:rFonts w:ascii="Courier New" w:hAnsi="Courier New" w:cs="Courier New"/>
      <w:w w:val="100"/>
      <w:position w:val="0"/>
      <w:sz w:val="24"/>
      <w:effect w:val="none"/>
      <w:vertAlign w:val="baseline"/>
      <w:em w:val="none"/>
    </w:rPr>
  </w:style>
  <w:style w:type="character" w:styleId="WW8Num11z2">
    <w:name w:val="WW8Num11z2"/>
    <w:qFormat/>
    <w:rPr>
      <w:rFonts w:ascii="Wingdings" w:hAnsi="Wingdings" w:cs="Wingdings"/>
      <w:w w:val="100"/>
      <w:position w:val="0"/>
      <w:sz w:val="24"/>
      <w:effect w:val="none"/>
      <w:vertAlign w:val="baseline"/>
      <w:em w:val="none"/>
    </w:rPr>
  </w:style>
  <w:style w:type="character" w:styleId="WW8Num12z0">
    <w:name w:val="WW8Num12z0"/>
    <w:qFormat/>
    <w:rPr>
      <w:w w:val="100"/>
      <w:position w:val="0"/>
      <w:sz w:val="24"/>
      <w:effect w:val="none"/>
      <w:vertAlign w:val="baseline"/>
      <w:em w:val="none"/>
    </w:rPr>
  </w:style>
  <w:style w:type="character" w:styleId="WW8Num13z0">
    <w:name w:val="WW8Num13z0"/>
    <w:qFormat/>
    <w:rPr>
      <w:b/>
      <w:w w:val="100"/>
      <w:position w:val="0"/>
      <w:sz w:val="24"/>
      <w:effect w:val="none"/>
      <w:vertAlign w:val="baseline"/>
      <w:em w:val="none"/>
    </w:rPr>
  </w:style>
  <w:style w:type="character" w:styleId="WW8Num15z0">
    <w:name w:val="WW8Num15z0"/>
    <w:qFormat/>
    <w:rPr>
      <w:rFonts w:ascii="Symbol" w:hAnsi="Symbol" w:cs="Symbol"/>
      <w:w w:val="100"/>
      <w:position w:val="0"/>
      <w:sz w:val="24"/>
      <w:effect w:val="none"/>
      <w:vertAlign w:val="baseline"/>
      <w:em w:val="none"/>
    </w:rPr>
  </w:style>
  <w:style w:type="character" w:styleId="WW8Num15z1">
    <w:name w:val="WW8Num15z1"/>
    <w:qFormat/>
    <w:rPr>
      <w:rFonts w:ascii="Courier New" w:hAnsi="Courier New" w:cs="Courier New"/>
      <w:w w:val="100"/>
      <w:position w:val="0"/>
      <w:sz w:val="24"/>
      <w:effect w:val="none"/>
      <w:vertAlign w:val="baseline"/>
      <w:em w:val="none"/>
    </w:rPr>
  </w:style>
  <w:style w:type="character" w:styleId="WW8Num15z2">
    <w:name w:val="WW8Num15z2"/>
    <w:qFormat/>
    <w:rPr>
      <w:rFonts w:ascii="Wingdings" w:hAnsi="Wingdings" w:cs="Wingdings"/>
      <w:w w:val="100"/>
      <w:position w:val="0"/>
      <w:sz w:val="24"/>
      <w:effect w:val="none"/>
      <w:vertAlign w:val="baseline"/>
      <w:em w:val="none"/>
    </w:rPr>
  </w:style>
  <w:style w:type="character" w:styleId="WW8Num16z0">
    <w:name w:val="WW8Num16z0"/>
    <w:qFormat/>
    <w:rPr>
      <w:rFonts w:ascii="Symbol" w:hAnsi="Symbol" w:cs="Symbol"/>
      <w:w w:val="100"/>
      <w:position w:val="0"/>
      <w:sz w:val="24"/>
      <w:effect w:val="none"/>
      <w:vertAlign w:val="baseline"/>
      <w:em w:val="none"/>
    </w:rPr>
  </w:style>
  <w:style w:type="character" w:styleId="WW8Num16z1">
    <w:name w:val="WW8Num16z1"/>
    <w:qFormat/>
    <w:rPr>
      <w:rFonts w:ascii="Courier New" w:hAnsi="Courier New" w:cs="Courier New"/>
      <w:w w:val="100"/>
      <w:position w:val="0"/>
      <w:sz w:val="24"/>
      <w:effect w:val="none"/>
      <w:vertAlign w:val="baseline"/>
      <w:em w:val="none"/>
    </w:rPr>
  </w:style>
  <w:style w:type="character" w:styleId="WW8Num16z2">
    <w:name w:val="WW8Num16z2"/>
    <w:qFormat/>
    <w:rPr>
      <w:rFonts w:ascii="Wingdings" w:hAnsi="Wingdings" w:cs="Wingdings"/>
      <w:w w:val="100"/>
      <w:position w:val="0"/>
      <w:sz w:val="24"/>
      <w:effect w:val="none"/>
      <w:vertAlign w:val="baseline"/>
      <w:em w:val="none"/>
    </w:rPr>
  </w:style>
  <w:style w:type="character" w:styleId="Fontepargpadro">
    <w:name w:val="Fonte parág. padrão"/>
    <w:qFormat/>
    <w:rPr>
      <w:w w:val="100"/>
      <w:position w:val="0"/>
      <w:sz w:val="24"/>
      <w:effect w:val="none"/>
      <w:vertAlign w:val="baseline"/>
      <w:em w:val="none"/>
    </w:rPr>
  </w:style>
  <w:style w:type="character" w:styleId="CitaoChar">
    <w:name w:val="Citação Char"/>
    <w:qFormat/>
    <w:rPr>
      <w:rFonts w:ascii="Arial" w:hAnsi="Arial" w:cs="Arial"/>
      <w:b/>
      <w:w w:val="100"/>
      <w:position w:val="0"/>
      <w:sz w:val="24"/>
      <w:effect w:val="none"/>
      <w:vertAlign w:val="baseline"/>
      <w:em w:val="none"/>
    </w:rPr>
  </w:style>
  <w:style w:type="character" w:styleId="RecuodecorpodetextoChar">
    <w:name w:val="Recuo de corpo de texto Char"/>
    <w:qFormat/>
    <w:rPr>
      <w:w w:val="100"/>
      <w:position w:val="0"/>
      <w:sz w:val="24"/>
      <w:effect w:val="none"/>
      <w:vertAlign w:val="baseline"/>
      <w:em w:val="none"/>
    </w:rPr>
  </w:style>
  <w:style w:type="character" w:styleId="PageNumber">
    <w:name w:val="page number"/>
    <w:basedOn w:val="Fontepargpadro"/>
    <w:rPr>
      <w:w w:val="100"/>
      <w:position w:val="0"/>
      <w:sz w:val="24"/>
      <w:effect w:val="none"/>
      <w:vertAlign w:val="baseline"/>
      <w:em w:val="none"/>
    </w:rPr>
  </w:style>
  <w:style w:type="character" w:styleId="Recuodecorpodetexto2Char">
    <w:name w:val="Recuo de corpo de texto 2 Char"/>
    <w:qFormat/>
    <w:rPr>
      <w:w w:val="100"/>
      <w:position w:val="0"/>
      <w:sz w:val="24"/>
      <w:effect w:val="none"/>
      <w:vertAlign w:val="baseline"/>
      <w:em w:val="none"/>
    </w:rPr>
  </w:style>
  <w:style w:type="character" w:styleId="label">
    <w:name w:val="label"/>
    <w:basedOn w:val="Fontepargpadro"/>
    <w:qFormat/>
    <w:rPr>
      <w:w w:val="100"/>
      <w:position w:val="0"/>
      <w:sz w:val="24"/>
      <w:effect w:val="none"/>
      <w:vertAlign w:val="baseline"/>
      <w:em w:val="none"/>
    </w:rPr>
  </w:style>
  <w:style w:type="character" w:styleId="apple-converted-space">
    <w:name w:val="apple-converted-space"/>
    <w:basedOn w:val="Fontepargpadro"/>
    <w:qFormat/>
    <w:rPr>
      <w:w w:val="100"/>
      <w:position w:val="0"/>
      <w:sz w:val="24"/>
      <w:effect w:val="none"/>
      <w:vertAlign w:val="baseline"/>
      <w:em w:val="none"/>
    </w:rPr>
  </w:style>
  <w:style w:type="character" w:styleId="Hyperlink">
    <w:name w:val="Hyperlink"/>
    <w:rPr>
      <w:color w:val="0000FF"/>
      <w:w w:val="100"/>
      <w:position w:val="0"/>
      <w:sz w:val="24"/>
      <w:u w:val="single"/>
      <w:effect w:val="none"/>
      <w:vertAlign w:val="baseline"/>
      <w:em w:val="none"/>
    </w:rPr>
  </w:style>
  <w:style w:type="character" w:styleId="CabealhoChar">
    <w:name w:val="Cabeçalho Char"/>
    <w:qFormat/>
    <w:rPr>
      <w:w w:val="100"/>
      <w:position w:val="0"/>
      <w:sz w:val="24"/>
      <w:effect w:val="none"/>
      <w:vertAlign w:val="baseline"/>
      <w:em w:val="none"/>
    </w:rPr>
  </w:style>
  <w:style w:type="character" w:styleId="fontstyle01">
    <w:name w:val="fontstyle01"/>
    <w:qFormat/>
    <w:rPr>
      <w:rFonts w:ascii="Calibri" w:hAnsi="Calibri" w:cs="Calibri"/>
      <w:b w:val="false"/>
      <w:bCs w:val="false"/>
      <w:i w:val="false"/>
      <w:iCs w:val="false"/>
      <w:color w:val="000000"/>
      <w:w w:val="100"/>
      <w:position w:val="0"/>
      <w:sz w:val="24"/>
      <w:szCs w:val="24"/>
      <w:effect w:val="none"/>
      <w:vertAlign w:val="baseline"/>
      <w:em w:val="none"/>
    </w:rPr>
  </w:style>
  <w:style w:type="character" w:styleId="TextodebaloChar">
    <w:name w:val="Texto de balão Char"/>
    <w:qFormat/>
    <w:rPr>
      <w:rFonts w:ascii="Tahoma" w:hAnsi="Tahoma" w:cs="Tahoma"/>
      <w:w w:val="100"/>
      <w:position w:val="0"/>
      <w:sz w:val="16"/>
      <w:szCs w:val="16"/>
      <w:effect w:val="none"/>
      <w:vertAlign w:val="baseline"/>
      <w:em w:val="none"/>
    </w:rPr>
  </w:style>
  <w:style w:type="character" w:styleId="ng-binding">
    <w:name w:val="ng-binding"/>
    <w:qFormat/>
    <w:rPr>
      <w:w w:val="100"/>
      <w:position w:val="0"/>
      <w:sz w:val="24"/>
      <w:effect w:val="none"/>
      <w:vertAlign w:val="baseline"/>
      <w:em w:val="none"/>
    </w:rPr>
  </w:style>
  <w:style w:type="character" w:styleId="Strong">
    <w:name w:val="Strong"/>
    <w:qFormat/>
    <w:rPr>
      <w:b/>
      <w:bCs/>
      <w:w w:val="100"/>
      <w:position w:val="0"/>
      <w:sz w:val="24"/>
      <w:effect w:val="none"/>
      <w:vertAlign w:val="baseline"/>
      <w:em w:val="none"/>
    </w:rPr>
  </w:style>
  <w:style w:type="character" w:styleId="Marcadores">
    <w:name w:val="Marcadores"/>
    <w:qFormat/>
    <w:rPr>
      <w:rFonts w:ascii="OpenSymbol" w:hAnsi="OpenSymbol" w:eastAsia="OpenSymbol" w:cs="OpenSymbol"/>
      <w:w w:val="100"/>
      <w:position w:val="0"/>
      <w:sz w:val="24"/>
      <w:effect w:val="none"/>
      <w:vertAlign w:val="baseline"/>
      <w:em w:val="none"/>
    </w:rPr>
  </w:style>
  <w:style w:type="character" w:styleId="Emphasis">
    <w:name w:val="Emphasis"/>
    <w:qFormat/>
    <w:rPr>
      <w:i/>
      <w:iCs/>
      <w:w w:val="100"/>
      <w:position w:val="0"/>
      <w:sz w:val="24"/>
      <w:effect w:val="none"/>
      <w:vertAlign w:val="baseline"/>
      <w:em w:val="none"/>
    </w:rPr>
  </w:style>
  <w:style w:type="character" w:styleId="Smbolosdenumerao">
    <w:name w:val="Símbolos de numeração"/>
    <w:qFormat/>
    <w:rPr>
      <w:rFonts w:ascii="Calibri" w:hAnsi="Calibri" w:cs="Calibri"/>
      <w:w w:val="100"/>
      <w:position w:val="0"/>
      <w:sz w:val="24"/>
      <w:effect w:val="none"/>
      <w:vertAlign w:val="baseline"/>
      <w:em w:val="none"/>
    </w:rPr>
  </w:style>
  <w:style w:type="character" w:styleId="Smbolosdenumeraouser">
    <w:name w:val="Símbolos de numeração (user)"/>
    <w:qFormat/>
    <w:rPr/>
  </w:style>
  <w:style w:type="character" w:styleId="Marcadoresuser">
    <w:name w:val="Marcadores (user)"/>
    <w:qFormat/>
    <w:rPr>
      <w:rFonts w:ascii="OpenSymbol" w:hAnsi="OpenSymbol" w:eastAsia="OpenSymbol" w:cs="OpenSymbol"/>
    </w:rPr>
  </w:style>
  <w:style w:type="character" w:styleId="FollowedHyperlink">
    <w:name w:val="FollowedHyperlink"/>
    <w:basedOn w:val="Fontepargpadro"/>
    <w:rPr>
      <w:color w:val="800080"/>
      <w:u w:val="single"/>
    </w:rPr>
  </w:style>
  <w:style w:type="paragraph" w:styleId="Ttulo">
    <w:name w:val="Título"/>
    <w:basedOn w:val="normal11"/>
    <w:next w:val="BodyText"/>
    <w:qFormat/>
    <w:pPr>
      <w:keepNext w:val="true"/>
      <w:widowControl/>
      <w:numPr>
        <w:ilvl w:val="0"/>
        <w:numId w:val="0"/>
      </w:numPr>
      <w:suppressAutoHyphens w:val="false"/>
      <w:bidi w:val="0"/>
      <w:spacing w:lineRule="atLeast" w:line="360" w:before="240" w:after="120"/>
      <w:ind w:firstLine="3402" w:left="0" w:right="0"/>
      <w:contextualSpacing w:val="false"/>
      <w:jc w:val="both"/>
      <w:textAlignment w:val="top"/>
      <w:outlineLvl w:val="0"/>
    </w:pPr>
    <w:rPr>
      <w:rFonts w:ascii="Liberation Sans" w:hAnsi="Liberation Sans" w:eastAsia="Microsoft YaHei" w:cs="Arial"/>
      <w:w w:val="100"/>
      <w:position w:val="-1"/>
      <w:sz w:val="28"/>
      <w:szCs w:val="28"/>
      <w:effect w:val="none"/>
      <w:em w:val="none"/>
      <w:lang w:val="pt-BR" w:eastAsia="zh-CN" w:bidi="ar-SA"/>
    </w:rPr>
  </w:style>
  <w:style w:type="paragraph" w:styleId="BodyText">
    <w:name w:val="Body Text"/>
    <w:basedOn w:val="normal11"/>
    <w:pPr>
      <w:widowControl/>
      <w:numPr>
        <w:ilvl w:val="0"/>
        <w:numId w:val="0"/>
      </w:numPr>
      <w:suppressAutoHyphens w:val="false"/>
      <w:bidi w:val="0"/>
      <w:spacing w:lineRule="auto" w:line="276" w:before="0" w:after="140"/>
      <w:ind w:firstLine="3402" w:left="0" w:right="0"/>
      <w:contextualSpacing w:val="false"/>
      <w:jc w:val="both"/>
      <w:textAlignment w:val="top"/>
      <w:outlineLvl w:val="0"/>
    </w:pPr>
    <w:rPr>
      <w:rFonts w:ascii="Times New Roman" w:hAnsi="Times New Roman" w:eastAsia="Times New Roman" w:cs="Times New Roman"/>
      <w:w w:val="100"/>
      <w:sz w:val="24"/>
      <w:szCs w:val="20"/>
      <w:effect w:val="none"/>
      <w:vertAlign w:val="subscript"/>
      <w:em w:val="none"/>
      <w:lang w:val="pt-BR" w:eastAsia="zh-CN" w:bidi="ar-SA"/>
    </w:rPr>
  </w:style>
  <w:style w:type="paragraph" w:styleId="List">
    <w:name w:val="List"/>
    <w:basedOn w:val="BodyText"/>
    <w:pPr>
      <w:widowControl/>
      <w:suppressAutoHyphens w:val="false"/>
      <w:bidi w:val="0"/>
      <w:spacing w:lineRule="auto" w:line="276" w:before="0" w:after="140"/>
      <w:ind w:firstLine="3402" w:left="0" w:right="0"/>
      <w:jc w:val="both"/>
      <w:textAlignment w:val="top"/>
    </w:pPr>
    <w:rPr>
      <w:rFonts w:ascii="Times New Roman" w:hAnsi="Times New Roman" w:eastAsia="Times New Roman" w:cs="Arial"/>
      <w:w w:val="100"/>
      <w:position w:val="-1"/>
      <w:sz w:val="24"/>
      <w:szCs w:val="20"/>
      <w:effect w:val="none"/>
      <w:em w:val="none"/>
      <w:lang w:val="pt-BR" w:eastAsia="zh-CN" w:bidi="ar-SA"/>
    </w:rPr>
  </w:style>
  <w:style w:type="paragraph" w:styleId="Caption">
    <w:name w:val="caption"/>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ndice">
    <w:name w:val="Índice"/>
    <w:basedOn w:val="normal11"/>
    <w:qFormat/>
    <w:pPr>
      <w:widowControl/>
      <w:numPr>
        <w:ilvl w:val="0"/>
        <w:numId w:val="0"/>
      </w:numPr>
      <w:suppressLineNumbers/>
      <w:suppressAutoHyphens w:val="false"/>
      <w:bidi w:val="0"/>
      <w:spacing w:lineRule="atLeast" w:line="360"/>
      <w:ind w:firstLine="3402" w:left="0" w:right="0"/>
      <w:jc w:val="both"/>
      <w:textAlignment w:val="top"/>
      <w:outlineLvl w:val="0"/>
    </w:pPr>
    <w:rPr>
      <w:rFonts w:ascii="Times New Roman" w:hAnsi="Times New Roman" w:eastAsia="Times New Roman" w:cs="Arial"/>
      <w:w w:val="100"/>
      <w:position w:val="-1"/>
      <w:sz w:val="24"/>
      <w:szCs w:val="20"/>
      <w:effect w:val="none"/>
      <w:em w:val="none"/>
      <w:lang w:val="pt-BR" w:eastAsia="zh-CN" w:bidi="ar-SA"/>
    </w:rPr>
  </w:style>
  <w:style w:type="paragraph" w:styleId="Ttulouser">
    <w:name w:val="Título (user)"/>
    <w:basedOn w:val="normal1"/>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1"/>
    <w:qFormat/>
    <w:pPr>
      <w:suppressLineNumbers/>
    </w:pPr>
    <w:rPr>
      <w:rFonts w:cs="Arial"/>
    </w:rPr>
  </w:style>
  <w:style w:type="paragraph" w:styleId="normal1">
    <w:name w:val="normal1"/>
    <w:qFormat/>
    <w:pPr>
      <w:widowControl/>
      <w:suppressAutoHyphens w:val="true"/>
      <w:overflowPunct w:val="false"/>
      <w:bidi w:val="0"/>
      <w:spacing w:before="0" w:after="0"/>
      <w:ind w:firstLine="3402"/>
      <w:jc w:val="both"/>
    </w:pPr>
    <w:rPr>
      <w:rFonts w:ascii="Times New Roman" w:hAnsi="Times New Roman" w:eastAsia="NSimSun" w:cs="Arial"/>
      <w:color w:val="auto"/>
      <w:kern w:val="0"/>
      <w:sz w:val="24"/>
      <w:szCs w:val="24"/>
      <w:lang w:val="en-US" w:eastAsia="zh-CN" w:bidi="hi-IN"/>
    </w:rPr>
  </w:style>
  <w:style w:type="paragraph" w:styleId="Title">
    <w:name w:val="Title"/>
    <w:basedOn w:val="normal1"/>
    <w:next w:val="normal1"/>
    <w:qFormat/>
    <w:pPr>
      <w:keepNext w:val="true"/>
      <w:keepLines/>
      <w:pageBreakBefore w:val="false"/>
      <w:widowControl/>
      <w:spacing w:lineRule="auto" w:line="240" w:before="480" w:after="120"/>
      <w:ind w:firstLine="3402" w:left="0" w:right="0"/>
      <w:jc w:val="both"/>
    </w:pPr>
    <w:rPr>
      <w:rFonts w:ascii="Times New Roman" w:hAnsi="Times New Roman" w:eastAsia="Times New Roman" w:cs="Times New Roman"/>
      <w:b/>
      <w:bCs/>
      <w:i w:val="false"/>
      <w:iCs w:val="false"/>
      <w:caps w:val="false"/>
      <w:smallCaps w:val="false"/>
      <w:strike w:val="false"/>
      <w:dstrike w:val="false"/>
      <w:color w:val="000000"/>
      <w:position w:val="0"/>
      <w:sz w:val="72"/>
      <w:szCs w:val="72"/>
      <w:u w:val="none"/>
      <w:shd w:fill="auto" w:val="clear"/>
      <w:vertAlign w:val="baseline"/>
    </w:rPr>
  </w:style>
  <w:style w:type="paragraph" w:styleId="normal11">
    <w:name w:val="normal11"/>
    <w:qFormat/>
    <w:pPr>
      <w:widowControl/>
      <w:suppressAutoHyphens w:val="true"/>
      <w:overflowPunct w:val="false"/>
      <w:bidi w:val="0"/>
      <w:spacing w:before="0" w:after="0"/>
      <w:ind w:firstLine="3402"/>
      <w:contextualSpacing/>
      <w:jc w:val="both"/>
    </w:pPr>
    <w:rPr>
      <w:rFonts w:ascii="Times New Roman" w:hAnsi="Times New Roman" w:eastAsia="NSimSun" w:cs="Arial"/>
      <w:color w:val="auto"/>
      <w:kern w:val="0"/>
      <w:sz w:val="24"/>
      <w:szCs w:val="24"/>
      <w:lang w:val="en-US" w:eastAsia="zh-CN" w:bidi="hi-IN"/>
    </w:rPr>
  </w:style>
  <w:style w:type="paragraph" w:styleId="caption1">
    <w:name w:val="caption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aption11">
    <w:name w:val="caption1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aption111">
    <w:name w:val="caption11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aption1111">
    <w:name w:val="caption111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aption11111">
    <w:name w:val="caption1111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aption111111">
    <w:name w:val="caption11111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aption1111111">
    <w:name w:val="caption1111111"/>
    <w:basedOn w:val="normal11"/>
    <w:qFormat/>
    <w:pPr>
      <w:widowControl/>
      <w:numPr>
        <w:ilvl w:val="0"/>
        <w:numId w:val="0"/>
      </w:numPr>
      <w:suppressLineNumbers/>
      <w:suppressAutoHyphens w:val="false"/>
      <w:bidi w:val="0"/>
      <w:spacing w:lineRule="atLeast" w:line="360" w:before="120" w:after="120"/>
      <w:ind w:firstLine="3402" w:left="0" w:right="0"/>
      <w:contextualSpacing w:val="false"/>
      <w:jc w:val="both"/>
      <w:textAlignment w:val="top"/>
      <w:outlineLvl w:val="0"/>
    </w:pPr>
    <w:rPr>
      <w:rFonts w:ascii="Times New Roman" w:hAnsi="Times New Roman" w:eastAsia="Times New Roman" w:cs="Arial"/>
      <w:i/>
      <w:iCs/>
      <w:w w:val="100"/>
      <w:position w:val="-1"/>
      <w:sz w:val="24"/>
      <w:szCs w:val="24"/>
      <w:effect w:val="none"/>
      <w:em w:val="none"/>
      <w:lang w:val="pt-BR" w:eastAsia="zh-CN" w:bidi="ar-SA"/>
    </w:rPr>
  </w:style>
  <w:style w:type="paragraph" w:styleId="Citao">
    <w:name w:val="Citação"/>
    <w:basedOn w:val="normal11"/>
    <w:qFormat/>
    <w:pPr>
      <w:widowControl/>
      <w:numPr>
        <w:ilvl w:val="0"/>
        <w:numId w:val="0"/>
      </w:numPr>
      <w:suppressAutoHyphens w:val="false"/>
      <w:bidi w:val="0"/>
      <w:spacing w:lineRule="atLeast" w:line="360"/>
      <w:ind w:hanging="0" w:left="3402" w:right="0"/>
      <w:jc w:val="both"/>
      <w:textAlignment w:val="top"/>
      <w:outlineLvl w:val="0"/>
    </w:pPr>
    <w:rPr>
      <w:rFonts w:ascii="Arial" w:hAnsi="Arial" w:eastAsia="Times New Roman" w:cs="Arial"/>
      <w:b/>
      <w:w w:val="100"/>
      <w:position w:val="-1"/>
      <w:sz w:val="24"/>
      <w:szCs w:val="20"/>
      <w:effect w:val="none"/>
      <w:em w:val="none"/>
      <w:lang w:val="und" w:eastAsia="zh-CN" w:bidi="ar-SA"/>
    </w:rPr>
  </w:style>
  <w:style w:type="paragraph" w:styleId="P1">
    <w:name w:val="P1"/>
    <w:basedOn w:val="Citao"/>
    <w:qFormat/>
    <w:pPr>
      <w:widowControl/>
      <w:suppressAutoHyphens w:val="false"/>
      <w:bidi w:val="0"/>
      <w:spacing w:lineRule="atLeast" w:line="360"/>
      <w:ind w:hanging="0" w:left="0" w:right="0"/>
      <w:jc w:val="both"/>
      <w:textAlignment w:val="top"/>
    </w:pPr>
    <w:rPr>
      <w:rFonts w:ascii="Times New Roman" w:hAnsi="Times New Roman" w:eastAsia="Times New Roman" w:cs="Times New Roman"/>
      <w:b w:val="false"/>
      <w:w w:val="100"/>
      <w:position w:val="-1"/>
      <w:sz w:val="24"/>
      <w:szCs w:val="20"/>
      <w:effect w:val="none"/>
      <w:em w:val="none"/>
      <w:lang w:val="und" w:eastAsia="zh-CN" w:bidi="ar-SA"/>
    </w:rPr>
  </w:style>
  <w:style w:type="paragraph" w:styleId="BodyTextIndent">
    <w:name w:val="Body Text Indent"/>
    <w:basedOn w:val="normal11"/>
    <w:pPr>
      <w:widowControl/>
      <w:numPr>
        <w:ilvl w:val="0"/>
        <w:numId w:val="0"/>
      </w:numPr>
      <w:suppressAutoHyphens w:val="false"/>
      <w:bidi w:val="0"/>
      <w:spacing w:lineRule="atLeast" w:line="360"/>
      <w:ind w:firstLine="3402" w:left="0" w:right="0"/>
      <w:jc w:val="both"/>
      <w:textAlignment w:val="top"/>
      <w:outlineLvl w:val="0"/>
    </w:pPr>
    <w:rPr>
      <w:rFonts w:ascii="Times New Roman" w:hAnsi="Times New Roman" w:eastAsia="Times New Roman" w:cs="Times New Roman"/>
      <w:w w:val="100"/>
      <w:position w:val="-1"/>
      <w:sz w:val="24"/>
      <w:szCs w:val="20"/>
      <w:effect w:val="none"/>
      <w:em w:val="none"/>
      <w:lang w:val="und" w:eastAsia="zh-CN" w:bidi="ar-SA"/>
    </w:rPr>
  </w:style>
  <w:style w:type="paragraph" w:styleId="Cabealhoerodap">
    <w:name w:val="Cabeçalho e rodapé"/>
    <w:basedOn w:val="normal11"/>
    <w:qFormat/>
    <w:pPr>
      <w:widowControl/>
      <w:numPr>
        <w:ilvl w:val="0"/>
        <w:numId w:val="0"/>
      </w:numPr>
      <w:suppressLineNumbers/>
      <w:tabs>
        <w:tab w:val="clear" w:pos="720"/>
        <w:tab w:val="center" w:pos="4819" w:leader="none"/>
        <w:tab w:val="right" w:pos="9638" w:leader="none"/>
      </w:tabs>
      <w:suppressAutoHyphens w:val="false"/>
      <w:bidi w:val="0"/>
      <w:spacing w:lineRule="atLeast" w:line="360"/>
      <w:ind w:firstLine="3402" w:left="0" w:right="0"/>
      <w:jc w:val="both"/>
      <w:textAlignment w:val="top"/>
      <w:outlineLvl w:val="0"/>
    </w:pPr>
    <w:rPr>
      <w:rFonts w:ascii="Times New Roman" w:hAnsi="Times New Roman" w:eastAsia="Times New Roman" w:cs="Times New Roman"/>
      <w:w w:val="100"/>
      <w:position w:val="-1"/>
      <w:sz w:val="24"/>
      <w:szCs w:val="20"/>
      <w:effect w:val="none"/>
      <w:em w:val="none"/>
      <w:lang w:val="pt-BR" w:eastAsia="zh-CN" w:bidi="ar-SA"/>
    </w:rPr>
  </w:style>
  <w:style w:type="paragraph" w:styleId="Cabealhoerodapuser">
    <w:name w:val="Cabeçalho e rodapé (user)"/>
    <w:basedOn w:val="normal1"/>
    <w:qFormat/>
    <w:pPr/>
    <w:rPr/>
  </w:style>
  <w:style w:type="paragraph" w:styleId="Footer">
    <w:name w:val="footer"/>
    <w:basedOn w:val="normal11"/>
    <w:pPr>
      <w:widowControl/>
      <w:numPr>
        <w:ilvl w:val="0"/>
        <w:numId w:val="0"/>
      </w:numPr>
      <w:tabs>
        <w:tab w:val="clear" w:pos="720"/>
        <w:tab w:val="center" w:pos="4252" w:leader="none"/>
        <w:tab w:val="right" w:pos="8504" w:leader="none"/>
      </w:tabs>
      <w:suppressAutoHyphens w:val="false"/>
      <w:bidi w:val="0"/>
      <w:spacing w:lineRule="atLeast" w:line="360"/>
      <w:ind w:hanging="0" w:left="0" w:right="0"/>
      <w:jc w:val="both"/>
      <w:textAlignment w:val="top"/>
      <w:outlineLvl w:val="0"/>
    </w:pPr>
    <w:rPr>
      <w:rFonts w:ascii="Courier New" w:hAnsi="Courier New" w:eastAsia="Times New Roman" w:cs="Courier New"/>
      <w:w w:val="100"/>
      <w:position w:val="-1"/>
      <w:sz w:val="24"/>
      <w:szCs w:val="20"/>
      <w:effect w:val="none"/>
      <w:em w:val="none"/>
      <w:lang w:val="pt-BR" w:eastAsia="zh-CN" w:bidi="ar-SA"/>
    </w:rPr>
  </w:style>
  <w:style w:type="paragraph" w:styleId="Texto">
    <w:name w:val="Texto"/>
    <w:basedOn w:val="normal11"/>
    <w:qFormat/>
    <w:pPr>
      <w:widowControl/>
      <w:numPr>
        <w:ilvl w:val="0"/>
        <w:numId w:val="0"/>
      </w:numPr>
      <w:suppressAutoHyphens w:val="false"/>
      <w:bidi w:val="0"/>
      <w:spacing w:lineRule="atLeast" w:line="360"/>
      <w:ind w:firstLine="3402" w:left="0" w:right="0"/>
      <w:jc w:val="both"/>
      <w:textAlignment w:val="top"/>
      <w:outlineLvl w:val="0"/>
    </w:pPr>
    <w:rPr>
      <w:rFonts w:ascii="Courier New" w:hAnsi="Courier New" w:eastAsia="Times New Roman" w:cs="Courier New"/>
      <w:w w:val="100"/>
      <w:position w:val="-1"/>
      <w:sz w:val="24"/>
      <w:szCs w:val="20"/>
      <w:effect w:val="none"/>
      <w:em w:val="none"/>
      <w:lang w:val="pt-BR" w:eastAsia="zh-CN" w:bidi="ar-SA"/>
    </w:rPr>
  </w:style>
  <w:style w:type="paragraph" w:styleId="PargrafodeCitao">
    <w:name w:val="Parágrafo de Citação"/>
    <w:qFormat/>
    <w:pPr>
      <w:widowControl/>
      <w:numPr>
        <w:ilvl w:val="0"/>
        <w:numId w:val="0"/>
      </w:numPr>
      <w:suppressAutoHyphens w:val="false"/>
      <w:overflowPunct w:val="false"/>
      <w:bidi w:val="0"/>
      <w:spacing w:lineRule="atLeast" w:line="360" w:before="0" w:after="0"/>
      <w:ind w:hanging="0" w:left="3402" w:right="0"/>
      <w:jc w:val="both"/>
      <w:textAlignment w:val="top"/>
      <w:outlineLvl w:val="0"/>
    </w:pPr>
    <w:rPr>
      <w:rFonts w:ascii="Times New Roman" w:hAnsi="Times New Roman" w:eastAsia="Times New Roman" w:cs="Times New Roman"/>
      <w:color w:val="auto"/>
      <w:w w:val="100"/>
      <w:kern w:val="0"/>
      <w:position w:val="-1"/>
      <w:sz w:val="24"/>
      <w:szCs w:val="20"/>
      <w:effect w:val="none"/>
      <w:em w:val="none"/>
      <w:lang w:val="pt-BR" w:eastAsia="zh-CN" w:bidi="ar-SA"/>
    </w:rPr>
  </w:style>
  <w:style w:type="paragraph" w:styleId="BodyText2">
    <w:name w:val="Body Text 2"/>
    <w:basedOn w:val="normal11"/>
    <w:qFormat/>
    <w:pPr>
      <w:widowControl/>
      <w:numPr>
        <w:ilvl w:val="0"/>
        <w:numId w:val="0"/>
      </w:numPr>
      <w:suppressAutoHyphens w:val="false"/>
      <w:bidi w:val="0"/>
      <w:spacing w:lineRule="atLeast" w:line="360"/>
      <w:ind w:firstLine="3402" w:left="0" w:right="0"/>
      <w:jc w:val="both"/>
      <w:textAlignment w:val="top"/>
      <w:outlineLvl w:val="0"/>
    </w:pPr>
    <w:rPr>
      <w:rFonts w:ascii="Arial" w:hAnsi="Arial" w:eastAsia="Times New Roman" w:cs="Arial"/>
      <w:w w:val="100"/>
      <w:position w:val="-1"/>
      <w:sz w:val="24"/>
      <w:szCs w:val="20"/>
      <w:effect w:val="none"/>
      <w:em w:val="none"/>
      <w:lang w:val="pt-BR" w:eastAsia="zh-CN" w:bidi="ar-SA"/>
    </w:rPr>
  </w:style>
  <w:style w:type="paragraph" w:styleId="Recuodecorpodetexto3">
    <w:name w:val="Recuo de corpo de texto 3"/>
    <w:basedOn w:val="normal11"/>
    <w:qFormat/>
    <w:pPr>
      <w:widowControl/>
      <w:numPr>
        <w:ilvl w:val="0"/>
        <w:numId w:val="0"/>
      </w:numPr>
      <w:suppressAutoHyphens w:val="false"/>
      <w:bidi w:val="0"/>
      <w:spacing w:lineRule="auto" w:line="240" w:before="0" w:after="120"/>
      <w:ind w:hanging="0" w:left="283" w:right="0"/>
      <w:contextualSpacing w:val="false"/>
      <w:jc w:val="left"/>
      <w:textAlignment w:val="top"/>
      <w:outlineLvl w:val="0"/>
    </w:pPr>
    <w:rPr>
      <w:rFonts w:ascii="Times New Roman" w:hAnsi="Times New Roman" w:eastAsia="Times New Roman" w:cs="Times New Roman"/>
      <w:w w:val="100"/>
      <w:position w:val="-1"/>
      <w:sz w:val="16"/>
      <w:szCs w:val="16"/>
      <w:effect w:val="none"/>
      <w:em w:val="none"/>
      <w:lang w:val="pt-BR" w:eastAsia="zh-CN" w:bidi="ar-SA"/>
    </w:rPr>
  </w:style>
  <w:style w:type="paragraph" w:styleId="BodyTextIndent2">
    <w:name w:val="Body Text Indent 2"/>
    <w:basedOn w:val="normal11"/>
    <w:qFormat/>
    <w:pPr>
      <w:widowControl/>
      <w:numPr>
        <w:ilvl w:val="0"/>
        <w:numId w:val="0"/>
      </w:numPr>
      <w:suppressAutoHyphens w:val="false"/>
      <w:bidi w:val="0"/>
      <w:spacing w:lineRule="atLeast" w:line="360"/>
      <w:ind w:firstLine="3402" w:left="0" w:right="0"/>
      <w:jc w:val="both"/>
      <w:textAlignment w:val="top"/>
      <w:outlineLvl w:val="0"/>
    </w:pPr>
    <w:rPr>
      <w:rFonts w:ascii="Courier New" w:hAnsi="Courier New" w:eastAsia="Times New Roman" w:cs="Courier New"/>
      <w:b/>
      <w:i/>
      <w:w w:val="100"/>
      <w:position w:val="-1"/>
      <w:sz w:val="22"/>
      <w:szCs w:val="20"/>
      <w:effect w:val="none"/>
      <w:em w:val="none"/>
      <w:lang w:val="pt-BR" w:eastAsia="zh-CN" w:bidi="ar-SA"/>
    </w:rPr>
  </w:style>
  <w:style w:type="paragraph" w:styleId="Corpodetexto21">
    <w:name w:val="Corpo de texto 21"/>
    <w:basedOn w:val="normal11"/>
    <w:qFormat/>
    <w:pPr>
      <w:widowControl/>
      <w:numPr>
        <w:ilvl w:val="0"/>
        <w:numId w:val="0"/>
      </w:numPr>
      <w:suppressAutoHyphens w:val="false"/>
      <w:bidi w:val="0"/>
      <w:spacing w:lineRule="atLeast" w:line="360"/>
      <w:ind w:firstLine="3402" w:left="0" w:right="0"/>
      <w:jc w:val="both"/>
      <w:textAlignment w:val="top"/>
      <w:outlineLvl w:val="0"/>
    </w:pPr>
    <w:rPr>
      <w:rFonts w:ascii="Arial" w:hAnsi="Arial" w:eastAsia="Times New Roman" w:cs="Arial"/>
      <w:w w:val="100"/>
      <w:position w:val="-1"/>
      <w:sz w:val="24"/>
      <w:szCs w:val="20"/>
      <w:effect w:val="none"/>
      <w:em w:val="none"/>
      <w:lang w:val="pt-BR" w:eastAsia="zh-CN" w:bidi="ar-SA"/>
    </w:rPr>
  </w:style>
  <w:style w:type="paragraph" w:styleId="Recuodecorpodetexto2">
    <w:name w:val="Recuo de corpo de texto 2"/>
    <w:basedOn w:val="normal11"/>
    <w:qFormat/>
    <w:pPr>
      <w:widowControl/>
      <w:numPr>
        <w:ilvl w:val="0"/>
        <w:numId w:val="0"/>
      </w:numPr>
      <w:suppressAutoHyphens w:val="false"/>
      <w:bidi w:val="0"/>
      <w:spacing w:lineRule="auto" w:line="480" w:before="0" w:after="120"/>
      <w:ind w:firstLine="3402" w:left="283" w:right="0"/>
      <w:contextualSpacing w:val="false"/>
      <w:jc w:val="both"/>
      <w:textAlignment w:val="top"/>
      <w:outlineLvl w:val="0"/>
    </w:pPr>
    <w:rPr>
      <w:rFonts w:ascii="Times New Roman" w:hAnsi="Times New Roman" w:eastAsia="Times New Roman" w:cs="Times New Roman"/>
      <w:w w:val="100"/>
      <w:position w:val="-1"/>
      <w:sz w:val="24"/>
      <w:szCs w:val="20"/>
      <w:effect w:val="none"/>
      <w:em w:val="none"/>
      <w:lang w:val="und" w:eastAsia="zh-CN" w:bidi="ar-SA"/>
    </w:rPr>
  </w:style>
  <w:style w:type="paragraph" w:styleId="PargrafodaLista">
    <w:name w:val="Parágrafo da Lista"/>
    <w:basedOn w:val="normal11"/>
    <w:qFormat/>
    <w:pPr>
      <w:widowControl/>
      <w:numPr>
        <w:ilvl w:val="0"/>
        <w:numId w:val="0"/>
      </w:numPr>
      <w:suppressAutoHyphens w:val="false"/>
      <w:bidi w:val="0"/>
      <w:spacing w:lineRule="auto" w:line="360" w:before="0" w:after="0"/>
      <w:ind w:hanging="0" w:left="720" w:right="0"/>
      <w:contextualSpacing/>
      <w:jc w:val="both"/>
      <w:textAlignment w:val="top"/>
      <w:outlineLvl w:val="0"/>
    </w:pPr>
    <w:rPr>
      <w:rFonts w:ascii="Times New Roman" w:hAnsi="Times New Roman" w:eastAsia="Calibri" w:cs="Times New Roman"/>
      <w:color w:val="000000"/>
      <w:w w:val="100"/>
      <w:position w:val="-1"/>
      <w:sz w:val="24"/>
      <w:szCs w:val="22"/>
      <w:effect w:val="none"/>
      <w:em w:val="none"/>
      <w:lang w:val="pt-BR" w:eastAsia="zh-CN" w:bidi="ar-SA"/>
    </w:rPr>
  </w:style>
  <w:style w:type="paragraph" w:styleId="Header">
    <w:name w:val="header"/>
    <w:basedOn w:val="normal11"/>
    <w:pPr>
      <w:widowControl/>
      <w:numPr>
        <w:ilvl w:val="0"/>
        <w:numId w:val="0"/>
      </w:numPr>
      <w:tabs>
        <w:tab w:val="clear" w:pos="720"/>
        <w:tab w:val="center" w:pos="4252" w:leader="none"/>
        <w:tab w:val="right" w:pos="8504" w:leader="none"/>
      </w:tabs>
      <w:suppressAutoHyphens w:val="false"/>
      <w:bidi w:val="0"/>
      <w:spacing w:lineRule="atLeast" w:line="360"/>
      <w:ind w:firstLine="3402" w:left="0" w:right="0"/>
      <w:jc w:val="both"/>
      <w:textAlignment w:val="top"/>
      <w:outlineLvl w:val="0"/>
    </w:pPr>
    <w:rPr>
      <w:rFonts w:ascii="Times New Roman" w:hAnsi="Times New Roman" w:eastAsia="Times New Roman" w:cs="Times New Roman"/>
      <w:w w:val="100"/>
      <w:position w:val="-1"/>
      <w:sz w:val="24"/>
      <w:szCs w:val="20"/>
      <w:effect w:val="none"/>
      <w:em w:val="none"/>
      <w:lang w:val="und" w:eastAsia="zh-CN" w:bidi="ar-SA"/>
    </w:rPr>
  </w:style>
  <w:style w:type="paragraph" w:styleId="Reviso">
    <w:name w:val="Revisão"/>
    <w:qFormat/>
    <w:pPr>
      <w:widowControl/>
      <w:numPr>
        <w:ilvl w:val="0"/>
        <w:numId w:val="0"/>
      </w:numPr>
      <w:suppressAutoHyphens w:val="false"/>
      <w:overflowPunct w:val="false"/>
      <w:bidi w:val="0"/>
      <w:spacing w:lineRule="atLeast" w:line="1" w:before="0" w:after="0"/>
      <w:ind w:firstLine="3402"/>
      <w:jc w:val="both"/>
      <w:textAlignment w:val="top"/>
      <w:outlineLvl w:val="0"/>
    </w:pPr>
    <w:rPr>
      <w:rFonts w:ascii="Times New Roman" w:hAnsi="Times New Roman" w:eastAsia="Times New Roman" w:cs="Times New Roman"/>
      <w:color w:val="auto"/>
      <w:w w:val="100"/>
      <w:kern w:val="0"/>
      <w:position w:val="-1"/>
      <w:sz w:val="24"/>
      <w:szCs w:val="20"/>
      <w:effect w:val="none"/>
      <w:em w:val="none"/>
      <w:lang w:val="pt-BR" w:eastAsia="zh-CN" w:bidi="ar-SA"/>
    </w:rPr>
  </w:style>
  <w:style w:type="paragraph" w:styleId="Textodebalo">
    <w:name w:val="Texto de balão"/>
    <w:basedOn w:val="normal11"/>
    <w:qFormat/>
    <w:pPr>
      <w:widowControl/>
      <w:numPr>
        <w:ilvl w:val="0"/>
        <w:numId w:val="0"/>
      </w:numPr>
      <w:suppressAutoHyphens w:val="false"/>
      <w:bidi w:val="0"/>
      <w:spacing w:lineRule="auto" w:line="240"/>
      <w:ind w:firstLine="3402" w:left="0" w:right="0"/>
      <w:jc w:val="both"/>
      <w:textAlignment w:val="top"/>
      <w:outlineLvl w:val="0"/>
    </w:pPr>
    <w:rPr>
      <w:rFonts w:ascii="Tahoma" w:hAnsi="Tahoma" w:eastAsia="Times New Roman" w:cs="Tahoma"/>
      <w:w w:val="100"/>
      <w:position w:val="-1"/>
      <w:sz w:val="16"/>
      <w:szCs w:val="16"/>
      <w:effect w:val="none"/>
      <w:em w:val="none"/>
      <w:lang w:val="pt-BR" w:eastAsia="zh-CN" w:bidi="ar-SA"/>
    </w:rPr>
  </w:style>
  <w:style w:type="paragraph" w:styleId="WW-Padro">
    <w:name w:val="WW-Padr?o"/>
    <w:qFormat/>
    <w:pPr>
      <w:widowControl w:val="false"/>
      <w:numPr>
        <w:ilvl w:val="0"/>
        <w:numId w:val="0"/>
      </w:numPr>
      <w:suppressAutoHyphens w:val="false"/>
      <w:overflowPunct w:val="false"/>
      <w:bidi w:val="0"/>
      <w:spacing w:lineRule="atLeast" w:line="1" w:before="0" w:after="0"/>
      <w:ind w:firstLine="3402"/>
      <w:jc w:val="both"/>
      <w:textAlignment w:val="top"/>
      <w:outlineLvl w:val="0"/>
    </w:pPr>
    <w:rPr>
      <w:rFonts w:ascii="Liberation Serif" w:hAnsi="Liberation Serif" w:eastAsia="Times New Roman" w:cs="DejaVu Sans"/>
      <w:color w:val="auto"/>
      <w:w w:val="100"/>
      <w:kern w:val="2"/>
      <w:position w:val="-1"/>
      <w:sz w:val="24"/>
      <w:szCs w:val="24"/>
      <w:effect w:val="none"/>
      <w:em w:val="none"/>
      <w:lang w:val="pt-BR" w:eastAsia="zh-CN" w:bidi="hi-IN"/>
    </w:rPr>
  </w:style>
  <w:style w:type="paragraph" w:styleId="Contedodatabela">
    <w:name w:val="Conteúdo da tabela"/>
    <w:basedOn w:val="normal11"/>
    <w:qFormat/>
    <w:pPr>
      <w:widowControl w:val="false"/>
      <w:numPr>
        <w:ilvl w:val="0"/>
        <w:numId w:val="0"/>
      </w:numPr>
      <w:suppressLineNumbers/>
      <w:suppressAutoHyphens w:val="false"/>
      <w:bidi w:val="0"/>
      <w:spacing w:lineRule="atLeast" w:line="360"/>
      <w:ind w:firstLine="3402" w:left="0" w:right="0"/>
      <w:jc w:val="both"/>
      <w:textAlignment w:val="top"/>
      <w:outlineLvl w:val="0"/>
    </w:pPr>
    <w:rPr>
      <w:rFonts w:ascii="Times New Roman" w:hAnsi="Times New Roman" w:eastAsia="Times New Roman" w:cs="Times New Roman"/>
      <w:w w:val="100"/>
      <w:position w:val="-1"/>
      <w:sz w:val="24"/>
      <w:szCs w:val="20"/>
      <w:effect w:val="none"/>
      <w:em w:val="none"/>
      <w:lang w:val="pt-BR" w:eastAsia="zh-CN" w:bidi="ar-SA"/>
    </w:rPr>
  </w:style>
  <w:style w:type="paragraph" w:styleId="Ttulodetabela">
    <w:name w:val="Título de tabela"/>
    <w:basedOn w:val="Contedodatabela"/>
    <w:qFormat/>
    <w:pPr>
      <w:widowControl w:val="false"/>
      <w:suppressLineNumbers/>
      <w:suppressAutoHyphens w:val="false"/>
      <w:bidi w:val="0"/>
      <w:spacing w:lineRule="auto" w:line="240" w:before="0" w:after="0"/>
      <w:ind w:hanging="0" w:left="0" w:right="0"/>
      <w:contextualSpacing/>
      <w:jc w:val="both"/>
      <w:textAlignment w:val="center"/>
    </w:pPr>
    <w:rPr>
      <w:rFonts w:ascii="Times New Roman" w:hAnsi="Times New Roman" w:eastAsia="Times New Roman" w:cs="Times New Roman"/>
      <w:b/>
      <w:bCs/>
      <w:w w:val="100"/>
      <w:position w:val="-1"/>
      <w:sz w:val="24"/>
      <w:szCs w:val="20"/>
      <w:effect w:val="none"/>
      <w:em w:val="none"/>
      <w:lang w:val="pt-BR" w:eastAsia="zh-CN" w:bidi="ar-SA"/>
    </w:rPr>
  </w:style>
  <w:style w:type="paragraph" w:styleId="Contedodoquadro">
    <w:name w:val="Conteúdo do quadro"/>
    <w:basedOn w:val="normal11"/>
    <w:qFormat/>
    <w:pPr>
      <w:widowControl/>
      <w:numPr>
        <w:ilvl w:val="0"/>
        <w:numId w:val="0"/>
      </w:numPr>
      <w:suppressAutoHyphens w:val="false"/>
      <w:bidi w:val="0"/>
      <w:spacing w:lineRule="atLeast" w:line="360"/>
      <w:ind w:firstLine="3402" w:left="0" w:right="0"/>
      <w:jc w:val="both"/>
      <w:textAlignment w:val="top"/>
      <w:outlineLvl w:val="0"/>
    </w:pPr>
    <w:rPr>
      <w:rFonts w:ascii="Times New Roman" w:hAnsi="Times New Roman" w:eastAsia="Times New Roman" w:cs="Times New Roman"/>
      <w:w w:val="100"/>
      <w:position w:val="-1"/>
      <w:sz w:val="24"/>
      <w:szCs w:val="20"/>
      <w:effect w:val="none"/>
      <w:em w:val="none"/>
      <w:lang w:val="pt-BR" w:eastAsia="zh-CN" w:bidi="ar-SA"/>
    </w:rPr>
  </w:style>
  <w:style w:type="paragraph" w:styleId="Contedodoquadrouser">
    <w:name w:val="Conteúdo do quadro (user)"/>
    <w:basedOn w:val="normal1"/>
    <w:qFormat/>
    <w:pPr/>
    <w:rPr/>
  </w:style>
  <w:style w:type="paragraph" w:styleId="Contedodatabelauser">
    <w:name w:val="Conteúdo da tabela (user)"/>
    <w:basedOn w:val="normal1"/>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Subtitle">
    <w:name w:val="Subtitle"/>
    <w:basedOn w:val="normal1"/>
    <w:next w:val="normal1"/>
    <w:qFormat/>
    <w:pPr>
      <w:keepNext w:val="true"/>
      <w:keepLines/>
      <w:pageBreakBefore w:val="false"/>
      <w:widowControl/>
      <w:spacing w:lineRule="auto" w:line="240" w:before="360" w:after="80"/>
      <w:ind w:firstLine="3402" w:left="0" w:right="0"/>
      <w:jc w:val="both"/>
    </w:pPr>
    <w:rPr>
      <w:rFonts w:ascii="Georgia" w:hAnsi="Georgia" w:eastAsia="Georgia" w:cs="Georgia"/>
      <w:b w:val="false"/>
      <w:bCs w:val="false"/>
      <w:i/>
      <w:iCs/>
      <w:caps w:val="false"/>
      <w:smallCaps w:val="false"/>
      <w:strike w:val="false"/>
      <w:dstrike w:val="false"/>
      <w:color w:val="666666"/>
      <w:position w:val="0"/>
      <w:sz w:val="48"/>
      <w:szCs w:val="48"/>
      <w:u w:val="none"/>
      <w:shd w:fill="auto" w:val="clear"/>
      <w:vertAlign w:val="baseline"/>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org.br/" TargetMode="External"/><Relationship Id="rId3" Type="http://schemas.openxmlformats.org/officeDocument/2006/relationships/hyperlink" Target="mailto:licitacao@fapencampolargo.com.br" TargetMode="External"/><Relationship Id="rId4" Type="http://schemas.openxmlformats.org/officeDocument/2006/relationships/hyperlink" Target="mailto:licitacao@fapencampolargo.com.br"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945</TotalTime>
  <Application>LibreOffice/26.2.5.2$Windows_X86_64 LibreOffice_project/cd7284b4cbbfeb507e630c1aac019f4157393acb</Application>
  <AppVersion>15.0000</AppVersion>
  <Pages>10</Pages>
  <Words>2498</Words>
  <Characters>14712</Characters>
  <CharactersWithSpaces>17173</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2023-10-17T18:14:00Z</dcterms:created>
  <dc:creator>José Américo V. C</dc:creator>
  <dc:description/>
  <dc:language>pt-BR</dc:language>
  <cp:lastModifiedBy/>
  <dcterms:modified xsi:type="dcterms:W3CDTF">2026-09-11T11:13:55Z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file>