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2C1187" w14:textId="77777777" w:rsidR="00AB4699" w:rsidRPr="00AB4699" w:rsidRDefault="00AB4699" w:rsidP="00AB4699">
      <w:pPr>
        <w:spacing w:after="0" w:line="240" w:lineRule="auto"/>
        <w:jc w:val="center"/>
        <w:rPr>
          <w:rFonts w:ascii="Calibri" w:eastAsia="Times New Roman" w:hAnsi="Calibri" w:cs="Calibri"/>
          <w:caps/>
          <w:color w:val="000000"/>
          <w:kern w:val="0"/>
          <w:sz w:val="26"/>
          <w:szCs w:val="26"/>
          <w:lang w:eastAsia="pt-BR"/>
          <w14:ligatures w14:val="none"/>
        </w:rPr>
      </w:pPr>
      <w:r w:rsidRPr="00AB4699">
        <w:rPr>
          <w:rFonts w:ascii="Calibri" w:eastAsia="Times New Roman" w:hAnsi="Calibri" w:cs="Calibri"/>
          <w:b/>
          <w:bCs/>
          <w:caps/>
          <w:color w:val="000000"/>
          <w:kern w:val="0"/>
          <w:sz w:val="26"/>
          <w:szCs w:val="26"/>
          <w:lang w:eastAsia="pt-BR"/>
          <w14:ligatures w14:val="none"/>
        </w:rPr>
        <w:t>MINISTÉRIO DO DESENVOLVIMENTO E ASSISTÊNCIA SOCIAL, FAMÍLIA E COMBATE À FOME</w:t>
      </w:r>
      <w:r w:rsidRPr="00AB4699">
        <w:rPr>
          <w:rFonts w:ascii="Calibri" w:eastAsia="Times New Roman" w:hAnsi="Calibri" w:cs="Calibri"/>
          <w:caps/>
          <w:color w:val="000000"/>
          <w:kern w:val="0"/>
          <w:sz w:val="26"/>
          <w:szCs w:val="26"/>
          <w:lang w:eastAsia="pt-BR"/>
          <w14:ligatures w14:val="none"/>
        </w:rPr>
        <w:br/>
        <w:t>SUBSECRETARIA DE ASSUNTOS ADMINISTRATIVOS</w:t>
      </w:r>
    </w:p>
    <w:p w14:paraId="3BA93CB6" w14:textId="77777777" w:rsidR="00AB4699" w:rsidRPr="00AB4699" w:rsidRDefault="00AB4699" w:rsidP="00AB4699">
      <w:pPr>
        <w:spacing w:before="100" w:beforeAutospacing="1" w:after="100" w:afterAutospacing="1" w:line="240" w:lineRule="auto"/>
        <w:jc w:val="center"/>
        <w:rPr>
          <w:rFonts w:ascii="Calibri" w:eastAsia="Times New Roman" w:hAnsi="Calibri" w:cs="Calibri"/>
          <w:caps/>
          <w:color w:val="000000"/>
          <w:kern w:val="0"/>
          <w:sz w:val="26"/>
          <w:szCs w:val="26"/>
          <w:lang w:eastAsia="pt-BR"/>
          <w14:ligatures w14:val="none"/>
        </w:rPr>
      </w:pPr>
      <w:r w:rsidRPr="00AB4699">
        <w:rPr>
          <w:rFonts w:ascii="Calibri" w:eastAsia="Times New Roman" w:hAnsi="Calibri" w:cs="Calibri"/>
          <w:b/>
          <w:bCs/>
          <w:caps/>
          <w:color w:val="000000"/>
          <w:kern w:val="0"/>
          <w:sz w:val="26"/>
          <w:szCs w:val="26"/>
          <w:lang w:eastAsia="pt-BR"/>
          <w14:ligatures w14:val="none"/>
        </w:rPr>
        <w:t>TERMO DE INEXIGIBILIDADE DE LICITAÇÃO Nº 90241/2024</w:t>
      </w:r>
    </w:p>
    <w:p w14:paraId="668AF5B2" w14:textId="77777777" w:rsidR="00AB4699" w:rsidRPr="00AB4699" w:rsidRDefault="00AB4699" w:rsidP="00AB4699">
      <w:pPr>
        <w:spacing w:before="100" w:beforeAutospacing="1" w:after="100" w:afterAutospacing="1"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JUSTIFICATIVA DE INEXIGIBILIDADE DE LICITAÇÃO</w:t>
      </w:r>
    </w:p>
    <w:p w14:paraId="7C0096DC" w14:textId="77777777" w:rsidR="00AB4699" w:rsidRPr="00AB4699" w:rsidRDefault="00AB4699" w:rsidP="00AB4699">
      <w:pPr>
        <w:spacing w:after="0" w:line="240" w:lineRule="auto"/>
        <w:jc w:val="center"/>
        <w:rPr>
          <w:rFonts w:ascii="Calibri" w:eastAsia="Times New Roman" w:hAnsi="Calibri" w:cs="Calibri"/>
          <w:caps/>
          <w:color w:val="000000"/>
          <w:kern w:val="0"/>
          <w:sz w:val="26"/>
          <w:szCs w:val="26"/>
          <w:lang w:eastAsia="pt-BR"/>
          <w14:ligatures w14:val="none"/>
        </w:rPr>
      </w:pPr>
      <w:r w:rsidRPr="00AB4699">
        <w:rPr>
          <w:rFonts w:ascii="Calibri" w:eastAsia="Times New Roman" w:hAnsi="Calibri" w:cs="Calibri"/>
          <w:caps/>
          <w:color w:val="000000"/>
          <w:kern w:val="0"/>
          <w:sz w:val="26"/>
          <w:szCs w:val="26"/>
          <w:lang w:eastAsia="pt-BR"/>
          <w14:ligatures w14:val="none"/>
        </w:rPr>
        <w:t>PROCESSO Nº 71000.015021/2024-53</w:t>
      </w:r>
    </w:p>
    <w:p w14:paraId="3DA87706"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02EAF9D3"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I – REFERÊNCIA</w:t>
      </w:r>
    </w:p>
    <w:p w14:paraId="0B7EC290"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18FAB68E"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1 – CONTRATANTE</w:t>
      </w:r>
    </w:p>
    <w:p w14:paraId="653A1E72"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xml:space="preserve">A UNIÃO, por intermédio do MINISTÉRIO DESENVOLVIMENTO E ASSISTÊNCIA SOCIAL, FAMÍLIA E COMBATE À FOME, inscrito no CNPJ/MF sob o nº 05.756.246/0004-54, com sede em Brasília </w:t>
      </w:r>
      <w:r w:rsidRPr="00AB4699">
        <w:rPr>
          <w:rFonts w:ascii="Calibri" w:eastAsia="Times New Roman" w:hAnsi="Calibri" w:cs="Calibri"/>
          <w:color w:val="000000"/>
          <w:kern w:val="0"/>
          <w:sz w:val="27"/>
          <w:szCs w:val="27"/>
          <w:lang w:eastAsia="pt-BR"/>
          <w14:ligatures w14:val="none"/>
        </w:rPr>
        <w:noBreakHyphen/>
        <w:t xml:space="preserve"> DF, na Esplanada dos Ministérios, Bloco “A”.</w:t>
      </w:r>
    </w:p>
    <w:p w14:paraId="01AEE734"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2DE8615A"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2 – CONTRATADA/PATROCINADA</w:t>
      </w:r>
    </w:p>
    <w:p w14:paraId="46EB7AA9"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GR – MARKETING &amp; EVENTOS LTDA</w:t>
      </w:r>
      <w:r w:rsidRPr="00AB4699">
        <w:rPr>
          <w:rFonts w:ascii="Calibri" w:eastAsia="Times New Roman" w:hAnsi="Calibri" w:cs="Calibri"/>
          <w:color w:val="000000"/>
          <w:kern w:val="0"/>
          <w:sz w:val="27"/>
          <w:szCs w:val="27"/>
          <w:lang w:eastAsia="pt-BR"/>
          <w14:ligatures w14:val="none"/>
        </w:rPr>
        <w:t>, inscrita no CNPJ/MF sob o nº 27.970.372/0001-05, situada na Rua Francisco Cândido Magalhães, nº 40, sala 1405, Bairro Triangulo, Juazeiro do Norte – CE, CEP: 63041-195.</w:t>
      </w:r>
    </w:p>
    <w:p w14:paraId="52CD8261"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310FAD0A"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3 – OBJETO</w:t>
      </w:r>
    </w:p>
    <w:p w14:paraId="416E1E64"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Contratação de empresa para possibilitar a participação Ministério do Desenvolvimento e Assistência Social, Família e Combate à Fome, por meio de cota de patrocínio do “Projeto Agricultura Familiar – Oficina como vender para o PNAE”, com previsão de realização em abril e maio de 2024, conforme descrito no Termo de Referência (SEI </w:t>
      </w:r>
      <w:hyperlink r:id="rId4" w:tgtFrame="_blank" w:history="1">
        <w:r w:rsidRPr="00AB4699">
          <w:rPr>
            <w:rFonts w:ascii="Calibri" w:eastAsia="Times New Roman" w:hAnsi="Calibri" w:cs="Calibri"/>
            <w:color w:val="0000FF"/>
            <w:kern w:val="0"/>
            <w:sz w:val="27"/>
            <w:szCs w:val="27"/>
            <w:u w:val="single"/>
            <w:lang w:eastAsia="pt-BR"/>
            <w14:ligatures w14:val="none"/>
          </w:rPr>
          <w:t>15442922</w:t>
        </w:r>
      </w:hyperlink>
      <w:r w:rsidRPr="00AB4699">
        <w:rPr>
          <w:rFonts w:ascii="Calibri" w:eastAsia="Times New Roman" w:hAnsi="Calibri" w:cs="Calibri"/>
          <w:color w:val="000000"/>
          <w:kern w:val="0"/>
          <w:sz w:val="27"/>
          <w:szCs w:val="27"/>
          <w:lang w:eastAsia="pt-BR"/>
          <w14:ligatures w14:val="none"/>
        </w:rPr>
        <w:t>).</w:t>
      </w:r>
    </w:p>
    <w:p w14:paraId="3890C04A"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242DA82F"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4 – PREÇO</w:t>
      </w:r>
    </w:p>
    <w:p w14:paraId="0699C9A0"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O valor total do objeto é de </w:t>
      </w:r>
      <w:r w:rsidRPr="00AB4699">
        <w:rPr>
          <w:rFonts w:ascii="Calibri" w:eastAsia="Times New Roman" w:hAnsi="Calibri" w:cs="Calibri"/>
          <w:b/>
          <w:bCs/>
          <w:color w:val="000000"/>
          <w:kern w:val="0"/>
          <w:sz w:val="27"/>
          <w:szCs w:val="27"/>
          <w:lang w:eastAsia="pt-BR"/>
          <w14:ligatures w14:val="none"/>
        </w:rPr>
        <w:t>R$ 800.000,00 (oitocentos mil reais), </w:t>
      </w:r>
      <w:r w:rsidRPr="00AB4699">
        <w:rPr>
          <w:rFonts w:ascii="Calibri" w:eastAsia="Times New Roman" w:hAnsi="Calibri" w:cs="Calibri"/>
          <w:color w:val="000000"/>
          <w:kern w:val="0"/>
          <w:sz w:val="27"/>
          <w:szCs w:val="27"/>
          <w:lang w:eastAsia="pt-BR"/>
          <w14:ligatures w14:val="none"/>
        </w:rPr>
        <w:t>nos termos do Termo de Referência vinculado a este instrumento para todos os efeitos.</w:t>
      </w:r>
    </w:p>
    <w:tbl>
      <w:tblPr>
        <w:tblW w:w="8745" w:type="dxa"/>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02"/>
        <w:gridCol w:w="4819"/>
        <w:gridCol w:w="1170"/>
        <w:gridCol w:w="1954"/>
      </w:tblGrid>
      <w:tr w:rsidR="00AB4699" w:rsidRPr="00AB4699" w14:paraId="40BF08B4" w14:textId="77777777" w:rsidTr="00AB4699">
        <w:trPr>
          <w:tblCellSpacing w:w="7" w:type="dxa"/>
        </w:trPr>
        <w:tc>
          <w:tcPr>
            <w:tcW w:w="735" w:type="dxa"/>
            <w:tcBorders>
              <w:top w:val="outset" w:sz="6" w:space="0" w:color="auto"/>
              <w:left w:val="outset" w:sz="6" w:space="0" w:color="auto"/>
              <w:bottom w:val="outset" w:sz="6" w:space="0" w:color="auto"/>
              <w:right w:val="outset" w:sz="6" w:space="0" w:color="auto"/>
            </w:tcBorders>
            <w:vAlign w:val="center"/>
            <w:hideMark/>
          </w:tcPr>
          <w:p w14:paraId="54D8BB97" w14:textId="77777777" w:rsidR="00AB4699" w:rsidRPr="00AB4699" w:rsidRDefault="00AB4699" w:rsidP="00AB4699">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ITEM</w:t>
            </w:r>
          </w:p>
        </w:tc>
        <w:tc>
          <w:tcPr>
            <w:tcW w:w="4815" w:type="dxa"/>
            <w:tcBorders>
              <w:top w:val="outset" w:sz="6" w:space="0" w:color="auto"/>
              <w:left w:val="outset" w:sz="6" w:space="0" w:color="auto"/>
              <w:bottom w:val="outset" w:sz="6" w:space="0" w:color="auto"/>
              <w:right w:val="outset" w:sz="6" w:space="0" w:color="auto"/>
            </w:tcBorders>
            <w:vAlign w:val="center"/>
            <w:hideMark/>
          </w:tcPr>
          <w:p w14:paraId="19A1801A" w14:textId="77777777" w:rsidR="00AB4699" w:rsidRPr="00AB4699" w:rsidRDefault="00AB4699" w:rsidP="00AB4699">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ESPECIFICAÇÃO</w:t>
            </w:r>
          </w:p>
        </w:tc>
        <w:tc>
          <w:tcPr>
            <w:tcW w:w="1110" w:type="dxa"/>
            <w:tcBorders>
              <w:top w:val="outset" w:sz="6" w:space="0" w:color="auto"/>
              <w:left w:val="outset" w:sz="6" w:space="0" w:color="auto"/>
              <w:bottom w:val="outset" w:sz="6" w:space="0" w:color="auto"/>
              <w:right w:val="outset" w:sz="6" w:space="0" w:color="auto"/>
            </w:tcBorders>
            <w:vAlign w:val="center"/>
            <w:hideMark/>
          </w:tcPr>
          <w:p w14:paraId="63BC1CAA" w14:textId="77777777" w:rsidR="00AB4699" w:rsidRPr="00AB4699" w:rsidRDefault="00AB4699" w:rsidP="00AB4699">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CATSER</w:t>
            </w:r>
          </w:p>
        </w:tc>
        <w:tc>
          <w:tcPr>
            <w:tcW w:w="1935" w:type="dxa"/>
            <w:tcBorders>
              <w:top w:val="outset" w:sz="6" w:space="0" w:color="auto"/>
              <w:left w:val="outset" w:sz="6" w:space="0" w:color="auto"/>
              <w:bottom w:val="outset" w:sz="6" w:space="0" w:color="auto"/>
              <w:right w:val="outset" w:sz="6" w:space="0" w:color="auto"/>
            </w:tcBorders>
            <w:vAlign w:val="center"/>
            <w:hideMark/>
          </w:tcPr>
          <w:p w14:paraId="42A4A0F1" w14:textId="77777777" w:rsidR="00AB4699" w:rsidRPr="00AB4699" w:rsidRDefault="00AB4699" w:rsidP="00AB4699">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VALOR TOTAL</w:t>
            </w:r>
          </w:p>
        </w:tc>
      </w:tr>
      <w:tr w:rsidR="00AB4699" w:rsidRPr="00AB4699" w14:paraId="6D653CCF" w14:textId="77777777" w:rsidTr="00AB4699">
        <w:trPr>
          <w:tblCellSpacing w:w="7" w:type="dxa"/>
        </w:trPr>
        <w:tc>
          <w:tcPr>
            <w:tcW w:w="735" w:type="dxa"/>
            <w:tcBorders>
              <w:top w:val="outset" w:sz="6" w:space="0" w:color="auto"/>
              <w:left w:val="outset" w:sz="6" w:space="0" w:color="auto"/>
              <w:bottom w:val="outset" w:sz="6" w:space="0" w:color="auto"/>
              <w:right w:val="outset" w:sz="6" w:space="0" w:color="auto"/>
            </w:tcBorders>
            <w:vAlign w:val="center"/>
            <w:hideMark/>
          </w:tcPr>
          <w:p w14:paraId="7BBDC258" w14:textId="77777777" w:rsidR="00AB4699" w:rsidRPr="00AB4699" w:rsidRDefault="00AB4699" w:rsidP="00AB4699">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lastRenderedPageBreak/>
              <w:t>1</w:t>
            </w:r>
          </w:p>
        </w:tc>
        <w:tc>
          <w:tcPr>
            <w:tcW w:w="4815" w:type="dxa"/>
            <w:tcBorders>
              <w:top w:val="outset" w:sz="6" w:space="0" w:color="auto"/>
              <w:left w:val="outset" w:sz="6" w:space="0" w:color="auto"/>
              <w:bottom w:val="outset" w:sz="6" w:space="0" w:color="auto"/>
              <w:right w:val="outset" w:sz="6" w:space="0" w:color="auto"/>
            </w:tcBorders>
            <w:vAlign w:val="center"/>
            <w:hideMark/>
          </w:tcPr>
          <w:p w14:paraId="39D5ABD2" w14:textId="77777777" w:rsidR="00AB4699" w:rsidRPr="00AB4699" w:rsidRDefault="00AB4699" w:rsidP="00AB4699">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Patrocínio para apoiar o "Projeto Agricultura Familiar – Oficina como vender para o PNAE"</w:t>
            </w:r>
          </w:p>
        </w:tc>
        <w:tc>
          <w:tcPr>
            <w:tcW w:w="1110" w:type="dxa"/>
            <w:tcBorders>
              <w:top w:val="outset" w:sz="6" w:space="0" w:color="auto"/>
              <w:left w:val="outset" w:sz="6" w:space="0" w:color="auto"/>
              <w:bottom w:val="outset" w:sz="6" w:space="0" w:color="auto"/>
              <w:right w:val="outset" w:sz="6" w:space="0" w:color="auto"/>
            </w:tcBorders>
            <w:vAlign w:val="center"/>
            <w:hideMark/>
          </w:tcPr>
          <w:p w14:paraId="552D68E3" w14:textId="77777777" w:rsidR="00AB4699" w:rsidRPr="00AB4699" w:rsidRDefault="00AB4699" w:rsidP="00AB4699">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24732</w:t>
            </w:r>
          </w:p>
        </w:tc>
        <w:tc>
          <w:tcPr>
            <w:tcW w:w="1935" w:type="dxa"/>
            <w:tcBorders>
              <w:top w:val="outset" w:sz="6" w:space="0" w:color="auto"/>
              <w:left w:val="outset" w:sz="6" w:space="0" w:color="auto"/>
              <w:bottom w:val="outset" w:sz="6" w:space="0" w:color="auto"/>
              <w:right w:val="outset" w:sz="6" w:space="0" w:color="auto"/>
            </w:tcBorders>
            <w:vAlign w:val="center"/>
            <w:hideMark/>
          </w:tcPr>
          <w:p w14:paraId="4A1D9EE3" w14:textId="77777777" w:rsidR="00AB4699" w:rsidRPr="00AB4699" w:rsidRDefault="00AB4699" w:rsidP="00AB4699">
            <w:pPr>
              <w:spacing w:after="0"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R$ 800.000,00</w:t>
            </w:r>
          </w:p>
        </w:tc>
      </w:tr>
    </w:tbl>
    <w:p w14:paraId="5FDAC2F0"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66756733"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5 – VIGÊNCIA</w:t>
      </w:r>
    </w:p>
    <w:p w14:paraId="4104EC97"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O prazo de vigência da contratação é de 60 (sessenta) dias contados do(a) assinatura do contrato, na forma do artigo 105 da Lei n° 14.133/2021.</w:t>
      </w:r>
    </w:p>
    <w:p w14:paraId="74F52742"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7BEFF6F9"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6 – DOTAÇÃO ORÇAMENTÁRIA</w:t>
      </w:r>
    </w:p>
    <w:p w14:paraId="3FE2B328"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Os dados e quadro a seguir detalham a previsão de crédito orçamentário para realização desta despesa no exercício de 2024:                               </w:t>
      </w:r>
      <w:r w:rsidRPr="00AB4699">
        <w:rPr>
          <w:rFonts w:ascii="Calibri" w:eastAsia="Times New Roman" w:hAnsi="Calibri" w:cs="Calibri"/>
          <w:b/>
          <w:bCs/>
          <w:color w:val="000000"/>
          <w:kern w:val="0"/>
          <w:sz w:val="27"/>
          <w:szCs w:val="27"/>
          <w:lang w:eastAsia="pt-BR"/>
          <w14:ligatures w14:val="none"/>
        </w:rPr>
        <w:t>       </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993"/>
        <w:gridCol w:w="505"/>
        <w:gridCol w:w="1964"/>
        <w:gridCol w:w="671"/>
        <w:gridCol w:w="560"/>
        <w:gridCol w:w="671"/>
        <w:gridCol w:w="737"/>
        <w:gridCol w:w="1323"/>
        <w:gridCol w:w="1064"/>
      </w:tblGrid>
      <w:tr w:rsidR="00AB4699" w:rsidRPr="00AB4699" w14:paraId="29C35BD8" w14:textId="77777777" w:rsidTr="00AB469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6FFD361"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 Programa</w:t>
            </w:r>
          </w:p>
        </w:tc>
        <w:tc>
          <w:tcPr>
            <w:tcW w:w="0" w:type="auto"/>
            <w:tcBorders>
              <w:top w:val="outset" w:sz="6" w:space="0" w:color="auto"/>
              <w:left w:val="outset" w:sz="6" w:space="0" w:color="auto"/>
              <w:bottom w:val="outset" w:sz="6" w:space="0" w:color="auto"/>
              <w:right w:val="outset" w:sz="6" w:space="0" w:color="auto"/>
            </w:tcBorders>
            <w:vAlign w:val="center"/>
            <w:hideMark/>
          </w:tcPr>
          <w:p w14:paraId="4F5D25E0"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Ação</w:t>
            </w:r>
          </w:p>
        </w:tc>
        <w:tc>
          <w:tcPr>
            <w:tcW w:w="0" w:type="auto"/>
            <w:tcBorders>
              <w:top w:val="outset" w:sz="6" w:space="0" w:color="auto"/>
              <w:left w:val="outset" w:sz="6" w:space="0" w:color="auto"/>
              <w:bottom w:val="outset" w:sz="6" w:space="0" w:color="auto"/>
              <w:right w:val="outset" w:sz="6" w:space="0" w:color="auto"/>
            </w:tcBorders>
            <w:vAlign w:val="center"/>
            <w:hideMark/>
          </w:tcPr>
          <w:p w14:paraId="4382E31C"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Funcional Programática</w:t>
            </w:r>
          </w:p>
        </w:tc>
        <w:tc>
          <w:tcPr>
            <w:tcW w:w="0" w:type="auto"/>
            <w:tcBorders>
              <w:top w:val="outset" w:sz="6" w:space="0" w:color="auto"/>
              <w:left w:val="outset" w:sz="6" w:space="0" w:color="auto"/>
              <w:bottom w:val="outset" w:sz="6" w:space="0" w:color="auto"/>
              <w:right w:val="outset" w:sz="6" w:space="0" w:color="auto"/>
            </w:tcBorders>
            <w:vAlign w:val="center"/>
            <w:hideMark/>
          </w:tcPr>
          <w:p w14:paraId="0F4F6FC2" w14:textId="77777777" w:rsidR="00AB4699" w:rsidRPr="00AB4699" w:rsidRDefault="00AB4699" w:rsidP="00AB4699">
            <w:pPr>
              <w:spacing w:before="100" w:beforeAutospacing="1" w:after="100" w:afterAutospacing="1" w:line="240" w:lineRule="auto"/>
              <w:jc w:val="center"/>
              <w:rPr>
                <w:rFonts w:ascii="Times New Roman" w:eastAsia="Times New Roman" w:hAnsi="Times New Roman" w:cs="Times New Roman"/>
                <w:color w:val="000000"/>
                <w:kern w:val="0"/>
                <w:sz w:val="27"/>
                <w:szCs w:val="27"/>
                <w:lang w:eastAsia="pt-BR"/>
                <w14:ligatures w14:val="none"/>
              </w:rPr>
            </w:pPr>
            <w:proofErr w:type="spellStart"/>
            <w:r w:rsidRPr="00AB4699">
              <w:rPr>
                <w:rFonts w:ascii="Times New Roman" w:eastAsia="Times New Roman" w:hAnsi="Times New Roman" w:cs="Times New Roman"/>
                <w:b/>
                <w:bCs/>
                <w:color w:val="000000"/>
                <w:kern w:val="0"/>
                <w:sz w:val="27"/>
                <w:szCs w:val="27"/>
                <w:lang w:eastAsia="pt-BR"/>
                <w14:ligatures w14:val="none"/>
              </w:rPr>
              <w:t>Ptres</w:t>
            </w:r>
            <w:proofErr w:type="spellEnd"/>
          </w:p>
        </w:tc>
        <w:tc>
          <w:tcPr>
            <w:tcW w:w="0" w:type="auto"/>
            <w:tcBorders>
              <w:top w:val="outset" w:sz="6" w:space="0" w:color="auto"/>
              <w:left w:val="outset" w:sz="6" w:space="0" w:color="auto"/>
              <w:bottom w:val="outset" w:sz="6" w:space="0" w:color="auto"/>
              <w:right w:val="outset" w:sz="6" w:space="0" w:color="auto"/>
            </w:tcBorders>
            <w:vAlign w:val="center"/>
            <w:hideMark/>
          </w:tcPr>
          <w:p w14:paraId="757F1CFF"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Fonte</w:t>
            </w:r>
          </w:p>
        </w:tc>
        <w:tc>
          <w:tcPr>
            <w:tcW w:w="0" w:type="auto"/>
            <w:tcBorders>
              <w:top w:val="outset" w:sz="6" w:space="0" w:color="auto"/>
              <w:left w:val="outset" w:sz="6" w:space="0" w:color="auto"/>
              <w:bottom w:val="outset" w:sz="6" w:space="0" w:color="auto"/>
              <w:right w:val="outset" w:sz="6" w:space="0" w:color="auto"/>
            </w:tcBorders>
            <w:vAlign w:val="center"/>
            <w:hideMark/>
          </w:tcPr>
          <w:p w14:paraId="28885355" w14:textId="77777777" w:rsidR="00AB4699" w:rsidRPr="00AB4699" w:rsidRDefault="00AB4699" w:rsidP="00AB4699">
            <w:pPr>
              <w:spacing w:before="100" w:beforeAutospacing="1" w:after="100" w:afterAutospacing="1"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UGE</w:t>
            </w:r>
          </w:p>
        </w:tc>
        <w:tc>
          <w:tcPr>
            <w:tcW w:w="0" w:type="auto"/>
            <w:tcBorders>
              <w:top w:val="outset" w:sz="6" w:space="0" w:color="auto"/>
              <w:left w:val="outset" w:sz="6" w:space="0" w:color="auto"/>
              <w:bottom w:val="outset" w:sz="6" w:space="0" w:color="auto"/>
              <w:right w:val="outset" w:sz="6" w:space="0" w:color="auto"/>
            </w:tcBorders>
            <w:vAlign w:val="center"/>
            <w:hideMark/>
          </w:tcPr>
          <w:p w14:paraId="10F19E8D" w14:textId="77777777" w:rsidR="00AB4699" w:rsidRPr="00AB4699" w:rsidRDefault="00AB4699" w:rsidP="00AB4699">
            <w:pPr>
              <w:spacing w:before="100" w:beforeAutospacing="1" w:after="100" w:afterAutospacing="1"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ND</w:t>
            </w:r>
          </w:p>
        </w:tc>
        <w:tc>
          <w:tcPr>
            <w:tcW w:w="0" w:type="auto"/>
            <w:tcBorders>
              <w:top w:val="outset" w:sz="6" w:space="0" w:color="auto"/>
              <w:left w:val="outset" w:sz="6" w:space="0" w:color="auto"/>
              <w:bottom w:val="outset" w:sz="6" w:space="0" w:color="auto"/>
              <w:right w:val="outset" w:sz="6" w:space="0" w:color="auto"/>
            </w:tcBorders>
            <w:vAlign w:val="center"/>
            <w:hideMark/>
          </w:tcPr>
          <w:p w14:paraId="205C4351" w14:textId="77777777" w:rsidR="00AB4699" w:rsidRPr="00AB4699" w:rsidRDefault="00AB4699" w:rsidP="00AB4699">
            <w:pPr>
              <w:spacing w:before="100" w:beforeAutospacing="1" w:after="100" w:afterAutospacing="1"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b/>
                <w:bCs/>
                <w:color w:val="000000"/>
                <w:kern w:val="0"/>
                <w:sz w:val="27"/>
                <w:szCs w:val="27"/>
                <w:lang w:eastAsia="pt-BR"/>
                <w14:ligatures w14:val="none"/>
              </w:rPr>
              <w:t>PI</w:t>
            </w:r>
          </w:p>
        </w:tc>
        <w:tc>
          <w:tcPr>
            <w:tcW w:w="0" w:type="auto"/>
            <w:tcBorders>
              <w:top w:val="outset" w:sz="6" w:space="0" w:color="auto"/>
              <w:left w:val="outset" w:sz="6" w:space="0" w:color="auto"/>
              <w:bottom w:val="outset" w:sz="6" w:space="0" w:color="auto"/>
              <w:right w:val="outset" w:sz="6" w:space="0" w:color="auto"/>
            </w:tcBorders>
            <w:vAlign w:val="center"/>
            <w:hideMark/>
          </w:tcPr>
          <w:p w14:paraId="0E8F47D4"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proofErr w:type="gramStart"/>
            <w:r w:rsidRPr="00AB4699">
              <w:rPr>
                <w:rFonts w:ascii="Times New Roman" w:eastAsia="Times New Roman" w:hAnsi="Times New Roman" w:cs="Times New Roman"/>
                <w:b/>
                <w:bCs/>
                <w:color w:val="000000"/>
                <w:kern w:val="0"/>
                <w:sz w:val="27"/>
                <w:szCs w:val="27"/>
                <w:lang w:eastAsia="pt-BR"/>
                <w14:ligatures w14:val="none"/>
              </w:rPr>
              <w:t>Valor  2024</w:t>
            </w:r>
            <w:proofErr w:type="gramEnd"/>
          </w:p>
        </w:tc>
      </w:tr>
      <w:tr w:rsidR="00AB4699" w:rsidRPr="00AB4699" w14:paraId="3FCA9283" w14:textId="77777777" w:rsidTr="00AB4699">
        <w:trPr>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6A7406A" w14:textId="77777777" w:rsidR="00AB4699" w:rsidRPr="00AB4699" w:rsidRDefault="00AB4699" w:rsidP="00AB4699">
            <w:pPr>
              <w:spacing w:before="100" w:beforeAutospacing="1" w:after="100" w:afterAutospacing="1"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0032</w:t>
            </w:r>
          </w:p>
        </w:tc>
        <w:tc>
          <w:tcPr>
            <w:tcW w:w="0" w:type="auto"/>
            <w:tcBorders>
              <w:top w:val="outset" w:sz="6" w:space="0" w:color="auto"/>
              <w:left w:val="outset" w:sz="6" w:space="0" w:color="auto"/>
              <w:bottom w:val="outset" w:sz="6" w:space="0" w:color="auto"/>
              <w:right w:val="outset" w:sz="6" w:space="0" w:color="auto"/>
            </w:tcBorders>
            <w:vAlign w:val="center"/>
            <w:hideMark/>
          </w:tcPr>
          <w:p w14:paraId="195EFF46"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2000</w:t>
            </w:r>
          </w:p>
        </w:tc>
        <w:tc>
          <w:tcPr>
            <w:tcW w:w="0" w:type="auto"/>
            <w:tcBorders>
              <w:top w:val="outset" w:sz="6" w:space="0" w:color="auto"/>
              <w:left w:val="outset" w:sz="6" w:space="0" w:color="auto"/>
              <w:bottom w:val="outset" w:sz="6" w:space="0" w:color="auto"/>
              <w:right w:val="outset" w:sz="6" w:space="0" w:color="auto"/>
            </w:tcBorders>
            <w:vAlign w:val="center"/>
            <w:hideMark/>
          </w:tcPr>
          <w:p w14:paraId="6C73CEF5" w14:textId="77777777" w:rsidR="00AB4699" w:rsidRPr="00AB4699" w:rsidRDefault="00AB4699" w:rsidP="00AB4699">
            <w:pPr>
              <w:spacing w:before="100" w:beforeAutospacing="1" w:after="100" w:afterAutospacing="1" w:line="240" w:lineRule="auto"/>
              <w:jc w:val="center"/>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04.122.0032.2000.0001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31D7857D"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236646</w:t>
            </w:r>
          </w:p>
        </w:tc>
        <w:tc>
          <w:tcPr>
            <w:tcW w:w="0" w:type="auto"/>
            <w:tcBorders>
              <w:top w:val="outset" w:sz="6" w:space="0" w:color="auto"/>
              <w:left w:val="outset" w:sz="6" w:space="0" w:color="auto"/>
              <w:bottom w:val="outset" w:sz="6" w:space="0" w:color="auto"/>
              <w:right w:val="outset" w:sz="6" w:space="0" w:color="auto"/>
            </w:tcBorders>
            <w:vAlign w:val="center"/>
            <w:hideMark/>
          </w:tcPr>
          <w:p w14:paraId="3428E93F"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1001</w:t>
            </w:r>
          </w:p>
        </w:tc>
        <w:tc>
          <w:tcPr>
            <w:tcW w:w="0" w:type="auto"/>
            <w:tcBorders>
              <w:top w:val="outset" w:sz="6" w:space="0" w:color="auto"/>
              <w:left w:val="outset" w:sz="6" w:space="0" w:color="auto"/>
              <w:bottom w:val="outset" w:sz="6" w:space="0" w:color="auto"/>
              <w:right w:val="outset" w:sz="6" w:space="0" w:color="auto"/>
            </w:tcBorders>
            <w:vAlign w:val="center"/>
            <w:hideMark/>
          </w:tcPr>
          <w:p w14:paraId="2088F1C0"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550005</w:t>
            </w:r>
          </w:p>
        </w:tc>
        <w:tc>
          <w:tcPr>
            <w:tcW w:w="0" w:type="auto"/>
            <w:tcBorders>
              <w:top w:val="outset" w:sz="6" w:space="0" w:color="auto"/>
              <w:left w:val="outset" w:sz="6" w:space="0" w:color="auto"/>
              <w:bottom w:val="outset" w:sz="6" w:space="0" w:color="auto"/>
              <w:right w:val="outset" w:sz="6" w:space="0" w:color="auto"/>
            </w:tcBorders>
            <w:vAlign w:val="center"/>
            <w:hideMark/>
          </w:tcPr>
          <w:p w14:paraId="40AF20C0"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339039-86</w:t>
            </w:r>
          </w:p>
        </w:tc>
        <w:tc>
          <w:tcPr>
            <w:tcW w:w="0" w:type="auto"/>
            <w:tcBorders>
              <w:top w:val="outset" w:sz="6" w:space="0" w:color="auto"/>
              <w:left w:val="outset" w:sz="6" w:space="0" w:color="auto"/>
              <w:bottom w:val="outset" w:sz="6" w:space="0" w:color="auto"/>
              <w:right w:val="outset" w:sz="6" w:space="0" w:color="auto"/>
            </w:tcBorders>
            <w:vAlign w:val="center"/>
            <w:hideMark/>
          </w:tcPr>
          <w:p w14:paraId="198842F7"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M20004AC018</w:t>
            </w:r>
          </w:p>
        </w:tc>
        <w:tc>
          <w:tcPr>
            <w:tcW w:w="0" w:type="auto"/>
            <w:tcBorders>
              <w:top w:val="outset" w:sz="6" w:space="0" w:color="auto"/>
              <w:left w:val="outset" w:sz="6" w:space="0" w:color="auto"/>
              <w:bottom w:val="outset" w:sz="6" w:space="0" w:color="auto"/>
              <w:right w:val="outset" w:sz="6" w:space="0" w:color="auto"/>
            </w:tcBorders>
            <w:vAlign w:val="center"/>
            <w:hideMark/>
          </w:tcPr>
          <w:p w14:paraId="1B7DAFB6" w14:textId="77777777" w:rsidR="00AB4699" w:rsidRPr="00AB4699" w:rsidRDefault="00AB4699" w:rsidP="00AB4699">
            <w:pPr>
              <w:spacing w:before="100" w:beforeAutospacing="1" w:after="100" w:afterAutospacing="1" w:line="240" w:lineRule="auto"/>
              <w:rPr>
                <w:rFonts w:ascii="Times New Roman" w:eastAsia="Times New Roman" w:hAnsi="Times New Roman" w:cs="Times New Roman"/>
                <w:color w:val="000000"/>
                <w:kern w:val="0"/>
                <w:sz w:val="27"/>
                <w:szCs w:val="27"/>
                <w:lang w:eastAsia="pt-BR"/>
                <w14:ligatures w14:val="none"/>
              </w:rPr>
            </w:pPr>
            <w:r w:rsidRPr="00AB4699">
              <w:rPr>
                <w:rFonts w:ascii="Times New Roman" w:eastAsia="Times New Roman" w:hAnsi="Times New Roman" w:cs="Times New Roman"/>
                <w:color w:val="000000"/>
                <w:kern w:val="0"/>
                <w:sz w:val="27"/>
                <w:szCs w:val="27"/>
                <w:lang w:eastAsia="pt-BR"/>
                <w14:ligatures w14:val="none"/>
              </w:rPr>
              <w:t>R$ 800.000,00</w:t>
            </w:r>
          </w:p>
        </w:tc>
      </w:tr>
    </w:tbl>
    <w:p w14:paraId="59638AAC"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5ACBD594"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II – AMPARO LEGAL</w:t>
      </w:r>
    </w:p>
    <w:p w14:paraId="58CD7A96"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Com fundamento no </w:t>
      </w:r>
      <w:r w:rsidRPr="00AB4699">
        <w:rPr>
          <w:rFonts w:ascii="Calibri" w:eastAsia="Times New Roman" w:hAnsi="Calibri" w:cs="Calibri"/>
          <w:i/>
          <w:iCs/>
          <w:color w:val="000000"/>
          <w:kern w:val="0"/>
          <w:sz w:val="27"/>
          <w:szCs w:val="27"/>
          <w:lang w:eastAsia="pt-BR"/>
          <w14:ligatures w14:val="none"/>
        </w:rPr>
        <w:t>Caput</w:t>
      </w:r>
      <w:r w:rsidRPr="00AB4699">
        <w:rPr>
          <w:rFonts w:ascii="Calibri" w:eastAsia="Times New Roman" w:hAnsi="Calibri" w:cs="Calibri"/>
          <w:color w:val="000000"/>
          <w:kern w:val="0"/>
          <w:sz w:val="27"/>
          <w:szCs w:val="27"/>
          <w:lang w:eastAsia="pt-BR"/>
          <w14:ligatures w14:val="none"/>
        </w:rPr>
        <w:t> do Art. 74, da Lei nº 14.133/21, conforme item 9.1 do Termo de Referência.</w:t>
      </w:r>
    </w:p>
    <w:p w14:paraId="5DE4B4F1"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29FE6355"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III – DOCUMENTOS INTEGRANTES</w:t>
      </w:r>
    </w:p>
    <w:p w14:paraId="1F358F4B"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a) Termo de Referência (SEI </w:t>
      </w:r>
      <w:hyperlink r:id="rId5" w:tgtFrame="_blank" w:history="1">
        <w:r w:rsidRPr="00AB4699">
          <w:rPr>
            <w:rFonts w:ascii="Calibri" w:eastAsia="Times New Roman" w:hAnsi="Calibri" w:cs="Calibri"/>
            <w:color w:val="0000FF"/>
            <w:kern w:val="0"/>
            <w:sz w:val="27"/>
            <w:szCs w:val="27"/>
            <w:u w:val="single"/>
            <w:lang w:eastAsia="pt-BR"/>
            <w14:ligatures w14:val="none"/>
          </w:rPr>
          <w:t>15442922</w:t>
        </w:r>
      </w:hyperlink>
      <w:r w:rsidRPr="00AB4699">
        <w:rPr>
          <w:rFonts w:ascii="Calibri" w:eastAsia="Times New Roman" w:hAnsi="Calibri" w:cs="Calibri"/>
          <w:color w:val="000000"/>
          <w:kern w:val="0"/>
          <w:sz w:val="27"/>
          <w:szCs w:val="27"/>
          <w:lang w:eastAsia="pt-BR"/>
          <w14:ligatures w14:val="none"/>
        </w:rPr>
        <w:t>​);</w:t>
      </w:r>
    </w:p>
    <w:p w14:paraId="64C6FACC"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b) Estudo Técnico Preliminar  (SEI </w:t>
      </w:r>
      <w:hyperlink r:id="rId6" w:tgtFrame="_blank" w:history="1">
        <w:r w:rsidRPr="00AB4699">
          <w:rPr>
            <w:rFonts w:ascii="Calibri" w:eastAsia="Times New Roman" w:hAnsi="Calibri" w:cs="Calibri"/>
            <w:color w:val="0000FF"/>
            <w:kern w:val="0"/>
            <w:sz w:val="27"/>
            <w:szCs w:val="27"/>
            <w:u w:val="single"/>
            <w:lang w:eastAsia="pt-BR"/>
            <w14:ligatures w14:val="none"/>
          </w:rPr>
          <w:t>15443149</w:t>
        </w:r>
      </w:hyperlink>
      <w:r w:rsidRPr="00AB4699">
        <w:rPr>
          <w:rFonts w:ascii="Calibri" w:eastAsia="Times New Roman" w:hAnsi="Calibri" w:cs="Calibri"/>
          <w:color w:val="000000"/>
          <w:kern w:val="0"/>
          <w:sz w:val="27"/>
          <w:szCs w:val="27"/>
          <w:lang w:eastAsia="pt-BR"/>
          <w14:ligatures w14:val="none"/>
        </w:rPr>
        <w:t>);</w:t>
      </w:r>
    </w:p>
    <w:p w14:paraId="40905A0C"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c) Dossiê com documentação legal dos representantes da instituição (SEI </w:t>
      </w:r>
      <w:hyperlink r:id="rId7" w:tgtFrame="_blank" w:history="1">
        <w:r w:rsidRPr="00AB4699">
          <w:rPr>
            <w:rFonts w:ascii="Calibri" w:eastAsia="Times New Roman" w:hAnsi="Calibri" w:cs="Calibri"/>
            <w:color w:val="0000FF"/>
            <w:kern w:val="0"/>
            <w:sz w:val="27"/>
            <w:szCs w:val="27"/>
            <w:u w:val="single"/>
            <w:lang w:eastAsia="pt-BR"/>
            <w14:ligatures w14:val="none"/>
          </w:rPr>
          <w:t>15315510</w:t>
        </w:r>
      </w:hyperlink>
      <w:r w:rsidRPr="00AB4699">
        <w:rPr>
          <w:rFonts w:ascii="Calibri" w:eastAsia="Times New Roman" w:hAnsi="Calibri" w:cs="Calibri"/>
          <w:color w:val="000000"/>
          <w:kern w:val="0"/>
          <w:sz w:val="27"/>
          <w:szCs w:val="27"/>
          <w:lang w:eastAsia="pt-BR"/>
          <w14:ligatures w14:val="none"/>
        </w:rPr>
        <w:t>);</w:t>
      </w:r>
    </w:p>
    <w:p w14:paraId="7CDB5473"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d) Proposta comercial do fornecedor (SEI </w:t>
      </w:r>
      <w:hyperlink r:id="rId8" w:tgtFrame="_blank" w:history="1">
        <w:r w:rsidRPr="00AB4699">
          <w:rPr>
            <w:rFonts w:ascii="Calibri" w:eastAsia="Times New Roman" w:hAnsi="Calibri" w:cs="Calibri"/>
            <w:color w:val="0000FF"/>
            <w:kern w:val="0"/>
            <w:sz w:val="27"/>
            <w:szCs w:val="27"/>
            <w:u w:val="single"/>
            <w:lang w:eastAsia="pt-BR"/>
            <w14:ligatures w14:val="none"/>
          </w:rPr>
          <w:t>15354934</w:t>
        </w:r>
      </w:hyperlink>
      <w:r w:rsidRPr="00AB4699">
        <w:rPr>
          <w:rFonts w:ascii="Calibri" w:eastAsia="Times New Roman" w:hAnsi="Calibri" w:cs="Calibri"/>
          <w:color w:val="000000"/>
          <w:kern w:val="0"/>
          <w:sz w:val="27"/>
          <w:szCs w:val="27"/>
          <w:lang w:eastAsia="pt-BR"/>
          <w14:ligatures w14:val="none"/>
        </w:rPr>
        <w:t>);</w:t>
      </w:r>
    </w:p>
    <w:p w14:paraId="0543B4AB"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xml:space="preserve">e) Documentação </w:t>
      </w:r>
      <w:proofErr w:type="spellStart"/>
      <w:r w:rsidRPr="00AB4699">
        <w:rPr>
          <w:rFonts w:ascii="Calibri" w:eastAsia="Times New Roman" w:hAnsi="Calibri" w:cs="Calibri"/>
          <w:color w:val="000000"/>
          <w:kern w:val="0"/>
          <w:sz w:val="27"/>
          <w:szCs w:val="27"/>
          <w:lang w:eastAsia="pt-BR"/>
          <w14:ligatures w14:val="none"/>
        </w:rPr>
        <w:t>Habilitatória</w:t>
      </w:r>
      <w:proofErr w:type="spellEnd"/>
      <w:r w:rsidRPr="00AB4699">
        <w:rPr>
          <w:rFonts w:ascii="Calibri" w:eastAsia="Times New Roman" w:hAnsi="Calibri" w:cs="Calibri"/>
          <w:color w:val="000000"/>
          <w:kern w:val="0"/>
          <w:sz w:val="27"/>
          <w:szCs w:val="27"/>
          <w:lang w:eastAsia="pt-BR"/>
          <w14:ligatures w14:val="none"/>
        </w:rPr>
        <w:t xml:space="preserve"> (SEI </w:t>
      </w:r>
      <w:hyperlink r:id="rId9" w:tgtFrame="_blank" w:history="1">
        <w:r w:rsidRPr="00AB4699">
          <w:rPr>
            <w:rFonts w:ascii="Calibri" w:eastAsia="Times New Roman" w:hAnsi="Calibri" w:cs="Calibri"/>
            <w:color w:val="0000FF"/>
            <w:kern w:val="0"/>
            <w:sz w:val="27"/>
            <w:szCs w:val="27"/>
            <w:u w:val="single"/>
            <w:lang w:eastAsia="pt-BR"/>
            <w14:ligatures w14:val="none"/>
          </w:rPr>
          <w:t>15468254</w:t>
        </w:r>
      </w:hyperlink>
      <w:r w:rsidRPr="00AB4699">
        <w:rPr>
          <w:rFonts w:ascii="Calibri" w:eastAsia="Times New Roman" w:hAnsi="Calibri" w:cs="Calibri"/>
          <w:color w:val="000000"/>
          <w:kern w:val="0"/>
          <w:sz w:val="27"/>
          <w:szCs w:val="27"/>
          <w:lang w:eastAsia="pt-BR"/>
          <w14:ligatures w14:val="none"/>
        </w:rPr>
        <w:t>);</w:t>
      </w:r>
    </w:p>
    <w:p w14:paraId="1176C563"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f) Certificação Orçamentária (SEI </w:t>
      </w:r>
      <w:hyperlink r:id="rId10" w:tgtFrame="_blank" w:history="1">
        <w:r w:rsidRPr="00AB4699">
          <w:rPr>
            <w:rFonts w:ascii="Calibri" w:eastAsia="Times New Roman" w:hAnsi="Calibri" w:cs="Calibri"/>
            <w:color w:val="0000FF"/>
            <w:kern w:val="0"/>
            <w:sz w:val="27"/>
            <w:szCs w:val="27"/>
            <w:u w:val="single"/>
            <w:lang w:eastAsia="pt-BR"/>
            <w14:ligatures w14:val="none"/>
          </w:rPr>
          <w:t>15374287</w:t>
        </w:r>
      </w:hyperlink>
      <w:r w:rsidRPr="00AB4699">
        <w:rPr>
          <w:rFonts w:ascii="Calibri" w:eastAsia="Times New Roman" w:hAnsi="Calibri" w:cs="Calibri"/>
          <w:color w:val="000000"/>
          <w:kern w:val="0"/>
          <w:sz w:val="27"/>
          <w:szCs w:val="27"/>
          <w:lang w:eastAsia="pt-BR"/>
          <w14:ligatures w14:val="none"/>
        </w:rPr>
        <w:t>);</w:t>
      </w:r>
    </w:p>
    <w:p w14:paraId="147F2276"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g) Parecer nº 00344/2024/CGLCP/CONJUR-MDS/CGU/AGU (SEI </w:t>
      </w:r>
      <w:hyperlink r:id="rId11" w:tgtFrame="_blank" w:history="1">
        <w:r w:rsidRPr="00AB4699">
          <w:rPr>
            <w:rFonts w:ascii="Calibri" w:eastAsia="Times New Roman" w:hAnsi="Calibri" w:cs="Calibri"/>
            <w:color w:val="0000FF"/>
            <w:kern w:val="0"/>
            <w:sz w:val="27"/>
            <w:szCs w:val="27"/>
            <w:u w:val="single"/>
            <w:lang w:eastAsia="pt-BR"/>
            <w14:ligatures w14:val="none"/>
          </w:rPr>
          <w:t>15438473</w:t>
        </w:r>
      </w:hyperlink>
      <w:r w:rsidRPr="00AB4699">
        <w:rPr>
          <w:rFonts w:ascii="Calibri" w:eastAsia="Times New Roman" w:hAnsi="Calibri" w:cs="Calibri"/>
          <w:color w:val="000000"/>
          <w:kern w:val="0"/>
          <w:sz w:val="27"/>
          <w:szCs w:val="27"/>
          <w:lang w:eastAsia="pt-BR"/>
          <w14:ligatures w14:val="none"/>
        </w:rPr>
        <w:t>).</w:t>
      </w:r>
    </w:p>
    <w:p w14:paraId="6C59C4E2"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4AE2FEE6"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lastRenderedPageBreak/>
        <w:t>IV – CONSIDERAÇÕES</w:t>
      </w:r>
    </w:p>
    <w:p w14:paraId="01598D82"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bookmarkStart w:id="0" w:name="_Hlk159948509"/>
      <w:r w:rsidRPr="00AB4699">
        <w:rPr>
          <w:rFonts w:ascii="Calibri" w:eastAsia="Times New Roman" w:hAnsi="Calibri" w:cs="Calibri"/>
          <w:color w:val="000000"/>
          <w:kern w:val="0"/>
          <w:sz w:val="27"/>
          <w:szCs w:val="27"/>
          <w:lang w:eastAsia="pt-BR"/>
          <w14:ligatures w14:val="none"/>
        </w:rPr>
        <w:t>Com base na Instrução Normativa SECOM nº 2, de 23 de Dezembro de 2019, o Ministério do Desenvolvimento e Assistência Social, Família e Combate à Fome poderá patrocinar ações que possibilitem difundir mais efetivamente as políticas públicas necessárias para: - superar a fome e a pobreza; - reduzir a desigualdade social; - garantir a dignidade, a inclusão, a proteção socioassistencial às pessoas em situação de vulnerabilidade social; - garantir a segurança alimentar e nutricional; - garantir a política de cuidados e família.</w:t>
      </w:r>
      <w:bookmarkEnd w:id="0"/>
    </w:p>
    <w:p w14:paraId="6396606F"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Dessa forma, o MDS se compromete a comunicar-se de forma transparente, verdadeira, tempestiva e consistente aos seus valores e às suas estratégias, além de estar empenhado em estabelecer relacionamento com seus públicos de interesse baseado no respeito, na transparência, na confiança e na integridade.</w:t>
      </w:r>
    </w:p>
    <w:p w14:paraId="1AFE629C"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Somado a isso, é competência regimental desta Assessoria Especial de Comunicação Social, segundo o </w:t>
      </w:r>
      <w:hyperlink r:id="rId12" w:tgtFrame="_blank" w:history="1">
        <w:r w:rsidRPr="00AB4699">
          <w:rPr>
            <w:rFonts w:ascii="Calibri" w:eastAsia="Times New Roman" w:hAnsi="Calibri" w:cs="Calibri"/>
            <w:b/>
            <w:bCs/>
            <w:color w:val="0000FF"/>
            <w:kern w:val="0"/>
            <w:sz w:val="27"/>
            <w:szCs w:val="27"/>
            <w:u w:val="single"/>
            <w:lang w:eastAsia="pt-BR"/>
            <w14:ligatures w14:val="none"/>
          </w:rPr>
          <w:t>Decreto Nº 11.392, de 20 de janeiro de 2023</w:t>
        </w:r>
      </w:hyperlink>
      <w:r w:rsidRPr="00AB4699">
        <w:rPr>
          <w:rFonts w:ascii="Calibri" w:eastAsia="Times New Roman" w:hAnsi="Calibri" w:cs="Calibri"/>
          <w:b/>
          <w:bCs/>
          <w:color w:val="000000"/>
          <w:kern w:val="0"/>
          <w:sz w:val="27"/>
          <w:szCs w:val="27"/>
          <w:lang w:eastAsia="pt-BR"/>
          <w14:ligatures w14:val="none"/>
        </w:rPr>
        <w:t>,</w:t>
      </w:r>
      <w:r w:rsidRPr="00AB4699">
        <w:rPr>
          <w:rFonts w:ascii="Calibri" w:eastAsia="Times New Roman" w:hAnsi="Calibri" w:cs="Calibri"/>
          <w:color w:val="000000"/>
          <w:kern w:val="0"/>
          <w:sz w:val="27"/>
          <w:szCs w:val="27"/>
          <w:lang w:eastAsia="pt-BR"/>
          <w14:ligatures w14:val="none"/>
        </w:rPr>
        <w:t> Art. 6º, Inciso I “</w:t>
      </w:r>
      <w:r w:rsidRPr="00AB4699">
        <w:rPr>
          <w:rFonts w:ascii="Calibri" w:eastAsia="Times New Roman" w:hAnsi="Calibri" w:cs="Calibri"/>
          <w:b/>
          <w:bCs/>
          <w:color w:val="000000"/>
          <w:kern w:val="0"/>
          <w:sz w:val="27"/>
          <w:szCs w:val="27"/>
          <w:lang w:eastAsia="pt-BR"/>
          <w14:ligatures w14:val="none"/>
        </w:rPr>
        <w:t>planejar, coordenar, executar, orientar e monitorar a política de comunicação social e de publicidade institucional do Ministério, observadas as diretrizes da Secretaria de Comunicação Social da Presidência da República</w:t>
      </w:r>
      <w:r w:rsidRPr="00AB4699">
        <w:rPr>
          <w:rFonts w:ascii="Calibri" w:eastAsia="Times New Roman" w:hAnsi="Calibri" w:cs="Calibri"/>
          <w:color w:val="000000"/>
          <w:kern w:val="0"/>
          <w:sz w:val="27"/>
          <w:szCs w:val="27"/>
          <w:lang w:eastAsia="pt-BR"/>
          <w14:ligatures w14:val="none"/>
        </w:rPr>
        <w:t>” e Inciso IV “</w:t>
      </w:r>
      <w:r w:rsidRPr="00AB4699">
        <w:rPr>
          <w:rFonts w:ascii="Calibri" w:eastAsia="Times New Roman" w:hAnsi="Calibri" w:cs="Calibri"/>
          <w:b/>
          <w:bCs/>
          <w:color w:val="000000"/>
          <w:kern w:val="0"/>
          <w:sz w:val="27"/>
          <w:szCs w:val="27"/>
          <w:lang w:eastAsia="pt-BR"/>
          <w14:ligatures w14:val="none"/>
        </w:rPr>
        <w:t>planejar e executar ações de comunicação para a divulgação de políticas públicas relacionadas à atuação ao Ministério</w:t>
      </w:r>
      <w:r w:rsidRPr="00AB4699">
        <w:rPr>
          <w:rFonts w:ascii="Calibri" w:eastAsia="Times New Roman" w:hAnsi="Calibri" w:cs="Calibri"/>
          <w:color w:val="000000"/>
          <w:kern w:val="0"/>
          <w:sz w:val="27"/>
          <w:szCs w:val="27"/>
          <w:lang w:eastAsia="pt-BR"/>
          <w14:ligatures w14:val="none"/>
        </w:rPr>
        <w:t>”.</w:t>
      </w:r>
    </w:p>
    <w:p w14:paraId="2C19C946"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A modalidade de apoio via patrocínio é uma ação estratégica de comunicação que busca agregar valor à marca, consolidar posicionamento, gerar identificação e reconhecimento, estreitar relacionamento com públicos de interesse, ampliar venda de produtos e serviços, divulgar programas e políticas de atuação, por meio da aquisição do direito de associação da imagem do órgão ou entidade do Poder Executivo Federal, enquanto patrocinador de projetos de iniciativa de terceiros, tem amparo legal na </w:t>
      </w:r>
      <w:hyperlink r:id="rId13" w:tgtFrame="_blank" w:history="1">
        <w:r w:rsidRPr="00AB4699">
          <w:rPr>
            <w:rFonts w:ascii="Calibri" w:eastAsia="Times New Roman" w:hAnsi="Calibri" w:cs="Calibri"/>
            <w:color w:val="0000FF"/>
            <w:kern w:val="0"/>
            <w:sz w:val="27"/>
            <w:szCs w:val="27"/>
            <w:u w:val="single"/>
            <w:lang w:eastAsia="pt-BR"/>
            <w14:ligatures w14:val="none"/>
          </w:rPr>
          <w:t>Instrução Normativa nº 02, de 23 de dezembro de 2019</w:t>
        </w:r>
      </w:hyperlink>
      <w:r w:rsidRPr="00AB4699">
        <w:rPr>
          <w:rFonts w:ascii="Calibri" w:eastAsia="Times New Roman" w:hAnsi="Calibri" w:cs="Calibri"/>
          <w:color w:val="000000"/>
          <w:kern w:val="0"/>
          <w:sz w:val="27"/>
          <w:szCs w:val="27"/>
          <w:lang w:eastAsia="pt-BR"/>
          <w14:ligatures w14:val="none"/>
        </w:rPr>
        <w:t>. </w:t>
      </w:r>
    </w:p>
    <w:p w14:paraId="744B4AA8"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Em conformidade com o compromisso de comunicação transparente e consistente, o MDS estabelece relacionamentos com seus públicos de interesse através de ações de patrocínio, fundamentadas no respeito, transparência, confiança e integridade.</w:t>
      </w:r>
    </w:p>
    <w:p w14:paraId="077C1322"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xml:space="preserve">A comunicação realizada pelo MDS, seja por meio de ações próprias e/ou parcerias com outros órgãos e entidades, tem como finalidade divulgar os programas de governo e o conjunto de atividades realizadas, em prol da sociedade, visando o atendimento da missão, competências e </w:t>
      </w:r>
      <w:r w:rsidRPr="00AB4699">
        <w:rPr>
          <w:rFonts w:ascii="Calibri" w:eastAsia="Times New Roman" w:hAnsi="Calibri" w:cs="Calibri"/>
          <w:color w:val="000000"/>
          <w:kern w:val="0"/>
          <w:sz w:val="27"/>
          <w:szCs w:val="27"/>
          <w:lang w:eastAsia="pt-BR"/>
          <w14:ligatures w14:val="none"/>
        </w:rPr>
        <w:lastRenderedPageBreak/>
        <w:t>diretrizes governamentais, além de permitir a comunicação dirigida a esses públicos.</w:t>
      </w:r>
    </w:p>
    <w:p w14:paraId="3DF6BBD2"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Todos esses normativos orientadores em nossa legislação denotam interesse público na transformação do cenário do desenvolvimento e assistência social, por meio de apoio à qualificação.</w:t>
      </w:r>
    </w:p>
    <w:p w14:paraId="3D90312B"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O presente estudo tem o objetivo de patrocinar com uma cota de R$ 800.000,00 (oitocentos mil reais) o " Projeto Agricultura Familiar – Oficina como vender para o PNAE”, que ocorrerá no período dos dias 04/05/2024 a 14/06/2024, objetivando oferecer aos agricultores familiares a oportunidade de comercializar sua produção para o governo municipal aderido ao PNAE - Programa Nacional de Alimentação Escolar, visa oferecer uma visão geral do Programa Nacional de Alimentação Escolar, capacitando agricultores familiares a explorar de maneira assertiva o mercado para sua produção e acessar o PNAE.</w:t>
      </w:r>
    </w:p>
    <w:p w14:paraId="5FBB1C34"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O Programa Nacional de Alimentação Escolar (PNAE) é a política pública que assegura a alimentação adequada aos estudantes da educação básica pública, atendendo cerca de 41 milhões de alunos em todo o país. Com um repasse anual de R$ 3,8 bilhões</w:t>
      </w:r>
      <w:bookmarkStart w:id="1" w:name="item_QlfKdZpC1JK8qXWM"/>
      <w:r w:rsidRPr="00AB4699">
        <w:rPr>
          <w:rFonts w:ascii="Calibri" w:eastAsia="Times New Roman" w:hAnsi="Calibri" w:cs="Calibri"/>
          <w:color w:val="000000"/>
          <w:kern w:val="0"/>
          <w:sz w:val="27"/>
          <w:szCs w:val="27"/>
          <w:vertAlign w:val="superscript"/>
          <w:lang w:eastAsia="pt-BR"/>
          <w14:ligatures w14:val="none"/>
        </w:rPr>
        <w:fldChar w:fldCharType="begin"/>
      </w:r>
      <w:r w:rsidRPr="00AB4699">
        <w:rPr>
          <w:rFonts w:ascii="Calibri" w:eastAsia="Times New Roman" w:hAnsi="Calibri" w:cs="Calibri"/>
          <w:color w:val="000000"/>
          <w:kern w:val="0"/>
          <w:sz w:val="27"/>
          <w:szCs w:val="27"/>
          <w:vertAlign w:val="superscript"/>
          <w:lang w:eastAsia="pt-BR"/>
          <w14:ligatures w14:val="none"/>
        </w:rPr>
        <w:instrText>HYPERLINK "https://sei.cidadania.gov.br/sei/controlador.php?acao=documento_visualizar&amp;acao_origem=procedimento_visualizar&amp;id_documento=16964989&amp;arvore=1&amp;infra_sistema=100000100&amp;infra_unidade_atual=110000944&amp;infra_hash=a6dc5fb1c17a9ce731219ce9370e82a8c6f958a5f0e28073dd5854a483041ec9" \l "footer_QlfKdZpC1JK8qXWM" \t "_blank"</w:instrText>
      </w:r>
      <w:r w:rsidRPr="00AB4699">
        <w:rPr>
          <w:rFonts w:ascii="Calibri" w:eastAsia="Times New Roman" w:hAnsi="Calibri" w:cs="Calibri"/>
          <w:color w:val="000000"/>
          <w:kern w:val="0"/>
          <w:sz w:val="27"/>
          <w:szCs w:val="27"/>
          <w:vertAlign w:val="superscript"/>
          <w:lang w:eastAsia="pt-BR"/>
          <w14:ligatures w14:val="none"/>
        </w:rPr>
      </w:r>
      <w:r w:rsidRPr="00AB4699">
        <w:rPr>
          <w:rFonts w:ascii="Calibri" w:eastAsia="Times New Roman" w:hAnsi="Calibri" w:cs="Calibri"/>
          <w:color w:val="000000"/>
          <w:kern w:val="0"/>
          <w:sz w:val="27"/>
          <w:szCs w:val="27"/>
          <w:vertAlign w:val="superscript"/>
          <w:lang w:eastAsia="pt-BR"/>
          <w14:ligatures w14:val="none"/>
        </w:rPr>
        <w:fldChar w:fldCharType="separate"/>
      </w:r>
      <w:r w:rsidRPr="00AB4699">
        <w:rPr>
          <w:rFonts w:ascii="Calibri" w:eastAsia="Times New Roman" w:hAnsi="Calibri" w:cs="Calibri"/>
          <w:color w:val="0000FF"/>
          <w:kern w:val="0"/>
          <w:sz w:val="27"/>
          <w:szCs w:val="27"/>
          <w:u w:val="single"/>
          <w:vertAlign w:val="superscript"/>
          <w:lang w:eastAsia="pt-BR"/>
          <w14:ligatures w14:val="none"/>
        </w:rPr>
        <w:t>[1]</w:t>
      </w:r>
      <w:r w:rsidRPr="00AB4699">
        <w:rPr>
          <w:rFonts w:ascii="Calibri" w:eastAsia="Times New Roman" w:hAnsi="Calibri" w:cs="Calibri"/>
          <w:color w:val="000000"/>
          <w:kern w:val="0"/>
          <w:sz w:val="27"/>
          <w:szCs w:val="27"/>
          <w:vertAlign w:val="superscript"/>
          <w:lang w:eastAsia="pt-BR"/>
          <w14:ligatures w14:val="none"/>
        </w:rPr>
        <w:fldChar w:fldCharType="end"/>
      </w:r>
      <w:bookmarkEnd w:id="1"/>
      <w:r w:rsidRPr="00AB4699">
        <w:rPr>
          <w:rFonts w:ascii="Calibri" w:eastAsia="Times New Roman" w:hAnsi="Calibri" w:cs="Calibri"/>
          <w:color w:val="000000"/>
          <w:kern w:val="0"/>
          <w:sz w:val="27"/>
          <w:szCs w:val="27"/>
          <w:lang w:eastAsia="pt-BR"/>
          <w14:ligatures w14:val="none"/>
        </w:rPr>
        <w:t>  aos estados e municípios, o programa visa suprir a carência alimentar, muitas vezes representada pela única ou principal refeição do dia feita na escola.</w:t>
      </w:r>
    </w:p>
    <w:p w14:paraId="2835F213"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Além disso, destina 30% de seus recursos para a compra direta de alimentos da agricultura familiar, promovendo não só a segurança alimentar, mas também o desenvolvimento econômico local.</w:t>
      </w:r>
    </w:p>
    <w:p w14:paraId="38948E0E"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Devido à sua magnitude, o PNAE mostra-se de grande importância para o cumprimento dos Objetivos de Desenvolvimento Sustentável (ODS), compromisso assumido pelo Brasil junto à Organização das Nações Unidas (ONU), sobretudo os dois seguintes:</w:t>
      </w:r>
    </w:p>
    <w:p w14:paraId="361A900B"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Objetivo 2 - Acabar com a fome, alcançar a segurança alimentar e melhoria da nutrição e promover a agricultura sustentável</w:t>
      </w:r>
      <w:bookmarkStart w:id="2" w:name="item_n6ThPeoouw07PD3E"/>
      <w:r w:rsidRPr="00AB4699">
        <w:rPr>
          <w:rFonts w:ascii="Calibri" w:eastAsia="Times New Roman" w:hAnsi="Calibri" w:cs="Calibri"/>
          <w:color w:val="000000"/>
          <w:kern w:val="0"/>
          <w:sz w:val="27"/>
          <w:szCs w:val="27"/>
          <w:vertAlign w:val="superscript"/>
          <w:lang w:eastAsia="pt-BR"/>
          <w14:ligatures w14:val="none"/>
        </w:rPr>
        <w:fldChar w:fldCharType="begin"/>
      </w:r>
      <w:r w:rsidRPr="00AB4699">
        <w:rPr>
          <w:rFonts w:ascii="Calibri" w:eastAsia="Times New Roman" w:hAnsi="Calibri" w:cs="Calibri"/>
          <w:color w:val="000000"/>
          <w:kern w:val="0"/>
          <w:sz w:val="27"/>
          <w:szCs w:val="27"/>
          <w:vertAlign w:val="superscript"/>
          <w:lang w:eastAsia="pt-BR"/>
          <w14:ligatures w14:val="none"/>
        </w:rPr>
        <w:instrText>HYPERLINK "https://sei.cidadania.gov.br/sei/controlador.php?acao=documento_visualizar&amp;acao_origem=procedimento_visualizar&amp;id_documento=16964989&amp;arvore=1&amp;infra_sistema=100000100&amp;infra_unidade_atual=110000944&amp;infra_hash=a6dc5fb1c17a9ce731219ce9370e82a8c6f958a5f0e28073dd5854a483041ec9" \l "footer_n6ThPeoouw07PD3E" \t "_blank"</w:instrText>
      </w:r>
      <w:r w:rsidRPr="00AB4699">
        <w:rPr>
          <w:rFonts w:ascii="Calibri" w:eastAsia="Times New Roman" w:hAnsi="Calibri" w:cs="Calibri"/>
          <w:color w:val="000000"/>
          <w:kern w:val="0"/>
          <w:sz w:val="27"/>
          <w:szCs w:val="27"/>
          <w:vertAlign w:val="superscript"/>
          <w:lang w:eastAsia="pt-BR"/>
          <w14:ligatures w14:val="none"/>
        </w:rPr>
      </w:r>
      <w:r w:rsidRPr="00AB4699">
        <w:rPr>
          <w:rFonts w:ascii="Calibri" w:eastAsia="Times New Roman" w:hAnsi="Calibri" w:cs="Calibri"/>
          <w:color w:val="000000"/>
          <w:kern w:val="0"/>
          <w:sz w:val="27"/>
          <w:szCs w:val="27"/>
          <w:vertAlign w:val="superscript"/>
          <w:lang w:eastAsia="pt-BR"/>
          <w14:ligatures w14:val="none"/>
        </w:rPr>
        <w:fldChar w:fldCharType="separate"/>
      </w:r>
      <w:r w:rsidRPr="00AB4699">
        <w:rPr>
          <w:rFonts w:ascii="Calibri" w:eastAsia="Times New Roman" w:hAnsi="Calibri" w:cs="Calibri"/>
          <w:color w:val="0000FF"/>
          <w:kern w:val="0"/>
          <w:sz w:val="27"/>
          <w:szCs w:val="27"/>
          <w:u w:val="single"/>
          <w:vertAlign w:val="superscript"/>
          <w:lang w:eastAsia="pt-BR"/>
          <w14:ligatures w14:val="none"/>
        </w:rPr>
        <w:t>[2]</w:t>
      </w:r>
      <w:r w:rsidRPr="00AB4699">
        <w:rPr>
          <w:rFonts w:ascii="Calibri" w:eastAsia="Times New Roman" w:hAnsi="Calibri" w:cs="Calibri"/>
          <w:color w:val="000000"/>
          <w:kern w:val="0"/>
          <w:sz w:val="27"/>
          <w:szCs w:val="27"/>
          <w:vertAlign w:val="superscript"/>
          <w:lang w:eastAsia="pt-BR"/>
          <w14:ligatures w14:val="none"/>
        </w:rPr>
        <w:fldChar w:fldCharType="end"/>
      </w:r>
      <w:bookmarkEnd w:id="2"/>
      <w:r w:rsidRPr="00AB4699">
        <w:rPr>
          <w:rFonts w:ascii="Calibri" w:eastAsia="Times New Roman" w:hAnsi="Calibri" w:cs="Calibri"/>
          <w:color w:val="000000"/>
          <w:kern w:val="0"/>
          <w:sz w:val="27"/>
          <w:szCs w:val="27"/>
          <w:lang w:eastAsia="pt-BR"/>
          <w14:ligatures w14:val="none"/>
        </w:rPr>
        <w:t>;</w:t>
      </w:r>
    </w:p>
    <w:p w14:paraId="3414D17C"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Objetivo 4 - Assegurar a educação inclusiva e equitativa e de qualidade, e promover oportunidades de aprendizagem ao longo da vida para todos</w:t>
      </w:r>
      <w:bookmarkStart w:id="3" w:name="item_dFv8igKtjB58djSl"/>
      <w:r w:rsidRPr="00AB4699">
        <w:rPr>
          <w:rFonts w:ascii="Calibri" w:eastAsia="Times New Roman" w:hAnsi="Calibri" w:cs="Calibri"/>
          <w:color w:val="000000"/>
          <w:kern w:val="0"/>
          <w:sz w:val="27"/>
          <w:szCs w:val="27"/>
          <w:vertAlign w:val="superscript"/>
          <w:lang w:eastAsia="pt-BR"/>
          <w14:ligatures w14:val="none"/>
        </w:rPr>
        <w:fldChar w:fldCharType="begin"/>
      </w:r>
      <w:r w:rsidRPr="00AB4699">
        <w:rPr>
          <w:rFonts w:ascii="Calibri" w:eastAsia="Times New Roman" w:hAnsi="Calibri" w:cs="Calibri"/>
          <w:color w:val="000000"/>
          <w:kern w:val="0"/>
          <w:sz w:val="27"/>
          <w:szCs w:val="27"/>
          <w:vertAlign w:val="superscript"/>
          <w:lang w:eastAsia="pt-BR"/>
          <w14:ligatures w14:val="none"/>
        </w:rPr>
        <w:instrText>HYPERLINK "https://sei.cidadania.gov.br/sei/controlador.php?acao=documento_visualizar&amp;acao_origem=procedimento_visualizar&amp;id_documento=16964989&amp;arvore=1&amp;infra_sistema=100000100&amp;infra_unidade_atual=110000944&amp;infra_hash=a6dc5fb1c17a9ce731219ce9370e82a8c6f958a5f0e28073dd5854a483041ec9" \l "footer_dFv8igKtjB58djSl" \t "_blank"</w:instrText>
      </w:r>
      <w:r w:rsidRPr="00AB4699">
        <w:rPr>
          <w:rFonts w:ascii="Calibri" w:eastAsia="Times New Roman" w:hAnsi="Calibri" w:cs="Calibri"/>
          <w:color w:val="000000"/>
          <w:kern w:val="0"/>
          <w:sz w:val="27"/>
          <w:szCs w:val="27"/>
          <w:vertAlign w:val="superscript"/>
          <w:lang w:eastAsia="pt-BR"/>
          <w14:ligatures w14:val="none"/>
        </w:rPr>
      </w:r>
      <w:r w:rsidRPr="00AB4699">
        <w:rPr>
          <w:rFonts w:ascii="Calibri" w:eastAsia="Times New Roman" w:hAnsi="Calibri" w:cs="Calibri"/>
          <w:color w:val="000000"/>
          <w:kern w:val="0"/>
          <w:sz w:val="27"/>
          <w:szCs w:val="27"/>
          <w:vertAlign w:val="superscript"/>
          <w:lang w:eastAsia="pt-BR"/>
          <w14:ligatures w14:val="none"/>
        </w:rPr>
        <w:fldChar w:fldCharType="separate"/>
      </w:r>
      <w:r w:rsidRPr="00AB4699">
        <w:rPr>
          <w:rFonts w:ascii="Calibri" w:eastAsia="Times New Roman" w:hAnsi="Calibri" w:cs="Calibri"/>
          <w:color w:val="0000FF"/>
          <w:kern w:val="0"/>
          <w:sz w:val="27"/>
          <w:szCs w:val="27"/>
          <w:u w:val="single"/>
          <w:vertAlign w:val="superscript"/>
          <w:lang w:eastAsia="pt-BR"/>
          <w14:ligatures w14:val="none"/>
        </w:rPr>
        <w:t>[3]</w:t>
      </w:r>
      <w:r w:rsidRPr="00AB4699">
        <w:rPr>
          <w:rFonts w:ascii="Calibri" w:eastAsia="Times New Roman" w:hAnsi="Calibri" w:cs="Calibri"/>
          <w:color w:val="000000"/>
          <w:kern w:val="0"/>
          <w:sz w:val="27"/>
          <w:szCs w:val="27"/>
          <w:vertAlign w:val="superscript"/>
          <w:lang w:eastAsia="pt-BR"/>
          <w14:ligatures w14:val="none"/>
        </w:rPr>
        <w:fldChar w:fldCharType="end"/>
      </w:r>
      <w:bookmarkEnd w:id="3"/>
      <w:r w:rsidRPr="00AB4699">
        <w:rPr>
          <w:rFonts w:ascii="Calibri" w:eastAsia="Times New Roman" w:hAnsi="Calibri" w:cs="Calibri"/>
          <w:color w:val="000000"/>
          <w:kern w:val="0"/>
          <w:sz w:val="27"/>
          <w:szCs w:val="27"/>
          <w:lang w:eastAsia="pt-BR"/>
          <w14:ligatures w14:val="none"/>
        </w:rPr>
        <w:t>.</w:t>
      </w:r>
    </w:p>
    <w:p w14:paraId="1DB55392"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xml:space="preserve">O PNAE é regido por legislações que garantem seu cumprimento e eficácia, destacando-se a Lei 11.947/2009. O programa assegura a alimentação escolar a todos os estudantes da rede básica de ensino. Com base nisso, o PNAE promove a participação da agricultura familiar por meio da Chamada Pública, impulsionando a produção local e a inclusão de alimentos regionais na dieta escolar. Com foco no desenvolvimento biopsicossocial dos alunos, o programa representa um </w:t>
      </w:r>
      <w:r w:rsidRPr="00AB4699">
        <w:rPr>
          <w:rFonts w:ascii="Calibri" w:eastAsia="Times New Roman" w:hAnsi="Calibri" w:cs="Calibri"/>
          <w:color w:val="000000"/>
          <w:kern w:val="0"/>
          <w:sz w:val="27"/>
          <w:szCs w:val="27"/>
          <w:lang w:eastAsia="pt-BR"/>
          <w14:ligatures w14:val="none"/>
        </w:rPr>
        <w:lastRenderedPageBreak/>
        <w:t>importante instrumento para a garantia do direito humano à alimentação adequada.</w:t>
      </w:r>
    </w:p>
    <w:p w14:paraId="5053D37E"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O PNAE é um dos maiores e mais abrangentes programas de alimentação escolar do mundo. Ele tem servido de inspiração para políticas em alimentação escolar em vários países, sobretudo por fazer parte do bem-sucedido esforço do Brasil no combate à fome e à pobreza.</w:t>
      </w:r>
    </w:p>
    <w:p w14:paraId="3AE55F3E"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Um aspecto a ser considerado no PNAE é a obrigatoriedade da utilização de 30% dos recursos federais na aquisição de produtos da agricultura familiar. A relação entre agricultura familiar e alimentação escolar é uma relação virtuosa em que todos saem ganhando: o aluno, o agricultor, a sociedade e o meio ambiente. Do ponto de vista nutricional, os produtos da agricultura familiar são mais frescos e normalmente mais bem aceitos pelos estudantes. Lembre-se sempre de que a refeição oferecida pelo PNAE deve respeitar e fomentar a cultura alimentar local.</w:t>
      </w:r>
    </w:p>
    <w:p w14:paraId="0C839888"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A aquisição de produtos produzidos localmente fortalece os agricultores familiares, que enfrentam muitos problemas econômicos e sociais e que têm pouca proteção para o desenvolvimento de seu trabalho. Assim, a compra governamental para a alimentação escolar, do jeito que foi pensada, assegura a esses agricultores a comercialização de seus produtos, aumentando a sua qualidade de vida e a de sua família.</w:t>
      </w:r>
    </w:p>
    <w:p w14:paraId="2F7F4611"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Por tudo isso, é importante salientar que a elaboração dos cardápios escolares deve aproveitar os produtos da região. O contrário também pode ocorrer: alguns alimentos do cardápio podem servir de estímulo à produção pelos agricultores familiares.</w:t>
      </w:r>
    </w:p>
    <w:p w14:paraId="40AFB78B"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Em última análise, o acesso ao PNAE não só beneficia os agricultores familiares, mas também promove o desenvolvimento econômico sustentável e a saúde das comunidades rurais atendidas pelo presente projeto.</w:t>
      </w:r>
    </w:p>
    <w:p w14:paraId="30212045"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Necessita-se, portanto, adotar medidas que proporcionem competências administrativas ao homem do campo, consolidando o conhecimento adquirido através da qualificação viabilizada por meio deste projeto.</w:t>
      </w:r>
    </w:p>
    <w:p w14:paraId="01DFC991"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Pelas razões apresentadas acima, o MDS tem interesse em patrocinar o “Projeto Agricultura Familiar – Oficina como vender para o PNAE”, com o intuito de agregar a sua marca, juntamente com a do Governo Federal, para seu público de interesse.</w:t>
      </w:r>
    </w:p>
    <w:p w14:paraId="014472A2"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V – RESOLUÇÃO</w:t>
      </w:r>
    </w:p>
    <w:p w14:paraId="39EE51C0"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Presente o pressuposto no </w:t>
      </w:r>
      <w:r w:rsidRPr="00AB4699">
        <w:rPr>
          <w:rFonts w:ascii="Calibri" w:eastAsia="Times New Roman" w:hAnsi="Calibri" w:cs="Calibri"/>
          <w:i/>
          <w:iCs/>
          <w:color w:val="000000"/>
          <w:kern w:val="0"/>
          <w:sz w:val="27"/>
          <w:szCs w:val="27"/>
          <w:lang w:eastAsia="pt-BR"/>
          <w14:ligatures w14:val="none"/>
        </w:rPr>
        <w:t>Caput</w:t>
      </w:r>
      <w:r w:rsidRPr="00AB4699">
        <w:rPr>
          <w:rFonts w:ascii="Calibri" w:eastAsia="Times New Roman" w:hAnsi="Calibri" w:cs="Calibri"/>
          <w:color w:val="000000"/>
          <w:kern w:val="0"/>
          <w:sz w:val="27"/>
          <w:szCs w:val="27"/>
          <w:lang w:eastAsia="pt-BR"/>
          <w14:ligatures w14:val="none"/>
        </w:rPr>
        <w:t> do Art. 74, da Lei nº 14.133/21, resolvo considerar</w:t>
      </w:r>
      <w:r w:rsidRPr="00AB4699">
        <w:rPr>
          <w:rFonts w:ascii="Calibri" w:eastAsia="Times New Roman" w:hAnsi="Calibri" w:cs="Calibri"/>
          <w:b/>
          <w:bCs/>
          <w:color w:val="000000"/>
          <w:kern w:val="0"/>
          <w:sz w:val="27"/>
          <w:szCs w:val="27"/>
          <w:lang w:eastAsia="pt-BR"/>
          <w14:ligatures w14:val="none"/>
        </w:rPr>
        <w:t> INEXIGÍVEL</w:t>
      </w:r>
      <w:r w:rsidRPr="00AB4699">
        <w:rPr>
          <w:rFonts w:ascii="Calibri" w:eastAsia="Times New Roman" w:hAnsi="Calibri" w:cs="Calibri"/>
          <w:color w:val="000000"/>
          <w:kern w:val="0"/>
          <w:sz w:val="27"/>
          <w:szCs w:val="27"/>
          <w:lang w:eastAsia="pt-BR"/>
          <w14:ligatures w14:val="none"/>
        </w:rPr>
        <w:t> a presente licitação. </w:t>
      </w:r>
    </w:p>
    <w:p w14:paraId="06C2F343"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lastRenderedPageBreak/>
        <w:t> </w:t>
      </w:r>
    </w:p>
    <w:p w14:paraId="7FFB00C4" w14:textId="77777777" w:rsidR="00AB4699" w:rsidRPr="00AB4699" w:rsidRDefault="00AB4699" w:rsidP="00AB4699">
      <w:pPr>
        <w:spacing w:after="0" w:line="240" w:lineRule="auto"/>
        <w:jc w:val="center"/>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b/>
          <w:bCs/>
          <w:color w:val="000000"/>
          <w:kern w:val="0"/>
          <w:sz w:val="27"/>
          <w:szCs w:val="27"/>
          <w:lang w:eastAsia="pt-BR"/>
          <w14:ligatures w14:val="none"/>
        </w:rPr>
        <w:t>FELIPE ALVES RIBEIRO MORAIS</w:t>
      </w:r>
    </w:p>
    <w:p w14:paraId="5B595E94" w14:textId="77777777" w:rsidR="00AB4699" w:rsidRPr="00AB4699" w:rsidRDefault="00AB4699" w:rsidP="00AB4699">
      <w:pPr>
        <w:spacing w:after="0" w:line="240" w:lineRule="auto"/>
        <w:jc w:val="center"/>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Coordenador Geral de Licitações e Contratos</w:t>
      </w:r>
    </w:p>
    <w:p w14:paraId="0E8E4BE1" w14:textId="77777777" w:rsidR="00AB4699" w:rsidRPr="00AB4699" w:rsidRDefault="00AB4699" w:rsidP="00AB4699">
      <w:pPr>
        <w:spacing w:before="120" w:after="120" w:line="240" w:lineRule="auto"/>
        <w:ind w:left="120" w:right="120" w:firstLine="1418"/>
        <w:jc w:val="both"/>
        <w:rPr>
          <w:rFonts w:ascii="Calibri" w:eastAsia="Times New Roman" w:hAnsi="Calibri" w:cs="Calibri"/>
          <w:color w:val="000000"/>
          <w:kern w:val="0"/>
          <w:sz w:val="27"/>
          <w:szCs w:val="27"/>
          <w:lang w:eastAsia="pt-BR"/>
          <w14:ligatures w14:val="none"/>
        </w:rPr>
      </w:pPr>
      <w:r w:rsidRPr="00AB4699">
        <w:rPr>
          <w:rFonts w:ascii="Calibri" w:eastAsia="Times New Roman" w:hAnsi="Calibri" w:cs="Calibri"/>
          <w:color w:val="000000"/>
          <w:kern w:val="0"/>
          <w:sz w:val="27"/>
          <w:szCs w:val="27"/>
          <w:lang w:eastAsia="pt-BR"/>
          <w14:ligatures w14:val="none"/>
        </w:rPr>
        <w:t> </w:t>
      </w:r>
    </w:p>
    <w:p w14:paraId="1096F9EF" w14:textId="77777777" w:rsidR="00421935" w:rsidRDefault="00421935"/>
    <w:sectPr w:rsidR="0042193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99"/>
    <w:rsid w:val="00421935"/>
    <w:rsid w:val="007A2821"/>
    <w:rsid w:val="00AB469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F192F8"/>
  <w15:chartTrackingRefBased/>
  <w15:docId w15:val="{2D5BCB20-835F-4A22-BA8F-3D1DA6211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AB4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AB4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AB469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AB469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AB469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AB469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AB469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AB469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AB4699"/>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B4699"/>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AB4699"/>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AB4699"/>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AB4699"/>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AB4699"/>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AB469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AB469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AB469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AB4699"/>
    <w:rPr>
      <w:rFonts w:eastAsiaTheme="majorEastAsia" w:cstheme="majorBidi"/>
      <w:color w:val="272727" w:themeColor="text1" w:themeTint="D8"/>
    </w:rPr>
  </w:style>
  <w:style w:type="paragraph" w:styleId="Ttulo">
    <w:name w:val="Title"/>
    <w:basedOn w:val="Normal"/>
    <w:next w:val="Normal"/>
    <w:link w:val="TtuloChar"/>
    <w:uiPriority w:val="10"/>
    <w:qFormat/>
    <w:rsid w:val="00AB4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AB469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AB4699"/>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AB469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AB4699"/>
    <w:pPr>
      <w:spacing w:before="160"/>
      <w:jc w:val="center"/>
    </w:pPr>
    <w:rPr>
      <w:i/>
      <w:iCs/>
      <w:color w:val="404040" w:themeColor="text1" w:themeTint="BF"/>
    </w:rPr>
  </w:style>
  <w:style w:type="character" w:customStyle="1" w:styleId="CitaoChar">
    <w:name w:val="Citação Char"/>
    <w:basedOn w:val="Fontepargpadro"/>
    <w:link w:val="Citao"/>
    <w:uiPriority w:val="29"/>
    <w:rsid w:val="00AB4699"/>
    <w:rPr>
      <w:i/>
      <w:iCs/>
      <w:color w:val="404040" w:themeColor="text1" w:themeTint="BF"/>
    </w:rPr>
  </w:style>
  <w:style w:type="paragraph" w:styleId="PargrafodaLista">
    <w:name w:val="List Paragraph"/>
    <w:basedOn w:val="Normal"/>
    <w:uiPriority w:val="34"/>
    <w:qFormat/>
    <w:rsid w:val="00AB4699"/>
    <w:pPr>
      <w:ind w:left="720"/>
      <w:contextualSpacing/>
    </w:pPr>
  </w:style>
  <w:style w:type="character" w:styleId="nfaseIntensa">
    <w:name w:val="Intense Emphasis"/>
    <w:basedOn w:val="Fontepargpadro"/>
    <w:uiPriority w:val="21"/>
    <w:qFormat/>
    <w:rsid w:val="00AB4699"/>
    <w:rPr>
      <w:i/>
      <w:iCs/>
      <w:color w:val="0F4761" w:themeColor="accent1" w:themeShade="BF"/>
    </w:rPr>
  </w:style>
  <w:style w:type="paragraph" w:styleId="CitaoIntensa">
    <w:name w:val="Intense Quote"/>
    <w:basedOn w:val="Normal"/>
    <w:next w:val="Normal"/>
    <w:link w:val="CitaoIntensaChar"/>
    <w:uiPriority w:val="30"/>
    <w:qFormat/>
    <w:rsid w:val="00AB4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AB4699"/>
    <w:rPr>
      <w:i/>
      <w:iCs/>
      <w:color w:val="0F4761" w:themeColor="accent1" w:themeShade="BF"/>
    </w:rPr>
  </w:style>
  <w:style w:type="character" w:styleId="RefernciaIntensa">
    <w:name w:val="Intense Reference"/>
    <w:basedOn w:val="Fontepargpadro"/>
    <w:uiPriority w:val="32"/>
    <w:qFormat/>
    <w:rsid w:val="00AB4699"/>
    <w:rPr>
      <w:b/>
      <w:bCs/>
      <w:smallCaps/>
      <w:color w:val="0F4761" w:themeColor="accent1" w:themeShade="BF"/>
      <w:spacing w:val="5"/>
    </w:rPr>
  </w:style>
  <w:style w:type="paragraph" w:customStyle="1" w:styleId="textocentralizadomaiscespacamentosimples">
    <w:name w:val="texto_centralizado_maisc_espacamentosimples"/>
    <w:basedOn w:val="Normal"/>
    <w:rsid w:val="00AB469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AB4699"/>
    <w:rPr>
      <w:b/>
      <w:bCs/>
    </w:rPr>
  </w:style>
  <w:style w:type="paragraph" w:customStyle="1" w:styleId="textocentralizadomaiusculas">
    <w:name w:val="texto_centralizado_maiusculas"/>
    <w:basedOn w:val="Normal"/>
    <w:rsid w:val="00AB469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uiPriority w:val="99"/>
    <w:semiHidden/>
    <w:unhideWhenUsed/>
    <w:rsid w:val="00AB469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textojustificadorecuoprimeiralinha">
    <w:name w:val="texto_justificado_recuo_primeira_linha"/>
    <w:basedOn w:val="Normal"/>
    <w:rsid w:val="00AB469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Hyperlink">
    <w:name w:val="Hyperlink"/>
    <w:basedOn w:val="Fontepargpadro"/>
    <w:uiPriority w:val="99"/>
    <w:semiHidden/>
    <w:unhideWhenUsed/>
    <w:rsid w:val="00AB4699"/>
    <w:rPr>
      <w:color w:val="0000FF"/>
      <w:u w:val="single"/>
    </w:rPr>
  </w:style>
  <w:style w:type="character" w:styleId="nfase">
    <w:name w:val="Emphasis"/>
    <w:basedOn w:val="Fontepargpadro"/>
    <w:uiPriority w:val="20"/>
    <w:qFormat/>
    <w:rsid w:val="00AB4699"/>
    <w:rPr>
      <w:i/>
      <w:iCs/>
    </w:rPr>
  </w:style>
  <w:style w:type="paragraph" w:customStyle="1" w:styleId="textocentralizadoespacamentosimples">
    <w:name w:val="texto_centralizado_espacamentosimples"/>
    <w:basedOn w:val="Normal"/>
    <w:rsid w:val="00AB4699"/>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501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i.cidadania.gov.br/sei/controlador.php?acao=protocolo_visualizar&amp;id_protocolo=16940201&amp;id_procedimento_atual=16753199&amp;infra_sistema=100000100&amp;infra_unidade_atual=110000944&amp;infra_hash=717d81ad92237a01af0d8daa0c0e9f6ce10b1b2c8994cb7073c90b1aefa85a05" TargetMode="External"/><Relationship Id="rId13" Type="http://schemas.openxmlformats.org/officeDocument/2006/relationships/hyperlink" Target="https://www.gov.br/secom/pt-br/acesso-a-informacao/legislacao/INSTRUCAONORMATIVAN2DE23DEDEZEMBRODE2019INSTRUCAONORMATIVAN2DE23DEDEZEMBRODE2019DOUImprensaNacional.pdf" TargetMode="External"/><Relationship Id="rId3" Type="http://schemas.openxmlformats.org/officeDocument/2006/relationships/webSettings" Target="webSettings.xml"/><Relationship Id="rId7" Type="http://schemas.openxmlformats.org/officeDocument/2006/relationships/hyperlink" Target="https://sei.cidadania.gov.br/sei/controlador.php?acao=protocolo_visualizar&amp;id_protocolo=16896725&amp;id_procedimento_atual=16753199&amp;infra_sistema=100000100&amp;infra_unidade_atual=110000944&amp;infra_hash=88dda68877bb083ef9954c7f7111537888f937aea5d5ccffe412fb8f161e0f31" TargetMode="External"/><Relationship Id="rId12" Type="http://schemas.openxmlformats.org/officeDocument/2006/relationships/hyperlink" Target="http://legislacao.planalto.gov.br/legisla/legislacao.nsf/Viw_Identificacao/DEC%2011.392-2023?OpenDocu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ei.cidadania.gov.br/sei/controlador.php?acao=protocolo_visualizar&amp;id_protocolo=17035559&amp;id_procedimento_atual=16753199&amp;infra_sistema=100000100&amp;infra_unidade_atual=110000944&amp;infra_hash=8c080128f8e18a9e8ec8926686eb11dfbf0df09f5005811b450f750574469f3b" TargetMode="External"/><Relationship Id="rId11" Type="http://schemas.openxmlformats.org/officeDocument/2006/relationships/hyperlink" Target="https://sei.cidadania.gov.br/sei/controlador.php?acao=protocolo_visualizar&amp;id_protocolo=17030625&amp;id_procedimento_atual=16753199&amp;infra_sistema=100000100&amp;infra_unidade_atual=110000944&amp;infra_hash=d502ac5bd346db4410c4b1b94955f8ed7d80095ccf76ba2e82a2ee5b3badc096" TargetMode="External"/><Relationship Id="rId5" Type="http://schemas.openxmlformats.org/officeDocument/2006/relationships/hyperlink" Target="https://sei.cidadania.gov.br/sei/controlador.php?acao=protocolo_visualizar&amp;id_protocolo=17035317&amp;id_procedimento_atual=16753199&amp;infra_sistema=100000100&amp;infra_unidade_atual=110000944&amp;infra_hash=48b0d6320fe3d374b768b0edbcd884bc0192d9b12f86577fe858a349834ac4b0" TargetMode="External"/><Relationship Id="rId15" Type="http://schemas.openxmlformats.org/officeDocument/2006/relationships/theme" Target="theme/theme1.xml"/><Relationship Id="rId10" Type="http://schemas.openxmlformats.org/officeDocument/2006/relationships/hyperlink" Target="https://sei.cidadania.gov.br/sei/controlador.php?acao=protocolo_visualizar&amp;id_protocolo=16961095&amp;id_procedimento_atual=16753199&amp;infra_sistema=100000100&amp;infra_unidade_atual=110000944&amp;infra_hash=def011b7eea9572cb7819f61777d6def79e9bc193eeba3179df2550069a1bebb" TargetMode="External"/><Relationship Id="rId4" Type="http://schemas.openxmlformats.org/officeDocument/2006/relationships/hyperlink" Target="https://sei.cidadania.gov.br/sei/controlador.php?acao=protocolo_visualizar&amp;id_protocolo=17035317&amp;id_procedimento_atual=16753199&amp;infra_sistema=100000100&amp;infra_unidade_atual=110000944&amp;infra_hash=48b0d6320fe3d374b768b0edbcd884bc0192d9b12f86577fe858a349834ac4b0" TargetMode="External"/><Relationship Id="rId9" Type="http://schemas.openxmlformats.org/officeDocument/2006/relationships/hyperlink" Target="https://sei.cidadania.gov.br/sei/controlador.php?acao=protocolo_visualizar&amp;id_protocolo=17062325&amp;id_procedimento_atual=16753199&amp;infra_sistema=100000100&amp;infra_unidade_atual=110000944&amp;infra_hash=d1fc649be5a3343db822f8ad52a519a23a1e3a54b484a43b6a5b9e9ae1e044c9"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2084</Words>
  <Characters>11257</Characters>
  <Application>Microsoft Office Word</Application>
  <DocSecurity>0</DocSecurity>
  <Lines>93</Lines>
  <Paragraphs>26</Paragraphs>
  <ScaleCrop>false</ScaleCrop>
  <Company/>
  <LinksUpToDate>false</LinksUpToDate>
  <CharactersWithSpaces>13315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da Penha Basilio</dc:creator>
  <cp:keywords/>
  <dc:description/>
  <cp:lastModifiedBy>Maria da Penha Basilio</cp:lastModifiedBy>
  <cp:revision>1</cp:revision>
  <dcterms:created xsi:type="dcterms:W3CDTF">2024-05-14T16:47:00Z</dcterms:created>
  <dcterms:modified xsi:type="dcterms:W3CDTF">2024-05-14T16:47:00Z</dcterms:modified>
</cp:coreProperties>
</file>