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3DC38" w14:textId="2ACAC332" w:rsidR="00407EF4" w:rsidRPr="00407EF4" w:rsidRDefault="00407EF4" w:rsidP="00407EF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ANEXO </w:t>
      </w:r>
      <w:r w:rsidRPr="00407EF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I</w:t>
      </w:r>
      <w:r w:rsidRPr="00407EF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– INSTRUMENTO DE MEDIÇÃO DE RESULTADO (IMR)</w:t>
      </w:r>
    </w:p>
    <w:p w14:paraId="37C42922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Serviços de Vigilância Patrimonial</w:t>
      </w:r>
    </w:p>
    <w:p w14:paraId="7B6AE08E" w14:textId="47E335AC" w:rsidR="00407EF4" w:rsidRPr="00407EF4" w:rsidRDefault="00407EF4" w:rsidP="00407EF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FAF42A0" w14:textId="77777777" w:rsid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1. OBJETO</w:t>
      </w:r>
    </w:p>
    <w:p w14:paraId="7D0AC0C5" w14:textId="468F23D1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presente Instrumento de Medição de Resultado (IMR) estabelece critérios objetivos de mensuração do desempenho da CONTRATADA na execução dos serviços de vigilância patrimonial, com vistas à aferição da qualidade da prestação e à vinculação do pagamento ao nível de serviço efetivamente entregue, nos termos da Lei nº 14.133/2021.</w:t>
      </w:r>
    </w:p>
    <w:p w14:paraId="485592D3" w14:textId="77777777" w:rsid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2. FUNDAMENTAÇÃO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 xml:space="preserve"> </w:t>
      </w:r>
    </w:p>
    <w:p w14:paraId="5CE13A5B" w14:textId="3AD0F3DB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 xml:space="preserve"> </w:t>
      </w: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IMR fundamenta-se nos princípios da eficiência, economicidade e do controle por resultados, bem como nas diretrizes de gestão e fiscalização contratual previstas na legislação vigente, especialmente quanto à necessidade de definição de critérios objetivos de avaliação de desempenho</w:t>
      </w:r>
    </w:p>
    <w:p w14:paraId="4788B004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3. FINALIDADE</w:t>
      </w:r>
    </w:p>
    <w:p w14:paraId="61D56610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Assegurar que a execução contratual atenda aos níveis de qualidade exigidos pela Administração, permitindo:</w:t>
      </w:r>
    </w:p>
    <w:p w14:paraId="52B96122" w14:textId="77777777" w:rsidR="00407EF4" w:rsidRPr="00407EF4" w:rsidRDefault="00407EF4" w:rsidP="00407E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mensuração objetiva da performance da CONTRATADA; </w:t>
      </w:r>
    </w:p>
    <w:p w14:paraId="2CD02FB7" w14:textId="77777777" w:rsidR="00407EF4" w:rsidRPr="00407EF4" w:rsidRDefault="00407EF4" w:rsidP="00407E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transparência na fiscalização contratual; </w:t>
      </w:r>
    </w:p>
    <w:p w14:paraId="49C35B91" w14:textId="77777777" w:rsidR="00407EF4" w:rsidRPr="00407EF4" w:rsidRDefault="00407EF4" w:rsidP="00407E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vinculação do pagamento ao desempenho; </w:t>
      </w:r>
    </w:p>
    <w:p w14:paraId="2395A0FB" w14:textId="7418C6A9" w:rsidR="00407EF4" w:rsidRPr="00407EF4" w:rsidRDefault="00407EF4" w:rsidP="00407E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adoção de medidas corretivas e sancionatórias, quando cabíveis. </w:t>
      </w:r>
    </w:p>
    <w:p w14:paraId="3E4D7049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4. ABRANGÊNCIA</w:t>
      </w:r>
    </w:p>
    <w:p w14:paraId="2085B51D" w14:textId="06C15386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Aplica-se a todos os postos de vigilância contratados, compreendendo vigilância armada e/ou desarmada, em regime diurno e noturno, conforme especificações do Termo de Referência.</w:t>
      </w:r>
    </w:p>
    <w:p w14:paraId="4481E5E3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5. RESPONSABILIDADES</w:t>
      </w:r>
    </w:p>
    <w:p w14:paraId="465D12D3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5.1. Da Fiscalização do Contrato:</w:t>
      </w:r>
    </w:p>
    <w:p w14:paraId="7BA80EED" w14:textId="77777777" w:rsidR="00407EF4" w:rsidRPr="00407EF4" w:rsidRDefault="00407EF4" w:rsidP="00407E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Realizar o acompanhamento sistemático da execução; </w:t>
      </w:r>
    </w:p>
    <w:p w14:paraId="795197F9" w14:textId="77777777" w:rsidR="00407EF4" w:rsidRPr="00407EF4" w:rsidRDefault="00407EF4" w:rsidP="00407E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Registrar ocorrências e evidências; </w:t>
      </w:r>
    </w:p>
    <w:p w14:paraId="4A4031A7" w14:textId="77777777" w:rsidR="00407EF4" w:rsidRPr="00407EF4" w:rsidRDefault="00407EF4" w:rsidP="00407E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Proceder à avaliação mensal dos indicadores; </w:t>
      </w:r>
    </w:p>
    <w:p w14:paraId="1BBDB9CC" w14:textId="77777777" w:rsidR="00407EF4" w:rsidRPr="00407EF4" w:rsidRDefault="00407EF4" w:rsidP="00407E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Consolidar a nota de desempenho da CONTRATADA. </w:t>
      </w:r>
    </w:p>
    <w:p w14:paraId="588D90B0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5.2. Da Contratada:</w:t>
      </w:r>
    </w:p>
    <w:p w14:paraId="49F49803" w14:textId="77777777" w:rsidR="00407EF4" w:rsidRPr="00407EF4" w:rsidRDefault="00407EF4" w:rsidP="00407E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Executar os serviços conforme padrões estabelecidos; </w:t>
      </w:r>
    </w:p>
    <w:p w14:paraId="47789065" w14:textId="77777777" w:rsidR="00407EF4" w:rsidRPr="00407EF4" w:rsidRDefault="00407EF4" w:rsidP="00407E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Disponibilizar informações e registros necessários à avaliação; </w:t>
      </w:r>
    </w:p>
    <w:p w14:paraId="293FEB04" w14:textId="00EC9471" w:rsidR="00407EF4" w:rsidRPr="00407EF4" w:rsidRDefault="00407EF4" w:rsidP="00407E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Adotar providências para correção de falhas identificadas. </w:t>
      </w:r>
    </w:p>
    <w:p w14:paraId="1427B36D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lastRenderedPageBreak/>
        <w:t>6. PERIODICIDADE DA AVALIAÇÃO</w:t>
      </w:r>
    </w:p>
    <w:p w14:paraId="72FC9DCE" w14:textId="758A438B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avaliação de desempenho será realizada mensalmente, considerando o período de medição correspondente à competência do faturamento.</w:t>
      </w:r>
    </w:p>
    <w:p w14:paraId="603EDB86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7. INDICADORES DE DESEMPENHO (NÍVEIS DE SERVIÇO)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"/>
        <w:gridCol w:w="2507"/>
        <w:gridCol w:w="3478"/>
        <w:gridCol w:w="684"/>
        <w:gridCol w:w="2207"/>
        <w:gridCol w:w="542"/>
      </w:tblGrid>
      <w:tr w:rsidR="00407EF4" w:rsidRPr="00407EF4" w14:paraId="507A7E1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788EE6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Nº</w:t>
            </w:r>
          </w:p>
        </w:tc>
        <w:tc>
          <w:tcPr>
            <w:tcW w:w="0" w:type="auto"/>
            <w:vAlign w:val="center"/>
            <w:hideMark/>
          </w:tcPr>
          <w:p w14:paraId="3A0F0AFC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Indicador</w:t>
            </w:r>
          </w:p>
        </w:tc>
        <w:tc>
          <w:tcPr>
            <w:tcW w:w="0" w:type="auto"/>
            <w:vAlign w:val="center"/>
            <w:hideMark/>
          </w:tcPr>
          <w:p w14:paraId="6E2541EE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265F463E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Meta</w:t>
            </w:r>
          </w:p>
        </w:tc>
        <w:tc>
          <w:tcPr>
            <w:tcW w:w="0" w:type="auto"/>
            <w:vAlign w:val="center"/>
            <w:hideMark/>
          </w:tcPr>
          <w:p w14:paraId="301678E3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Forma de Verificação</w:t>
            </w:r>
          </w:p>
        </w:tc>
        <w:tc>
          <w:tcPr>
            <w:tcW w:w="0" w:type="auto"/>
            <w:vAlign w:val="center"/>
            <w:hideMark/>
          </w:tcPr>
          <w:p w14:paraId="6928776D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Peso</w:t>
            </w:r>
          </w:p>
        </w:tc>
      </w:tr>
      <w:tr w:rsidR="00407EF4" w:rsidRPr="00407EF4" w14:paraId="34DE72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33A7B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272E2A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Assiduidade</w:t>
            </w:r>
          </w:p>
        </w:tc>
        <w:tc>
          <w:tcPr>
            <w:tcW w:w="0" w:type="auto"/>
            <w:vAlign w:val="center"/>
            <w:hideMark/>
          </w:tcPr>
          <w:p w14:paraId="6622E4E9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Cobertura integral dos postos</w:t>
            </w:r>
          </w:p>
        </w:tc>
        <w:tc>
          <w:tcPr>
            <w:tcW w:w="0" w:type="auto"/>
            <w:vAlign w:val="center"/>
            <w:hideMark/>
          </w:tcPr>
          <w:p w14:paraId="63B4AECF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14:paraId="25A3382E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Controle de frequência</w:t>
            </w:r>
          </w:p>
        </w:tc>
        <w:tc>
          <w:tcPr>
            <w:tcW w:w="0" w:type="auto"/>
            <w:vAlign w:val="center"/>
            <w:hideMark/>
          </w:tcPr>
          <w:p w14:paraId="01AF15A8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25%</w:t>
            </w:r>
          </w:p>
        </w:tc>
      </w:tr>
      <w:tr w:rsidR="00407EF4" w:rsidRPr="00407EF4" w14:paraId="3EC4AB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963E5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DA28ED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Pontualidade</w:t>
            </w:r>
          </w:p>
        </w:tc>
        <w:tc>
          <w:tcPr>
            <w:tcW w:w="0" w:type="auto"/>
            <w:vAlign w:val="center"/>
            <w:hideMark/>
          </w:tcPr>
          <w:p w14:paraId="7660D2AD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Cumprimento de horários</w:t>
            </w:r>
          </w:p>
        </w:tc>
        <w:tc>
          <w:tcPr>
            <w:tcW w:w="0" w:type="auto"/>
            <w:vAlign w:val="center"/>
            <w:hideMark/>
          </w:tcPr>
          <w:p w14:paraId="7B7F3B18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≥ 98%</w:t>
            </w:r>
          </w:p>
        </w:tc>
        <w:tc>
          <w:tcPr>
            <w:tcW w:w="0" w:type="auto"/>
            <w:vAlign w:val="center"/>
            <w:hideMark/>
          </w:tcPr>
          <w:p w14:paraId="5B0AF87C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Registros e fiscalização</w:t>
            </w:r>
          </w:p>
        </w:tc>
        <w:tc>
          <w:tcPr>
            <w:tcW w:w="0" w:type="auto"/>
            <w:vAlign w:val="center"/>
            <w:hideMark/>
          </w:tcPr>
          <w:p w14:paraId="4EEB951F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15%</w:t>
            </w:r>
          </w:p>
        </w:tc>
      </w:tr>
      <w:tr w:rsidR="00407EF4" w:rsidRPr="00407EF4" w14:paraId="40DA8E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6A355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E4BC90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Substituição de faltas</w:t>
            </w:r>
          </w:p>
        </w:tc>
        <w:tc>
          <w:tcPr>
            <w:tcW w:w="0" w:type="auto"/>
            <w:vAlign w:val="center"/>
            <w:hideMark/>
          </w:tcPr>
          <w:p w14:paraId="53229B21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Tempo de reposição de vigilantes</w:t>
            </w:r>
          </w:p>
        </w:tc>
        <w:tc>
          <w:tcPr>
            <w:tcW w:w="0" w:type="auto"/>
            <w:vAlign w:val="center"/>
            <w:hideMark/>
          </w:tcPr>
          <w:p w14:paraId="71A63161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≤ 2h</w:t>
            </w:r>
          </w:p>
        </w:tc>
        <w:tc>
          <w:tcPr>
            <w:tcW w:w="0" w:type="auto"/>
            <w:vAlign w:val="center"/>
            <w:hideMark/>
          </w:tcPr>
          <w:p w14:paraId="0FC141C3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Relatórios do fiscal</w:t>
            </w:r>
          </w:p>
        </w:tc>
        <w:tc>
          <w:tcPr>
            <w:tcW w:w="0" w:type="auto"/>
            <w:vAlign w:val="center"/>
            <w:hideMark/>
          </w:tcPr>
          <w:p w14:paraId="0404A27F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15%</w:t>
            </w:r>
          </w:p>
        </w:tc>
      </w:tr>
      <w:tr w:rsidR="00407EF4" w:rsidRPr="00407EF4" w14:paraId="4ED814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F25BD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777650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Execução das rotinas</w:t>
            </w:r>
          </w:p>
        </w:tc>
        <w:tc>
          <w:tcPr>
            <w:tcW w:w="0" w:type="auto"/>
            <w:vAlign w:val="center"/>
            <w:hideMark/>
          </w:tcPr>
          <w:p w14:paraId="5902ACCF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Cumprimento das atividades previstas</w:t>
            </w:r>
          </w:p>
        </w:tc>
        <w:tc>
          <w:tcPr>
            <w:tcW w:w="0" w:type="auto"/>
            <w:vAlign w:val="center"/>
            <w:hideMark/>
          </w:tcPr>
          <w:p w14:paraId="56AC618E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≥ 95%</w:t>
            </w:r>
          </w:p>
        </w:tc>
        <w:tc>
          <w:tcPr>
            <w:tcW w:w="0" w:type="auto"/>
            <w:vAlign w:val="center"/>
            <w:hideMark/>
          </w:tcPr>
          <w:p w14:paraId="2E27750E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Checklists / inspeção</w:t>
            </w:r>
          </w:p>
        </w:tc>
        <w:tc>
          <w:tcPr>
            <w:tcW w:w="0" w:type="auto"/>
            <w:vAlign w:val="center"/>
            <w:hideMark/>
          </w:tcPr>
          <w:p w14:paraId="3AC26637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20%</w:t>
            </w:r>
          </w:p>
        </w:tc>
      </w:tr>
      <w:tr w:rsidR="00407EF4" w:rsidRPr="00407EF4" w14:paraId="0A225F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4D8F7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545220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Apresentação e conduta</w:t>
            </w:r>
          </w:p>
        </w:tc>
        <w:tc>
          <w:tcPr>
            <w:tcW w:w="0" w:type="auto"/>
            <w:vAlign w:val="center"/>
            <w:hideMark/>
          </w:tcPr>
          <w:p w14:paraId="44DF59A9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Uniformização e postura profissional</w:t>
            </w:r>
          </w:p>
        </w:tc>
        <w:tc>
          <w:tcPr>
            <w:tcW w:w="0" w:type="auto"/>
            <w:vAlign w:val="center"/>
            <w:hideMark/>
          </w:tcPr>
          <w:p w14:paraId="477F7F89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≥ 95%</w:t>
            </w:r>
          </w:p>
        </w:tc>
        <w:tc>
          <w:tcPr>
            <w:tcW w:w="0" w:type="auto"/>
            <w:vAlign w:val="center"/>
            <w:hideMark/>
          </w:tcPr>
          <w:p w14:paraId="014C8E21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Inspeção do fiscal</w:t>
            </w:r>
          </w:p>
        </w:tc>
        <w:tc>
          <w:tcPr>
            <w:tcW w:w="0" w:type="auto"/>
            <w:vAlign w:val="center"/>
            <w:hideMark/>
          </w:tcPr>
          <w:p w14:paraId="70F535EB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10%</w:t>
            </w:r>
          </w:p>
        </w:tc>
      </w:tr>
      <w:tr w:rsidR="00407EF4" w:rsidRPr="00407EF4" w14:paraId="7771BD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587EF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2CDA01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Registros operacionais</w:t>
            </w:r>
          </w:p>
        </w:tc>
        <w:tc>
          <w:tcPr>
            <w:tcW w:w="0" w:type="auto"/>
            <w:vAlign w:val="center"/>
            <w:hideMark/>
          </w:tcPr>
          <w:p w14:paraId="41B42DB5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Qualidade dos registros de ocorrência</w:t>
            </w:r>
          </w:p>
        </w:tc>
        <w:tc>
          <w:tcPr>
            <w:tcW w:w="0" w:type="auto"/>
            <w:vAlign w:val="center"/>
            <w:hideMark/>
          </w:tcPr>
          <w:p w14:paraId="384A4E53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14:paraId="15AB8A44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Livro de ocorrências</w:t>
            </w:r>
          </w:p>
        </w:tc>
        <w:tc>
          <w:tcPr>
            <w:tcW w:w="0" w:type="auto"/>
            <w:vAlign w:val="center"/>
            <w:hideMark/>
          </w:tcPr>
          <w:p w14:paraId="70E40A72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10%</w:t>
            </w:r>
          </w:p>
        </w:tc>
      </w:tr>
      <w:tr w:rsidR="00407EF4" w:rsidRPr="00407EF4" w14:paraId="3AD1A4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CF0D5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600601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Atendimento a ocorrências</w:t>
            </w:r>
          </w:p>
        </w:tc>
        <w:tc>
          <w:tcPr>
            <w:tcW w:w="0" w:type="auto"/>
            <w:vAlign w:val="center"/>
            <w:hideMark/>
          </w:tcPr>
          <w:p w14:paraId="1DD31A0D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Tempo e adequação na resposta</w:t>
            </w:r>
          </w:p>
        </w:tc>
        <w:tc>
          <w:tcPr>
            <w:tcW w:w="0" w:type="auto"/>
            <w:vAlign w:val="center"/>
            <w:hideMark/>
          </w:tcPr>
          <w:p w14:paraId="469B155A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≥ 95%</w:t>
            </w:r>
          </w:p>
        </w:tc>
        <w:tc>
          <w:tcPr>
            <w:tcW w:w="0" w:type="auto"/>
            <w:vAlign w:val="center"/>
            <w:hideMark/>
          </w:tcPr>
          <w:p w14:paraId="468EF31D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Relatórios e evidências</w:t>
            </w:r>
          </w:p>
        </w:tc>
        <w:tc>
          <w:tcPr>
            <w:tcW w:w="0" w:type="auto"/>
            <w:vAlign w:val="center"/>
            <w:hideMark/>
          </w:tcPr>
          <w:p w14:paraId="75117C12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5%</w:t>
            </w:r>
          </w:p>
        </w:tc>
      </w:tr>
    </w:tbl>
    <w:p w14:paraId="17AF9D77" w14:textId="0F076182" w:rsidR="00407EF4" w:rsidRPr="00407EF4" w:rsidRDefault="00407EF4" w:rsidP="00407EF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738A184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8. CRITÉRIOS DE AFERIÇÃO E PONTUAÇÃO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134"/>
      </w:tblGrid>
      <w:tr w:rsidR="00407EF4" w:rsidRPr="00407EF4" w14:paraId="383296EB" w14:textId="77777777" w:rsidTr="00407EF4">
        <w:trPr>
          <w:tblHeader/>
          <w:tblCellSpacing w:w="15" w:type="dxa"/>
          <w:jc w:val="center"/>
        </w:trPr>
        <w:tc>
          <w:tcPr>
            <w:tcW w:w="1798" w:type="dxa"/>
            <w:vAlign w:val="center"/>
            <w:hideMark/>
          </w:tcPr>
          <w:p w14:paraId="62992323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Desempenho (%)</w:t>
            </w:r>
          </w:p>
        </w:tc>
        <w:tc>
          <w:tcPr>
            <w:tcW w:w="1089" w:type="dxa"/>
            <w:vAlign w:val="center"/>
            <w:hideMark/>
          </w:tcPr>
          <w:p w14:paraId="27E5DBEB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Nota</w:t>
            </w:r>
          </w:p>
        </w:tc>
      </w:tr>
      <w:tr w:rsidR="00407EF4" w:rsidRPr="00407EF4" w14:paraId="77DFB382" w14:textId="77777777" w:rsidTr="00407EF4">
        <w:trPr>
          <w:tblCellSpacing w:w="15" w:type="dxa"/>
          <w:jc w:val="center"/>
        </w:trPr>
        <w:tc>
          <w:tcPr>
            <w:tcW w:w="1798" w:type="dxa"/>
            <w:vAlign w:val="center"/>
            <w:hideMark/>
          </w:tcPr>
          <w:p w14:paraId="07D49954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≥ 98%</w:t>
            </w:r>
          </w:p>
        </w:tc>
        <w:tc>
          <w:tcPr>
            <w:tcW w:w="1089" w:type="dxa"/>
            <w:vAlign w:val="center"/>
            <w:hideMark/>
          </w:tcPr>
          <w:p w14:paraId="020AEAD6" w14:textId="581D8D38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</w:t>
            </w: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</w:t>
            </w:r>
          </w:p>
        </w:tc>
      </w:tr>
      <w:tr w:rsidR="00407EF4" w:rsidRPr="00407EF4" w14:paraId="7463F2A9" w14:textId="77777777" w:rsidTr="00407EF4">
        <w:trPr>
          <w:tblCellSpacing w:w="15" w:type="dxa"/>
          <w:jc w:val="center"/>
        </w:trPr>
        <w:tc>
          <w:tcPr>
            <w:tcW w:w="1798" w:type="dxa"/>
            <w:vAlign w:val="center"/>
            <w:hideMark/>
          </w:tcPr>
          <w:p w14:paraId="5BF68307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95% a 97,9%</w:t>
            </w:r>
          </w:p>
        </w:tc>
        <w:tc>
          <w:tcPr>
            <w:tcW w:w="1089" w:type="dxa"/>
            <w:vAlign w:val="center"/>
            <w:hideMark/>
          </w:tcPr>
          <w:p w14:paraId="1B0D9D9B" w14:textId="2B7810E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  </w:t>
            </w: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8</w:t>
            </w:r>
          </w:p>
        </w:tc>
      </w:tr>
      <w:tr w:rsidR="00407EF4" w:rsidRPr="00407EF4" w14:paraId="5336BA3E" w14:textId="77777777" w:rsidTr="00407EF4">
        <w:trPr>
          <w:tblCellSpacing w:w="15" w:type="dxa"/>
          <w:jc w:val="center"/>
        </w:trPr>
        <w:tc>
          <w:tcPr>
            <w:tcW w:w="1798" w:type="dxa"/>
            <w:vAlign w:val="center"/>
            <w:hideMark/>
          </w:tcPr>
          <w:p w14:paraId="396135CE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90% a 94,9%</w:t>
            </w:r>
          </w:p>
        </w:tc>
        <w:tc>
          <w:tcPr>
            <w:tcW w:w="1089" w:type="dxa"/>
            <w:vAlign w:val="center"/>
            <w:hideMark/>
          </w:tcPr>
          <w:p w14:paraId="6159F5C7" w14:textId="21751601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  </w:t>
            </w: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6</w:t>
            </w:r>
          </w:p>
        </w:tc>
      </w:tr>
      <w:tr w:rsidR="00407EF4" w:rsidRPr="00407EF4" w14:paraId="39B200C0" w14:textId="77777777" w:rsidTr="00407EF4">
        <w:trPr>
          <w:tblCellSpacing w:w="15" w:type="dxa"/>
          <w:jc w:val="center"/>
        </w:trPr>
        <w:tc>
          <w:tcPr>
            <w:tcW w:w="1798" w:type="dxa"/>
            <w:vAlign w:val="center"/>
            <w:hideMark/>
          </w:tcPr>
          <w:p w14:paraId="7593CC63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85% a 89,9%</w:t>
            </w:r>
          </w:p>
        </w:tc>
        <w:tc>
          <w:tcPr>
            <w:tcW w:w="1089" w:type="dxa"/>
            <w:vAlign w:val="center"/>
            <w:hideMark/>
          </w:tcPr>
          <w:p w14:paraId="4214F96F" w14:textId="646CBBC8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  </w:t>
            </w: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</w:t>
            </w:r>
          </w:p>
        </w:tc>
      </w:tr>
      <w:tr w:rsidR="00407EF4" w:rsidRPr="00407EF4" w14:paraId="66AEEBAB" w14:textId="77777777" w:rsidTr="00407EF4">
        <w:trPr>
          <w:tblCellSpacing w:w="15" w:type="dxa"/>
          <w:jc w:val="center"/>
        </w:trPr>
        <w:tc>
          <w:tcPr>
            <w:tcW w:w="1798" w:type="dxa"/>
            <w:vAlign w:val="center"/>
            <w:hideMark/>
          </w:tcPr>
          <w:p w14:paraId="7CD38F07" w14:textId="77777777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&lt; 85%</w:t>
            </w:r>
          </w:p>
        </w:tc>
        <w:tc>
          <w:tcPr>
            <w:tcW w:w="1089" w:type="dxa"/>
            <w:vAlign w:val="center"/>
            <w:hideMark/>
          </w:tcPr>
          <w:p w14:paraId="5B22F21B" w14:textId="69DD99BB" w:rsidR="00407EF4" w:rsidRPr="00407EF4" w:rsidRDefault="00407EF4" w:rsidP="00407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  </w:t>
            </w: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0</w:t>
            </w:r>
          </w:p>
        </w:tc>
      </w:tr>
    </w:tbl>
    <w:p w14:paraId="5F93F49B" w14:textId="29348362" w:rsidR="00407EF4" w:rsidRPr="00407EF4" w:rsidRDefault="00407EF4" w:rsidP="00407EF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A1BD751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9. CÁLCULO DO DESEMPENHO GLOBAL</w:t>
      </w:r>
    </w:p>
    <w:p w14:paraId="292025AE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Nota Final (NF) será obtida por meio da média ponderada dos indicadores:</w:t>
      </w:r>
    </w:p>
    <w:p w14:paraId="5BE9D8B1" w14:textId="755F870D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NF = Σ (Nota do Indicador × Peso)</w:t>
      </w:r>
    </w:p>
    <w:p w14:paraId="352AE939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10. VINCULAÇÃO AO PAGAMENTO (GLOSA POR DESEMPENHO)</w:t>
      </w:r>
    </w:p>
    <w:p w14:paraId="4A421143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 conformidade com a sistemática de contratação por resultados, o pagamento mensal será ajustado conforme o desempenho aferido: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2"/>
        <w:gridCol w:w="3301"/>
      </w:tblGrid>
      <w:tr w:rsidR="00407EF4" w:rsidRPr="00407EF4" w14:paraId="2305103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39D2435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lastRenderedPageBreak/>
              <w:t>Nota Final</w:t>
            </w:r>
          </w:p>
        </w:tc>
        <w:tc>
          <w:tcPr>
            <w:tcW w:w="0" w:type="auto"/>
            <w:vAlign w:val="center"/>
            <w:hideMark/>
          </w:tcPr>
          <w:p w14:paraId="1E830289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Percentual do Pagamento</w:t>
            </w:r>
          </w:p>
        </w:tc>
      </w:tr>
      <w:tr w:rsidR="00407EF4" w:rsidRPr="00407EF4" w14:paraId="1F1D06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C1501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≥ 9,0</w:t>
            </w:r>
          </w:p>
        </w:tc>
        <w:tc>
          <w:tcPr>
            <w:tcW w:w="0" w:type="auto"/>
            <w:vAlign w:val="center"/>
            <w:hideMark/>
          </w:tcPr>
          <w:p w14:paraId="45CE86FA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100%</w:t>
            </w:r>
          </w:p>
        </w:tc>
      </w:tr>
      <w:tr w:rsidR="00407EF4" w:rsidRPr="00407EF4" w14:paraId="517B63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BBCF8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8,0 a 8,9</w:t>
            </w:r>
          </w:p>
        </w:tc>
        <w:tc>
          <w:tcPr>
            <w:tcW w:w="0" w:type="auto"/>
            <w:vAlign w:val="center"/>
            <w:hideMark/>
          </w:tcPr>
          <w:p w14:paraId="6CAD5AA5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95%</w:t>
            </w:r>
          </w:p>
        </w:tc>
      </w:tr>
      <w:tr w:rsidR="00407EF4" w:rsidRPr="00407EF4" w14:paraId="147A71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1E8F8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7,0 a 7,9</w:t>
            </w:r>
          </w:p>
        </w:tc>
        <w:tc>
          <w:tcPr>
            <w:tcW w:w="0" w:type="auto"/>
            <w:vAlign w:val="center"/>
            <w:hideMark/>
          </w:tcPr>
          <w:p w14:paraId="49A33022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90%</w:t>
            </w:r>
          </w:p>
        </w:tc>
      </w:tr>
      <w:tr w:rsidR="00407EF4" w:rsidRPr="00407EF4" w14:paraId="347A57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02917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6,0 a 6,9</w:t>
            </w:r>
          </w:p>
        </w:tc>
        <w:tc>
          <w:tcPr>
            <w:tcW w:w="0" w:type="auto"/>
            <w:vAlign w:val="center"/>
            <w:hideMark/>
          </w:tcPr>
          <w:p w14:paraId="5C15340A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85%</w:t>
            </w:r>
          </w:p>
        </w:tc>
      </w:tr>
      <w:tr w:rsidR="00407EF4" w:rsidRPr="00407EF4" w14:paraId="3F8C8E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BCEFA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&lt; 6,0</w:t>
            </w:r>
          </w:p>
        </w:tc>
        <w:tc>
          <w:tcPr>
            <w:tcW w:w="0" w:type="auto"/>
            <w:vAlign w:val="center"/>
            <w:hideMark/>
          </w:tcPr>
          <w:p w14:paraId="12902949" w14:textId="77777777" w:rsidR="00407EF4" w:rsidRPr="00407EF4" w:rsidRDefault="00407EF4" w:rsidP="0040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07EF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até 80%, sem prejuízo de sanções</w:t>
            </w:r>
          </w:p>
        </w:tc>
      </w:tr>
    </w:tbl>
    <w:p w14:paraId="0E4526BE" w14:textId="6370F2CC" w:rsidR="00407EF4" w:rsidRPr="00407EF4" w:rsidRDefault="00407EF4" w:rsidP="00407EF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DEBFC00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11. TRATAMENTO DE NÃO CONFORMIDADES</w:t>
      </w:r>
    </w:p>
    <w:p w14:paraId="312F4F96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descumprimento dos níveis mínimos de serviço implicará:</w:t>
      </w:r>
    </w:p>
    <w:p w14:paraId="7F0D012F" w14:textId="77777777" w:rsidR="00407EF4" w:rsidRPr="00407EF4" w:rsidRDefault="00407EF4" w:rsidP="00407E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Registro formal da ocorrência; </w:t>
      </w:r>
    </w:p>
    <w:p w14:paraId="30F36428" w14:textId="77777777" w:rsidR="00407EF4" w:rsidRPr="00407EF4" w:rsidRDefault="00407EF4" w:rsidP="00407E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Notificação da CONTRATADA para manifestação; </w:t>
      </w:r>
    </w:p>
    <w:p w14:paraId="04562495" w14:textId="77777777" w:rsidR="00407EF4" w:rsidRPr="00407EF4" w:rsidRDefault="00407EF4" w:rsidP="00407E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Aplicação de glosa proporcional; </w:t>
      </w:r>
    </w:p>
    <w:p w14:paraId="058581D7" w14:textId="54EC7010" w:rsidR="00407EF4" w:rsidRPr="00407EF4" w:rsidRDefault="00407EF4" w:rsidP="00407E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Eventual aplicação de penalidades administrativas, nos termos contratuais. </w:t>
      </w:r>
    </w:p>
    <w:p w14:paraId="6DD2BC71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12. REGISTROS E EVIDÊNCIAS</w:t>
      </w:r>
    </w:p>
    <w:p w14:paraId="489422C0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avaliação deverá ser lastreada em evidências documentais, tais como:</w:t>
      </w:r>
    </w:p>
    <w:p w14:paraId="76060892" w14:textId="77777777" w:rsidR="00407EF4" w:rsidRPr="00407EF4" w:rsidRDefault="00407EF4" w:rsidP="00407E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Relatórios de fiscalização; </w:t>
      </w:r>
    </w:p>
    <w:p w14:paraId="6083CDA9" w14:textId="77777777" w:rsidR="00407EF4" w:rsidRPr="00407EF4" w:rsidRDefault="00407EF4" w:rsidP="00407E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Controle de frequência; </w:t>
      </w:r>
    </w:p>
    <w:p w14:paraId="3B75B9B7" w14:textId="77777777" w:rsidR="00407EF4" w:rsidRPr="00407EF4" w:rsidRDefault="00407EF4" w:rsidP="00407E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Livro de ocorrências; </w:t>
      </w:r>
    </w:p>
    <w:p w14:paraId="2E627BD8" w14:textId="77777777" w:rsidR="00407EF4" w:rsidRPr="00407EF4" w:rsidRDefault="00407EF4" w:rsidP="00407E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Checklists de inspeção; </w:t>
      </w:r>
    </w:p>
    <w:p w14:paraId="164DCF7F" w14:textId="53D01FC2" w:rsidR="00407EF4" w:rsidRPr="00407EF4" w:rsidRDefault="00407EF4" w:rsidP="00407E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Sistemas eletrônicos (quando aplicável). </w:t>
      </w:r>
    </w:p>
    <w:p w14:paraId="421DE59F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13. CONTRADITÓRIO E AMPLA DEFESA</w:t>
      </w:r>
    </w:p>
    <w:p w14:paraId="3FA02C44" w14:textId="725F3768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Será assegurado à CONTRATADA o direito ao contraditório e à ampla defesa quanto aos resultados da avaliação, previamente à aplicação de glosas ou penalidades.</w:t>
      </w:r>
    </w:p>
    <w:p w14:paraId="7ECEF455" w14:textId="77777777" w:rsidR="00407EF4" w:rsidRPr="00407EF4" w:rsidRDefault="00407EF4" w:rsidP="00407E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14. DISPOSIÇÕES FINAIS</w:t>
      </w:r>
    </w:p>
    <w:p w14:paraId="64805398" w14:textId="77777777" w:rsidR="00407EF4" w:rsidRPr="00407EF4" w:rsidRDefault="00407EF4" w:rsidP="00407E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07EF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presente IMR integra o Termo de Referência e o contrato administrativo, constituindo instrumento essencial de gestão e fiscalização, podendo ser revisado para aprimoramento da execução contratual, mediante justificativa técnica.</w:t>
      </w:r>
    </w:p>
    <w:p w14:paraId="3D798EDB" w14:textId="77777777" w:rsidR="001C1B59" w:rsidRDefault="001C1B59"/>
    <w:sectPr w:rsidR="001C1B59" w:rsidSect="00407EF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E34FC"/>
    <w:multiLevelType w:val="multilevel"/>
    <w:tmpl w:val="E0829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7342A"/>
    <w:multiLevelType w:val="multilevel"/>
    <w:tmpl w:val="79A2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2862DE"/>
    <w:multiLevelType w:val="multilevel"/>
    <w:tmpl w:val="35AA1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0746BE"/>
    <w:multiLevelType w:val="multilevel"/>
    <w:tmpl w:val="4F362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CB1BA4"/>
    <w:multiLevelType w:val="multilevel"/>
    <w:tmpl w:val="398A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1240443">
    <w:abstractNumId w:val="1"/>
  </w:num>
  <w:num w:numId="2" w16cid:durableId="460684398">
    <w:abstractNumId w:val="2"/>
  </w:num>
  <w:num w:numId="3" w16cid:durableId="443380650">
    <w:abstractNumId w:val="4"/>
  </w:num>
  <w:num w:numId="4" w16cid:durableId="1476147007">
    <w:abstractNumId w:val="3"/>
  </w:num>
  <w:num w:numId="5" w16cid:durableId="177485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EF4"/>
    <w:rsid w:val="001C1B59"/>
    <w:rsid w:val="00407EF4"/>
    <w:rsid w:val="00994DDF"/>
    <w:rsid w:val="00ED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03BD0"/>
  <w15:chartTrackingRefBased/>
  <w15:docId w15:val="{6BA195C2-324E-4176-94A8-33A70BE35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07E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07E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07E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07E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07E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07E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07E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07E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07E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07E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07E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07E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07EF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07EF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07E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07EF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07E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07E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07E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07E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07E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07E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07E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07EF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07EF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07EF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07E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07EF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07E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650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joelma dos santos castro</dc:creator>
  <cp:keywords/>
  <dc:description/>
  <cp:lastModifiedBy>debora joelma dos santos castro</cp:lastModifiedBy>
  <cp:revision>1</cp:revision>
  <dcterms:created xsi:type="dcterms:W3CDTF">2026-03-30T18:51:00Z</dcterms:created>
  <dcterms:modified xsi:type="dcterms:W3CDTF">2026-03-30T19:01:00Z</dcterms:modified>
</cp:coreProperties>
</file>