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B0E8C" w14:textId="280BC626" w:rsidR="00F730F9" w:rsidRPr="00B60D6E" w:rsidRDefault="00136068" w:rsidP="00B60D6E">
      <w:pPr>
        <w:pStyle w:val="Nivel010"/>
        <w:rPr>
          <w:rFonts w:ascii="Gill Sans MT" w:eastAsia="Calibri" w:hAnsi="Gill Sans MT"/>
        </w:rPr>
      </w:pPr>
      <w:bookmarkStart w:id="0" w:name="_Hlk82471863"/>
      <w:bookmarkStart w:id="1" w:name="_Hlk176453538"/>
      <w:r w:rsidRPr="00B60D6E">
        <w:rPr>
          <w:rFonts w:ascii="Gill Sans MT" w:eastAsia="Calibri" w:hAnsi="Gill Sans MT"/>
        </w:rPr>
        <w:t>TERMO DE REFERÊNCIA</w:t>
      </w:r>
    </w:p>
    <w:bookmarkEnd w:id="0"/>
    <w:bookmarkEnd w:id="1"/>
    <w:p w14:paraId="4163896D" w14:textId="77777777" w:rsidR="00136068" w:rsidRPr="00B60D6E" w:rsidRDefault="00136068" w:rsidP="00136068">
      <w:pPr>
        <w:jc w:val="center"/>
        <w:rPr>
          <w:rFonts w:ascii="Gill Sans MT" w:hAnsi="Gill Sans MT" w:cs="Arial"/>
          <w:b/>
          <w:sz w:val="18"/>
          <w:szCs w:val="18"/>
        </w:rPr>
      </w:pPr>
      <w:r w:rsidRPr="00B60D6E">
        <w:rPr>
          <w:rFonts w:ascii="Gill Sans MT" w:hAnsi="Gill Sans MT" w:cs="Arial"/>
          <w:b/>
          <w:sz w:val="18"/>
          <w:szCs w:val="18"/>
        </w:rPr>
        <w:t>Lei 14.133, 1º de abril de 2021</w:t>
      </w:r>
    </w:p>
    <w:p w14:paraId="229C03CD" w14:textId="4819CE9F" w:rsidR="00136068" w:rsidRPr="00B60D6E" w:rsidRDefault="00136068" w:rsidP="00136068">
      <w:pPr>
        <w:jc w:val="center"/>
        <w:rPr>
          <w:rFonts w:ascii="Gill Sans MT" w:hAnsi="Gill Sans MT" w:cs="Arial"/>
          <w:b/>
          <w:sz w:val="20"/>
        </w:rPr>
      </w:pPr>
      <w:r w:rsidRPr="00B60D6E">
        <w:rPr>
          <w:rFonts w:ascii="Gill Sans MT" w:hAnsi="Gill Sans MT" w:cs="Arial"/>
          <w:b/>
          <w:sz w:val="18"/>
          <w:szCs w:val="18"/>
        </w:rPr>
        <w:t xml:space="preserve">Processo nº </w:t>
      </w:r>
      <w:r w:rsidR="00A86702">
        <w:rPr>
          <w:rFonts w:ascii="Gill Sans MT" w:hAnsi="Gill Sans MT" w:cs="Arial"/>
          <w:b/>
          <w:sz w:val="18"/>
          <w:szCs w:val="18"/>
        </w:rPr>
        <w:t>1205</w:t>
      </w:r>
      <w:r w:rsidR="00786BEA">
        <w:rPr>
          <w:rFonts w:ascii="Gill Sans MT" w:hAnsi="Gill Sans MT" w:cs="Arial"/>
          <w:b/>
          <w:sz w:val="18"/>
          <w:szCs w:val="18"/>
        </w:rPr>
        <w:t>100</w:t>
      </w:r>
      <w:r w:rsidR="00A86702">
        <w:rPr>
          <w:rFonts w:ascii="Gill Sans MT" w:hAnsi="Gill Sans MT" w:cs="Arial"/>
          <w:b/>
          <w:sz w:val="18"/>
          <w:szCs w:val="18"/>
        </w:rPr>
        <w:t>0</w:t>
      </w:r>
      <w:r w:rsidR="003D7D82" w:rsidRPr="00B60D6E">
        <w:rPr>
          <w:rFonts w:ascii="Gill Sans MT" w:hAnsi="Gill Sans MT" w:cs="Arial"/>
          <w:b/>
          <w:sz w:val="18"/>
          <w:szCs w:val="18"/>
        </w:rPr>
        <w:t>/2025</w:t>
      </w:r>
    </w:p>
    <w:p w14:paraId="2881FFDE" w14:textId="275A513D" w:rsidR="00850A64" w:rsidRPr="00B60D6E" w:rsidRDefault="00850A64" w:rsidP="00136068">
      <w:pPr>
        <w:ind w:left="709"/>
        <w:jc w:val="both"/>
        <w:rPr>
          <w:rFonts w:ascii="Gill Sans MT" w:hAnsi="Gill Sans MT" w:cs="Arial"/>
          <w:sz w:val="20"/>
          <w:highlight w:val="yellow"/>
        </w:rPr>
      </w:pPr>
    </w:p>
    <w:p w14:paraId="5CE544BB" w14:textId="3CFE54EB" w:rsidR="00932B06" w:rsidRPr="00071A40" w:rsidRDefault="00932B06" w:rsidP="00071A40">
      <w:pPr>
        <w:pStyle w:val="Ttulo1"/>
        <w:shd w:val="clear" w:color="auto" w:fill="F2F2F2" w:themeFill="background1" w:themeFillShade="F2"/>
        <w:tabs>
          <w:tab w:val="left" w:pos="9781"/>
        </w:tabs>
        <w:ind w:left="141"/>
        <w:rPr>
          <w:rFonts w:ascii="Gill Sans MT" w:hAnsi="Gill Sans MT"/>
          <w:b/>
          <w:bCs/>
          <w:sz w:val="20"/>
          <w:szCs w:val="20"/>
        </w:rPr>
      </w:pPr>
      <w:r w:rsidRPr="00071A40">
        <w:rPr>
          <w:rFonts w:ascii="Gill Sans MT" w:hAnsi="Gill Sans MT"/>
          <w:b/>
          <w:bCs/>
          <w:color w:val="000000"/>
          <w:sz w:val="20"/>
          <w:szCs w:val="20"/>
          <w:shd w:val="clear" w:color="auto" w:fill="E4DFEB"/>
        </w:rPr>
        <w:t xml:space="preserve">1.0 DO </w:t>
      </w:r>
      <w:r w:rsidRPr="00071A40">
        <w:rPr>
          <w:rFonts w:ascii="Gill Sans MT" w:hAnsi="Gill Sans MT"/>
          <w:b/>
          <w:bCs/>
          <w:color w:val="000000"/>
          <w:spacing w:val="-2"/>
          <w:sz w:val="20"/>
          <w:szCs w:val="20"/>
          <w:shd w:val="clear" w:color="auto" w:fill="E4DFEB"/>
        </w:rPr>
        <w:t>OBJETO</w:t>
      </w:r>
    </w:p>
    <w:p w14:paraId="628A9EC9" w14:textId="5D18609E" w:rsidR="00932B06" w:rsidRPr="00071A40" w:rsidRDefault="00932B06" w:rsidP="00071A40">
      <w:pPr>
        <w:ind w:left="170"/>
        <w:jc w:val="both"/>
        <w:rPr>
          <w:rFonts w:ascii="Gill Sans MT" w:hAnsi="Gill Sans MT"/>
          <w:sz w:val="20"/>
          <w:szCs w:val="20"/>
        </w:rPr>
      </w:pPr>
      <w:r w:rsidRPr="00071A40">
        <w:rPr>
          <w:rFonts w:ascii="Gill Sans MT" w:hAnsi="Gill Sans MT"/>
          <w:b/>
          <w:sz w:val="20"/>
          <w:szCs w:val="20"/>
        </w:rPr>
        <w:t>1.1</w:t>
      </w:r>
      <w:r w:rsidRPr="00071A40">
        <w:rPr>
          <w:rFonts w:ascii="Gill Sans MT" w:hAnsi="Gill Sans MT"/>
          <w:sz w:val="20"/>
          <w:szCs w:val="20"/>
        </w:rPr>
        <w:t xml:space="preserve">. </w:t>
      </w:r>
      <w:r w:rsidR="00EF14C4" w:rsidRPr="00EF14C4">
        <w:rPr>
          <w:rFonts w:ascii="Gill Sans MT" w:hAnsi="Gill Sans MT"/>
          <w:sz w:val="20"/>
          <w:szCs w:val="20"/>
        </w:rPr>
        <w:t>Contratação de empresa para prestação de serviços de Locação de Impressoras para atender a demanda de Diversas do Município de Axixá - MA</w:t>
      </w:r>
      <w:r w:rsidRPr="00071A40">
        <w:rPr>
          <w:rFonts w:ascii="Gill Sans MT" w:hAnsi="Gill Sans MT"/>
          <w:sz w:val="20"/>
          <w:szCs w:val="20"/>
        </w:rPr>
        <w:t xml:space="preserve">, em ata com força de contrato, que ficará disponível para posterior aquisição conforme especificações e demais exigências previstas neste edital e seus anexos, e terá prazo validade de 12 (doze) meses </w:t>
      </w:r>
      <w:r w:rsidRPr="00071A40">
        <w:rPr>
          <w:rFonts w:ascii="Gill Sans MT" w:hAnsi="Gill Sans MT"/>
          <w:b/>
          <w:i/>
          <w:sz w:val="20"/>
          <w:szCs w:val="20"/>
        </w:rPr>
        <w:t>contados da publicação de sua ata de SRP</w:t>
      </w:r>
      <w:r w:rsidRPr="00071A40">
        <w:rPr>
          <w:rFonts w:ascii="Gill Sans MT" w:hAnsi="Gill Sans MT"/>
          <w:sz w:val="20"/>
          <w:szCs w:val="20"/>
        </w:rPr>
        <w:t xml:space="preserve">, com base no art. 11°, da Lei n° 14.133/2021, conforme condições, quantidades e exigências estabelecidas neste </w:t>
      </w:r>
      <w:r w:rsidRPr="00071A40">
        <w:rPr>
          <w:rFonts w:ascii="Gill Sans MT" w:hAnsi="Gill Sans MT"/>
          <w:spacing w:val="-2"/>
          <w:sz w:val="20"/>
          <w:szCs w:val="20"/>
        </w:rPr>
        <w:t>instrumento: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3420"/>
        <w:gridCol w:w="764"/>
        <w:gridCol w:w="1017"/>
        <w:gridCol w:w="1312"/>
        <w:gridCol w:w="1591"/>
      </w:tblGrid>
      <w:tr w:rsidR="00071A40" w:rsidRPr="00071A40" w14:paraId="5DD8DFB0" w14:textId="77777777" w:rsidTr="00071A40">
        <w:trPr>
          <w:trHeight w:val="20"/>
        </w:trPr>
        <w:tc>
          <w:tcPr>
            <w:tcW w:w="433" w:type="pct"/>
            <w:shd w:val="clear" w:color="auto" w:fill="auto"/>
            <w:vAlign w:val="center"/>
            <w:hideMark/>
          </w:tcPr>
          <w:p w14:paraId="03565C47"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pacing w:val="-4"/>
                <w:sz w:val="20"/>
                <w:szCs w:val="20"/>
              </w:rPr>
              <w:t>ITEM</w:t>
            </w:r>
          </w:p>
        </w:tc>
        <w:tc>
          <w:tcPr>
            <w:tcW w:w="1960" w:type="pct"/>
            <w:shd w:val="clear" w:color="auto" w:fill="auto"/>
            <w:vAlign w:val="center"/>
            <w:hideMark/>
          </w:tcPr>
          <w:p w14:paraId="231EB436"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pacing w:val="-2"/>
                <w:sz w:val="20"/>
                <w:szCs w:val="20"/>
              </w:rPr>
              <w:t>DESCRIÇÃO</w:t>
            </w:r>
          </w:p>
        </w:tc>
        <w:tc>
          <w:tcPr>
            <w:tcW w:w="455" w:type="pct"/>
            <w:shd w:val="clear" w:color="auto" w:fill="auto"/>
            <w:vAlign w:val="center"/>
            <w:hideMark/>
          </w:tcPr>
          <w:p w14:paraId="6BF439BB"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pacing w:val="-2"/>
                <w:sz w:val="20"/>
                <w:szCs w:val="20"/>
              </w:rPr>
              <w:t>UNID.</w:t>
            </w:r>
          </w:p>
        </w:tc>
        <w:tc>
          <w:tcPr>
            <w:tcW w:w="598" w:type="pct"/>
            <w:shd w:val="clear" w:color="auto" w:fill="auto"/>
            <w:vAlign w:val="center"/>
            <w:hideMark/>
          </w:tcPr>
          <w:p w14:paraId="1357AB08"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pacing w:val="-2"/>
                <w:sz w:val="20"/>
                <w:szCs w:val="20"/>
              </w:rPr>
              <w:t>QUANT.</w:t>
            </w:r>
          </w:p>
        </w:tc>
        <w:tc>
          <w:tcPr>
            <w:tcW w:w="747" w:type="pct"/>
            <w:shd w:val="clear" w:color="auto" w:fill="auto"/>
            <w:vAlign w:val="center"/>
            <w:hideMark/>
          </w:tcPr>
          <w:p w14:paraId="2548FB32"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z w:val="20"/>
                <w:szCs w:val="20"/>
              </w:rPr>
              <w:t>V. MENSAL</w:t>
            </w:r>
          </w:p>
        </w:tc>
        <w:tc>
          <w:tcPr>
            <w:tcW w:w="807" w:type="pct"/>
            <w:shd w:val="clear" w:color="auto" w:fill="auto"/>
            <w:vAlign w:val="center"/>
            <w:hideMark/>
          </w:tcPr>
          <w:p w14:paraId="7BD963DC" w14:textId="77777777" w:rsidR="00071A40" w:rsidRPr="00071A40" w:rsidRDefault="00071A40" w:rsidP="00071A40">
            <w:pPr>
              <w:jc w:val="center"/>
              <w:rPr>
                <w:rFonts w:ascii="Gill Sans MT" w:hAnsi="Gill Sans MT"/>
                <w:b/>
                <w:bCs/>
                <w:color w:val="000000"/>
                <w:sz w:val="20"/>
                <w:szCs w:val="20"/>
              </w:rPr>
            </w:pPr>
            <w:r w:rsidRPr="00071A40">
              <w:rPr>
                <w:rFonts w:ascii="Gill Sans MT" w:hAnsi="Gill Sans MT"/>
                <w:b/>
                <w:bCs/>
                <w:color w:val="000000"/>
                <w:sz w:val="20"/>
                <w:szCs w:val="20"/>
              </w:rPr>
              <w:t>V ANUAL</w:t>
            </w:r>
          </w:p>
        </w:tc>
      </w:tr>
      <w:tr w:rsidR="001D2ED5" w:rsidRPr="00071A40" w14:paraId="464A954E" w14:textId="77777777" w:rsidTr="001D2ED5">
        <w:trPr>
          <w:trHeight w:val="20"/>
        </w:trPr>
        <w:tc>
          <w:tcPr>
            <w:tcW w:w="433" w:type="pct"/>
            <w:shd w:val="clear" w:color="auto" w:fill="auto"/>
            <w:noWrap/>
            <w:vAlign w:val="center"/>
            <w:hideMark/>
          </w:tcPr>
          <w:p w14:paraId="640A4B03"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1</w:t>
            </w:r>
          </w:p>
        </w:tc>
        <w:tc>
          <w:tcPr>
            <w:tcW w:w="1960" w:type="pct"/>
            <w:shd w:val="clear" w:color="auto" w:fill="auto"/>
            <w:vAlign w:val="bottom"/>
            <w:hideMark/>
          </w:tcPr>
          <w:p w14:paraId="79EC9764" w14:textId="77777777" w:rsidR="001D2ED5" w:rsidRPr="00071A40" w:rsidRDefault="001D2ED5" w:rsidP="001D2ED5">
            <w:pPr>
              <w:jc w:val="both"/>
              <w:rPr>
                <w:rFonts w:ascii="Gill Sans MT" w:hAnsi="Gill Sans MT" w:cs="Calibri"/>
                <w:color w:val="000000"/>
                <w:sz w:val="20"/>
                <w:szCs w:val="20"/>
              </w:rPr>
            </w:pPr>
            <w:r w:rsidRPr="00071A40">
              <w:rPr>
                <w:rFonts w:ascii="Gill Sans MT" w:hAnsi="Gill Sans MT" w:cs="Calibri"/>
                <w:color w:val="000000"/>
                <w:sz w:val="20"/>
                <w:szCs w:val="20"/>
              </w:rPr>
              <w:t xml:space="preserve">IMPRESSORA MULTIFUNCIOLAL LASER (MONOCROMÁTICA) Velocidade mínima de 52 páginas por minuto; Volume mínimo mensal de 200.000 impressões; Impressão, Cópia, Digitalização, Fax; Bandeja de papel com capacidade mínima para 1.000 folhas; Impressão e cópia duplex (frente e verso) automático; aceita papéis A4, alimentador de originais automático em uma só passagem (Lê-se as duas faces ao mesmo tempo). Mínimo de 100 folhas. Emulações PCL 6 e Post Script 3; Protocolo TCP/IP; Conexões ETHERNET 10/100/1000 e </w:t>
            </w:r>
            <w:proofErr w:type="spellStart"/>
            <w:r w:rsidRPr="00071A40">
              <w:rPr>
                <w:rFonts w:ascii="Gill Sans MT" w:hAnsi="Gill Sans MT" w:cs="Calibri"/>
                <w:color w:val="000000"/>
                <w:sz w:val="20"/>
                <w:szCs w:val="20"/>
              </w:rPr>
              <w:t>Wi-fi</w:t>
            </w:r>
            <w:proofErr w:type="spellEnd"/>
            <w:r w:rsidRPr="00071A40">
              <w:rPr>
                <w:rFonts w:ascii="Gill Sans MT" w:hAnsi="Gill Sans MT" w:cs="Calibri"/>
                <w:color w:val="000000"/>
                <w:sz w:val="20"/>
                <w:szCs w:val="20"/>
              </w:rPr>
              <w:t xml:space="preserve"> integrado no equipamento; </w:t>
            </w:r>
            <w:proofErr w:type="gramStart"/>
            <w:r w:rsidRPr="00071A40">
              <w:rPr>
                <w:rFonts w:ascii="Gill Sans MT" w:hAnsi="Gill Sans MT" w:cs="Calibri"/>
                <w:color w:val="000000"/>
                <w:sz w:val="20"/>
                <w:szCs w:val="20"/>
              </w:rPr>
              <w:t>Processador</w:t>
            </w:r>
            <w:proofErr w:type="gramEnd"/>
            <w:r w:rsidRPr="00071A40">
              <w:rPr>
                <w:rFonts w:ascii="Gill Sans MT" w:hAnsi="Gill Sans MT" w:cs="Calibri"/>
                <w:color w:val="000000"/>
                <w:sz w:val="20"/>
                <w:szCs w:val="20"/>
              </w:rPr>
              <w:t xml:space="preserve"> de no mínimo 800MHz; Memória mínima de 1GB; Scanner monocromático e colorido. Velocidade de escaneamento de 70 IPM; Tela sensível ao toque de 7’ polegadas; Linux e Windows 7’, Windows 8, Windows 10 e superior, MAC OS X (10.13 ou posterior). Com franquia de 10.000 páginas A4 por equipamento. Incluindo o fornecimento de insumos como cartuchos e toners e software de bilhetagem e gerenciamento para controle das impressões QUANTIDADE DE </w:t>
            </w:r>
            <w:proofErr w:type="gramStart"/>
            <w:r w:rsidRPr="00071A40">
              <w:rPr>
                <w:rFonts w:ascii="Gill Sans MT" w:hAnsi="Gill Sans MT" w:cs="Calibri"/>
                <w:color w:val="000000"/>
                <w:sz w:val="20"/>
                <w:szCs w:val="20"/>
              </w:rPr>
              <w:t>MAQUINAS</w:t>
            </w:r>
            <w:proofErr w:type="gramEnd"/>
            <w:r w:rsidRPr="00071A40">
              <w:rPr>
                <w:rFonts w:ascii="Gill Sans MT" w:hAnsi="Gill Sans MT" w:cs="Calibri"/>
                <w:color w:val="000000"/>
                <w:sz w:val="20"/>
                <w:szCs w:val="20"/>
              </w:rPr>
              <w:t xml:space="preserve"> - 40 UNID</w:t>
            </w:r>
          </w:p>
        </w:tc>
        <w:tc>
          <w:tcPr>
            <w:tcW w:w="455" w:type="pct"/>
            <w:shd w:val="clear" w:color="auto" w:fill="auto"/>
            <w:noWrap/>
            <w:vAlign w:val="center"/>
            <w:hideMark/>
          </w:tcPr>
          <w:p w14:paraId="0478C75A"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MÊS</w:t>
            </w:r>
          </w:p>
        </w:tc>
        <w:tc>
          <w:tcPr>
            <w:tcW w:w="598" w:type="pct"/>
            <w:shd w:val="clear" w:color="auto" w:fill="auto"/>
            <w:noWrap/>
            <w:vAlign w:val="center"/>
            <w:hideMark/>
          </w:tcPr>
          <w:p w14:paraId="28846A17"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12</w:t>
            </w:r>
          </w:p>
        </w:tc>
        <w:tc>
          <w:tcPr>
            <w:tcW w:w="747" w:type="pct"/>
            <w:shd w:val="clear" w:color="auto" w:fill="auto"/>
            <w:noWrap/>
            <w:vAlign w:val="center"/>
            <w:hideMark/>
          </w:tcPr>
          <w:p w14:paraId="7AE6B624" w14:textId="5019C604"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R$ 60.000,00</w:t>
            </w:r>
          </w:p>
        </w:tc>
        <w:tc>
          <w:tcPr>
            <w:tcW w:w="807" w:type="pct"/>
            <w:shd w:val="clear" w:color="auto" w:fill="auto"/>
            <w:noWrap/>
            <w:vAlign w:val="center"/>
            <w:hideMark/>
          </w:tcPr>
          <w:p w14:paraId="7FE66F59" w14:textId="1229DAEC"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R$ 720.000,00</w:t>
            </w:r>
          </w:p>
        </w:tc>
      </w:tr>
      <w:tr w:rsidR="001D2ED5" w:rsidRPr="00071A40" w14:paraId="4DA7A9B6" w14:textId="77777777" w:rsidTr="001D2ED5">
        <w:trPr>
          <w:trHeight w:val="20"/>
        </w:trPr>
        <w:tc>
          <w:tcPr>
            <w:tcW w:w="433" w:type="pct"/>
            <w:shd w:val="clear" w:color="auto" w:fill="auto"/>
            <w:noWrap/>
            <w:vAlign w:val="center"/>
            <w:hideMark/>
          </w:tcPr>
          <w:p w14:paraId="364EA16F"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2</w:t>
            </w:r>
          </w:p>
        </w:tc>
        <w:tc>
          <w:tcPr>
            <w:tcW w:w="1960" w:type="pct"/>
            <w:shd w:val="clear" w:color="auto" w:fill="auto"/>
            <w:vAlign w:val="bottom"/>
            <w:hideMark/>
          </w:tcPr>
          <w:p w14:paraId="0193FFD6" w14:textId="77777777" w:rsidR="001D2ED5" w:rsidRPr="00071A40" w:rsidRDefault="001D2ED5" w:rsidP="001D2ED5">
            <w:pPr>
              <w:jc w:val="both"/>
              <w:rPr>
                <w:rFonts w:ascii="Gill Sans MT" w:hAnsi="Gill Sans MT" w:cs="Calibri"/>
                <w:color w:val="000000"/>
                <w:sz w:val="20"/>
                <w:szCs w:val="20"/>
              </w:rPr>
            </w:pPr>
            <w:r w:rsidRPr="00071A40">
              <w:rPr>
                <w:rFonts w:ascii="Gill Sans MT" w:hAnsi="Gill Sans MT" w:cs="Calibri"/>
                <w:color w:val="000000"/>
                <w:sz w:val="20"/>
                <w:szCs w:val="20"/>
              </w:rPr>
              <w:t xml:space="preserve">IMPRESSORA MULTIFUNCIO LASER (MONOCROMÁTICA) Velocidade mínima de 43 páginas por minuto; Impressão, Cópia, Digitalização, Fax; Bandeja de papel com capacidade mínima </w:t>
            </w:r>
            <w:r w:rsidRPr="00071A40">
              <w:rPr>
                <w:rFonts w:ascii="Gill Sans MT" w:hAnsi="Gill Sans MT" w:cs="Calibri"/>
                <w:color w:val="000000"/>
                <w:sz w:val="20"/>
                <w:szCs w:val="20"/>
              </w:rPr>
              <w:lastRenderedPageBreak/>
              <w:t xml:space="preserve">para 1.500 folhas; Impressão e cópia duplex (frente e verso) automático; aceita papéis A4 e Ofício, alimentador de originais automático em uma só passagem (Lê-se as duas faces ao mesmo tempo). Mínimo de 50 folhas. Emulações PCL 6 e Post Script 3; Protocolo TCP/IP; Conexões ETHERNET 10/100/1000 e Wireless LAN; Processador de no mínimo 800MHz; Memória mínima de 1GB; Scanner monocromático e colorido. Velocidade de escaneamento de 70 IPM; Tela </w:t>
            </w:r>
            <w:proofErr w:type="gramStart"/>
            <w:r w:rsidRPr="00071A40">
              <w:rPr>
                <w:rFonts w:ascii="Gill Sans MT" w:hAnsi="Gill Sans MT" w:cs="Calibri"/>
                <w:color w:val="000000"/>
                <w:sz w:val="20"/>
                <w:szCs w:val="20"/>
              </w:rPr>
              <w:t>sensível  ao</w:t>
            </w:r>
            <w:proofErr w:type="gramEnd"/>
            <w:r w:rsidRPr="00071A40">
              <w:rPr>
                <w:rFonts w:ascii="Gill Sans MT" w:hAnsi="Gill Sans MT" w:cs="Calibri"/>
                <w:color w:val="000000"/>
                <w:sz w:val="20"/>
                <w:szCs w:val="20"/>
              </w:rPr>
              <w:t xml:space="preserve"> toque de 5’ polegadas; Linux e Windows 7’, Windows 8, Windows 10 e superior, MAC OS X (10.6 ou posterior). Com franquia de 10.000 páginas A4 por equipamento.  Incluindo o fornecimento de insumos como cartuchos e toners e software de bilhetagem e gerenciamento para controle das impressões QUANTIDADE DE </w:t>
            </w:r>
            <w:proofErr w:type="gramStart"/>
            <w:r w:rsidRPr="00071A40">
              <w:rPr>
                <w:rFonts w:ascii="Gill Sans MT" w:hAnsi="Gill Sans MT" w:cs="Calibri"/>
                <w:color w:val="000000"/>
                <w:sz w:val="20"/>
                <w:szCs w:val="20"/>
              </w:rPr>
              <w:t>MAQUINAS</w:t>
            </w:r>
            <w:proofErr w:type="gramEnd"/>
            <w:r w:rsidRPr="00071A40">
              <w:rPr>
                <w:rFonts w:ascii="Gill Sans MT" w:hAnsi="Gill Sans MT" w:cs="Calibri"/>
                <w:color w:val="000000"/>
                <w:sz w:val="20"/>
                <w:szCs w:val="20"/>
              </w:rPr>
              <w:t xml:space="preserve"> - 40 UNID</w:t>
            </w:r>
          </w:p>
        </w:tc>
        <w:tc>
          <w:tcPr>
            <w:tcW w:w="455" w:type="pct"/>
            <w:shd w:val="clear" w:color="auto" w:fill="auto"/>
            <w:noWrap/>
            <w:vAlign w:val="center"/>
            <w:hideMark/>
          </w:tcPr>
          <w:p w14:paraId="25CA666C"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lastRenderedPageBreak/>
              <w:t> </w:t>
            </w:r>
          </w:p>
        </w:tc>
        <w:tc>
          <w:tcPr>
            <w:tcW w:w="598" w:type="pct"/>
            <w:shd w:val="clear" w:color="auto" w:fill="auto"/>
            <w:noWrap/>
            <w:vAlign w:val="center"/>
            <w:hideMark/>
          </w:tcPr>
          <w:p w14:paraId="60C8011E"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12</w:t>
            </w:r>
          </w:p>
        </w:tc>
        <w:tc>
          <w:tcPr>
            <w:tcW w:w="747" w:type="pct"/>
            <w:shd w:val="clear" w:color="auto" w:fill="auto"/>
            <w:noWrap/>
            <w:vAlign w:val="center"/>
            <w:hideMark/>
          </w:tcPr>
          <w:p w14:paraId="73DFD6F7" w14:textId="6F74628B"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R$ 48.000,00</w:t>
            </w:r>
          </w:p>
        </w:tc>
        <w:tc>
          <w:tcPr>
            <w:tcW w:w="807" w:type="pct"/>
            <w:shd w:val="clear" w:color="auto" w:fill="auto"/>
            <w:noWrap/>
            <w:vAlign w:val="center"/>
            <w:hideMark/>
          </w:tcPr>
          <w:p w14:paraId="6D46BC03" w14:textId="0482CA5F"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R$ 576.000,00</w:t>
            </w:r>
          </w:p>
        </w:tc>
      </w:tr>
      <w:tr w:rsidR="001D2ED5" w:rsidRPr="00071A40" w14:paraId="2EAD39DC" w14:textId="77777777" w:rsidTr="001D2ED5">
        <w:trPr>
          <w:trHeight w:val="20"/>
        </w:trPr>
        <w:tc>
          <w:tcPr>
            <w:tcW w:w="433" w:type="pct"/>
            <w:shd w:val="clear" w:color="auto" w:fill="auto"/>
            <w:noWrap/>
            <w:vAlign w:val="center"/>
            <w:hideMark/>
          </w:tcPr>
          <w:p w14:paraId="3426973D"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3</w:t>
            </w:r>
          </w:p>
        </w:tc>
        <w:tc>
          <w:tcPr>
            <w:tcW w:w="1960" w:type="pct"/>
            <w:shd w:val="clear" w:color="auto" w:fill="auto"/>
            <w:vAlign w:val="bottom"/>
            <w:hideMark/>
          </w:tcPr>
          <w:p w14:paraId="4784DD1F" w14:textId="77777777" w:rsidR="001D2ED5" w:rsidRPr="00071A40" w:rsidRDefault="001D2ED5" w:rsidP="001D2ED5">
            <w:pPr>
              <w:jc w:val="both"/>
              <w:rPr>
                <w:rFonts w:ascii="Gill Sans MT" w:hAnsi="Gill Sans MT" w:cs="Calibri"/>
                <w:color w:val="000000"/>
                <w:sz w:val="20"/>
                <w:szCs w:val="20"/>
              </w:rPr>
            </w:pPr>
            <w:r w:rsidRPr="00071A40">
              <w:rPr>
                <w:rFonts w:ascii="Gill Sans MT" w:hAnsi="Gill Sans MT" w:cs="Calibri"/>
                <w:color w:val="000000"/>
                <w:sz w:val="20"/>
                <w:szCs w:val="20"/>
              </w:rPr>
              <w:t xml:space="preserve">IMPRESSORA MULTIFUNCIOLAL LASER (MONOCROMÁTICA) Velocidade mínima de 38 páginas por minuto; Impressão, Cópia, Digitalização, Fax; Bandeja de papel com capacidade mínima para 1000 folhas; Resolução de impressão de 1200 x 1200 DPI; Impressão frente e verso padrão; aceita papéis A4 e Ofício, alimentador de originais, mínimo 50 folhas no alimentador de originais. Emulações PCL 6 e Post Script 3; Protocolo TCP/IP; Conexões ETHERNET 10/100/1000 e Wireless LAN; Processador de no mínimo 800MHz; Memória mínima de 1GB; </w:t>
            </w:r>
            <w:proofErr w:type="gramStart"/>
            <w:r w:rsidRPr="00071A40">
              <w:rPr>
                <w:rFonts w:ascii="Gill Sans MT" w:hAnsi="Gill Sans MT" w:cs="Calibri"/>
                <w:color w:val="000000"/>
                <w:sz w:val="20"/>
                <w:szCs w:val="20"/>
              </w:rPr>
              <w:t>Scanner  monocromático</w:t>
            </w:r>
            <w:proofErr w:type="gramEnd"/>
            <w:r w:rsidRPr="00071A40">
              <w:rPr>
                <w:rFonts w:ascii="Gill Sans MT" w:hAnsi="Gill Sans MT" w:cs="Calibri"/>
                <w:color w:val="000000"/>
                <w:sz w:val="20"/>
                <w:szCs w:val="20"/>
              </w:rPr>
              <w:t xml:space="preserve"> e colorido. Velocidade de escaneamento de 100 IPM; Alimentador de documentos automático duplex de única passagem nas digitalizações; Tela sensível ao toque de 5’ polegadas; Windows 7’, Windows 8, Windows 10 e superior, MAC OS X (10 ou posterior). Com franquia de 5.000 páginas A4 por equipamento.  Incluindo o fornecimento de insumos como cartuchos e toners e software de </w:t>
            </w:r>
            <w:r w:rsidRPr="00071A40">
              <w:rPr>
                <w:rFonts w:ascii="Gill Sans MT" w:hAnsi="Gill Sans MT" w:cs="Calibri"/>
                <w:color w:val="000000"/>
                <w:sz w:val="20"/>
                <w:szCs w:val="20"/>
              </w:rPr>
              <w:lastRenderedPageBreak/>
              <w:t xml:space="preserve">bilhetagem e gerenciamento para controle das impressões QUANTIDADE DE </w:t>
            </w:r>
            <w:proofErr w:type="gramStart"/>
            <w:r w:rsidRPr="00071A40">
              <w:rPr>
                <w:rFonts w:ascii="Gill Sans MT" w:hAnsi="Gill Sans MT" w:cs="Calibri"/>
                <w:color w:val="000000"/>
                <w:sz w:val="20"/>
                <w:szCs w:val="20"/>
              </w:rPr>
              <w:t>MAQUINAS</w:t>
            </w:r>
            <w:proofErr w:type="gramEnd"/>
            <w:r w:rsidRPr="00071A40">
              <w:rPr>
                <w:rFonts w:ascii="Gill Sans MT" w:hAnsi="Gill Sans MT" w:cs="Calibri"/>
                <w:color w:val="000000"/>
                <w:sz w:val="20"/>
                <w:szCs w:val="20"/>
              </w:rPr>
              <w:t xml:space="preserve"> - 30 UNID</w:t>
            </w:r>
          </w:p>
        </w:tc>
        <w:tc>
          <w:tcPr>
            <w:tcW w:w="455" w:type="pct"/>
            <w:shd w:val="clear" w:color="auto" w:fill="auto"/>
            <w:noWrap/>
            <w:vAlign w:val="center"/>
            <w:hideMark/>
          </w:tcPr>
          <w:p w14:paraId="4F23BF8F"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lastRenderedPageBreak/>
              <w:t> </w:t>
            </w:r>
          </w:p>
        </w:tc>
        <w:tc>
          <w:tcPr>
            <w:tcW w:w="598" w:type="pct"/>
            <w:shd w:val="clear" w:color="auto" w:fill="auto"/>
            <w:noWrap/>
            <w:vAlign w:val="center"/>
            <w:hideMark/>
          </w:tcPr>
          <w:p w14:paraId="2978ADDD"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12</w:t>
            </w:r>
          </w:p>
        </w:tc>
        <w:tc>
          <w:tcPr>
            <w:tcW w:w="747" w:type="pct"/>
            <w:shd w:val="clear" w:color="auto" w:fill="auto"/>
            <w:noWrap/>
            <w:vAlign w:val="center"/>
            <w:hideMark/>
          </w:tcPr>
          <w:p w14:paraId="15B2B3C1" w14:textId="41905C5E"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R$ 24.000,00</w:t>
            </w:r>
          </w:p>
        </w:tc>
        <w:tc>
          <w:tcPr>
            <w:tcW w:w="807" w:type="pct"/>
            <w:shd w:val="clear" w:color="auto" w:fill="auto"/>
            <w:noWrap/>
            <w:vAlign w:val="center"/>
            <w:hideMark/>
          </w:tcPr>
          <w:p w14:paraId="03A6BCFF" w14:textId="28298E85"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R$ 288.000,00</w:t>
            </w:r>
          </w:p>
        </w:tc>
      </w:tr>
      <w:tr w:rsidR="001D2ED5" w:rsidRPr="00071A40" w14:paraId="7E6856F0" w14:textId="77777777" w:rsidTr="001D2ED5">
        <w:trPr>
          <w:trHeight w:val="20"/>
        </w:trPr>
        <w:tc>
          <w:tcPr>
            <w:tcW w:w="433" w:type="pct"/>
            <w:shd w:val="clear" w:color="auto" w:fill="auto"/>
            <w:noWrap/>
            <w:vAlign w:val="center"/>
            <w:hideMark/>
          </w:tcPr>
          <w:p w14:paraId="469181BE"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4</w:t>
            </w:r>
          </w:p>
        </w:tc>
        <w:tc>
          <w:tcPr>
            <w:tcW w:w="1960" w:type="pct"/>
            <w:shd w:val="clear" w:color="auto" w:fill="auto"/>
            <w:vAlign w:val="bottom"/>
            <w:hideMark/>
          </w:tcPr>
          <w:p w14:paraId="572B212D" w14:textId="77777777" w:rsidR="001D2ED5" w:rsidRPr="00071A40" w:rsidRDefault="001D2ED5" w:rsidP="001D2ED5">
            <w:pPr>
              <w:jc w:val="both"/>
              <w:rPr>
                <w:rFonts w:ascii="Gill Sans MT" w:hAnsi="Gill Sans MT" w:cs="Calibri"/>
                <w:color w:val="000000"/>
                <w:sz w:val="20"/>
                <w:szCs w:val="20"/>
              </w:rPr>
            </w:pPr>
            <w:r w:rsidRPr="00071A40">
              <w:rPr>
                <w:rFonts w:ascii="Gill Sans MT" w:hAnsi="Gill Sans MT" w:cs="Calibri"/>
                <w:color w:val="000000"/>
                <w:sz w:val="20"/>
                <w:szCs w:val="20"/>
              </w:rPr>
              <w:t xml:space="preserve">ESCANER DE MESA PROFISSIONAL: Tipo Scanner de mesa com alimentador de folhas; Resolução Óptica 600 X 600 DPI; Velocidade de Leitura* A4, Escala de Cinza e colorido 60ppm a 120ipm, capacidade do alimentador 60 folhas; Correção de desvio correção de cor </w:t>
            </w:r>
            <w:proofErr w:type="spellStart"/>
            <w:r w:rsidRPr="00071A40">
              <w:rPr>
                <w:rFonts w:ascii="Gill Sans MT" w:hAnsi="Gill Sans MT" w:cs="Calibri"/>
                <w:color w:val="000000"/>
                <w:sz w:val="20"/>
                <w:szCs w:val="20"/>
              </w:rPr>
              <w:t>tri-dimensional</w:t>
            </w:r>
            <w:proofErr w:type="spellEnd"/>
            <w:r w:rsidRPr="00071A40">
              <w:rPr>
                <w:rFonts w:ascii="Gill Sans MT" w:hAnsi="Gill Sans MT" w:cs="Calibri"/>
                <w:color w:val="000000"/>
                <w:sz w:val="20"/>
                <w:szCs w:val="20"/>
              </w:rPr>
              <w:t xml:space="preserve">, eliminação de cor (RGB). Melhoramento de cor (RGB), Correção de sombra; detecção automática de cor; Modo ignorar página em branco; Redução de definição de área de digitalização. Eliminação de cor, evitar sangrado/remover fundo, suavização de fundo, modo de adição de margem preta; Detecção automática do tamanho de página; Espessura 27- 209g/m2m Windows 7, Windows 8, Windows 10 ou superior. QUANTIDADE DE </w:t>
            </w:r>
            <w:proofErr w:type="gramStart"/>
            <w:r w:rsidRPr="00071A40">
              <w:rPr>
                <w:rFonts w:ascii="Gill Sans MT" w:hAnsi="Gill Sans MT" w:cs="Calibri"/>
                <w:color w:val="000000"/>
                <w:sz w:val="20"/>
                <w:szCs w:val="20"/>
              </w:rPr>
              <w:t>MAQUINAS</w:t>
            </w:r>
            <w:proofErr w:type="gramEnd"/>
            <w:r w:rsidRPr="00071A40">
              <w:rPr>
                <w:rFonts w:ascii="Gill Sans MT" w:hAnsi="Gill Sans MT" w:cs="Calibri"/>
                <w:color w:val="000000"/>
                <w:sz w:val="20"/>
                <w:szCs w:val="20"/>
              </w:rPr>
              <w:t xml:space="preserve"> - 20 UNID</w:t>
            </w:r>
          </w:p>
        </w:tc>
        <w:tc>
          <w:tcPr>
            <w:tcW w:w="455" w:type="pct"/>
            <w:shd w:val="clear" w:color="auto" w:fill="auto"/>
            <w:noWrap/>
            <w:vAlign w:val="center"/>
            <w:hideMark/>
          </w:tcPr>
          <w:p w14:paraId="2CA49C4E"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 </w:t>
            </w:r>
          </w:p>
        </w:tc>
        <w:tc>
          <w:tcPr>
            <w:tcW w:w="598" w:type="pct"/>
            <w:shd w:val="clear" w:color="auto" w:fill="auto"/>
            <w:noWrap/>
            <w:vAlign w:val="center"/>
            <w:hideMark/>
          </w:tcPr>
          <w:p w14:paraId="420D37D3" w14:textId="77777777" w:rsidR="001D2ED5" w:rsidRPr="00071A40" w:rsidRDefault="001D2ED5" w:rsidP="001D2ED5">
            <w:pPr>
              <w:jc w:val="center"/>
              <w:rPr>
                <w:rFonts w:ascii="Gill Sans MT" w:hAnsi="Gill Sans MT" w:cs="Calibri"/>
                <w:color w:val="000000"/>
                <w:sz w:val="20"/>
                <w:szCs w:val="20"/>
              </w:rPr>
            </w:pPr>
            <w:r w:rsidRPr="00071A40">
              <w:rPr>
                <w:rFonts w:ascii="Gill Sans MT" w:hAnsi="Gill Sans MT" w:cs="Calibri"/>
                <w:color w:val="000000"/>
                <w:sz w:val="20"/>
                <w:szCs w:val="20"/>
              </w:rPr>
              <w:t>12</w:t>
            </w:r>
          </w:p>
        </w:tc>
        <w:tc>
          <w:tcPr>
            <w:tcW w:w="747" w:type="pct"/>
            <w:shd w:val="clear" w:color="auto" w:fill="auto"/>
            <w:noWrap/>
            <w:vAlign w:val="center"/>
            <w:hideMark/>
          </w:tcPr>
          <w:p w14:paraId="10236B2D" w14:textId="7A47AB8A"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R$ 13.800,00</w:t>
            </w:r>
          </w:p>
        </w:tc>
        <w:tc>
          <w:tcPr>
            <w:tcW w:w="807" w:type="pct"/>
            <w:shd w:val="clear" w:color="auto" w:fill="auto"/>
            <w:noWrap/>
            <w:vAlign w:val="center"/>
            <w:hideMark/>
          </w:tcPr>
          <w:p w14:paraId="39D368CD" w14:textId="7507A0EC" w:rsidR="001D2ED5" w:rsidRPr="00071A40" w:rsidRDefault="001D2ED5" w:rsidP="001D2ED5">
            <w:pPr>
              <w:jc w:val="center"/>
              <w:rPr>
                <w:rFonts w:ascii="Gill Sans MT" w:hAnsi="Gill Sans MT" w:cs="Calibri"/>
                <w:color w:val="000000"/>
                <w:sz w:val="20"/>
                <w:szCs w:val="20"/>
              </w:rPr>
            </w:pPr>
            <w:r>
              <w:rPr>
                <w:rFonts w:ascii="Calibri" w:hAnsi="Calibri" w:cs="Calibri"/>
                <w:color w:val="000000"/>
                <w:sz w:val="22"/>
                <w:szCs w:val="22"/>
              </w:rPr>
              <w:t>R$ 165.600,00</w:t>
            </w:r>
          </w:p>
        </w:tc>
      </w:tr>
      <w:tr w:rsidR="001D2ED5" w:rsidRPr="00071A40" w14:paraId="1ABC3B96" w14:textId="77777777" w:rsidTr="001D2ED5">
        <w:trPr>
          <w:trHeight w:val="20"/>
        </w:trPr>
        <w:tc>
          <w:tcPr>
            <w:tcW w:w="3446" w:type="pct"/>
            <w:gridSpan w:val="4"/>
            <w:shd w:val="clear" w:color="auto" w:fill="auto"/>
            <w:noWrap/>
            <w:vAlign w:val="center"/>
          </w:tcPr>
          <w:p w14:paraId="3387DCBD" w14:textId="341F7414" w:rsidR="001D2ED5" w:rsidRPr="00071A40" w:rsidRDefault="001D2ED5" w:rsidP="001D2ED5">
            <w:pPr>
              <w:jc w:val="center"/>
              <w:rPr>
                <w:rFonts w:ascii="Gill Sans MT" w:hAnsi="Gill Sans MT" w:cs="Calibri"/>
                <w:color w:val="000000"/>
                <w:sz w:val="20"/>
                <w:szCs w:val="20"/>
              </w:rPr>
            </w:pPr>
            <w:r>
              <w:rPr>
                <w:rFonts w:ascii="Gill Sans MT" w:hAnsi="Gill Sans MT" w:cs="Calibri"/>
                <w:color w:val="000000"/>
                <w:sz w:val="20"/>
                <w:szCs w:val="20"/>
              </w:rPr>
              <w:t>VALOR TOTAL</w:t>
            </w:r>
          </w:p>
        </w:tc>
        <w:tc>
          <w:tcPr>
            <w:tcW w:w="747" w:type="pct"/>
            <w:shd w:val="clear" w:color="auto" w:fill="auto"/>
            <w:noWrap/>
            <w:vAlign w:val="center"/>
          </w:tcPr>
          <w:p w14:paraId="7E2C119A" w14:textId="77777777" w:rsidR="001D2ED5" w:rsidRDefault="001D2ED5" w:rsidP="001D2ED5">
            <w:pPr>
              <w:jc w:val="center"/>
              <w:rPr>
                <w:rFonts w:ascii="Calibri" w:hAnsi="Calibri" w:cs="Calibri"/>
                <w:color w:val="000000"/>
                <w:sz w:val="22"/>
                <w:szCs w:val="22"/>
              </w:rPr>
            </w:pPr>
          </w:p>
        </w:tc>
        <w:tc>
          <w:tcPr>
            <w:tcW w:w="807" w:type="pct"/>
            <w:shd w:val="clear" w:color="auto" w:fill="auto"/>
            <w:noWrap/>
            <w:vAlign w:val="center"/>
          </w:tcPr>
          <w:p w14:paraId="7BAC4411" w14:textId="61079985" w:rsidR="001D2ED5" w:rsidRDefault="001D2ED5" w:rsidP="001D2ED5">
            <w:pPr>
              <w:jc w:val="center"/>
              <w:rPr>
                <w:rFonts w:ascii="Calibri" w:hAnsi="Calibri" w:cs="Calibri"/>
                <w:color w:val="000000"/>
                <w:sz w:val="22"/>
                <w:szCs w:val="22"/>
              </w:rPr>
            </w:pPr>
            <w:r>
              <w:rPr>
                <w:rFonts w:ascii="Calibri" w:hAnsi="Calibri" w:cs="Calibri"/>
                <w:color w:val="000000"/>
                <w:sz w:val="22"/>
                <w:szCs w:val="22"/>
              </w:rPr>
              <w:t>R$ 1.749.600,00</w:t>
            </w:r>
          </w:p>
        </w:tc>
      </w:tr>
    </w:tbl>
    <w:p w14:paraId="3C2C9E04" w14:textId="779DD446" w:rsidR="00071A40" w:rsidRDefault="00071A40" w:rsidP="001E590C">
      <w:pPr>
        <w:spacing w:before="240" w:after="240"/>
        <w:jc w:val="both"/>
        <w:rPr>
          <w:rFonts w:ascii="Gill Sans MT" w:hAnsi="Gill Sans M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2"/>
        <w:gridCol w:w="2334"/>
        <w:gridCol w:w="1430"/>
        <w:gridCol w:w="2459"/>
        <w:gridCol w:w="1533"/>
      </w:tblGrid>
      <w:tr w:rsidR="00071A40" w:rsidRPr="00071A40" w14:paraId="4461BFC9" w14:textId="77777777" w:rsidTr="00071A40">
        <w:trPr>
          <w:trHeight w:val="288"/>
        </w:trPr>
        <w:tc>
          <w:tcPr>
            <w:tcW w:w="4132" w:type="pct"/>
            <w:gridSpan w:val="4"/>
            <w:shd w:val="clear" w:color="auto" w:fill="auto"/>
            <w:noWrap/>
            <w:vAlign w:val="bottom"/>
            <w:hideMark/>
          </w:tcPr>
          <w:p w14:paraId="132AAAE1" w14:textId="74D5D8BF"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QUANTIDADE MÁQUINA POR ORGÃO GERENCIADOR E PARTICIPANTES</w:t>
            </w:r>
          </w:p>
        </w:tc>
        <w:tc>
          <w:tcPr>
            <w:tcW w:w="868" w:type="pct"/>
            <w:vMerge w:val="restart"/>
            <w:shd w:val="clear" w:color="auto" w:fill="auto"/>
            <w:vAlign w:val="bottom"/>
            <w:hideMark/>
          </w:tcPr>
          <w:p w14:paraId="66EA44E4" w14:textId="5837929B"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TOTAL DE MÁQUINAS</w:t>
            </w:r>
          </w:p>
        </w:tc>
      </w:tr>
      <w:tr w:rsidR="00071A40" w:rsidRPr="00071A40" w14:paraId="20F90F5D" w14:textId="77777777" w:rsidTr="00071A40">
        <w:trPr>
          <w:trHeight w:val="288"/>
        </w:trPr>
        <w:tc>
          <w:tcPr>
            <w:tcW w:w="607" w:type="pct"/>
            <w:shd w:val="clear" w:color="auto" w:fill="auto"/>
            <w:noWrap/>
            <w:vAlign w:val="bottom"/>
            <w:hideMark/>
          </w:tcPr>
          <w:p w14:paraId="75075D81" w14:textId="4AE90382"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ADM</w:t>
            </w:r>
          </w:p>
        </w:tc>
        <w:tc>
          <w:tcPr>
            <w:tcW w:w="1322" w:type="pct"/>
            <w:shd w:val="clear" w:color="auto" w:fill="auto"/>
            <w:noWrap/>
            <w:vAlign w:val="bottom"/>
            <w:hideMark/>
          </w:tcPr>
          <w:p w14:paraId="369B15C0" w14:textId="77777777"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EDUCAÇÃO</w:t>
            </w:r>
          </w:p>
        </w:tc>
        <w:tc>
          <w:tcPr>
            <w:tcW w:w="810" w:type="pct"/>
            <w:shd w:val="clear" w:color="auto" w:fill="auto"/>
            <w:noWrap/>
            <w:vAlign w:val="bottom"/>
            <w:hideMark/>
          </w:tcPr>
          <w:p w14:paraId="769E3233" w14:textId="77777777"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SAUDE</w:t>
            </w:r>
          </w:p>
        </w:tc>
        <w:tc>
          <w:tcPr>
            <w:tcW w:w="1393" w:type="pct"/>
            <w:shd w:val="clear" w:color="auto" w:fill="auto"/>
            <w:noWrap/>
            <w:vAlign w:val="bottom"/>
            <w:hideMark/>
          </w:tcPr>
          <w:p w14:paraId="2DF8CB5C" w14:textId="77777777" w:rsidR="00071A40" w:rsidRPr="00071A40" w:rsidRDefault="00071A40" w:rsidP="00071A40">
            <w:pPr>
              <w:jc w:val="center"/>
              <w:rPr>
                <w:rFonts w:ascii="Calibri" w:hAnsi="Calibri" w:cs="Calibri"/>
                <w:b/>
                <w:bCs/>
                <w:color w:val="000000"/>
                <w:sz w:val="22"/>
                <w:szCs w:val="22"/>
              </w:rPr>
            </w:pPr>
            <w:r w:rsidRPr="00071A40">
              <w:rPr>
                <w:rFonts w:ascii="Calibri" w:hAnsi="Calibri" w:cs="Calibri"/>
                <w:b/>
                <w:bCs/>
                <w:color w:val="000000"/>
                <w:sz w:val="22"/>
                <w:szCs w:val="22"/>
              </w:rPr>
              <w:t>ASS. SOCIAL</w:t>
            </w:r>
          </w:p>
        </w:tc>
        <w:tc>
          <w:tcPr>
            <w:tcW w:w="868" w:type="pct"/>
            <w:vMerge/>
            <w:vAlign w:val="center"/>
            <w:hideMark/>
          </w:tcPr>
          <w:p w14:paraId="3C9E5393" w14:textId="77777777" w:rsidR="00071A40" w:rsidRPr="00071A40" w:rsidRDefault="00071A40" w:rsidP="00071A40">
            <w:pPr>
              <w:jc w:val="center"/>
              <w:rPr>
                <w:rFonts w:ascii="Calibri" w:hAnsi="Calibri" w:cs="Calibri"/>
                <w:b/>
                <w:bCs/>
                <w:color w:val="000000"/>
                <w:sz w:val="22"/>
                <w:szCs w:val="22"/>
              </w:rPr>
            </w:pPr>
          </w:p>
        </w:tc>
      </w:tr>
      <w:tr w:rsidR="00071A40" w:rsidRPr="00071A40" w14:paraId="17C644B8" w14:textId="77777777" w:rsidTr="00071A40">
        <w:trPr>
          <w:trHeight w:val="288"/>
        </w:trPr>
        <w:tc>
          <w:tcPr>
            <w:tcW w:w="607" w:type="pct"/>
            <w:shd w:val="clear" w:color="auto" w:fill="auto"/>
            <w:noWrap/>
            <w:vAlign w:val="bottom"/>
            <w:hideMark/>
          </w:tcPr>
          <w:p w14:paraId="0DCF17EA"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8</w:t>
            </w:r>
          </w:p>
        </w:tc>
        <w:tc>
          <w:tcPr>
            <w:tcW w:w="1322" w:type="pct"/>
            <w:shd w:val="clear" w:color="auto" w:fill="auto"/>
            <w:noWrap/>
            <w:vAlign w:val="bottom"/>
            <w:hideMark/>
          </w:tcPr>
          <w:p w14:paraId="5CD5172A"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16</w:t>
            </w:r>
          </w:p>
        </w:tc>
        <w:tc>
          <w:tcPr>
            <w:tcW w:w="810" w:type="pct"/>
            <w:shd w:val="clear" w:color="auto" w:fill="auto"/>
            <w:noWrap/>
            <w:vAlign w:val="bottom"/>
            <w:hideMark/>
          </w:tcPr>
          <w:p w14:paraId="75E69812"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12</w:t>
            </w:r>
          </w:p>
        </w:tc>
        <w:tc>
          <w:tcPr>
            <w:tcW w:w="1393" w:type="pct"/>
            <w:shd w:val="clear" w:color="auto" w:fill="auto"/>
            <w:noWrap/>
            <w:vAlign w:val="bottom"/>
            <w:hideMark/>
          </w:tcPr>
          <w:p w14:paraId="2A64E75F"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4</w:t>
            </w:r>
          </w:p>
        </w:tc>
        <w:tc>
          <w:tcPr>
            <w:tcW w:w="868" w:type="pct"/>
            <w:shd w:val="clear" w:color="auto" w:fill="auto"/>
            <w:noWrap/>
            <w:vAlign w:val="bottom"/>
            <w:hideMark/>
          </w:tcPr>
          <w:p w14:paraId="7C0CF2A9"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40</w:t>
            </w:r>
          </w:p>
        </w:tc>
      </w:tr>
      <w:tr w:rsidR="00071A40" w:rsidRPr="00071A40" w14:paraId="3A3830AD" w14:textId="77777777" w:rsidTr="00071A40">
        <w:trPr>
          <w:trHeight w:val="624"/>
        </w:trPr>
        <w:tc>
          <w:tcPr>
            <w:tcW w:w="607" w:type="pct"/>
            <w:shd w:val="clear" w:color="auto" w:fill="auto"/>
            <w:noWrap/>
            <w:vAlign w:val="bottom"/>
            <w:hideMark/>
          </w:tcPr>
          <w:p w14:paraId="2C46FC1F"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8</w:t>
            </w:r>
          </w:p>
        </w:tc>
        <w:tc>
          <w:tcPr>
            <w:tcW w:w="1322" w:type="pct"/>
            <w:shd w:val="clear" w:color="auto" w:fill="auto"/>
            <w:noWrap/>
            <w:vAlign w:val="bottom"/>
            <w:hideMark/>
          </w:tcPr>
          <w:p w14:paraId="3A42EA5C"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16</w:t>
            </w:r>
          </w:p>
        </w:tc>
        <w:tc>
          <w:tcPr>
            <w:tcW w:w="810" w:type="pct"/>
            <w:shd w:val="clear" w:color="auto" w:fill="auto"/>
            <w:noWrap/>
            <w:vAlign w:val="bottom"/>
            <w:hideMark/>
          </w:tcPr>
          <w:p w14:paraId="34258EA2"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12</w:t>
            </w:r>
          </w:p>
        </w:tc>
        <w:tc>
          <w:tcPr>
            <w:tcW w:w="1393" w:type="pct"/>
            <w:shd w:val="clear" w:color="auto" w:fill="auto"/>
            <w:noWrap/>
            <w:vAlign w:val="bottom"/>
            <w:hideMark/>
          </w:tcPr>
          <w:p w14:paraId="1FDDB412"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4</w:t>
            </w:r>
          </w:p>
        </w:tc>
        <w:tc>
          <w:tcPr>
            <w:tcW w:w="868" w:type="pct"/>
            <w:shd w:val="clear" w:color="auto" w:fill="auto"/>
            <w:noWrap/>
            <w:vAlign w:val="bottom"/>
            <w:hideMark/>
          </w:tcPr>
          <w:p w14:paraId="1751DA80"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40</w:t>
            </w:r>
          </w:p>
        </w:tc>
      </w:tr>
      <w:tr w:rsidR="00071A40" w:rsidRPr="00071A40" w14:paraId="287596D2" w14:textId="77777777" w:rsidTr="00071A40">
        <w:trPr>
          <w:trHeight w:val="288"/>
        </w:trPr>
        <w:tc>
          <w:tcPr>
            <w:tcW w:w="607" w:type="pct"/>
            <w:shd w:val="clear" w:color="auto" w:fill="auto"/>
            <w:noWrap/>
            <w:vAlign w:val="bottom"/>
            <w:hideMark/>
          </w:tcPr>
          <w:p w14:paraId="18B01DF7"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6</w:t>
            </w:r>
          </w:p>
        </w:tc>
        <w:tc>
          <w:tcPr>
            <w:tcW w:w="1322" w:type="pct"/>
            <w:shd w:val="clear" w:color="auto" w:fill="auto"/>
            <w:noWrap/>
            <w:vAlign w:val="bottom"/>
            <w:hideMark/>
          </w:tcPr>
          <w:p w14:paraId="377A3A4A"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12</w:t>
            </w:r>
          </w:p>
        </w:tc>
        <w:tc>
          <w:tcPr>
            <w:tcW w:w="810" w:type="pct"/>
            <w:shd w:val="clear" w:color="auto" w:fill="auto"/>
            <w:noWrap/>
            <w:vAlign w:val="bottom"/>
            <w:hideMark/>
          </w:tcPr>
          <w:p w14:paraId="671AED24"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9</w:t>
            </w:r>
          </w:p>
        </w:tc>
        <w:tc>
          <w:tcPr>
            <w:tcW w:w="1393" w:type="pct"/>
            <w:shd w:val="clear" w:color="auto" w:fill="auto"/>
            <w:noWrap/>
            <w:vAlign w:val="bottom"/>
            <w:hideMark/>
          </w:tcPr>
          <w:p w14:paraId="0F086A21"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3</w:t>
            </w:r>
          </w:p>
        </w:tc>
        <w:tc>
          <w:tcPr>
            <w:tcW w:w="868" w:type="pct"/>
            <w:shd w:val="clear" w:color="auto" w:fill="auto"/>
            <w:noWrap/>
            <w:vAlign w:val="bottom"/>
            <w:hideMark/>
          </w:tcPr>
          <w:p w14:paraId="50DC249E"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30</w:t>
            </w:r>
          </w:p>
        </w:tc>
      </w:tr>
      <w:tr w:rsidR="00071A40" w:rsidRPr="00071A40" w14:paraId="12597818" w14:textId="77777777" w:rsidTr="00071A40">
        <w:trPr>
          <w:trHeight w:val="288"/>
        </w:trPr>
        <w:tc>
          <w:tcPr>
            <w:tcW w:w="607" w:type="pct"/>
            <w:shd w:val="clear" w:color="auto" w:fill="auto"/>
            <w:noWrap/>
            <w:vAlign w:val="bottom"/>
            <w:hideMark/>
          </w:tcPr>
          <w:p w14:paraId="4227AC76"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4</w:t>
            </w:r>
          </w:p>
        </w:tc>
        <w:tc>
          <w:tcPr>
            <w:tcW w:w="1322" w:type="pct"/>
            <w:shd w:val="clear" w:color="auto" w:fill="auto"/>
            <w:noWrap/>
            <w:vAlign w:val="bottom"/>
            <w:hideMark/>
          </w:tcPr>
          <w:p w14:paraId="07101139"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8</w:t>
            </w:r>
          </w:p>
        </w:tc>
        <w:tc>
          <w:tcPr>
            <w:tcW w:w="810" w:type="pct"/>
            <w:shd w:val="clear" w:color="auto" w:fill="auto"/>
            <w:noWrap/>
            <w:vAlign w:val="bottom"/>
            <w:hideMark/>
          </w:tcPr>
          <w:p w14:paraId="0E716FD5"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6</w:t>
            </w:r>
          </w:p>
        </w:tc>
        <w:tc>
          <w:tcPr>
            <w:tcW w:w="1393" w:type="pct"/>
            <w:shd w:val="clear" w:color="auto" w:fill="auto"/>
            <w:noWrap/>
            <w:vAlign w:val="bottom"/>
            <w:hideMark/>
          </w:tcPr>
          <w:p w14:paraId="30DBF3BB"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2</w:t>
            </w:r>
          </w:p>
        </w:tc>
        <w:tc>
          <w:tcPr>
            <w:tcW w:w="868" w:type="pct"/>
            <w:shd w:val="clear" w:color="auto" w:fill="auto"/>
            <w:noWrap/>
            <w:vAlign w:val="bottom"/>
            <w:hideMark/>
          </w:tcPr>
          <w:p w14:paraId="01220D00" w14:textId="77777777" w:rsidR="00071A40" w:rsidRPr="00071A40" w:rsidRDefault="00071A40" w:rsidP="00071A40">
            <w:pPr>
              <w:jc w:val="center"/>
              <w:rPr>
                <w:rFonts w:ascii="Calibri" w:hAnsi="Calibri" w:cs="Calibri"/>
                <w:color w:val="000000"/>
                <w:sz w:val="22"/>
                <w:szCs w:val="22"/>
              </w:rPr>
            </w:pPr>
            <w:r w:rsidRPr="00071A40">
              <w:rPr>
                <w:rFonts w:ascii="Calibri" w:hAnsi="Calibri" w:cs="Calibri"/>
                <w:color w:val="000000"/>
                <w:sz w:val="22"/>
                <w:szCs w:val="22"/>
              </w:rPr>
              <w:t>20</w:t>
            </w:r>
          </w:p>
        </w:tc>
      </w:tr>
    </w:tbl>
    <w:p w14:paraId="1C1A6D4E" w14:textId="6194443C" w:rsidR="00EF14C4" w:rsidRDefault="00493F49" w:rsidP="001E590C">
      <w:pPr>
        <w:spacing w:before="240" w:after="240"/>
        <w:jc w:val="both"/>
        <w:rPr>
          <w:rFonts w:ascii="Gill Sans MT" w:hAnsi="Gill Sans MT" w:cs="Arial"/>
          <w:b/>
          <w:bCs/>
          <w:i/>
          <w:iCs/>
          <w:sz w:val="20"/>
        </w:rPr>
      </w:pPr>
      <w:r w:rsidRPr="00EF14C4">
        <w:rPr>
          <w:rFonts w:ascii="Gill Sans MT" w:hAnsi="Gill Sans MT"/>
          <w:b/>
          <w:bCs/>
          <w:sz w:val="22"/>
          <w:szCs w:val="22"/>
        </w:rPr>
        <w:t>1.2</w:t>
      </w:r>
      <w:r w:rsidRPr="00EF14C4">
        <w:rPr>
          <w:rFonts w:ascii="Gill Sans MT" w:hAnsi="Gill Sans MT" w:cs="Arial"/>
          <w:b/>
          <w:bCs/>
          <w:i/>
          <w:iCs/>
          <w:sz w:val="20"/>
        </w:rPr>
        <w:t xml:space="preserve">.2. </w:t>
      </w:r>
      <w:r w:rsidR="00EF14C4" w:rsidRPr="00EF14C4">
        <w:rPr>
          <w:rFonts w:ascii="Gill Sans MT" w:hAnsi="Gill Sans MT" w:cs="Arial"/>
          <w:b/>
          <w:bCs/>
          <w:i/>
          <w:iCs/>
          <w:sz w:val="20"/>
        </w:rPr>
        <w:t>JUSTIFICATIVA DA CONTRATAÇÃO</w:t>
      </w:r>
    </w:p>
    <w:p w14:paraId="564D2043"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b/>
          <w:bCs/>
          <w:sz w:val="22"/>
          <w:szCs w:val="22"/>
        </w:rPr>
        <w:t xml:space="preserve">A presente justificativa tem como objetivo fundamentar a necessidade da abertura do </w:t>
      </w:r>
      <w:r w:rsidRPr="00EF14C4">
        <w:rPr>
          <w:rFonts w:ascii="Gill Sans MT" w:hAnsi="Gill Sans MT"/>
          <w:sz w:val="22"/>
          <w:szCs w:val="22"/>
        </w:rPr>
        <w:t>processo licitatório para a contratação de empresa especializada na prestação de serviços de locação de impressoras, por meio de registro de preços, com a finalidade de atender à demanda das diversas secretarias e órgãos do Município de Axixá, Estado do Maranhão. A locação de impressoras se apresenta como a solução mais vantajosa para a Administração Municipal, considerando os princípios de eficiência, economicidade e sustentabilidade.</w:t>
      </w:r>
    </w:p>
    <w:p w14:paraId="6FA099E2"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lastRenderedPageBreak/>
        <w:t>O modelo de locação permite à Prefeitura de Axixá otimizar os recursos públicos, uma vez que elimina a necessidade de aquisição de equipamentos, que envolveria altos custos de compra e manutenção. Além disso, a locação garante a atualização constante dos equipamentos, evitando que a Administração tenha que arcar com os custos de reposição de impressoras obsoletas ou danificadas. Outro benefício importante é a inclusão dos serviços de manutenção preventiva e corretiva no contrato de locação, o que diminui o impacto de eventuais falhas técnicas no desempenho dos serviços administrativos, garantindo o pleno funcionamento das atividades da Prefeitura.</w:t>
      </w:r>
    </w:p>
    <w:p w14:paraId="4B6E3C89"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t>Ademais, a locação de impressoras contribui para a redução do lixo eletrônico, uma vez que os equipamentos são devolvidos ao fornecedor ao término do contrato, sendo reaproveitados ou reciclados de forma adequada. Com isso, o Município de Axixá se alinha às práticas de sustentabilidade, minimizando os impactos ambientais decorrentes do descarte inadequado de equipamentos de informática.</w:t>
      </w:r>
    </w:p>
    <w:p w14:paraId="4BB9FD60"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t>Em termos econômicos, a locação de impressoras se revela uma alternativa mais barata, pois além de reduzir os custos de aquisição, ela proporciona previsibilidade nos gastos, uma vez que os pagamentos são realizados mensalmente e de acordo com o volume de impressão. Isso facilita o planejamento orçamentário da Prefeitura, permitindo maior controle sobre os gastos públicos. Outra vantagem da locação é a possibilidade de ajustar o número de impressoras e o volume de impressão de acordo com as necessidades de cada secretaria ou órgão, sem a necessidade de novos processos licitatórios, garantindo agilidade e flexibilidade na contratação dos serviços.</w:t>
      </w:r>
    </w:p>
    <w:p w14:paraId="08FED58D"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t>A modalidade de registro de preços é a mais adequada para a contratação, pois permite à Administração Pública adquirir bens e serviços conforme a demanda ao longo do período de vigência do contrato, o que proporciona maior flexibilidade e evita a necessidade de licitações repetidas. O processo licitatório será realizado por meio de Pregão Eletrônico, uma modalidade que assegura transparência, competitividade e uma maior redução de custos, devido à possibilidade de participação de empresas de diferentes localidades, promovendo uma disputa mais ampla e vantajosa para o Município.</w:t>
      </w:r>
    </w:p>
    <w:p w14:paraId="18A1F853" w14:textId="77777777"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t>Portanto, a contratação de serviços de locação de impressoras, por meio de registro de preços, é uma medida justificada pela necessidade de atendimento contínuo às demandas administrativas do Município de Axixá, proporcionando eficiência operacional, controle orçamentário e melhor utilização dos recursos públicos. A medida também é respaldada pela Lei nº 14.133/2021, que estabelece diretrizes mais modernas e eficazes para a realização de licitações e contratos administrativos, garantindo que o processo seja realizado de forma transparente, competitiva e econômica.</w:t>
      </w:r>
    </w:p>
    <w:p w14:paraId="100AA51D" w14:textId="526F28DC" w:rsidR="00EF14C4" w:rsidRPr="00EF14C4" w:rsidRDefault="00EF14C4" w:rsidP="00EF14C4">
      <w:pPr>
        <w:spacing w:before="240" w:after="240"/>
        <w:ind w:firstLine="1134"/>
        <w:jc w:val="both"/>
        <w:rPr>
          <w:rFonts w:ascii="Gill Sans MT" w:hAnsi="Gill Sans MT"/>
          <w:sz w:val="22"/>
          <w:szCs w:val="22"/>
        </w:rPr>
      </w:pPr>
      <w:r w:rsidRPr="00EF14C4">
        <w:rPr>
          <w:rFonts w:ascii="Gill Sans MT" w:hAnsi="Gill Sans MT"/>
          <w:sz w:val="22"/>
          <w:szCs w:val="22"/>
        </w:rPr>
        <w:t>Diante do exposto, fica clara a conveniência e a necessidade da contratação dos serviços de locação de impressoras, com a devida formalização do processo licitatório por meio do Pregão Eletrônico para Registro de Preços, visando a otimização dos recursos públicos e a continuidade dos serviços administrativos essenciais para o bom funcionamento do Município de Axixá</w:t>
      </w:r>
      <w:r>
        <w:rPr>
          <w:rFonts w:ascii="Gill Sans MT" w:hAnsi="Gill Sans MT"/>
          <w:sz w:val="22"/>
          <w:szCs w:val="22"/>
        </w:rPr>
        <w:t>.</w:t>
      </w:r>
    </w:p>
    <w:p w14:paraId="0970D6D8" w14:textId="5D4E2B73" w:rsidR="001E590C" w:rsidRPr="00B60D6E" w:rsidRDefault="00EF14C4" w:rsidP="001E590C">
      <w:pPr>
        <w:spacing w:before="240" w:after="240"/>
        <w:jc w:val="both"/>
        <w:rPr>
          <w:rFonts w:ascii="Gill Sans MT" w:hAnsi="Gill Sans MT" w:cs="Arial"/>
          <w:b/>
          <w:bCs/>
          <w:i/>
          <w:iCs/>
          <w:sz w:val="20"/>
        </w:rPr>
      </w:pPr>
      <w:r w:rsidRPr="00EF14C4">
        <w:rPr>
          <w:rFonts w:ascii="Gill Sans MT" w:hAnsi="Gill Sans MT"/>
          <w:b/>
          <w:bCs/>
          <w:sz w:val="22"/>
          <w:szCs w:val="22"/>
        </w:rPr>
        <w:lastRenderedPageBreak/>
        <w:t xml:space="preserve">1.2.3 </w:t>
      </w:r>
      <w:r w:rsidR="001E590C" w:rsidRPr="00EF14C4">
        <w:rPr>
          <w:rFonts w:ascii="Gill Sans MT" w:hAnsi="Gill Sans MT" w:cs="Arial"/>
          <w:b/>
          <w:bCs/>
          <w:i/>
          <w:iCs/>
          <w:sz w:val="20"/>
        </w:rPr>
        <w:t>JUSTIFICATIVA PARA ORÇAMENTO</w:t>
      </w:r>
      <w:r w:rsidR="001E590C" w:rsidRPr="00B60D6E">
        <w:rPr>
          <w:rFonts w:ascii="Gill Sans MT" w:hAnsi="Gill Sans MT" w:cs="Arial"/>
          <w:b/>
          <w:bCs/>
          <w:i/>
          <w:iCs/>
          <w:sz w:val="20"/>
        </w:rPr>
        <w:t xml:space="preserve"> SIGILOSO.</w:t>
      </w:r>
    </w:p>
    <w:p w14:paraId="48EED3EA"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478307D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Em complemento, Egon </w:t>
      </w:r>
      <w:proofErr w:type="spellStart"/>
      <w:r w:rsidRPr="00B60D6E">
        <w:rPr>
          <w:rFonts w:ascii="Gill Sans MT" w:hAnsi="Gill Sans MT" w:cs="Arial"/>
          <w:sz w:val="20"/>
        </w:rPr>
        <w:t>Bockmann</w:t>
      </w:r>
      <w:proofErr w:type="spellEnd"/>
      <w:r w:rsidRPr="00B60D6E">
        <w:rPr>
          <w:rFonts w:ascii="Gill Sans MT" w:hAnsi="Gill Sans MT" w:cs="Arial"/>
          <w:sz w:val="20"/>
        </w:rPr>
        <w:t xml:space="preserve"> Moreira e Fernando </w:t>
      </w:r>
      <w:proofErr w:type="spellStart"/>
      <w:r w:rsidRPr="00B60D6E">
        <w:rPr>
          <w:rFonts w:ascii="Gill Sans MT" w:hAnsi="Gill Sans MT" w:cs="Arial"/>
          <w:sz w:val="20"/>
        </w:rPr>
        <w:t>Vernalha</w:t>
      </w:r>
      <w:proofErr w:type="spellEnd"/>
      <w:r w:rsidRPr="00B60D6E">
        <w:rPr>
          <w:rFonts w:ascii="Gill Sans MT" w:hAnsi="Gill Sans MT" w:cs="Arial"/>
          <w:sz w:val="20"/>
        </w:rPr>
        <w:t xml:space="preserve"> Guimarães lembram que:</w:t>
      </w:r>
    </w:p>
    <w:p w14:paraId="1B2A5131" w14:textId="4179762E" w:rsidR="00EF14C4"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C45D2AE" w14:textId="1DB04763" w:rsidR="00EF14C4"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1.3. O objeto desta contratação não se enquadra como sendo de bem de luxo, conforme Decreto</w:t>
      </w:r>
      <w:r w:rsidRPr="00B60D6E">
        <w:rPr>
          <w:rFonts w:ascii="Gill Sans MT" w:hAnsi="Gill Sans MT"/>
          <w:b/>
          <w:bCs/>
          <w:sz w:val="22"/>
          <w:szCs w:val="22"/>
        </w:rPr>
        <w:t xml:space="preserve"> Municipal nº </w:t>
      </w:r>
      <w:r w:rsidR="00BD0420">
        <w:rPr>
          <w:rFonts w:ascii="Gill Sans MT" w:hAnsi="Gill Sans MT"/>
          <w:b/>
          <w:bCs/>
          <w:sz w:val="22"/>
          <w:szCs w:val="22"/>
        </w:rPr>
        <w:t>02</w:t>
      </w:r>
      <w:r w:rsidR="00EF0427" w:rsidRPr="00B60D6E">
        <w:rPr>
          <w:rFonts w:ascii="Gill Sans MT" w:hAnsi="Gill Sans MT"/>
          <w:b/>
          <w:bCs/>
          <w:sz w:val="22"/>
          <w:szCs w:val="22"/>
        </w:rPr>
        <w:t>/2025</w:t>
      </w:r>
      <w:r w:rsidRPr="00B60D6E">
        <w:rPr>
          <w:rFonts w:ascii="Gill Sans MT" w:hAnsi="Gill Sans MT"/>
          <w:sz w:val="22"/>
          <w:szCs w:val="22"/>
        </w:rPr>
        <w:t>.</w:t>
      </w:r>
    </w:p>
    <w:p w14:paraId="1AAE45C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1.4. Os itens objeto desta contratação são caracterizados como comuns, conforme justificativa constante no Estudo Técnico Preliminar.</w:t>
      </w:r>
    </w:p>
    <w:p w14:paraId="2AB83F3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1.5. O prazo de vigência da contratação é de 12 (doze) meses, contados da assinatura, na forma do art. 105 da Lei 14.133, de 2021.</w:t>
      </w:r>
    </w:p>
    <w:p w14:paraId="795DB283" w14:textId="2B80415D" w:rsidR="00493F49" w:rsidRPr="00B60D6E" w:rsidRDefault="00493F49" w:rsidP="00493F49">
      <w:pPr>
        <w:jc w:val="both"/>
        <w:rPr>
          <w:rFonts w:ascii="Gill Sans MT" w:hAnsi="Gill Sans MT"/>
        </w:rPr>
      </w:pPr>
      <w:r w:rsidRPr="00B60D6E">
        <w:rPr>
          <w:rFonts w:ascii="Gill Sans MT" w:hAnsi="Gill Sans MT"/>
        </w:rPr>
        <w:t xml:space="preserve">1.6. O </w:t>
      </w:r>
      <w:r w:rsidR="00071A40">
        <w:rPr>
          <w:rFonts w:ascii="Gill Sans MT" w:hAnsi="Gill Sans MT"/>
        </w:rPr>
        <w:t xml:space="preserve">serviço </w:t>
      </w:r>
      <w:r w:rsidRPr="00B60D6E">
        <w:rPr>
          <w:rFonts w:ascii="Gill Sans MT" w:hAnsi="Gill Sans MT"/>
        </w:rPr>
        <w:t>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1.7. O contrato oferece maior detalhamento das regras que serão aplicadas em relação à vigência da contratação.</w:t>
      </w:r>
    </w:p>
    <w:p w14:paraId="100C5D5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2. FUNDAMENTAÇÃO E DESCRIÇÃO DA NECESSIDADE DA CONTRATAÇÃO</w:t>
      </w:r>
    </w:p>
    <w:p w14:paraId="4565BDE7"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2.2. O objeto da contratação está previsto na LOA para este exercício.</w:t>
      </w:r>
    </w:p>
    <w:p w14:paraId="241D7CE8" w14:textId="5D5DAD90"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2.3. A presente aquisição faz-se necessária para atendimento à demanda das atividades desenvolvidas pela</w:t>
      </w:r>
      <w:r w:rsidR="004D60BA" w:rsidRPr="00B60D6E">
        <w:rPr>
          <w:rFonts w:ascii="Gill Sans MT" w:hAnsi="Gill Sans MT"/>
          <w:sz w:val="22"/>
          <w:szCs w:val="22"/>
        </w:rPr>
        <w:t>s</w:t>
      </w:r>
      <w:r w:rsidRPr="00B60D6E">
        <w:rPr>
          <w:rFonts w:ascii="Gill Sans MT" w:hAnsi="Gill Sans MT"/>
          <w:sz w:val="22"/>
          <w:szCs w:val="22"/>
        </w:rPr>
        <w:t xml:space="preserve"> Secretaria</w:t>
      </w:r>
      <w:r w:rsidR="004D60BA" w:rsidRPr="00B60D6E">
        <w:rPr>
          <w:rFonts w:ascii="Gill Sans MT" w:hAnsi="Gill Sans MT"/>
          <w:sz w:val="22"/>
          <w:szCs w:val="22"/>
        </w:rPr>
        <w:t>s</w:t>
      </w:r>
      <w:r w:rsidRPr="00B60D6E">
        <w:rPr>
          <w:rFonts w:ascii="Gill Sans MT" w:hAnsi="Gill Sans MT"/>
          <w:sz w:val="22"/>
          <w:szCs w:val="22"/>
        </w:rPr>
        <w:t xml:space="preserve">. </w:t>
      </w:r>
    </w:p>
    <w:p w14:paraId="1A4DA939" w14:textId="1A04F5B5"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2.4. Ademais, destaca-se que a demanda foi apresentada no </w:t>
      </w:r>
      <w:r w:rsidRPr="00B60D6E">
        <w:rPr>
          <w:rFonts w:ascii="Gill Sans MT" w:hAnsi="Gill Sans MT"/>
          <w:b/>
          <w:bCs/>
          <w:sz w:val="22"/>
          <w:szCs w:val="22"/>
        </w:rPr>
        <w:t>DFD e</w:t>
      </w:r>
      <w:r w:rsidRPr="00B60D6E">
        <w:rPr>
          <w:rFonts w:ascii="Gill Sans MT" w:hAnsi="Gill Sans MT"/>
          <w:sz w:val="22"/>
          <w:szCs w:val="22"/>
        </w:rPr>
        <w:t xml:space="preserve"> aprovada por meio de despacho da</w:t>
      </w:r>
      <w:r w:rsidR="000A1BBD" w:rsidRPr="00B60D6E">
        <w:rPr>
          <w:rFonts w:ascii="Gill Sans MT" w:hAnsi="Gill Sans MT"/>
          <w:sz w:val="22"/>
          <w:szCs w:val="22"/>
        </w:rPr>
        <w:t>s</w:t>
      </w:r>
      <w:r w:rsidRPr="00B60D6E">
        <w:rPr>
          <w:rFonts w:ascii="Gill Sans MT" w:hAnsi="Gill Sans MT"/>
          <w:sz w:val="22"/>
          <w:szCs w:val="22"/>
        </w:rPr>
        <w:t xml:space="preserve"> Autoridade</w:t>
      </w:r>
      <w:r w:rsidR="000A1BBD" w:rsidRPr="00B60D6E">
        <w:rPr>
          <w:rFonts w:ascii="Gill Sans MT" w:hAnsi="Gill Sans MT"/>
          <w:sz w:val="22"/>
          <w:szCs w:val="22"/>
        </w:rPr>
        <w:t>s</w:t>
      </w:r>
      <w:r w:rsidRPr="00B60D6E">
        <w:rPr>
          <w:rFonts w:ascii="Gill Sans MT" w:hAnsi="Gill Sans MT"/>
          <w:sz w:val="22"/>
          <w:szCs w:val="22"/>
        </w:rPr>
        <w:t xml:space="preserve"> competente</w:t>
      </w:r>
      <w:r w:rsidR="000A1BBD" w:rsidRPr="00B60D6E">
        <w:rPr>
          <w:rFonts w:ascii="Gill Sans MT" w:hAnsi="Gill Sans MT"/>
          <w:sz w:val="22"/>
          <w:szCs w:val="22"/>
        </w:rPr>
        <w:t>s</w:t>
      </w:r>
      <w:r w:rsidRPr="00B60D6E">
        <w:rPr>
          <w:rFonts w:ascii="Gill Sans MT" w:hAnsi="Gill Sans MT"/>
          <w:sz w:val="22"/>
          <w:szCs w:val="22"/>
        </w:rPr>
        <w:t>.</w:t>
      </w:r>
    </w:p>
    <w:p w14:paraId="3061BA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3. DESCRIÇÃO DA SOLUÇÃO COMO UM TODO CONSIDERADO O CICLO DE VIDA DO OBJETO E ESPECIFICAÇÃO DO PRODUTO.</w:t>
      </w:r>
    </w:p>
    <w:p w14:paraId="303C0B8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4. REQUISITOS DA CONTRATAÇÃO</w:t>
      </w:r>
    </w:p>
    <w:p w14:paraId="4504929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Sustentabilidade</w:t>
      </w:r>
    </w:p>
    <w:p w14:paraId="5B7814D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hAnsi="Gill Sans MT"/>
          <w:sz w:val="22"/>
          <w:szCs w:val="22"/>
        </w:rPr>
        <w:t xml:space="preserve">4.2. </w:t>
      </w:r>
      <w:r w:rsidRPr="00B60D6E">
        <w:rPr>
          <w:rFonts w:ascii="Gill Sans MT" w:eastAsiaTheme="minorHAnsi" w:hAnsi="Gill Sans MT"/>
          <w:sz w:val="22"/>
          <w:szCs w:val="22"/>
        </w:rPr>
        <w:t xml:space="preserve">Será dada prioridade as contratações através de microempresas e empresas de pequeno porte; </w:t>
      </w:r>
    </w:p>
    <w:p w14:paraId="7B9297DE"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Subcontratação</w:t>
      </w:r>
    </w:p>
    <w:p w14:paraId="41D924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4.3. Não é admitida a subcontratação do objeto contratual.</w:t>
      </w:r>
    </w:p>
    <w:p w14:paraId="4254382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da contratação</w:t>
      </w:r>
    </w:p>
    <w:p w14:paraId="33FC32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4.4. Não será exigida a garantia da contratação</w:t>
      </w:r>
    </w:p>
    <w:p w14:paraId="6D2460EA"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de Proposta</w:t>
      </w:r>
    </w:p>
    <w:p w14:paraId="27A6D005" w14:textId="43AD85CA"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4.5. </w:t>
      </w:r>
      <w:r w:rsidR="006E28D5" w:rsidRPr="00B60D6E">
        <w:rPr>
          <w:rFonts w:ascii="Gill Sans MT" w:hAnsi="Gill Sans MT"/>
          <w:sz w:val="22"/>
          <w:szCs w:val="22"/>
        </w:rPr>
        <w:t>Não será exigida.</w:t>
      </w:r>
      <w:r w:rsidRPr="00B60D6E">
        <w:rPr>
          <w:rFonts w:ascii="Gill Sans MT" w:hAnsi="Gill Sans MT"/>
          <w:sz w:val="22"/>
          <w:szCs w:val="22"/>
        </w:rPr>
        <w:t xml:space="preserve"> </w:t>
      </w:r>
    </w:p>
    <w:p w14:paraId="0BCB247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Vistoria</w:t>
      </w:r>
    </w:p>
    <w:p w14:paraId="0B41F219" w14:textId="479F2BBC" w:rsidR="00493F49" w:rsidRPr="00B60D6E" w:rsidRDefault="00493F49" w:rsidP="00493F49">
      <w:pPr>
        <w:jc w:val="both"/>
        <w:rPr>
          <w:rFonts w:ascii="Gill Sans MT" w:hAnsi="Gill Sans MT"/>
          <w:sz w:val="22"/>
          <w:szCs w:val="22"/>
        </w:rPr>
      </w:pPr>
      <w:r w:rsidRPr="00B60D6E">
        <w:rPr>
          <w:rFonts w:ascii="Gill Sans MT" w:hAnsi="Gill Sans MT"/>
          <w:sz w:val="22"/>
          <w:szCs w:val="22"/>
        </w:rPr>
        <w:t>4.</w:t>
      </w:r>
      <w:r w:rsidR="00F14781" w:rsidRPr="00B60D6E">
        <w:rPr>
          <w:rFonts w:ascii="Gill Sans MT" w:hAnsi="Gill Sans MT"/>
          <w:sz w:val="22"/>
          <w:szCs w:val="22"/>
        </w:rPr>
        <w:t>6</w:t>
      </w:r>
      <w:r w:rsidRPr="00B60D6E">
        <w:rPr>
          <w:rFonts w:ascii="Gill Sans MT" w:hAnsi="Gill Sans MT"/>
          <w:sz w:val="22"/>
          <w:szCs w:val="22"/>
        </w:rPr>
        <w:t>. Não há necessidade de realização vistoria.</w:t>
      </w:r>
    </w:p>
    <w:p w14:paraId="7BF163E6"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5. MODELO DE EXECUÇÃO DO OBJETO</w:t>
      </w:r>
    </w:p>
    <w:p w14:paraId="76925E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Condição de Entrega</w:t>
      </w:r>
    </w:p>
    <w:p w14:paraId="685155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5.1. Os </w:t>
      </w:r>
      <w:r w:rsidRPr="00B60D6E">
        <w:rPr>
          <w:rFonts w:ascii="Gill Sans MT" w:eastAsiaTheme="minorHAnsi" w:hAnsi="Gill Sans MT"/>
          <w:sz w:val="22"/>
          <w:szCs w:val="22"/>
        </w:rPr>
        <w:t xml:space="preserve">itens deverão estar de acordo com as especificações da proposta de preço apresentada. </w:t>
      </w:r>
    </w:p>
    <w:p w14:paraId="13477658" w14:textId="2FF645A6"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5.2. O prazo de </w:t>
      </w:r>
      <w:r w:rsidR="00071A40">
        <w:rPr>
          <w:rFonts w:ascii="Gill Sans MT" w:hAnsi="Gill Sans MT"/>
          <w:sz w:val="22"/>
          <w:szCs w:val="22"/>
        </w:rPr>
        <w:t>execução dos serviços</w:t>
      </w:r>
      <w:r w:rsidRPr="00B60D6E">
        <w:rPr>
          <w:rFonts w:ascii="Gill Sans MT" w:hAnsi="Gill Sans MT"/>
          <w:sz w:val="22"/>
          <w:szCs w:val="22"/>
        </w:rPr>
        <w:t xml:space="preserve"> é de 5 (cinco) dias, contados do recebimento da ordem de fornecimento.</w:t>
      </w:r>
    </w:p>
    <w:p w14:paraId="3793BA7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5.3.  </w:t>
      </w:r>
      <w:r w:rsidRPr="00B60D6E">
        <w:rPr>
          <w:rFonts w:ascii="Gill Sans MT" w:eastAsiaTheme="minorHAnsi" w:hAnsi="Gill Sans MT"/>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Local de entrega dos produtos</w:t>
      </w:r>
    </w:p>
    <w:p w14:paraId="0D22218E" w14:textId="19B20EF6"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5.4. Os </w:t>
      </w:r>
      <w:r w:rsidR="00071A40">
        <w:rPr>
          <w:rFonts w:ascii="Gill Sans MT" w:hAnsi="Gill Sans MT"/>
          <w:sz w:val="22"/>
          <w:szCs w:val="22"/>
        </w:rPr>
        <w:t>serviços</w:t>
      </w:r>
      <w:r w:rsidRPr="00B60D6E">
        <w:rPr>
          <w:rFonts w:ascii="Gill Sans MT" w:hAnsi="Gill Sans MT"/>
          <w:sz w:val="22"/>
          <w:szCs w:val="22"/>
        </w:rPr>
        <w:t xml:space="preserve"> deverão ser </w:t>
      </w:r>
      <w:r w:rsidR="00071A40">
        <w:rPr>
          <w:rFonts w:ascii="Gill Sans MT" w:hAnsi="Gill Sans MT"/>
          <w:sz w:val="22"/>
          <w:szCs w:val="22"/>
        </w:rPr>
        <w:t>executados</w:t>
      </w:r>
      <w:r w:rsidRPr="00B60D6E">
        <w:rPr>
          <w:rFonts w:ascii="Gill Sans MT" w:hAnsi="Gill Sans MT"/>
          <w:sz w:val="22"/>
          <w:szCs w:val="22"/>
        </w:rPr>
        <w:t xml:space="preserve"> no endereço indicado pela Secretaria solicitante, constante na ordem de compra, no Município de </w:t>
      </w:r>
      <w:r w:rsidR="00BD0420">
        <w:rPr>
          <w:rFonts w:ascii="Gill Sans MT" w:hAnsi="Gill Sans MT"/>
          <w:sz w:val="22"/>
          <w:szCs w:val="22"/>
        </w:rPr>
        <w:t>Axixá</w:t>
      </w:r>
      <w:r w:rsidRPr="00B60D6E">
        <w:rPr>
          <w:rFonts w:ascii="Gill Sans MT" w:hAnsi="Gill Sans MT"/>
          <w:sz w:val="22"/>
          <w:szCs w:val="22"/>
        </w:rPr>
        <w:t>/MA.</w:t>
      </w:r>
    </w:p>
    <w:p w14:paraId="716DEFF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Procedimentos de transição e finalização do contrato</w:t>
      </w:r>
    </w:p>
    <w:p w14:paraId="219BDD7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5.5. Não serão necessários procedimentos de transição e finalização do contrato devido às características do objeto.</w:t>
      </w:r>
    </w:p>
    <w:p w14:paraId="738B75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6. MODELO DE GESTÃO DO CONTRATO</w:t>
      </w:r>
    </w:p>
    <w:p w14:paraId="48237DC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6.4. O órgão ou entidade poderá convocar representante da empresa para adoção de providências que devam ser cumpridas de imediato.</w:t>
      </w:r>
    </w:p>
    <w:p w14:paraId="1C4AA9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Fiscalização</w:t>
      </w:r>
    </w:p>
    <w:p w14:paraId="26FB90CE" w14:textId="6F18FD1D"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 xml:space="preserve">6.6. Compete aos fiscais de contratos a fiscalização e o acompanhamento da execução do objeto contratual, e especialmente: (Decreto Municipal </w:t>
      </w:r>
      <w:r w:rsidR="00D42C5D" w:rsidRPr="00B60D6E">
        <w:rPr>
          <w:rFonts w:ascii="Gill Sans MT" w:eastAsiaTheme="minorHAnsi" w:hAnsi="Gill Sans MT"/>
          <w:sz w:val="22"/>
          <w:szCs w:val="22"/>
        </w:rPr>
        <w:t>0</w:t>
      </w:r>
      <w:r w:rsidR="007A4DF8">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1BEEF8CB"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 - </w:t>
      </w:r>
      <w:proofErr w:type="gramStart"/>
      <w:r w:rsidRPr="00B60D6E">
        <w:rPr>
          <w:rFonts w:ascii="Gill Sans MT" w:eastAsiaTheme="minorHAnsi" w:hAnsi="Gill Sans MT"/>
          <w:sz w:val="22"/>
          <w:szCs w:val="22"/>
        </w:rPr>
        <w:t>agir</w:t>
      </w:r>
      <w:proofErr w:type="gramEnd"/>
      <w:r w:rsidRPr="00B60D6E">
        <w:rPr>
          <w:rFonts w:ascii="Gill Sans MT" w:eastAsiaTheme="minorHAnsi" w:hAnsi="Gill Sans MT"/>
          <w:sz w:val="22"/>
          <w:szCs w:val="22"/>
        </w:rPr>
        <w:t xml:space="preserve"> com transparência e observando, rigorosamente, os princípios legais e éticos em todos os atos inerentes;</w:t>
      </w:r>
    </w:p>
    <w:p w14:paraId="39CB41F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II - </w:t>
      </w:r>
      <w:proofErr w:type="gramStart"/>
      <w:r w:rsidRPr="00B60D6E">
        <w:rPr>
          <w:rFonts w:ascii="Gill Sans MT" w:eastAsiaTheme="minorHAnsi" w:hAnsi="Gill Sans MT"/>
          <w:sz w:val="22"/>
          <w:szCs w:val="22"/>
        </w:rPr>
        <w:t>conhecer</w:t>
      </w:r>
      <w:proofErr w:type="gramEnd"/>
      <w:r w:rsidRPr="00B60D6E">
        <w:rPr>
          <w:rFonts w:ascii="Gill Sans MT" w:eastAsiaTheme="minorHAnsi" w:hAnsi="Gill Sans MT"/>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IV - </w:t>
      </w:r>
      <w:proofErr w:type="gramStart"/>
      <w:r w:rsidRPr="00B60D6E">
        <w:rPr>
          <w:rFonts w:ascii="Gill Sans MT" w:eastAsiaTheme="minorHAnsi" w:hAnsi="Gill Sans MT"/>
          <w:sz w:val="22"/>
          <w:szCs w:val="22"/>
        </w:rPr>
        <w:t>avaliar e acompanhar</w:t>
      </w:r>
      <w:proofErr w:type="gramEnd"/>
      <w:r w:rsidRPr="00B60D6E">
        <w:rPr>
          <w:rFonts w:ascii="Gill Sans MT" w:eastAsiaTheme="minorHAnsi" w:hAnsi="Gill Sans MT"/>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41E5A4B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 - </w:t>
      </w:r>
      <w:proofErr w:type="gramStart"/>
      <w:r w:rsidRPr="00B60D6E">
        <w:rPr>
          <w:rFonts w:ascii="Gill Sans MT" w:eastAsiaTheme="minorHAnsi" w:hAnsi="Gill Sans MT"/>
          <w:sz w:val="22"/>
          <w:szCs w:val="22"/>
        </w:rPr>
        <w:t>assegurar-se</w:t>
      </w:r>
      <w:proofErr w:type="gramEnd"/>
      <w:r w:rsidRPr="00B60D6E">
        <w:rPr>
          <w:rFonts w:ascii="Gill Sans MT" w:eastAsiaTheme="minorHAnsi" w:hAnsi="Gill Sans MT"/>
          <w:sz w:val="22"/>
          <w:szCs w:val="22"/>
        </w:rPr>
        <w:t xml:space="preserve"> do cumprimento integral das obrigações contratuais assumidas pela contratada;</w:t>
      </w:r>
    </w:p>
    <w:p w14:paraId="21ECA10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 - </w:t>
      </w:r>
      <w:proofErr w:type="gramStart"/>
      <w:r w:rsidRPr="00B60D6E">
        <w:rPr>
          <w:rFonts w:ascii="Gill Sans MT" w:eastAsiaTheme="minorHAnsi" w:hAnsi="Gill Sans MT"/>
          <w:sz w:val="22"/>
          <w:szCs w:val="22"/>
        </w:rPr>
        <w:t>certificar-se</w:t>
      </w:r>
      <w:proofErr w:type="gramEnd"/>
      <w:r w:rsidRPr="00B60D6E">
        <w:rPr>
          <w:rFonts w:ascii="Gill Sans MT" w:eastAsiaTheme="minorHAnsi" w:hAnsi="Gill Sans MT"/>
          <w:sz w:val="22"/>
          <w:szCs w:val="22"/>
        </w:rPr>
        <w:t xml:space="preserve"> de que:</w:t>
      </w:r>
    </w:p>
    <w:p w14:paraId="0DE9506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a) contratada é quem executa o contrato;</w:t>
      </w:r>
    </w:p>
    <w:p w14:paraId="4ABE12E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b) existe cessão ou subcontratação fora das hipóteses legais e previstas no contrato;</w:t>
      </w:r>
    </w:p>
    <w:p w14:paraId="78E7E41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 - verificar se a contratada mantém um responsável técnico acompanhando as obras e os serviços, quando assim determinar o contrato;</w:t>
      </w:r>
    </w:p>
    <w:p w14:paraId="7325F45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VIII - atestar, em documento hábil, juntamente com </w:t>
      </w:r>
      <w:proofErr w:type="gramStart"/>
      <w:r w:rsidRPr="00B60D6E">
        <w:rPr>
          <w:rFonts w:ascii="Gill Sans MT" w:eastAsiaTheme="minorHAnsi" w:hAnsi="Gill Sans MT"/>
          <w:sz w:val="22"/>
          <w:szCs w:val="22"/>
        </w:rPr>
        <w:t>os gestor</w:t>
      </w:r>
      <w:proofErr w:type="gramEnd"/>
      <w:r w:rsidRPr="00B60D6E">
        <w:rPr>
          <w:rFonts w:ascii="Gill Sans MT" w:eastAsiaTheme="minorHAnsi" w:hAnsi="Gill Sans MT"/>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IX - </w:t>
      </w:r>
      <w:proofErr w:type="gramStart"/>
      <w:r w:rsidRPr="00B60D6E">
        <w:rPr>
          <w:rFonts w:ascii="Gill Sans MT" w:eastAsiaTheme="minorHAnsi" w:hAnsi="Gill Sans MT"/>
          <w:sz w:val="22"/>
          <w:szCs w:val="22"/>
        </w:rPr>
        <w:t>receber</w:t>
      </w:r>
      <w:proofErr w:type="gramEnd"/>
      <w:r w:rsidRPr="00B60D6E">
        <w:rPr>
          <w:rFonts w:ascii="Gill Sans MT" w:eastAsiaTheme="minorHAnsi" w:hAnsi="Gill Sans MT"/>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B60D6E">
        <w:rPr>
          <w:rFonts w:ascii="Gill Sans MT" w:eastAsiaTheme="minorHAnsi" w:hAnsi="Gill Sans MT"/>
          <w:sz w:val="22"/>
          <w:szCs w:val="22"/>
        </w:rPr>
        <w:t>ão</w:t>
      </w:r>
      <w:proofErr w:type="spellEnd"/>
      <w:r w:rsidRPr="00B60D6E">
        <w:rPr>
          <w:rFonts w:ascii="Gill Sans MT" w:eastAsiaTheme="minorHAnsi" w:hAnsi="Gill Sans MT"/>
          <w:sz w:val="22"/>
          <w:szCs w:val="22"/>
        </w:rPr>
        <w:t>) a documentação para o setor responsável pelo pagamento, em tempo hábil, de modo que o pagamento seja efetuado no prazo adequado;</w:t>
      </w:r>
    </w:p>
    <w:p w14:paraId="64F483E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 - </w:t>
      </w:r>
      <w:proofErr w:type="gramStart"/>
      <w:r w:rsidRPr="00B60D6E">
        <w:rPr>
          <w:rFonts w:ascii="Gill Sans MT" w:eastAsiaTheme="minorHAnsi" w:hAnsi="Gill Sans MT"/>
          <w:sz w:val="22"/>
          <w:szCs w:val="22"/>
        </w:rPr>
        <w:t>apresentar</w:t>
      </w:r>
      <w:proofErr w:type="gramEnd"/>
      <w:r w:rsidRPr="00B60D6E">
        <w:rPr>
          <w:rFonts w:ascii="Gill Sans MT" w:eastAsiaTheme="minorHAnsi" w:hAnsi="Gill Sans MT"/>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XV - </w:t>
      </w:r>
      <w:proofErr w:type="gramStart"/>
      <w:r w:rsidRPr="00B60D6E">
        <w:rPr>
          <w:rFonts w:ascii="Gill Sans MT" w:eastAsiaTheme="minorHAnsi" w:hAnsi="Gill Sans MT"/>
          <w:sz w:val="22"/>
          <w:szCs w:val="22"/>
        </w:rPr>
        <w:t>dar</w:t>
      </w:r>
      <w:proofErr w:type="gramEnd"/>
      <w:r w:rsidRPr="00B60D6E">
        <w:rPr>
          <w:rFonts w:ascii="Gill Sans MT" w:eastAsiaTheme="minorHAnsi" w:hAnsi="Gill Sans MT"/>
          <w:sz w:val="22"/>
          <w:szCs w:val="22"/>
        </w:rPr>
        <w:t xml:space="preserve"> ciência ao(s) gestor(es) do contrato acerca da possibilidade de não conclusão do objeto na data pactuada, com as justificativas apresentadas pela contratada;</w:t>
      </w:r>
    </w:p>
    <w:p w14:paraId="287C2E2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B60D6E" w:rsidRDefault="00493F49" w:rsidP="00493F49">
      <w:pPr>
        <w:spacing w:before="240" w:after="240"/>
        <w:jc w:val="both"/>
        <w:rPr>
          <w:rFonts w:ascii="Gill Sans MT" w:eastAsia="Calibri" w:hAnsi="Gill Sans MT"/>
          <w:sz w:val="22"/>
          <w:szCs w:val="22"/>
        </w:rPr>
      </w:pPr>
      <w:r w:rsidRPr="00B60D6E">
        <w:rPr>
          <w:rFonts w:ascii="Gill Sans MT" w:eastAsiaTheme="minorHAnsi" w:hAnsi="Gill Sans MT"/>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B60D6E" w:rsidRDefault="00493F49" w:rsidP="00493F49">
      <w:pPr>
        <w:spacing w:before="240" w:after="240"/>
        <w:jc w:val="both"/>
        <w:rPr>
          <w:rFonts w:ascii="Gill Sans MT" w:eastAsia="Calibri" w:hAnsi="Gill Sans MT"/>
          <w:b/>
          <w:bCs/>
          <w:sz w:val="22"/>
          <w:szCs w:val="22"/>
        </w:rPr>
      </w:pPr>
      <w:r w:rsidRPr="00B60D6E">
        <w:rPr>
          <w:rFonts w:ascii="Gill Sans MT" w:eastAsia="Calibri" w:hAnsi="Gill Sans MT"/>
          <w:b/>
          <w:bCs/>
          <w:sz w:val="22"/>
          <w:szCs w:val="22"/>
        </w:rPr>
        <w:t>Gestor do Contrato</w:t>
      </w:r>
    </w:p>
    <w:p w14:paraId="039AA87E" w14:textId="444763D2"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 Compete aos gestores de contratos o exercício de atividades gerenciais, técnicas e operacionais relacionadas à gestão da execução dos contratos, e especialmente: (</w:t>
      </w:r>
      <w:r w:rsidR="00D42C5D"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5F3E9348" w14:textId="3811B57A"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D42C5D" w:rsidRPr="00B60D6E">
        <w:rPr>
          <w:rFonts w:ascii="Gill Sans MT" w:eastAsiaTheme="minorHAnsi" w:hAnsi="Gill Sans MT"/>
          <w:sz w:val="22"/>
          <w:szCs w:val="22"/>
        </w:rPr>
        <w:t xml:space="preserve">Decreto Municipal </w:t>
      </w:r>
      <w:r w:rsidR="00BD0420">
        <w:rPr>
          <w:rFonts w:ascii="Gill Sans MT" w:eastAsiaTheme="minorHAnsi" w:hAnsi="Gill Sans MT"/>
          <w:sz w:val="22"/>
          <w:szCs w:val="22"/>
        </w:rPr>
        <w:t>02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7EA5231E" w14:textId="6A8106B3"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204140AB" w14:textId="6BCDFE5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6.7.3. adotar as medidas preparatórias para a aplicação de sanções e para a rescisão contratual, conforme previsão contida no edital e/ou no instrumento contratual, ou ainda, na legislação de regência, com aprovação da autoridade competente;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25AA2E3" w14:textId="67F19BDC"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6A278BDF" w14:textId="0ABBA5A6"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A2DC6B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 CRITÉRIOS DE MEDIÇÃO E DE PAGAMENTO</w:t>
      </w:r>
    </w:p>
    <w:p w14:paraId="192CA5F5"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Recebimento</w:t>
      </w:r>
    </w:p>
    <w:p w14:paraId="60E7752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 Os bens serão recebidos provisoriamente, de forma sumária, no ato da entrega, juntamente com a </w:t>
      </w:r>
      <w:r w:rsidRPr="00B60D6E">
        <w:rPr>
          <w:rFonts w:ascii="Gill Sans MT" w:eastAsia="Calibri" w:hAnsi="Gill Sans MT"/>
          <w:sz w:val="22"/>
          <w:szCs w:val="22"/>
        </w:rPr>
        <w:t>nota</w:t>
      </w:r>
      <w:r w:rsidRPr="00B60D6E">
        <w:rPr>
          <w:rFonts w:ascii="Gill Sans MT" w:hAnsi="Gill Sans MT"/>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7.5. No caso de controvérsia sobre a execução do objeto, quanto à dimensão, qualidade e quantidade, deverá ser observado o teor do </w:t>
      </w:r>
      <w:hyperlink r:id="rId8" w:anchor="art143">
        <w:r w:rsidRPr="00B60D6E">
          <w:rPr>
            <w:rStyle w:val="Hyperlink"/>
            <w:rFonts w:ascii="Gill Sans MT" w:hAnsi="Gill Sans MT"/>
            <w:sz w:val="22"/>
            <w:szCs w:val="22"/>
          </w:rPr>
          <w:t>art. 143 da Lei nº 14.133, de 2021</w:t>
        </w:r>
      </w:hyperlink>
      <w:r w:rsidRPr="00B60D6E">
        <w:rPr>
          <w:rFonts w:ascii="Gill Sans MT" w:hAnsi="Gill Sans MT"/>
          <w:sz w:val="22"/>
          <w:szCs w:val="22"/>
        </w:rPr>
        <w:t xml:space="preserve">, comunicando-se à empresa para emissão de Nota Fiscal no que </w:t>
      </w:r>
      <w:proofErr w:type="spellStart"/>
      <w:r w:rsidRPr="00B60D6E">
        <w:rPr>
          <w:rFonts w:ascii="Gill Sans MT" w:hAnsi="Gill Sans MT"/>
          <w:sz w:val="22"/>
          <w:szCs w:val="22"/>
        </w:rPr>
        <w:t>pertine</w:t>
      </w:r>
      <w:proofErr w:type="spellEnd"/>
      <w:r w:rsidRPr="00B60D6E">
        <w:rPr>
          <w:rFonts w:ascii="Gill Sans MT" w:hAnsi="Gill Sans MT"/>
          <w:sz w:val="22"/>
          <w:szCs w:val="22"/>
        </w:rPr>
        <w:t xml:space="preserve"> à parcela incontroversa da execução do objeto, para efeito de liquidação e pagamento.</w:t>
      </w:r>
    </w:p>
    <w:p w14:paraId="64579E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7.7. O recebimento provisório ou definitivo não excluirá a responsabilidade civil pela solidez e pela segurança dos bens nem a responsabilidade ético-profissional pela perfeita execução do contrato.</w:t>
      </w:r>
    </w:p>
    <w:p w14:paraId="34A6541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Liquidação</w:t>
      </w:r>
    </w:p>
    <w:p w14:paraId="6BF5F9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7.9.1. o prazo de validade;</w:t>
      </w:r>
    </w:p>
    <w:p w14:paraId="416410D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7.9.2. a data da emissão; </w:t>
      </w:r>
    </w:p>
    <w:p w14:paraId="36E6303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7.9.3. os dados do contrato e do órgão contratante; </w:t>
      </w:r>
    </w:p>
    <w:p w14:paraId="37D485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7.9.4. o período respectivo de execução do contrato; </w:t>
      </w:r>
    </w:p>
    <w:p w14:paraId="6F0C793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7.9.5. o valor a pagar; e </w:t>
      </w:r>
    </w:p>
    <w:p w14:paraId="4C93945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7.9.6. eventual destaque do valor de retenções tributárias cabíveis.</w:t>
      </w:r>
    </w:p>
    <w:p w14:paraId="54AF9C02"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 xml:space="preserve">7.10. Havendo erro na apresentação da nota fiscal ou instrumento de cobrança equivalente, ou circunstância que impeça a </w:t>
      </w:r>
      <w:r w:rsidRPr="00B60D6E">
        <w:rPr>
          <w:rFonts w:ascii="Gill Sans MT" w:hAnsi="Gill Sans MT"/>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 w:anchor="art68">
        <w:r w:rsidRPr="00B60D6E">
          <w:rPr>
            <w:rStyle w:val="Hyperlink"/>
            <w:rFonts w:ascii="Gill Sans MT" w:hAnsi="Gill Sans MT"/>
            <w:sz w:val="22"/>
            <w:szCs w:val="22"/>
          </w:rPr>
          <w:t xml:space="preserve">art. 68 da Lei nº 14.133, de 2021.  </w:t>
        </w:r>
      </w:hyperlink>
    </w:p>
    <w:p w14:paraId="6E694A8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85C26B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Prazo de pagamento</w:t>
      </w:r>
    </w:p>
    <w:p w14:paraId="0145498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7.17. O pagamento será efetuado no prazo de até 10 (dez) dias úteis contados da finalização da liquidação da despesa, conforme seção anterior.</w:t>
      </w:r>
    </w:p>
    <w:p w14:paraId="5A21DA2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pagamento</w:t>
      </w:r>
    </w:p>
    <w:p w14:paraId="0E5CC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7.19. O pagamento será realizado por meio de ordem bancária, para crédito em banco, agência e conta corrente indicados pelo contratado.</w:t>
      </w:r>
    </w:p>
    <w:p w14:paraId="183AE25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7.20. Será considerada data do pagamento o dia em que constar como emitida a ordem bancária para pagamento.</w:t>
      </w:r>
    </w:p>
    <w:p w14:paraId="260A4E3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7.21. Quando do pagamento, será efetuada a retenção tributária prevista na legislação aplicável.</w:t>
      </w:r>
    </w:p>
    <w:p w14:paraId="746784A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7.22. O contratado regularmente optante pelo Simples Nacional, nos termos da </w:t>
      </w:r>
      <w:hyperlink r:id="rId10">
        <w:r w:rsidRPr="00B60D6E">
          <w:rPr>
            <w:rStyle w:val="Hyperlink"/>
            <w:rFonts w:ascii="Gill Sans MT" w:hAnsi="Gill Sans MT"/>
            <w:sz w:val="22"/>
            <w:szCs w:val="22"/>
          </w:rPr>
          <w:t>Lei Complementar nº 123, de 2006</w:t>
        </w:r>
      </w:hyperlink>
      <w:r w:rsidRPr="00B60D6E">
        <w:rPr>
          <w:rFonts w:ascii="Gill Sans MT" w:hAnsi="Gill Sans MT"/>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7.23. Deverá ser prosseguida a retenção de imposto de renda – IR.</w:t>
      </w:r>
    </w:p>
    <w:p w14:paraId="02AFF9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8. FORMA E CRITÉRIOS DE SELEÇÃO DO FORNECEDOR E FORMA DE FORNECIMENTO</w:t>
      </w:r>
    </w:p>
    <w:p w14:paraId="3402DE6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seleção e critério de julgamento da proposta</w:t>
      </w:r>
    </w:p>
    <w:p w14:paraId="6D1B7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8.1. O fornecedor será selecionado por meio da realização de procedimento de LICITAÇÃO, na modalidade PREGÃO, sob a forma ELETRÔNICA, com adoção do critério de julgamento pelo MENOR PREÇO.</w:t>
      </w:r>
    </w:p>
    <w:p w14:paraId="51A0F61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fornecimento</w:t>
      </w:r>
    </w:p>
    <w:p w14:paraId="270DA09B" w14:textId="415BD751"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 O fornecimento do objeto será parcelado.</w:t>
      </w:r>
    </w:p>
    <w:p w14:paraId="50D722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Exigências de habilitação</w:t>
      </w:r>
    </w:p>
    <w:p w14:paraId="684F262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 Para fins de habilitação, deverá o licitante comprovar os seguintes requisitos:</w:t>
      </w:r>
    </w:p>
    <w:p w14:paraId="3F76849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jurídica</w:t>
      </w:r>
    </w:p>
    <w:p w14:paraId="40CAB04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8.4. Pessoa física: cédula de identidade (RG) ou documento equivalente que, por força de lei, tenha validade para fins de identificação em todo o território nacional.</w:t>
      </w:r>
    </w:p>
    <w:p w14:paraId="3AD9C94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8.5. Empresário individual: inscrição no Registro Público de Empresas Mercantis, a cargo da Junta Comercial da respectiva sede; </w:t>
      </w:r>
    </w:p>
    <w:p w14:paraId="500B335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8.6. Microempreendedor Individual - MEI: Certificado da Condição de Microempreendedor Individual - CCMEI, cuja aceitação ficará condicionada à verificação da autenticidade no sítio </w:t>
      </w:r>
      <w:hyperlink r:id="rId11">
        <w:r w:rsidRPr="00B60D6E">
          <w:rPr>
            <w:rStyle w:val="Hyperlink"/>
            <w:rFonts w:ascii="Gill Sans MT" w:hAnsi="Gill Sans MT"/>
            <w:sz w:val="22"/>
            <w:szCs w:val="22"/>
          </w:rPr>
          <w:t>https://www.gov.br/empresas-e-negocios/pt-br/empreendedor</w:t>
        </w:r>
      </w:hyperlink>
      <w:r w:rsidRPr="00B60D6E">
        <w:rPr>
          <w:rFonts w:ascii="Gill Sans MT" w:hAnsi="Gill Sans MT"/>
          <w:sz w:val="22"/>
          <w:szCs w:val="22"/>
        </w:rPr>
        <w:t xml:space="preserve">; </w:t>
      </w:r>
    </w:p>
    <w:p w14:paraId="58BE1B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r w:rsidRPr="00B60D6E">
          <w:rPr>
            <w:rStyle w:val="Hyperlink"/>
            <w:rFonts w:ascii="Gill Sans MT" w:hAnsi="Gill Sans MT"/>
            <w:sz w:val="22"/>
            <w:szCs w:val="22"/>
          </w:rPr>
          <w:t>Normativa DREI/ME n.º 77, de 18 de março de 2020</w:t>
        </w:r>
      </w:hyperlink>
      <w:r w:rsidRPr="00B60D6E">
        <w:rPr>
          <w:rFonts w:ascii="Gill Sans MT" w:hAnsi="Gill Sans MT"/>
          <w:sz w:val="22"/>
          <w:szCs w:val="22"/>
        </w:rPr>
        <w:t>.</w:t>
      </w:r>
    </w:p>
    <w:p w14:paraId="0697E2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8.9. Sociedade simples: inscrição do ato constitutivo no Registro Civil de Pessoas Jurídicas do local de sua sede, acompanhada de documento comprobatório de seus administradores;</w:t>
      </w:r>
    </w:p>
    <w:p w14:paraId="0BCF0E9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B60D6E">
        <w:rPr>
          <w:rFonts w:ascii="Gill Sans MT" w:hAnsi="Gill Sans MT"/>
          <w:sz w:val="22"/>
          <w:szCs w:val="22"/>
        </w:rPr>
        <w:t>Mercantis onde</w:t>
      </w:r>
      <w:bookmarkEnd w:id="2"/>
      <w:r w:rsidRPr="00B60D6E">
        <w:rPr>
          <w:rFonts w:ascii="Gill Sans MT" w:hAnsi="Gill Sans MT"/>
          <w:sz w:val="22"/>
          <w:szCs w:val="22"/>
        </w:rPr>
        <w:t xml:space="preserve"> opera, com averbação no Registro onde tem sede a matriz</w:t>
      </w:r>
    </w:p>
    <w:p w14:paraId="216E59F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B60D6E">
          <w:rPr>
            <w:rStyle w:val="Hyperlink"/>
            <w:rFonts w:ascii="Gill Sans MT" w:hAnsi="Gill Sans MT"/>
            <w:sz w:val="22"/>
            <w:szCs w:val="22"/>
          </w:rPr>
          <w:t>art. 107 da Lei nº 5.764, de 16 de dezembro 1971</w:t>
        </w:r>
      </w:hyperlink>
      <w:r w:rsidRPr="00B60D6E">
        <w:rPr>
          <w:rFonts w:ascii="Gill Sans MT" w:hAnsi="Gill Sans MT"/>
          <w:sz w:val="22"/>
          <w:szCs w:val="22"/>
        </w:rPr>
        <w:t>.</w:t>
      </w:r>
    </w:p>
    <w:p w14:paraId="217E46A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8.12. Agricultor familiar: Declaração de Aptidão ao Pronaf – DAP ou DAP-P válida, ou, ainda, outros documentos definidos pela Secretaria Especial de Agricultura Familiar e do Desenvolvimento Agrário, nos termos do</w:t>
      </w:r>
      <w:hyperlink r:id="rId14" w:anchor="art4§2">
        <w:r w:rsidRPr="00B60D6E">
          <w:rPr>
            <w:rStyle w:val="Hyperlink"/>
            <w:rFonts w:ascii="Gill Sans MT" w:hAnsi="Gill Sans MT"/>
            <w:sz w:val="22"/>
            <w:szCs w:val="22"/>
          </w:rPr>
          <w:t xml:space="preserve"> art. 4º, §2º do Decreto nº 10.880, de 2 de dezembro de 2021</w:t>
        </w:r>
      </w:hyperlink>
      <w:r w:rsidRPr="00B60D6E">
        <w:rPr>
          <w:rFonts w:ascii="Gill Sans MT" w:hAnsi="Gill Sans MT"/>
          <w:sz w:val="22"/>
          <w:szCs w:val="22"/>
        </w:rPr>
        <w:t>.</w:t>
      </w:r>
    </w:p>
    <w:p w14:paraId="04693A0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8.13. Produtor Rural: matrícula no Cadastro Específico do INSS – CEI, que comprove a qualificação como produtor rural pessoa física, nos termos da </w:t>
      </w:r>
      <w:hyperlink r:id="rId15">
        <w:r w:rsidRPr="00B60D6E">
          <w:rPr>
            <w:rStyle w:val="Hyperlink"/>
            <w:rFonts w:ascii="Gill Sans MT" w:hAnsi="Gill Sans MT"/>
            <w:sz w:val="22"/>
            <w:szCs w:val="22"/>
          </w:rPr>
          <w:t>Instrução Normativa RFB n. 971, de 13 de novembro de 2009</w:t>
        </w:r>
      </w:hyperlink>
      <w:r w:rsidRPr="00B60D6E">
        <w:rPr>
          <w:rFonts w:ascii="Gill Sans MT" w:hAnsi="Gill Sans MT"/>
          <w:sz w:val="22"/>
          <w:szCs w:val="22"/>
        </w:rPr>
        <w:t xml:space="preserve"> (</w:t>
      </w:r>
      <w:proofErr w:type="spellStart"/>
      <w:r w:rsidRPr="00B60D6E">
        <w:rPr>
          <w:rFonts w:ascii="Gill Sans MT" w:hAnsi="Gill Sans MT"/>
          <w:sz w:val="22"/>
          <w:szCs w:val="22"/>
        </w:rPr>
        <w:t>arts</w:t>
      </w:r>
      <w:proofErr w:type="spellEnd"/>
      <w:r w:rsidRPr="00B60D6E">
        <w:rPr>
          <w:rFonts w:ascii="Gill Sans MT" w:hAnsi="Gill Sans MT"/>
          <w:sz w:val="22"/>
          <w:szCs w:val="22"/>
        </w:rPr>
        <w:t>. 17 a 19 e 165).</w:t>
      </w:r>
    </w:p>
    <w:p w14:paraId="53E4E634" w14:textId="5F620C42"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8.14. Os documentos apresentados deverão estar acompanhados de todas as alterações</w:t>
      </w:r>
      <w:r w:rsidR="00B857FD" w:rsidRPr="00B60D6E">
        <w:rPr>
          <w:rFonts w:ascii="Gill Sans MT" w:hAnsi="Gill Sans MT"/>
          <w:sz w:val="22"/>
          <w:szCs w:val="22"/>
        </w:rPr>
        <w:t xml:space="preserve"> e</w:t>
      </w:r>
      <w:r w:rsidRPr="00B60D6E">
        <w:rPr>
          <w:rFonts w:ascii="Gill Sans MT" w:hAnsi="Gill Sans MT"/>
          <w:sz w:val="22"/>
          <w:szCs w:val="22"/>
        </w:rPr>
        <w:t xml:space="preserve"> da consolidação respectiva.</w:t>
      </w:r>
    </w:p>
    <w:p w14:paraId="0F603ECC"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fiscal, social e trabalhista</w:t>
      </w:r>
    </w:p>
    <w:p w14:paraId="7A55CC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8.15. Prova de inscrição no Cadastro Nacional de Pessoas Jurídicas ou no Cadastro de Pessoas Físicas, conforme o caso</w:t>
      </w:r>
    </w:p>
    <w:p w14:paraId="489E091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8.17. Prova de regularidade com o Fundo de Garantia do Tempo de Serviço (FGTS);</w:t>
      </w:r>
    </w:p>
    <w:p w14:paraId="4A54288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8.20. Prova de regularidade com a Fazenda Estadual ou Municipal do domicílio ou sede do fornecedor, relativa à atividade em cujo exercício contrata ou concorre.</w:t>
      </w:r>
    </w:p>
    <w:p w14:paraId="3BA64EE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Econômico-financeira</w:t>
      </w:r>
    </w:p>
    <w:p w14:paraId="157E744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 xml:space="preserve">8.23. Certidão negativa de falência expedida pelo distribuidor da sede do fornecedor - </w:t>
      </w:r>
      <w:hyperlink r:id="rId16" w:anchor="art69">
        <w:r w:rsidRPr="00B60D6E">
          <w:rPr>
            <w:rStyle w:val="Hyperlink"/>
            <w:rFonts w:ascii="Gill Sans MT" w:hAnsi="Gill Sans MT"/>
            <w:sz w:val="22"/>
            <w:szCs w:val="22"/>
          </w:rPr>
          <w:t>Lei nº 14.133, de 2021, art. 69, caput, inciso II</w:t>
        </w:r>
      </w:hyperlink>
      <w:r w:rsidRPr="00B60D6E">
        <w:rPr>
          <w:rFonts w:ascii="Gill Sans MT" w:hAnsi="Gill Sans MT"/>
          <w:sz w:val="22"/>
          <w:szCs w:val="22"/>
        </w:rPr>
        <w:t>);</w:t>
      </w:r>
    </w:p>
    <w:p w14:paraId="2F3EE93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 Balanço patrimonial, demonstração de resultado de exercício e demais demonstrações contábeis dos 2 (dois) últimos exercícios sociais, comprovando;</w:t>
      </w:r>
    </w:p>
    <w:p w14:paraId="1B8673C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8.25.1. índices de Liquidez Geral (LG), Liquidez Corrente (LC), e Solvência Geral (SG) superiores a 1 (um);</w:t>
      </w:r>
    </w:p>
    <w:p w14:paraId="10151A2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8.26. As empresas criadas no exercício financeiro da licitação deverão atender a todas as exigências da habilitação e poderão substituir os demonstrativos contábeis pelo balanço de abertura.</w:t>
      </w:r>
    </w:p>
    <w:p w14:paraId="1498F0C2" w14:textId="616D13F1" w:rsidR="00493F49" w:rsidRDefault="00493F49" w:rsidP="00493F49">
      <w:pPr>
        <w:spacing w:before="240" w:after="240"/>
        <w:jc w:val="both"/>
        <w:rPr>
          <w:rFonts w:ascii="Gill Sans MT" w:hAnsi="Gill Sans MT"/>
          <w:sz w:val="22"/>
          <w:szCs w:val="22"/>
        </w:rPr>
      </w:pPr>
      <w:r w:rsidRPr="00B60D6E">
        <w:rPr>
          <w:rFonts w:ascii="Gill Sans MT" w:hAnsi="Gill Sans MT"/>
          <w:sz w:val="22"/>
          <w:szCs w:val="22"/>
        </w:rPr>
        <w:t>8.27. Os documentos referidos acima limitar-se-ão ao último exercício no caso de a pessoa jurídica ter sido constituída há menos de 2 (dois) anos;</w:t>
      </w:r>
    </w:p>
    <w:p w14:paraId="570C34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técnica</w:t>
      </w:r>
    </w:p>
    <w:p w14:paraId="0A5811F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8.31. Declaração de que o licitante tomou conhecimento de todas as informações e das condições locais para o cumprimento das obrigações objeto da licitação;</w:t>
      </w:r>
    </w:p>
    <w:p w14:paraId="0DA1C2CC" w14:textId="77777777" w:rsidR="00493F49" w:rsidRPr="00B60D6E" w:rsidRDefault="00493F49" w:rsidP="00493F49">
      <w:pPr>
        <w:spacing w:before="240" w:after="240"/>
        <w:jc w:val="both"/>
        <w:rPr>
          <w:rFonts w:ascii="Gill Sans MT" w:eastAsia="MS Mincho" w:hAnsi="Gill Sans MT"/>
          <w:b/>
          <w:bCs/>
          <w:sz w:val="22"/>
          <w:szCs w:val="22"/>
        </w:rPr>
      </w:pPr>
      <w:r w:rsidRPr="00B60D6E">
        <w:rPr>
          <w:rFonts w:ascii="Gill Sans MT" w:eastAsia="MS Mincho" w:hAnsi="Gill Sans MT"/>
          <w:b/>
          <w:bCs/>
          <w:sz w:val="22"/>
          <w:szCs w:val="22"/>
        </w:rPr>
        <w:t>9. DA COMPROVAÇÃO DE MICROEMPRESA E EMPRESA DE PEQUENO PORTE</w:t>
      </w:r>
    </w:p>
    <w:p w14:paraId="321E99DE" w14:textId="17CDD0D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9.</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B60D6E" w:rsidRDefault="00493F49" w:rsidP="00493F49">
      <w:pPr>
        <w:spacing w:before="240" w:after="240"/>
        <w:jc w:val="both"/>
        <w:rPr>
          <w:rFonts w:ascii="Gill Sans MT" w:eastAsia="Calibri" w:hAnsi="Gill Sans MT"/>
          <w:sz w:val="22"/>
          <w:szCs w:val="22"/>
        </w:rPr>
      </w:pPr>
      <w:r w:rsidRPr="00B60D6E">
        <w:rPr>
          <w:rFonts w:ascii="Gill Sans MT" w:hAnsi="Gill Sans MT"/>
          <w:sz w:val="22"/>
          <w:szCs w:val="22"/>
          <w:lang w:eastAsia="en-US"/>
        </w:rPr>
        <w:t>9.1</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.2 </w:t>
      </w:r>
      <w:r w:rsidRPr="00B60D6E">
        <w:rPr>
          <w:rFonts w:ascii="Gill Sans MT" w:hAnsi="Gill Sans MT"/>
          <w:b/>
          <w:bCs/>
          <w:sz w:val="22"/>
          <w:szCs w:val="22"/>
          <w:lang w:eastAsia="en-US"/>
        </w:rPr>
        <w:t>A não regularização da documentação no prazo previsto no subitem 9.10.1 implicará decadência do direito à contratação</w:t>
      </w:r>
      <w:r w:rsidRPr="00B60D6E">
        <w:rPr>
          <w:rFonts w:ascii="Gill Sans MT" w:hAnsi="Gill Sans MT"/>
          <w:sz w:val="22"/>
          <w:szCs w:val="22"/>
          <w:lang w:eastAsia="en-US"/>
        </w:rPr>
        <w:t>, sem prejuízo das sanções previstas em lei, sendo facultada à Administração a convocação das licitantes remanescentes, na ordem de classificação, para assinatura do Contrato, ou revogar a licitação.</w:t>
      </w:r>
    </w:p>
    <w:p w14:paraId="70D08EA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10. ESTIMATIVAS DO VALOR DA CONTRATAÇÃO</w:t>
      </w:r>
    </w:p>
    <w:p w14:paraId="0BFDB227" w14:textId="575EC42C"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sz w:val="22"/>
          <w:szCs w:val="22"/>
        </w:rPr>
        <w:t xml:space="preserve">10.1. O custo estimado total da contratação é </w:t>
      </w:r>
      <w:r w:rsidR="00E5461F" w:rsidRPr="00B60D6E">
        <w:rPr>
          <w:rFonts w:ascii="Gill Sans MT" w:hAnsi="Gill Sans MT"/>
          <w:sz w:val="22"/>
          <w:szCs w:val="22"/>
        </w:rPr>
        <w:t>SIGILOSO</w:t>
      </w:r>
      <w:r w:rsidRPr="00B60D6E">
        <w:rPr>
          <w:rFonts w:ascii="Gill Sans MT" w:hAnsi="Gill Sans MT"/>
          <w:sz w:val="22"/>
          <w:szCs w:val="22"/>
        </w:rPr>
        <w:t>, conforme custos unitários apostos na tabela acima. (</w:t>
      </w:r>
      <w:r w:rsidRPr="00B60D6E">
        <w:rPr>
          <w:rFonts w:ascii="Gill Sans MT" w:hAnsi="Gill Sans MT"/>
          <w:b/>
          <w:bCs/>
          <w:sz w:val="22"/>
          <w:szCs w:val="22"/>
        </w:rPr>
        <w:t>item 1.1.).</w:t>
      </w:r>
    </w:p>
    <w:p w14:paraId="6E52F8C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11. ADEQUAÇÃO ORÇAMENTÁRIA</w:t>
      </w:r>
    </w:p>
    <w:p w14:paraId="001F7305" w14:textId="0D7F69CD" w:rsidR="00493F49" w:rsidRDefault="00493F49" w:rsidP="00493F49">
      <w:pPr>
        <w:spacing w:before="240" w:after="240"/>
        <w:jc w:val="both"/>
        <w:rPr>
          <w:rFonts w:ascii="Gill Sans MT" w:hAnsi="Gill Sans MT"/>
          <w:sz w:val="22"/>
          <w:szCs w:val="22"/>
        </w:rPr>
      </w:pPr>
      <w:r w:rsidRPr="00B60D6E">
        <w:rPr>
          <w:rFonts w:ascii="Gill Sans MT" w:hAnsi="Gill Sans MT"/>
          <w:sz w:val="22"/>
          <w:szCs w:val="22"/>
        </w:rPr>
        <w:t>11.1. As despesas decorrentes da presente contratação correrão à conta de recursos específicos consignados no Orçamento Geral do município.</w:t>
      </w:r>
    </w:p>
    <w:p w14:paraId="5F9544ED" w14:textId="77777777" w:rsidR="00D446BC" w:rsidRPr="00EF14C4" w:rsidRDefault="00D446BC" w:rsidP="00D446BC">
      <w:pPr>
        <w:jc w:val="both"/>
        <w:rPr>
          <w:rFonts w:ascii="Gill Sans MT" w:hAnsi="Gill Sans MT"/>
          <w:sz w:val="22"/>
          <w:szCs w:val="22"/>
        </w:rPr>
      </w:pPr>
      <w:r w:rsidRPr="00EF14C4">
        <w:rPr>
          <w:rFonts w:ascii="Gill Sans MT" w:hAnsi="Gill Sans MT"/>
          <w:sz w:val="22"/>
          <w:szCs w:val="22"/>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Default="00493F49" w:rsidP="00493F49">
      <w:pPr>
        <w:pStyle w:val="PargrafodaLista"/>
        <w:ind w:left="993"/>
        <w:jc w:val="both"/>
        <w:rPr>
          <w:rFonts w:ascii="Gill Sans MT" w:hAnsi="Gill Sans MT"/>
          <w:sz w:val="22"/>
          <w:szCs w:val="22"/>
        </w:rPr>
      </w:pPr>
    </w:p>
    <w:p w14:paraId="4520CEE4" w14:textId="77777777" w:rsidR="00D446BC" w:rsidRDefault="00D446BC" w:rsidP="00493F49">
      <w:pPr>
        <w:pStyle w:val="PargrafodaLista"/>
        <w:ind w:left="993"/>
        <w:jc w:val="both"/>
        <w:rPr>
          <w:rFonts w:ascii="Gill Sans MT" w:hAnsi="Gill Sans MT"/>
          <w:sz w:val="22"/>
          <w:szCs w:val="22"/>
        </w:rPr>
      </w:pPr>
    </w:p>
    <w:p w14:paraId="555F94C8" w14:textId="77777777" w:rsidR="0057489D" w:rsidRPr="00EF14C4" w:rsidRDefault="0057489D" w:rsidP="00136068">
      <w:pPr>
        <w:ind w:left="709"/>
        <w:jc w:val="both"/>
        <w:rPr>
          <w:rFonts w:ascii="Gill Sans MT" w:hAnsi="Gill Sans MT"/>
          <w:sz w:val="22"/>
          <w:szCs w:val="22"/>
        </w:rPr>
      </w:pPr>
    </w:p>
    <w:p w14:paraId="1973FCB7" w14:textId="42B0946C" w:rsidR="00850A64" w:rsidRPr="00EF14C4" w:rsidRDefault="00BD0420" w:rsidP="00850A64">
      <w:pPr>
        <w:jc w:val="center"/>
        <w:rPr>
          <w:rFonts w:ascii="Gill Sans MT" w:hAnsi="Gill Sans MT"/>
          <w:sz w:val="22"/>
          <w:szCs w:val="22"/>
        </w:rPr>
      </w:pPr>
      <w:r w:rsidRPr="00EF14C4">
        <w:rPr>
          <w:rFonts w:ascii="Gill Sans MT" w:hAnsi="Gill Sans MT"/>
          <w:sz w:val="22"/>
          <w:szCs w:val="22"/>
        </w:rPr>
        <w:t>Axixá</w:t>
      </w:r>
      <w:r w:rsidR="00850A64" w:rsidRPr="00EF14C4">
        <w:rPr>
          <w:rFonts w:ascii="Gill Sans MT" w:hAnsi="Gill Sans MT"/>
          <w:sz w:val="22"/>
          <w:szCs w:val="22"/>
        </w:rPr>
        <w:t xml:space="preserve">/MA, </w:t>
      </w:r>
      <w:r w:rsidR="001F5B7F" w:rsidRPr="00EF14C4">
        <w:rPr>
          <w:rFonts w:ascii="Gill Sans MT" w:hAnsi="Gill Sans MT"/>
          <w:sz w:val="22"/>
          <w:szCs w:val="22"/>
        </w:rPr>
        <w:t>0</w:t>
      </w:r>
      <w:r w:rsidRPr="00EF14C4">
        <w:rPr>
          <w:rFonts w:ascii="Gill Sans MT" w:hAnsi="Gill Sans MT"/>
          <w:sz w:val="22"/>
          <w:szCs w:val="22"/>
        </w:rPr>
        <w:t>6</w:t>
      </w:r>
      <w:r w:rsidR="00850A64" w:rsidRPr="00EF14C4">
        <w:rPr>
          <w:rFonts w:ascii="Gill Sans MT" w:hAnsi="Gill Sans MT"/>
          <w:sz w:val="22"/>
          <w:szCs w:val="22"/>
        </w:rPr>
        <w:t xml:space="preserve"> de </w:t>
      </w:r>
      <w:proofErr w:type="gramStart"/>
      <w:r w:rsidR="001F5B7F" w:rsidRPr="00EF14C4">
        <w:rPr>
          <w:rFonts w:ascii="Gill Sans MT" w:hAnsi="Gill Sans MT"/>
          <w:sz w:val="22"/>
          <w:szCs w:val="22"/>
        </w:rPr>
        <w:t>Junho</w:t>
      </w:r>
      <w:proofErr w:type="gramEnd"/>
      <w:r w:rsidR="00D446BC" w:rsidRPr="00EF14C4">
        <w:rPr>
          <w:rFonts w:ascii="Gill Sans MT" w:hAnsi="Gill Sans MT"/>
          <w:sz w:val="22"/>
          <w:szCs w:val="22"/>
        </w:rPr>
        <w:t xml:space="preserve"> </w:t>
      </w:r>
      <w:r w:rsidR="00850A64" w:rsidRPr="00EF14C4">
        <w:rPr>
          <w:rFonts w:ascii="Gill Sans MT" w:hAnsi="Gill Sans MT"/>
          <w:sz w:val="22"/>
          <w:szCs w:val="22"/>
        </w:rPr>
        <w:t>de 2025.</w:t>
      </w:r>
    </w:p>
    <w:p w14:paraId="11B2A969" w14:textId="4B845DEB" w:rsidR="00850A64" w:rsidRPr="00EF14C4" w:rsidRDefault="00850A64" w:rsidP="00850A64">
      <w:pPr>
        <w:jc w:val="center"/>
        <w:rPr>
          <w:rFonts w:ascii="Gill Sans MT" w:hAnsi="Gill Sans MT"/>
          <w:sz w:val="22"/>
          <w:szCs w:val="22"/>
        </w:rPr>
      </w:pPr>
    </w:p>
    <w:p w14:paraId="3013EC32" w14:textId="0758FC41" w:rsidR="00850A64" w:rsidRPr="00B60D6E" w:rsidRDefault="00850A64" w:rsidP="00850A64">
      <w:pPr>
        <w:jc w:val="center"/>
        <w:rPr>
          <w:rFonts w:ascii="Gill Sans MT" w:hAnsi="Gill Sans MT" w:cs="Arial"/>
          <w:sz w:val="20"/>
        </w:rPr>
      </w:pPr>
    </w:p>
    <w:p w14:paraId="7BD20507" w14:textId="4317DF52" w:rsidR="00850A64" w:rsidRPr="00B60D6E" w:rsidRDefault="00850A64" w:rsidP="00850A64">
      <w:pPr>
        <w:jc w:val="center"/>
        <w:rPr>
          <w:rFonts w:ascii="Gill Sans MT" w:hAnsi="Gill Sans MT" w:cs="Arial"/>
          <w:sz w:val="20"/>
        </w:rPr>
      </w:pPr>
    </w:p>
    <w:p w14:paraId="05DF1759" w14:textId="77777777" w:rsidR="00850A64" w:rsidRDefault="00850A64" w:rsidP="00850A64">
      <w:pPr>
        <w:jc w:val="center"/>
        <w:rPr>
          <w:rFonts w:ascii="Gill Sans MT" w:hAnsi="Gill Sans MT" w:cs="Arial"/>
          <w:sz w:val="20"/>
        </w:rPr>
      </w:pPr>
    </w:p>
    <w:p w14:paraId="31D35DDC" w14:textId="77777777" w:rsidR="00BD0420" w:rsidRPr="00B60D6E" w:rsidRDefault="00BD0420" w:rsidP="00850A64">
      <w:pPr>
        <w:jc w:val="center"/>
        <w:rPr>
          <w:rFonts w:ascii="Gill Sans MT" w:hAnsi="Gill Sans MT" w:cs="Arial"/>
          <w:sz w:val="20"/>
        </w:rPr>
      </w:pPr>
    </w:p>
    <w:p w14:paraId="7C5F519E" w14:textId="77777777" w:rsidR="00BD0420" w:rsidRPr="00450BC8" w:rsidRDefault="00BD0420" w:rsidP="00BD0420">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6FCB131B"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LUIS CARLOS DE JESUS PROTÁZIO</w:t>
      </w:r>
    </w:p>
    <w:p w14:paraId="5CA8E4A0"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Secretário Municipal de Administração</w:t>
      </w:r>
    </w:p>
    <w:p w14:paraId="5657A4AB" w14:textId="77777777" w:rsidR="00BD0420" w:rsidRDefault="00BD0420" w:rsidP="00BD0420">
      <w:pPr>
        <w:pStyle w:val="SemEspaamento"/>
        <w:jc w:val="center"/>
        <w:rPr>
          <w:rFonts w:ascii="Gill Sans MT" w:hAnsi="Gill Sans MT" w:cstheme="majorHAnsi"/>
          <w:b/>
          <w:bCs/>
        </w:rPr>
      </w:pPr>
      <w:r w:rsidRPr="00450BC8">
        <w:rPr>
          <w:rFonts w:ascii="Gill Sans MT" w:hAnsi="Gill Sans MT" w:cstheme="majorHAnsi"/>
          <w:b/>
          <w:bCs/>
        </w:rPr>
        <w:t>PORTARIA 002/2025</w:t>
      </w:r>
    </w:p>
    <w:p w14:paraId="39953E31" w14:textId="77777777" w:rsidR="00BD0420" w:rsidRDefault="00BD0420" w:rsidP="00BD0420">
      <w:pPr>
        <w:pStyle w:val="SemEspaamento"/>
        <w:jc w:val="center"/>
        <w:rPr>
          <w:rFonts w:ascii="Gill Sans MT" w:eastAsia="MS Mincho" w:hAnsi="Gill Sans MT"/>
        </w:rPr>
      </w:pPr>
    </w:p>
    <w:p w14:paraId="55D697FC" w14:textId="77777777" w:rsidR="00BD0420" w:rsidRDefault="00BD0420" w:rsidP="00BD0420">
      <w:pPr>
        <w:pStyle w:val="SemEspaamento"/>
        <w:jc w:val="center"/>
        <w:rPr>
          <w:rFonts w:ascii="Gill Sans MT" w:eastAsia="MS Mincho" w:hAnsi="Gill Sans MT"/>
        </w:rPr>
      </w:pPr>
    </w:p>
    <w:p w14:paraId="7D149081" w14:textId="77777777" w:rsidR="00BD0420" w:rsidRDefault="00BD0420" w:rsidP="00BD0420">
      <w:pPr>
        <w:pStyle w:val="SemEspaamento"/>
        <w:jc w:val="center"/>
        <w:rPr>
          <w:rFonts w:ascii="Gill Sans MT" w:eastAsia="MS Mincho" w:hAnsi="Gill Sans MT"/>
        </w:rPr>
      </w:pPr>
    </w:p>
    <w:p w14:paraId="128B9569" w14:textId="77777777" w:rsidR="00BD0420" w:rsidRDefault="00BD0420" w:rsidP="00BD0420">
      <w:pPr>
        <w:pStyle w:val="SemEspaamento"/>
        <w:jc w:val="center"/>
        <w:rPr>
          <w:rFonts w:ascii="Gill Sans MT" w:eastAsia="MS Mincho" w:hAnsi="Gill Sans MT"/>
        </w:rPr>
      </w:pPr>
    </w:p>
    <w:p w14:paraId="7604847D" w14:textId="77777777" w:rsidR="00BD0420" w:rsidRDefault="00BD0420" w:rsidP="00BD0420">
      <w:pPr>
        <w:pStyle w:val="SemEspaamento"/>
        <w:jc w:val="center"/>
        <w:rPr>
          <w:rFonts w:ascii="Gill Sans MT" w:eastAsia="MS Mincho" w:hAnsi="Gill Sans MT"/>
        </w:rPr>
      </w:pPr>
    </w:p>
    <w:p w14:paraId="6E92FECA" w14:textId="77777777" w:rsidR="00126A0F" w:rsidRPr="00450BC8" w:rsidRDefault="00126A0F" w:rsidP="001D2ED5">
      <w:pPr>
        <w:pStyle w:val="SemEspaamento"/>
        <w:rPr>
          <w:rFonts w:ascii="Gill Sans MT" w:eastAsia="MS Mincho" w:hAnsi="Gill Sans MT"/>
        </w:rPr>
      </w:pPr>
    </w:p>
    <w:sectPr w:rsidR="00126A0F" w:rsidRPr="00450BC8" w:rsidSect="00F730F9">
      <w:headerReference w:type="default" r:id="rId17"/>
      <w:footerReference w:type="even" r:id="rId18"/>
      <w:footerReference w:type="default" r:id="rId19"/>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346A4" w14:textId="77777777" w:rsidR="00961625" w:rsidRDefault="00961625" w:rsidP="006D51CF">
      <w:r>
        <w:separator/>
      </w:r>
    </w:p>
  </w:endnote>
  <w:endnote w:type="continuationSeparator" w:id="0">
    <w:p w14:paraId="7BB2A08B" w14:textId="77777777" w:rsidR="00961625" w:rsidRDefault="00961625"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Palatino Linotype"/>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75054402"/>
      <w:docPartObj>
        <w:docPartGallery w:val="Page Numbers (Bottom of Page)"/>
        <w:docPartUnique/>
      </w:docPartObj>
    </w:sdtPr>
    <w:sdtContent>
      <w:p w14:paraId="75F60453" w14:textId="77777777" w:rsidR="00932B06" w:rsidRDefault="00932B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932B06" w:rsidRDefault="00932B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2112ABFF" w14:textId="4461B710" w:rsidR="00932B06" w:rsidRDefault="00932B06" w:rsidP="00B60D6E">
        <w:pPr>
          <w:pStyle w:val="Rodap"/>
          <w:jc w:val="right"/>
        </w:pPr>
        <w:r>
          <w:rPr>
            <w:noProof/>
          </w:rPr>
          <mc:AlternateContent>
            <mc:Choice Requires="wps">
              <w:drawing>
                <wp:anchor distT="0" distB="0" distL="114300" distR="114300" simplePos="0" relativeHeight="251679744" behindDoc="1" locked="0" layoutInCell="1" allowOverlap="1" wp14:anchorId="6D258D55" wp14:editId="4430020C">
                  <wp:simplePos x="0" y="0"/>
                  <wp:positionH relativeFrom="margin">
                    <wp:posOffset>-1318260</wp:posOffset>
                  </wp:positionH>
                  <wp:positionV relativeFrom="paragraph">
                    <wp:posOffset>281305</wp:posOffset>
                  </wp:positionV>
                  <wp:extent cx="8777605" cy="104775"/>
                  <wp:effectExtent l="0" t="0" r="23495" b="28575"/>
                  <wp:wrapNone/>
                  <wp:docPr id="1159934321" name="Retângulo 822533429"/>
                  <wp:cNvGraphicFramePr/>
                  <a:graphic xmlns:a="http://schemas.openxmlformats.org/drawingml/2006/main">
                    <a:graphicData uri="http://schemas.microsoft.com/office/word/2010/wordprocessingShape">
                      <wps:wsp>
                        <wps:cNvSpPr/>
                        <wps:spPr>
                          <a:xfrm>
                            <a:off x="0" y="0"/>
                            <a:ext cx="8777605" cy="104775"/>
                          </a:xfrm>
                          <a:prstGeom prst="rect">
                            <a:avLst/>
                          </a:prstGeom>
                          <a:solidFill>
                            <a:srgbClr val="FFFF00"/>
                          </a:solidFill>
                          <a:ln w="9525" cap="flat" cmpd="sng">
                            <a:solidFill>
                              <a:srgbClr val="FF9933"/>
                            </a:solidFill>
                            <a:prstDash val="solid"/>
                            <a:round/>
                            <a:headEnd type="none" w="sm" len="sm"/>
                            <a:tailEnd type="none" w="sm" len="sm"/>
                          </a:ln>
                        </wps:spPr>
                        <wps:txbx>
                          <w:txbxContent>
                            <w:p w14:paraId="3634627E" w14:textId="77777777" w:rsidR="00932B06" w:rsidRDefault="00932B06" w:rsidP="00B60D6E">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D258D55" id="Retângulo 822533429" o:spid="_x0000_s1027" style="position:absolute;left:0;text-align:left;margin-left:-103.8pt;margin-top:22.15pt;width:691.15pt;height:8.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" fillcolor="yellow" strokecolor="#f93">
                  <v:stroke startarrowwidth="narrow" startarrowlength="short" endarrowwidth="narrow" endarrowlength="short" joinstyle="round"/>
                  <v:textbox inset="2.53958mm,2.53958mm,2.53958mm,2.53958mm">
                    <w:txbxContent>
                      <w:p w14:paraId="3634627E" w14:textId="77777777" w:rsidR="00B60D6E" w:rsidRDefault="00B60D6E" w:rsidP="00B60D6E">
                        <w:pPr>
                          <w:jc w:val="center"/>
                          <w:textDirection w:val="btLr"/>
                        </w:pPr>
                      </w:p>
                    </w:txbxContent>
                  </v:textbox>
                  <w10:wrap anchorx="margin"/>
                </v:rect>
              </w:pict>
            </mc:Fallback>
          </mc:AlternateContent>
        </w:r>
        <w:r>
          <w:fldChar w:fldCharType="begin"/>
        </w:r>
        <w:r>
          <w:instrText>PAGE   \* MERGEFORMAT</w:instrText>
        </w:r>
        <w:r>
          <w:fldChar w:fldCharType="separate"/>
        </w:r>
        <w:r>
          <w:t>1</w:t>
        </w:r>
        <w:r>
          <w:fldChar w:fldCharType="end"/>
        </w:r>
      </w:p>
    </w:sdtContent>
  </w:sdt>
  <w:p w14:paraId="645D0ECE" w14:textId="3E00EBC5" w:rsidR="00932B06" w:rsidRDefault="00932B06" w:rsidP="00B60D6E">
    <w:pPr>
      <w:jc w:val="center"/>
      <w:textDirection w:val="btLr"/>
    </w:pPr>
    <w:r>
      <w:rPr>
        <w:noProof/>
      </w:rPr>
      <mc:AlternateContent>
        <mc:Choice Requires="wpg">
          <w:drawing>
            <wp:anchor distT="114300" distB="114300" distL="114300" distR="114300" simplePos="0" relativeHeight="251678720" behindDoc="1" locked="0" layoutInCell="1" hidden="0" allowOverlap="1" wp14:anchorId="60D35A6A" wp14:editId="12D28820">
              <wp:simplePos x="0" y="0"/>
              <wp:positionH relativeFrom="column">
                <wp:posOffset>-1251585</wp:posOffset>
              </wp:positionH>
              <wp:positionV relativeFrom="paragraph">
                <wp:posOffset>200025</wp:posOffset>
              </wp:positionV>
              <wp:extent cx="8710930" cy="840105"/>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710930" cy="840105"/>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12B33C5D" w14:textId="77777777" w:rsidR="00932B06" w:rsidRDefault="00932B06" w:rsidP="00B60D6E">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314948FE" w14:textId="77777777" w:rsidR="00932B06" w:rsidRPr="009E4BAD" w:rsidRDefault="00932B06"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932B06" w:rsidRPr="009E4BAD" w:rsidRDefault="00932B06"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D35A6A" id="Agrupar 3" o:spid="_x0000_s1028" style="position:absolute;left:0;text-align:left;margin-left:-98.55pt;margin-top:15.75pt;width:685.9pt;height:66.15pt;z-index:-251637760;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">
              <v:rect id="Retângulo 4" o:spid="_x0000_s1029"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12B33C5D" w14:textId="77777777" w:rsidR="00B60D6E" w:rsidRDefault="00B60D6E" w:rsidP="00B60D6E">
                      <w:pPr>
                        <w:jc w:val="center"/>
                        <w:textDirection w:val="btLr"/>
                      </w:pPr>
                    </w:p>
                  </w:txbxContent>
                </v:textbox>
              </v:rect>
              <v:shapetype id="_x0000_t202" coordsize="21600,21600" o:spt="202" path="m,l,21600r21600,l21600,xe">
                <v:stroke joinstyle="miter"/>
                <v:path gradientshapeok="t" o:connecttype="rect"/>
              </v:shapetype>
              <v:shape id="_x0000_s1030"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610DE560" w14:textId="25A446EE" w:rsidR="00932B06" w:rsidRDefault="00932B06" w:rsidP="00B60D6E">
    <w:pPr>
      <w:pStyle w:val="Rodap"/>
    </w:pPr>
  </w:p>
  <w:p w14:paraId="48571D77" w14:textId="0C3A5DFD" w:rsidR="00932B06" w:rsidRPr="00B60D6E" w:rsidRDefault="00932B06"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1F6BC" w14:textId="77777777" w:rsidR="00961625" w:rsidRDefault="00961625" w:rsidP="006D51CF">
      <w:r>
        <w:separator/>
      </w:r>
    </w:p>
  </w:footnote>
  <w:footnote w:type="continuationSeparator" w:id="0">
    <w:p w14:paraId="0FCB4FA4" w14:textId="77777777" w:rsidR="00961625" w:rsidRDefault="00961625" w:rsidP="006D5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6631" w14:textId="6ABA6D45" w:rsidR="00932B06" w:rsidRDefault="00932B06" w:rsidP="00B60D6E">
    <w:pPr>
      <w:jc w:val="center"/>
    </w:pPr>
    <w:bookmarkStart w:id="3" w:name="_Hlk62465698"/>
    <w:r w:rsidRPr="00E5683C">
      <w:rPr>
        <w:noProof/>
        <w:sz w:val="40"/>
        <w:szCs w:val="40"/>
      </w:rPr>
      <w:drawing>
        <wp:inline distT="0" distB="0" distL="0" distR="0" wp14:anchorId="0DA79F77" wp14:editId="0CFED4ED">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3"/>
  <w:p w14:paraId="39F53BD2" w14:textId="77777777" w:rsidR="00932B06" w:rsidRDefault="00932B06" w:rsidP="00B60D6E">
    <w:pPr>
      <w:pStyle w:val="Cabealho"/>
      <w:jc w:val="center"/>
      <w:rPr>
        <w:rFonts w:cs="Arial"/>
        <w:b/>
        <w:sz w:val="28"/>
        <w:szCs w:val="28"/>
      </w:rPr>
    </w:pPr>
    <w:r>
      <w:rPr>
        <w:rFonts w:cs="Arial"/>
        <w:b/>
        <w:sz w:val="28"/>
        <w:szCs w:val="28"/>
      </w:rPr>
      <w:t>PREFEITURA MUNICIPAL DE AXIXÁ</w:t>
    </w:r>
  </w:p>
  <w:p w14:paraId="1004AED9" w14:textId="77777777" w:rsidR="00932B06" w:rsidRDefault="00932B06" w:rsidP="00B60D6E">
    <w:pPr>
      <w:pStyle w:val="Cabealho"/>
      <w:tabs>
        <w:tab w:val="center" w:pos="4606"/>
        <w:tab w:val="left" w:pos="7860"/>
      </w:tabs>
      <w:jc w:val="center"/>
      <w:rPr>
        <w:rFonts w:cs="Arial"/>
        <w:b/>
        <w:sz w:val="20"/>
        <w:szCs w:val="20"/>
      </w:rPr>
    </w:pPr>
    <w:r>
      <w:rPr>
        <w:rFonts w:cs="Arial"/>
        <w:b/>
        <w:sz w:val="20"/>
        <w:szCs w:val="20"/>
      </w:rPr>
      <w:t>RUA ADELINO FONTOURA, N° 64 - CENTRO, AXIXÁ/MA</w:t>
    </w:r>
  </w:p>
  <w:p w14:paraId="1EB48038" w14:textId="77777777" w:rsidR="00932B06" w:rsidRDefault="00932B06" w:rsidP="00B60D6E">
    <w:pPr>
      <w:pStyle w:val="Cabealho"/>
      <w:jc w:val="center"/>
      <w:rPr>
        <w:rFonts w:cs="Arial"/>
        <w:b/>
        <w:sz w:val="20"/>
        <w:szCs w:val="20"/>
      </w:rPr>
    </w:pPr>
    <w:r>
      <w:rPr>
        <w:rFonts w:cs="Arial"/>
        <w:b/>
        <w:sz w:val="20"/>
        <w:szCs w:val="20"/>
      </w:rPr>
      <w:t>CNPJ: 06.008.569/0001-80</w:t>
    </w:r>
  </w:p>
  <w:p w14:paraId="4D709223" w14:textId="77777777" w:rsidR="00932B06" w:rsidRDefault="00932B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932B06" w:rsidRDefault="00932B06" w:rsidP="00D42D24">
                          <w:pPr>
                            <w:jc w:val="center"/>
                          </w:pPr>
                        </w:p>
                        <w:p w14:paraId="26A1F634" w14:textId="77777777" w:rsidR="00932B06" w:rsidRDefault="00932B06" w:rsidP="00D42D24">
                          <w:pPr>
                            <w:jc w:val="center"/>
                          </w:pPr>
                        </w:p>
                        <w:p w14:paraId="2E6EFC70" w14:textId="77777777" w:rsidR="00932B06" w:rsidRDefault="00932B06" w:rsidP="00D42D24">
                          <w:pPr>
                            <w:jc w:val="center"/>
                          </w:pPr>
                        </w:p>
                        <w:p w14:paraId="72D71C77" w14:textId="77777777" w:rsidR="00932B06" w:rsidRDefault="00932B06" w:rsidP="00D42D24">
                          <w:pPr>
                            <w:jc w:val="center"/>
                          </w:pPr>
                        </w:p>
                        <w:p w14:paraId="416C01E2" w14:textId="77777777" w:rsidR="00932B06" w:rsidRDefault="00932B06" w:rsidP="00D42D24">
                          <w:pPr>
                            <w:jc w:val="center"/>
                          </w:pPr>
                        </w:p>
                        <w:p w14:paraId="6791104B" w14:textId="77777777" w:rsidR="00932B06" w:rsidRDefault="00932B06" w:rsidP="00D42D24">
                          <w:pPr>
                            <w:jc w:val="center"/>
                          </w:pPr>
                        </w:p>
                        <w:p w14:paraId="432AFB3E" w14:textId="77777777" w:rsidR="00932B06" w:rsidRDefault="00932B06" w:rsidP="00D42D24"/>
                        <w:p w14:paraId="62F545E0" w14:textId="77777777" w:rsidR="00932B06" w:rsidRDefault="00932B06" w:rsidP="00D42D24">
                          <w:pPr>
                            <w:jc w:val="center"/>
                          </w:pPr>
                        </w:p>
                        <w:p w14:paraId="76867FBC" w14:textId="77777777" w:rsidR="00932B06" w:rsidRDefault="00932B06" w:rsidP="00D42D24">
                          <w:pPr>
                            <w:jc w:val="center"/>
                          </w:pPr>
                        </w:p>
                        <w:p w14:paraId="20DF3594" w14:textId="77777777" w:rsidR="00932B06" w:rsidRDefault="00932B06" w:rsidP="00D42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20736" id="_x0000_t202" coordsize="21600,21600" o:spt="202" path="m,l,21600r21600,l21600,xe">
              <v:stroke joinstyle="miter"/>
              <v:path gradientshapeok="t" o:connecttype="rect"/>
            </v:shapetype>
            <v:shape id="Caixa de Texto 5" o:spid="_x0000_s1026"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s8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16cid:durableId="516581075">
    <w:abstractNumId w:val="5"/>
  </w:num>
  <w:num w:numId="2" w16cid:durableId="2086026829">
    <w:abstractNumId w:val="0"/>
  </w:num>
  <w:num w:numId="3" w16cid:durableId="2110081657">
    <w:abstractNumId w:val="32"/>
  </w:num>
  <w:num w:numId="4" w16cid:durableId="1426808364">
    <w:abstractNumId w:val="33"/>
  </w:num>
  <w:num w:numId="5" w16cid:durableId="452407891">
    <w:abstractNumId w:val="13"/>
  </w:num>
  <w:num w:numId="6" w16cid:durableId="209002183">
    <w:abstractNumId w:val="8"/>
  </w:num>
  <w:num w:numId="7" w16cid:durableId="2035232462">
    <w:abstractNumId w:val="22"/>
  </w:num>
  <w:num w:numId="8" w16cid:durableId="2140684902">
    <w:abstractNumId w:val="29"/>
  </w:num>
  <w:num w:numId="9" w16cid:durableId="1419985167">
    <w:abstractNumId w:val="28"/>
  </w:num>
  <w:num w:numId="10" w16cid:durableId="767651560">
    <w:abstractNumId w:val="9"/>
  </w:num>
  <w:num w:numId="11" w16cid:durableId="932205646">
    <w:abstractNumId w:val="23"/>
  </w:num>
  <w:num w:numId="12" w16cid:durableId="450243352">
    <w:abstractNumId w:val="11"/>
  </w:num>
  <w:num w:numId="13" w16cid:durableId="658074487">
    <w:abstractNumId w:val="25"/>
  </w:num>
  <w:num w:numId="14" w16cid:durableId="1790277795">
    <w:abstractNumId w:val="6"/>
  </w:num>
  <w:num w:numId="15" w16cid:durableId="16722966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1570745">
    <w:abstractNumId w:val="7"/>
  </w:num>
  <w:num w:numId="17" w16cid:durableId="258762440">
    <w:abstractNumId w:val="18"/>
  </w:num>
  <w:num w:numId="18" w16cid:durableId="1842425325">
    <w:abstractNumId w:val="31"/>
  </w:num>
  <w:num w:numId="19" w16cid:durableId="413086016">
    <w:abstractNumId w:val="1"/>
  </w:num>
  <w:num w:numId="20" w16cid:durableId="1208756808">
    <w:abstractNumId w:val="34"/>
  </w:num>
  <w:num w:numId="21" w16cid:durableId="1203595">
    <w:abstractNumId w:val="3"/>
  </w:num>
  <w:num w:numId="22" w16cid:durableId="861623538">
    <w:abstractNumId w:val="30"/>
  </w:num>
  <w:num w:numId="23" w16cid:durableId="1448813550">
    <w:abstractNumId w:val="14"/>
  </w:num>
  <w:num w:numId="24" w16cid:durableId="733550834">
    <w:abstractNumId w:val="19"/>
  </w:num>
  <w:num w:numId="25" w16cid:durableId="2036155766">
    <w:abstractNumId w:val="27"/>
  </w:num>
  <w:num w:numId="26" w16cid:durableId="1579633960">
    <w:abstractNumId w:val="24"/>
  </w:num>
  <w:num w:numId="27" w16cid:durableId="1831364648">
    <w:abstractNumId w:val="15"/>
  </w:num>
  <w:num w:numId="28" w16cid:durableId="145633285">
    <w:abstractNumId w:val="4"/>
  </w:num>
  <w:num w:numId="29" w16cid:durableId="703291099">
    <w:abstractNumId w:val="16"/>
  </w:num>
  <w:num w:numId="30" w16cid:durableId="123625375">
    <w:abstractNumId w:val="10"/>
  </w:num>
  <w:num w:numId="31" w16cid:durableId="43798353">
    <w:abstractNumId w:val="12"/>
  </w:num>
  <w:num w:numId="32" w16cid:durableId="1360887094">
    <w:abstractNumId w:val="20"/>
  </w:num>
  <w:num w:numId="33" w16cid:durableId="639381084">
    <w:abstractNumId w:val="2"/>
  </w:num>
  <w:num w:numId="34" w16cid:durableId="404303975">
    <w:abstractNumId w:val="21"/>
  </w:num>
  <w:num w:numId="35" w16cid:durableId="1439368918">
    <w:abstractNumId w:val="35"/>
  </w:num>
  <w:num w:numId="36" w16cid:durableId="2056732466">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1A40"/>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D5"/>
    <w:rsid w:val="000C4CE3"/>
    <w:rsid w:val="000C50B9"/>
    <w:rsid w:val="000C563E"/>
    <w:rsid w:val="000C608E"/>
    <w:rsid w:val="000C6DA6"/>
    <w:rsid w:val="000D3090"/>
    <w:rsid w:val="000D5C65"/>
    <w:rsid w:val="000D630D"/>
    <w:rsid w:val="000E0430"/>
    <w:rsid w:val="000E2362"/>
    <w:rsid w:val="000E3CFD"/>
    <w:rsid w:val="000E4D70"/>
    <w:rsid w:val="000E5926"/>
    <w:rsid w:val="000E5988"/>
    <w:rsid w:val="000F4174"/>
    <w:rsid w:val="000F4B5C"/>
    <w:rsid w:val="000F51C1"/>
    <w:rsid w:val="000F5905"/>
    <w:rsid w:val="000F6BE5"/>
    <w:rsid w:val="00100EE1"/>
    <w:rsid w:val="001030C4"/>
    <w:rsid w:val="00103410"/>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6068"/>
    <w:rsid w:val="00144A68"/>
    <w:rsid w:val="00153E27"/>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2ED5"/>
    <w:rsid w:val="001D6A93"/>
    <w:rsid w:val="001E1BC1"/>
    <w:rsid w:val="001E1C5B"/>
    <w:rsid w:val="001E3130"/>
    <w:rsid w:val="001E46D0"/>
    <w:rsid w:val="001E590C"/>
    <w:rsid w:val="001E7B37"/>
    <w:rsid w:val="001F0C22"/>
    <w:rsid w:val="001F3660"/>
    <w:rsid w:val="001F3BE8"/>
    <w:rsid w:val="001F5B7F"/>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4B65"/>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23D"/>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0547"/>
    <w:rsid w:val="003B2619"/>
    <w:rsid w:val="003B4B18"/>
    <w:rsid w:val="003B5713"/>
    <w:rsid w:val="003B7B6D"/>
    <w:rsid w:val="003B7BD0"/>
    <w:rsid w:val="003C1B68"/>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686"/>
    <w:rsid w:val="00496965"/>
    <w:rsid w:val="004A6F4D"/>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193"/>
    <w:rsid w:val="006B530B"/>
    <w:rsid w:val="006C0208"/>
    <w:rsid w:val="006C03D5"/>
    <w:rsid w:val="006C2183"/>
    <w:rsid w:val="006D51CF"/>
    <w:rsid w:val="006E045B"/>
    <w:rsid w:val="006E0708"/>
    <w:rsid w:val="006E28D5"/>
    <w:rsid w:val="006E42A0"/>
    <w:rsid w:val="006E65A2"/>
    <w:rsid w:val="006F7864"/>
    <w:rsid w:val="006F790E"/>
    <w:rsid w:val="006F7F9D"/>
    <w:rsid w:val="0070058E"/>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86BEA"/>
    <w:rsid w:val="007903F0"/>
    <w:rsid w:val="00790CEC"/>
    <w:rsid w:val="007940B9"/>
    <w:rsid w:val="0079475E"/>
    <w:rsid w:val="00795212"/>
    <w:rsid w:val="007A1E5B"/>
    <w:rsid w:val="007A4DF8"/>
    <w:rsid w:val="007A51A7"/>
    <w:rsid w:val="007A551D"/>
    <w:rsid w:val="007A5999"/>
    <w:rsid w:val="007A7621"/>
    <w:rsid w:val="007B6299"/>
    <w:rsid w:val="007C096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A7F1D"/>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2B06"/>
    <w:rsid w:val="009378F0"/>
    <w:rsid w:val="009431D8"/>
    <w:rsid w:val="009434A9"/>
    <w:rsid w:val="00943DC9"/>
    <w:rsid w:val="00945769"/>
    <w:rsid w:val="009500CE"/>
    <w:rsid w:val="009501B9"/>
    <w:rsid w:val="00952B8E"/>
    <w:rsid w:val="00954CC3"/>
    <w:rsid w:val="00954CD0"/>
    <w:rsid w:val="00955B9D"/>
    <w:rsid w:val="00957681"/>
    <w:rsid w:val="00961625"/>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170"/>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404C"/>
    <w:rsid w:val="00A22489"/>
    <w:rsid w:val="00A27A1F"/>
    <w:rsid w:val="00A31F31"/>
    <w:rsid w:val="00A3351E"/>
    <w:rsid w:val="00A33683"/>
    <w:rsid w:val="00A36222"/>
    <w:rsid w:val="00A3656E"/>
    <w:rsid w:val="00A400BF"/>
    <w:rsid w:val="00A41CEC"/>
    <w:rsid w:val="00A44AB1"/>
    <w:rsid w:val="00A4570A"/>
    <w:rsid w:val="00A461E8"/>
    <w:rsid w:val="00A50F81"/>
    <w:rsid w:val="00A52CD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6702"/>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081C"/>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44F2"/>
    <w:rsid w:val="00D221FE"/>
    <w:rsid w:val="00D22428"/>
    <w:rsid w:val="00D26C0D"/>
    <w:rsid w:val="00D30694"/>
    <w:rsid w:val="00D34487"/>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34F75"/>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28DA"/>
    <w:rsid w:val="00EE2EEA"/>
    <w:rsid w:val="00EE4EED"/>
    <w:rsid w:val="00EE6415"/>
    <w:rsid w:val="00EE64F3"/>
    <w:rsid w:val="00EF0427"/>
    <w:rsid w:val="00EF0D56"/>
    <w:rsid w:val="00EF0FD1"/>
    <w:rsid w:val="00EF14C4"/>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20256907">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662537485">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26894086">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73750573">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s://www.planalto.gov.br/ccivil_03/leis/lcp/lcp12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8DE6-F1B2-4284-A9A9-966F8E1AB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5660</Words>
  <Characters>30569</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Karol Lima</cp:lastModifiedBy>
  <cp:revision>2</cp:revision>
  <cp:lastPrinted>2025-03-12T14:17:00Z</cp:lastPrinted>
  <dcterms:created xsi:type="dcterms:W3CDTF">2025-07-01T17:31:00Z</dcterms:created>
  <dcterms:modified xsi:type="dcterms:W3CDTF">2025-07-01T17:31:00Z</dcterms:modified>
</cp:coreProperties>
</file>