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771B" w:rsidRDefault="00AC771B">
      <w:pPr>
        <w:tabs>
          <w:tab w:val="left" w:pos="8647"/>
          <w:tab w:val="left" w:pos="9355"/>
          <w:tab w:val="left" w:pos="10632"/>
        </w:tabs>
        <w:spacing w:line="240" w:lineRule="auto"/>
        <w:ind w:right="-5"/>
        <w:rPr>
          <w:rFonts w:ascii="Times New Roman" w:eastAsia="Times New Roman" w:hAnsi="Times New Roman" w:cs="Times New Roman"/>
          <w:b/>
          <w:bCs/>
          <w:sz w:val="24"/>
          <w:szCs w:val="24"/>
          <w:vertAlign w:val="superscript"/>
        </w:rPr>
      </w:pPr>
    </w:p>
    <w:p w:rsidR="00AC771B" w:rsidRDefault="00290C6D">
      <w:pPr>
        <w:spacing w:after="120" w:line="240" w:lineRule="auto"/>
        <w:ind w:right="-5"/>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TERMO DE REFERÊNCIA</w:t>
      </w:r>
    </w:p>
    <w:p w:rsidR="00AC771B" w:rsidRDefault="00AC771B">
      <w:pPr>
        <w:spacing w:after="240" w:line="240" w:lineRule="auto"/>
        <w:rPr>
          <w:rFonts w:ascii="Times New Roman" w:eastAsia="Times New Roman" w:hAnsi="Times New Roman" w:cs="Times New Roman"/>
          <w:sz w:val="24"/>
          <w:szCs w:val="24"/>
        </w:rPr>
      </w:pPr>
    </w:p>
    <w:p w:rsidR="00AC771B" w:rsidRDefault="00290C6D">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Informações Básicas</w:t>
      </w:r>
    </w:p>
    <w:p w:rsidR="00AC771B" w:rsidRDefault="00290C6D">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Órgão:</w:t>
      </w:r>
      <w:r>
        <w:rPr>
          <w:rFonts w:ascii="Times New Roman" w:eastAsia="Times New Roman" w:hAnsi="Times New Roman" w:cs="Times New Roman"/>
          <w:sz w:val="24"/>
          <w:szCs w:val="24"/>
        </w:rPr>
        <w:t xml:space="preserve"> Município de Cândido Mendes - MA.</w:t>
      </w:r>
    </w:p>
    <w:p w:rsidR="00AC771B" w:rsidRDefault="00290C6D">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Requisitante (s):</w:t>
      </w:r>
      <w:r>
        <w:rPr>
          <w:rFonts w:ascii="Times New Roman" w:eastAsia="Times New Roman" w:hAnsi="Times New Roman" w:cs="Times New Roman"/>
          <w:sz w:val="24"/>
          <w:szCs w:val="24"/>
        </w:rPr>
        <w:t xml:space="preserve"> Secretaria Municipal de Administração, Indústria e Comércio.</w:t>
      </w:r>
    </w:p>
    <w:p w:rsidR="00AC771B" w:rsidRDefault="00290C6D">
      <w:pPr>
        <w:spacing w:before="36" w:line="240" w:lineRule="auto"/>
        <w:jc w:val="both"/>
        <w:rPr>
          <w:rFonts w:ascii="Times New Roman" w:eastAsia="Times New Roman" w:hAnsi="Times New Roman" w:cs="Times New Roman"/>
          <w:sz w:val="24"/>
          <w:szCs w:val="24"/>
        </w:rPr>
      </w:pPr>
      <w:r w:rsidRPr="00B53E39">
        <w:rPr>
          <w:rFonts w:ascii="Times New Roman" w:eastAsia="Times New Roman" w:hAnsi="Times New Roman" w:cs="Times New Roman"/>
          <w:b/>
          <w:bCs/>
          <w:sz w:val="24"/>
          <w:szCs w:val="24"/>
        </w:rPr>
        <w:t>Número do processo: </w:t>
      </w:r>
      <w:r w:rsidRPr="00B53E39">
        <w:rPr>
          <w:rFonts w:ascii="Times New Roman" w:eastAsia="Times New Roman" w:hAnsi="Times New Roman" w:cs="Times New Roman"/>
          <w:sz w:val="24"/>
          <w:szCs w:val="24"/>
        </w:rPr>
        <w:t xml:space="preserve"> /2025</w:t>
      </w:r>
    </w:p>
    <w:p w:rsidR="00AC771B" w:rsidRDefault="00290C6D">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Data:</w:t>
      </w:r>
      <w:r>
        <w:rPr>
          <w:rFonts w:ascii="Times New Roman" w:eastAsia="Times New Roman" w:hAnsi="Times New Roman" w:cs="Times New Roman"/>
          <w:sz w:val="24"/>
          <w:szCs w:val="24"/>
        </w:rPr>
        <w:t xml:space="preserve"> 17 de novembro de 2025.</w:t>
      </w:r>
    </w:p>
    <w:p w:rsidR="00AC771B" w:rsidRDefault="00290C6D">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Procedimento:</w:t>
      </w:r>
      <w:r>
        <w:rPr>
          <w:rFonts w:ascii="Times New Roman" w:eastAsia="Times New Roman" w:hAnsi="Times New Roman" w:cs="Times New Roman"/>
          <w:sz w:val="24"/>
          <w:szCs w:val="24"/>
        </w:rPr>
        <w:t xml:space="preserve"> Registro de preços para contratação de pessoa jurídica especializada na prestação de serviço de locação de horas de máquinas pesadas.</w:t>
      </w:r>
    </w:p>
    <w:p w:rsidR="00AC771B" w:rsidRDefault="00290C6D">
      <w:pPr>
        <w:spacing w:before="36" w:line="240" w:lineRule="auto"/>
        <w:jc w:val="both"/>
        <w:rPr>
          <w:rFonts w:ascii="Times New Roman" w:eastAsia="Times New Roman" w:hAnsi="Times New Roman" w:cs="Times New Roman"/>
          <w:sz w:val="24"/>
          <w:szCs w:val="24"/>
        </w:rPr>
      </w:pPr>
      <w:bookmarkStart w:id="0" w:name="_heading=h.i87g3bnu676f" w:colFirst="0" w:colLast="0"/>
      <w:bookmarkEnd w:id="0"/>
      <w:r>
        <w:rPr>
          <w:rFonts w:ascii="Times New Roman" w:eastAsia="Times New Roman" w:hAnsi="Times New Roman" w:cs="Times New Roman"/>
          <w:b/>
          <w:bCs/>
          <w:sz w:val="24"/>
          <w:szCs w:val="24"/>
        </w:rPr>
        <w:t>Estimativa de valores:</w:t>
      </w:r>
      <w:r>
        <w:rPr>
          <w:rFonts w:ascii="Times New Roman" w:eastAsia="Times New Roman" w:hAnsi="Times New Roman" w:cs="Times New Roman"/>
          <w:sz w:val="24"/>
          <w:szCs w:val="24"/>
        </w:rPr>
        <w:t xml:space="preserve"> R$ 4.850.018,16 (quatro milhões, oitocentos e cinquenta mil, dezoito reais e dezesseis centavos)</w:t>
      </w:r>
    </w:p>
    <w:p w:rsidR="00AC771B" w:rsidRDefault="00290C6D">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AC771B" w:rsidRDefault="00AC771B">
      <w:pPr>
        <w:spacing w:after="240" w:line="240" w:lineRule="auto"/>
        <w:jc w:val="both"/>
        <w:rPr>
          <w:rFonts w:ascii="Times New Roman" w:eastAsia="Times New Roman" w:hAnsi="Times New Roman" w:cs="Times New Roman"/>
          <w:sz w:val="24"/>
          <w:szCs w:val="24"/>
        </w:rPr>
      </w:pPr>
    </w:p>
    <w:p w:rsidR="00AC771B" w:rsidRDefault="00AC771B">
      <w:pPr>
        <w:spacing w:after="240" w:line="240" w:lineRule="auto"/>
        <w:jc w:val="both"/>
        <w:rPr>
          <w:rFonts w:ascii="Times New Roman" w:eastAsia="Times New Roman" w:hAnsi="Times New Roman" w:cs="Times New Roman"/>
          <w:sz w:val="24"/>
          <w:szCs w:val="24"/>
        </w:rPr>
      </w:pPr>
    </w:p>
    <w:p w:rsidR="00AC771B" w:rsidRDefault="00AC771B">
      <w:pPr>
        <w:spacing w:after="240" w:line="240" w:lineRule="auto"/>
        <w:jc w:val="both"/>
        <w:rPr>
          <w:rFonts w:ascii="Times New Roman" w:eastAsia="Times New Roman" w:hAnsi="Times New Roman" w:cs="Times New Roman"/>
          <w:sz w:val="24"/>
          <w:szCs w:val="24"/>
        </w:rPr>
      </w:pPr>
    </w:p>
    <w:p w:rsidR="00AC771B" w:rsidRDefault="00AC771B">
      <w:pPr>
        <w:spacing w:after="240" w:line="240" w:lineRule="auto"/>
        <w:jc w:val="both"/>
        <w:rPr>
          <w:rFonts w:ascii="Times New Roman" w:eastAsia="Times New Roman" w:hAnsi="Times New Roman" w:cs="Times New Roman"/>
          <w:sz w:val="24"/>
          <w:szCs w:val="24"/>
        </w:rPr>
      </w:pPr>
    </w:p>
    <w:p w:rsidR="00AC771B" w:rsidRDefault="00AC771B">
      <w:pPr>
        <w:spacing w:after="240" w:line="240" w:lineRule="auto"/>
        <w:jc w:val="both"/>
        <w:rPr>
          <w:rFonts w:ascii="Times New Roman" w:eastAsia="Times New Roman" w:hAnsi="Times New Roman" w:cs="Times New Roman"/>
          <w:sz w:val="24"/>
          <w:szCs w:val="24"/>
        </w:rPr>
      </w:pPr>
    </w:p>
    <w:p w:rsidR="00AC771B" w:rsidRDefault="00AC771B">
      <w:pPr>
        <w:spacing w:after="240" w:line="240" w:lineRule="auto"/>
        <w:jc w:val="both"/>
        <w:rPr>
          <w:rFonts w:ascii="Times New Roman" w:eastAsia="Times New Roman" w:hAnsi="Times New Roman" w:cs="Times New Roman"/>
          <w:sz w:val="24"/>
          <w:szCs w:val="24"/>
        </w:rPr>
      </w:pPr>
    </w:p>
    <w:p w:rsidR="00AC771B" w:rsidRDefault="00AC771B">
      <w:pPr>
        <w:spacing w:after="240" w:line="240" w:lineRule="auto"/>
        <w:jc w:val="both"/>
        <w:rPr>
          <w:rFonts w:ascii="Times New Roman" w:eastAsia="Times New Roman" w:hAnsi="Times New Roman" w:cs="Times New Roman"/>
          <w:sz w:val="24"/>
          <w:szCs w:val="24"/>
        </w:rPr>
      </w:pPr>
    </w:p>
    <w:p w:rsidR="00AC771B" w:rsidRDefault="00AC771B">
      <w:pPr>
        <w:spacing w:after="240" w:line="240" w:lineRule="auto"/>
        <w:jc w:val="both"/>
        <w:rPr>
          <w:rFonts w:ascii="Times New Roman" w:eastAsia="Times New Roman" w:hAnsi="Times New Roman" w:cs="Times New Roman"/>
          <w:sz w:val="24"/>
          <w:szCs w:val="24"/>
        </w:rPr>
      </w:pPr>
    </w:p>
    <w:p w:rsidR="00AC771B" w:rsidRDefault="00AC771B">
      <w:pPr>
        <w:spacing w:after="240" w:line="240" w:lineRule="auto"/>
        <w:jc w:val="both"/>
        <w:rPr>
          <w:rFonts w:ascii="Times New Roman" w:eastAsia="Times New Roman" w:hAnsi="Times New Roman" w:cs="Times New Roman"/>
          <w:sz w:val="24"/>
          <w:szCs w:val="24"/>
        </w:rPr>
      </w:pPr>
    </w:p>
    <w:p w:rsidR="00AC771B" w:rsidRDefault="00AC771B">
      <w:pPr>
        <w:spacing w:after="240" w:line="240" w:lineRule="auto"/>
        <w:jc w:val="both"/>
        <w:rPr>
          <w:rFonts w:ascii="Times New Roman" w:eastAsia="Times New Roman" w:hAnsi="Times New Roman" w:cs="Times New Roman"/>
          <w:sz w:val="24"/>
          <w:szCs w:val="24"/>
        </w:rPr>
      </w:pPr>
    </w:p>
    <w:p w:rsidR="00AC771B" w:rsidRDefault="00AC771B">
      <w:pPr>
        <w:spacing w:after="240" w:line="240" w:lineRule="auto"/>
        <w:jc w:val="both"/>
        <w:rPr>
          <w:rFonts w:ascii="Times New Roman" w:eastAsia="Times New Roman" w:hAnsi="Times New Roman" w:cs="Times New Roman"/>
          <w:sz w:val="24"/>
          <w:szCs w:val="24"/>
        </w:rPr>
      </w:pPr>
    </w:p>
    <w:p w:rsidR="004814F4" w:rsidRDefault="004814F4">
      <w:pPr>
        <w:spacing w:after="240" w:line="240" w:lineRule="auto"/>
        <w:jc w:val="both"/>
        <w:rPr>
          <w:rFonts w:ascii="Times New Roman" w:eastAsia="Times New Roman" w:hAnsi="Times New Roman" w:cs="Times New Roman"/>
          <w:sz w:val="24"/>
          <w:szCs w:val="24"/>
        </w:rPr>
      </w:pPr>
    </w:p>
    <w:p w:rsidR="004814F4" w:rsidRDefault="004814F4">
      <w:pPr>
        <w:spacing w:after="240" w:line="240" w:lineRule="auto"/>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 OBJETO</w:t>
      </w:r>
    </w:p>
    <w:p w:rsidR="00AC771B" w:rsidRDefault="00AC771B">
      <w:pPr>
        <w:spacing w:line="240" w:lineRule="auto"/>
        <w:ind w:right="-5"/>
        <w:jc w:val="both"/>
        <w:rPr>
          <w:rFonts w:ascii="Times New Roman" w:eastAsia="Times New Roman" w:hAnsi="Times New Roman" w:cs="Times New Roman"/>
          <w:sz w:val="24"/>
          <w:szCs w:val="24"/>
        </w:rPr>
      </w:pPr>
    </w:p>
    <w:p w:rsidR="00AC771B" w:rsidRDefault="00290C6D">
      <w:pPr>
        <w:spacing w:line="240" w:lineRule="auto"/>
        <w:jc w:val="both"/>
        <w:rPr>
          <w:rFonts w:ascii="Times New Roman" w:eastAsia="Times New Roman" w:hAnsi="Times New Roman" w:cs="Times New Roman"/>
          <w:b/>
          <w:bCs/>
          <w:sz w:val="24"/>
          <w:szCs w:val="24"/>
        </w:rPr>
      </w:pPr>
      <w:bookmarkStart w:id="1" w:name="_heading=h.fyj508jcb6jh" w:colFirst="0" w:colLast="0"/>
      <w:bookmarkEnd w:id="1"/>
      <w:r>
        <w:rPr>
          <w:rFonts w:ascii="Times New Roman" w:eastAsia="Times New Roman" w:hAnsi="Times New Roman" w:cs="Times New Roman"/>
          <w:sz w:val="24"/>
          <w:szCs w:val="24"/>
        </w:rPr>
        <w:t>1.1. Registro de Preços para futura e eventual contratação de pessoa jurídica especializada na prestação de serviços de locação de máquinas pesadas, por hora efetivamente trabalhada, com disponibilização de operador/condutor devidamente habilitado e qualificado, sem fornecimento de combustível pela contratada, destinados à execução de serviços de manutenção e recuperação de estradas vicinais, conservação e reabilitação de vias urbanas não pavimentadas, terraplanagem, drenagem superficial, limpeza e desobstrução de áreas públicas, bem como apoio a intervenções emergenciais, visando atender às demandas operacionais do Município de Cândido Mendes – MA.</w:t>
      </w:r>
    </w:p>
    <w:p w:rsidR="00AC771B" w:rsidRDefault="00AC771B">
      <w:pPr>
        <w:spacing w:line="240" w:lineRule="auto"/>
        <w:jc w:val="both"/>
        <w:rPr>
          <w:rFonts w:ascii="Times New Roman" w:eastAsia="Times New Roman" w:hAnsi="Times New Roman" w:cs="Times New Roman"/>
          <w:b/>
          <w:bCs/>
          <w:sz w:val="24"/>
          <w:szCs w:val="24"/>
        </w:rPr>
      </w:pPr>
    </w:p>
    <w:p w:rsidR="00AC771B" w:rsidRDefault="00290C6D">
      <w:pPr>
        <w:spacing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 JUSTIFICATIVA</w:t>
      </w:r>
    </w:p>
    <w:p w:rsidR="00AC771B" w:rsidRDefault="00290C6D">
      <w:pPr>
        <w:widowControl w:val="0"/>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presente demanda decorre da necessidade concreta e devidamente identificada pelas Secretarias Municipais de Infraestrutura e Obras do Município de Cândido Mendes – MA, diante do aumento significativo das demandas operacionais relacionadas à manutenção de estradas vicinais, recuperação de vias urbanas não pavimentadas, execução de serviços de terraplanagem, drenagem superficial e apoio a intervenções emergenciais decorrentes do período chuvoso.</w:t>
      </w:r>
    </w:p>
    <w:p w:rsidR="00AC771B" w:rsidRDefault="00290C6D">
      <w:pPr>
        <w:widowControl w:val="0"/>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Atualmente, o Município:</w:t>
      </w:r>
    </w:p>
    <w:p w:rsidR="00AC771B" w:rsidRDefault="00290C6D">
      <w:pPr>
        <w:widowControl w:val="0"/>
        <w:numPr>
          <w:ilvl w:val="0"/>
          <w:numId w:val="1"/>
        </w:numPr>
        <w:spacing w:before="240"/>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Não dispõe de frota própria suficiente para atender à totalidade das demandas operacionais;</w:t>
      </w:r>
    </w:p>
    <w:p w:rsidR="00AC771B" w:rsidRDefault="00290C6D">
      <w:pPr>
        <w:widowControl w:val="0"/>
        <w:numPr>
          <w:ilvl w:val="0"/>
          <w:numId w:val="1"/>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Possui equipamentos com elevado desgaste mecânico e manutenção frequente;</w:t>
      </w:r>
    </w:p>
    <w:p w:rsidR="00AC771B" w:rsidRDefault="00290C6D">
      <w:pPr>
        <w:widowControl w:val="0"/>
        <w:numPr>
          <w:ilvl w:val="0"/>
          <w:numId w:val="1"/>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Enfrenta aumento sazonal da necessidade de serviços, especialmente em períodos de chuvas intensas;</w:t>
      </w:r>
    </w:p>
    <w:p w:rsidR="00AC771B" w:rsidRDefault="00290C6D">
      <w:pPr>
        <w:widowControl w:val="0"/>
        <w:numPr>
          <w:ilvl w:val="0"/>
          <w:numId w:val="1"/>
        </w:numPr>
        <w:spacing w:after="240"/>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Necessita garantir a continuidade dos serviços públicos essenciais de mobilidade rural e urbana.A ausência da contratação poderá resultar em:</w:t>
      </w:r>
    </w:p>
    <w:p w:rsidR="00AC771B" w:rsidRDefault="00290C6D">
      <w:pPr>
        <w:widowControl w:val="0"/>
        <w:numPr>
          <w:ilvl w:val="0"/>
          <w:numId w:val="2"/>
        </w:numPr>
        <w:spacing w:before="240"/>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Interrupção de serviços de manutenção viária;</w:t>
      </w:r>
    </w:p>
    <w:p w:rsidR="00AC771B" w:rsidRDefault="00290C6D">
      <w:pPr>
        <w:widowControl w:val="0"/>
        <w:numPr>
          <w:ilvl w:val="0"/>
          <w:numId w:val="2"/>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Dificuldade de acesso da população rural a serviços essenciais (saúde, educação e escoamento da produção);</w:t>
      </w:r>
    </w:p>
    <w:p w:rsidR="00AC771B" w:rsidRDefault="00290C6D">
      <w:pPr>
        <w:widowControl w:val="0"/>
        <w:numPr>
          <w:ilvl w:val="0"/>
          <w:numId w:val="2"/>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Elevação de custos com contratações emergenciais;</w:t>
      </w:r>
    </w:p>
    <w:p w:rsidR="00AC771B" w:rsidRDefault="00290C6D">
      <w:pPr>
        <w:widowControl w:val="0"/>
        <w:numPr>
          <w:ilvl w:val="0"/>
          <w:numId w:val="2"/>
        </w:numPr>
        <w:spacing w:after="240"/>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Comprometimento da eficiência administrativa.</w:t>
      </w:r>
    </w:p>
    <w:p w:rsidR="00AC771B" w:rsidRDefault="00290C6D">
      <w:pPr>
        <w:spacing w:line="240" w:lineRule="auto"/>
        <w:ind w:right="-5"/>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 VALOR MÉDIO</w:t>
      </w:r>
    </w:p>
    <w:p w:rsidR="00AC771B" w:rsidRDefault="00290C6D">
      <w:pPr>
        <w:spacing w:before="36" w:line="240" w:lineRule="auto"/>
        <w:jc w:val="both"/>
        <w:rPr>
          <w:rFonts w:ascii="Times New Roman" w:eastAsia="Times New Roman" w:hAnsi="Times New Roman" w:cs="Times New Roman"/>
          <w:sz w:val="24"/>
          <w:szCs w:val="24"/>
        </w:rPr>
      </w:pPr>
      <w:bookmarkStart w:id="2" w:name="_heading=h.3wexkx79l5oq" w:colFirst="0" w:colLast="0"/>
      <w:bookmarkEnd w:id="2"/>
      <w:r>
        <w:rPr>
          <w:rFonts w:ascii="Times New Roman" w:eastAsia="Times New Roman" w:hAnsi="Times New Roman" w:cs="Times New Roman"/>
          <w:sz w:val="24"/>
          <w:szCs w:val="24"/>
        </w:rPr>
        <w:t>3.1. O preço considerado como estimativa para o objeto do presente termo de referência foi determinado com base em pesquisas de preços realizadas em preços de referência nacional. Com base em tal procedimento, foi estimado o valor total de: R$4.850.018,16 (quatro milhões, oitocentos e cinquenta mil, dezoito reais e dezesseis centavos).</w:t>
      </w:r>
    </w:p>
    <w:p w:rsidR="00AC771B" w:rsidRDefault="00290C6D">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Para a formação da estimativa de preços foi utilizada como referência a base de dados do </w:t>
      </w:r>
      <w:r>
        <w:rPr>
          <w:rFonts w:ascii="Times New Roman" w:eastAsia="Times New Roman" w:hAnsi="Times New Roman" w:cs="Times New Roman"/>
          <w:b/>
          <w:bCs/>
          <w:sz w:val="24"/>
          <w:szCs w:val="24"/>
        </w:rPr>
        <w:t>Sistema Nacional de Pesquisa de Custos e Índices da Construção Civil – SINAPI</w:t>
      </w:r>
      <w:r>
        <w:rPr>
          <w:rFonts w:ascii="Times New Roman" w:eastAsia="Times New Roman" w:hAnsi="Times New Roman" w:cs="Times New Roman"/>
          <w:sz w:val="24"/>
          <w:szCs w:val="24"/>
        </w:rPr>
        <w:t xml:space="preserve">, mantido pela Caixa Econômica Federal e pelo IBGE, por se tratar de sistema oficial amplamente utilizado pela Administração Pública para composição de custos de serviços e equipamentos </w:t>
      </w:r>
      <w:r>
        <w:rPr>
          <w:rFonts w:ascii="Times New Roman" w:eastAsia="Times New Roman" w:hAnsi="Times New Roman" w:cs="Times New Roman"/>
          <w:sz w:val="24"/>
          <w:szCs w:val="24"/>
        </w:rPr>
        <w:lastRenderedPageBreak/>
        <w:t>de engenharia, garantindo maior confiabilidade, transparência e compatibilidade com os preços praticados no mercado.</w:t>
      </w:r>
    </w:p>
    <w:p w:rsidR="00AC771B" w:rsidRDefault="00AC771B">
      <w:pPr>
        <w:spacing w:line="240" w:lineRule="auto"/>
        <w:ind w:right="-5"/>
        <w:jc w:val="both"/>
        <w:rPr>
          <w:rFonts w:ascii="Times New Roman" w:eastAsia="Times New Roman" w:hAnsi="Times New Roman" w:cs="Times New Roman"/>
          <w:b/>
          <w:bCs/>
          <w:sz w:val="24"/>
          <w:szCs w:val="24"/>
        </w:rPr>
      </w:pPr>
    </w:p>
    <w:p w:rsidR="00AC771B" w:rsidRDefault="00290C6D">
      <w:pPr>
        <w:spacing w:line="240" w:lineRule="auto"/>
        <w:ind w:right="-5"/>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 ESPECIFICAÇÕES E QUANTITATIVOS.</w:t>
      </w:r>
    </w:p>
    <w:p w:rsidR="00AC771B" w:rsidRDefault="00AC771B">
      <w:pPr>
        <w:spacing w:line="240" w:lineRule="auto"/>
        <w:ind w:right="-5"/>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Segue abaixo itens, quantitativos, descrição, valores unitários e total requerido pelo órgão participante do presente Sistema de Registro de Preços – SRP, em conformidade com o Decreto Federal nº 11.462/2023 e posteriores alterações:</w:t>
      </w:r>
    </w:p>
    <w:p w:rsidR="00AC771B" w:rsidRDefault="00AC771B">
      <w:pPr>
        <w:spacing w:line="240" w:lineRule="auto"/>
        <w:jc w:val="both"/>
        <w:rPr>
          <w:rFonts w:ascii="Times New Roman" w:eastAsia="Times New Roman" w:hAnsi="Times New Roman" w:cs="Times New Roman"/>
          <w:sz w:val="24"/>
          <w:szCs w:val="24"/>
        </w:rPr>
      </w:pPr>
    </w:p>
    <w:tbl>
      <w:tblPr>
        <w:tblStyle w:val="a2"/>
        <w:tblW w:w="9120" w:type="dxa"/>
        <w:tblInd w:w="-105" w:type="dxa"/>
        <w:tblLayout w:type="fixed"/>
        <w:tblLook w:val="0400" w:firstRow="0" w:lastRow="0" w:firstColumn="0" w:lastColumn="0" w:noHBand="0" w:noVBand="1"/>
      </w:tblPr>
      <w:tblGrid>
        <w:gridCol w:w="780"/>
        <w:gridCol w:w="2010"/>
        <w:gridCol w:w="705"/>
        <w:gridCol w:w="1245"/>
        <w:gridCol w:w="1320"/>
        <w:gridCol w:w="900"/>
        <w:gridCol w:w="990"/>
        <w:gridCol w:w="1170"/>
      </w:tblGrid>
      <w:tr w:rsidR="00AC771B">
        <w:trPr>
          <w:trHeight w:val="828"/>
        </w:trPr>
        <w:tc>
          <w:tcPr>
            <w:tcW w:w="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ITEM</w:t>
            </w:r>
          </w:p>
        </w:tc>
        <w:tc>
          <w:tcPr>
            <w:tcW w:w="2010" w:type="dxa"/>
            <w:tcBorders>
              <w:top w:val="single" w:sz="4" w:space="0" w:color="000000"/>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DESCRIÇÃO DO PRODUTO</w:t>
            </w:r>
          </w:p>
        </w:tc>
        <w:tc>
          <w:tcPr>
            <w:tcW w:w="705" w:type="dxa"/>
            <w:tcBorders>
              <w:top w:val="single" w:sz="4" w:space="0" w:color="000000"/>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UND</w:t>
            </w:r>
          </w:p>
        </w:tc>
        <w:tc>
          <w:tcPr>
            <w:tcW w:w="1245" w:type="dxa"/>
            <w:tcBorders>
              <w:top w:val="single" w:sz="4" w:space="0" w:color="000000"/>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QUANT. HORAS POR DIA</w:t>
            </w:r>
          </w:p>
        </w:tc>
        <w:tc>
          <w:tcPr>
            <w:tcW w:w="1320" w:type="dxa"/>
            <w:tcBorders>
              <w:top w:val="single" w:sz="4" w:space="0" w:color="000000"/>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QUANT. </w:t>
            </w:r>
            <w:r>
              <w:rPr>
                <w:rFonts w:ascii="Times New Roman" w:eastAsia="Times New Roman" w:hAnsi="Times New Roman" w:cs="Times New Roman"/>
                <w:b/>
                <w:bCs/>
              </w:rPr>
              <w:t>VEÍCULOS</w:t>
            </w:r>
            <w:r>
              <w:rPr>
                <w:rFonts w:ascii="Times New Roman" w:eastAsia="Times New Roman" w:hAnsi="Times New Roman" w:cs="Times New Roman"/>
                <w:b/>
                <w:bCs/>
                <w:color w:val="000000"/>
              </w:rPr>
              <w:t xml:space="preserve"> </w:t>
            </w:r>
          </w:p>
        </w:tc>
        <w:tc>
          <w:tcPr>
            <w:tcW w:w="900" w:type="dxa"/>
            <w:tcBorders>
              <w:top w:val="single" w:sz="4" w:space="0" w:color="000000"/>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QTDE</w:t>
            </w:r>
          </w:p>
        </w:tc>
        <w:tc>
          <w:tcPr>
            <w:tcW w:w="990" w:type="dxa"/>
            <w:tcBorders>
              <w:top w:val="single" w:sz="4" w:space="0" w:color="000000"/>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V.UNIT. 2024</w:t>
            </w:r>
          </w:p>
        </w:tc>
        <w:tc>
          <w:tcPr>
            <w:tcW w:w="1170" w:type="dxa"/>
            <w:tcBorders>
              <w:top w:val="single" w:sz="4" w:space="0" w:color="000000"/>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V.TOTAL</w:t>
            </w:r>
          </w:p>
        </w:tc>
      </w:tr>
      <w:tr w:rsidR="00AC771B">
        <w:trPr>
          <w:trHeight w:val="828"/>
        </w:trPr>
        <w:tc>
          <w:tcPr>
            <w:tcW w:w="780" w:type="dxa"/>
            <w:tcBorders>
              <w:top w:val="nil"/>
              <w:left w:val="single" w:sz="4" w:space="0" w:color="000000"/>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201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ROLO COMPACTADOR, em perfeito estado de conservação, com opção de troca tipo liso ou pé de carneiro, com kit capa, com no mínimo de 140HP. (com operador).</w:t>
            </w:r>
          </w:p>
        </w:tc>
        <w:tc>
          <w:tcPr>
            <w:tcW w:w="70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HORA</w:t>
            </w:r>
          </w:p>
        </w:tc>
        <w:tc>
          <w:tcPr>
            <w:tcW w:w="124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4</w:t>
            </w:r>
          </w:p>
        </w:tc>
        <w:tc>
          <w:tcPr>
            <w:tcW w:w="132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1X</w:t>
            </w:r>
          </w:p>
        </w:tc>
        <w:tc>
          <w:tcPr>
            <w:tcW w:w="90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1056</w:t>
            </w:r>
          </w:p>
        </w:tc>
        <w:tc>
          <w:tcPr>
            <w:tcW w:w="99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R$ 224,91</w:t>
            </w:r>
          </w:p>
        </w:tc>
        <w:tc>
          <w:tcPr>
            <w:tcW w:w="117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R$ 237.504,96</w:t>
            </w:r>
          </w:p>
        </w:tc>
      </w:tr>
      <w:tr w:rsidR="00AC771B">
        <w:trPr>
          <w:trHeight w:val="2208"/>
        </w:trPr>
        <w:tc>
          <w:tcPr>
            <w:tcW w:w="780" w:type="dxa"/>
            <w:tcBorders>
              <w:top w:val="nil"/>
              <w:left w:val="single" w:sz="4" w:space="0" w:color="000000"/>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201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MÁQUINA PÁ - CARREGADEIRA, chassi articulado, motor diesel, 06 cilindros, potência liquida mínima de 122 HP (SAE J 1349), sistema elétrico de 24V, transmissão com no mínimo de 03 velocidades à frente e 03 à ré, freios de serviços multidisco em banho a óleo nas quatro rodas, pneus 17,5 x 25 – 12 lonas direção hidráulica, tipo orbitrol, toldo solar, compartimento do operador localizado no eixo dianteiro com chassi traseiro da máquina, equipamento frontal com caçamba de serviços gerais de capacidade mínima de 1,90 m³ (metros cúbicos), peso operacional mínimo   </w:t>
            </w:r>
            <w:r>
              <w:rPr>
                <w:rFonts w:ascii="Times New Roman" w:eastAsia="Times New Roman" w:hAnsi="Times New Roman" w:cs="Times New Roman"/>
                <w:color w:val="000000"/>
              </w:rPr>
              <w:lastRenderedPageBreak/>
              <w:t>de 10 mil quilos.(com operador)</w:t>
            </w:r>
          </w:p>
        </w:tc>
        <w:tc>
          <w:tcPr>
            <w:tcW w:w="70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HORA</w:t>
            </w:r>
          </w:p>
        </w:tc>
        <w:tc>
          <w:tcPr>
            <w:tcW w:w="124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7</w:t>
            </w:r>
          </w:p>
        </w:tc>
        <w:tc>
          <w:tcPr>
            <w:tcW w:w="132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2x</w:t>
            </w:r>
          </w:p>
        </w:tc>
        <w:tc>
          <w:tcPr>
            <w:tcW w:w="90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3.696</w:t>
            </w:r>
          </w:p>
        </w:tc>
        <w:tc>
          <w:tcPr>
            <w:tcW w:w="99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R$ 164,60</w:t>
            </w:r>
          </w:p>
        </w:tc>
        <w:tc>
          <w:tcPr>
            <w:tcW w:w="117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R$ 608.361,60</w:t>
            </w:r>
          </w:p>
        </w:tc>
      </w:tr>
      <w:tr w:rsidR="00AC771B">
        <w:trPr>
          <w:trHeight w:val="1458"/>
        </w:trPr>
        <w:tc>
          <w:tcPr>
            <w:tcW w:w="780" w:type="dxa"/>
            <w:tcBorders>
              <w:top w:val="nil"/>
              <w:left w:val="single" w:sz="4" w:space="0" w:color="000000"/>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201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MOTONIVELADORA, (TIPO PATROL) em perfeito estado de conservação, com motor diesel de 6 cilindros em linha, turbo alimentado, com potência mínima no volante de 140 HP., equipada com lamina com deslocamento lateral e com escarificador, equipada com cabine, com peso mínimo de operação de 12.000 kgs., com sinalização de trânsito e equipamentos de segurança obrigatórios, conforme normas em vigor. (com operador)</w:t>
            </w:r>
          </w:p>
        </w:tc>
        <w:tc>
          <w:tcPr>
            <w:tcW w:w="70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HORA</w:t>
            </w:r>
          </w:p>
        </w:tc>
        <w:tc>
          <w:tcPr>
            <w:tcW w:w="124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7</w:t>
            </w:r>
          </w:p>
        </w:tc>
        <w:tc>
          <w:tcPr>
            <w:tcW w:w="132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1X</w:t>
            </w:r>
          </w:p>
        </w:tc>
        <w:tc>
          <w:tcPr>
            <w:tcW w:w="90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1848</w:t>
            </w:r>
          </w:p>
        </w:tc>
        <w:tc>
          <w:tcPr>
            <w:tcW w:w="99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R$ 256,62</w:t>
            </w:r>
          </w:p>
        </w:tc>
        <w:tc>
          <w:tcPr>
            <w:tcW w:w="117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R$ 474.233,76</w:t>
            </w:r>
          </w:p>
        </w:tc>
      </w:tr>
      <w:tr w:rsidR="00AC771B">
        <w:trPr>
          <w:trHeight w:val="1638"/>
        </w:trPr>
        <w:tc>
          <w:tcPr>
            <w:tcW w:w="780" w:type="dxa"/>
            <w:tcBorders>
              <w:top w:val="nil"/>
              <w:left w:val="single" w:sz="4" w:space="0" w:color="000000"/>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w:t>
            </w:r>
          </w:p>
        </w:tc>
        <w:tc>
          <w:tcPr>
            <w:tcW w:w="201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RETROESCAVADEIRA em perfeito estado de conservação para o trabalho com as seguintes expecificações minimas, tração 4x4 equipada com motor turbo alimentado de 04 cilindros com potência minima de 92 hp a 2.200 rpm sistema eletrico de 12 volts, com cinto de segurança e caçamba frontal com capacidade minima de 0,95 m³ com 03 </w:t>
            </w:r>
            <w:r>
              <w:rPr>
                <w:rFonts w:ascii="Times New Roman" w:eastAsia="Times New Roman" w:hAnsi="Times New Roman" w:cs="Times New Roman"/>
                <w:color w:val="000000"/>
              </w:rPr>
              <w:lastRenderedPageBreak/>
              <w:t>caçambas traseiras, com sinalização de transito e equipamentos obrigatorios, conforme normas em vigor. (com operador)</w:t>
            </w:r>
          </w:p>
        </w:tc>
        <w:tc>
          <w:tcPr>
            <w:tcW w:w="70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HORA</w:t>
            </w:r>
          </w:p>
        </w:tc>
        <w:tc>
          <w:tcPr>
            <w:tcW w:w="124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7</w:t>
            </w:r>
          </w:p>
        </w:tc>
        <w:tc>
          <w:tcPr>
            <w:tcW w:w="132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1X</w:t>
            </w:r>
          </w:p>
        </w:tc>
        <w:tc>
          <w:tcPr>
            <w:tcW w:w="90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1848</w:t>
            </w:r>
          </w:p>
        </w:tc>
        <w:tc>
          <w:tcPr>
            <w:tcW w:w="99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R$ 142,59</w:t>
            </w:r>
          </w:p>
        </w:tc>
        <w:tc>
          <w:tcPr>
            <w:tcW w:w="117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R$ 263.506,32</w:t>
            </w:r>
          </w:p>
        </w:tc>
      </w:tr>
      <w:tr w:rsidR="00AC771B">
        <w:trPr>
          <w:trHeight w:val="1380"/>
        </w:trPr>
        <w:tc>
          <w:tcPr>
            <w:tcW w:w="780" w:type="dxa"/>
            <w:tcBorders>
              <w:top w:val="nil"/>
              <w:left w:val="single" w:sz="4" w:space="0" w:color="000000"/>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201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ESCAVADEIRA HIDRAULICA sobre esteiras em perfeito estado de conservação, com ar condicionado, com potencia liquida minima de 150hp - norma SAE J1349, peso operacional minimo de 14.000 kg igual ou similar, profundidade de escavação de 5,00 m, cor padrao do fabricante, alcance horizontal minima de 9,80 m, capacidade minima da caçamba de 0,78 m², movido a diesel, (com operador)</w:t>
            </w:r>
          </w:p>
        </w:tc>
        <w:tc>
          <w:tcPr>
            <w:tcW w:w="70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HORA</w:t>
            </w:r>
          </w:p>
        </w:tc>
        <w:tc>
          <w:tcPr>
            <w:tcW w:w="124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7</w:t>
            </w:r>
          </w:p>
        </w:tc>
        <w:tc>
          <w:tcPr>
            <w:tcW w:w="132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2X</w:t>
            </w:r>
          </w:p>
        </w:tc>
        <w:tc>
          <w:tcPr>
            <w:tcW w:w="90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3.696</w:t>
            </w:r>
          </w:p>
        </w:tc>
        <w:tc>
          <w:tcPr>
            <w:tcW w:w="99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R$ 282,45</w:t>
            </w:r>
          </w:p>
        </w:tc>
        <w:tc>
          <w:tcPr>
            <w:tcW w:w="117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R$ 1.043.935,20</w:t>
            </w:r>
          </w:p>
        </w:tc>
      </w:tr>
      <w:tr w:rsidR="00AC771B">
        <w:trPr>
          <w:trHeight w:val="1782"/>
        </w:trPr>
        <w:tc>
          <w:tcPr>
            <w:tcW w:w="780" w:type="dxa"/>
            <w:tcBorders>
              <w:top w:val="nil"/>
              <w:left w:val="single" w:sz="4" w:space="0" w:color="000000"/>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w:t>
            </w:r>
          </w:p>
        </w:tc>
        <w:tc>
          <w:tcPr>
            <w:tcW w:w="201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CAMINHÃO BASCULANTE "TrukTrassada", com capacidade de carga mínima de 12 (toneladas), com potência mínima de 290cv (cento e trinta e quatro cavalos), em perfeito estado de conservação para o trabalho, transporte de terras, cascalhos, entulhos, lixos e demais materiais, dotado de todos os equipamentos obrigatórios por lei, quilometragem livre e combustível à diesel, para atender as necessidades da Secretária Municipal </w:t>
            </w:r>
            <w:r>
              <w:rPr>
                <w:rFonts w:ascii="Times New Roman" w:eastAsia="Times New Roman" w:hAnsi="Times New Roman" w:cs="Times New Roman"/>
                <w:color w:val="000000"/>
              </w:rPr>
              <w:lastRenderedPageBreak/>
              <w:t>de Obras. (com operador)</w:t>
            </w:r>
          </w:p>
        </w:tc>
        <w:tc>
          <w:tcPr>
            <w:tcW w:w="70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HORAS</w:t>
            </w:r>
          </w:p>
        </w:tc>
        <w:tc>
          <w:tcPr>
            <w:tcW w:w="124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7</w:t>
            </w:r>
          </w:p>
        </w:tc>
        <w:tc>
          <w:tcPr>
            <w:tcW w:w="132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5X</w:t>
            </w:r>
          </w:p>
        </w:tc>
        <w:tc>
          <w:tcPr>
            <w:tcW w:w="90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9.240</w:t>
            </w:r>
          </w:p>
        </w:tc>
        <w:tc>
          <w:tcPr>
            <w:tcW w:w="99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R$ 201,96</w:t>
            </w:r>
          </w:p>
        </w:tc>
        <w:tc>
          <w:tcPr>
            <w:tcW w:w="117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R$ 1.866.110,40</w:t>
            </w:r>
          </w:p>
        </w:tc>
      </w:tr>
      <w:tr w:rsidR="00AC771B">
        <w:trPr>
          <w:trHeight w:val="1104"/>
        </w:trPr>
        <w:tc>
          <w:tcPr>
            <w:tcW w:w="780" w:type="dxa"/>
            <w:tcBorders>
              <w:top w:val="nil"/>
              <w:left w:val="single" w:sz="4" w:space="0" w:color="000000"/>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w:t>
            </w:r>
          </w:p>
        </w:tc>
        <w:tc>
          <w:tcPr>
            <w:tcW w:w="201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CAMINHÃO TIPO PRANCHA de até 15 toneladas, dotado de cesto aereo, dotado de todos os equipamentos obrigatórios por lei, quilometragem livre e combustível à diesel, para atender as necessidades com sinalização de trânsito e equipamentos de segurança obrigatórios, conforme normas em vigor. (com operador)</w:t>
            </w:r>
          </w:p>
        </w:tc>
        <w:tc>
          <w:tcPr>
            <w:tcW w:w="70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KM</w:t>
            </w:r>
          </w:p>
        </w:tc>
        <w:tc>
          <w:tcPr>
            <w:tcW w:w="124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w:t>
            </w:r>
          </w:p>
        </w:tc>
        <w:tc>
          <w:tcPr>
            <w:tcW w:w="132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1X</w:t>
            </w:r>
          </w:p>
        </w:tc>
        <w:tc>
          <w:tcPr>
            <w:tcW w:w="90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1.200</w:t>
            </w:r>
          </w:p>
        </w:tc>
        <w:tc>
          <w:tcPr>
            <w:tcW w:w="99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R$ 12,56</w:t>
            </w:r>
          </w:p>
        </w:tc>
        <w:tc>
          <w:tcPr>
            <w:tcW w:w="117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R$ 15.072,00</w:t>
            </w:r>
          </w:p>
        </w:tc>
      </w:tr>
      <w:tr w:rsidR="00AC771B">
        <w:trPr>
          <w:trHeight w:val="1104"/>
        </w:trPr>
        <w:tc>
          <w:tcPr>
            <w:tcW w:w="780" w:type="dxa"/>
            <w:tcBorders>
              <w:top w:val="nil"/>
              <w:left w:val="single" w:sz="4" w:space="0" w:color="000000"/>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8</w:t>
            </w:r>
          </w:p>
        </w:tc>
        <w:tc>
          <w:tcPr>
            <w:tcW w:w="201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TRATOR ESTEIRA; Peso operacional superior a 17.000 Kg;Motor diesel com seis cilindros, turbo alimentado; Potência mínima no volante de 140 HP; Três velocidades avante e três à ré; Embreagens arrefecidas a óleo;Cabine com ar- condicionado;Cabine com estrutura ROPS e FOPS (com operador)</w:t>
            </w:r>
          </w:p>
        </w:tc>
        <w:tc>
          <w:tcPr>
            <w:tcW w:w="70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HORA</w:t>
            </w:r>
          </w:p>
        </w:tc>
        <w:tc>
          <w:tcPr>
            <w:tcW w:w="1245"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3</w:t>
            </w:r>
          </w:p>
        </w:tc>
        <w:tc>
          <w:tcPr>
            <w:tcW w:w="132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1X</w:t>
            </w:r>
          </w:p>
        </w:tc>
        <w:tc>
          <w:tcPr>
            <w:tcW w:w="90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792</w:t>
            </w:r>
          </w:p>
        </w:tc>
        <w:tc>
          <w:tcPr>
            <w:tcW w:w="99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R$ 254,96</w:t>
            </w:r>
          </w:p>
        </w:tc>
        <w:tc>
          <w:tcPr>
            <w:tcW w:w="117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R$ 201.928,32</w:t>
            </w:r>
          </w:p>
        </w:tc>
      </w:tr>
      <w:tr w:rsidR="00AC771B">
        <w:trPr>
          <w:trHeight w:val="1656"/>
        </w:trPr>
        <w:tc>
          <w:tcPr>
            <w:tcW w:w="780" w:type="dxa"/>
            <w:tcBorders>
              <w:top w:val="nil"/>
              <w:left w:val="single" w:sz="4" w:space="0" w:color="000000"/>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9</w:t>
            </w:r>
          </w:p>
        </w:tc>
        <w:tc>
          <w:tcPr>
            <w:tcW w:w="201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Caminhão "Truk", tipo pipa, em perfeito estado de conservação, com reservatório para no mínimo 5.000 litros de água, equipado com bomba, bico de pato, sirene de ré, no mínimo 250 metros </w:t>
            </w:r>
            <w:r>
              <w:rPr>
                <w:rFonts w:ascii="Times New Roman" w:eastAsia="Times New Roman" w:hAnsi="Times New Roman" w:cs="Times New Roman"/>
                <w:color w:val="000000"/>
              </w:rPr>
              <w:lastRenderedPageBreak/>
              <w:t>de mangueira, 100 metros de mangote, bico de esguicho ou chuveiro, sistema de auto     abastecimento e recalque pressurizado, legalizado para transitar em rodovias estaduais e federais, quilometragem livre, e combustível a diesel. (com operador)</w:t>
            </w:r>
          </w:p>
        </w:tc>
        <w:tc>
          <w:tcPr>
            <w:tcW w:w="705" w:type="dxa"/>
            <w:tcBorders>
              <w:top w:val="nil"/>
              <w:left w:val="nil"/>
              <w:bottom w:val="nil"/>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HORA</w:t>
            </w:r>
          </w:p>
        </w:tc>
        <w:tc>
          <w:tcPr>
            <w:tcW w:w="1245" w:type="dxa"/>
            <w:tcBorders>
              <w:top w:val="nil"/>
              <w:left w:val="nil"/>
              <w:bottom w:val="nil"/>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4</w:t>
            </w:r>
          </w:p>
        </w:tc>
        <w:tc>
          <w:tcPr>
            <w:tcW w:w="1320" w:type="dxa"/>
            <w:tcBorders>
              <w:top w:val="nil"/>
              <w:left w:val="nil"/>
              <w:bottom w:val="nil"/>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1X</w:t>
            </w:r>
          </w:p>
        </w:tc>
        <w:tc>
          <w:tcPr>
            <w:tcW w:w="90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440</w:t>
            </w:r>
          </w:p>
        </w:tc>
        <w:tc>
          <w:tcPr>
            <w:tcW w:w="99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R$ 316,74</w:t>
            </w:r>
          </w:p>
        </w:tc>
        <w:tc>
          <w:tcPr>
            <w:tcW w:w="117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R$ 139.365,60</w:t>
            </w:r>
          </w:p>
        </w:tc>
      </w:tr>
      <w:tr w:rsidR="00AC771B">
        <w:trPr>
          <w:trHeight w:val="312"/>
        </w:trPr>
        <w:tc>
          <w:tcPr>
            <w:tcW w:w="795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VALOR GLOBAL</w:t>
            </w:r>
          </w:p>
        </w:tc>
        <w:tc>
          <w:tcPr>
            <w:tcW w:w="1170" w:type="dxa"/>
            <w:tcBorders>
              <w:top w:val="nil"/>
              <w:left w:val="nil"/>
              <w:bottom w:val="single" w:sz="4" w:space="0" w:color="000000"/>
              <w:right w:val="single" w:sz="4" w:space="0" w:color="000000"/>
            </w:tcBorders>
            <w:shd w:val="clear" w:color="auto" w:fill="auto"/>
            <w:vAlign w:val="center"/>
          </w:tcPr>
          <w:p w:rsidR="00AC771B" w:rsidRDefault="00290C6D">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R$ 4.850.018,16</w:t>
            </w:r>
          </w:p>
        </w:tc>
      </w:tr>
    </w:tbl>
    <w:p w:rsidR="00AC771B" w:rsidRDefault="00AC771B">
      <w:pPr>
        <w:spacing w:line="240" w:lineRule="auto"/>
        <w:jc w:val="both"/>
        <w:rPr>
          <w:rFonts w:ascii="Times New Roman" w:eastAsia="Times New Roman" w:hAnsi="Times New Roman" w:cs="Times New Roman"/>
          <w:sz w:val="24"/>
          <w:szCs w:val="24"/>
        </w:rPr>
      </w:pPr>
    </w:p>
    <w:p w:rsidR="00AC771B" w:rsidRDefault="00AC771B">
      <w:pPr>
        <w:spacing w:line="240" w:lineRule="auto"/>
        <w:jc w:val="both"/>
        <w:rPr>
          <w:rFonts w:ascii="Times New Roman" w:eastAsia="Times New Roman" w:hAnsi="Times New Roman" w:cs="Times New Roman"/>
          <w:sz w:val="24"/>
          <w:szCs w:val="24"/>
        </w:rPr>
      </w:pPr>
    </w:p>
    <w:p w:rsidR="00AC771B" w:rsidRDefault="00AC771B">
      <w:pPr>
        <w:spacing w:line="240" w:lineRule="auto"/>
        <w:jc w:val="both"/>
        <w:rPr>
          <w:rFonts w:ascii="Times New Roman" w:eastAsia="Times New Roman" w:hAnsi="Times New Roman" w:cs="Times New Roman"/>
          <w:sz w:val="24"/>
          <w:szCs w:val="24"/>
        </w:rPr>
      </w:pPr>
    </w:p>
    <w:p w:rsidR="00AC771B" w:rsidRDefault="00290C6D">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4.2.</w:t>
      </w:r>
      <w:r>
        <w:rPr>
          <w:rFonts w:ascii="Times New Roman" w:eastAsia="Times New Roman" w:hAnsi="Times New Roman" w:cs="Times New Roman"/>
          <w:sz w:val="24"/>
          <w:szCs w:val="24"/>
        </w:rPr>
        <w:t xml:space="preserve"> Totalizando o valor de R$ 4.850.018,16 (quatro milhões, oitocentos e cinquenta mil, dezoito reais e dezesseis centavos).</w:t>
      </w:r>
    </w:p>
    <w:p w:rsidR="00AC771B" w:rsidRDefault="00AC771B">
      <w:pPr>
        <w:spacing w:line="240" w:lineRule="auto"/>
        <w:ind w:right="-5"/>
        <w:jc w:val="both"/>
        <w:rPr>
          <w:rFonts w:ascii="Times New Roman" w:eastAsia="Times New Roman" w:hAnsi="Times New Roman" w:cs="Times New Roman"/>
          <w:b/>
          <w:bCs/>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 FONTE DE RECURSO</w:t>
      </w:r>
    </w:p>
    <w:p w:rsidR="00AC771B" w:rsidRDefault="00AC771B">
      <w:pPr>
        <w:spacing w:line="240" w:lineRule="auto"/>
        <w:ind w:right="-5"/>
        <w:jc w:val="both"/>
        <w:rPr>
          <w:rFonts w:ascii="Times New Roman" w:eastAsia="Times New Roman" w:hAnsi="Times New Roman" w:cs="Times New Roman"/>
          <w:sz w:val="24"/>
          <w:szCs w:val="24"/>
        </w:rPr>
      </w:pPr>
    </w:p>
    <w:p w:rsidR="00BA385E" w:rsidRDefault="00BA385E" w:rsidP="00BA385E">
      <w:pPr>
        <w:spacing w:line="240" w:lineRule="auto"/>
        <w:ind w:right="-5"/>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5.1</w:t>
      </w:r>
      <w:r w:rsidR="00290C6D">
        <w:rPr>
          <w:rFonts w:ascii="Times New Roman" w:eastAsia="Times New Roman" w:hAnsi="Times New Roman" w:cs="Times New Roman"/>
          <w:sz w:val="24"/>
          <w:szCs w:val="24"/>
        </w:rPr>
        <w:t xml:space="preserve"> </w:t>
      </w:r>
      <w:r w:rsidRPr="00BA385E">
        <w:rPr>
          <w:rFonts w:ascii="Times New Roman" w:eastAsia="Times New Roman" w:hAnsi="Times New Roman" w:cs="Times New Roman"/>
          <w:bCs/>
          <w:sz w:val="24"/>
          <w:szCs w:val="24"/>
        </w:rPr>
        <w:t>Nos termos da legislação vigente, que dispõe sobre o Sistema de Registro de Preços, a administração pública poderá realizar procedimento licitatório para registro de preços sem a necessidade de indicação prévia de dotação orçamentária, devendo ser indicada quando da formalização do contrato.</w:t>
      </w:r>
    </w:p>
    <w:p w:rsidR="00BA385E" w:rsidRDefault="00BA385E" w:rsidP="00BA385E">
      <w:pPr>
        <w:spacing w:line="240" w:lineRule="auto"/>
        <w:ind w:right="-5"/>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5.2  </w:t>
      </w:r>
      <w:r w:rsidRPr="00BA385E">
        <w:rPr>
          <w:rFonts w:ascii="Times New Roman" w:eastAsia="Times New Roman" w:hAnsi="Times New Roman" w:cs="Times New Roman"/>
          <w:bCs/>
          <w:sz w:val="24"/>
          <w:szCs w:val="24"/>
        </w:rPr>
        <w:t>Assim, ratifica-se que a não indicação de dotação orçamentária, neste momento, encontra respaldo legal e está em consonância com as boas práticas da administração pública, assegurando a observância dos princípios da eficiência, planejamento e legalidade.</w:t>
      </w:r>
    </w:p>
    <w:p w:rsidR="00BA385E" w:rsidRPr="00BA385E" w:rsidRDefault="00BA385E" w:rsidP="00BA385E">
      <w:pPr>
        <w:spacing w:line="240" w:lineRule="auto"/>
        <w:ind w:right="-5"/>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5.3  </w:t>
      </w:r>
      <w:r w:rsidRPr="00BA385E">
        <w:rPr>
          <w:rFonts w:ascii="Times New Roman" w:eastAsia="Times New Roman" w:hAnsi="Times New Roman" w:cs="Times New Roman"/>
          <w:bCs/>
          <w:sz w:val="24"/>
          <w:szCs w:val="24"/>
        </w:rPr>
        <w:t>Ademais, vale esclarecer que a aquisição será realizada com recursos próprios do município e serão indicados antes da assinatura do contrato.</w:t>
      </w:r>
    </w:p>
    <w:p w:rsidR="00AC771B" w:rsidRDefault="00AC771B">
      <w:pPr>
        <w:spacing w:line="240" w:lineRule="auto"/>
        <w:ind w:right="-5"/>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 PRAZO E LOCAL DE EXECUÇÃO</w:t>
      </w:r>
    </w:p>
    <w:p w:rsidR="00AC771B" w:rsidRDefault="00AC771B">
      <w:pPr>
        <w:spacing w:line="240" w:lineRule="auto"/>
        <w:ind w:right="-5"/>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 O pedido dos serviços a serem executados pela Secretaria Requisitante, será realizado ao longo da vigência da Ata de Registro de Preços ou do Contrato. A solicitação será formalizada com emissão da Ordem de Fornecimento onde será detalhado o serviço e quantidade para a execução, devidamente acompanhada da respectiva Nota de Empenho, a ser encaminhada à Empresa detentora do Registro de Preços ou contratada por meio eletrônico ou outro meio;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 A execução será feita conforme solicitado, devendo ser iniciada no prazo máximo de até 10 (dias) dias, contados da data de recebimento da Ordem de Fornecimento (pedido de execução) devidamente acompanhada da respectiva Nota de Empenho, que deverão ser executados conforme a solicitação da Secretaria requisitante, que indicará o local onde deverá ser realizado, por conta da contratada; </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6.3 O objeto será recebido provisoriamente no ato da execução, e, definitivamente, no prazo máximo de 24 (vinte e quatro) horas, contados do recebimento provisório e após a verificação da qualidade e do quantitativo dos serviços executados;</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 O objeto deste Termo de Referência deverá ser executado em dias, horas e locais, indicados pela Secretaria Requisitante.</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 A Prefeitura Municipal designará gestor e fiscais do contrato.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 Os prazos de execução do referido objeto poderão ser prorrogados, a critério da Prefeitura Municipal de Cândido Mendes/MA, desde que a Contratada formalize o pedido por escrito e fundamentado em motivos de caso fortuito, sujeições imprevistas e/ou de força maior, conforme observado na lei nº 14.133/2021.</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 A relação com os locais de execução será informada pela Secretaria requisitante.</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 Os serviços reprovados no recebimento provisório serão rejeitados, devendo a Contratada iniciar a correção no prazo de até 48 (quarenta e oito) horas, contado a partir da Notificação, arcando com todos os custos decorrentes. Caso este prazo não seja observado, será considerada inexecução contratual. A substituição do serviço não exime a Contratada da aplicação de penalidades por atraso no fornecimento.</w:t>
      </w:r>
    </w:p>
    <w:p w:rsidR="00AC771B" w:rsidRDefault="00AC771B">
      <w:pPr>
        <w:spacing w:after="240" w:line="240" w:lineRule="auto"/>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7. FORMA DE PAGAMENTO: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7.1 - O pagamento será efetuado no prazo de até 30 (trinta) dias, após o recebimento definitivo do objeto, desde que não haja fator impeditivo provocado pela CONTRATADA, mediante a apresentação de Nota Fiscal/Fatura, devidamente atestada por servidor competente, acompanhada da respectiva Ordem de Fornecimento e das certidões de regularidade fiscal: Certidão Negativa, ou Certidão Positiva com efeitos de Negativa, de Débitos Relativos a Tributos Federais e à Dívida Ativa da União e Previdenciária, conforme Portaria PGFN/RFB nº 1751, de 02 de outubro de 2014; Certidão Negativa de Débitos, ou Certidão Positiva com efeitos de Negativa, expedida pelo Estado; Certidão Negativa, ou Certidão Positiva com efeitos de Negativa, quanto à Dívida Ativa do Estado; Certidão Negativa de Débitos, ou Certidão Positiva com efeitos de Negativa, relativa à atividade econômica, expedida pelo Município; Certidão Negativa, ou Certidão Positiva com efeitos de Negativa, quanto à Dívida Ativa do Município; Certidão Negativa de Débito, expedida pelo Instituto Nacional de Seguridade Social – INSS; Certificado de Regularidade de Situação do FGTS – CRF, emitido pela Caixa Econômica Federal – CEF; Certidão Negativa de Débitos Trabalhistas (CNDT), ou Positiva com efeitos de Negativa, emitida pelo Tribunal Superior do Trabalho.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Em caso de atraso no pagamento efetuado pelo CONTRATANTE da fatura apresentada pela CONTRATADA, esta fará jus à compensação financeira na forma de atualização monetária do respectivo valor, na qual poderá incidir juros moratórios à taxa de 0,02% (dois décimos por cento) ao mês, “pro rata die”.</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 Caso o pagamento devido seja antecipado pelo CONTRATANTE, o respectivo montante sofrerá desconto proporcional, nas mesmas condições estabelecidas no subitem 6.2. </w:t>
      </w:r>
    </w:p>
    <w:p w:rsidR="00AC771B" w:rsidRDefault="00AC771B">
      <w:pPr>
        <w:spacing w:line="240" w:lineRule="auto"/>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8. DAS OBRIGAÇÕES DO FORNECEDOR:</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São obrigações do Fornecedor, além de outras previstas no Edital e na minuta do Contrato: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8.1.1 arcar com todas as despesas diretas ou indiretas decorrentes do cumprimento das obrigações assumidas sem quaisquer ônus à Contratante; </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8.1.2 substituir todo e qualquer serviço rejeitado; </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8.1.3 responsabilizar-se pelos danos causados diretamente à Administração ou a terceiros, decorrentes de sua culpa ou dolo; </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8.1.4 Executar os serviços nos prazos, condições e local indicado, sujeitando-se no que couber às leis do consumidor;</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8.1.5 Se responsabilizar por todos os procedimentos de execução dos serviços.</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8.1.6 Toda e qualquer despesa decorrente da execução aqui descrita, inclusive as substituições de serviços, ficarão inteiramente a cargo da contratada, bem como a responsabilidade dos serviços que estiverem sob sua guarda, arcando com quaisquer danos.</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8.1.7 O Contratado se obriga a manter, durante a execução do Contrato, em compatibilidade com as obrigações assumidas, todas as condições de qualificação e habilitação exigidas pelo contratante neste termo de referência.</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8.1.8. Ofertar garantia dos serviços.</w:t>
      </w:r>
    </w:p>
    <w:p w:rsidR="00AC771B" w:rsidRDefault="00AC771B">
      <w:pPr>
        <w:spacing w:line="240" w:lineRule="auto"/>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 ATRIBUIÇÕES DA CONTRATANTE</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São atribuições da Contratante, além de outras previstas no Edital e Minuta do Contrato ou da Ata do SRP:</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Contratação de empresa para fornecimento do objeto do presente Termo de Referência.</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9.1.2. Vetar o emprego de qualquer serviço que considerar incompatível com as especificações apresentadas na proposta da CONTRATADA, que possa ser inadequado, nocivo ou danificar seus bens patrimoniais, ou ser prejudicial à saúde dos usuários;</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9.1.3. Efetuar o pagamento à CONTRATADA nas condições pactuadas;</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9.1.4. Aplicar à CONTRATADA as sanções administrativas regulamentares e contratuais cabíveis;</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9.1.5. Preencher e enviar a Ordem de Fornecimento de acordo com os critérios estabelecidos neste Termo de Referência;</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9.1.6. Receber os serviços executados pela CONTRATADA, que estejam em conformidade com a proposta aceita, conforme inspeções a serem realizadas, devendo assinar ao final o TERMO DE RECEBIMENTO DEFINITIVO;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9.1.7. Recusar com a devida justificativa qualquer serviço executado fora das especificações constantes na proposta da CONTRATADA;</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9.1.8. Liquidar o empenho e efetuar o pagamento da fatura da emitida pela CONTRATADA dentro dos prazos preestabelecidos em Contrato;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9.1.9. Comunicar à CONTRATADA todas e quaisquer ocorrências relacionadas com a execução dos serviços.</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9.1.10 proporcionar todas as facilidades para que o contratado possa cumprir suas obrigações dentro das normas e condições deste processo de venda. </w:t>
      </w:r>
    </w:p>
    <w:p w:rsidR="00AC771B" w:rsidRDefault="00AC771B">
      <w:pPr>
        <w:spacing w:line="240" w:lineRule="auto"/>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10. CRITÉRIO DE ACEITABILIDADE DAS PROPOSTAS:</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 Os preços deverão ser cotados em moeda corrente do País (Real – R$).</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 Os preços e lances ofertados deverão possuir apenas duas casas decimais após a vírgula (* ,xx) </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 Não será admitido no preço, o fracionamento de centavos que ultrapassarem duas casas decimais, desprezando-se a fração remanescente.</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Somente serão aceitos os preços unitários e preços totais/globais que estiverem, após a fase de lance/negociação, iguais ou inferiores aos preços estimados/orçados por esta Administração Pública Municipal.</w:t>
      </w:r>
    </w:p>
    <w:p w:rsidR="00AC771B" w:rsidRDefault="00AC771B">
      <w:pPr>
        <w:spacing w:line="240" w:lineRule="auto"/>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11. QUALIFICAÇÃO TÉCNICA:</w:t>
      </w:r>
    </w:p>
    <w:p w:rsidR="00AC771B" w:rsidRDefault="00290C6D">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apresentação de requisitos de qualificação técnica é um dos fatores que devem ser inseridos nos Termos de Referências e Editais de contratações da Administração Pública como forma complementar de garantir o fornecimento do produto. Bem assim, deverá conter no Edital a exigência de apresentação de Apresentação de, no mínimo, 01 (um) atestado/declaração de capacidade técnica, compatível com o objeto deste termo de referência, expedido por pessoa </w:t>
      </w:r>
      <w:r>
        <w:rPr>
          <w:rFonts w:ascii="Times New Roman" w:eastAsia="Times New Roman" w:hAnsi="Times New Roman" w:cs="Times New Roman"/>
          <w:sz w:val="24"/>
          <w:szCs w:val="24"/>
        </w:rPr>
        <w:lastRenderedPageBreak/>
        <w:t>jurídica de direito público ou privado, que o licitante forneceu ou está fornecendo, de modo satisfatório, serviços da mesma natureza ou similares aos do presente Termo.</w:t>
      </w:r>
    </w:p>
    <w:p w:rsidR="00AC771B" w:rsidRDefault="00AC771B">
      <w:pPr>
        <w:spacing w:line="240" w:lineRule="auto"/>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12. ADJUDICAÇÃO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A adjudicação das propostas de preços será pelo critério do MENOR PREÇO “POR ITEM”. </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Não há óbice quanto à adjudicação de um ou mais itens para a mesma licitante.</w:t>
      </w:r>
    </w:p>
    <w:p w:rsidR="00AC771B" w:rsidRDefault="00AC771B">
      <w:pPr>
        <w:spacing w:line="240" w:lineRule="auto"/>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13. ADEQUAÇÃO ORÇAMENTÁRIA</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A ser definido pela secretaria/órgão requisitante no ato de assinatura do contrato.</w:t>
      </w:r>
    </w:p>
    <w:p w:rsidR="00AC771B" w:rsidRDefault="00AC771B">
      <w:pPr>
        <w:spacing w:line="240" w:lineRule="auto"/>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14. MODALIDADE DE LICITAÇÃO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 Este planejamento foi elaborado de acordo com o Ordenamento Jurídico Nacional que regulamenta o processo de contratações para a Administração Pública, Lei nº 14.133 de 01 de abril de 2021 e no Decreto Federal 10.024/2019 e constitui peça integrante, indispensável e inseparável do processo licitatório, visando viabilizar a aquisição dos bens descritos neste planejamento;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14.2. Deste modo, o presente documento contém os elementos básicos e essenciais determinados pela legislação, descritos de forma a subsidiar os interessados em participarem do certame licitatório na preparação da documentação e na elaboração da proposta;</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14.3. Os produtos que constituem o Objeto deste Termo de Referência enquadram-se no conceito de bens comuns, nos termos da legislação em vigor, onde os requisitos técnicos são suficientes para determinar o conjunto da solução escolhida e objeto é fornecido comercialmente por mais de uma empresa no mercado;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14.4. Assim, entende-se que a modalidade de licitação deverá ser PREGÃO, a ser realizada na forma ELETRÔNICA, com vistas a obter as melhores propostas para a Administração Pública.</w:t>
      </w:r>
    </w:p>
    <w:p w:rsidR="00AC771B" w:rsidRDefault="00AC771B">
      <w:pPr>
        <w:spacing w:line="240" w:lineRule="auto"/>
        <w:jc w:val="both"/>
        <w:rPr>
          <w:rFonts w:ascii="Times New Roman" w:eastAsia="Times New Roman" w:hAnsi="Times New Roman" w:cs="Times New Roman"/>
          <w:sz w:val="24"/>
          <w:szCs w:val="24"/>
        </w:rPr>
      </w:pPr>
    </w:p>
    <w:p w:rsidR="007234C2" w:rsidRPr="004814F4" w:rsidRDefault="00290C6D">
      <w:pPr>
        <w:spacing w:line="240" w:lineRule="auto"/>
        <w:ind w:right="-5"/>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 REGISTRO DE PREÇOS</w:t>
      </w:r>
    </w:p>
    <w:p w:rsidR="007234C2" w:rsidRPr="007234C2" w:rsidRDefault="007234C2" w:rsidP="007234C2">
      <w:pPr>
        <w:spacing w:line="240" w:lineRule="auto"/>
        <w:ind w:right="-5"/>
        <w:jc w:val="both"/>
        <w:rPr>
          <w:rFonts w:ascii="Times New Roman" w:eastAsia="Times New Roman" w:hAnsi="Times New Roman" w:cs="Times New Roman"/>
          <w:sz w:val="24"/>
          <w:szCs w:val="24"/>
        </w:rPr>
      </w:pPr>
      <w:r w:rsidRPr="007234C2">
        <w:rPr>
          <w:rFonts w:ascii="Times New Roman" w:eastAsia="Times New Roman" w:hAnsi="Times New Roman" w:cs="Times New Roman"/>
          <w:sz w:val="24"/>
          <w:szCs w:val="24"/>
        </w:rPr>
        <w:t>15.1. No caso da contratação pleiteada neste certame, o Registro de Preços é necessário uma vez que a contratação será realizada por demanda, conforme for surgindo a necessidade de intervenção.</w:t>
      </w:r>
    </w:p>
    <w:p w:rsidR="007234C2" w:rsidRPr="007234C2" w:rsidRDefault="007234C2" w:rsidP="007234C2">
      <w:pPr>
        <w:spacing w:line="240" w:lineRule="auto"/>
        <w:ind w:right="-5"/>
        <w:jc w:val="both"/>
        <w:rPr>
          <w:rFonts w:ascii="Times New Roman" w:eastAsia="Times New Roman" w:hAnsi="Times New Roman" w:cs="Times New Roman"/>
          <w:sz w:val="24"/>
          <w:szCs w:val="24"/>
        </w:rPr>
      </w:pPr>
      <w:r w:rsidRPr="007234C2">
        <w:rPr>
          <w:rFonts w:ascii="Times New Roman" w:eastAsia="Times New Roman" w:hAnsi="Times New Roman" w:cs="Times New Roman"/>
          <w:sz w:val="24"/>
          <w:szCs w:val="24"/>
        </w:rPr>
        <w:t>15.2. A adoção do Sistema de Registro de Preços – SRP para a futura e eventual contratação de empresa especializada na locação de horas de máquinas pesadas revela-se tecnicamente adequada, necessária e economicamente vantajosa, considerando as características do objeto, a natureza continuada das demandas operacionais do Município e, sobretudo, a impossibilidade de definição prévia e precisa dos quantitativos efetivamente necessários ao longo da vigência da contratação.</w:t>
      </w:r>
    </w:p>
    <w:p w:rsidR="007234C2" w:rsidRPr="007234C2" w:rsidRDefault="007234C2" w:rsidP="007234C2">
      <w:pPr>
        <w:spacing w:line="240" w:lineRule="auto"/>
        <w:ind w:right="-5"/>
        <w:jc w:val="both"/>
        <w:rPr>
          <w:rFonts w:ascii="Times New Roman" w:eastAsia="Times New Roman" w:hAnsi="Times New Roman" w:cs="Times New Roman"/>
          <w:sz w:val="24"/>
          <w:szCs w:val="24"/>
        </w:rPr>
      </w:pPr>
      <w:r w:rsidRPr="007234C2">
        <w:rPr>
          <w:rFonts w:ascii="Times New Roman" w:eastAsia="Times New Roman" w:hAnsi="Times New Roman" w:cs="Times New Roman"/>
          <w:sz w:val="24"/>
          <w:szCs w:val="24"/>
        </w:rPr>
        <w:t>15.3. Os serviços objeto desta contratação destinam-se à execução de atividades de manutenção e recuperação de estradas vicinais, conservação de vias urbanas não pavimentadas, terraplanagem, drenagem superficial, limpeza de áreas públicas e apoio a situações emergenciais, cujas demandas possuem elevado grau de variabilidade operacional, sazonalidade e imprevisibilidade, especialmente em razão das intensas variações climáticas, sobretudo durante o período chuvoso; da necessidade de intervenções emergenciais para garantia da trafegabilidade e acesso às comunidades rurais; da oscilação contínua da demanda conforme o desgaste natural das vias.</w:t>
      </w:r>
    </w:p>
    <w:p w:rsidR="007234C2" w:rsidRPr="007234C2" w:rsidRDefault="007234C2" w:rsidP="007234C2">
      <w:pPr>
        <w:spacing w:line="240" w:lineRule="auto"/>
        <w:ind w:right="-5"/>
        <w:jc w:val="both"/>
        <w:rPr>
          <w:rFonts w:ascii="Times New Roman" w:eastAsia="Times New Roman" w:hAnsi="Times New Roman" w:cs="Times New Roman"/>
          <w:sz w:val="24"/>
          <w:szCs w:val="24"/>
        </w:rPr>
      </w:pPr>
      <w:r w:rsidRPr="007234C2">
        <w:rPr>
          <w:rFonts w:ascii="Times New Roman" w:eastAsia="Times New Roman" w:hAnsi="Times New Roman" w:cs="Times New Roman"/>
          <w:sz w:val="24"/>
          <w:szCs w:val="24"/>
        </w:rPr>
        <w:t>15.4. Ressalta-se, ainda, que a remuneração por hora efetivamente trabalhada se harmoniza integralmente com a sistemática do Registro de Preços, permitindo controle preciso da execução, medição objetiva dos serviços prestados e pagamento proporcional à real utilização dos equipamentos, em observância aos princípios da economicidade, eficiência e vantajosidade da contratação pública.</w:t>
      </w:r>
    </w:p>
    <w:p w:rsidR="007234C2" w:rsidRPr="007234C2" w:rsidRDefault="007234C2" w:rsidP="007234C2">
      <w:pPr>
        <w:spacing w:line="240" w:lineRule="auto"/>
        <w:ind w:right="-5"/>
        <w:jc w:val="both"/>
        <w:rPr>
          <w:rFonts w:ascii="Times New Roman" w:eastAsia="Times New Roman" w:hAnsi="Times New Roman" w:cs="Times New Roman"/>
          <w:sz w:val="24"/>
          <w:szCs w:val="24"/>
        </w:rPr>
      </w:pPr>
      <w:r w:rsidRPr="007234C2">
        <w:rPr>
          <w:rFonts w:ascii="Times New Roman" w:eastAsia="Times New Roman" w:hAnsi="Times New Roman" w:cs="Times New Roman"/>
          <w:sz w:val="24"/>
          <w:szCs w:val="24"/>
        </w:rPr>
        <w:lastRenderedPageBreak/>
        <w:t>15.5. A contratação por demanda mostra-se especialmente necessária no presente caso em razão da significativa variação quantitativa da utilização dos equipamentos, uma vez que determinados períodos podem exigir intensa mobilização operacional, enquanto outros demandam utilização reduzida, circunstância incompatível com modelos contratuais de execução fixa e continuada.  </w:t>
      </w:r>
    </w:p>
    <w:p w:rsidR="007234C2" w:rsidRPr="007234C2" w:rsidRDefault="007234C2" w:rsidP="007234C2">
      <w:pPr>
        <w:spacing w:line="240" w:lineRule="auto"/>
        <w:ind w:right="-5"/>
        <w:jc w:val="both"/>
        <w:rPr>
          <w:rFonts w:ascii="Times New Roman" w:eastAsia="Times New Roman" w:hAnsi="Times New Roman" w:cs="Times New Roman"/>
          <w:sz w:val="24"/>
          <w:szCs w:val="24"/>
        </w:rPr>
      </w:pPr>
      <w:r w:rsidRPr="007234C2">
        <w:rPr>
          <w:rFonts w:ascii="Times New Roman" w:eastAsia="Times New Roman" w:hAnsi="Times New Roman" w:cs="Times New Roman"/>
          <w:sz w:val="24"/>
          <w:szCs w:val="24"/>
        </w:rPr>
        <w:t>15.6. A contratação através de Sistema de Registro de Preços, disciplinado pelo Artigo art. 82, inciso V, da Lei nº 14.133/2021.</w:t>
      </w:r>
    </w:p>
    <w:p w:rsidR="007234C2" w:rsidRPr="007234C2" w:rsidRDefault="007234C2" w:rsidP="007234C2">
      <w:pPr>
        <w:spacing w:line="240" w:lineRule="auto"/>
        <w:ind w:right="-5"/>
        <w:jc w:val="both"/>
        <w:rPr>
          <w:rFonts w:ascii="Times New Roman" w:eastAsia="Times New Roman" w:hAnsi="Times New Roman" w:cs="Times New Roman"/>
          <w:sz w:val="24"/>
          <w:szCs w:val="24"/>
        </w:rPr>
      </w:pPr>
      <w:r w:rsidRPr="007234C2">
        <w:rPr>
          <w:rFonts w:ascii="Times New Roman" w:eastAsia="Times New Roman" w:hAnsi="Times New Roman" w:cs="Times New Roman"/>
          <w:sz w:val="24"/>
          <w:szCs w:val="24"/>
        </w:rPr>
        <w:t>15.7. Após a adjudicação e a homologação do resultado da licitação pela autoridade competente, será efetuado o registro de preços mediante Ata de Registro de Preços, a ser firmada entre a(s) licitante(s) vencedora(s) e a Prefeitura Municipal de Cândido Mendes, com efeito de compromisso de fornecimento para futuras contratações.</w:t>
      </w:r>
    </w:p>
    <w:p w:rsidR="007234C2" w:rsidRPr="007234C2" w:rsidRDefault="007234C2" w:rsidP="007234C2">
      <w:pPr>
        <w:spacing w:line="240" w:lineRule="auto"/>
        <w:ind w:right="-5"/>
        <w:jc w:val="both"/>
        <w:rPr>
          <w:rFonts w:ascii="Times New Roman" w:eastAsia="Times New Roman" w:hAnsi="Times New Roman" w:cs="Times New Roman"/>
          <w:sz w:val="24"/>
          <w:szCs w:val="24"/>
        </w:rPr>
      </w:pPr>
      <w:r w:rsidRPr="007234C2">
        <w:rPr>
          <w:rFonts w:ascii="Times New Roman" w:eastAsia="Times New Roman" w:hAnsi="Times New Roman" w:cs="Times New Roman"/>
          <w:sz w:val="24"/>
          <w:szCs w:val="24"/>
        </w:rPr>
        <w:t>15.8. O prazo de vigência da Ata de Registro de Preços será de 12 (doze) meses, contados da sua publicação.</w:t>
      </w:r>
    </w:p>
    <w:p w:rsidR="00AC771B" w:rsidRDefault="00AC771B">
      <w:pPr>
        <w:spacing w:line="240" w:lineRule="auto"/>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16. DO CONTRATO </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16.1 O contrato, que obedecerá às condições estabelecidas no Edital e seus anexos, estará vinculado integralmente a este instrumento, implicando na obrigatoriedade da empresa licitante vencedora em cumprir todas as obrigações e condições especificadas neste Termo de Referência.</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16.2. O presente Termo de Referência, Edital e seus anexos, bem como a proposta da empresa licitante vencedora do certame, farão parte integrante do contrato, independente de transcrição.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16.3. O contrato poderá ser alterado nos termos do artigo 90 da lei nº 14.133/2021 e alterações posteriores, mediante as devidas justificativas.</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16.4. O contrato poderá ser rescindido a qualquer tempo, pela contratante, independentemente de qualquer notificação ou interpelação judicial, desde que a contratada deixe de cumprir com quaisquer das Cláusulas do Contrato, além de ficar sujeita às penalidades previstas na Lei nº 14.133 e no edital desta licitação.</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16.5. O contrato terá vigência de acordo com as condições estabelecidas na minuta do contrato, podendo ser celebrado a qualquer tempo durante a vigência da Ata de Registro de Preços.</w:t>
      </w:r>
    </w:p>
    <w:p w:rsidR="00AC771B" w:rsidRDefault="00AC771B">
      <w:pPr>
        <w:spacing w:line="240" w:lineRule="auto"/>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17. DOS ACRÉSCIMOS E SUPRESSÕES</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17.1. A empresa contratada fica obrigada a aceitar, nas mesmas condições contratuais, os acréscimos ou supressões sobre as quantidades, de até 25% (vinte e cinco por cento) do valor inicial atualizado do contrato.</w:t>
      </w:r>
    </w:p>
    <w:p w:rsidR="00AC771B" w:rsidRDefault="00AC771B">
      <w:pPr>
        <w:spacing w:line="240" w:lineRule="auto"/>
        <w:jc w:val="both"/>
        <w:rPr>
          <w:rFonts w:ascii="Times New Roman" w:eastAsia="Times New Roman" w:hAnsi="Times New Roman" w:cs="Times New Roman"/>
          <w:sz w:val="24"/>
          <w:szCs w:val="24"/>
        </w:rPr>
      </w:pP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 FUNDAMENTAÇÃO LEGAL </w:t>
      </w:r>
    </w:p>
    <w:p w:rsidR="00AC771B" w:rsidRDefault="00290C6D">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18.1. </w:t>
      </w:r>
      <w:r w:rsidR="00F66257" w:rsidRPr="00F66257">
        <w:rPr>
          <w:rFonts w:ascii="Times New Roman" w:eastAsia="Times New Roman" w:hAnsi="Times New Roman" w:cs="Times New Roman"/>
          <w:sz w:val="24"/>
          <w:szCs w:val="24"/>
          <w:lang w:val="pt-PT"/>
        </w:rPr>
        <w:t>O objeto deste Termo de Referência se fundamenta na lei  nº 14.133/2021 e suas alterações</w:t>
      </w:r>
      <w:r>
        <w:rPr>
          <w:rFonts w:ascii="Times New Roman" w:eastAsia="Times New Roman" w:hAnsi="Times New Roman" w:cs="Times New Roman"/>
          <w:sz w:val="24"/>
          <w:szCs w:val="24"/>
        </w:rPr>
        <w:t>.</w:t>
      </w:r>
    </w:p>
    <w:p w:rsidR="00AC771B" w:rsidRDefault="00AC771B">
      <w:pPr>
        <w:spacing w:line="240" w:lineRule="auto"/>
        <w:jc w:val="both"/>
        <w:rPr>
          <w:rFonts w:ascii="Times New Roman" w:eastAsia="Times New Roman" w:hAnsi="Times New Roman" w:cs="Times New Roman"/>
          <w:sz w:val="24"/>
          <w:szCs w:val="24"/>
        </w:rPr>
      </w:pPr>
    </w:p>
    <w:p w:rsidR="00AC771B" w:rsidRDefault="00290C6D" w:rsidP="004814F4">
      <w:pPr>
        <w:spacing w:before="120"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CÂNDIDO MENDES – MA, 17 de novembro de 2025</w:t>
      </w:r>
    </w:p>
    <w:p w:rsidR="00AC771B" w:rsidRDefault="00AC771B">
      <w:pPr>
        <w:spacing w:before="120" w:line="240" w:lineRule="auto"/>
        <w:ind w:right="-5"/>
        <w:jc w:val="center"/>
        <w:rPr>
          <w:rFonts w:ascii="Times New Roman" w:eastAsia="Times New Roman" w:hAnsi="Times New Roman" w:cs="Times New Roman"/>
          <w:sz w:val="24"/>
          <w:szCs w:val="24"/>
        </w:rPr>
      </w:pPr>
    </w:p>
    <w:p w:rsidR="00AC771B" w:rsidRDefault="00AC771B">
      <w:pPr>
        <w:spacing w:before="120" w:line="240" w:lineRule="auto"/>
        <w:ind w:right="-5"/>
        <w:rPr>
          <w:rFonts w:ascii="Times New Roman" w:eastAsia="Times New Roman" w:hAnsi="Times New Roman" w:cs="Times New Roman"/>
          <w:sz w:val="24"/>
          <w:szCs w:val="24"/>
        </w:rPr>
      </w:pPr>
    </w:p>
    <w:p w:rsidR="00AC771B" w:rsidRDefault="00AC771B">
      <w:pPr>
        <w:spacing w:before="120" w:line="240" w:lineRule="auto"/>
        <w:ind w:right="-5"/>
        <w:jc w:val="center"/>
        <w:rPr>
          <w:rFonts w:ascii="Times New Roman" w:eastAsia="Times New Roman" w:hAnsi="Times New Roman" w:cs="Times New Roman"/>
          <w:sz w:val="24"/>
          <w:szCs w:val="24"/>
        </w:rPr>
      </w:pPr>
    </w:p>
    <w:p w:rsidR="00AC771B" w:rsidRDefault="00290C6D">
      <w:pPr>
        <w:spacing w:before="120" w:line="240" w:lineRule="auto"/>
        <w:ind w:right="-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w:t>
      </w:r>
    </w:p>
    <w:p w:rsidR="00AC771B" w:rsidRDefault="00290C6D">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MONIELE DA SILVA FEITOSA</w:t>
      </w:r>
    </w:p>
    <w:p w:rsidR="00AC771B" w:rsidRDefault="00290C6D">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ENGENHEIRA</w:t>
      </w:r>
    </w:p>
    <w:p w:rsidR="00AC771B" w:rsidRDefault="00290C6D">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Nº do Registro: 1116784750MA</w:t>
      </w:r>
    </w:p>
    <w:p w:rsidR="00AC771B" w:rsidRDefault="00AC771B">
      <w:pPr>
        <w:pBdr>
          <w:top w:val="nil"/>
          <w:left w:val="nil"/>
          <w:bottom w:val="nil"/>
          <w:right w:val="nil"/>
          <w:between w:val="nil"/>
        </w:pBdr>
        <w:spacing w:line="240" w:lineRule="auto"/>
        <w:jc w:val="center"/>
        <w:rPr>
          <w:rFonts w:ascii="Times New Roman" w:eastAsia="Times New Roman" w:hAnsi="Times New Roman" w:cs="Times New Roman"/>
          <w:sz w:val="24"/>
          <w:szCs w:val="24"/>
        </w:rPr>
      </w:pPr>
      <w:bookmarkStart w:id="3" w:name="_GoBack"/>
      <w:bookmarkEnd w:id="3"/>
    </w:p>
    <w:sectPr w:rsidR="00AC771B" w:rsidSect="004814F4">
      <w:headerReference w:type="default" r:id="rId8"/>
      <w:footerReference w:type="default" r:id="rId9"/>
      <w:pgSz w:w="11909" w:h="16834"/>
      <w:pgMar w:top="1702" w:right="1440" w:bottom="381"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7403" w:rsidRDefault="00D67403">
      <w:pPr>
        <w:spacing w:line="240" w:lineRule="auto"/>
      </w:pPr>
      <w:r>
        <w:separator/>
      </w:r>
    </w:p>
  </w:endnote>
  <w:endnote w:type="continuationSeparator" w:id="0">
    <w:p w:rsidR="00D67403" w:rsidRDefault="00D674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1" w:fontKey="{ED3CF9E6-71E0-4BE2-9E82-9DBEC3C6A4E5}"/>
  </w:font>
  <w:font w:name="Calibri">
    <w:panose1 w:val="020F0502020204030204"/>
    <w:charset w:val="00"/>
    <w:family w:val="swiss"/>
    <w:pitch w:val="variable"/>
    <w:sig w:usb0="E4002EFF" w:usb1="C200247B" w:usb2="00000009" w:usb3="00000000" w:csb0="000001FF" w:csb1="00000000"/>
    <w:embedRegular r:id="rId2" w:fontKey="{27C2013F-3A36-4C50-8943-3A09897699B4}"/>
  </w:font>
  <w:font w:name="Cambria">
    <w:panose1 w:val="02040503050406030204"/>
    <w:charset w:val="00"/>
    <w:family w:val="roman"/>
    <w:pitch w:val="variable"/>
    <w:sig w:usb0="E00006FF" w:usb1="420024FF" w:usb2="02000000" w:usb3="00000000" w:csb0="0000019F" w:csb1="00000000"/>
    <w:embedRegular r:id="rId3" w:fontKey="{57380F25-E821-47B2-81D1-53A3D6BC0C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14F4" w:rsidRPr="007974BA" w:rsidRDefault="004814F4" w:rsidP="004814F4">
    <w:pPr>
      <w:tabs>
        <w:tab w:val="center" w:pos="4252"/>
        <w:tab w:val="right" w:pos="8504"/>
      </w:tabs>
      <w:spacing w:line="240" w:lineRule="auto"/>
      <w:jc w:val="center"/>
      <w:rPr>
        <w:rFonts w:ascii="Times New Roman" w:eastAsia="MS Mincho" w:hAnsi="Times New Roman" w:cs="Times New Roman"/>
        <w:b/>
        <w:bCs/>
        <w:i/>
        <w:iCs/>
        <w:color w:val="4F81BD"/>
        <w:sz w:val="20"/>
        <w:szCs w:val="20"/>
      </w:rPr>
    </w:pPr>
    <w:bookmarkStart w:id="6" w:name="_Hlk164177236"/>
    <w:r w:rsidRPr="007974BA">
      <w:rPr>
        <w:rFonts w:ascii="Ecofont_Spranq_eco_Sans" w:eastAsia="MS Mincho" w:hAnsi="Ecofont_Spranq_eco_Sans" w:cs="Tahoma"/>
        <w:noProof/>
        <w:sz w:val="24"/>
        <w:szCs w:val="20"/>
      </w:rPr>
      <w:drawing>
        <wp:anchor distT="0" distB="0" distL="114300" distR="114300" simplePos="0" relativeHeight="251662336" behindDoc="1" locked="0" layoutInCell="1" allowOverlap="1" wp14:anchorId="0FD8B348" wp14:editId="07629053">
          <wp:simplePos x="0" y="0"/>
          <wp:positionH relativeFrom="page">
            <wp:align>left</wp:align>
          </wp:positionH>
          <wp:positionV relativeFrom="paragraph">
            <wp:posOffset>216535</wp:posOffset>
          </wp:positionV>
          <wp:extent cx="1962150" cy="511935"/>
          <wp:effectExtent l="0" t="0" r="0" b="2540"/>
          <wp:wrapNone/>
          <wp:docPr id="6" name="Imagem 6" descr="For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28" descr="Forma&#10;&#10;Descrição gerada automaticamente com confiança baixa"/>
                  <pic:cNvPicPr/>
                </pic:nvPicPr>
                <pic:blipFill>
                  <a:blip r:embed="rId1">
                    <a:extLst>
                      <a:ext uri="{28A0092B-C50C-407E-A947-70E740481C1C}">
                        <a14:useLocalDpi xmlns:a14="http://schemas.microsoft.com/office/drawing/2010/main" val="0"/>
                      </a:ext>
                    </a:extLst>
                  </a:blip>
                  <a:stretch>
                    <a:fillRect/>
                  </a:stretch>
                </pic:blipFill>
                <pic:spPr>
                  <a:xfrm>
                    <a:off x="0" y="0"/>
                    <a:ext cx="1962150" cy="511935"/>
                  </a:xfrm>
                  <a:prstGeom prst="rect">
                    <a:avLst/>
                  </a:prstGeom>
                </pic:spPr>
              </pic:pic>
            </a:graphicData>
          </a:graphic>
          <wp14:sizeRelH relativeFrom="page">
            <wp14:pctWidth>0</wp14:pctWidth>
          </wp14:sizeRelH>
          <wp14:sizeRelV relativeFrom="page">
            <wp14:pctHeight>0</wp14:pctHeight>
          </wp14:sizeRelV>
        </wp:anchor>
      </w:drawing>
    </w:r>
    <w:r w:rsidRPr="007974BA">
      <w:rPr>
        <w:rFonts w:ascii="Times New Roman" w:eastAsia="MS Mincho" w:hAnsi="Times New Roman" w:cs="Times New Roman"/>
        <w:b/>
        <w:bCs/>
        <w:i/>
        <w:iCs/>
        <w:color w:val="4F81BD"/>
        <w:sz w:val="20"/>
        <w:szCs w:val="20"/>
      </w:rPr>
      <w:t>Rua Abel Ferraz, s/n – Piracambu - Cândido Mendes - MA</w:t>
    </w:r>
  </w:p>
  <w:p w:rsidR="004814F4" w:rsidRPr="007974BA" w:rsidRDefault="004814F4" w:rsidP="004814F4">
    <w:pPr>
      <w:tabs>
        <w:tab w:val="center" w:pos="4252"/>
        <w:tab w:val="right" w:pos="8504"/>
      </w:tabs>
      <w:spacing w:line="240" w:lineRule="auto"/>
      <w:jc w:val="center"/>
      <w:rPr>
        <w:rFonts w:ascii="Times New Roman" w:eastAsia="MS Mincho" w:hAnsi="Times New Roman" w:cs="Times New Roman"/>
        <w:b/>
        <w:bCs/>
        <w:i/>
        <w:iCs/>
        <w:color w:val="4F81BD"/>
        <w:sz w:val="20"/>
        <w:szCs w:val="20"/>
      </w:rPr>
    </w:pPr>
    <w:r w:rsidRPr="007974BA">
      <w:rPr>
        <w:rFonts w:ascii="Times New Roman" w:eastAsia="MS Mincho" w:hAnsi="Times New Roman" w:cs="Times New Roman"/>
        <w:b/>
        <w:bCs/>
        <w:i/>
        <w:iCs/>
        <w:color w:val="4F81BD"/>
        <w:sz w:val="20"/>
        <w:szCs w:val="20"/>
      </w:rPr>
      <w:t>CEP 65.280-000 - CNPJ nº 06.059.505/0001-08</w:t>
    </w:r>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7403" w:rsidRDefault="00D67403">
      <w:pPr>
        <w:spacing w:line="240" w:lineRule="auto"/>
      </w:pPr>
      <w:r>
        <w:separator/>
      </w:r>
    </w:p>
  </w:footnote>
  <w:footnote w:type="continuationSeparator" w:id="0">
    <w:p w:rsidR="00D67403" w:rsidRDefault="00D674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14F4" w:rsidRPr="00DF06EA" w:rsidRDefault="004814F4" w:rsidP="004814F4">
    <w:pPr>
      <w:spacing w:line="240" w:lineRule="auto"/>
      <w:contextualSpacing/>
      <w:jc w:val="center"/>
      <w:rPr>
        <w:rFonts w:ascii="Times New Roman" w:eastAsia="MS Mincho" w:hAnsi="Times New Roman" w:cs="Times New Roman"/>
        <w:b/>
      </w:rPr>
    </w:pPr>
    <w:bookmarkStart w:id="4" w:name="_Hlk145090859"/>
    <w:r w:rsidRPr="00DF06EA">
      <w:rPr>
        <w:rFonts w:ascii="Times New Roman" w:eastAsia="MS Mincho" w:hAnsi="Times New Roman" w:cs="Times New Roman"/>
        <w:noProof/>
        <w:sz w:val="32"/>
        <w:szCs w:val="28"/>
      </w:rPr>
      <w:drawing>
        <wp:anchor distT="0" distB="0" distL="114300" distR="114300" simplePos="0" relativeHeight="251660288" behindDoc="0" locked="0" layoutInCell="1" allowOverlap="1" wp14:anchorId="4D1BD86C" wp14:editId="404A7FBA">
          <wp:simplePos x="0" y="0"/>
          <wp:positionH relativeFrom="page">
            <wp:posOffset>160020</wp:posOffset>
          </wp:positionH>
          <wp:positionV relativeFrom="paragraph">
            <wp:posOffset>-365760</wp:posOffset>
          </wp:positionV>
          <wp:extent cx="1264776" cy="720000"/>
          <wp:effectExtent l="0" t="0" r="0" b="4445"/>
          <wp:wrapNone/>
          <wp:docPr id="4" name="Imagem 4"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png"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776"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06EA">
      <w:rPr>
        <w:rFonts w:ascii="Times New Roman" w:eastAsia="MS Mincho" w:hAnsi="Times New Roman" w:cs="Times New Roman"/>
        <w:noProof/>
      </w:rPr>
      <w:drawing>
        <wp:anchor distT="0" distB="0" distL="114300" distR="114300" simplePos="0" relativeHeight="251659264" behindDoc="0" locked="0" layoutInCell="1" allowOverlap="1" wp14:anchorId="0512C9E8" wp14:editId="3CD879C3">
          <wp:simplePos x="0" y="0"/>
          <wp:positionH relativeFrom="page">
            <wp:posOffset>6839585</wp:posOffset>
          </wp:positionH>
          <wp:positionV relativeFrom="paragraph">
            <wp:posOffset>-444500</wp:posOffset>
          </wp:positionV>
          <wp:extent cx="706120" cy="1296035"/>
          <wp:effectExtent l="0" t="0" r="0" b="0"/>
          <wp:wrapNone/>
          <wp:docPr id="5" name="Imagem 5" descr="Gráfico, Gráfico de pizz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26" descr="Gráfico, Gráfico de pizz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706120" cy="1296035"/>
                  </a:xfrm>
                  <a:prstGeom prst="rect">
                    <a:avLst/>
                  </a:prstGeom>
                </pic:spPr>
              </pic:pic>
            </a:graphicData>
          </a:graphic>
          <wp14:sizeRelH relativeFrom="page">
            <wp14:pctWidth>0</wp14:pctWidth>
          </wp14:sizeRelH>
          <wp14:sizeRelV relativeFrom="page">
            <wp14:pctHeight>0</wp14:pctHeight>
          </wp14:sizeRelV>
        </wp:anchor>
      </w:drawing>
    </w:r>
    <w:r w:rsidRPr="00DF06EA">
      <w:rPr>
        <w:rFonts w:ascii="Times New Roman" w:eastAsia="MS Mincho" w:hAnsi="Times New Roman" w:cs="Times New Roman"/>
        <w:b/>
      </w:rPr>
      <w:t>ESTADO DO MARANHÃO</w:t>
    </w:r>
  </w:p>
  <w:p w:rsidR="004814F4" w:rsidRPr="00DF06EA" w:rsidRDefault="004814F4" w:rsidP="004814F4">
    <w:pPr>
      <w:tabs>
        <w:tab w:val="center" w:pos="4252"/>
        <w:tab w:val="right" w:pos="8504"/>
      </w:tabs>
      <w:spacing w:line="240" w:lineRule="auto"/>
      <w:jc w:val="center"/>
      <w:rPr>
        <w:rFonts w:ascii="Times New Roman" w:eastAsia="MS Mincho" w:hAnsi="Times New Roman" w:cs="Times New Roman"/>
        <w:b/>
      </w:rPr>
    </w:pPr>
    <w:bookmarkStart w:id="5" w:name="_Hlk153980882"/>
    <w:r w:rsidRPr="00DF06EA">
      <w:rPr>
        <w:rFonts w:ascii="Times New Roman" w:eastAsia="MS Mincho" w:hAnsi="Times New Roman" w:cs="Times New Roman"/>
        <w:b/>
      </w:rPr>
      <w:t>PREFEITURA MUNICIPAL DE CÂNDIDO MENDES</w:t>
    </w:r>
  </w:p>
  <w:bookmarkEnd w:id="5"/>
  <w:p w:rsidR="004814F4" w:rsidRPr="00DF06EA" w:rsidRDefault="004814F4" w:rsidP="004814F4">
    <w:pPr>
      <w:spacing w:line="240" w:lineRule="auto"/>
      <w:jc w:val="center"/>
      <w:rPr>
        <w:rFonts w:ascii="Times New Roman" w:eastAsia="MS Mincho" w:hAnsi="Times New Roman" w:cs="Times New Roman"/>
        <w:b/>
      </w:rPr>
    </w:pPr>
    <w:r w:rsidRPr="00DF06EA">
      <w:rPr>
        <w:rFonts w:ascii="Times New Roman" w:eastAsia="MS Mincho" w:hAnsi="Times New Roman" w:cs="Times New Roman"/>
        <w:b/>
      </w:rPr>
      <w:t xml:space="preserve">SECRETARIA MUNICIPAL DE </w:t>
    </w:r>
    <w:bookmarkEnd w:id="4"/>
    <w:r w:rsidRPr="00DF06EA">
      <w:rPr>
        <w:rFonts w:ascii="Times New Roman" w:eastAsia="MS Mincho" w:hAnsi="Times New Roman" w:cs="Times New Roman"/>
        <w:b/>
      </w:rPr>
      <w:t>ADMINISTRAÇÃO, INDÚSTRIA E COMÉRCIO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A4874"/>
    <w:multiLevelType w:val="multilevel"/>
    <w:tmpl w:val="A77E0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105F8E"/>
    <w:multiLevelType w:val="multilevel"/>
    <w:tmpl w:val="3566D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71B"/>
    <w:rsid w:val="001C453E"/>
    <w:rsid w:val="00290C6D"/>
    <w:rsid w:val="004814F4"/>
    <w:rsid w:val="007234C2"/>
    <w:rsid w:val="00AC771B"/>
    <w:rsid w:val="00B53E39"/>
    <w:rsid w:val="00BA385E"/>
    <w:rsid w:val="00D67403"/>
    <w:rsid w:val="00F662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8571"/>
  <w15:docId w15:val="{489B9FD8-10AE-4CB9-8ED0-5A5B3AC7B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0" w:type="dxa"/>
        <w:left w:w="0" w:type="dxa"/>
        <w:bottom w:w="0" w:type="dxa"/>
        <w:right w:w="0" w:type="dxa"/>
      </w:tblCellMar>
    </w:tblPr>
  </w:style>
  <w:style w:type="table" w:customStyle="1" w:styleId="a">
    <w:basedOn w:val="TableNormal3"/>
    <w:tblPr>
      <w:tblStyleRowBandSize w:val="1"/>
      <w:tblStyleColBandSize w:val="1"/>
      <w:tblCellMar>
        <w:left w:w="70" w:type="dxa"/>
        <w:right w:w="70" w:type="dxa"/>
      </w:tblCellMar>
    </w:tblPr>
  </w:style>
  <w:style w:type="table" w:customStyle="1" w:styleId="a0">
    <w:basedOn w:val="TableNormal3"/>
    <w:tblPr>
      <w:tblStyleRowBandSize w:val="1"/>
      <w:tblStyleColBandSize w:val="1"/>
      <w:tblCellMar>
        <w:left w:w="70" w:type="dxa"/>
        <w:right w:w="70" w:type="dxa"/>
      </w:tblCellMar>
    </w:tblPr>
  </w:style>
  <w:style w:type="table" w:customStyle="1" w:styleId="a1">
    <w:basedOn w:val="TableNormal3"/>
    <w:tblPr>
      <w:tblStyleRowBandSize w:val="1"/>
      <w:tblStyleColBandSize w:val="1"/>
      <w:tblCellMar>
        <w:left w:w="70" w:type="dxa"/>
        <w:right w:w="70" w:type="dxa"/>
      </w:tblCellMar>
    </w:tblPr>
  </w:style>
  <w:style w:type="paragraph" w:styleId="PargrafodaLista">
    <w:name w:val="List Paragraph"/>
    <w:basedOn w:val="Normal"/>
    <w:uiPriority w:val="34"/>
    <w:qFormat/>
    <w:rsid w:val="007B25A1"/>
    <w:pPr>
      <w:ind w:left="720"/>
      <w:contextualSpacing/>
    </w:pPr>
  </w:style>
  <w:style w:type="character" w:styleId="Forte">
    <w:name w:val="Strong"/>
    <w:basedOn w:val="Tipodeletrapredefinidodopargrafo"/>
    <w:uiPriority w:val="22"/>
    <w:qFormat/>
    <w:rsid w:val="005B3D9B"/>
    <w:rPr>
      <w:b/>
      <w:bCs/>
    </w:rPr>
  </w:style>
  <w:style w:type="paragraph" w:styleId="SemEspaamento">
    <w:name w:val="No Spacing"/>
    <w:uiPriority w:val="1"/>
    <w:qFormat/>
    <w:rsid w:val="00E2050A"/>
    <w:pPr>
      <w:spacing w:line="240" w:lineRule="auto"/>
    </w:pPr>
  </w:style>
  <w:style w:type="paragraph" w:styleId="Subttulo">
    <w:name w:val="Subtitle"/>
    <w:basedOn w:val="Normal"/>
    <w:next w:val="Normal"/>
    <w:pPr>
      <w:keepNext/>
      <w:keepLines/>
      <w:spacing w:after="320"/>
    </w:pPr>
    <w:rPr>
      <w:color w:val="666666"/>
      <w:sz w:val="30"/>
      <w:szCs w:val="30"/>
    </w:rPr>
  </w:style>
  <w:style w:type="table" w:customStyle="1" w:styleId="a2">
    <w:basedOn w:val="TableNormal0"/>
    <w:tblPr>
      <w:tblStyleRowBandSize w:val="1"/>
      <w:tblStyleColBandSize w:val="1"/>
      <w:tblCellMar>
        <w:top w:w="0" w:type="dxa"/>
        <w:left w:w="70" w:type="dxa"/>
        <w:bottom w:w="0" w:type="dxa"/>
        <w:right w:w="70" w:type="dxa"/>
      </w:tblCellMar>
    </w:tblPr>
  </w:style>
  <w:style w:type="paragraph" w:styleId="Cabealho">
    <w:name w:val="header"/>
    <w:basedOn w:val="Normal"/>
    <w:link w:val="CabealhoCarter"/>
    <w:uiPriority w:val="99"/>
    <w:unhideWhenUsed/>
    <w:rsid w:val="004814F4"/>
    <w:pPr>
      <w:tabs>
        <w:tab w:val="center" w:pos="4252"/>
        <w:tab w:val="right" w:pos="8504"/>
      </w:tabs>
      <w:spacing w:line="240" w:lineRule="auto"/>
    </w:pPr>
  </w:style>
  <w:style w:type="character" w:customStyle="1" w:styleId="CabealhoCarter">
    <w:name w:val="Cabeçalho Caráter"/>
    <w:basedOn w:val="Tipodeletrapredefinidodopargrafo"/>
    <w:link w:val="Cabealho"/>
    <w:uiPriority w:val="99"/>
    <w:rsid w:val="004814F4"/>
  </w:style>
  <w:style w:type="paragraph" w:styleId="Rodap">
    <w:name w:val="footer"/>
    <w:basedOn w:val="Normal"/>
    <w:link w:val="RodapCarter"/>
    <w:uiPriority w:val="99"/>
    <w:unhideWhenUsed/>
    <w:rsid w:val="004814F4"/>
    <w:pPr>
      <w:tabs>
        <w:tab w:val="center" w:pos="4252"/>
        <w:tab w:val="right" w:pos="8504"/>
      </w:tabs>
      <w:spacing w:line="240" w:lineRule="auto"/>
    </w:pPr>
  </w:style>
  <w:style w:type="character" w:customStyle="1" w:styleId="RodapCarter">
    <w:name w:val="Rodapé Caráter"/>
    <w:basedOn w:val="Tipodeletrapredefinidodopargrafo"/>
    <w:link w:val="Rodap"/>
    <w:uiPriority w:val="99"/>
    <w:rsid w:val="00481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140122">
      <w:bodyDiv w:val="1"/>
      <w:marLeft w:val="0"/>
      <w:marRight w:val="0"/>
      <w:marTop w:val="0"/>
      <w:marBottom w:val="0"/>
      <w:divBdr>
        <w:top w:val="none" w:sz="0" w:space="0" w:color="auto"/>
        <w:left w:val="none" w:sz="0" w:space="0" w:color="auto"/>
        <w:bottom w:val="none" w:sz="0" w:space="0" w:color="auto"/>
        <w:right w:val="none" w:sz="0" w:space="0" w:color="auto"/>
      </w:divBdr>
    </w:div>
    <w:div w:id="20400806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M7yI9Vf7S+vSqII+JrFe13UIiA==">CgMxLjAyDmguaTg3ZzNibnU2NzZmMg5oLmZ5ajUwOGpjYjZqaDIOaC4zd2V4a3g3OWw1b3E4AHIhMWhVQjlkMXRzWDFaY2M3Y1Z3bE9QelJYR2VVaGpkN0dB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11</Pages>
  <Words>3414</Words>
  <Characters>18439</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Mayre</cp:lastModifiedBy>
  <cp:revision>5</cp:revision>
  <dcterms:created xsi:type="dcterms:W3CDTF">2025-07-30T15:32:00Z</dcterms:created>
  <dcterms:modified xsi:type="dcterms:W3CDTF">2026-06-08T18:35:00Z</dcterms:modified>
</cp:coreProperties>
</file>