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9061"/>
      </w:tblGrid>
      <w:tr w:rsidR="006477A5" w14:paraId="6AA3B681" w14:textId="77777777" w:rsidTr="006477A5"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D6C080" w14:textId="77777777" w:rsidR="006477A5" w:rsidRDefault="006477A5">
            <w:pPr>
              <w:spacing w:line="240" w:lineRule="auto"/>
              <w:jc w:val="both"/>
              <w:rPr>
                <w:rStyle w:val="fontstyle21"/>
                <w:rFonts w:cstheme="minorHAnsi"/>
                <w:b/>
                <w:bCs/>
                <w:color w:val="FF0000"/>
                <w:sz w:val="24"/>
                <w:szCs w:val="24"/>
              </w:rPr>
            </w:pPr>
            <w:r>
              <w:rPr>
                <w:rStyle w:val="fontstyle21"/>
                <w:rFonts w:cstheme="minorHAnsi"/>
                <w:b/>
                <w:bCs/>
                <w:sz w:val="24"/>
                <w:szCs w:val="24"/>
              </w:rPr>
              <w:t xml:space="preserve">8– </w:t>
            </w:r>
            <w:r>
              <w:rPr>
                <w:rFonts w:ascii="Calibri" w:hAnsi="Calibri" w:cs="Calibri"/>
                <w:b/>
                <w:bCs/>
                <w:caps/>
                <w:shd w:val="clear" w:color="auto" w:fill="E6E6E6"/>
              </w:rPr>
              <w:t>CRITÉRIOS DE MEDIÇÃO E PAGAMENTO</w:t>
            </w:r>
          </w:p>
        </w:tc>
      </w:tr>
    </w:tbl>
    <w:p w14:paraId="259D620F" w14:textId="77777777" w:rsidR="006477A5" w:rsidRDefault="006477A5" w:rsidP="006477A5">
      <w:pPr>
        <w:pStyle w:val="Nivel2"/>
        <w:rPr>
          <w:rStyle w:val="Forte"/>
          <w:color w:val="FF0000"/>
        </w:rPr>
      </w:pPr>
      <w:r>
        <w:t xml:space="preserve">8.1 </w:t>
      </w:r>
      <w:r>
        <w:rPr>
          <w:rFonts w:eastAsiaTheme="minorHAnsi"/>
        </w:rPr>
        <w:t xml:space="preserve">A avaliação da execução do objeto utilizará o Instrumento de Medição de Resultado (IMR), </w:t>
      </w:r>
    </w:p>
    <w:tbl>
      <w:tblPr>
        <w:tblW w:w="9439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13"/>
        <w:gridCol w:w="7026"/>
      </w:tblGrid>
      <w:tr w:rsidR="006477A5" w14:paraId="02A68D0C" w14:textId="77777777" w:rsidTr="006477A5">
        <w:trPr>
          <w:trHeight w:val="253"/>
          <w:tblHeader/>
          <w:tblCellSpacing w:w="7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C7A235" w14:textId="77777777" w:rsidR="006477A5" w:rsidRDefault="006477A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ÍNDICE DE ATRASO NA ENTREGA (IAE)</w:t>
            </w:r>
          </w:p>
        </w:tc>
      </w:tr>
      <w:tr w:rsidR="006477A5" w14:paraId="2480BAFC" w14:textId="77777777" w:rsidTr="006477A5">
        <w:trPr>
          <w:trHeight w:val="267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7DA4E7" w14:textId="77777777" w:rsidR="006477A5" w:rsidRDefault="006477A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Tópico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2C1DD1" w14:textId="77777777" w:rsidR="006477A5" w:rsidRDefault="006477A5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Descrição</w:t>
            </w:r>
          </w:p>
        </w:tc>
      </w:tr>
      <w:tr w:rsidR="006477A5" w14:paraId="5933E442" w14:textId="77777777" w:rsidTr="006477A5">
        <w:trPr>
          <w:trHeight w:val="520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922A23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Finalidade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6783B0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Medir o tempo de atraso na entrega dos produtos e serviços constantes na ordem de serviço.</w:t>
            </w:r>
          </w:p>
        </w:tc>
      </w:tr>
      <w:tr w:rsidR="006477A5" w14:paraId="3F18A619" w14:textId="77777777" w:rsidTr="006477A5">
        <w:trPr>
          <w:trHeight w:val="267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C8926A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Meta a cumprir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A5CF90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IAE menor ou igual a zero.</w:t>
            </w:r>
          </w:p>
        </w:tc>
      </w:tr>
      <w:tr w:rsidR="006477A5" w14:paraId="506086BE" w14:textId="77777777" w:rsidTr="006477A5">
        <w:trPr>
          <w:trHeight w:val="267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A8DE4E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Instrumento de medição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652C46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Ordem de Serviço e Termo de Recebimento Provisório.</w:t>
            </w:r>
          </w:p>
        </w:tc>
      </w:tr>
      <w:tr w:rsidR="006477A5" w14:paraId="3D53D308" w14:textId="77777777" w:rsidTr="006477A5">
        <w:trPr>
          <w:trHeight w:val="506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1E170B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Forma de acompanhamento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66C9AC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 avaliação será realizada por meio da verificação da data de entrega constante na Ordem de Serviço (OS) e da data de recebimento provisório das licenças.</w:t>
            </w:r>
          </w:p>
        </w:tc>
      </w:tr>
      <w:tr w:rsidR="006477A5" w14:paraId="537ED3CC" w14:textId="77777777" w:rsidTr="006477A5">
        <w:trPr>
          <w:trHeight w:val="267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D3A402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Periodicidade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47D337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Por ordem de serviço.</w:t>
            </w:r>
          </w:p>
        </w:tc>
      </w:tr>
      <w:tr w:rsidR="006477A5" w14:paraId="258F285E" w14:textId="77777777" w:rsidTr="006477A5">
        <w:trPr>
          <w:trHeight w:val="1026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902BD3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Mecanismo de Cálculo (métrica)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EE1B04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TEX = (DEE - DDE)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br/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Onde: TEX = Tempo de execução (quantidade de dias entre o envio da OS e o recebimento provisório). DDE = Data definida para entrega das licenças constante na Ordem de Serviço (OS). DEE = Data efetiva da entrega das licenças.</w:t>
            </w:r>
          </w:p>
        </w:tc>
      </w:tr>
      <w:tr w:rsidR="006477A5" w14:paraId="6F72930A" w14:textId="77777777" w:rsidTr="006477A5">
        <w:trPr>
          <w:trHeight w:val="773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0C75AB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Observações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0ADA97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Obs. 1: Serão utilizados dias corridos na medição. </w:t>
            </w:r>
          </w:p>
          <w:p w14:paraId="3070B8E9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Obs. 2: Os dias com expediente parcial no órgão/entidade serão considerados como dias corridos no cômputo do indicador.</w:t>
            </w:r>
          </w:p>
        </w:tc>
      </w:tr>
      <w:tr w:rsidR="006477A5" w14:paraId="384FB079" w14:textId="77777777" w:rsidTr="006477A5">
        <w:trPr>
          <w:trHeight w:val="253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7FE304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Início de Vigência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34D802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 partir da emissão da OS.</w:t>
            </w:r>
          </w:p>
        </w:tc>
      </w:tr>
      <w:tr w:rsidR="006477A5" w14:paraId="355E7CE5" w14:textId="77777777" w:rsidTr="006477A5">
        <w:trPr>
          <w:trHeight w:val="1519"/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31F370" w14:textId="77777777" w:rsidR="006477A5" w:rsidRDefault="006477A5">
            <w:pPr>
              <w:spacing w:after="0" w:line="240" w:lineRule="auto"/>
              <w:ind w:left="60" w:right="60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Faixas de ajuste no pagamento e Sanções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54F596" w14:textId="77777777" w:rsidR="006477A5" w:rsidRDefault="006477A5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Para valores iguais ou inferiores a 0 (zero) – Pagamento integral da OS;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De 1 a 10 (dias de atraso) – Glosa de 2,5% sobre o valor da OS.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De 11 a 20 (dias de atraso) – Glosa de 5% sobre o valor da OS.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De 21 a 30 (dias de atraso) - Glosa de 10% sobre o valor da OS;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Acima de 30 (dias de atraso) – Será aplicada a multa de 2% sobre o valor do Contrato, sem prejuízo de demais sanções.</w:t>
            </w:r>
          </w:p>
        </w:tc>
      </w:tr>
    </w:tbl>
    <w:p w14:paraId="04EA2B58" w14:textId="77777777" w:rsidR="006477A5" w:rsidRDefault="006477A5" w:rsidP="006477A5">
      <w:pPr>
        <w:spacing w:before="120" w:after="120" w:line="240" w:lineRule="auto"/>
        <w:ind w:right="120"/>
        <w:jc w:val="both"/>
        <w:rPr>
          <w:rStyle w:val="Forte"/>
          <w:rFonts w:ascii="Calibri" w:hAnsi="Calibri" w:cs="Calibri"/>
          <w:color w:val="FF0000"/>
        </w:rPr>
      </w:pPr>
    </w:p>
    <w:p w14:paraId="268D93C1" w14:textId="77777777" w:rsidR="006477A5" w:rsidRDefault="006477A5" w:rsidP="006477A5">
      <w:pPr>
        <w:pStyle w:val="itemnivel3"/>
        <w:spacing w:before="120" w:beforeAutospacing="0" w:after="120" w:afterAutospacing="0"/>
        <w:ind w:right="120"/>
        <w:jc w:val="both"/>
        <w:rPr>
          <w:color w:val="000000"/>
        </w:rPr>
      </w:pPr>
      <w:r>
        <w:rPr>
          <w:rFonts w:ascii="Calibri" w:hAnsi="Calibri" w:cs="Calibri"/>
          <w:color w:val="000000"/>
        </w:rPr>
        <w:t>8.2 Será indicada a retenção ou glosa no pagamento, proporcional à irregularidade verificada, sem prejuízo das sanções cabíveis, caso se constate que a Contratada:</w:t>
      </w:r>
    </w:p>
    <w:p w14:paraId="206A2337" w14:textId="77777777" w:rsidR="006477A5" w:rsidRDefault="006477A5" w:rsidP="006477A5">
      <w:pPr>
        <w:pStyle w:val="itemnivel3"/>
        <w:numPr>
          <w:ilvl w:val="0"/>
          <w:numId w:val="1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não produzir os resultados acordados;</w:t>
      </w:r>
    </w:p>
    <w:p w14:paraId="22D5AF20" w14:textId="77777777" w:rsidR="006477A5" w:rsidRDefault="006477A5" w:rsidP="006477A5">
      <w:pPr>
        <w:pStyle w:val="itemnivel3"/>
        <w:numPr>
          <w:ilvl w:val="0"/>
          <w:numId w:val="1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deixar de executar, ou não executar com a qualidade mínima exigida as atividades contratadas; ou</w:t>
      </w:r>
    </w:p>
    <w:p w14:paraId="7AAC36AA" w14:textId="77777777" w:rsidR="006477A5" w:rsidRDefault="006477A5" w:rsidP="006477A5">
      <w:pPr>
        <w:pStyle w:val="itemnivel3"/>
        <w:numPr>
          <w:ilvl w:val="0"/>
          <w:numId w:val="1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deixar de utilizar materiais e recursos humanos exigidos para a execução do serviço, ou utilizá-los com qualidade ou quantidade inferior à demandada.</w:t>
      </w:r>
    </w:p>
    <w:p w14:paraId="3BBA0202" w14:textId="77777777" w:rsidR="006477A5" w:rsidRDefault="006477A5" w:rsidP="006477A5">
      <w:pPr>
        <w:pStyle w:val="itemnivel3"/>
        <w:numPr>
          <w:ilvl w:val="1"/>
          <w:numId w:val="2"/>
        </w:numPr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bookmarkStart w:id="0" w:name="RefPro_jZXWFiw6bp1EChmB"/>
      <w:bookmarkEnd w:id="0"/>
      <w:r>
        <w:rPr>
          <w:rFonts w:ascii="Calibri" w:hAnsi="Calibri" w:cs="Calibri"/>
          <w:color w:val="000000"/>
        </w:rPr>
        <w:t>A utilização do IMR não impede a aplicação concomitante de outros mecanismos para a avaliação da prestação dos serviços.</w:t>
      </w:r>
    </w:p>
    <w:p w14:paraId="7B34FD2D" w14:textId="77777777" w:rsidR="00CA0A49" w:rsidRPr="006477A5" w:rsidRDefault="00CA0A49" w:rsidP="006477A5"/>
    <w:sectPr w:rsidR="00CA0A49" w:rsidRPr="006477A5" w:rsidSect="006477A5">
      <w:pgSz w:w="11906" w:h="16838"/>
      <w:pgMar w:top="1134" w:right="1134" w:bottom="1134" w:left="1701" w:header="1928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15F68"/>
    <w:multiLevelType w:val="hybridMultilevel"/>
    <w:tmpl w:val="B68CAC6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B553A"/>
    <w:multiLevelType w:val="multilevel"/>
    <w:tmpl w:val="C032CA34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A5"/>
    <w:rsid w:val="000257D6"/>
    <w:rsid w:val="000B3775"/>
    <w:rsid w:val="000C7172"/>
    <w:rsid w:val="0011551D"/>
    <w:rsid w:val="002E4F3E"/>
    <w:rsid w:val="003204CF"/>
    <w:rsid w:val="0036461F"/>
    <w:rsid w:val="003A6E7F"/>
    <w:rsid w:val="006477A5"/>
    <w:rsid w:val="00726104"/>
    <w:rsid w:val="007717B8"/>
    <w:rsid w:val="009245DF"/>
    <w:rsid w:val="00A71C92"/>
    <w:rsid w:val="00B97A2B"/>
    <w:rsid w:val="00CA0A49"/>
    <w:rsid w:val="00F92BFD"/>
    <w:rsid w:val="00FA6C3A"/>
    <w:rsid w:val="00FF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7897"/>
  <w15:chartTrackingRefBased/>
  <w15:docId w15:val="{061A4731-4834-4B16-8C23-7CA2CAB4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7A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temnivel3">
    <w:name w:val="item_nivel3"/>
    <w:basedOn w:val="Normal"/>
    <w:rsid w:val="00647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6477A5"/>
    <w:pPr>
      <w:shd w:val="clear" w:color="auto" w:fill="FFFFFF"/>
      <w:suppressAutoHyphens/>
      <w:autoSpaceDN w:val="0"/>
      <w:spacing w:before="120" w:after="120" w:line="276" w:lineRule="auto"/>
      <w:jc w:val="both"/>
    </w:pPr>
    <w:rPr>
      <w:rFonts w:ascii="Calibri" w:eastAsiaTheme="minorEastAsia" w:hAnsi="Calibri" w:cs="Calibri"/>
      <w:color w:val="000000"/>
      <w:sz w:val="24"/>
      <w:szCs w:val="24"/>
      <w:lang w:eastAsia="pt-BR"/>
    </w:rPr>
  </w:style>
  <w:style w:type="character" w:customStyle="1" w:styleId="fontstyle21">
    <w:name w:val="fontstyle21"/>
    <w:basedOn w:val="Fontepargpadro"/>
    <w:rsid w:val="006477A5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styleId="Tabelacomgrade">
    <w:name w:val="Table Grid"/>
    <w:basedOn w:val="Tabelanormal"/>
    <w:uiPriority w:val="39"/>
    <w:rsid w:val="006477A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6477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3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GARDENE DA CRUZ OLIVEIRA</dc:creator>
  <cp:keywords/>
  <dc:description/>
  <cp:lastModifiedBy>CARLA GARDENE DA CRUZ OLIVEIRA</cp:lastModifiedBy>
  <cp:revision>1</cp:revision>
  <dcterms:created xsi:type="dcterms:W3CDTF">2023-12-01T20:17:00Z</dcterms:created>
  <dcterms:modified xsi:type="dcterms:W3CDTF">2023-12-01T20:18:00Z</dcterms:modified>
</cp:coreProperties>
</file>