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2EBB" w14:textId="77777777" w:rsidR="00E36899" w:rsidRDefault="00E36899">
      <w:pPr>
        <w:spacing w:after="0" w:line="276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</w:p>
    <w:p w14:paraId="73B02EBC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PROJETO BÁSICO</w:t>
      </w:r>
    </w:p>
    <w:p w14:paraId="73B02EBD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bCs/>
          <w:i/>
          <w:iCs/>
          <w:sz w:val="22"/>
          <w:szCs w:val="22"/>
        </w:rPr>
      </w:pPr>
      <w:r>
        <w:rPr>
          <w:rFonts w:ascii="Times New Roman" w:hAnsi="Times New Roman"/>
          <w:bCs/>
          <w:i/>
          <w:iCs/>
          <w:sz w:val="22"/>
          <w:szCs w:val="22"/>
        </w:rPr>
        <w:t>Processo Administrativo n° 9584</w:t>
      </w:r>
      <w:r>
        <w:rPr>
          <w:rFonts w:ascii="Times New Roman" w:hAnsi="Times New Roman"/>
          <w:bCs/>
          <w:i/>
          <w:iCs/>
          <w:color w:val="000000" w:themeColor="text1"/>
          <w:sz w:val="22"/>
          <w:szCs w:val="22"/>
        </w:rPr>
        <w:t>/2024</w:t>
      </w:r>
    </w:p>
    <w:p w14:paraId="73B02EBE" w14:textId="77777777" w:rsidR="00E36899" w:rsidRDefault="00E36899">
      <w:pPr>
        <w:spacing w:after="0" w:line="276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</w:p>
    <w:p w14:paraId="73B02EBF" w14:textId="77777777" w:rsidR="00E36899" w:rsidRDefault="00B22FB9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OBJETO</w:t>
      </w:r>
    </w:p>
    <w:p w14:paraId="73B02EC0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 xml:space="preserve">Contratação de empresa especializada na prestação de serviços de Locação, instalação e manutenção de Central Telefônica inteligente, PABX em Nuvem (PABX CLOUD) com implantação, </w:t>
      </w:r>
      <w:r>
        <w:rPr>
          <w:rFonts w:ascii="Times New Roman" w:hAnsi="Times New Roman" w:cs="Times New Roman"/>
          <w:bCs/>
        </w:rPr>
        <w:t>configuração, manutenção e minutagem</w:t>
      </w:r>
      <w:r>
        <w:rPr>
          <w:rFonts w:ascii="Times New Roman" w:hAnsi="Times New Roman" w:cs="Arial"/>
          <w:bCs/>
        </w:rPr>
        <w:t>, para o Conselho Regional de Farmácia do Estado do Maranhão</w:t>
      </w:r>
      <w:r>
        <w:rPr>
          <w:rFonts w:ascii="Times New Roman" w:hAnsi="Times New Roman" w:cs="Times New Roman"/>
        </w:rPr>
        <w:t>.</w:t>
      </w:r>
    </w:p>
    <w:p w14:paraId="73B02EC1" w14:textId="77777777" w:rsidR="00E36899" w:rsidRDefault="00E36899">
      <w:pPr>
        <w:pStyle w:val="PargrafodaLista"/>
        <w:spacing w:after="0" w:line="276" w:lineRule="auto"/>
        <w:ind w:left="0"/>
        <w:jc w:val="both"/>
        <w:rPr>
          <w:rFonts w:ascii="Times New Roman" w:hAnsi="Times New Roman" w:cs="Times New Roman"/>
        </w:rPr>
      </w:pPr>
    </w:p>
    <w:p w14:paraId="73B02EC2" w14:textId="77777777" w:rsidR="00E36899" w:rsidRDefault="00B22FB9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</w:t>
      </w:r>
    </w:p>
    <w:p w14:paraId="73B02EC3" w14:textId="77777777" w:rsidR="00E36899" w:rsidRDefault="00B22FB9">
      <w:pPr>
        <w:widowControl w:val="0"/>
        <w:spacing w:after="0" w:line="276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Justificativa da necessidade</w:t>
      </w:r>
    </w:p>
    <w:p w14:paraId="73B02EC4" w14:textId="77777777" w:rsidR="00E36899" w:rsidRDefault="00B22FB9">
      <w:pPr>
        <w:pStyle w:val="Corpodetexto"/>
        <w:spacing w:line="276" w:lineRule="auto"/>
        <w:ind w:firstLine="599"/>
        <w:rPr>
          <w:sz w:val="22"/>
          <w:szCs w:val="22"/>
        </w:rPr>
      </w:pPr>
      <w:r>
        <w:rPr>
          <w:bCs/>
          <w:sz w:val="22"/>
          <w:szCs w:val="22"/>
        </w:rPr>
        <w:t xml:space="preserve">O Conselho Regional de Farmácia do Estado do Maranhão (CRF-MA) vem, por meio desta justificativa, formalizar a necessidade de contratação de </w:t>
      </w:r>
      <w:r>
        <w:rPr>
          <w:bCs/>
          <w:sz w:val="22"/>
          <w:szCs w:val="22"/>
        </w:rPr>
        <w:t>empresa especializada na prestação de serviços de Locação, instalação e manutenção de Central Telefônica inteligente, PABX em Nuvem (PABX CLOUD) com implantação, configuração, manutenção e minutagem</w:t>
      </w:r>
      <w:r>
        <w:rPr>
          <w:bCs/>
          <w:sz w:val="22"/>
          <w:szCs w:val="22"/>
        </w:rPr>
        <w:t>.</w:t>
      </w:r>
    </w:p>
    <w:p w14:paraId="73B02EC5" w14:textId="77777777" w:rsidR="00E36899" w:rsidRDefault="00B22FB9">
      <w:pPr>
        <w:pStyle w:val="Corpodetexto"/>
        <w:spacing w:line="276" w:lineRule="auto"/>
        <w:ind w:firstLine="599"/>
        <w:rPr>
          <w:sz w:val="22"/>
          <w:szCs w:val="22"/>
        </w:rPr>
      </w:pPr>
      <w:r>
        <w:rPr>
          <w:sz w:val="22"/>
          <w:szCs w:val="22"/>
        </w:rPr>
        <w:t xml:space="preserve">Diante do aumento anual das demandas em relação à quantidade de atendimentos telefônicos efetuados pelo </w:t>
      </w:r>
      <w:r>
        <w:rPr>
          <w:bCs/>
          <w:sz w:val="22"/>
          <w:szCs w:val="22"/>
        </w:rPr>
        <w:t>CRF-MA, a presente contratação é de suma importância para a celeridade nos atendimentos, bem como uma relação mais próxima entre o Conselho e seus demandantes. Além disso, a comunicação no dia a dia é essencial para o bom e eficiente trabalho dos servidores, visto que os ramais facilitam intercomunicação entre setores, melhorando e dando rapidez para os processos internos.</w:t>
      </w:r>
    </w:p>
    <w:p w14:paraId="73B02EC6" w14:textId="77777777" w:rsidR="00E36899" w:rsidRDefault="00B22FB9">
      <w:pPr>
        <w:pStyle w:val="Corpodetexto"/>
        <w:spacing w:line="276" w:lineRule="auto"/>
        <w:ind w:firstLine="599"/>
        <w:rPr>
          <w:sz w:val="22"/>
          <w:szCs w:val="22"/>
        </w:rPr>
      </w:pPr>
      <w:r>
        <w:rPr>
          <w:bCs/>
          <w:sz w:val="22"/>
          <w:szCs w:val="22"/>
        </w:rPr>
        <w:t xml:space="preserve">Diante do exposto, a contratação de </w:t>
      </w:r>
      <w:r>
        <w:rPr>
          <w:bCs/>
          <w:sz w:val="22"/>
          <w:szCs w:val="22"/>
        </w:rPr>
        <w:t>empresa especializada na prestação de serviços de Locação, instalação e manutenção de Central Telefônica inteligente, PABX em Nuvem (PABX CLOUD)</w:t>
      </w:r>
      <w:r>
        <w:rPr>
          <w:bCs/>
          <w:sz w:val="22"/>
          <w:szCs w:val="22"/>
        </w:rPr>
        <w:t xml:space="preserve"> apresenta-se como medida estratégica e essencial para fortalecer tanto a comunicação entre os setores internos do Conselho, bem como para estreitar as relações com os que </w:t>
      </w:r>
      <w:proofErr w:type="gramStart"/>
      <w:r>
        <w:rPr>
          <w:bCs/>
          <w:sz w:val="22"/>
          <w:szCs w:val="22"/>
        </w:rPr>
        <w:t>por ventura</w:t>
      </w:r>
      <w:proofErr w:type="gramEnd"/>
      <w:r>
        <w:rPr>
          <w:bCs/>
          <w:sz w:val="22"/>
          <w:szCs w:val="22"/>
        </w:rPr>
        <w:t xml:space="preserve"> venham a acionar os portais de comunicação do CRF-MA.</w:t>
      </w:r>
    </w:p>
    <w:p w14:paraId="73B02EC7" w14:textId="77777777" w:rsidR="00E36899" w:rsidRDefault="00E36899">
      <w:pPr>
        <w:pStyle w:val="PargrafodaLista"/>
        <w:spacing w:after="0" w:line="276" w:lineRule="auto"/>
        <w:ind w:left="0"/>
        <w:jc w:val="both"/>
        <w:rPr>
          <w:rFonts w:ascii="Times New Roman" w:eastAsia="Calibri" w:hAnsi="Times New Roman" w:cs="Times New Roman"/>
        </w:rPr>
      </w:pPr>
    </w:p>
    <w:p w14:paraId="73B02EC8" w14:textId="77777777" w:rsidR="00E36899" w:rsidRDefault="00E36899">
      <w:pPr>
        <w:pStyle w:val="PargrafodaLista"/>
        <w:spacing w:after="0" w:line="276" w:lineRule="auto"/>
        <w:ind w:left="0"/>
        <w:jc w:val="both"/>
        <w:rPr>
          <w:rFonts w:ascii="Times New Roman" w:eastAsia="Calibri" w:hAnsi="Times New Roman" w:cs="Times New Roman"/>
        </w:rPr>
      </w:pPr>
    </w:p>
    <w:p w14:paraId="73B02EC9" w14:textId="77777777" w:rsidR="00E36899" w:rsidRDefault="00B22FB9">
      <w:pPr>
        <w:spacing w:after="0" w:line="276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Do parcelamento da solução</w:t>
      </w:r>
    </w:p>
    <w:p w14:paraId="73B02ECA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</w:rPr>
        <w:t xml:space="preserve">A presente contratação deverá ser adjudicada de forma GLOBAL, considerando a inviabilidade de fracionamento do objeto sem </w:t>
      </w:r>
      <w:r>
        <w:rPr>
          <w:rFonts w:ascii="Times New Roman" w:eastAsia="Calibri" w:hAnsi="Times New Roman"/>
          <w:sz w:val="22"/>
          <w:szCs w:val="22"/>
        </w:rPr>
        <w:t>prejuízo ao complexo da contratação.</w:t>
      </w:r>
    </w:p>
    <w:p w14:paraId="73B02ECB" w14:textId="77777777" w:rsidR="00E36899" w:rsidRDefault="00E36899">
      <w:pPr>
        <w:spacing w:after="0" w:line="276" w:lineRule="auto"/>
        <w:contextualSpacing/>
        <w:jc w:val="both"/>
        <w:rPr>
          <w:rFonts w:ascii="Times New Roman" w:eastAsia="Calibri" w:hAnsi="Times New Roman"/>
          <w:sz w:val="22"/>
          <w:szCs w:val="22"/>
        </w:rPr>
      </w:pPr>
    </w:p>
    <w:p w14:paraId="73B02ECC" w14:textId="77777777" w:rsidR="00E36899" w:rsidRDefault="00B22FB9">
      <w:pPr>
        <w:spacing w:after="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Da utilização do sistema de registro de preços</w:t>
      </w:r>
    </w:p>
    <w:p w14:paraId="73B02ECD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 presente contratação é incompatível com o Sistema de Registro de Preços.</w:t>
      </w:r>
    </w:p>
    <w:p w14:paraId="73B02ECE" w14:textId="77777777" w:rsidR="00E36899" w:rsidRDefault="00E36899">
      <w:pPr>
        <w:pStyle w:val="PargrafodaLista"/>
        <w:spacing w:after="0" w:line="276" w:lineRule="auto"/>
        <w:ind w:left="0"/>
        <w:jc w:val="both"/>
        <w:rPr>
          <w:rFonts w:ascii="Times New Roman" w:eastAsia="Calibri" w:hAnsi="Times New Roman" w:cs="Times New Roman"/>
        </w:rPr>
      </w:pPr>
    </w:p>
    <w:p w14:paraId="73B02ECF" w14:textId="77777777" w:rsidR="00E36899" w:rsidRDefault="00B22FB9">
      <w:pPr>
        <w:spacing w:after="0" w:line="276" w:lineRule="auto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Do enquadramento como bem de luxo</w:t>
      </w:r>
    </w:p>
    <w:p w14:paraId="73B02ED0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</w:rPr>
        <w:t xml:space="preserve">O objeto desta contratação não se enquadra como sendo de </w:t>
      </w:r>
      <w:r>
        <w:rPr>
          <w:rFonts w:ascii="Times New Roman" w:eastAsia="Calibri" w:hAnsi="Times New Roman"/>
          <w:sz w:val="22"/>
          <w:szCs w:val="22"/>
        </w:rPr>
        <w:t>bem de luxo, conforme Decreto nº 10.818, de 27 de setembro de 2021.</w:t>
      </w:r>
    </w:p>
    <w:p w14:paraId="73B02ED1" w14:textId="77777777" w:rsidR="00E36899" w:rsidRDefault="00E36899">
      <w:pPr>
        <w:spacing w:after="0" w:line="276" w:lineRule="auto"/>
        <w:contextualSpacing/>
        <w:jc w:val="both"/>
        <w:rPr>
          <w:rFonts w:ascii="Times New Roman" w:eastAsia="Calibri" w:hAnsi="Times New Roman"/>
          <w:sz w:val="22"/>
          <w:szCs w:val="22"/>
        </w:rPr>
      </w:pPr>
    </w:p>
    <w:p w14:paraId="73B02ED2" w14:textId="77777777" w:rsidR="00E36899" w:rsidRDefault="00B22FB9">
      <w:pPr>
        <w:spacing w:after="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Da caracterização como bens ou serviços comuns</w:t>
      </w:r>
    </w:p>
    <w:p w14:paraId="73B02ED3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</w:rPr>
        <w:t>Os serviços objeto desta contratação não se caracterizam como serviços comuns vez que os padrões de desempenho e qualidade não podem ser objetivamente definidos pelo edital, por meio de especificações usuais de mercado.</w:t>
      </w:r>
    </w:p>
    <w:p w14:paraId="73B02ED4" w14:textId="77777777" w:rsidR="00E36899" w:rsidRDefault="00E36899">
      <w:pPr>
        <w:spacing w:after="0" w:line="276" w:lineRule="auto"/>
        <w:contextualSpacing/>
        <w:jc w:val="both"/>
        <w:rPr>
          <w:rFonts w:ascii="Times New Roman" w:eastAsia="Calibri" w:hAnsi="Times New Roman"/>
          <w:sz w:val="22"/>
          <w:szCs w:val="22"/>
        </w:rPr>
      </w:pPr>
    </w:p>
    <w:p w14:paraId="73B02ED5" w14:textId="77777777" w:rsidR="00E36899" w:rsidRDefault="00B22FB9">
      <w:pPr>
        <w:spacing w:after="0" w:line="276" w:lineRule="auto"/>
        <w:contextualSpacing/>
        <w:rPr>
          <w:rFonts w:ascii="Times New Roman" w:eastAsia="Calibri" w:hAnsi="Times New Roman"/>
          <w:b/>
          <w:bCs/>
          <w:sz w:val="22"/>
          <w:szCs w:val="22"/>
        </w:rPr>
      </w:pPr>
      <w:r>
        <w:rPr>
          <w:rFonts w:ascii="Times New Roman" w:eastAsia="Calibri" w:hAnsi="Times New Roman"/>
          <w:b/>
          <w:bCs/>
          <w:sz w:val="22"/>
          <w:szCs w:val="22"/>
        </w:rPr>
        <w:t>Do enquadramento como serviços continuados</w:t>
      </w:r>
    </w:p>
    <w:p w14:paraId="73B02ED6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 presente objeto é definido como serviços de natureza continuada, considerando se tratar de objeto necessário ao bom andamento e manutenção das atividades administrativas, decorrentes de necessidades permanente do Conselho Regional de Farmácia do Estado do Maranhão.</w:t>
      </w:r>
    </w:p>
    <w:p w14:paraId="73B02ED7" w14:textId="77777777" w:rsidR="00E36899" w:rsidRDefault="00E36899">
      <w:pPr>
        <w:spacing w:after="0" w:line="276" w:lineRule="auto"/>
        <w:contextualSpacing/>
        <w:jc w:val="both"/>
        <w:rPr>
          <w:rFonts w:ascii="Times New Roman" w:eastAsia="Calibri" w:hAnsi="Times New Roman"/>
          <w:sz w:val="22"/>
          <w:szCs w:val="22"/>
        </w:rPr>
      </w:pPr>
    </w:p>
    <w:p w14:paraId="73B02ED8" w14:textId="77777777" w:rsidR="00E36899" w:rsidRDefault="00B22FB9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/>
          <w:sz w:val="22"/>
          <w:szCs w:val="22"/>
        </w:rPr>
      </w:pPr>
      <w:r>
        <w:rPr>
          <w:rFonts w:ascii="Times New Roman" w:eastAsia="Calibri" w:hAnsi="Times New Roman"/>
          <w:b/>
          <w:sz w:val="22"/>
          <w:szCs w:val="22"/>
        </w:rPr>
        <w:t>FUNDAMENTAÇÃO LEGAL</w:t>
      </w:r>
    </w:p>
    <w:p w14:paraId="73B02ED9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</w:rPr>
        <w:t xml:space="preserve">Esta aquisição será regida pela Lei 14.133/21 e demais normas regulamentares. </w:t>
      </w:r>
    </w:p>
    <w:p w14:paraId="73B02EDA" w14:textId="77777777" w:rsidR="00E36899" w:rsidRDefault="00E36899">
      <w:pPr>
        <w:pStyle w:val="PargrafodaLista"/>
        <w:spacing w:after="0"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73B02EDB" w14:textId="77777777" w:rsidR="00E36899" w:rsidRDefault="00B22FB9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DESCRIÇÃO DO </w:t>
      </w:r>
      <w:r>
        <w:rPr>
          <w:rFonts w:ascii="Times New Roman" w:hAnsi="Times New Roman" w:cs="Times New Roman"/>
          <w:b/>
        </w:rPr>
        <w:t>OBJETO</w:t>
      </w:r>
    </w:p>
    <w:p w14:paraId="73B02EDC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lang w:eastAsia="pt-BR"/>
        </w:rPr>
        <w:t>O objeto deste Projeto Básico obedecerá às quantidades e especificações abaixo descritas:</w:t>
      </w:r>
    </w:p>
    <w:p w14:paraId="73B02EDD" w14:textId="77777777" w:rsidR="00E36899" w:rsidRDefault="00E36899">
      <w:pPr>
        <w:pStyle w:val="PargrafodaLista"/>
        <w:spacing w:after="0" w:line="276" w:lineRule="auto"/>
        <w:ind w:left="0"/>
        <w:jc w:val="both"/>
        <w:rPr>
          <w:rFonts w:ascii="Times New Roman" w:hAnsi="Times New Roman" w:cs="Times New Roman"/>
          <w:b/>
        </w:rPr>
      </w:pPr>
    </w:p>
    <w:tbl>
      <w:tblPr>
        <w:tblpPr w:leftFromText="141" w:rightFromText="141" w:vertAnchor="text" w:tblpXSpec="center" w:tblpY="1"/>
        <w:tblOverlap w:val="never"/>
        <w:tblW w:w="8785" w:type="dxa"/>
        <w:jc w:val="center"/>
        <w:tblLayout w:type="fixed"/>
        <w:tblLook w:val="04A0" w:firstRow="1" w:lastRow="0" w:firstColumn="1" w:lastColumn="0" w:noHBand="0" w:noVBand="1"/>
      </w:tblPr>
      <w:tblGrid>
        <w:gridCol w:w="960"/>
        <w:gridCol w:w="2864"/>
        <w:gridCol w:w="1134"/>
        <w:gridCol w:w="1275"/>
        <w:gridCol w:w="1277"/>
        <w:gridCol w:w="1275"/>
      </w:tblGrid>
      <w:tr w:rsidR="00E36899" w14:paraId="73B02EE4" w14:textId="77777777">
        <w:trPr>
          <w:trHeight w:val="2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B02EDE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B02EDF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MÓDULOS SOLICITADOS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B02EE0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B02EE1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B02EE2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VLR. UNIT.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B02EE3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VLR. TOTAL</w:t>
            </w:r>
          </w:p>
        </w:tc>
      </w:tr>
      <w:tr w:rsidR="00E36899" w14:paraId="73B02EF2" w14:textId="77777777">
        <w:trPr>
          <w:trHeight w:val="20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2EE5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B02EE6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Central telefônica inteligente com ramais integrados;</w:t>
            </w:r>
          </w:p>
          <w:p w14:paraId="73B02EE7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Digitalização da Linha;</w:t>
            </w:r>
          </w:p>
          <w:p w14:paraId="73B02EE8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Ligações </w:t>
            </w:r>
            <w:r>
              <w:rPr>
                <w:rFonts w:ascii="Times New Roman" w:hAnsi="Times New Roman"/>
                <w:sz w:val="22"/>
                <w:szCs w:val="22"/>
              </w:rPr>
              <w:t>ilimitadas para fixo e móvel de todo Brasil;</w:t>
            </w:r>
          </w:p>
          <w:p w14:paraId="73B02EE9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Fila de espera inteligente com vocalização da posição e tempo;</w:t>
            </w:r>
          </w:p>
          <w:p w14:paraId="73B02EEA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Sistema de relatórios;</w:t>
            </w:r>
          </w:p>
          <w:p w14:paraId="73B02EEB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Gestão e Controle;</w:t>
            </w:r>
          </w:p>
          <w:p w14:paraId="73B02EEC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Mensagens de atendimento personalizadas ilimitadas (URA de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Boas Vindas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e Fora de Expediente);</w:t>
            </w:r>
          </w:p>
          <w:p w14:paraId="73B02EED" w14:textId="77777777" w:rsidR="00E36899" w:rsidRDefault="00B22FB9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Implantação, Configuração, Manutenção e Minutagem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2EEE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Mês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2EEF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02EF0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02EF1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R$ 12.000,00</w:t>
            </w:r>
          </w:p>
        </w:tc>
      </w:tr>
      <w:tr w:rsidR="00E36899" w14:paraId="73B02EF9" w14:textId="77777777">
        <w:trPr>
          <w:trHeight w:val="20"/>
          <w:jc w:val="center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2EF3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B02EF4" w14:textId="77777777" w:rsidR="00E36899" w:rsidRDefault="00B22FB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Implantação da Plataforma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2EF5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2EF6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02EF7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02EF8" w14:textId="77777777" w:rsidR="00E36899" w:rsidRDefault="00B22FB9">
            <w:pPr>
              <w:pStyle w:val="western"/>
              <w:spacing w:beforeAutospacing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</w:tbl>
    <w:p w14:paraId="73B02EFA" w14:textId="77777777" w:rsidR="00E36899" w:rsidRDefault="00E36899">
      <w:pPr>
        <w:pStyle w:val="PargrafodaLista"/>
        <w:spacing w:after="0" w:line="276" w:lineRule="auto"/>
        <w:ind w:left="0"/>
        <w:rPr>
          <w:rFonts w:ascii="Times New Roman" w:hAnsi="Times New Roman" w:cs="Times New Roman"/>
          <w:b/>
        </w:rPr>
      </w:pPr>
    </w:p>
    <w:p w14:paraId="73B02EFB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Conforme proposta apresentada pela empresa sugerida junto aos Estudos Técnicos Preliminares.</w:t>
      </w:r>
    </w:p>
    <w:p w14:paraId="73B02EFC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Valor total estimado da contratação é de R$ 12.500,00 (</w:t>
      </w:r>
      <w:r>
        <w:rPr>
          <w:rFonts w:ascii="Times New Roman" w:hAnsi="Times New Roman" w:cs="Times New Roman"/>
          <w:bCs/>
        </w:rPr>
        <w:t>Doze mil e quinhentos reais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</w:rPr>
        <w:t>.</w:t>
      </w:r>
    </w:p>
    <w:p w14:paraId="73B02EFD" w14:textId="77777777" w:rsidR="00E36899" w:rsidRDefault="00E36899">
      <w:pPr>
        <w:pStyle w:val="PargrafodaLista"/>
        <w:spacing w:after="0" w:line="276" w:lineRule="auto"/>
        <w:ind w:left="0"/>
        <w:rPr>
          <w:rFonts w:ascii="Times New Roman" w:hAnsi="Times New Roman" w:cs="Times New Roman"/>
          <w:b/>
        </w:rPr>
      </w:pPr>
    </w:p>
    <w:p w14:paraId="73B02EFE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DESCRIÇÃO DA SOLUÇÃO COMO UM TODO</w:t>
      </w:r>
    </w:p>
    <w:p w14:paraId="73B02EFF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>Solução de serviço IPBX EM NUVEM, com as seguintes especificações:</w:t>
      </w:r>
    </w:p>
    <w:p w14:paraId="73B02F00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</w:pPr>
      <w:r>
        <w:rPr>
          <w:rFonts w:ascii="Times New Roman" w:hAnsi="Times New Roman" w:cs="Times New Roman"/>
          <w:w w:val="105"/>
        </w:rPr>
        <w:t xml:space="preserve">Protocolo SIP (protocolo de iniciação de sessão): protocolo </w:t>
      </w:r>
      <w:r>
        <w:rPr>
          <w:rFonts w:ascii="Times New Roman" w:hAnsi="Times New Roman" w:cs="Times New Roman"/>
          <w:w w:val="105"/>
        </w:rPr>
        <w:t xml:space="preserve">contido na camada do </w:t>
      </w:r>
      <w:proofErr w:type="spellStart"/>
      <w:r>
        <w:rPr>
          <w:rFonts w:ascii="Times New Roman" w:hAnsi="Times New Roman" w:cs="Times New Roman"/>
          <w:w w:val="105"/>
        </w:rPr>
        <w:t>MOdelo</w:t>
      </w:r>
      <w:proofErr w:type="spellEnd"/>
      <w:r>
        <w:rPr>
          <w:rFonts w:ascii="Times New Roman" w:hAnsi="Times New Roman" w:cs="Times New Roman"/>
          <w:w w:val="105"/>
        </w:rPr>
        <w:t xml:space="preserve"> OSI (Camada de aplicação do modelo TCP/IP) para comunicação multimídia;</w:t>
      </w:r>
    </w:p>
    <w:p w14:paraId="73B02F01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Menu Interativo: acesso através de conta/cadastro para gerenciamento da central PABX em nuvem;</w:t>
      </w:r>
    </w:p>
    <w:p w14:paraId="73B02F02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Níveis de acesso: possibilitar configuração de níveis de acesso e permissões de acordo com o perfil dos usuários;</w:t>
      </w:r>
    </w:p>
    <w:p w14:paraId="73B02F03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Acesso ao PABX através de smartphones (</w:t>
      </w:r>
      <w:proofErr w:type="spellStart"/>
      <w:r>
        <w:rPr>
          <w:rFonts w:ascii="Times New Roman" w:hAnsi="Times New Roman" w:cs="Times New Roman"/>
        </w:rPr>
        <w:t>android</w:t>
      </w:r>
      <w:proofErr w:type="spellEnd"/>
      <w:r>
        <w:rPr>
          <w:rFonts w:ascii="Times New Roman" w:hAnsi="Times New Roman" w:cs="Times New Roman"/>
        </w:rPr>
        <w:t xml:space="preserve"> e IOS) através de APP para SIP, telefones IP e </w:t>
      </w:r>
      <w:proofErr w:type="spellStart"/>
      <w:r>
        <w:rPr>
          <w:rFonts w:ascii="Times New Roman" w:hAnsi="Times New Roman" w:cs="Times New Roman"/>
        </w:rPr>
        <w:t>softphones</w:t>
      </w:r>
      <w:proofErr w:type="spellEnd"/>
      <w:r>
        <w:rPr>
          <w:rFonts w:ascii="Times New Roman" w:hAnsi="Times New Roman" w:cs="Times New Roman"/>
        </w:rPr>
        <w:t xml:space="preserve"> para Windows, no mínimo;</w:t>
      </w:r>
    </w:p>
    <w:p w14:paraId="73B02F04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Autoatendimento (Unidade de Resposta Audível – URA): personalizável pelo CRF-MA juntamente com a contratada, com menus configuráveis e com opções para teclar ramais, espera ou siga-me externo, no mínimo;</w:t>
      </w:r>
    </w:p>
    <w:p w14:paraId="73B02F05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Atendimento programado: possibilidade de mensagens personalizadas estabelecendo data e horário para recebimento de chamadas;</w:t>
      </w:r>
    </w:p>
    <w:p w14:paraId="73B02F06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Escolha da rota/caminho dos números fixos e contratados pelo CRF-MA, possibilitando a configuração de cada número para um ramal, usuário, setor, departamento ou autoatendimento;</w:t>
      </w:r>
    </w:p>
    <w:p w14:paraId="73B02F07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Fila de atendimento: gerenciar números em espera criando filas por chamadas entrantes;</w:t>
      </w:r>
    </w:p>
    <w:p w14:paraId="73B02F08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Música de espera: enquanto um número não é atendido após a URA, será emitido o som de música de espera para que não fique caracterizado abandono de ligação sendo esta música personalizável inclusive no quesito tempo de execução e nova informação da URA para que espere na linha ou entre em contato novamente;</w:t>
      </w:r>
    </w:p>
    <w:p w14:paraId="73B02F09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Desvio de chamadas: possibilitar encaminhamento de chamadas para outros números;</w:t>
      </w:r>
    </w:p>
    <w:p w14:paraId="73B02F0A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Mensagens de atendimento personalizadas e ilimitadas (nome, número, data e hora, no mínimo);</w:t>
      </w:r>
    </w:p>
    <w:p w14:paraId="73B02F0B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Status de ramais: verificação de ramais on-line/off-line;</w:t>
      </w:r>
    </w:p>
    <w:p w14:paraId="73B02F0C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Gravação de chamadas comportando um total de gravações de no mínimo de 1 (um) giga byte (GB), por ramal em arquivos diversos a cada chamada (efetuada ou recebida);</w:t>
      </w:r>
    </w:p>
    <w:p w14:paraId="73B02F0D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Grupos de atendimento: possibilitar a sequência de ramais no atendimento de cada setor ou departamento definidos na URA, sem sobrecarregar um </w:t>
      </w:r>
      <w:proofErr w:type="spellStart"/>
      <w:r>
        <w:rPr>
          <w:rFonts w:ascii="Times New Roman" w:hAnsi="Times New Roman" w:cs="Times New Roman"/>
        </w:rPr>
        <w:t>ramala</w:t>
      </w:r>
      <w:proofErr w:type="spellEnd"/>
      <w:r>
        <w:rPr>
          <w:rFonts w:ascii="Times New Roman" w:hAnsi="Times New Roman" w:cs="Times New Roman"/>
        </w:rPr>
        <w:t xml:space="preserve"> (balanceamento de atendimento);</w:t>
      </w:r>
    </w:p>
    <w:p w14:paraId="73B02F0E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Identificação de chamadas;</w:t>
      </w:r>
    </w:p>
    <w:p w14:paraId="73B02F0F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Histórico de ligações: entrada e saída;</w:t>
      </w:r>
    </w:p>
    <w:p w14:paraId="73B02F10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Configuração de ramais em aplicativo para smartphones: Compartilhamento da ligação do ramal com smartphones, configurado pelo aplicativo específico;</w:t>
      </w:r>
    </w:p>
    <w:p w14:paraId="73B02F11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Gravação de relatórios personalizáveis no idioma português (Brasil): TMA, TME, duração de tempo de ligações para ramais ou </w:t>
      </w:r>
      <w:proofErr w:type="gramStart"/>
      <w:r>
        <w:rPr>
          <w:rFonts w:ascii="Times New Roman" w:hAnsi="Times New Roman" w:cs="Times New Roman"/>
        </w:rPr>
        <w:t xml:space="preserve">gerais,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  <w:proofErr w:type="gramEnd"/>
      <w:r>
        <w:rPr>
          <w:rFonts w:ascii="Times New Roman" w:hAnsi="Times New Roman" w:cs="Times New Roman"/>
        </w:rPr>
        <w:t>;</w:t>
      </w:r>
    </w:p>
    <w:p w14:paraId="73B02F12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Backup Integrado.</w:t>
      </w:r>
    </w:p>
    <w:p w14:paraId="73B02F13" w14:textId="77777777" w:rsidR="00E36899" w:rsidRDefault="00B22FB9">
      <w:pPr>
        <w:pStyle w:val="PargrafodaLista"/>
        <w:widowControl w:val="0"/>
        <w:spacing w:after="0" w:line="276" w:lineRule="auto"/>
        <w:ind w:left="0" w:right="-1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3B02F14" w14:textId="77777777" w:rsidR="00E36899" w:rsidRDefault="00B22FB9">
      <w:pPr>
        <w:pStyle w:val="PargrafodaLista"/>
        <w:spacing w:after="0" w:line="276" w:lineRule="auto"/>
        <w:ind w:left="0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DAS </w:t>
      </w:r>
      <w:r>
        <w:rPr>
          <w:rFonts w:ascii="Times New Roman" w:eastAsia="Calibri" w:hAnsi="Times New Roman" w:cs="Times New Roman"/>
          <w:b/>
        </w:rPr>
        <w:t>ESPECIFICAÇÕES TÉCNICAS DO SISTEMA PABX EM NUVEM:</w:t>
      </w:r>
    </w:p>
    <w:p w14:paraId="73B02F15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 xml:space="preserve">Possuir interface intuitiva, em conformidade com as recomendações fornecidas pela </w:t>
      </w:r>
      <w:r>
        <w:rPr>
          <w:rFonts w:ascii="Times New Roman" w:eastAsia="Calibri" w:hAnsi="Times New Roman" w:cs="Times New Roman"/>
          <w:w w:val="105"/>
          <w:lang w:val="pt-PT"/>
        </w:rPr>
        <w:lastRenderedPageBreak/>
        <w:t>ANATEL;</w:t>
      </w:r>
    </w:p>
    <w:p w14:paraId="73B02F16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>Capacidade de 20 ramais, sem a perda de qualidade das ligações;</w:t>
      </w:r>
    </w:p>
    <w:p w14:paraId="73B02F17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>Garantir sigilo</w:t>
      </w:r>
      <w:r>
        <w:rPr>
          <w:rFonts w:ascii="Times New Roman" w:eastAsia="Calibri" w:hAnsi="Times New Roman" w:cs="Times New Roman"/>
          <w:w w:val="105"/>
          <w:lang w:val="pt-PT"/>
        </w:rPr>
        <w:t xml:space="preserve"> absoluto nas comunicações através de seus circuitos ou sistemas;</w:t>
      </w:r>
    </w:p>
    <w:p w14:paraId="73B02F18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>Possibilitar toques distintos e instantâneos nas chamadas internas ou externas para os ramais;</w:t>
      </w:r>
    </w:p>
    <w:p w14:paraId="73B02F19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>O sistema deverá ser acessível por qualquer dispositivo que tenha conexão com a Internet, compatível com arquitetura e protocoloe TCP/IP, permitindo as atividades de programação, manutenção, gerenciamento e supervisão de toda PABX;</w:t>
      </w:r>
    </w:p>
    <w:p w14:paraId="73B02F1A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>O Acesso ao sistema deverá ser criptografado, com protocolo de segurança (SSL) em seu link, solicitando acesso de login e senha de administrador, a serem passados para a Coordenação de Tecnologia da Informação do CFR-MA;</w:t>
      </w:r>
      <w:r>
        <w:rPr>
          <w:rFonts w:ascii="Times New Roman" w:eastAsia="Calibri" w:hAnsi="Times New Roman" w:cs="Times New Roman"/>
          <w:w w:val="105"/>
          <w:lang w:val="pt-PT"/>
        </w:rPr>
        <w:tab/>
      </w:r>
    </w:p>
    <w:p w14:paraId="73B02F1B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>O sistema deverá ser acessível pelos principais navegadores disponíveis no mercado (Google Chrome, Internet Explorer, Mozila Firefor, Opera, etc.);</w:t>
      </w:r>
    </w:p>
    <w:p w14:paraId="73B02F1C" w14:textId="77777777" w:rsidR="00E36899" w:rsidRDefault="00B22FB9">
      <w:pPr>
        <w:pStyle w:val="PargrafodaLista"/>
        <w:widowControl w:val="0"/>
        <w:numPr>
          <w:ilvl w:val="2"/>
          <w:numId w:val="1"/>
        </w:numPr>
        <w:spacing w:after="0" w:line="276" w:lineRule="auto"/>
        <w:ind w:left="0" w:right="-1" w:firstLine="0"/>
        <w:contextualSpacing w:val="0"/>
        <w:jc w:val="both"/>
        <w:rPr>
          <w:rFonts w:ascii="Times New Roman" w:eastAsia="Calibri" w:hAnsi="Times New Roman" w:cs="Times New Roman"/>
          <w:lang w:val="pt-PT"/>
        </w:rPr>
      </w:pPr>
      <w:r>
        <w:rPr>
          <w:rFonts w:ascii="Times New Roman" w:eastAsia="Calibri" w:hAnsi="Times New Roman" w:cs="Times New Roman"/>
          <w:w w:val="105"/>
          <w:lang w:val="pt-PT"/>
        </w:rPr>
        <w:t>Possibilitar geração de relatórios personalizados, estatísticos, de ligações receptivas e/ou ativas, tempo médio de atendimento (TMA), tempo médio de espera (TME), por ramais ou geral, etc.</w:t>
      </w:r>
    </w:p>
    <w:p w14:paraId="73B02F1D" w14:textId="77777777" w:rsidR="00E36899" w:rsidRDefault="00E36899">
      <w:pPr>
        <w:pStyle w:val="PargrafodaLista"/>
        <w:spacing w:after="0" w:line="276" w:lineRule="auto"/>
        <w:ind w:left="0"/>
        <w:jc w:val="both"/>
        <w:rPr>
          <w:rFonts w:ascii="Times New Roman" w:eastAsia="Calibri" w:hAnsi="Times New Roman" w:cs="Times New Roman"/>
          <w:w w:val="105"/>
          <w:lang w:val="pt-PT"/>
        </w:rPr>
      </w:pPr>
    </w:p>
    <w:p w14:paraId="73B02F1E" w14:textId="77777777" w:rsidR="00E36899" w:rsidRDefault="00B22FB9">
      <w:pPr>
        <w:widowControl w:val="0"/>
        <w:spacing w:after="0" w:line="276" w:lineRule="auto"/>
        <w:ind w:right="-1"/>
        <w:jc w:val="both"/>
        <w:rPr>
          <w:rFonts w:ascii="Times New Roman" w:eastAsia="Calibri" w:hAnsi="Times New Roman"/>
          <w:b/>
          <w:bCs/>
          <w:sz w:val="22"/>
          <w:szCs w:val="22"/>
          <w:lang w:val="pt-PT"/>
        </w:rPr>
      </w:pPr>
      <w:r>
        <w:rPr>
          <w:rFonts w:ascii="Times New Roman" w:eastAsia="Calibri" w:hAnsi="Times New Roman"/>
          <w:b/>
          <w:bCs/>
          <w:sz w:val="22"/>
          <w:szCs w:val="22"/>
          <w:lang w:val="pt-PT"/>
        </w:rPr>
        <w:t>DAS FACILIDADES DOS RAMAIS</w:t>
      </w:r>
      <w:r>
        <w:rPr>
          <w:rFonts w:ascii="Times New Roman" w:eastAsia="Calibri" w:hAnsi="Times New Roman"/>
          <w:b/>
          <w:bCs/>
          <w:sz w:val="22"/>
          <w:szCs w:val="22"/>
        </w:rPr>
        <w:t>:</w:t>
      </w:r>
    </w:p>
    <w:p w14:paraId="73B02F1F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Transferência nas chamadas de entrada e saída, segundo especificações do Autoatendimento (URA);</w:t>
      </w:r>
    </w:p>
    <w:p w14:paraId="73B02F20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Os ramais de um grupo ou setor poderão ser acessados por seus números individuais ou pelo geral do grupo;</w:t>
      </w:r>
    </w:p>
    <w:p w14:paraId="73B02F21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Chamada de retorno automático – rediscagem – para ligações entre ramais;</w:t>
      </w:r>
    </w:p>
    <w:p w14:paraId="73B02F22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Repetição do último número discado;</w:t>
      </w:r>
    </w:p>
    <w:p w14:paraId="73B02F23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Programação de </w:t>
      </w:r>
      <w:proofErr w:type="spellStart"/>
      <w:r>
        <w:rPr>
          <w:rFonts w:ascii="Times New Roman" w:hAnsi="Times New Roman" w:cs="Times New Roman"/>
          <w:bCs/>
        </w:rPr>
        <w:t>Siga-</w:t>
      </w:r>
      <w:proofErr w:type="gramStart"/>
      <w:r>
        <w:rPr>
          <w:rFonts w:ascii="Times New Roman" w:hAnsi="Times New Roman" w:cs="Times New Roman"/>
          <w:bCs/>
        </w:rPr>
        <w:t>ma</w:t>
      </w:r>
      <w:proofErr w:type="spellEnd"/>
      <w:r>
        <w:rPr>
          <w:rFonts w:ascii="Times New Roman" w:hAnsi="Times New Roman" w:cs="Times New Roman"/>
          <w:bCs/>
        </w:rPr>
        <w:t xml:space="preserve"> Externo</w:t>
      </w:r>
      <w:proofErr w:type="gramEnd"/>
      <w:r>
        <w:rPr>
          <w:rFonts w:ascii="Times New Roman" w:hAnsi="Times New Roman" w:cs="Times New Roman"/>
          <w:bCs/>
        </w:rPr>
        <w:t xml:space="preserve"> para número telefônico pré-programado, no recebimento de ligações internas e/ou externas;</w:t>
      </w:r>
    </w:p>
    <w:p w14:paraId="73B02F24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Captura de ramal que esteja tocando entre grupos e digitando o ramal específico;</w:t>
      </w:r>
    </w:p>
    <w:p w14:paraId="73B02F25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Transferência automática para um ramal</w:t>
      </w:r>
      <w:r>
        <w:rPr>
          <w:rFonts w:ascii="Times New Roman" w:hAnsi="Times New Roman" w:cs="Times New Roman"/>
          <w:bCs/>
        </w:rPr>
        <w:t xml:space="preserve"> predefinido em caso de toques de 15 segundos ou mais de duração;</w:t>
      </w:r>
    </w:p>
    <w:p w14:paraId="73B02F26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Captação de informações de Rede (IP, Máscara de rede, Gateway, data, </w:t>
      </w:r>
      <w:proofErr w:type="gramStart"/>
      <w:r>
        <w:rPr>
          <w:rFonts w:ascii="Times New Roman" w:hAnsi="Times New Roman" w:cs="Times New Roman"/>
          <w:bCs/>
        </w:rPr>
        <w:t>horário, etc.</w:t>
      </w:r>
      <w:proofErr w:type="gramEnd"/>
      <w:r>
        <w:rPr>
          <w:rFonts w:ascii="Times New Roman" w:hAnsi="Times New Roman" w:cs="Times New Roman"/>
          <w:bCs/>
        </w:rPr>
        <w:t>) via DHCP;</w:t>
      </w:r>
    </w:p>
    <w:p w14:paraId="73B02F27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Informações de Conta, Data e horários fornecidos pela configuração de rede;</w:t>
      </w:r>
    </w:p>
    <w:p w14:paraId="73B02F28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Status de rede (Informações de IPv4, MAC </w:t>
      </w:r>
      <w:proofErr w:type="spellStart"/>
      <w:r>
        <w:rPr>
          <w:rFonts w:ascii="Times New Roman" w:hAnsi="Times New Roman" w:cs="Times New Roman"/>
          <w:bCs/>
        </w:rPr>
        <w:t>Address</w:t>
      </w:r>
      <w:proofErr w:type="spellEnd"/>
      <w:r>
        <w:rPr>
          <w:rFonts w:ascii="Times New Roman" w:hAnsi="Times New Roman" w:cs="Times New Roman"/>
          <w:bCs/>
        </w:rPr>
        <w:t xml:space="preserve">, Máscara de rede, Gateway), de telefone (Informações como nome do aparelho, hardware, </w:t>
      </w:r>
      <w:proofErr w:type="gramStart"/>
      <w:r>
        <w:rPr>
          <w:rFonts w:ascii="Times New Roman" w:hAnsi="Times New Roman" w:cs="Times New Roman"/>
          <w:bCs/>
        </w:rPr>
        <w:t>Firmware, etc.</w:t>
      </w:r>
      <w:proofErr w:type="gramEnd"/>
      <w:r>
        <w:rPr>
          <w:rFonts w:ascii="Times New Roman" w:hAnsi="Times New Roman" w:cs="Times New Roman"/>
          <w:bCs/>
        </w:rPr>
        <w:t>) e Contas (Informação de qual conta/ramal está configurado no aparelho);</w:t>
      </w:r>
    </w:p>
    <w:p w14:paraId="73B02F29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Histórico de ligações (Entrada e Saída), podendo ser efetuada nova ligação ou retorno através dessa opção;</w:t>
      </w:r>
    </w:p>
    <w:p w14:paraId="73B02F2A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Agenda telefônica, com pesquisa direta ou por ordem alfabética, de uma lista predefinida em arquivo XML ou CSV;</w:t>
      </w:r>
    </w:p>
    <w:p w14:paraId="73B02F2B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Acesso ao menu do ramal através dos principais navegadores de Internet (Google Chrome, Internet Explorer, </w:t>
      </w:r>
      <w:proofErr w:type="spellStart"/>
      <w:r>
        <w:rPr>
          <w:rFonts w:ascii="Times New Roman" w:hAnsi="Times New Roman" w:cs="Times New Roman"/>
          <w:bCs/>
        </w:rPr>
        <w:t>Mozila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Firefor</w:t>
      </w:r>
      <w:proofErr w:type="spellEnd"/>
      <w:r>
        <w:rPr>
          <w:rFonts w:ascii="Times New Roman" w:hAnsi="Times New Roman" w:cs="Times New Roman"/>
          <w:bCs/>
        </w:rPr>
        <w:t>, Opera, etc.), digitando o IP para acesso ao WebService contendo todas as principais informações de configurações, bem como a sua personalização (Nome de exibição, upload de lista de contatos, configurar transferência de ligações por período de toque, data e horário manuais ou automáticos, etc.) com acesso criptografado com usuário e senha a serem disponibilizados para a Coordenação de Tecnologia da Informação do CRF-MA;</w:t>
      </w:r>
    </w:p>
    <w:p w14:paraId="73B02F2C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Funcionamento do ramal como roteador para outro dispositivo de rede (Computador </w:t>
      </w:r>
      <w:proofErr w:type="gramStart"/>
      <w:r>
        <w:rPr>
          <w:rFonts w:ascii="Times New Roman" w:hAnsi="Times New Roman" w:cs="Times New Roman"/>
          <w:bCs/>
        </w:rPr>
        <w:t xml:space="preserve">Pessoal, </w:t>
      </w:r>
      <w:proofErr w:type="spellStart"/>
      <w:r>
        <w:rPr>
          <w:rFonts w:ascii="Times New Roman" w:hAnsi="Times New Roman" w:cs="Times New Roman"/>
          <w:bCs/>
        </w:rPr>
        <w:t>etc</w:t>
      </w:r>
      <w:proofErr w:type="spellEnd"/>
      <w:proofErr w:type="gramEnd"/>
      <w:r>
        <w:rPr>
          <w:rFonts w:ascii="Times New Roman" w:hAnsi="Times New Roman" w:cs="Times New Roman"/>
          <w:bCs/>
        </w:rPr>
        <w:t>) através da segunda porta de conexão com a rede via RJ45;</w:t>
      </w:r>
    </w:p>
    <w:p w14:paraId="73B02F2D" w14:textId="77777777" w:rsidR="00E36899" w:rsidRDefault="00B22FB9">
      <w:pPr>
        <w:pStyle w:val="PargrafodaLista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Controle de volume durante as ligações e nos toques de chamadas.</w:t>
      </w:r>
    </w:p>
    <w:p w14:paraId="73B02F2E" w14:textId="77777777" w:rsidR="00E36899" w:rsidRDefault="00E36899">
      <w:pPr>
        <w:pStyle w:val="PargrafodaLista"/>
        <w:spacing w:after="0" w:line="276" w:lineRule="auto"/>
        <w:ind w:left="0"/>
        <w:rPr>
          <w:rFonts w:ascii="Times New Roman" w:hAnsi="Times New Roman" w:cs="Times New Roman"/>
          <w:b/>
        </w:rPr>
      </w:pPr>
    </w:p>
    <w:p w14:paraId="73B02F2F" w14:textId="77777777" w:rsidR="00E36899" w:rsidRDefault="00B22FB9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 VIGÊNCIA</w:t>
      </w:r>
    </w:p>
    <w:p w14:paraId="73B02F30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prazo de vigência da contratação é de 12 (doze) meses contados a partir da </w:t>
      </w:r>
      <w:r>
        <w:rPr>
          <w:rFonts w:ascii="Times New Roman" w:hAnsi="Times New Roman" w:cs="Times New Roman"/>
        </w:rPr>
        <w:t>assinatura do contrato, prorrogável por até 10 anos, na forma dos artigos 106 e 107 da Lei n° 14.133/2021.</w:t>
      </w:r>
    </w:p>
    <w:p w14:paraId="73B02F31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spacing w:val="-2"/>
        </w:rPr>
        <w:t>A prorrogação do contrato será mediante termo aditivo, a cada 12 (doze) meses, caso sejam preenchidos os requisitos abaixo enumerados de forma simultânea, e autorizado formalmente pela autoridade competente:</w:t>
      </w:r>
    </w:p>
    <w:p w14:paraId="73B02F32" w14:textId="77777777" w:rsidR="00E36899" w:rsidRDefault="00B22FB9">
      <w:pPr>
        <w:pStyle w:val="PargrafodaLista"/>
        <w:numPr>
          <w:ilvl w:val="2"/>
          <w:numId w:val="1"/>
        </w:numPr>
        <w:tabs>
          <w:tab w:val="left" w:pos="0"/>
          <w:tab w:val="left" w:pos="567"/>
        </w:tabs>
        <w:spacing w:after="0" w:line="276" w:lineRule="auto"/>
        <w:ind w:left="0" w:firstLine="0"/>
        <w:contextualSpacing w:val="0"/>
        <w:jc w:val="both"/>
        <w:rPr>
          <w:rFonts w:ascii="Times New Roman" w:eastAsia="Arial" w:hAnsi="Times New Roman" w:cs="Times New Roman"/>
          <w:spacing w:val="-2"/>
        </w:rPr>
      </w:pPr>
      <w:r>
        <w:rPr>
          <w:rFonts w:ascii="Times New Roman" w:eastAsia="Arial" w:hAnsi="Times New Roman" w:cs="Times New Roman"/>
          <w:spacing w:val="-2"/>
        </w:rPr>
        <w:t>Prestação regular dos serviços.</w:t>
      </w:r>
    </w:p>
    <w:p w14:paraId="73B02F33" w14:textId="77777777" w:rsidR="00E36899" w:rsidRDefault="00B22FB9">
      <w:pPr>
        <w:pStyle w:val="PargrafodaLista"/>
        <w:numPr>
          <w:ilvl w:val="2"/>
          <w:numId w:val="1"/>
        </w:numPr>
        <w:tabs>
          <w:tab w:val="left" w:pos="0"/>
          <w:tab w:val="left" w:pos="567"/>
        </w:tabs>
        <w:spacing w:after="0" w:line="276" w:lineRule="auto"/>
        <w:ind w:left="0" w:firstLine="0"/>
        <w:contextualSpacing w:val="0"/>
        <w:jc w:val="both"/>
        <w:rPr>
          <w:rFonts w:ascii="Times New Roman" w:eastAsia="Arial" w:hAnsi="Times New Roman" w:cs="Times New Roman"/>
          <w:spacing w:val="-2"/>
        </w:rPr>
      </w:pPr>
      <w:r>
        <w:rPr>
          <w:rFonts w:ascii="Times New Roman" w:eastAsia="Arial" w:hAnsi="Times New Roman" w:cs="Times New Roman"/>
          <w:spacing w:val="-2"/>
        </w:rPr>
        <w:t>Não aplicação de punições de natureza pecuniária por três vezes ou mais.</w:t>
      </w:r>
    </w:p>
    <w:p w14:paraId="73B02F34" w14:textId="77777777" w:rsidR="00E36899" w:rsidRDefault="00B22FB9">
      <w:pPr>
        <w:pStyle w:val="PargrafodaLista"/>
        <w:numPr>
          <w:ilvl w:val="2"/>
          <w:numId w:val="1"/>
        </w:numPr>
        <w:tabs>
          <w:tab w:val="left" w:pos="0"/>
          <w:tab w:val="left" w:pos="567"/>
        </w:tabs>
        <w:spacing w:after="0" w:line="276" w:lineRule="auto"/>
        <w:ind w:left="0" w:firstLine="0"/>
        <w:contextualSpacing w:val="0"/>
        <w:jc w:val="both"/>
        <w:rPr>
          <w:rFonts w:ascii="Times New Roman" w:eastAsia="Arial" w:hAnsi="Times New Roman" w:cs="Times New Roman"/>
          <w:spacing w:val="-2"/>
        </w:rPr>
      </w:pPr>
      <w:r>
        <w:rPr>
          <w:rFonts w:ascii="Times New Roman" w:eastAsia="Arial" w:hAnsi="Times New Roman" w:cs="Times New Roman"/>
          <w:spacing w:val="-2"/>
        </w:rPr>
        <w:t>Manutenção do interesse pela Administração na realização do serviço.</w:t>
      </w:r>
    </w:p>
    <w:p w14:paraId="73B02F35" w14:textId="77777777" w:rsidR="00E36899" w:rsidRDefault="00B22FB9">
      <w:pPr>
        <w:pStyle w:val="PargrafodaLista"/>
        <w:numPr>
          <w:ilvl w:val="2"/>
          <w:numId w:val="1"/>
        </w:numPr>
        <w:tabs>
          <w:tab w:val="left" w:pos="0"/>
          <w:tab w:val="left" w:pos="567"/>
        </w:tabs>
        <w:spacing w:after="0" w:line="276" w:lineRule="auto"/>
        <w:ind w:left="0" w:firstLine="0"/>
        <w:contextualSpacing w:val="0"/>
        <w:jc w:val="both"/>
        <w:rPr>
          <w:rFonts w:ascii="Times New Roman" w:eastAsia="Arial" w:hAnsi="Times New Roman" w:cs="Times New Roman"/>
          <w:spacing w:val="-2"/>
        </w:rPr>
      </w:pPr>
      <w:r>
        <w:rPr>
          <w:rFonts w:ascii="Times New Roman" w:eastAsia="Arial" w:hAnsi="Times New Roman" w:cs="Times New Roman"/>
          <w:spacing w:val="-2"/>
        </w:rPr>
        <w:t>Manutenção de vantagem econômica do valor do contrato para Administração. E</w:t>
      </w:r>
    </w:p>
    <w:p w14:paraId="73B02F36" w14:textId="77777777" w:rsidR="00E36899" w:rsidRDefault="00B22FB9">
      <w:pPr>
        <w:pStyle w:val="PargrafodaLista"/>
        <w:numPr>
          <w:ilvl w:val="2"/>
          <w:numId w:val="1"/>
        </w:numPr>
        <w:tabs>
          <w:tab w:val="left" w:pos="0"/>
          <w:tab w:val="left" w:pos="567"/>
        </w:tabs>
        <w:spacing w:after="0" w:line="276" w:lineRule="auto"/>
        <w:ind w:left="0" w:firstLine="0"/>
        <w:contextualSpacing w:val="0"/>
        <w:jc w:val="both"/>
        <w:rPr>
          <w:rFonts w:ascii="Times New Roman" w:eastAsia="Arial" w:hAnsi="Times New Roman" w:cs="Times New Roman"/>
          <w:spacing w:val="-2"/>
        </w:rPr>
      </w:pPr>
      <w:r>
        <w:rPr>
          <w:rFonts w:ascii="Times New Roman" w:eastAsia="Arial" w:hAnsi="Times New Roman" w:cs="Times New Roman"/>
          <w:spacing w:val="-2"/>
        </w:rPr>
        <w:t>Concordância expressa da CONTRATADA pela prorrogação.</w:t>
      </w:r>
    </w:p>
    <w:p w14:paraId="73B02F37" w14:textId="77777777" w:rsidR="00E36899" w:rsidRDefault="00B22FB9">
      <w:pPr>
        <w:pStyle w:val="PargrafodaLista"/>
        <w:numPr>
          <w:ilvl w:val="1"/>
          <w:numId w:val="1"/>
        </w:numPr>
        <w:tabs>
          <w:tab w:val="left" w:pos="0"/>
          <w:tab w:val="left" w:pos="426"/>
        </w:tabs>
        <w:spacing w:after="0" w:line="276" w:lineRule="auto"/>
        <w:ind w:left="0" w:firstLine="0"/>
        <w:contextualSpacing w:val="0"/>
        <w:jc w:val="both"/>
        <w:rPr>
          <w:rFonts w:ascii="Times New Roman" w:eastAsia="Arial" w:hAnsi="Times New Roman" w:cs="Times New Roman"/>
          <w:spacing w:val="-2"/>
        </w:rPr>
      </w:pPr>
      <w:r>
        <w:rPr>
          <w:rFonts w:ascii="Times New Roman" w:eastAsia="Arial" w:hAnsi="Times New Roman" w:cs="Times New Roman"/>
          <w:spacing w:val="-2"/>
        </w:rPr>
        <w:t xml:space="preserve">Não se realizará a prorrogação contratual quando a CONTRATADA tiver sido declarada inidônea ou suspensa no âmbito da União ou do próprio </w:t>
      </w:r>
      <w:r>
        <w:rPr>
          <w:rFonts w:ascii="Times New Roman" w:eastAsia="Arial" w:hAnsi="Times New Roman" w:cs="Times New Roman"/>
          <w:spacing w:val="-2"/>
        </w:rPr>
        <w:t>CONTRATANTE, enquanto perdurarem os efeitos.</w:t>
      </w:r>
    </w:p>
    <w:p w14:paraId="73B02F38" w14:textId="77777777" w:rsidR="00E36899" w:rsidRDefault="00E36899">
      <w:pPr>
        <w:pStyle w:val="PargrafodaLista"/>
        <w:spacing w:after="0" w:line="276" w:lineRule="auto"/>
        <w:ind w:left="0"/>
        <w:rPr>
          <w:rFonts w:ascii="Times New Roman" w:hAnsi="Times New Roman" w:cs="Times New Roman"/>
          <w:b/>
        </w:rPr>
      </w:pPr>
    </w:p>
    <w:p w14:paraId="73B02F39" w14:textId="77777777" w:rsidR="00E36899" w:rsidRDefault="00B22FB9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/>
          <w:bCs/>
          <w:lang w:eastAsia="pt-BR"/>
        </w:rPr>
      </w:pPr>
      <w:r>
        <w:rPr>
          <w:rFonts w:ascii="Times New Roman" w:eastAsia="Times New Roman" w:hAnsi="Times New Roman" w:cs="Times New Roman"/>
          <w:b/>
          <w:bCs/>
          <w:lang w:eastAsia="pt-BR"/>
        </w:rPr>
        <w:t xml:space="preserve">DOS </w:t>
      </w:r>
      <w:r>
        <w:rPr>
          <w:rFonts w:ascii="Times New Roman" w:eastAsia="Calibri" w:hAnsi="Times New Roman" w:cs="Times New Roman"/>
          <w:b/>
          <w:bCs/>
          <w:lang w:eastAsia="pt-BR"/>
        </w:rPr>
        <w:t>CRITÉRIOS DE MEDIÇÃO PARA PAGAMENTO</w:t>
      </w:r>
    </w:p>
    <w:p w14:paraId="73B02F3A" w14:textId="77777777" w:rsidR="00E36899" w:rsidRDefault="00B22FB9">
      <w:pPr>
        <w:spacing w:after="0" w:line="276" w:lineRule="auto"/>
        <w:contextualSpacing/>
        <w:jc w:val="both"/>
        <w:rPr>
          <w:rFonts w:ascii="Times New Roman" w:eastAsia="Calibri" w:hAnsi="Times New Roman"/>
          <w:b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/>
          <w:bCs/>
          <w:sz w:val="22"/>
          <w:szCs w:val="22"/>
          <w:lang w:eastAsia="pt-BR"/>
        </w:rPr>
        <w:t>Do recebimento</w:t>
      </w:r>
    </w:p>
    <w:p w14:paraId="73B02F3B" w14:textId="1088A4F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 xml:space="preserve">Deverá a CONTRATADA </w:t>
      </w:r>
      <w:r w:rsidR="00607267">
        <w:rPr>
          <w:rFonts w:ascii="Times New Roman" w:eastAsia="Calibri" w:hAnsi="Times New Roman"/>
          <w:sz w:val="22"/>
          <w:szCs w:val="22"/>
          <w:lang w:eastAsia="pt-BR"/>
        </w:rPr>
        <w:t>fatura e/ou</w:t>
      </w:r>
      <w:r>
        <w:rPr>
          <w:rFonts w:ascii="Times New Roman" w:eastAsia="Calibri" w:hAnsi="Times New Roman"/>
          <w:sz w:val="22"/>
          <w:szCs w:val="22"/>
          <w:lang w:eastAsia="pt-BR"/>
        </w:rPr>
        <w:t xml:space="preserve"> nota fiscal </w:t>
      </w:r>
      <w:r>
        <w:rPr>
          <w:rFonts w:ascii="Times New Roman" w:eastAsia="Calibri" w:hAnsi="Times New Roman"/>
          <w:sz w:val="22"/>
          <w:szCs w:val="22"/>
          <w:lang w:eastAsia="pt-BR"/>
        </w:rPr>
        <w:t>para o endereço de e-mail indicado pelo Fiscal do Contrato, devendo respeitar a cobrança dos serviços de forma mensal.</w:t>
      </w:r>
    </w:p>
    <w:p w14:paraId="73B02F3C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>Os serviços serão recebidos pelo Gestor do Contrato, após ateste de todas as fases e prestação dos serviços.</w:t>
      </w:r>
    </w:p>
    <w:p w14:paraId="73B02F3D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 xml:space="preserve">A Nota Fiscal ou Fatura deverá ser obrigatoriamente </w:t>
      </w:r>
      <w:r>
        <w:rPr>
          <w:rFonts w:ascii="Times New Roman" w:eastAsia="Calibri" w:hAnsi="Times New Roman"/>
          <w:sz w:val="22"/>
          <w:szCs w:val="22"/>
          <w:lang w:eastAsia="pt-BR"/>
        </w:rPr>
        <w:t>acompanhada da comprovação da regularidade fiscal, preferencialmente encaminhada pela CONTRATADA, ou constatada por meio de consulta on-line ao SICAF ou, na impossibilidade de acesso ao referido Sistema, mediante consulta aos sítios eletrônicos oficiais ou à documentação mencionada no art. 68 da Lei nº 14.133/2021.</w:t>
      </w:r>
    </w:p>
    <w:p w14:paraId="73B02F3E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>A Administração deverá realizar consulta ao SICAF para: a) verificar a manutenção das condições de habilitação exigidas no edital; b) identificar possível razão que impeça a participação em licitação, no âmbito do órgão ou entidade, que implique proibição de contratar com o Poder Público, bem como ocorrências impeditivas indiretas.</w:t>
      </w:r>
    </w:p>
    <w:p w14:paraId="73B02F3F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 xml:space="preserve">Constatando-se, junto ao SICAF, a situação de irregularidade do contratado, será providenciada sua notificação, por escrito, para que, no prazo de 5 (cinco) dias úteis, regularize sua </w:t>
      </w:r>
      <w:r>
        <w:rPr>
          <w:rFonts w:ascii="Times New Roman" w:eastAsia="Calibri" w:hAnsi="Times New Roman"/>
          <w:sz w:val="22"/>
          <w:szCs w:val="22"/>
          <w:lang w:eastAsia="pt-BR"/>
        </w:rPr>
        <w:lastRenderedPageBreak/>
        <w:t>situação ou, no mesmo prazo, apresente sua defesa. O prazo poderá ser prorrogado uma vez, por igual período, a critério do contratante.</w:t>
      </w:r>
    </w:p>
    <w:p w14:paraId="73B02F40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</w:t>
      </w:r>
    </w:p>
    <w:p w14:paraId="73B02F41" w14:textId="77777777" w:rsidR="00E36899" w:rsidRDefault="00E36899">
      <w:pPr>
        <w:spacing w:after="0" w:line="276" w:lineRule="auto"/>
        <w:jc w:val="both"/>
        <w:rPr>
          <w:rFonts w:ascii="Times New Roman" w:eastAsia="Calibri" w:hAnsi="Times New Roman"/>
          <w:sz w:val="22"/>
          <w:szCs w:val="22"/>
          <w:lang w:eastAsia="pt-BR"/>
        </w:rPr>
      </w:pPr>
    </w:p>
    <w:p w14:paraId="73B02F42" w14:textId="77777777" w:rsidR="00E36899" w:rsidRDefault="00B22FB9">
      <w:pPr>
        <w:spacing w:after="0" w:line="276" w:lineRule="auto"/>
        <w:contextualSpacing/>
        <w:jc w:val="both"/>
        <w:rPr>
          <w:rFonts w:ascii="Times New Roman" w:eastAsia="Calibri" w:hAnsi="Times New Roman"/>
          <w:b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/>
          <w:bCs/>
          <w:sz w:val="22"/>
          <w:szCs w:val="22"/>
          <w:lang w:eastAsia="pt-BR"/>
        </w:rPr>
        <w:t>Prazo para pagamento</w:t>
      </w:r>
    </w:p>
    <w:p w14:paraId="73B02F43" w14:textId="227B83E9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 xml:space="preserve">O pagamento será efetuado no prazo máximo de até 5 (cinco) dias úteis, </w:t>
      </w:r>
      <w:r w:rsidR="00607267">
        <w:rPr>
          <w:rFonts w:ascii="Times New Roman" w:eastAsia="Calibri" w:hAnsi="Times New Roman"/>
          <w:sz w:val="22"/>
          <w:szCs w:val="22"/>
          <w:lang w:eastAsia="pt-BR"/>
        </w:rPr>
        <w:t>de forma mensal, em data fixada pelo fiscal do contrato e a contratada.</w:t>
      </w:r>
    </w:p>
    <w:p w14:paraId="73B02F44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 xml:space="preserve">Nos casos de </w:t>
      </w:r>
      <w:r>
        <w:rPr>
          <w:rFonts w:ascii="Times New Roman" w:eastAsia="Calibri" w:hAnsi="Times New Roman"/>
          <w:sz w:val="22"/>
          <w:szCs w:val="22"/>
          <w:lang w:eastAsia="pt-BR"/>
        </w:rPr>
        <w:t>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73B02F45" w14:textId="77777777" w:rsidR="00E36899" w:rsidRDefault="00E36899">
      <w:pPr>
        <w:spacing w:after="0" w:line="276" w:lineRule="auto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</w:p>
    <w:p w14:paraId="73B02F46" w14:textId="77777777" w:rsidR="00E36899" w:rsidRDefault="00B22FB9">
      <w:pPr>
        <w:spacing w:after="0" w:line="276" w:lineRule="auto"/>
        <w:contextualSpacing/>
        <w:jc w:val="center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noProof/>
        </w:rPr>
        <w:drawing>
          <wp:inline distT="0" distB="0" distL="0" distR="0" wp14:anchorId="73B02F9E" wp14:editId="73B02F9F">
            <wp:extent cx="4894580" cy="1858010"/>
            <wp:effectExtent l="0" t="0" r="0" b="0"/>
            <wp:docPr id="1" name="Imagem 3" descr="Interface gráfica do usuári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Interface gráfica do usuário&#10;&#10;Descrição gerada automaticamente com confiança baix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8459" t="48476" r="22667" b="25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58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02F47" w14:textId="77777777" w:rsidR="00E36899" w:rsidRDefault="00E36899">
      <w:pPr>
        <w:widowControl w:val="0"/>
        <w:spacing w:after="0" w:line="276" w:lineRule="auto"/>
        <w:jc w:val="both"/>
        <w:rPr>
          <w:rFonts w:ascii="Times New Roman" w:hAnsi="Times New Roman"/>
          <w:b/>
          <w:bCs/>
          <w:sz w:val="22"/>
          <w:szCs w:val="22"/>
          <w:lang w:val="pt-PT" w:eastAsia="pt-BR"/>
        </w:rPr>
      </w:pPr>
    </w:p>
    <w:p w14:paraId="73B02F48" w14:textId="77777777" w:rsidR="00E36899" w:rsidRDefault="00B22FB9">
      <w:pPr>
        <w:widowControl w:val="0"/>
        <w:spacing w:after="0" w:line="276" w:lineRule="auto"/>
        <w:jc w:val="both"/>
        <w:rPr>
          <w:rFonts w:ascii="Times New Roman" w:hAnsi="Times New Roman"/>
          <w:b/>
          <w:bCs/>
          <w:sz w:val="22"/>
          <w:szCs w:val="22"/>
          <w:lang w:val="pt-PT" w:eastAsia="pt-BR"/>
        </w:rPr>
      </w:pPr>
      <w:r>
        <w:rPr>
          <w:rFonts w:ascii="Times New Roman" w:hAnsi="Times New Roman"/>
          <w:b/>
          <w:bCs/>
          <w:sz w:val="22"/>
          <w:szCs w:val="22"/>
          <w:lang w:val="pt-PT" w:eastAsia="pt-BR"/>
        </w:rPr>
        <w:t>Forma de pagamento</w:t>
      </w:r>
    </w:p>
    <w:p w14:paraId="73B02F49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hAnsi="Times New Roman"/>
          <w:sz w:val="22"/>
          <w:szCs w:val="22"/>
          <w:lang w:val="pt-PT" w:eastAsia="pt-BR"/>
        </w:rPr>
      </w:pPr>
      <w:r>
        <w:rPr>
          <w:rFonts w:ascii="Times New Roman" w:hAnsi="Times New Roman"/>
          <w:sz w:val="22"/>
          <w:szCs w:val="22"/>
          <w:lang w:val="pt-PT" w:eastAsia="pt-BR"/>
        </w:rPr>
        <w:t>O pagamento será realizado por meio de ordem bancária, para crédito em banco, agência e conta corrente indicados pela CONTRATADA, em valor fixo mensal.</w:t>
      </w:r>
    </w:p>
    <w:p w14:paraId="73B02F4A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hAnsi="Times New Roman"/>
          <w:sz w:val="22"/>
          <w:szCs w:val="22"/>
          <w:lang w:val="pt-PT" w:eastAsia="pt-BR"/>
        </w:rPr>
      </w:pPr>
      <w:r>
        <w:rPr>
          <w:rFonts w:ascii="Times New Roman" w:hAnsi="Times New Roman"/>
          <w:sz w:val="22"/>
          <w:szCs w:val="22"/>
          <w:lang w:val="pt-PT" w:eastAsia="pt-BR"/>
        </w:rPr>
        <w:t>Será considerada data do pagamento o dia em que constar como emitida a ordem bancária para pagamento.</w:t>
      </w:r>
    </w:p>
    <w:p w14:paraId="73B02F4B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hAnsi="Times New Roman"/>
          <w:sz w:val="22"/>
          <w:szCs w:val="22"/>
          <w:lang w:val="pt-PT" w:eastAsia="pt-BR"/>
        </w:rPr>
      </w:pPr>
      <w:r>
        <w:rPr>
          <w:rFonts w:ascii="Times New Roman" w:hAnsi="Times New Roman"/>
          <w:sz w:val="22"/>
          <w:szCs w:val="22"/>
          <w:lang w:val="pt-PT" w:eastAsia="pt-BR"/>
        </w:rPr>
        <w:t>Quando do pagamento, será efetuada a retenção tributária prevista na legislação aplicável.</w:t>
      </w:r>
    </w:p>
    <w:p w14:paraId="73B02F4C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hAnsi="Times New Roman"/>
          <w:sz w:val="22"/>
          <w:szCs w:val="22"/>
          <w:lang w:val="pt-PT" w:eastAsia="pt-BR"/>
        </w:rPr>
      </w:pPr>
      <w:r>
        <w:rPr>
          <w:rFonts w:ascii="Times New Roman" w:hAnsi="Times New Roman"/>
          <w:sz w:val="22"/>
          <w:szCs w:val="22"/>
          <w:lang w:val="pt-PT" w:eastAsia="pt-BR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73B02F4D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hAnsi="Times New Roman"/>
          <w:sz w:val="22"/>
          <w:szCs w:val="22"/>
          <w:lang w:val="pt-PT" w:eastAsia="pt-BR"/>
        </w:rPr>
      </w:pPr>
      <w:r>
        <w:rPr>
          <w:rFonts w:ascii="Times New Roman" w:hAnsi="Times New Roman"/>
          <w:sz w:val="22"/>
          <w:szCs w:val="22"/>
          <w:lang w:val="pt-PT" w:eastAsia="pt-BR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</w:t>
      </w:r>
    </w:p>
    <w:p w14:paraId="73B02F4E" w14:textId="77777777" w:rsidR="00E36899" w:rsidRDefault="00E36899">
      <w:pPr>
        <w:widowControl w:val="0"/>
        <w:spacing w:after="0" w:line="276" w:lineRule="auto"/>
        <w:jc w:val="both"/>
        <w:rPr>
          <w:rFonts w:ascii="Times New Roman" w:hAnsi="Times New Roman"/>
          <w:sz w:val="22"/>
          <w:szCs w:val="22"/>
          <w:lang w:eastAsia="pt-BR"/>
        </w:rPr>
      </w:pPr>
    </w:p>
    <w:p w14:paraId="73B02F4F" w14:textId="77777777" w:rsidR="00E36899" w:rsidRDefault="00B22FB9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/>
          <w:bCs/>
          <w:sz w:val="22"/>
          <w:szCs w:val="22"/>
          <w:lang w:eastAsia="pt-BR"/>
        </w:rPr>
        <w:lastRenderedPageBreak/>
        <w:t>DO REAJUSTE</w:t>
      </w:r>
    </w:p>
    <w:p w14:paraId="73B02F50" w14:textId="5C050F4C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>Os</w:t>
      </w:r>
      <w:r>
        <w:rPr>
          <w:rFonts w:ascii="Times New Roman" w:eastAsia="Calibri" w:hAnsi="Times New Roman"/>
          <w:sz w:val="22"/>
          <w:szCs w:val="22"/>
          <w:lang w:eastAsia="pt-BR"/>
        </w:rPr>
        <w:t xml:space="preserve"> preços poderão ser reajustados, mediante requerimento da CONTRATADA, com base </w:t>
      </w:r>
      <w:r w:rsidR="00CC0371">
        <w:rPr>
          <w:rFonts w:ascii="Times New Roman" w:eastAsia="Calibri" w:hAnsi="Times New Roman"/>
          <w:sz w:val="22"/>
          <w:szCs w:val="22"/>
          <w:lang w:eastAsia="pt-BR"/>
        </w:rPr>
        <w:t>IPCA</w:t>
      </w:r>
      <w:r>
        <w:rPr>
          <w:rFonts w:ascii="Times New Roman" w:eastAsia="Calibri" w:hAnsi="Times New Roman"/>
          <w:sz w:val="22"/>
          <w:szCs w:val="22"/>
          <w:lang w:eastAsia="pt-BR"/>
        </w:rPr>
        <w:t xml:space="preserve"> ou outro que vier a substituí-lo, observado o intervalo não inferior a 12 (doze) meses a contar da data de elaboração do orçamento estimado.</w:t>
      </w:r>
    </w:p>
    <w:p w14:paraId="73B02F51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 xml:space="preserve">Caberá à CONTRATADA a iniciativa e o encargo da apresentação da memória de cálculo do reajuste a ser pleiteado, cuja aprovação do percentual de reajuste deverá ser negociada e aprovada pelo CONTRATANTE, observando-se os valores praticados no mercado à época de sua concessão para serviços compatíveis com o objeto da contratação. </w:t>
      </w:r>
    </w:p>
    <w:p w14:paraId="73B02F52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>Os reajustes serão formalizados por meio de apostilamento e não poderão alterar o equilíbrio econômico-financeiro dos contratos, conforme art. 136 da Lei 14.133/2021.</w:t>
      </w:r>
    </w:p>
    <w:p w14:paraId="73B02F53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/>
          <w:sz w:val="22"/>
          <w:szCs w:val="22"/>
          <w:lang w:eastAsia="pt-BR"/>
        </w:rPr>
      </w:pPr>
      <w:r>
        <w:rPr>
          <w:rFonts w:ascii="Times New Roman" w:eastAsia="Calibri" w:hAnsi="Times New Roman"/>
          <w:sz w:val="22"/>
          <w:szCs w:val="22"/>
          <w:lang w:eastAsia="pt-BR"/>
        </w:rPr>
        <w:t xml:space="preserve">A omissão da contratada quanto ao seu </w:t>
      </w:r>
      <w:r>
        <w:rPr>
          <w:rFonts w:ascii="Times New Roman" w:eastAsia="Calibri" w:hAnsi="Times New Roman"/>
          <w:sz w:val="22"/>
          <w:szCs w:val="22"/>
          <w:lang w:eastAsia="pt-BR"/>
        </w:rPr>
        <w:t xml:space="preserve">direito de pleitear o reajuste, não será aceita como justificativa para o pedido de correção anual de preço com efeito retroativo à data a que legalmente faria jus, se não o fizer dentro do primeiro mês do aniversário deste instrumento, arcando </w:t>
      </w:r>
      <w:proofErr w:type="spellStart"/>
      <w:r>
        <w:rPr>
          <w:rFonts w:ascii="Times New Roman" w:eastAsia="Calibri" w:hAnsi="Times New Roman"/>
          <w:sz w:val="22"/>
          <w:szCs w:val="22"/>
          <w:lang w:eastAsia="pt-BR"/>
        </w:rPr>
        <w:t>esta</w:t>
      </w:r>
      <w:proofErr w:type="spellEnd"/>
      <w:r>
        <w:rPr>
          <w:rFonts w:ascii="Times New Roman" w:eastAsia="Calibri" w:hAnsi="Times New Roman"/>
          <w:sz w:val="22"/>
          <w:szCs w:val="22"/>
          <w:lang w:eastAsia="pt-BR"/>
        </w:rPr>
        <w:t>, portanto, por sua própria inércia.</w:t>
      </w:r>
    </w:p>
    <w:p w14:paraId="73B02F54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A CONTRATADA é obrigada a aceitar, nas mesmas condições contratuais, os acréscimos ou supressões que se fizerem necessários, até o limite de 25% (vinte e cinco por cento) do valor inicial atualizado do</w:t>
      </w:r>
      <w:r>
        <w:rPr>
          <w:rFonts w:ascii="Times New Roman" w:eastAsia="Times New Roman" w:hAnsi="Times New Roman"/>
          <w:spacing w:val="-4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contrato, nos termos do art. 125 da Lei 14.133/2021.</w:t>
      </w:r>
    </w:p>
    <w:p w14:paraId="73B02F55" w14:textId="77777777" w:rsidR="00E36899" w:rsidRDefault="00E36899">
      <w:pPr>
        <w:widowControl w:val="0"/>
        <w:spacing w:after="0" w:line="276" w:lineRule="auto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</w:p>
    <w:p w14:paraId="73B02F56" w14:textId="77777777" w:rsidR="00E36899" w:rsidRDefault="00B22FB9">
      <w:pPr>
        <w:pStyle w:val="PargrafodaLista"/>
        <w:numPr>
          <w:ilvl w:val="0"/>
          <w:numId w:val="1"/>
        </w:numPr>
        <w:spacing w:after="0" w:line="276" w:lineRule="auto"/>
        <w:ind w:left="0" w:firstLine="0"/>
        <w:rPr>
          <w:rFonts w:ascii="Times New Roman" w:eastAsia="Calibri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bCs/>
          <w:lang w:eastAsia="pt-BR"/>
        </w:rPr>
        <w:t xml:space="preserve">DO </w:t>
      </w:r>
      <w:r>
        <w:rPr>
          <w:rFonts w:ascii="Times New Roman" w:eastAsia="Calibri" w:hAnsi="Times New Roman" w:cs="Times New Roman"/>
          <w:b/>
          <w:lang w:eastAsia="pt-BR"/>
        </w:rPr>
        <w:t>MODELO DE GESTÃO DO CONTRATO</w:t>
      </w:r>
    </w:p>
    <w:p w14:paraId="73B02F57" w14:textId="77777777" w:rsidR="00E36899" w:rsidRDefault="00B22FB9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lang w:eastAsia="pt-BR"/>
        </w:rPr>
      </w:pPr>
      <w:r>
        <w:rPr>
          <w:rFonts w:ascii="Times New Roman" w:eastAsia="Calibri" w:hAnsi="Times New Roman" w:cs="Times New Roman"/>
          <w:bCs/>
          <w:lang w:eastAsia="pt-BR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73B02F58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As comunicações entre o CRF e a CONTRATADA devem ser realizadas por escrito sempre que o ato exigir tal formalidade, admitindo-se o uso de mensagem eletrônica para esse fim.</w:t>
      </w:r>
    </w:p>
    <w:p w14:paraId="73B02F59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O CRF poderá convocar representante da empresa para adoção de providências que devam ser cumpridas de imediato.</w:t>
      </w:r>
    </w:p>
    <w:p w14:paraId="73B02F5A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A execução do contrato deverá ser acompanhada e fiscalizada pelo(s) fiscal(</w:t>
      </w:r>
      <w:proofErr w:type="spellStart"/>
      <w:r>
        <w:rPr>
          <w:rFonts w:ascii="Times New Roman" w:eastAsia="Calibri" w:hAnsi="Times New Roman"/>
          <w:bCs/>
          <w:sz w:val="22"/>
          <w:szCs w:val="22"/>
          <w:lang w:eastAsia="pt-BR"/>
        </w:rPr>
        <w:t>is</w:t>
      </w:r>
      <w:proofErr w:type="spellEnd"/>
      <w:r>
        <w:rPr>
          <w:rFonts w:ascii="Times New Roman" w:eastAsia="Calibri" w:hAnsi="Times New Roman"/>
          <w:bCs/>
          <w:sz w:val="22"/>
          <w:szCs w:val="22"/>
          <w:lang w:eastAsia="pt-BR"/>
        </w:rPr>
        <w:t>) do contrato, ou pelos respectivos substitutos (Lei nº 14.133, de 2021, art. 117, caput).</w:t>
      </w:r>
    </w:p>
    <w:p w14:paraId="73B02F5B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 xml:space="preserve">O fiscal do contrato </w:t>
      </w:r>
      <w:r>
        <w:rPr>
          <w:rFonts w:ascii="Times New Roman" w:eastAsia="Calibri" w:hAnsi="Times New Roman"/>
          <w:bCs/>
          <w:sz w:val="22"/>
          <w:szCs w:val="22"/>
          <w:lang w:eastAsia="pt-BR"/>
        </w:rPr>
        <w:t>acompanhará a execução do contrato, para que sejam cumpridas todas as condições estabelecidas no contrato, de modo a assegurar os melhores resultados para a Administração. (Decreto nº 11.246, de 2022, art. 22, VI);</w:t>
      </w:r>
    </w:p>
    <w:p w14:paraId="73B02F5C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O fiscal do contrato anotará no histórico de gerenciamento do contrato todas as ocorrências relacionadas à execução do contrato, com a descrição do que for necessário para a regularização das faltas ou dos defeitos observados. (Lei nº 14.133, de 2021, art. 117, §1º, e Decreto nº 11.246, de 2022, art. 22, II);</w:t>
      </w:r>
    </w:p>
    <w:p w14:paraId="73B02F5D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Identificada qualquer inexatidão ou irregularidade, o fiscal do contrato emitirá notificações para a correção da execução do contrato, determinando prazo para a correção. (Decreto nº 11.246, de 2022, art. 22, III);</w:t>
      </w:r>
    </w:p>
    <w:p w14:paraId="73B02F5E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lastRenderedPageBreak/>
        <w:t>O fiscal do contrato informará ao gestor do contato, em tempo hábil, a situação que demandar decisão ou adoção de medidas que ultrapassem sua competência, para que adote as medidas necessárias e saneadoras, se for o caso. (Decreto nº 11.246, de 2022, art. 22, IV).</w:t>
      </w:r>
    </w:p>
    <w:p w14:paraId="73B02F5F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No caso de ocorrências que possam inviabilizar a execução do contrato nas datas aprazadas, o fiscal do contrato comunicará o fato imediatamente ao gestor do contrato. (Decreto nº 11.246, de 2022, art. 22, V).</w:t>
      </w:r>
    </w:p>
    <w:p w14:paraId="73B02F60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O fiscal do contrato comunicará ao gestor do contrato, em tempo hábil, o término do contrato sob sua responsabilidade, com vistas à renovação tempestiva ou à prorrogação contratual.</w:t>
      </w:r>
    </w:p>
    <w:p w14:paraId="73B02F61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 xml:space="preserve">O gestor do contrato acompanhará os registros realizados pelos fiscais do contrato, de todas as ocorrências relacionadas à execução do </w:t>
      </w:r>
      <w:r>
        <w:rPr>
          <w:rFonts w:ascii="Times New Roman" w:eastAsia="Calibri" w:hAnsi="Times New Roman"/>
          <w:bCs/>
          <w:sz w:val="22"/>
          <w:szCs w:val="22"/>
          <w:lang w:eastAsia="pt-BR"/>
        </w:rPr>
        <w:t>contrato e as medidas adotadas, informando, se for o caso, à autoridade superior àquelas que ultrapassarem a sua competência. (Decreto nº 11.246, de 2022, art. 21, II).</w:t>
      </w:r>
    </w:p>
    <w:p w14:paraId="73B02F62" w14:textId="77777777" w:rsidR="00E36899" w:rsidRDefault="00B22FB9">
      <w:pPr>
        <w:numPr>
          <w:ilvl w:val="1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pt-BR"/>
        </w:rPr>
      </w:pPr>
      <w:r>
        <w:rPr>
          <w:rFonts w:ascii="Times New Roman" w:eastAsia="Calibri" w:hAnsi="Times New Roman"/>
          <w:bCs/>
          <w:sz w:val="22"/>
          <w:szCs w:val="22"/>
          <w:lang w:eastAsia="pt-BR"/>
        </w:rPr>
        <w:t>O gestor do contrato deverá elaborará relatório final com informações sobre a consecução dos objetivos que tenham justificado a contratação e eventuais condutas a serem adotadas para o aprimoramento das atividades da Administração. (Decreto nº 11.246, de 2022, art. 21, VI).</w:t>
      </w:r>
    </w:p>
    <w:p w14:paraId="73B02F63" w14:textId="77777777" w:rsidR="00E36899" w:rsidRDefault="00E36899">
      <w:pPr>
        <w:spacing w:after="0" w:line="276" w:lineRule="auto"/>
        <w:rPr>
          <w:rFonts w:ascii="Times New Roman" w:eastAsia="Times New Roman" w:hAnsi="Times New Roman"/>
          <w:sz w:val="22"/>
          <w:szCs w:val="22"/>
          <w:lang w:eastAsia="pt-BR"/>
        </w:rPr>
      </w:pPr>
    </w:p>
    <w:p w14:paraId="73B02F64" w14:textId="77777777" w:rsidR="00E36899" w:rsidRDefault="00B22FB9">
      <w:pPr>
        <w:widowControl w:val="0"/>
        <w:numPr>
          <w:ilvl w:val="0"/>
          <w:numId w:val="1"/>
        </w:numPr>
        <w:spacing w:after="0" w:line="276" w:lineRule="auto"/>
        <w:ind w:left="0" w:firstLine="0"/>
        <w:outlineLvl w:val="0"/>
        <w:rPr>
          <w:rFonts w:ascii="Times New Roman" w:eastAsia="Times New Roman" w:hAnsi="Times New Roman"/>
          <w:b/>
          <w:bCs/>
          <w:sz w:val="22"/>
          <w:szCs w:val="22"/>
          <w:lang w:eastAsia="pt-BR"/>
        </w:rPr>
      </w:pPr>
      <w:r>
        <w:rPr>
          <w:rFonts w:ascii="Times New Roman" w:eastAsia="Times New Roman" w:hAnsi="Times New Roman"/>
          <w:b/>
          <w:bCs/>
          <w:sz w:val="22"/>
          <w:szCs w:val="22"/>
          <w:lang w:eastAsia="pt-BR"/>
        </w:rPr>
        <w:t>DAS SANÇÕES</w:t>
      </w:r>
      <w:r>
        <w:rPr>
          <w:rFonts w:ascii="Times New Roman" w:eastAsia="Times New Roman" w:hAnsi="Times New Roman"/>
          <w:b/>
          <w:bCs/>
          <w:spacing w:val="-7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b/>
          <w:bCs/>
          <w:sz w:val="22"/>
          <w:szCs w:val="22"/>
          <w:lang w:eastAsia="pt-BR"/>
        </w:rPr>
        <w:t>ADMINISTRATIVAS</w:t>
      </w:r>
    </w:p>
    <w:p w14:paraId="73B02F65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Comete infração administrativa nos termos do art. 155 da Lei nº 14,133, de 2021, a Contratada</w:t>
      </w:r>
      <w:r>
        <w:rPr>
          <w:rFonts w:ascii="Times New Roman" w:eastAsia="Times New Roman" w:hAnsi="Times New Roman"/>
          <w:spacing w:val="-6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que:</w:t>
      </w:r>
    </w:p>
    <w:p w14:paraId="73B02F66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der causa à inexecução total ou parcial de qualquer das obrigações assumidas em decorrência da</w:t>
      </w:r>
      <w:r>
        <w:rPr>
          <w:rFonts w:ascii="Times New Roman" w:eastAsia="Times New Roman" w:hAnsi="Times New Roman"/>
          <w:spacing w:val="-9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contratação;</w:t>
      </w:r>
    </w:p>
    <w:p w14:paraId="73B02F67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não mantiver a proposta, salvo em decorrência de fato superveniente devidamente</w:t>
      </w:r>
      <w:r>
        <w:rPr>
          <w:rFonts w:ascii="Times New Roman" w:eastAsia="Times New Roman" w:hAnsi="Times New Roman"/>
          <w:spacing w:val="-5"/>
          <w:sz w:val="22"/>
          <w:szCs w:val="22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justiﬁcado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>;</w:t>
      </w:r>
    </w:p>
    <w:p w14:paraId="73B02F68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não celebrar o contrato ou deixar de entregar a documentação exigida dentro do</w:t>
      </w:r>
      <w:r>
        <w:rPr>
          <w:rFonts w:ascii="Times New Roman" w:eastAsia="Times New Roman" w:hAnsi="Times New Roman"/>
          <w:spacing w:val="-6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prazo;</w:t>
      </w:r>
    </w:p>
    <w:p w14:paraId="73B02F69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ensejar o retardamento da execução ou entrega do objeto sem motivo</w:t>
      </w:r>
      <w:r>
        <w:rPr>
          <w:rFonts w:ascii="Times New Roman" w:eastAsia="Times New Roman" w:hAnsi="Times New Roman"/>
          <w:spacing w:val="-4"/>
          <w:sz w:val="22"/>
          <w:szCs w:val="22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justiﬁcado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>;</w:t>
      </w:r>
    </w:p>
    <w:p w14:paraId="73B02F6A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apresentar declaração ou documentação falsa exigida para o certame ou prestar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declaração falsa durante a licitação ou a execução do contrato;</w:t>
      </w:r>
    </w:p>
    <w:p w14:paraId="73B02F6B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fraudar a licitação ou praticar ato fraudulento na execução do</w:t>
      </w:r>
      <w:r>
        <w:rPr>
          <w:rFonts w:ascii="Times New Roman" w:eastAsia="Times New Roman" w:hAnsi="Times New Roman"/>
          <w:spacing w:val="-4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contrato;</w:t>
      </w:r>
    </w:p>
    <w:p w14:paraId="73B02F6C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comportar-se de modo inidôneo ou cometer fraude de qualquer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natureza;</w:t>
      </w:r>
    </w:p>
    <w:p w14:paraId="73B02F6D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praticar atos ilícitos com vistas a frustrar os objetivos da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licitação;</w:t>
      </w:r>
    </w:p>
    <w:p w14:paraId="73B02F6E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praticar ato lesivo previsto no</w:t>
      </w:r>
      <w:r>
        <w:rPr>
          <w:rFonts w:ascii="Times New Roman" w:eastAsia="Times New Roman" w:hAnsi="Times New Roman"/>
          <w:sz w:val="22"/>
          <w:szCs w:val="22"/>
          <w:u w:val="single" w:color="0000ED"/>
          <w:lang w:eastAsia="pt-BR"/>
        </w:rPr>
        <w:t xml:space="preserve"> </w:t>
      </w:r>
      <w:hyperlink r:id="rId9" w:anchor="art5" w:history="1">
        <w:r>
          <w:rPr>
            <w:rFonts w:ascii="Times New Roman" w:eastAsia="Times New Roman" w:hAnsi="Times New Roman"/>
            <w:sz w:val="22"/>
            <w:szCs w:val="22"/>
            <w:u w:val="single" w:color="0000ED"/>
            <w:lang w:eastAsia="pt-BR"/>
          </w:rPr>
          <w:t>art. 5º da Lei nº 12.846, de 1º de agosto de</w:t>
        </w:r>
      </w:hyperlink>
      <w:r>
        <w:rPr>
          <w:rFonts w:ascii="Times New Roman" w:eastAsia="Times New Roman" w:hAnsi="Times New Roman"/>
          <w:spacing w:val="-5"/>
          <w:sz w:val="22"/>
          <w:szCs w:val="22"/>
          <w:u w:val="single" w:color="0000ED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u w:val="single" w:color="0000ED"/>
          <w:lang w:eastAsia="pt-BR"/>
        </w:rPr>
        <w:t>2013.</w:t>
      </w:r>
    </w:p>
    <w:p w14:paraId="73B02F6F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Pela inexecução</w:t>
      </w:r>
      <w:r>
        <w:rPr>
          <w:rFonts w:ascii="Times New Roman" w:eastAsia="Times New Roman" w:hAnsi="Times New Roman"/>
          <w:sz w:val="22"/>
          <w:szCs w:val="22"/>
          <w:u w:val="single"/>
          <w:lang w:eastAsia="pt-BR"/>
        </w:rPr>
        <w:t xml:space="preserve"> total ou parcial</w:t>
      </w: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do objeto deste contrato, a Administração pode aplicar à </w:t>
      </w:r>
      <w:r>
        <w:rPr>
          <w:rFonts w:ascii="Times New Roman" w:eastAsia="Times New Roman" w:hAnsi="Times New Roman"/>
          <w:spacing w:val="-4"/>
          <w:sz w:val="22"/>
          <w:szCs w:val="22"/>
          <w:lang w:eastAsia="pt-BR"/>
        </w:rPr>
        <w:t xml:space="preserve">CONTRATADA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as seguintes</w:t>
      </w:r>
      <w:r>
        <w:rPr>
          <w:rFonts w:ascii="Times New Roman" w:eastAsia="Times New Roman" w:hAnsi="Times New Roman"/>
          <w:spacing w:val="-1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sanções:</w:t>
      </w:r>
    </w:p>
    <w:p w14:paraId="73B02F70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Advertência, por faltas leves, assim entendidas aquelas que não acarretem prejuízos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signiﬁcativos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para a</w:t>
      </w:r>
      <w:r>
        <w:rPr>
          <w:rFonts w:ascii="Times New Roman" w:eastAsia="Times New Roman" w:hAnsi="Times New Roman"/>
          <w:spacing w:val="-1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Contratante;</w:t>
      </w:r>
    </w:p>
    <w:p w14:paraId="73B02F71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multa moratória de 0,5%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(meio por cento) por dia de atraso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injustiﬁcado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sobre o valor da parcela inadimplida, até o limite de R$ 50,00 (cinquenta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reais);</w:t>
      </w:r>
    </w:p>
    <w:p w14:paraId="73B02F72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multa compensatória de 20% (vinte por cento) sobre o valor total do contrato, no caso de inexecução total do</w:t>
      </w:r>
      <w:r>
        <w:rPr>
          <w:rFonts w:ascii="Times New Roman" w:eastAsia="Times New Roman" w:hAnsi="Times New Roman"/>
          <w:spacing w:val="-17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objeto;</w:t>
      </w:r>
    </w:p>
    <w:p w14:paraId="73B02F73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em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caso de inexecução parcial, a multa compensatória, no mesmo percentual do subitem acima, será aplicada de forma proporcional à obrigação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inadimplida;</w:t>
      </w:r>
    </w:p>
    <w:p w14:paraId="73B02F74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lastRenderedPageBreak/>
        <w:t>suspensão de licitar e impedimento de contratar com o órgão, entidade ou unidade administrativa pela qual a Administração Pública opera e atua concretamente, pelo prazo de até dois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anos;</w:t>
      </w:r>
    </w:p>
    <w:p w14:paraId="73B02F75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impedimento de licitar e contratar com órgãos e entidades da União com o consequente descredenciamento no SICAF pelo prazo de até cinco anos;</w:t>
      </w:r>
    </w:p>
    <w:p w14:paraId="73B02F76" w14:textId="77777777" w:rsidR="00E36899" w:rsidRDefault="00B22FB9">
      <w:pPr>
        <w:widowControl w:val="0"/>
        <w:numPr>
          <w:ilvl w:val="3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A Sanção de impedimento de licitar e contratar prevista neste subitem também é aplicável em quaisquer das hipóteses previstas como infração administrativa no </w:t>
      </w:r>
      <w:proofErr w:type="gramStart"/>
      <w:r>
        <w:rPr>
          <w:rFonts w:ascii="Times New Roman" w:eastAsia="Times New Roman" w:hAnsi="Times New Roman"/>
          <w:sz w:val="22"/>
          <w:szCs w:val="22"/>
          <w:lang w:eastAsia="pt-BR"/>
        </w:rPr>
        <w:t>subitem  deste</w:t>
      </w:r>
      <w:proofErr w:type="gram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Projeto Básico/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Termo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de</w:t>
      </w:r>
      <w:r>
        <w:rPr>
          <w:rFonts w:ascii="Times New Roman" w:eastAsia="Times New Roman" w:hAnsi="Times New Roman"/>
          <w:spacing w:val="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Referência.</w:t>
      </w:r>
    </w:p>
    <w:p w14:paraId="73B02F77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causados;</w:t>
      </w:r>
    </w:p>
    <w:p w14:paraId="73B02F78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As sanções previstas nos subitens anteriores poderão ser aplicadas à </w:t>
      </w:r>
      <w:r>
        <w:rPr>
          <w:rFonts w:ascii="Times New Roman" w:eastAsia="Times New Roman" w:hAnsi="Times New Roman"/>
          <w:spacing w:val="-4"/>
          <w:sz w:val="22"/>
          <w:szCs w:val="22"/>
          <w:lang w:eastAsia="pt-BR"/>
        </w:rPr>
        <w:t xml:space="preserve">CONTRATADA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juntamente com as de multa,</w:t>
      </w:r>
      <w:r>
        <w:rPr>
          <w:rFonts w:ascii="Times New Roman" w:eastAsia="Times New Roman" w:hAnsi="Times New Roman"/>
          <w:spacing w:val="-2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descontando- a dos pagamentos a serem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efetuados.</w:t>
      </w:r>
    </w:p>
    <w:p w14:paraId="73B02F79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Também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ﬁcam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sujeitas às penalidades do art. 156, III e IV da Lei nº 14.133, de 2021, as empresas ou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proﬁssionais</w:t>
      </w:r>
      <w:proofErr w:type="spellEnd"/>
      <w:r>
        <w:rPr>
          <w:rFonts w:ascii="Times New Roman" w:eastAsia="Times New Roman" w:hAnsi="Times New Roman"/>
          <w:spacing w:val="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que:</w:t>
      </w:r>
    </w:p>
    <w:p w14:paraId="73B02F7A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tenham sofrido condenação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deﬁnitiva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por 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praticar,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por meio dolosos, fraude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ﬁscal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no recolhimento de quaisquer</w:t>
      </w:r>
      <w:r>
        <w:rPr>
          <w:rFonts w:ascii="Times New Roman" w:eastAsia="Times New Roman" w:hAnsi="Times New Roman"/>
          <w:spacing w:val="-4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tributos;</w:t>
      </w:r>
    </w:p>
    <w:p w14:paraId="73B02F7B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tenham praticado atos ilícitos visando a frustrar os objetivos da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licitação;</w:t>
      </w:r>
    </w:p>
    <w:p w14:paraId="73B02F7C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demonstrem não possuir idoneidade para contratar com a Administração em virtude de atos ilícitos</w:t>
      </w:r>
      <w:r>
        <w:rPr>
          <w:rFonts w:ascii="Times New Roman" w:eastAsia="Times New Roman" w:hAnsi="Times New Roman"/>
          <w:spacing w:val="-9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praticados.</w:t>
      </w:r>
    </w:p>
    <w:p w14:paraId="73B02F7D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A aplicação de qualquer das penalidades previstas realizar-se-á em processo administrativo que assegurará o contraditório e a ampla defesa à Contratada, observando-se o procedimento previsto na Lei nº 14.133, de 2021, e subsidiariamente a Lei nº 9.784, de</w:t>
      </w:r>
      <w:r>
        <w:rPr>
          <w:rFonts w:ascii="Times New Roman" w:eastAsia="Times New Roman" w:hAnsi="Times New Roman"/>
          <w:spacing w:val="-7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1999.</w:t>
      </w:r>
    </w:p>
    <w:p w14:paraId="73B02F7E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As multas devidas e/ou prejuízos causados à Contratante serão deduzidos dos valores a serem pagos, ou recolhidos em favor da União, ou deduzidos da garantia, ou ainda, quando for o caso, serão inscritos na Dívida Ativa da União e cobrados</w:t>
      </w:r>
      <w:r>
        <w:rPr>
          <w:rFonts w:ascii="Times New Roman" w:eastAsia="Times New Roman" w:hAnsi="Times New Roman"/>
          <w:spacing w:val="-9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judicialmente.</w:t>
      </w:r>
    </w:p>
    <w:p w14:paraId="73B02F7F" w14:textId="77777777" w:rsidR="00E36899" w:rsidRDefault="00B22FB9">
      <w:pPr>
        <w:widowControl w:val="0"/>
        <w:numPr>
          <w:ilvl w:val="2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Caso a Contratante determine, a multa deverá ser recolhida no prazo máximo de 10 (dez) dias, a contar da data do recebimento da comunicação enviada pela autoridade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competente.</w:t>
      </w:r>
    </w:p>
    <w:p w14:paraId="73B02F80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Caso o valor da multa não seja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suﬁciente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para cobrir os prejuízos causados pela conduta do licitante, a União ou Entidade poderá cobrar o valor remanescente judicialmente, conforme artigo 419 do Código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Civil.</w:t>
      </w:r>
    </w:p>
    <w:p w14:paraId="73B02F81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A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autoridade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competente,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na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aplicação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das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sanções,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levará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em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consideração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a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gravidade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da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conduta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do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infrator,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o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caráter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educativo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da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pena,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bem como o dano causado à Administração, observado o princípio da</w:t>
      </w:r>
      <w:r>
        <w:rPr>
          <w:rFonts w:ascii="Times New Roman" w:eastAsia="Times New Roman" w:hAnsi="Times New Roman"/>
          <w:spacing w:val="-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proporcionalidade.</w:t>
      </w:r>
    </w:p>
    <w:p w14:paraId="73B02F82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Se, durante o processo de aplicação de penalidade, se houver indícios de prática de infração administrativa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tipiﬁcada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</w:t>
      </w:r>
      <w:r>
        <w:rPr>
          <w:rFonts w:ascii="Times New Roman" w:eastAsia="Times New Roman" w:hAnsi="Times New Roman"/>
          <w:sz w:val="22"/>
          <w:szCs w:val="22"/>
          <w:lang w:eastAsia="pt-BR"/>
        </w:rPr>
        <w:lastRenderedPageBreak/>
        <w:t>Processo Administrativo de Responsabilização -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>PAR.</w:t>
      </w:r>
    </w:p>
    <w:p w14:paraId="73B02F83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</w:t>
      </w:r>
      <w:r>
        <w:rPr>
          <w:rFonts w:ascii="Times New Roman" w:eastAsia="Times New Roman" w:hAnsi="Times New Roman"/>
          <w:spacing w:val="-8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administrativa.</w:t>
      </w:r>
    </w:p>
    <w:p w14:paraId="73B02F84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O processamento do </w:t>
      </w:r>
      <w:r>
        <w:rPr>
          <w:rFonts w:ascii="Times New Roman" w:eastAsia="Times New Roman" w:hAnsi="Times New Roman"/>
          <w:spacing w:val="-4"/>
          <w:sz w:val="22"/>
          <w:szCs w:val="22"/>
          <w:lang w:eastAsia="pt-BR"/>
        </w:rPr>
        <w:t xml:space="preserve">PAR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não interfere no seguimento regular dos processos administrativos </w:t>
      </w:r>
      <w:proofErr w:type="spellStart"/>
      <w:r>
        <w:rPr>
          <w:rFonts w:ascii="Times New Roman" w:eastAsia="Times New Roman" w:hAnsi="Times New Roman"/>
          <w:sz w:val="22"/>
          <w:szCs w:val="22"/>
          <w:lang w:eastAsia="pt-BR"/>
        </w:rPr>
        <w:t>especíﬁcos</w:t>
      </w:r>
      <w:proofErr w:type="spellEnd"/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 para apuração da ocorrência de danos e prejuízos à Administração Pública Federal resultantes de ato lesivo cometido por pessoa jurídica, com ou sem a participação de agente</w:t>
      </w:r>
      <w:r>
        <w:rPr>
          <w:rFonts w:ascii="Times New Roman" w:eastAsia="Times New Roman" w:hAnsi="Times New Roman"/>
          <w:spacing w:val="-22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público.</w:t>
      </w:r>
    </w:p>
    <w:p w14:paraId="73B02F85" w14:textId="77777777" w:rsidR="00E36899" w:rsidRDefault="00B22FB9">
      <w:pPr>
        <w:widowControl w:val="0"/>
        <w:numPr>
          <w:ilvl w:val="1"/>
          <w:numId w:val="1"/>
        </w:numPr>
        <w:spacing w:after="0" w:line="276" w:lineRule="auto"/>
        <w:ind w:left="0" w:right="-35" w:firstLine="0"/>
        <w:jc w:val="both"/>
        <w:rPr>
          <w:rFonts w:ascii="Times New Roman" w:eastAsia="Times New Roman" w:hAnsi="Times New Roman"/>
          <w:sz w:val="22"/>
          <w:szCs w:val="22"/>
          <w:lang w:eastAsia="pt-BR"/>
        </w:rPr>
      </w:pPr>
      <w:r>
        <w:rPr>
          <w:rFonts w:ascii="Times New Roman" w:eastAsia="Times New Roman" w:hAnsi="Times New Roman"/>
          <w:sz w:val="22"/>
          <w:szCs w:val="22"/>
          <w:lang w:eastAsia="pt-BR"/>
        </w:rPr>
        <w:t xml:space="preserve">As penalidades serão </w:t>
      </w:r>
      <w:r>
        <w:rPr>
          <w:rFonts w:ascii="Times New Roman" w:eastAsia="Times New Roman" w:hAnsi="Times New Roman"/>
          <w:sz w:val="22"/>
          <w:szCs w:val="22"/>
          <w:lang w:eastAsia="pt-BR"/>
        </w:rPr>
        <w:t>obrigatoriamente registradas no</w:t>
      </w:r>
      <w:r>
        <w:rPr>
          <w:rFonts w:ascii="Times New Roman" w:eastAsia="Times New Roman" w:hAnsi="Times New Roman"/>
          <w:spacing w:val="-1"/>
          <w:sz w:val="22"/>
          <w:szCs w:val="22"/>
          <w:lang w:eastAsia="pt-BR"/>
        </w:rPr>
        <w:t xml:space="preserve"> </w:t>
      </w:r>
      <w:r>
        <w:rPr>
          <w:rFonts w:ascii="Times New Roman" w:eastAsia="Times New Roman" w:hAnsi="Times New Roman"/>
          <w:spacing w:val="-3"/>
          <w:sz w:val="22"/>
          <w:szCs w:val="22"/>
          <w:lang w:eastAsia="pt-BR"/>
        </w:rPr>
        <w:t>SICAF.</w:t>
      </w:r>
    </w:p>
    <w:p w14:paraId="73B02F86" w14:textId="77777777" w:rsidR="00E36899" w:rsidRDefault="00E36899">
      <w:pPr>
        <w:pStyle w:val="PargrafodaLista"/>
        <w:widowControl w:val="0"/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73B02F87" w14:textId="77777777" w:rsidR="00E36899" w:rsidRDefault="00B22FB9">
      <w:pPr>
        <w:pStyle w:val="PargrafodaLista"/>
        <w:widowControl w:val="0"/>
        <w:numPr>
          <w:ilvl w:val="0"/>
          <w:numId w:val="1"/>
        </w:numPr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 ADEQUAÇÃO ORÇAMENTÁRIA</w:t>
      </w:r>
    </w:p>
    <w:p w14:paraId="73B02F88" w14:textId="77777777" w:rsidR="00E36899" w:rsidRDefault="00E36899">
      <w:pPr>
        <w:pStyle w:val="PargrafodaLista"/>
        <w:widowControl w:val="0"/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73B02F89" w14:textId="1206E218" w:rsidR="00E36899" w:rsidRDefault="00B22FB9">
      <w:pPr>
        <w:pStyle w:val="PargrafodaLista"/>
        <w:widowControl w:val="0"/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/>
        <w:jc w:val="center"/>
        <w:rPr>
          <w:shd w:val="clear" w:color="auto" w:fill="FFFF00"/>
        </w:rPr>
      </w:pPr>
      <w:r>
        <w:rPr>
          <w:rFonts w:ascii="Times New Roman" w:hAnsi="Times New Roman" w:cs="Times New Roman"/>
          <w:bCs/>
          <w:shd w:val="clear" w:color="auto" w:fill="FFFF00"/>
        </w:rPr>
        <w:t>6xxxxxxxxxx</w:t>
      </w:r>
    </w:p>
    <w:p w14:paraId="73B02F8A" w14:textId="77777777" w:rsidR="00E36899" w:rsidRDefault="00E36899">
      <w:pPr>
        <w:pStyle w:val="PargrafodaLista"/>
        <w:widowControl w:val="0"/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73B02F8B" w14:textId="77777777" w:rsidR="00E36899" w:rsidRDefault="00B22FB9">
      <w:pPr>
        <w:pStyle w:val="PargrafodaLista"/>
        <w:widowControl w:val="0"/>
        <w:numPr>
          <w:ilvl w:val="0"/>
          <w:numId w:val="1"/>
        </w:numPr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UNIDADE RESPONSÁVEL PELA ELABORAÇÃO DO TERMO DE REFERÊNCIA E PELA FISCALIZAÇÃO DA EXECUÇÃO DO OBJETO.</w:t>
      </w:r>
    </w:p>
    <w:p w14:paraId="73B02F8C" w14:textId="77777777" w:rsidR="00E36899" w:rsidRDefault="00B22FB9">
      <w:pPr>
        <w:pStyle w:val="PargrafodaLista"/>
        <w:widowControl w:val="0"/>
        <w:numPr>
          <w:ilvl w:val="1"/>
          <w:numId w:val="1"/>
        </w:numPr>
        <w:tabs>
          <w:tab w:val="left" w:pos="-772"/>
          <w:tab w:val="left" w:pos="-6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 presente Termo de Referência foi elaborado pela Sra. Rosália dos Santos Rodrigues, e será assinado pelo Sr. Luiz Fernando Ramos Ferreira.</w:t>
      </w:r>
    </w:p>
    <w:p w14:paraId="73B02F8D" w14:textId="77777777" w:rsidR="00E36899" w:rsidRDefault="00B22FB9">
      <w:pPr>
        <w:pStyle w:val="PargrafodaLista"/>
        <w:widowControl w:val="0"/>
        <w:numPr>
          <w:ilvl w:val="1"/>
          <w:numId w:val="1"/>
        </w:numPr>
        <w:tabs>
          <w:tab w:val="left" w:pos="-772"/>
          <w:tab w:val="left" w:pos="-6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A fiscalização do presente objeto será feita por meio de seu gestor a ser designado oportunamente.</w:t>
      </w:r>
    </w:p>
    <w:p w14:paraId="73B02F8E" w14:textId="77777777" w:rsidR="00E36899" w:rsidRDefault="00E36899">
      <w:pPr>
        <w:pStyle w:val="PargrafodaLista"/>
        <w:widowControl w:val="0"/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/>
        <w:jc w:val="both"/>
        <w:rPr>
          <w:rFonts w:ascii="Times New Roman" w:hAnsi="Times New Roman" w:cs="Times New Roman"/>
        </w:rPr>
      </w:pPr>
    </w:p>
    <w:p w14:paraId="73B02F8F" w14:textId="77777777" w:rsidR="00E36899" w:rsidRDefault="00E36899">
      <w:pPr>
        <w:pStyle w:val="PargrafodaLista"/>
        <w:widowControl w:val="0"/>
        <w:tabs>
          <w:tab w:val="left" w:pos="-772"/>
          <w:tab w:val="left" w:pos="-64"/>
          <w:tab w:val="left" w:pos="644"/>
          <w:tab w:val="left" w:pos="1352"/>
          <w:tab w:val="left" w:pos="2060"/>
          <w:tab w:val="left" w:pos="2768"/>
          <w:tab w:val="left" w:pos="3476"/>
          <w:tab w:val="left" w:pos="4184"/>
          <w:tab w:val="left" w:pos="4892"/>
          <w:tab w:val="left" w:pos="5600"/>
          <w:tab w:val="left" w:pos="6308"/>
          <w:tab w:val="left" w:pos="7016"/>
          <w:tab w:val="left" w:pos="7724"/>
          <w:tab w:val="left" w:pos="8432"/>
          <w:tab w:val="left" w:pos="9140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73B02F90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São Luís- MA, 30</w:t>
      </w:r>
      <w:r>
        <w:rPr>
          <w:rFonts w:ascii="Times New Roman" w:hAnsi="Times New Roman"/>
          <w:sz w:val="22"/>
          <w:szCs w:val="22"/>
        </w:rPr>
        <w:t xml:space="preserve"> de janeiro de 2024.</w:t>
      </w:r>
    </w:p>
    <w:p w14:paraId="73B02F91" w14:textId="77777777" w:rsidR="00E36899" w:rsidRDefault="00E36899">
      <w:pPr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</w:p>
    <w:p w14:paraId="73B02F92" w14:textId="77777777" w:rsidR="00E36899" w:rsidRDefault="00E36899">
      <w:pPr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</w:p>
    <w:p w14:paraId="73B02F93" w14:textId="77777777" w:rsidR="00E36899" w:rsidRDefault="00E36899">
      <w:pPr>
        <w:spacing w:after="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3B02F94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______________________________</w:t>
      </w:r>
    </w:p>
    <w:p w14:paraId="73B02F95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Rosália dos Santos Rodrigues </w:t>
      </w:r>
    </w:p>
    <w:p w14:paraId="73B02F96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Assessora da Diretoria</w:t>
      </w:r>
    </w:p>
    <w:p w14:paraId="73B02F97" w14:textId="77777777" w:rsidR="00E36899" w:rsidRDefault="00E36899">
      <w:pPr>
        <w:spacing w:after="0" w:line="276" w:lineRule="auto"/>
        <w:jc w:val="right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73B02F98" w14:textId="77777777" w:rsidR="00E36899" w:rsidRDefault="00B22FB9">
      <w:pPr>
        <w:spacing w:after="0" w:line="276" w:lineRule="auto"/>
        <w:jc w:val="right"/>
        <w:rPr>
          <w:rFonts w:ascii="Times New Roman" w:hAnsi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  <w:t>Vistos os autos, no uso de minhas atribuições, aprovo o presente Termo de Referência.</w:t>
      </w:r>
    </w:p>
    <w:p w14:paraId="73B02F99" w14:textId="77777777" w:rsidR="00E36899" w:rsidRDefault="00E36899">
      <w:pPr>
        <w:spacing w:after="0" w:line="276" w:lineRule="auto"/>
        <w:jc w:val="right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73B02F9A" w14:textId="77777777" w:rsidR="00E36899" w:rsidRDefault="00E36899">
      <w:pPr>
        <w:spacing w:after="0" w:line="276" w:lineRule="auto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73B02F9B" w14:textId="77777777" w:rsidR="00E36899" w:rsidRDefault="00B22FB9">
      <w:pPr>
        <w:widowControl w:val="0"/>
        <w:spacing w:after="0" w:line="276" w:lineRule="auto"/>
        <w:jc w:val="center"/>
        <w:rPr>
          <w:rFonts w:ascii="Times New Roman" w:hAnsi="Times New Roman"/>
          <w:b/>
          <w:sz w:val="22"/>
          <w:szCs w:val="22"/>
          <w:lang w:bidi="en-US"/>
        </w:rPr>
      </w:pPr>
      <w:r>
        <w:rPr>
          <w:rFonts w:ascii="Times New Roman" w:hAnsi="Times New Roman"/>
          <w:b/>
          <w:sz w:val="22"/>
          <w:szCs w:val="22"/>
          <w:lang w:bidi="en-US"/>
        </w:rPr>
        <w:t>____________________________________</w:t>
      </w:r>
    </w:p>
    <w:p w14:paraId="73B02F9C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Luiz Fernando Ramos Ferreira </w:t>
      </w:r>
    </w:p>
    <w:p w14:paraId="73B02F9D" w14:textId="77777777" w:rsidR="00E36899" w:rsidRDefault="00B22FB9">
      <w:pPr>
        <w:spacing w:after="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Presidente - CRF/MA</w:t>
      </w:r>
    </w:p>
    <w:sectPr w:rsidR="00E368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552" w:right="1416" w:bottom="908" w:left="1418" w:header="709" w:footer="85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02FB4" w14:textId="77777777" w:rsidR="00B22FB9" w:rsidRDefault="00B22FB9">
      <w:pPr>
        <w:spacing w:after="0"/>
      </w:pPr>
      <w:r>
        <w:separator/>
      </w:r>
    </w:p>
  </w:endnote>
  <w:endnote w:type="continuationSeparator" w:id="0">
    <w:p w14:paraId="73B02FB6" w14:textId="77777777" w:rsidR="00B22FB9" w:rsidRDefault="00B22F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2FA2" w14:textId="77777777" w:rsidR="00E36899" w:rsidRDefault="00E3689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2FA3" w14:textId="77777777" w:rsidR="00E36899" w:rsidRDefault="00B22FB9">
    <w:pPr>
      <w:pStyle w:val="Rodap"/>
    </w:pPr>
    <w:r>
      <w:rPr>
        <w:noProof/>
      </w:rPr>
      <w:drawing>
        <wp:anchor distT="0" distB="0" distL="0" distR="0" simplePos="0" relativeHeight="251656192" behindDoc="1" locked="0" layoutInCell="0" allowOverlap="1" wp14:anchorId="73B02FB6" wp14:editId="73B02FB7">
          <wp:simplePos x="0" y="0"/>
          <wp:positionH relativeFrom="margin">
            <wp:posOffset>-704850</wp:posOffset>
          </wp:positionH>
          <wp:positionV relativeFrom="paragraph">
            <wp:posOffset>205740</wp:posOffset>
          </wp:positionV>
          <wp:extent cx="7279640" cy="1205230"/>
          <wp:effectExtent l="0" t="0" r="0" b="0"/>
          <wp:wrapNone/>
          <wp:docPr id="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9640" cy="1205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3B02FA4" w14:textId="77777777" w:rsidR="00E36899" w:rsidRDefault="00E36899">
    <w:pPr>
      <w:pStyle w:val="Rodap"/>
    </w:pPr>
  </w:p>
  <w:p w14:paraId="73B02FA5" w14:textId="77777777" w:rsidR="00E36899" w:rsidRDefault="00E36899">
    <w:pPr>
      <w:pStyle w:val="Rodap"/>
    </w:pPr>
  </w:p>
  <w:p w14:paraId="73B02FA6" w14:textId="77777777" w:rsidR="00E36899" w:rsidRDefault="00E36899">
    <w:pPr>
      <w:pStyle w:val="Rodap"/>
    </w:pPr>
  </w:p>
  <w:p w14:paraId="73B02FA7" w14:textId="77777777" w:rsidR="00E36899" w:rsidRDefault="00E36899">
    <w:pPr>
      <w:pStyle w:val="Rodap"/>
    </w:pPr>
  </w:p>
  <w:p w14:paraId="73B02FA8" w14:textId="77777777" w:rsidR="00E36899" w:rsidRDefault="00E3689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2FAA" w14:textId="77777777" w:rsidR="00E36899" w:rsidRDefault="00B22FB9">
    <w:pPr>
      <w:pStyle w:val="Rodap"/>
    </w:pPr>
    <w:r>
      <w:rPr>
        <w:noProof/>
      </w:rPr>
      <w:drawing>
        <wp:anchor distT="0" distB="0" distL="0" distR="0" simplePos="0" relativeHeight="251657216" behindDoc="1" locked="0" layoutInCell="0" allowOverlap="1" wp14:anchorId="73B02FBE" wp14:editId="73B02FBF">
          <wp:simplePos x="0" y="0"/>
          <wp:positionH relativeFrom="margin">
            <wp:posOffset>-704850</wp:posOffset>
          </wp:positionH>
          <wp:positionV relativeFrom="paragraph">
            <wp:posOffset>205740</wp:posOffset>
          </wp:positionV>
          <wp:extent cx="7279640" cy="1205230"/>
          <wp:effectExtent l="0" t="0" r="0" b="0"/>
          <wp:wrapNone/>
          <wp:docPr id="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9640" cy="1205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3B02FAB" w14:textId="77777777" w:rsidR="00E36899" w:rsidRDefault="00E36899">
    <w:pPr>
      <w:pStyle w:val="Rodap"/>
    </w:pPr>
  </w:p>
  <w:p w14:paraId="73B02FAC" w14:textId="77777777" w:rsidR="00E36899" w:rsidRDefault="00E36899">
    <w:pPr>
      <w:pStyle w:val="Rodap"/>
    </w:pPr>
  </w:p>
  <w:p w14:paraId="73B02FAD" w14:textId="77777777" w:rsidR="00E36899" w:rsidRDefault="00E36899">
    <w:pPr>
      <w:pStyle w:val="Rodap"/>
    </w:pPr>
  </w:p>
  <w:p w14:paraId="73B02FAE" w14:textId="77777777" w:rsidR="00E36899" w:rsidRDefault="00E36899">
    <w:pPr>
      <w:pStyle w:val="Rodap"/>
    </w:pPr>
  </w:p>
  <w:p w14:paraId="73B02FAF" w14:textId="77777777" w:rsidR="00E36899" w:rsidRDefault="00E3689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02FB0" w14:textId="77777777" w:rsidR="00B22FB9" w:rsidRDefault="00B22FB9">
      <w:pPr>
        <w:spacing w:after="0"/>
      </w:pPr>
      <w:r>
        <w:separator/>
      </w:r>
    </w:p>
  </w:footnote>
  <w:footnote w:type="continuationSeparator" w:id="0">
    <w:p w14:paraId="73B02FB2" w14:textId="77777777" w:rsidR="00B22FB9" w:rsidRDefault="00B22F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2FA0" w14:textId="77777777" w:rsidR="00E36899" w:rsidRDefault="00E368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2FA1" w14:textId="77777777" w:rsidR="00E36899" w:rsidRDefault="00B22FB9">
    <w:pPr>
      <w:pStyle w:val="Cabealho"/>
    </w:pPr>
    <w:r>
      <w:rPr>
        <w:noProof/>
      </w:rPr>
      <w:drawing>
        <wp:anchor distT="0" distB="0" distL="0" distR="0" simplePos="0" relativeHeight="251654144" behindDoc="1" locked="0" layoutInCell="1" allowOverlap="1" wp14:anchorId="73B02FB0" wp14:editId="73B02FB1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6827520" cy="9675495"/>
          <wp:effectExtent l="0" t="0" r="0" b="0"/>
          <wp:wrapNone/>
          <wp:docPr id="2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fund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27520" cy="967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0" allowOverlap="1" wp14:anchorId="73B02FB2" wp14:editId="73B02FB3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3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logo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r="59512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0" allowOverlap="1" wp14:anchorId="73B02FB4" wp14:editId="73B02FB5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0" b="0"/>
          <wp:wrapSquare wrapText="bothSides"/>
          <wp:docPr id="4" name="Figura2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2" descr="logo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3469"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2FA9" w14:textId="77777777" w:rsidR="00E36899" w:rsidRDefault="00B22FB9">
    <w:pPr>
      <w:pStyle w:val="Cabealho"/>
    </w:pPr>
    <w:r>
      <w:rPr>
        <w:noProof/>
      </w:rPr>
      <w:drawing>
        <wp:anchor distT="0" distB="0" distL="0" distR="0" simplePos="0" relativeHeight="251655168" behindDoc="1" locked="0" layoutInCell="1" allowOverlap="1" wp14:anchorId="73B02FB8" wp14:editId="73B02FB9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6827520" cy="9675495"/>
          <wp:effectExtent l="0" t="0" r="0" b="0"/>
          <wp:wrapNone/>
          <wp:docPr id="5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fund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27520" cy="9675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0" allowOverlap="1" wp14:anchorId="73B02FBA" wp14:editId="73B02FBB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6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0" descr="logo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r="59512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0" allowOverlap="1" wp14:anchorId="73B02FBC" wp14:editId="73B02FBD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0" b="0"/>
          <wp:wrapSquare wrapText="bothSides"/>
          <wp:docPr id="7" name="Figura2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2" descr="logo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3469"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D4971"/>
    <w:multiLevelType w:val="multilevel"/>
    <w:tmpl w:val="7272ED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602C4787"/>
    <w:multiLevelType w:val="multilevel"/>
    <w:tmpl w:val="B93A7C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7792310">
    <w:abstractNumId w:val="0"/>
  </w:num>
  <w:num w:numId="2" w16cid:durableId="461340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899"/>
    <w:rsid w:val="00141113"/>
    <w:rsid w:val="00607267"/>
    <w:rsid w:val="00B22FB9"/>
    <w:rsid w:val="00CC0371"/>
    <w:rsid w:val="00E36899"/>
    <w:rsid w:val="00F4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02EBB"/>
  <w15:docId w15:val="{0C284314-FF2D-49DC-99BB-49893C91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8E2"/>
    <w:pPr>
      <w:spacing w:after="200"/>
    </w:pPr>
    <w:rPr>
      <w:rFonts w:ascii="Cambria" w:eastAsia="Cambria" w:hAnsi="Cambria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426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D2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07752E"/>
  </w:style>
  <w:style w:type="character" w:customStyle="1" w:styleId="RodapChar">
    <w:name w:val="Rodapé Char"/>
    <w:basedOn w:val="Fontepargpadro"/>
    <w:link w:val="Rodap"/>
    <w:uiPriority w:val="99"/>
    <w:qFormat/>
    <w:rsid w:val="0007752E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C6B1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qFormat/>
    <w:rsid w:val="005263C3"/>
  </w:style>
  <w:style w:type="character" w:customStyle="1" w:styleId="CorpodetextoChar">
    <w:name w:val="Corpo de texto Char"/>
    <w:basedOn w:val="Fontepargpadro"/>
    <w:link w:val="Corpodetexto"/>
    <w:qFormat/>
    <w:rsid w:val="008A7E6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3D29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F1D0E"/>
    <w:rPr>
      <w:rFonts w:ascii="Cambria" w:eastAsia="Cambria" w:hAnsi="Cambria" w:cs="Times New Roman"/>
      <w:sz w:val="24"/>
      <w:szCs w:val="24"/>
    </w:rPr>
  </w:style>
  <w:style w:type="character" w:styleId="Forte">
    <w:name w:val="Strong"/>
    <w:uiPriority w:val="22"/>
    <w:qFormat/>
    <w:rsid w:val="007F1D0E"/>
    <w:rPr>
      <w:b/>
      <w:color w:val="C0504D" w:themeColor="accent2"/>
    </w:rPr>
  </w:style>
  <w:style w:type="character" w:customStyle="1" w:styleId="PargrafodaListaChar">
    <w:name w:val="Parágrafo da Lista Char"/>
    <w:link w:val="PargrafodaLista"/>
    <w:uiPriority w:val="34"/>
    <w:qFormat/>
    <w:rsid w:val="00975F7C"/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0109FC"/>
    <w:rPr>
      <w:rFonts w:ascii="Cambria" w:eastAsia="Cambria" w:hAnsi="Cambria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6C5355"/>
  </w:style>
  <w:style w:type="character" w:customStyle="1" w:styleId="Ttulo1Char">
    <w:name w:val="Título 1 Char"/>
    <w:basedOn w:val="Fontepargpadro"/>
    <w:link w:val="Ttulo1"/>
    <w:uiPriority w:val="9"/>
    <w:qFormat/>
    <w:rsid w:val="000426C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8A7E6D"/>
    <w:pPr>
      <w:spacing w:after="0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link w:val="PargrafodaListaChar"/>
    <w:uiPriority w:val="34"/>
    <w:qFormat/>
    <w:rsid w:val="00861A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qFormat/>
    <w:rsid w:val="00861A22"/>
    <w:rPr>
      <w:rFonts w:ascii="Arial" w:eastAsia="Calibri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C6B10"/>
    <w:pPr>
      <w:spacing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qFormat/>
    <w:rsid w:val="005047D7"/>
    <w:pPr>
      <w:spacing w:beforeAutospacing="1" w:afterAutospacing="1"/>
    </w:pPr>
    <w:rPr>
      <w:rFonts w:ascii="Times New Roman" w:eastAsia="Times New Roman" w:hAnsi="Times New Roman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F1D0E"/>
    <w:pPr>
      <w:spacing w:after="120" w:line="480" w:lineRule="auto"/>
      <w:ind w:left="283"/>
    </w:pPr>
  </w:style>
  <w:style w:type="paragraph" w:customStyle="1" w:styleId="western">
    <w:name w:val="western"/>
    <w:basedOn w:val="Normal"/>
    <w:qFormat/>
    <w:rsid w:val="00DA6AF7"/>
    <w:pPr>
      <w:spacing w:beforeAutospacing="1" w:after="119"/>
    </w:pPr>
    <w:rPr>
      <w:rFonts w:ascii="Times New Roman" w:eastAsia="Times New Roman" w:hAnsi="Times New Roman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0109FC"/>
    <w:pPr>
      <w:spacing w:after="120" w:line="480" w:lineRule="auto"/>
    </w:pPr>
  </w:style>
  <w:style w:type="paragraph" w:customStyle="1" w:styleId="ListaColorida-nfase11">
    <w:name w:val="Lista Colorida - Ênfase 11"/>
    <w:basedOn w:val="Normal"/>
    <w:uiPriority w:val="34"/>
    <w:qFormat/>
    <w:rsid w:val="008876DE"/>
    <w:pPr>
      <w:widowControl w:val="0"/>
      <w:spacing w:after="0"/>
      <w:ind w:left="720"/>
    </w:pPr>
    <w:rPr>
      <w:rFonts w:ascii="Times New Roman" w:eastAsia="Times New Roman" w:hAnsi="Times New Roman"/>
      <w:lang w:val="pt-PT" w:eastAsia="pt-BR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861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757BC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uiPriority w:val="39"/>
    <w:rsid w:val="00A757BC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85D2E-E79F-43E5-B3A5-941E53D7F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10</Pages>
  <Words>3652</Words>
  <Characters>19725</Characters>
  <Application>Microsoft Office Word</Application>
  <DocSecurity>0</DocSecurity>
  <Lines>164</Lines>
  <Paragraphs>46</Paragraphs>
  <ScaleCrop>false</ScaleCrop>
  <Company>Microsoft</Company>
  <LinksUpToDate>false</LinksUpToDate>
  <CharactersWithSpaces>23331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</dc:creator>
  <dc:description/>
  <cp:lastModifiedBy>Lincoln Noleto</cp:lastModifiedBy>
  <cp:revision>326</cp:revision>
  <cp:lastPrinted>2017-05-15T19:12:00Z</cp:lastPrinted>
  <dcterms:created xsi:type="dcterms:W3CDTF">2018-12-06T20:09:00Z</dcterms:created>
  <dcterms:modified xsi:type="dcterms:W3CDTF">2024-02-15T15:09:00Z</dcterms:modified>
  <dc:language>pt-BR</dc:language>
</cp:coreProperties>
</file>