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985" w:rsidRPr="00D417A0" w:rsidRDefault="002D4985" w:rsidP="002D4985">
      <w:pPr>
        <w:jc w:val="center"/>
        <w:rPr>
          <w:b/>
          <w:sz w:val="22"/>
          <w:szCs w:val="22"/>
        </w:rPr>
      </w:pPr>
      <w:bookmarkStart w:id="0" w:name="_GoBack"/>
      <w:bookmarkEnd w:id="0"/>
      <w:r w:rsidRPr="00D417A0">
        <w:rPr>
          <w:b/>
          <w:sz w:val="22"/>
          <w:szCs w:val="22"/>
        </w:rPr>
        <w:t>AVISO DE DISPENSA DE LICITAÇÃO ELETRÔNICA Nº 70018-</w:t>
      </w:r>
      <w:r>
        <w:rPr>
          <w:b/>
          <w:sz w:val="22"/>
          <w:szCs w:val="22"/>
        </w:rPr>
        <w:t>117</w:t>
      </w:r>
      <w:r w:rsidRPr="00D417A0">
        <w:rPr>
          <w:b/>
          <w:sz w:val="22"/>
          <w:szCs w:val="22"/>
        </w:rPr>
        <w:t>/2026</w:t>
      </w:r>
    </w:p>
    <w:p w:rsidR="002D4985" w:rsidRPr="00D417A0" w:rsidRDefault="002D4985" w:rsidP="002D4985">
      <w:pPr>
        <w:jc w:val="center"/>
        <w:rPr>
          <w:b/>
          <w:sz w:val="22"/>
          <w:szCs w:val="22"/>
        </w:rPr>
      </w:pPr>
    </w:p>
    <w:p w:rsidR="002D4985" w:rsidRPr="00D417A0" w:rsidRDefault="002D4985" w:rsidP="002D4985">
      <w:pPr>
        <w:spacing w:after="200"/>
        <w:jc w:val="center"/>
        <w:rPr>
          <w:rFonts w:eastAsia="Arial"/>
          <w:b/>
          <w:bCs/>
          <w:color w:val="000000"/>
          <w:sz w:val="22"/>
          <w:szCs w:val="22"/>
        </w:rPr>
      </w:pPr>
      <w:bookmarkStart w:id="1" w:name="_heading=h.p7w3rssppmb" w:colFirst="0" w:colLast="0"/>
      <w:bookmarkEnd w:id="1"/>
      <w:r w:rsidRPr="00D417A0">
        <w:rPr>
          <w:rFonts w:eastAsia="Arial"/>
          <w:b/>
          <w:bCs/>
          <w:color w:val="000000"/>
          <w:sz w:val="22"/>
          <w:szCs w:val="22"/>
        </w:rPr>
        <w:t>ANEXO I</w:t>
      </w:r>
    </w:p>
    <w:p w:rsidR="002D4985" w:rsidRPr="00D417A0" w:rsidRDefault="002D4985" w:rsidP="002D4985">
      <w:pPr>
        <w:spacing w:after="200"/>
        <w:jc w:val="center"/>
        <w:rPr>
          <w:rFonts w:eastAsia="Arial"/>
          <w:b/>
          <w:bCs/>
          <w:color w:val="000000"/>
          <w:sz w:val="22"/>
          <w:szCs w:val="22"/>
        </w:rPr>
      </w:pPr>
      <w:r w:rsidRPr="00D417A0">
        <w:rPr>
          <w:rFonts w:eastAsia="Arial"/>
          <w:b/>
          <w:bCs/>
          <w:color w:val="000000"/>
          <w:sz w:val="22"/>
          <w:szCs w:val="22"/>
        </w:rPr>
        <w:t>TERMO DE REFERÊNCIA</w:t>
      </w:r>
    </w:p>
    <w:p w:rsidR="002D4985" w:rsidRPr="00D417A0" w:rsidRDefault="002D4985" w:rsidP="002D4985">
      <w:pPr>
        <w:spacing w:after="200"/>
        <w:jc w:val="center"/>
        <w:rPr>
          <w:rFonts w:eastAsia="Arial"/>
          <w:b/>
          <w:bCs/>
          <w:sz w:val="22"/>
          <w:szCs w:val="22"/>
        </w:rPr>
      </w:pPr>
    </w:p>
    <w:p w:rsidR="002D4985" w:rsidRPr="00D417A0" w:rsidRDefault="002D4985" w:rsidP="002D4985">
      <w:pPr>
        <w:pBdr>
          <w:top w:val="nil"/>
          <w:left w:val="nil"/>
          <w:bottom w:val="nil"/>
          <w:right w:val="nil"/>
          <w:between w:val="nil"/>
        </w:pBdr>
        <w:spacing w:after="200"/>
        <w:ind w:left="283" w:hanging="283"/>
        <w:jc w:val="both"/>
        <w:rPr>
          <w:rFonts w:eastAsia="Arial"/>
          <w:b/>
          <w:bCs/>
          <w:color w:val="000000"/>
          <w:sz w:val="22"/>
          <w:szCs w:val="22"/>
        </w:rPr>
      </w:pPr>
      <w:bookmarkStart w:id="2" w:name="_heading=h.rx62jwmbn3kb" w:colFirst="0" w:colLast="0"/>
      <w:bookmarkEnd w:id="2"/>
      <w:r w:rsidRPr="00D417A0">
        <w:rPr>
          <w:rFonts w:eastAsia="Arial"/>
          <w:b/>
          <w:bCs/>
          <w:color w:val="000000"/>
          <w:sz w:val="22"/>
          <w:szCs w:val="22"/>
        </w:rPr>
        <w:t>1.</w:t>
      </w:r>
      <w:r w:rsidRPr="00D417A0">
        <w:rPr>
          <w:rFonts w:eastAsia="Arial"/>
          <w:b/>
          <w:bCs/>
          <w:color w:val="000000"/>
          <w:sz w:val="22"/>
          <w:szCs w:val="22"/>
        </w:rPr>
        <w:tab/>
        <w:t>CONDIÇÕES GERAIS DA CONTRATAÇÃO (Art. 6º, XXIII, alíneas “a” e “i” da Lei n. 14.133/2021)</w:t>
      </w:r>
    </w:p>
    <w:p w:rsidR="002D4985" w:rsidRPr="00D417A0" w:rsidRDefault="002D4985" w:rsidP="002D4985">
      <w:pPr>
        <w:spacing w:after="200"/>
        <w:jc w:val="both"/>
        <w:rPr>
          <w:rFonts w:eastAsia="Arial"/>
          <w:b/>
          <w:bCs/>
          <w:sz w:val="22"/>
          <w:szCs w:val="22"/>
        </w:rPr>
      </w:pPr>
      <w:r w:rsidRPr="00D417A0">
        <w:rPr>
          <w:rFonts w:eastAsia="Arial"/>
          <w:b/>
          <w:bCs/>
          <w:sz w:val="22"/>
          <w:szCs w:val="22"/>
        </w:rPr>
        <w:t>OBJETO</w:t>
      </w:r>
    </w:p>
    <w:p w:rsidR="002D4985" w:rsidRPr="00D417A0" w:rsidRDefault="002D4985" w:rsidP="002D4985">
      <w:pPr>
        <w:pBdr>
          <w:top w:val="nil"/>
          <w:left w:val="nil"/>
          <w:bottom w:val="nil"/>
          <w:right w:val="nil"/>
          <w:between w:val="nil"/>
        </w:pBdr>
        <w:spacing w:after="200"/>
        <w:ind w:firstLine="360"/>
        <w:jc w:val="both"/>
        <w:rPr>
          <w:rFonts w:eastAsia="Arial"/>
          <w:color w:val="000000"/>
          <w:sz w:val="22"/>
          <w:szCs w:val="22"/>
        </w:rPr>
      </w:pPr>
      <w:bookmarkStart w:id="3" w:name="_heading=h.gjw3bkyjni0n" w:colFirst="0" w:colLast="0"/>
      <w:bookmarkEnd w:id="3"/>
      <w:r w:rsidRPr="00D417A0">
        <w:rPr>
          <w:rFonts w:eastAsia="Arial"/>
          <w:color w:val="000000"/>
          <w:sz w:val="22"/>
          <w:szCs w:val="22"/>
        </w:rPr>
        <w:t>1.1.</w:t>
      </w:r>
      <w:r w:rsidRPr="00D417A0">
        <w:rPr>
          <w:rFonts w:eastAsia="Arial"/>
          <w:color w:val="000000"/>
          <w:sz w:val="22"/>
          <w:szCs w:val="22"/>
        </w:rPr>
        <w:tab/>
        <w:t>Contratação de serviços de assinatura de coleção de normas técnicas ABNT/NBR/NBR ISO, nos termos da tabela abaixo, conforme condições e exigências estabelecidas neste instrumento.</w:t>
      </w: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2"/>
        <w:gridCol w:w="2385"/>
        <w:gridCol w:w="1183"/>
        <w:gridCol w:w="1275"/>
        <w:gridCol w:w="1701"/>
        <w:gridCol w:w="1560"/>
        <w:gridCol w:w="1559"/>
      </w:tblGrid>
      <w:tr w:rsidR="002D4985" w:rsidRPr="00D417A0" w:rsidTr="0039653B">
        <w:trPr>
          <w:jc w:val="center"/>
        </w:trPr>
        <w:tc>
          <w:tcPr>
            <w:tcW w:w="822" w:type="dxa"/>
            <w:tcBorders>
              <w:top w:val="single" w:sz="4" w:space="0" w:color="000000"/>
              <w:left w:val="single" w:sz="4" w:space="0" w:color="000000"/>
              <w:bottom w:val="single" w:sz="4" w:space="0" w:color="000000"/>
              <w:right w:val="single" w:sz="4" w:space="0" w:color="000000"/>
            </w:tcBorders>
            <w:vAlign w:val="center"/>
          </w:tcPr>
          <w:p w:rsidR="002D4985" w:rsidRPr="00D417A0" w:rsidRDefault="002D4985" w:rsidP="0039653B">
            <w:pPr>
              <w:jc w:val="center"/>
              <w:rPr>
                <w:rFonts w:eastAsia="Arial"/>
                <w:b/>
                <w:bCs/>
                <w:sz w:val="22"/>
                <w:szCs w:val="22"/>
              </w:rPr>
            </w:pPr>
            <w:r w:rsidRPr="00D417A0">
              <w:rPr>
                <w:rFonts w:eastAsia="Arial"/>
                <w:b/>
                <w:bCs/>
                <w:sz w:val="22"/>
                <w:szCs w:val="22"/>
              </w:rPr>
              <w:t>ITEM</w:t>
            </w:r>
          </w:p>
        </w:tc>
        <w:tc>
          <w:tcPr>
            <w:tcW w:w="2385" w:type="dxa"/>
            <w:tcBorders>
              <w:top w:val="single" w:sz="4" w:space="0" w:color="000000"/>
              <w:left w:val="single" w:sz="4" w:space="0" w:color="000000"/>
              <w:bottom w:val="single" w:sz="4" w:space="0" w:color="000000"/>
              <w:right w:val="single" w:sz="4" w:space="0" w:color="000000"/>
            </w:tcBorders>
            <w:vAlign w:val="center"/>
          </w:tcPr>
          <w:p w:rsidR="002D4985" w:rsidRPr="00D417A0" w:rsidRDefault="002D4985" w:rsidP="0039653B">
            <w:pPr>
              <w:jc w:val="center"/>
              <w:rPr>
                <w:rFonts w:eastAsia="Arial"/>
                <w:b/>
                <w:bCs/>
                <w:sz w:val="22"/>
                <w:szCs w:val="22"/>
              </w:rPr>
            </w:pPr>
            <w:r w:rsidRPr="00D417A0">
              <w:rPr>
                <w:rFonts w:eastAsia="Arial"/>
                <w:b/>
                <w:bCs/>
                <w:sz w:val="22"/>
                <w:szCs w:val="22"/>
              </w:rPr>
              <w:t>ESPECIFICAÇÃO</w:t>
            </w:r>
          </w:p>
        </w:tc>
        <w:tc>
          <w:tcPr>
            <w:tcW w:w="1183" w:type="dxa"/>
            <w:tcBorders>
              <w:top w:val="single" w:sz="4" w:space="0" w:color="000000"/>
              <w:left w:val="single" w:sz="4" w:space="0" w:color="000000"/>
              <w:bottom w:val="single" w:sz="4" w:space="0" w:color="000000"/>
              <w:right w:val="single" w:sz="4" w:space="0" w:color="000000"/>
            </w:tcBorders>
            <w:vAlign w:val="center"/>
          </w:tcPr>
          <w:p w:rsidR="002D4985" w:rsidRPr="00D417A0" w:rsidRDefault="002D4985" w:rsidP="0039653B">
            <w:pPr>
              <w:jc w:val="center"/>
              <w:rPr>
                <w:rFonts w:eastAsia="Arial"/>
                <w:b/>
                <w:bCs/>
                <w:sz w:val="22"/>
                <w:szCs w:val="22"/>
              </w:rPr>
            </w:pPr>
            <w:r w:rsidRPr="00D417A0">
              <w:rPr>
                <w:rFonts w:eastAsia="Arial"/>
                <w:b/>
                <w:bCs/>
                <w:sz w:val="22"/>
                <w:szCs w:val="22"/>
              </w:rPr>
              <w:t>CATSER</w:t>
            </w:r>
          </w:p>
        </w:tc>
        <w:tc>
          <w:tcPr>
            <w:tcW w:w="1275" w:type="dxa"/>
            <w:tcBorders>
              <w:top w:val="single" w:sz="4" w:space="0" w:color="000000"/>
              <w:left w:val="single" w:sz="4" w:space="0" w:color="000000"/>
              <w:bottom w:val="single" w:sz="4" w:space="0" w:color="000000"/>
              <w:right w:val="single" w:sz="4" w:space="0" w:color="000000"/>
            </w:tcBorders>
            <w:vAlign w:val="center"/>
          </w:tcPr>
          <w:p w:rsidR="002D4985" w:rsidRPr="00D417A0" w:rsidRDefault="002D4985" w:rsidP="0039653B">
            <w:pPr>
              <w:jc w:val="center"/>
              <w:rPr>
                <w:rFonts w:eastAsia="Arial"/>
                <w:b/>
                <w:bCs/>
                <w:sz w:val="22"/>
                <w:szCs w:val="22"/>
              </w:rPr>
            </w:pPr>
            <w:r w:rsidRPr="00D417A0">
              <w:rPr>
                <w:rFonts w:eastAsia="Arial"/>
                <w:b/>
                <w:bCs/>
                <w:sz w:val="22"/>
                <w:szCs w:val="22"/>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rsidR="002D4985" w:rsidRPr="00D417A0" w:rsidRDefault="002D4985" w:rsidP="0039653B">
            <w:pPr>
              <w:jc w:val="center"/>
              <w:rPr>
                <w:rFonts w:eastAsia="Arial"/>
                <w:b/>
                <w:bCs/>
                <w:sz w:val="22"/>
                <w:szCs w:val="22"/>
              </w:rPr>
            </w:pPr>
            <w:r w:rsidRPr="00D417A0">
              <w:rPr>
                <w:rFonts w:eastAsia="Arial"/>
                <w:b/>
                <w:bCs/>
                <w:sz w:val="22"/>
                <w:szCs w:val="22"/>
              </w:rPr>
              <w:t>QUANTIDADE</w:t>
            </w:r>
          </w:p>
        </w:tc>
        <w:tc>
          <w:tcPr>
            <w:tcW w:w="1560" w:type="dxa"/>
            <w:tcBorders>
              <w:top w:val="single" w:sz="4" w:space="0" w:color="000000"/>
              <w:left w:val="single" w:sz="4" w:space="0" w:color="000000"/>
              <w:bottom w:val="single" w:sz="4" w:space="0" w:color="000000"/>
              <w:right w:val="single" w:sz="4" w:space="0" w:color="000000"/>
            </w:tcBorders>
            <w:vAlign w:val="center"/>
          </w:tcPr>
          <w:p w:rsidR="002D4985" w:rsidRPr="00D417A0" w:rsidRDefault="002D4985" w:rsidP="0039653B">
            <w:pPr>
              <w:jc w:val="center"/>
              <w:rPr>
                <w:rFonts w:eastAsia="Arial"/>
                <w:b/>
                <w:bCs/>
                <w:sz w:val="22"/>
                <w:szCs w:val="22"/>
              </w:rPr>
            </w:pPr>
            <w:r w:rsidRPr="00D417A0">
              <w:rPr>
                <w:rFonts w:eastAsia="Arial"/>
                <w:b/>
                <w:bCs/>
                <w:sz w:val="22"/>
                <w:szCs w:val="22"/>
              </w:rPr>
              <w:t>PREÇO UNITÁRIO MÁXIMO ACEITÁVEL</w:t>
            </w:r>
          </w:p>
        </w:tc>
        <w:tc>
          <w:tcPr>
            <w:tcW w:w="1559" w:type="dxa"/>
            <w:tcBorders>
              <w:top w:val="single" w:sz="4" w:space="0" w:color="000000"/>
              <w:left w:val="single" w:sz="4" w:space="0" w:color="000000"/>
              <w:bottom w:val="single" w:sz="4" w:space="0" w:color="000000"/>
              <w:right w:val="single" w:sz="4" w:space="0" w:color="000000"/>
            </w:tcBorders>
            <w:vAlign w:val="center"/>
          </w:tcPr>
          <w:p w:rsidR="002D4985" w:rsidRPr="00D417A0" w:rsidRDefault="002D4985" w:rsidP="0039653B">
            <w:pPr>
              <w:jc w:val="center"/>
              <w:rPr>
                <w:rFonts w:eastAsia="Arial"/>
                <w:b/>
                <w:bCs/>
                <w:sz w:val="22"/>
                <w:szCs w:val="22"/>
              </w:rPr>
            </w:pPr>
            <w:r w:rsidRPr="00D417A0">
              <w:rPr>
                <w:rFonts w:eastAsia="Arial"/>
                <w:b/>
                <w:bCs/>
                <w:sz w:val="22"/>
                <w:szCs w:val="22"/>
              </w:rPr>
              <w:t>PREÇO TOTAL MÁXIMO ACEITÁVEL</w:t>
            </w:r>
          </w:p>
        </w:tc>
      </w:tr>
      <w:tr w:rsidR="002D4985" w:rsidRPr="00D417A0" w:rsidTr="0039653B">
        <w:trPr>
          <w:trHeight w:val="2319"/>
          <w:jc w:val="center"/>
        </w:trPr>
        <w:tc>
          <w:tcPr>
            <w:tcW w:w="822" w:type="dxa"/>
            <w:tcBorders>
              <w:top w:val="single" w:sz="4" w:space="0" w:color="000000"/>
              <w:left w:val="single" w:sz="4" w:space="0" w:color="000000"/>
              <w:bottom w:val="single" w:sz="4" w:space="0" w:color="000000"/>
              <w:right w:val="single" w:sz="4" w:space="0" w:color="000000"/>
            </w:tcBorders>
            <w:vAlign w:val="center"/>
          </w:tcPr>
          <w:p w:rsidR="002D4985" w:rsidRPr="00D417A0" w:rsidRDefault="002D4985" w:rsidP="0039653B">
            <w:pPr>
              <w:jc w:val="center"/>
              <w:rPr>
                <w:rFonts w:eastAsia="Arial"/>
                <w:sz w:val="22"/>
                <w:szCs w:val="22"/>
              </w:rPr>
            </w:pPr>
            <w:r w:rsidRPr="00D417A0">
              <w:rPr>
                <w:rFonts w:eastAsia="Arial"/>
                <w:sz w:val="22"/>
                <w:szCs w:val="22"/>
              </w:rPr>
              <w:t>Único</w:t>
            </w:r>
          </w:p>
        </w:tc>
        <w:tc>
          <w:tcPr>
            <w:tcW w:w="2385" w:type="dxa"/>
            <w:tcBorders>
              <w:top w:val="single" w:sz="4" w:space="0" w:color="000000"/>
              <w:left w:val="single" w:sz="4" w:space="0" w:color="000000"/>
              <w:bottom w:val="single" w:sz="4" w:space="0" w:color="000000"/>
              <w:right w:val="single" w:sz="4" w:space="0" w:color="000000"/>
            </w:tcBorders>
            <w:vAlign w:val="center"/>
          </w:tcPr>
          <w:p w:rsidR="002D4985" w:rsidRPr="00D417A0" w:rsidRDefault="002D4985" w:rsidP="0039653B">
            <w:pPr>
              <w:jc w:val="center"/>
              <w:rPr>
                <w:rFonts w:eastAsia="Arial"/>
                <w:sz w:val="22"/>
                <w:szCs w:val="22"/>
              </w:rPr>
            </w:pPr>
            <w:r w:rsidRPr="00D417A0">
              <w:rPr>
                <w:rFonts w:eastAsia="Arial"/>
                <w:sz w:val="22"/>
                <w:szCs w:val="22"/>
              </w:rPr>
              <w:t xml:space="preserve">Assinatura de pacote para acesso </w:t>
            </w:r>
            <w:r w:rsidRPr="00D417A0">
              <w:rPr>
                <w:rFonts w:eastAsia="Arial"/>
                <w:i/>
                <w:iCs/>
                <w:sz w:val="22"/>
                <w:szCs w:val="22"/>
              </w:rPr>
              <w:t>online</w:t>
            </w:r>
            <w:r w:rsidRPr="00D417A0">
              <w:rPr>
                <w:rFonts w:eastAsia="Arial"/>
                <w:sz w:val="22"/>
                <w:szCs w:val="22"/>
              </w:rPr>
              <w:t xml:space="preserve"> e impressão de 50 normas técnicas </w:t>
            </w:r>
            <w:r w:rsidRPr="00D417A0">
              <w:rPr>
                <w:rFonts w:eastAsia="Arial"/>
                <w:color w:val="000000"/>
                <w:sz w:val="22"/>
                <w:szCs w:val="22"/>
              </w:rPr>
              <w:t>ABNT/NBR/NBR ISO</w:t>
            </w:r>
            <w:r w:rsidRPr="00D417A0">
              <w:rPr>
                <w:rFonts w:eastAsia="Arial"/>
                <w:sz w:val="22"/>
                <w:szCs w:val="22"/>
              </w:rPr>
              <w:t>, por meio de plataforma digital de acesso via internet, selecionadas de acordo com o interesse do TRE-SP.</w:t>
            </w:r>
          </w:p>
        </w:tc>
        <w:tc>
          <w:tcPr>
            <w:tcW w:w="1183" w:type="dxa"/>
            <w:tcBorders>
              <w:top w:val="single" w:sz="4" w:space="0" w:color="000000"/>
              <w:left w:val="single" w:sz="4" w:space="0" w:color="000000"/>
              <w:bottom w:val="single" w:sz="4" w:space="0" w:color="000000"/>
              <w:right w:val="single" w:sz="4" w:space="0" w:color="000000"/>
            </w:tcBorders>
            <w:vAlign w:val="center"/>
          </w:tcPr>
          <w:p w:rsidR="002D4985" w:rsidRPr="00D417A0" w:rsidRDefault="002D4985" w:rsidP="0039653B">
            <w:pPr>
              <w:jc w:val="center"/>
              <w:rPr>
                <w:rFonts w:eastAsia="Arial"/>
                <w:sz w:val="22"/>
                <w:szCs w:val="22"/>
              </w:rPr>
            </w:pPr>
            <w:r w:rsidRPr="00D417A0">
              <w:rPr>
                <w:rFonts w:eastAsia="Arial"/>
                <w:sz w:val="22"/>
                <w:szCs w:val="22"/>
              </w:rPr>
              <w:t>23108</w:t>
            </w:r>
          </w:p>
        </w:tc>
        <w:tc>
          <w:tcPr>
            <w:tcW w:w="1275" w:type="dxa"/>
            <w:tcBorders>
              <w:top w:val="single" w:sz="4" w:space="0" w:color="000000"/>
              <w:left w:val="single" w:sz="4" w:space="0" w:color="000000"/>
              <w:bottom w:val="single" w:sz="4" w:space="0" w:color="000000"/>
              <w:right w:val="single" w:sz="4" w:space="0" w:color="000000"/>
            </w:tcBorders>
            <w:vAlign w:val="center"/>
          </w:tcPr>
          <w:p w:rsidR="002D4985" w:rsidRPr="00D417A0" w:rsidRDefault="002D4985" w:rsidP="0039653B">
            <w:pPr>
              <w:jc w:val="center"/>
              <w:rPr>
                <w:rFonts w:eastAsia="Arial"/>
                <w:sz w:val="22"/>
                <w:szCs w:val="22"/>
              </w:rPr>
            </w:pPr>
            <w:r w:rsidRPr="00D417A0">
              <w:rPr>
                <w:rFonts w:eastAsia="Arial"/>
                <w:sz w:val="22"/>
                <w:szCs w:val="22"/>
              </w:rPr>
              <w:t>Pacote com 50 normas</w:t>
            </w:r>
          </w:p>
        </w:tc>
        <w:tc>
          <w:tcPr>
            <w:tcW w:w="1701" w:type="dxa"/>
            <w:tcBorders>
              <w:top w:val="single" w:sz="4" w:space="0" w:color="000000"/>
              <w:left w:val="single" w:sz="4" w:space="0" w:color="000000"/>
              <w:bottom w:val="single" w:sz="4" w:space="0" w:color="000000"/>
              <w:right w:val="single" w:sz="4" w:space="0" w:color="000000"/>
            </w:tcBorders>
            <w:vAlign w:val="center"/>
          </w:tcPr>
          <w:p w:rsidR="002D4985" w:rsidRPr="00D417A0" w:rsidRDefault="002D4985" w:rsidP="0039653B">
            <w:pPr>
              <w:jc w:val="center"/>
              <w:rPr>
                <w:rFonts w:eastAsia="Arial"/>
                <w:sz w:val="22"/>
                <w:szCs w:val="22"/>
              </w:rPr>
            </w:pPr>
            <w:r w:rsidRPr="00D417A0">
              <w:rPr>
                <w:rFonts w:eastAsia="Arial"/>
                <w:sz w:val="22"/>
                <w:szCs w:val="22"/>
              </w:rPr>
              <w:t>1 unidade</w:t>
            </w:r>
          </w:p>
        </w:tc>
        <w:tc>
          <w:tcPr>
            <w:tcW w:w="1560" w:type="dxa"/>
            <w:tcBorders>
              <w:top w:val="single" w:sz="4" w:space="0" w:color="000000"/>
              <w:left w:val="single" w:sz="4" w:space="0" w:color="000000"/>
              <w:bottom w:val="single" w:sz="4" w:space="0" w:color="000000"/>
              <w:right w:val="single" w:sz="4" w:space="0" w:color="000000"/>
            </w:tcBorders>
            <w:vAlign w:val="center"/>
          </w:tcPr>
          <w:p w:rsidR="002D4985" w:rsidRPr="00D417A0" w:rsidRDefault="002D4985" w:rsidP="0039653B">
            <w:pPr>
              <w:jc w:val="center"/>
              <w:rPr>
                <w:rFonts w:eastAsia="Arial"/>
                <w:sz w:val="22"/>
                <w:szCs w:val="22"/>
              </w:rPr>
            </w:pPr>
            <w:r w:rsidRPr="00D417A0">
              <w:rPr>
                <w:rFonts w:eastAsia="Arial"/>
                <w:sz w:val="22"/>
                <w:szCs w:val="22"/>
              </w:rPr>
              <w:t>R$ 3.</w:t>
            </w:r>
            <w:r>
              <w:rPr>
                <w:rFonts w:eastAsia="Arial"/>
                <w:sz w:val="22"/>
                <w:szCs w:val="22"/>
              </w:rPr>
              <w:t>810,58</w:t>
            </w:r>
          </w:p>
        </w:tc>
        <w:tc>
          <w:tcPr>
            <w:tcW w:w="1559" w:type="dxa"/>
            <w:tcBorders>
              <w:top w:val="single" w:sz="4" w:space="0" w:color="000000"/>
              <w:left w:val="single" w:sz="4" w:space="0" w:color="000000"/>
              <w:bottom w:val="single" w:sz="4" w:space="0" w:color="000000"/>
              <w:right w:val="single" w:sz="4" w:space="0" w:color="000000"/>
            </w:tcBorders>
            <w:vAlign w:val="center"/>
          </w:tcPr>
          <w:p w:rsidR="002D4985" w:rsidRPr="00D417A0" w:rsidRDefault="002D4985" w:rsidP="0039653B">
            <w:pPr>
              <w:jc w:val="center"/>
              <w:rPr>
                <w:rFonts w:eastAsia="Arial"/>
                <w:sz w:val="22"/>
                <w:szCs w:val="22"/>
              </w:rPr>
            </w:pPr>
          </w:p>
          <w:p w:rsidR="002D4985" w:rsidRPr="00D417A0" w:rsidRDefault="002D4985" w:rsidP="0039653B">
            <w:pPr>
              <w:jc w:val="center"/>
              <w:rPr>
                <w:rFonts w:eastAsia="Arial"/>
                <w:sz w:val="22"/>
                <w:szCs w:val="22"/>
              </w:rPr>
            </w:pPr>
          </w:p>
          <w:p w:rsidR="002D4985" w:rsidRPr="00D417A0" w:rsidRDefault="002D4985" w:rsidP="0039653B">
            <w:pPr>
              <w:jc w:val="center"/>
              <w:rPr>
                <w:rFonts w:eastAsia="Arial"/>
                <w:sz w:val="22"/>
                <w:szCs w:val="22"/>
              </w:rPr>
            </w:pPr>
            <w:r w:rsidRPr="00D417A0">
              <w:rPr>
                <w:rFonts w:eastAsia="Arial"/>
                <w:sz w:val="22"/>
                <w:szCs w:val="22"/>
              </w:rPr>
              <w:t>R$ 3.</w:t>
            </w:r>
            <w:r>
              <w:rPr>
                <w:rFonts w:eastAsia="Arial"/>
                <w:sz w:val="22"/>
                <w:szCs w:val="22"/>
              </w:rPr>
              <w:t>810,58</w:t>
            </w:r>
          </w:p>
          <w:p w:rsidR="002D4985" w:rsidRPr="00D417A0" w:rsidRDefault="002D4985" w:rsidP="0039653B">
            <w:pPr>
              <w:jc w:val="center"/>
              <w:rPr>
                <w:rFonts w:eastAsia="Arial"/>
                <w:strike/>
                <w:sz w:val="22"/>
                <w:szCs w:val="22"/>
              </w:rPr>
            </w:pPr>
          </w:p>
          <w:p w:rsidR="002D4985" w:rsidRPr="00D417A0" w:rsidRDefault="002D4985" w:rsidP="0039653B">
            <w:pPr>
              <w:jc w:val="center"/>
              <w:rPr>
                <w:rFonts w:eastAsia="Arial"/>
                <w:sz w:val="22"/>
                <w:szCs w:val="22"/>
              </w:rPr>
            </w:pPr>
          </w:p>
        </w:tc>
      </w:tr>
    </w:tbl>
    <w:p w:rsidR="002D4985" w:rsidRPr="00D417A0" w:rsidRDefault="002D4985" w:rsidP="002D4985">
      <w:pPr>
        <w:pBdr>
          <w:top w:val="nil"/>
          <w:left w:val="nil"/>
          <w:bottom w:val="nil"/>
          <w:right w:val="nil"/>
          <w:between w:val="nil"/>
        </w:pBdr>
        <w:spacing w:after="200"/>
        <w:ind w:left="720"/>
        <w:jc w:val="both"/>
        <w:rPr>
          <w:rFonts w:eastAsia="Arial"/>
          <w:color w:val="000000"/>
          <w:sz w:val="22"/>
          <w:szCs w:val="22"/>
        </w:rPr>
      </w:pP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1.2.</w:t>
      </w:r>
      <w:r w:rsidRPr="00D417A0">
        <w:rPr>
          <w:rFonts w:eastAsia="Arial"/>
          <w:color w:val="000000"/>
          <w:sz w:val="22"/>
          <w:szCs w:val="22"/>
        </w:rPr>
        <w:tab/>
        <w:t>O(s) preço(s) proposto(s) deverá(</w:t>
      </w:r>
      <w:proofErr w:type="spellStart"/>
      <w:r w:rsidRPr="00D417A0">
        <w:rPr>
          <w:rFonts w:eastAsia="Arial"/>
          <w:color w:val="000000"/>
          <w:sz w:val="22"/>
          <w:szCs w:val="22"/>
        </w:rPr>
        <w:t>ão</w:t>
      </w:r>
      <w:proofErr w:type="spellEnd"/>
      <w:r w:rsidRPr="00D417A0">
        <w:rPr>
          <w:rFonts w:eastAsia="Arial"/>
          <w:color w:val="000000"/>
          <w:sz w:val="22"/>
          <w:szCs w:val="22"/>
        </w:rPr>
        <w:t>) ser final(</w:t>
      </w:r>
      <w:proofErr w:type="spellStart"/>
      <w:r w:rsidRPr="00D417A0">
        <w:rPr>
          <w:rFonts w:eastAsia="Arial"/>
          <w:color w:val="000000"/>
          <w:sz w:val="22"/>
          <w:szCs w:val="22"/>
        </w:rPr>
        <w:t>is</w:t>
      </w:r>
      <w:proofErr w:type="spellEnd"/>
      <w:r w:rsidRPr="00D417A0">
        <w:rPr>
          <w:rFonts w:eastAsia="Arial"/>
          <w:color w:val="000000"/>
          <w:sz w:val="22"/>
          <w:szCs w:val="22"/>
        </w:rPr>
        <w:t xml:space="preserve">), acrescido(s) de todas as despesas (ordinárias diretas e indiretas decorrentes da execução do objeto, na forma da legislação vigente, incluídos todos os tributos e contribuições fiscais e </w:t>
      </w:r>
      <w:proofErr w:type="spellStart"/>
      <w:r w:rsidRPr="00D417A0">
        <w:rPr>
          <w:rFonts w:eastAsia="Arial"/>
          <w:color w:val="000000"/>
          <w:sz w:val="22"/>
          <w:szCs w:val="22"/>
        </w:rPr>
        <w:t>parafiscais</w:t>
      </w:r>
      <w:proofErr w:type="spellEnd"/>
      <w:r w:rsidRPr="00D417A0">
        <w:rPr>
          <w:rFonts w:eastAsia="Arial"/>
          <w:color w:val="000000"/>
          <w:sz w:val="22"/>
          <w:szCs w:val="22"/>
        </w:rPr>
        <w:t xml:space="preserve"> incidentes direta ou indiretamente e outras necessárias ao integral cumprimento da execução dos serviços, deduzidos eventuais descontos) e conter somente duas casas decimais, não sendo admitido(s) valor(es) simbólico(s), irrisório(s) ou igual(</w:t>
      </w:r>
      <w:proofErr w:type="spellStart"/>
      <w:r w:rsidRPr="00D417A0">
        <w:rPr>
          <w:rFonts w:eastAsia="Arial"/>
          <w:color w:val="000000"/>
          <w:sz w:val="22"/>
          <w:szCs w:val="22"/>
        </w:rPr>
        <w:t>is</w:t>
      </w:r>
      <w:proofErr w:type="spellEnd"/>
      <w:r w:rsidRPr="00D417A0">
        <w:rPr>
          <w:rFonts w:eastAsia="Arial"/>
          <w:color w:val="000000"/>
          <w:sz w:val="22"/>
          <w:szCs w:val="22"/>
        </w:rPr>
        <w:t>) a zero, o que enseja a desclassificação.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1.3.</w:t>
      </w:r>
      <w:r w:rsidRPr="00D417A0">
        <w:rPr>
          <w:rFonts w:eastAsia="Arial"/>
          <w:color w:val="000000"/>
          <w:sz w:val="22"/>
          <w:szCs w:val="22"/>
        </w:rPr>
        <w:tab/>
        <w:t xml:space="preserve">Os códigos e descrições do "CATMAT/CATSER" constantes do "Compras.gov.br" podem eventualmente divergir da descrição dos itens a serem contratados quanto a especificações e outras características. </w:t>
      </w:r>
      <w:r w:rsidRPr="00D417A0">
        <w:rPr>
          <w:rFonts w:eastAsia="Arial"/>
          <w:b/>
          <w:bCs/>
          <w:color w:val="000000"/>
          <w:sz w:val="22"/>
          <w:szCs w:val="22"/>
        </w:rPr>
        <w:t>Neste caso, havendo divergência quanto ao código/descrição do CATMAT/CATSER prevalecerão as especificações detalhadas neste Termo de Referência.</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1.4.</w:t>
      </w:r>
      <w:r w:rsidRPr="00D417A0">
        <w:rPr>
          <w:rFonts w:eastAsia="Arial"/>
          <w:color w:val="000000"/>
          <w:sz w:val="22"/>
          <w:szCs w:val="22"/>
        </w:rPr>
        <w:tab/>
        <w:t>A Fundamentação para o Parcelamento ou não do objeto da contratação encontra-se pormenorizada no item VI do Estudo Técnico Preliminar.</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1.5.</w:t>
      </w:r>
      <w:r w:rsidRPr="00D417A0">
        <w:rPr>
          <w:rFonts w:eastAsia="Arial"/>
          <w:color w:val="000000"/>
          <w:sz w:val="22"/>
          <w:szCs w:val="22"/>
        </w:rPr>
        <w:tab/>
        <w:t xml:space="preserve">A contratação ocorrerá por </w:t>
      </w:r>
      <w:r w:rsidRPr="00D417A0">
        <w:rPr>
          <w:rFonts w:eastAsia="Arial"/>
          <w:b/>
          <w:bCs/>
          <w:color w:val="000000"/>
          <w:sz w:val="22"/>
          <w:szCs w:val="22"/>
        </w:rPr>
        <w:t>Item Único</w:t>
      </w:r>
      <w:r w:rsidRPr="00D417A0">
        <w:rPr>
          <w:rFonts w:eastAsia="Arial"/>
          <w:color w:val="000000"/>
          <w:sz w:val="22"/>
          <w:szCs w:val="22"/>
        </w:rPr>
        <w:t>.</w:t>
      </w:r>
    </w:p>
    <w:p w:rsidR="002D4985" w:rsidRPr="00D417A0" w:rsidRDefault="002D4985" w:rsidP="002D4985">
      <w:pPr>
        <w:pBdr>
          <w:top w:val="nil"/>
          <w:left w:val="nil"/>
          <w:bottom w:val="nil"/>
          <w:right w:val="nil"/>
          <w:between w:val="nil"/>
        </w:pBdr>
        <w:spacing w:after="200"/>
        <w:ind w:hanging="11"/>
        <w:jc w:val="both"/>
        <w:rPr>
          <w:rFonts w:eastAsia="Arial"/>
          <w:b/>
          <w:bCs/>
          <w:color w:val="000000"/>
          <w:sz w:val="22"/>
          <w:szCs w:val="22"/>
        </w:rPr>
      </w:pPr>
      <w:r w:rsidRPr="00D417A0">
        <w:rPr>
          <w:rFonts w:eastAsia="Arial"/>
          <w:b/>
          <w:bCs/>
          <w:color w:val="000000"/>
          <w:sz w:val="22"/>
          <w:szCs w:val="22"/>
        </w:rPr>
        <w:t xml:space="preserve">Prazo de Vigência </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lastRenderedPageBreak/>
        <w:t>1.6.</w:t>
      </w:r>
      <w:r w:rsidRPr="00D417A0">
        <w:rPr>
          <w:rFonts w:eastAsia="Arial"/>
          <w:color w:val="000000"/>
          <w:sz w:val="22"/>
          <w:szCs w:val="22"/>
        </w:rPr>
        <w:tab/>
        <w:t>O prazo de vigência da contratação é de 12 (doze) meses contados da disponibilização do acesso pela fornecedora, na forma do artigo 105 da Lei n° 14.133, de 2021.</w:t>
      </w:r>
    </w:p>
    <w:p w:rsidR="002D4985" w:rsidRPr="00D417A0" w:rsidRDefault="002D4985" w:rsidP="002D4985">
      <w:pPr>
        <w:pBdr>
          <w:top w:val="nil"/>
          <w:left w:val="nil"/>
          <w:bottom w:val="nil"/>
          <w:right w:val="nil"/>
          <w:between w:val="nil"/>
        </w:pBdr>
        <w:spacing w:after="200"/>
        <w:ind w:left="283" w:hanging="285"/>
        <w:jc w:val="both"/>
        <w:rPr>
          <w:rFonts w:eastAsia="Arial"/>
          <w:b/>
          <w:bCs/>
          <w:color w:val="000000"/>
          <w:sz w:val="22"/>
          <w:szCs w:val="22"/>
        </w:rPr>
      </w:pPr>
      <w:r w:rsidRPr="00D417A0">
        <w:rPr>
          <w:rFonts w:eastAsia="Arial"/>
          <w:b/>
          <w:bCs/>
          <w:color w:val="000000"/>
          <w:sz w:val="22"/>
          <w:szCs w:val="22"/>
        </w:rPr>
        <w:t>2.</w:t>
      </w:r>
      <w:r w:rsidRPr="00D417A0">
        <w:rPr>
          <w:rFonts w:eastAsia="Arial"/>
          <w:b/>
          <w:bCs/>
          <w:color w:val="000000"/>
          <w:sz w:val="22"/>
          <w:szCs w:val="22"/>
        </w:rPr>
        <w:tab/>
        <w:t xml:space="preserve">FUNDAMENTAÇÃO E DESCRIÇÃO DA NECESSIDADE DA CONTRATAÇÃO (Art. 6º, XXIII, alínea ‘b’, da Lei nº 14.133/2021) </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2.1.</w:t>
      </w:r>
      <w:r w:rsidRPr="00D417A0">
        <w:rPr>
          <w:rFonts w:eastAsia="Arial"/>
          <w:color w:val="000000"/>
          <w:sz w:val="22"/>
          <w:szCs w:val="22"/>
        </w:rPr>
        <w:tab/>
        <w:t>A Fundamentação da Contratação e de seus quantitativos encontra-se pormenorizada nos itens III e IV do Estudo Técnico Preliminar.</w:t>
      </w:r>
    </w:p>
    <w:p w:rsidR="002D4985" w:rsidRPr="00D417A0" w:rsidRDefault="002D4985" w:rsidP="002D4985">
      <w:pPr>
        <w:pBdr>
          <w:top w:val="nil"/>
          <w:left w:val="nil"/>
          <w:bottom w:val="nil"/>
          <w:right w:val="nil"/>
          <w:between w:val="nil"/>
        </w:pBdr>
        <w:spacing w:after="200"/>
        <w:ind w:left="283" w:hanging="283"/>
        <w:jc w:val="both"/>
        <w:rPr>
          <w:rFonts w:eastAsia="Arial"/>
          <w:b/>
          <w:bCs/>
          <w:color w:val="000000"/>
          <w:sz w:val="22"/>
          <w:szCs w:val="22"/>
        </w:rPr>
      </w:pPr>
      <w:r w:rsidRPr="00D417A0">
        <w:rPr>
          <w:rFonts w:eastAsia="Arial"/>
          <w:b/>
          <w:bCs/>
          <w:color w:val="000000"/>
          <w:sz w:val="22"/>
          <w:szCs w:val="22"/>
        </w:rPr>
        <w:t>3.</w:t>
      </w:r>
      <w:r w:rsidRPr="00D417A0">
        <w:rPr>
          <w:rFonts w:eastAsia="Arial"/>
          <w:b/>
          <w:bCs/>
          <w:color w:val="000000"/>
          <w:sz w:val="22"/>
          <w:szCs w:val="22"/>
        </w:rPr>
        <w:tab/>
        <w:t>DESCRIÇÃO DA SOLUÇÃO COMO UM TODO CONSIDERADO O CICLO DE VIDA DO OBJETO (Art. 6º, XXIII, alínea ‘c’ e art. 40, §1º, I da Lei nº 14.133/2021)</w:t>
      </w:r>
    </w:p>
    <w:p w:rsidR="002D4985" w:rsidRPr="00D417A0" w:rsidRDefault="002D4985" w:rsidP="002D4985">
      <w:pPr>
        <w:spacing w:after="200"/>
        <w:ind w:left="284"/>
        <w:jc w:val="both"/>
        <w:rPr>
          <w:rFonts w:eastAsia="Arial"/>
          <w:sz w:val="22"/>
          <w:szCs w:val="22"/>
        </w:rPr>
      </w:pPr>
      <w:r w:rsidRPr="00D417A0">
        <w:rPr>
          <w:rFonts w:eastAsia="Arial"/>
          <w:sz w:val="22"/>
          <w:szCs w:val="22"/>
        </w:rPr>
        <w:t>3.1. O objeto da presente contratação consiste na formalização de contrato para acesso aos acervos digitais de normas técnicas, com a previsão do fornecimento de até 50 (cinquenta) normativos, conforme levantamento realizado junto às Secretarias. Este quantitativo foi estabelecido após a consulta de todas as unidades do Tribunal, tendo sido adequado para o atendimento da demanda.</w:t>
      </w:r>
    </w:p>
    <w:p w:rsidR="002D4985" w:rsidRPr="00D417A0" w:rsidRDefault="002D4985" w:rsidP="002D4985">
      <w:pPr>
        <w:spacing w:after="200"/>
        <w:ind w:left="284"/>
        <w:jc w:val="both"/>
        <w:rPr>
          <w:rFonts w:eastAsia="Arial"/>
          <w:sz w:val="22"/>
          <w:szCs w:val="22"/>
        </w:rPr>
      </w:pPr>
      <w:r w:rsidRPr="00D417A0">
        <w:rPr>
          <w:rFonts w:eastAsia="Arial"/>
          <w:sz w:val="22"/>
          <w:szCs w:val="22"/>
        </w:rPr>
        <w:t xml:space="preserve">3.2. O modelo a ser contratado deve ser de acesso remoto aos documentos, permitindo acesso e pesquisa de todo acervo disponível, das normas técnicas constantes na plataforma, por meio de </w:t>
      </w:r>
      <w:proofErr w:type="spellStart"/>
      <w:r w:rsidRPr="00D417A0">
        <w:rPr>
          <w:rFonts w:eastAsia="Arial"/>
          <w:i/>
          <w:iCs/>
          <w:sz w:val="22"/>
          <w:szCs w:val="22"/>
        </w:rPr>
        <w:t>login</w:t>
      </w:r>
      <w:proofErr w:type="spellEnd"/>
      <w:r w:rsidRPr="00D417A0">
        <w:rPr>
          <w:rFonts w:eastAsia="Arial"/>
          <w:sz w:val="22"/>
          <w:szCs w:val="22"/>
        </w:rPr>
        <w:t xml:space="preserve"> e senha, sem limite de usuários, no âmbito do Tribunal Regional Eleitoral de São Paulo e da Escola Judiciária Eleitoral Paulista - EJEP. Também deve ser disponibilizada a impressão das normas incluídas no pacote, quando solicitada para o uso nas unidades.</w:t>
      </w:r>
    </w:p>
    <w:p w:rsidR="002D4985" w:rsidRPr="00D417A0" w:rsidRDefault="002D4985" w:rsidP="002D4985">
      <w:pPr>
        <w:pBdr>
          <w:top w:val="nil"/>
          <w:left w:val="nil"/>
          <w:bottom w:val="nil"/>
          <w:right w:val="nil"/>
          <w:between w:val="nil"/>
        </w:pBdr>
        <w:spacing w:after="200"/>
        <w:ind w:left="283" w:hanging="283"/>
        <w:jc w:val="both"/>
        <w:rPr>
          <w:rFonts w:eastAsia="Arial"/>
          <w:b/>
          <w:bCs/>
          <w:color w:val="000000"/>
          <w:sz w:val="22"/>
          <w:szCs w:val="22"/>
        </w:rPr>
      </w:pPr>
      <w:r w:rsidRPr="00D417A0">
        <w:rPr>
          <w:rFonts w:eastAsia="Arial"/>
          <w:b/>
          <w:bCs/>
          <w:color w:val="000000"/>
          <w:sz w:val="22"/>
          <w:szCs w:val="22"/>
        </w:rPr>
        <w:t>4.</w:t>
      </w:r>
      <w:r w:rsidRPr="00D417A0">
        <w:rPr>
          <w:rFonts w:eastAsia="Arial"/>
          <w:b/>
          <w:bCs/>
          <w:color w:val="000000"/>
          <w:sz w:val="22"/>
          <w:szCs w:val="22"/>
        </w:rPr>
        <w:tab/>
        <w:t>REQUISITOS DA CONTRATAÇÃO E MODELO DE EXECUÇÃO DO OBJETO (Art. 6º, XXIII, alíneas ‘d’ e “e” da Lei nº 14.133/2021)</w:t>
      </w:r>
    </w:p>
    <w:p w:rsidR="002D4985" w:rsidRPr="00D417A0" w:rsidRDefault="002D4985" w:rsidP="002D4985">
      <w:pPr>
        <w:spacing w:after="200"/>
        <w:jc w:val="both"/>
        <w:rPr>
          <w:rFonts w:eastAsia="Arial"/>
          <w:b/>
          <w:bCs/>
          <w:sz w:val="22"/>
          <w:szCs w:val="22"/>
        </w:rPr>
      </w:pPr>
      <w:r w:rsidRPr="00D417A0">
        <w:rPr>
          <w:rFonts w:eastAsia="Arial"/>
          <w:b/>
          <w:bCs/>
          <w:sz w:val="22"/>
          <w:szCs w:val="22"/>
        </w:rPr>
        <w:t>Sustentabilidade</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4.1.</w:t>
      </w:r>
      <w:r w:rsidRPr="00D417A0">
        <w:rPr>
          <w:rFonts w:eastAsia="Arial"/>
          <w:color w:val="000000"/>
          <w:sz w:val="22"/>
          <w:szCs w:val="22"/>
        </w:rPr>
        <w:tab/>
        <w:t>Na presente contratação não será exigida a comprovação de atendimento de critérios de sustentabilidade de acordo com a justificativa contida no item I do Estudo Técnico Preliminar.</w:t>
      </w:r>
    </w:p>
    <w:p w:rsidR="002D4985" w:rsidRPr="00D417A0" w:rsidRDefault="002D4985" w:rsidP="002D4985">
      <w:pPr>
        <w:spacing w:after="200"/>
        <w:jc w:val="both"/>
        <w:rPr>
          <w:rFonts w:eastAsia="Arial"/>
          <w:b/>
          <w:bCs/>
          <w:sz w:val="22"/>
          <w:szCs w:val="22"/>
        </w:rPr>
      </w:pPr>
      <w:r w:rsidRPr="00D417A0">
        <w:rPr>
          <w:rFonts w:eastAsia="Arial"/>
          <w:b/>
          <w:bCs/>
          <w:sz w:val="22"/>
          <w:szCs w:val="22"/>
        </w:rPr>
        <w:t>Indicação de marcas ou modelos (41, inciso I, da Lei nº 14.133, de 2021)</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4.2.</w:t>
      </w:r>
      <w:r w:rsidRPr="00D417A0">
        <w:rPr>
          <w:rFonts w:eastAsia="Arial"/>
          <w:color w:val="000000"/>
          <w:sz w:val="22"/>
          <w:szCs w:val="22"/>
        </w:rPr>
        <w:tab/>
        <w:t xml:space="preserve">Não haverá a indicação de </w:t>
      </w:r>
      <w:proofErr w:type="gramStart"/>
      <w:r w:rsidRPr="00D417A0">
        <w:rPr>
          <w:rFonts w:eastAsia="Arial"/>
          <w:color w:val="000000"/>
          <w:sz w:val="22"/>
          <w:szCs w:val="22"/>
        </w:rPr>
        <w:t>marca(</w:t>
      </w:r>
      <w:proofErr w:type="gramEnd"/>
      <w:r w:rsidRPr="00D417A0">
        <w:rPr>
          <w:rFonts w:eastAsia="Arial"/>
          <w:color w:val="000000"/>
          <w:sz w:val="22"/>
          <w:szCs w:val="22"/>
        </w:rPr>
        <w:t>s) de referência.</w:t>
      </w:r>
    </w:p>
    <w:p w:rsidR="002D4985" w:rsidRPr="00D417A0" w:rsidRDefault="002D4985" w:rsidP="002D4985">
      <w:pPr>
        <w:spacing w:after="200"/>
        <w:jc w:val="both"/>
        <w:rPr>
          <w:rFonts w:eastAsia="Arial"/>
          <w:b/>
          <w:bCs/>
          <w:sz w:val="22"/>
          <w:szCs w:val="22"/>
        </w:rPr>
      </w:pPr>
      <w:r w:rsidRPr="00D417A0">
        <w:rPr>
          <w:rFonts w:eastAsia="Arial"/>
          <w:b/>
          <w:bCs/>
          <w:sz w:val="22"/>
          <w:szCs w:val="22"/>
        </w:rPr>
        <w:t>Da exigência de amostra</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4.3.</w:t>
      </w:r>
      <w:r w:rsidRPr="00D417A0">
        <w:rPr>
          <w:rFonts w:eastAsia="Arial"/>
          <w:color w:val="000000"/>
          <w:sz w:val="22"/>
          <w:szCs w:val="22"/>
        </w:rPr>
        <w:tab/>
        <w:t>Não haverá a exigência de apresentação de amostra.</w:t>
      </w:r>
    </w:p>
    <w:p w:rsidR="002D4985" w:rsidRPr="00D417A0" w:rsidRDefault="002D4985" w:rsidP="002D4985">
      <w:pPr>
        <w:spacing w:after="200"/>
        <w:jc w:val="both"/>
        <w:rPr>
          <w:rFonts w:eastAsia="Arial"/>
          <w:b/>
          <w:bCs/>
          <w:sz w:val="22"/>
          <w:szCs w:val="22"/>
        </w:rPr>
      </w:pPr>
      <w:r w:rsidRPr="00D417A0">
        <w:rPr>
          <w:rFonts w:eastAsia="Arial"/>
          <w:b/>
          <w:bCs/>
          <w:sz w:val="22"/>
          <w:szCs w:val="22"/>
        </w:rPr>
        <w:t>Da exigência de prova</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4.4.</w:t>
      </w:r>
      <w:r w:rsidRPr="00D417A0">
        <w:rPr>
          <w:rFonts w:eastAsia="Arial"/>
          <w:color w:val="000000"/>
          <w:sz w:val="22"/>
          <w:szCs w:val="22"/>
        </w:rPr>
        <w:tab/>
        <w:t>Não haverá a exigência de apresentação de prova.</w:t>
      </w:r>
    </w:p>
    <w:p w:rsidR="002D4985" w:rsidRPr="00D417A0" w:rsidRDefault="002D4985" w:rsidP="002D4985">
      <w:pPr>
        <w:spacing w:after="200"/>
        <w:jc w:val="both"/>
        <w:rPr>
          <w:rFonts w:eastAsia="Arial"/>
          <w:b/>
          <w:bCs/>
          <w:sz w:val="22"/>
          <w:szCs w:val="22"/>
        </w:rPr>
      </w:pPr>
      <w:r w:rsidRPr="00D417A0">
        <w:rPr>
          <w:rFonts w:eastAsia="Arial"/>
          <w:b/>
          <w:bCs/>
          <w:sz w:val="22"/>
          <w:szCs w:val="22"/>
        </w:rPr>
        <w:t>Subcontratação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4.5.</w:t>
      </w:r>
      <w:r w:rsidRPr="00D417A0">
        <w:rPr>
          <w:rFonts w:eastAsia="Arial"/>
          <w:color w:val="000000"/>
          <w:sz w:val="22"/>
          <w:szCs w:val="22"/>
        </w:rPr>
        <w:tab/>
        <w:t>Não será admitida a subcontratação do objeto contratual.</w:t>
      </w:r>
    </w:p>
    <w:p w:rsidR="002D4985" w:rsidRPr="00D417A0" w:rsidRDefault="002D4985" w:rsidP="002D4985">
      <w:pPr>
        <w:spacing w:after="200"/>
        <w:jc w:val="both"/>
        <w:rPr>
          <w:rFonts w:eastAsia="Arial"/>
          <w:b/>
          <w:bCs/>
          <w:sz w:val="22"/>
          <w:szCs w:val="22"/>
        </w:rPr>
      </w:pPr>
      <w:r w:rsidRPr="00D417A0">
        <w:rPr>
          <w:rFonts w:eastAsia="Arial"/>
          <w:b/>
          <w:bCs/>
          <w:sz w:val="22"/>
          <w:szCs w:val="22"/>
        </w:rPr>
        <w:t>Garantia da contratação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4.6.</w:t>
      </w:r>
      <w:r w:rsidRPr="00D417A0">
        <w:rPr>
          <w:rFonts w:eastAsia="Arial"/>
          <w:color w:val="000000"/>
          <w:sz w:val="22"/>
          <w:szCs w:val="22"/>
        </w:rPr>
        <w:tab/>
        <w:t>Não haverá a exigência d</w:t>
      </w:r>
      <w:r w:rsidRPr="00D417A0">
        <w:rPr>
          <w:rFonts w:eastAsia="Arial"/>
          <w:sz w:val="22"/>
          <w:szCs w:val="22"/>
        </w:rPr>
        <w:t>a</w:t>
      </w:r>
      <w:r w:rsidRPr="00D417A0">
        <w:rPr>
          <w:rFonts w:eastAsia="Arial"/>
          <w:color w:val="000000"/>
          <w:sz w:val="22"/>
          <w:szCs w:val="22"/>
        </w:rPr>
        <w:t xml:space="preserve"> garantia da contratação dos artigos 96 e seguintes da Lei nº 14.133, de 2021.</w:t>
      </w:r>
    </w:p>
    <w:p w:rsidR="002D4985" w:rsidRPr="00D417A0" w:rsidRDefault="002D4985" w:rsidP="002D4985">
      <w:pPr>
        <w:spacing w:after="200"/>
        <w:jc w:val="both"/>
        <w:rPr>
          <w:rFonts w:eastAsia="Arial"/>
          <w:b/>
          <w:bCs/>
          <w:sz w:val="22"/>
          <w:szCs w:val="22"/>
        </w:rPr>
      </w:pPr>
      <w:r w:rsidRPr="00D417A0">
        <w:rPr>
          <w:rFonts w:eastAsia="Arial"/>
          <w:b/>
          <w:bCs/>
          <w:sz w:val="22"/>
          <w:szCs w:val="22"/>
        </w:rPr>
        <w:t>Condições de execução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4.7.</w:t>
      </w:r>
      <w:r w:rsidRPr="00D417A0">
        <w:rPr>
          <w:rFonts w:eastAsia="Arial"/>
          <w:color w:val="000000"/>
          <w:sz w:val="22"/>
          <w:szCs w:val="22"/>
        </w:rPr>
        <w:tab/>
        <w:t>A execução do objeto seguirá a seguinte dinâmica:</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lastRenderedPageBreak/>
        <w:t>4.8.</w:t>
      </w:r>
      <w:r w:rsidRPr="00D417A0">
        <w:rPr>
          <w:rFonts w:eastAsia="Arial"/>
          <w:color w:val="000000"/>
          <w:sz w:val="22"/>
          <w:szCs w:val="22"/>
        </w:rPr>
        <w:tab/>
        <w:t>O fornecedor deverá proceder à entrega dos</w:t>
      </w:r>
      <w:r w:rsidRPr="00D417A0">
        <w:rPr>
          <w:rFonts w:eastAsia="Arial"/>
          <w:i/>
          <w:iCs/>
          <w:color w:val="000000"/>
          <w:sz w:val="22"/>
          <w:szCs w:val="22"/>
        </w:rPr>
        <w:t xml:space="preserve"> links</w:t>
      </w:r>
      <w:r w:rsidRPr="00D417A0">
        <w:rPr>
          <w:rFonts w:eastAsia="Arial"/>
          <w:color w:val="000000"/>
          <w:sz w:val="22"/>
          <w:szCs w:val="22"/>
        </w:rPr>
        <w:t xml:space="preserve"> e instruções necessárias ao acesso da plataforma, no prazo máximo de 15 (quinze) dias corridos, contados da assinatura do contrato.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4.9.</w:t>
      </w:r>
      <w:r w:rsidRPr="00D417A0">
        <w:rPr>
          <w:rFonts w:eastAsia="Arial"/>
          <w:color w:val="000000"/>
          <w:sz w:val="22"/>
          <w:szCs w:val="22"/>
        </w:rPr>
        <w:tab/>
        <w:t>O contrato terá vigência a partir da disponibilização do acesso e com a duração de 12 (doze) meses.</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4.10.</w:t>
      </w:r>
      <w:r w:rsidRPr="00D417A0">
        <w:rPr>
          <w:rFonts w:eastAsia="Arial"/>
          <w:color w:val="000000"/>
          <w:sz w:val="22"/>
          <w:szCs w:val="22"/>
        </w:rPr>
        <w:tab/>
        <w:t>As prorrogações de prazo de entrega poderão ser deferidas pela autoridade competente do TRE-SP, mediante requerimento da Empresa Contratada devidamente fundamentado</w:t>
      </w:r>
      <w:r w:rsidRPr="00D417A0">
        <w:rPr>
          <w:rFonts w:eastAsia="Arial"/>
          <w:sz w:val="22"/>
          <w:szCs w:val="22"/>
        </w:rPr>
        <w:t>.</w:t>
      </w:r>
    </w:p>
    <w:p w:rsidR="002D4985" w:rsidRPr="00D417A0" w:rsidRDefault="002D4985" w:rsidP="002D4985">
      <w:pPr>
        <w:spacing w:after="200"/>
        <w:jc w:val="both"/>
        <w:rPr>
          <w:rFonts w:eastAsia="Arial"/>
          <w:b/>
          <w:bCs/>
          <w:sz w:val="22"/>
          <w:szCs w:val="22"/>
        </w:rPr>
      </w:pPr>
      <w:r w:rsidRPr="00D417A0">
        <w:rPr>
          <w:rFonts w:eastAsia="Arial"/>
          <w:b/>
          <w:bCs/>
          <w:sz w:val="22"/>
          <w:szCs w:val="22"/>
        </w:rPr>
        <w:t>Local e horário da prestação dos serviços</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4.11.</w:t>
      </w:r>
      <w:r w:rsidRPr="00D417A0">
        <w:rPr>
          <w:rFonts w:eastAsia="Arial"/>
          <w:color w:val="000000"/>
          <w:sz w:val="22"/>
          <w:szCs w:val="22"/>
        </w:rPr>
        <w:tab/>
        <w:t xml:space="preserve">O serviço deverá ser prestado mediante acesso </w:t>
      </w:r>
      <w:r w:rsidRPr="00D417A0">
        <w:rPr>
          <w:rFonts w:eastAsia="Arial"/>
          <w:i/>
          <w:iCs/>
          <w:color w:val="000000"/>
          <w:sz w:val="22"/>
          <w:szCs w:val="22"/>
        </w:rPr>
        <w:t>online</w:t>
      </w:r>
      <w:r w:rsidRPr="00D417A0">
        <w:rPr>
          <w:rFonts w:eastAsia="Arial"/>
          <w:color w:val="000000"/>
          <w:sz w:val="22"/>
          <w:szCs w:val="22"/>
        </w:rPr>
        <w:t xml:space="preserve"> à plataforma, por meio de acesso remoto mediante senha fornecida pela Empresa. </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4.12.</w:t>
      </w:r>
      <w:r w:rsidRPr="00D417A0">
        <w:rPr>
          <w:rFonts w:eastAsia="Arial"/>
          <w:color w:val="000000"/>
          <w:sz w:val="22"/>
          <w:szCs w:val="22"/>
        </w:rPr>
        <w:tab/>
        <w:t xml:space="preserve">Endereço para contato: Tribunal Regional Eleitoral de São Paulo. Rua Francisca </w:t>
      </w:r>
      <w:proofErr w:type="spellStart"/>
      <w:r w:rsidRPr="00D417A0">
        <w:rPr>
          <w:rFonts w:eastAsia="Arial"/>
          <w:color w:val="000000"/>
          <w:sz w:val="22"/>
          <w:szCs w:val="22"/>
        </w:rPr>
        <w:t>Miquelina</w:t>
      </w:r>
      <w:proofErr w:type="spellEnd"/>
      <w:r w:rsidRPr="00D417A0">
        <w:rPr>
          <w:rFonts w:eastAsia="Arial"/>
          <w:color w:val="000000"/>
          <w:sz w:val="22"/>
          <w:szCs w:val="22"/>
        </w:rPr>
        <w:t xml:space="preserve">, 123, Anexo I – 2º andar – Seção de Biblioteca, São Paulo, SP – CEP 01316-900. Responsável: Douglas Galvão França de Andrade, e-mail: </w:t>
      </w:r>
      <w:hyperlink r:id="rId4">
        <w:r w:rsidRPr="00D417A0">
          <w:rPr>
            <w:rFonts w:eastAsia="Arial"/>
            <w:color w:val="000000"/>
            <w:sz w:val="22"/>
            <w:szCs w:val="22"/>
          </w:rPr>
          <w:t>sebbl@tre-sp.jus.br</w:t>
        </w:r>
      </w:hyperlink>
      <w:r w:rsidRPr="00D417A0">
        <w:rPr>
          <w:rFonts w:eastAsia="Arial"/>
          <w:color w:val="000000"/>
          <w:sz w:val="22"/>
          <w:szCs w:val="22"/>
        </w:rPr>
        <w:t>, telefones: (11) 3130-2248 ou (11) 3130-2238.</w:t>
      </w:r>
    </w:p>
    <w:p w:rsidR="002D4985" w:rsidRPr="00D417A0" w:rsidRDefault="002D4985" w:rsidP="002D4985">
      <w:pPr>
        <w:spacing w:after="200"/>
        <w:jc w:val="both"/>
        <w:rPr>
          <w:rFonts w:eastAsia="Arial"/>
          <w:b/>
          <w:bCs/>
          <w:sz w:val="22"/>
          <w:szCs w:val="22"/>
        </w:rPr>
      </w:pPr>
      <w:r w:rsidRPr="00D417A0">
        <w:rPr>
          <w:rFonts w:eastAsia="Arial"/>
          <w:b/>
          <w:bCs/>
          <w:sz w:val="22"/>
          <w:szCs w:val="22"/>
        </w:rPr>
        <w:t>Especificação da garantia do serviço (art. 40, §1º, inciso III, da Lei nº 14.133, de 2021)</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4.13.</w:t>
      </w:r>
      <w:r w:rsidRPr="00D417A0">
        <w:rPr>
          <w:rFonts w:eastAsia="Arial"/>
          <w:color w:val="000000"/>
          <w:sz w:val="22"/>
          <w:szCs w:val="22"/>
        </w:rPr>
        <w:tab/>
        <w:t xml:space="preserve">O prazo de garantia contratual dos serviços é aquele estabelecido na Lei nº 8.078, de 11 de setembro de 1990 (Código de Defesa do Consumidor). </w:t>
      </w:r>
    </w:p>
    <w:p w:rsidR="002D4985" w:rsidRPr="00D417A0" w:rsidRDefault="002D4985" w:rsidP="002D4985">
      <w:pPr>
        <w:spacing w:after="200"/>
        <w:jc w:val="both"/>
        <w:rPr>
          <w:rFonts w:eastAsia="Arial"/>
          <w:b/>
          <w:bCs/>
          <w:sz w:val="22"/>
          <w:szCs w:val="22"/>
        </w:rPr>
      </w:pPr>
      <w:r w:rsidRPr="00D417A0">
        <w:rPr>
          <w:rFonts w:eastAsia="Arial"/>
          <w:b/>
          <w:bCs/>
          <w:sz w:val="22"/>
          <w:szCs w:val="22"/>
        </w:rPr>
        <w:t>Manutenção e assistência Técnica</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4.14.</w:t>
      </w:r>
      <w:r w:rsidRPr="00D417A0">
        <w:rPr>
          <w:rFonts w:eastAsia="Arial"/>
          <w:color w:val="000000"/>
          <w:sz w:val="22"/>
          <w:szCs w:val="22"/>
        </w:rPr>
        <w:tab/>
        <w:t>A Contratada deverá garantir a continuidade dos serviços prestados pelo prazo de 12 (doze) meses, mantendo o serviço acessível e notificando sobre possíveis alterações e/ou falhas por motivo de força maior.</w:t>
      </w:r>
    </w:p>
    <w:p w:rsidR="002D4985" w:rsidRPr="00D417A0" w:rsidRDefault="002D4985" w:rsidP="002D4985">
      <w:pPr>
        <w:pBdr>
          <w:top w:val="nil"/>
          <w:left w:val="nil"/>
          <w:bottom w:val="nil"/>
          <w:right w:val="nil"/>
          <w:between w:val="nil"/>
        </w:pBdr>
        <w:spacing w:after="200"/>
        <w:ind w:left="283" w:hanging="283"/>
        <w:jc w:val="both"/>
        <w:rPr>
          <w:rFonts w:eastAsia="Arial"/>
          <w:b/>
          <w:bCs/>
          <w:color w:val="000000"/>
          <w:sz w:val="22"/>
          <w:szCs w:val="22"/>
        </w:rPr>
      </w:pPr>
      <w:r w:rsidRPr="00D417A0">
        <w:rPr>
          <w:rFonts w:eastAsia="Arial"/>
          <w:b/>
          <w:bCs/>
          <w:color w:val="000000"/>
          <w:sz w:val="22"/>
          <w:szCs w:val="22"/>
        </w:rPr>
        <w:t>5.</w:t>
      </w:r>
      <w:r w:rsidRPr="00D417A0">
        <w:rPr>
          <w:rFonts w:eastAsia="Arial"/>
          <w:b/>
          <w:bCs/>
          <w:color w:val="000000"/>
          <w:sz w:val="22"/>
          <w:szCs w:val="22"/>
        </w:rPr>
        <w:tab/>
        <w:t>MODELO DE GESTÃO DO CONTRATO/INSTRUMENTO EQUIVALENTE (art. 6º, XXIII, alínea “f”, da Lei nº 14.133/2021)</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5.1.</w:t>
      </w:r>
      <w:r w:rsidRPr="00D417A0">
        <w:rPr>
          <w:rFonts w:eastAsia="Arial"/>
          <w:color w:val="000000"/>
          <w:sz w:val="22"/>
          <w:szCs w:val="22"/>
        </w:rPr>
        <w:tab/>
        <w:t>O ajuste contratual deverá ser executado fielmente pelas partes, de acordo com as cláusulas avençadas e as normas da Lei nº 14.133, de 2021, e cada parte responderá pelas consequências da sua inexecução total ou parcial.</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5.2.</w:t>
      </w:r>
      <w:r w:rsidRPr="00D417A0">
        <w:rPr>
          <w:rFonts w:eastAsia="Arial"/>
          <w:color w:val="000000"/>
          <w:sz w:val="22"/>
          <w:szCs w:val="22"/>
        </w:rPr>
        <w:tab/>
        <w:t>As comunicações entre o Contratante e a Contratada devem ser realizadas por escrito, sempre que o ato exigir tal formalidade, admitindo-se o uso de mensagem eletrônica para esse fim.</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5.3.</w:t>
      </w:r>
      <w:r w:rsidRPr="00D417A0">
        <w:rPr>
          <w:rFonts w:eastAsia="Arial"/>
          <w:color w:val="000000"/>
          <w:sz w:val="22"/>
          <w:szCs w:val="22"/>
        </w:rPr>
        <w:tab/>
        <w:t>O Contratante poderá convocar o representante da Empresa Contratada para adoção de providências que devam ser cumpridas de imediato.</w:t>
      </w:r>
    </w:p>
    <w:p w:rsidR="002D4985" w:rsidRPr="00D417A0" w:rsidRDefault="002D4985" w:rsidP="002D4985">
      <w:pPr>
        <w:spacing w:after="200"/>
        <w:jc w:val="both"/>
        <w:rPr>
          <w:rFonts w:eastAsia="Arial"/>
          <w:b/>
          <w:bCs/>
          <w:sz w:val="22"/>
          <w:szCs w:val="22"/>
        </w:rPr>
      </w:pPr>
      <w:r w:rsidRPr="00D417A0">
        <w:rPr>
          <w:rFonts w:eastAsia="Arial"/>
          <w:b/>
          <w:bCs/>
          <w:sz w:val="22"/>
          <w:szCs w:val="22"/>
        </w:rPr>
        <w:t>Preposto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5.4.</w:t>
      </w:r>
      <w:r w:rsidRPr="00D417A0">
        <w:rPr>
          <w:rFonts w:eastAsia="Arial"/>
          <w:color w:val="000000"/>
          <w:sz w:val="22"/>
          <w:szCs w:val="22"/>
        </w:rPr>
        <w:tab/>
        <w:t>A Contratada designará formalmente o seu preposto, indicando no instrumento os poderes e os deveres em relação à execução do objeto contratado.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5.5.</w:t>
      </w:r>
      <w:r w:rsidRPr="00D417A0">
        <w:rPr>
          <w:rFonts w:eastAsia="Arial"/>
          <w:color w:val="000000"/>
          <w:sz w:val="22"/>
          <w:szCs w:val="22"/>
        </w:rPr>
        <w:tab/>
        <w:t>O preposto deverá ser indicado na Proposta Definitiva de Preços (Anexo II do Aviso).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5.6.</w:t>
      </w:r>
      <w:r w:rsidRPr="00D417A0">
        <w:rPr>
          <w:rFonts w:eastAsia="Arial"/>
          <w:color w:val="000000"/>
          <w:sz w:val="22"/>
          <w:szCs w:val="22"/>
        </w:rPr>
        <w:tab/>
        <w:t xml:space="preserve">Nas ocasiões em que houver a substituição daquele indicado na Proposta definitiva de Preços, um novo preposto deverá ser indicado no prazo de 24 (vinte </w:t>
      </w:r>
      <w:r w:rsidRPr="00D417A0">
        <w:rPr>
          <w:rFonts w:eastAsia="Arial"/>
          <w:color w:val="000000"/>
          <w:sz w:val="22"/>
          <w:szCs w:val="22"/>
        </w:rPr>
        <w:lastRenderedPageBreak/>
        <w:t xml:space="preserve">e quatro) horas, informando-se sua qualificação por meio de mensagem eletrônica destinada ao endereço de e-mail: </w:t>
      </w:r>
      <w:r w:rsidRPr="00D417A0">
        <w:rPr>
          <w:rFonts w:eastAsia="Arial"/>
          <w:b/>
          <w:bCs/>
          <w:color w:val="000000"/>
          <w:sz w:val="22"/>
          <w:szCs w:val="22"/>
        </w:rPr>
        <w:t xml:space="preserve">sebbl@tre-sp.jus.br. </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5.7.</w:t>
      </w:r>
      <w:r w:rsidRPr="00D417A0">
        <w:rPr>
          <w:rFonts w:eastAsia="Arial"/>
          <w:color w:val="000000"/>
          <w:sz w:val="22"/>
          <w:szCs w:val="22"/>
        </w:rPr>
        <w:tab/>
        <w:t>A Contratante poderá recusar, desde que justificadamente, a indicação ou a manutenção do preposto da empresa, hipótese em que a Contratada designará outro para o exercício da atividade.</w:t>
      </w:r>
    </w:p>
    <w:p w:rsidR="002D4985" w:rsidRPr="00D417A0" w:rsidRDefault="002D4985" w:rsidP="002D4985">
      <w:pPr>
        <w:spacing w:after="200"/>
        <w:jc w:val="both"/>
        <w:rPr>
          <w:rFonts w:eastAsia="Arial"/>
          <w:b/>
          <w:bCs/>
          <w:sz w:val="22"/>
          <w:szCs w:val="22"/>
        </w:rPr>
      </w:pPr>
      <w:r w:rsidRPr="00D417A0">
        <w:rPr>
          <w:rFonts w:eastAsia="Arial"/>
          <w:b/>
          <w:bCs/>
          <w:sz w:val="22"/>
          <w:szCs w:val="22"/>
        </w:rPr>
        <w:t>Rotinas de Fiscalização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5.8.</w:t>
      </w:r>
      <w:r w:rsidRPr="00D417A0">
        <w:rPr>
          <w:rFonts w:eastAsia="Arial"/>
          <w:color w:val="000000"/>
          <w:sz w:val="22"/>
          <w:szCs w:val="22"/>
        </w:rPr>
        <w:tab/>
        <w:t xml:space="preserve">A execução da contratação deverá ser acompanhada e fiscalizada </w:t>
      </w:r>
      <w:proofErr w:type="gramStart"/>
      <w:r w:rsidRPr="00D417A0">
        <w:rPr>
          <w:rFonts w:eastAsia="Arial"/>
          <w:color w:val="000000"/>
          <w:sz w:val="22"/>
          <w:szCs w:val="22"/>
        </w:rPr>
        <w:t>pelo(</w:t>
      </w:r>
      <w:proofErr w:type="gramEnd"/>
      <w:r w:rsidRPr="00D417A0">
        <w:rPr>
          <w:rFonts w:eastAsia="Arial"/>
          <w:color w:val="000000"/>
          <w:sz w:val="22"/>
          <w:szCs w:val="22"/>
        </w:rPr>
        <w:t>s) fiscal(</w:t>
      </w:r>
      <w:proofErr w:type="spellStart"/>
      <w:r w:rsidRPr="00D417A0">
        <w:rPr>
          <w:rFonts w:eastAsia="Arial"/>
          <w:color w:val="000000"/>
          <w:sz w:val="22"/>
          <w:szCs w:val="22"/>
        </w:rPr>
        <w:t>is</w:t>
      </w:r>
      <w:proofErr w:type="spellEnd"/>
      <w:r w:rsidRPr="00D417A0">
        <w:rPr>
          <w:rFonts w:eastAsia="Arial"/>
          <w:color w:val="000000"/>
          <w:sz w:val="22"/>
          <w:szCs w:val="22"/>
        </w:rPr>
        <w:t>) ou pelo(s) respectivo(s) substituto(s).</w:t>
      </w:r>
    </w:p>
    <w:p w:rsidR="002D4985" w:rsidRPr="00D417A0" w:rsidRDefault="002D4985" w:rsidP="002D4985">
      <w:pPr>
        <w:spacing w:after="200"/>
        <w:jc w:val="both"/>
        <w:rPr>
          <w:rFonts w:eastAsia="Arial"/>
          <w:b/>
          <w:bCs/>
          <w:sz w:val="22"/>
          <w:szCs w:val="22"/>
        </w:rPr>
      </w:pPr>
      <w:r w:rsidRPr="00D417A0">
        <w:rPr>
          <w:rFonts w:eastAsia="Arial"/>
          <w:b/>
          <w:bCs/>
          <w:sz w:val="22"/>
          <w:szCs w:val="22"/>
        </w:rPr>
        <w:t>Fiscalização Técnica</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5.9.</w:t>
      </w:r>
      <w:r w:rsidRPr="00D417A0">
        <w:rPr>
          <w:rFonts w:eastAsia="Arial"/>
          <w:color w:val="000000"/>
          <w:sz w:val="22"/>
          <w:szCs w:val="22"/>
        </w:rPr>
        <w:tab/>
        <w:t xml:space="preserve">            O fiscal técnico acompanhará a execução da contratação, para que sejam cumpridas todas as condições estabelecidas no contrato, de modo a assegurar os melhores resultados para a Administração.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5.10.</w:t>
      </w:r>
      <w:r w:rsidRPr="00D417A0">
        <w:rPr>
          <w:rFonts w:eastAsia="Arial"/>
          <w:color w:val="000000"/>
          <w:sz w:val="22"/>
          <w:szCs w:val="22"/>
        </w:rPr>
        <w:tab/>
        <w:t>O fiscal técnico anotará no histórico de gerenciamento do ajuste contratual todas as ocorrências relacionadas à execução da contratação, com a descrição do que for necessário para a regularização das faltas ou dos defeitos observados.</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5.11.</w:t>
      </w:r>
      <w:r w:rsidRPr="00D417A0">
        <w:rPr>
          <w:rFonts w:eastAsia="Arial"/>
          <w:color w:val="000000"/>
          <w:sz w:val="22"/>
          <w:szCs w:val="22"/>
        </w:rPr>
        <w:tab/>
        <w:t xml:space="preserve">Identificada qualquer inexatidão ou irregularidade, o fiscal técnico emitirá notificações para a correção da execução do ajuste contratual, determinando prazo para a correção. </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5.12.</w:t>
      </w:r>
      <w:r w:rsidRPr="00D417A0">
        <w:rPr>
          <w:rFonts w:eastAsia="Arial"/>
          <w:color w:val="000000"/>
          <w:sz w:val="22"/>
          <w:szCs w:val="22"/>
        </w:rPr>
        <w:tab/>
        <w:t>O fiscal técnico informará ao setor competente, em tempo hábil, a situação que demandar decisão ou adoção de medidas que ultrapassem sua competência, para que adote as medidas necessárias e saneadoras, se for o caso.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5.13.</w:t>
      </w:r>
      <w:r w:rsidRPr="00D417A0">
        <w:rPr>
          <w:rFonts w:eastAsia="Arial"/>
          <w:color w:val="000000"/>
          <w:sz w:val="22"/>
          <w:szCs w:val="22"/>
        </w:rPr>
        <w:tab/>
        <w:t xml:space="preserve">No caso de ocorrências que possam inviabilizar a execução do ajuste contratual nas datas aprazadas, o fiscal técnico comunicará o fato imediatamente ao setor competente. </w:t>
      </w:r>
      <w:r w:rsidRPr="00D417A0">
        <w:rPr>
          <w:rFonts w:eastAsia="Arial"/>
          <w:color w:val="000000"/>
          <w:sz w:val="22"/>
          <w:szCs w:val="22"/>
        </w:rPr>
        <w:tab/>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5.14.</w:t>
      </w:r>
      <w:r w:rsidRPr="00D417A0">
        <w:rPr>
          <w:rFonts w:eastAsia="Arial"/>
          <w:color w:val="000000"/>
          <w:sz w:val="22"/>
          <w:szCs w:val="22"/>
        </w:rPr>
        <w:tab/>
        <w:t xml:space="preserve">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120 da Lei nº 14.133 de 2021. </w:t>
      </w:r>
    </w:p>
    <w:p w:rsidR="002D4985" w:rsidRPr="00D417A0" w:rsidRDefault="002D4985" w:rsidP="002D4985">
      <w:pPr>
        <w:pBdr>
          <w:top w:val="nil"/>
          <w:left w:val="nil"/>
          <w:bottom w:val="nil"/>
          <w:right w:val="nil"/>
          <w:between w:val="nil"/>
        </w:pBdr>
        <w:spacing w:after="200"/>
        <w:ind w:left="283" w:hanging="283"/>
        <w:jc w:val="both"/>
        <w:rPr>
          <w:rFonts w:eastAsia="Arial"/>
          <w:b/>
          <w:bCs/>
          <w:color w:val="000000"/>
          <w:sz w:val="22"/>
          <w:szCs w:val="22"/>
        </w:rPr>
      </w:pPr>
      <w:r w:rsidRPr="00D417A0">
        <w:rPr>
          <w:rFonts w:eastAsia="Arial"/>
          <w:b/>
          <w:bCs/>
          <w:color w:val="000000"/>
          <w:sz w:val="22"/>
          <w:szCs w:val="22"/>
        </w:rPr>
        <w:t>6.</w:t>
      </w:r>
      <w:r w:rsidRPr="00D417A0">
        <w:rPr>
          <w:rFonts w:eastAsia="Arial"/>
          <w:b/>
          <w:bCs/>
          <w:color w:val="000000"/>
          <w:sz w:val="22"/>
          <w:szCs w:val="22"/>
        </w:rPr>
        <w:tab/>
        <w:t>CRITÉRIOS DE MEDIÇÃO E PAGAMENTO</w:t>
      </w:r>
    </w:p>
    <w:p w:rsidR="002D4985" w:rsidRPr="00D417A0" w:rsidRDefault="002D4985" w:rsidP="002D4985">
      <w:pPr>
        <w:spacing w:after="200"/>
        <w:jc w:val="both"/>
        <w:rPr>
          <w:rFonts w:eastAsia="Arial"/>
          <w:b/>
          <w:bCs/>
          <w:sz w:val="22"/>
          <w:szCs w:val="22"/>
        </w:rPr>
      </w:pPr>
      <w:r w:rsidRPr="00D417A0">
        <w:rPr>
          <w:rFonts w:eastAsia="Arial"/>
          <w:b/>
          <w:bCs/>
          <w:sz w:val="22"/>
          <w:szCs w:val="22"/>
        </w:rPr>
        <w:t>Do recebimento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w:t>
      </w:r>
      <w:r w:rsidRPr="00D417A0">
        <w:rPr>
          <w:rFonts w:eastAsia="Arial"/>
          <w:color w:val="000000"/>
          <w:sz w:val="22"/>
          <w:szCs w:val="22"/>
        </w:rPr>
        <w:tab/>
      </w:r>
      <w:proofErr w:type="gramStart"/>
      <w:r w:rsidRPr="00D417A0">
        <w:rPr>
          <w:rFonts w:eastAsia="Arial"/>
          <w:color w:val="000000"/>
          <w:sz w:val="22"/>
          <w:szCs w:val="22"/>
        </w:rPr>
        <w:t>O(</w:t>
      </w:r>
      <w:proofErr w:type="gramEnd"/>
      <w:r w:rsidRPr="00D417A0">
        <w:rPr>
          <w:rFonts w:eastAsia="Arial"/>
          <w:color w:val="000000"/>
          <w:sz w:val="22"/>
          <w:szCs w:val="22"/>
        </w:rPr>
        <w:t>s) serviço(s) será(</w:t>
      </w:r>
      <w:proofErr w:type="spellStart"/>
      <w:r w:rsidRPr="00D417A0">
        <w:rPr>
          <w:rFonts w:eastAsia="Arial"/>
          <w:color w:val="000000"/>
          <w:sz w:val="22"/>
          <w:szCs w:val="22"/>
        </w:rPr>
        <w:t>ão</w:t>
      </w:r>
      <w:proofErr w:type="spellEnd"/>
      <w:r w:rsidRPr="00D417A0">
        <w:rPr>
          <w:rFonts w:eastAsia="Arial"/>
          <w:color w:val="000000"/>
          <w:sz w:val="22"/>
          <w:szCs w:val="22"/>
        </w:rPr>
        <w:t>) recebido(s) provisoriamente, de forma sumária, mediante termos detalhados, conforme modelo de Termo de Recebimento (disponível no portal "Governança das Contratações" - página da intranet), quando verificado o cumprimento das exigências de caráter técnico e administrativo.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6.2.</w:t>
      </w:r>
      <w:r w:rsidRPr="00D417A0">
        <w:rPr>
          <w:rFonts w:eastAsia="Arial"/>
          <w:color w:val="000000"/>
          <w:sz w:val="22"/>
          <w:szCs w:val="22"/>
        </w:rPr>
        <w:tab/>
        <w:t xml:space="preserve">O prazo da disposição acima será contado do recebimento de comunicação de cobrança oriunda da </w:t>
      </w:r>
      <w:r w:rsidRPr="00D417A0">
        <w:rPr>
          <w:rFonts w:eastAsia="Arial"/>
          <w:sz w:val="22"/>
          <w:szCs w:val="22"/>
        </w:rPr>
        <w:t>C</w:t>
      </w:r>
      <w:r w:rsidRPr="00D417A0">
        <w:rPr>
          <w:rFonts w:eastAsia="Arial"/>
          <w:color w:val="000000"/>
          <w:sz w:val="22"/>
          <w:szCs w:val="22"/>
        </w:rPr>
        <w:t>ontratada com a comprovação da prestação dos serviços a que se refere a parcela a ser paga.</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lastRenderedPageBreak/>
        <w:t>6.3.</w:t>
      </w:r>
      <w:r w:rsidRPr="00D417A0">
        <w:rPr>
          <w:rFonts w:eastAsia="Arial"/>
          <w:color w:val="000000"/>
          <w:sz w:val="22"/>
          <w:szCs w:val="22"/>
        </w:rPr>
        <w:tab/>
        <w:t>A Contratada fica obrigada a reparar, corrigir, remover, reconstruir ou substituir, às suas expensas, no todo ou em parte, o objeto quando se verificarem vícios, defeitos ou incorreções durante a execução contratual</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6.4.</w:t>
      </w:r>
      <w:r w:rsidRPr="00D417A0">
        <w:rPr>
          <w:rFonts w:eastAsia="Arial"/>
          <w:color w:val="000000"/>
          <w:sz w:val="22"/>
          <w:szCs w:val="22"/>
        </w:rPr>
        <w:tab/>
        <w:t>A fiscalização não efetuará o ateste da última e/ou única medição de serviços até que sejam sanadas todas as eventuais pendências que possam vir a ser apontadas no Recebimento Provisório. (Art. 119 c/</w:t>
      </w:r>
      <w:proofErr w:type="gramStart"/>
      <w:r w:rsidRPr="00D417A0">
        <w:rPr>
          <w:rFonts w:eastAsia="Arial"/>
          <w:color w:val="000000"/>
          <w:sz w:val="22"/>
          <w:szCs w:val="22"/>
        </w:rPr>
        <w:t>c</w:t>
      </w:r>
      <w:proofErr w:type="gramEnd"/>
      <w:r w:rsidRPr="00D417A0">
        <w:rPr>
          <w:rFonts w:eastAsia="Arial"/>
          <w:color w:val="000000"/>
          <w:sz w:val="22"/>
          <w:szCs w:val="22"/>
        </w:rPr>
        <w:t xml:space="preserve"> art. 140 da Lei nº 14133, de 2021)</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6.5.</w:t>
      </w:r>
      <w:r w:rsidRPr="00D417A0">
        <w:rPr>
          <w:rFonts w:eastAsia="Arial"/>
          <w:color w:val="000000"/>
          <w:sz w:val="22"/>
          <w:szCs w:val="22"/>
        </w:rPr>
        <w:tab/>
        <w:t>Os serviços poderão ser rejeitados, no todo ou em parte, quando em desacordo com as especificações constantes neste Termo de Referência e na proposta, sem prejuízo da aplicação das penalidades.</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6.6.</w:t>
      </w:r>
      <w:r w:rsidRPr="00D417A0">
        <w:rPr>
          <w:rFonts w:eastAsia="Arial"/>
          <w:color w:val="000000"/>
          <w:sz w:val="22"/>
          <w:szCs w:val="22"/>
        </w:rPr>
        <w:tab/>
      </w:r>
      <w:proofErr w:type="gramStart"/>
      <w:r w:rsidRPr="00D417A0">
        <w:rPr>
          <w:rFonts w:eastAsia="Arial"/>
          <w:color w:val="000000"/>
          <w:sz w:val="22"/>
          <w:szCs w:val="22"/>
        </w:rPr>
        <w:t>O(</w:t>
      </w:r>
      <w:proofErr w:type="gramEnd"/>
      <w:r w:rsidRPr="00D417A0">
        <w:rPr>
          <w:rFonts w:eastAsia="Arial"/>
          <w:color w:val="000000"/>
          <w:sz w:val="22"/>
          <w:szCs w:val="22"/>
        </w:rPr>
        <w:t>s) serviço(s) será(</w:t>
      </w:r>
      <w:proofErr w:type="spellStart"/>
      <w:r w:rsidRPr="00D417A0">
        <w:rPr>
          <w:rFonts w:eastAsia="Arial"/>
          <w:color w:val="000000"/>
          <w:sz w:val="22"/>
          <w:szCs w:val="22"/>
        </w:rPr>
        <w:t>ão</w:t>
      </w:r>
      <w:proofErr w:type="spellEnd"/>
      <w:r w:rsidRPr="00D417A0">
        <w:rPr>
          <w:rFonts w:eastAsia="Arial"/>
          <w:color w:val="000000"/>
          <w:sz w:val="22"/>
          <w:szCs w:val="22"/>
        </w:rPr>
        <w:t>) recebido(s) definitivamente no prazo de 10 (dez) dias úteis, contados do recebimento provisório, após a verificação da qualidade e quantidade do serviço e consequente aceitação mediante termo detalhado, conforme modelo de Termo de Recebimento (disponível no portal "Governança das Contratações" - página da intranet).</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6.7.</w:t>
      </w:r>
      <w:r w:rsidRPr="00D417A0">
        <w:rPr>
          <w:rFonts w:eastAsia="Arial"/>
          <w:color w:val="000000"/>
          <w:sz w:val="22"/>
          <w:szCs w:val="22"/>
        </w:rPr>
        <w:tab/>
        <w:t>No caso de controvérsia sobre a execução do objeto, quanto à dimensão, qualidade e quantidade, deverá ser observado o teor do art. 143 da Lei nº 14.133, de 2021, comunicando-se à empresa para emissão de Nota Fiscal no que se refere à parcela incontroversa da execução do objeto, para efeito de liquidação e pagamento.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6.8.</w:t>
      </w:r>
      <w:r w:rsidRPr="00D417A0">
        <w:rPr>
          <w:rFonts w:eastAsia="Arial"/>
          <w:color w:val="000000"/>
          <w:sz w:val="22"/>
          <w:szCs w:val="22"/>
        </w:rPr>
        <w:tab/>
        <w:t>Nenhum prazo de recebimento correrá enquanto pendente a solução, pela Contratada, de inconsistências verificadas na execução do objeto ou no instrumento de cobrança.</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6.9.</w:t>
      </w:r>
      <w:r w:rsidRPr="00D417A0">
        <w:rPr>
          <w:rFonts w:eastAsia="Arial"/>
          <w:color w:val="000000"/>
          <w:sz w:val="22"/>
          <w:szCs w:val="22"/>
        </w:rPr>
        <w:tab/>
        <w:t>O recebimento provisório ou definitivo não excluirá a responsabilidade civil pela solidez e pela segurança do serviço nem a responsabilidade ético-profissional pela perfeita execução do contrato.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6.10.</w:t>
      </w:r>
      <w:r w:rsidRPr="00D417A0">
        <w:rPr>
          <w:rFonts w:eastAsia="Arial"/>
          <w:color w:val="000000"/>
          <w:sz w:val="22"/>
          <w:szCs w:val="22"/>
        </w:rPr>
        <w:tab/>
        <w:t>O prazo para solução pela Contratada de inconsistências na execução do objeto ou de saneamento da nota fiscal ou de instrumento de cobrança equivalente, verificadas pela Administração durante a análise prévia à liquidação de despesa, não será computado para fins do recebimento definitivo.</w:t>
      </w:r>
    </w:p>
    <w:p w:rsidR="002D4985" w:rsidRPr="00D417A0" w:rsidRDefault="002D4985" w:rsidP="002D4985">
      <w:pPr>
        <w:spacing w:after="200"/>
        <w:jc w:val="both"/>
        <w:rPr>
          <w:rFonts w:eastAsia="Arial"/>
          <w:b/>
          <w:bCs/>
          <w:sz w:val="22"/>
          <w:szCs w:val="22"/>
        </w:rPr>
      </w:pPr>
      <w:r w:rsidRPr="00D417A0">
        <w:rPr>
          <w:rFonts w:eastAsia="Arial"/>
          <w:b/>
          <w:bCs/>
          <w:sz w:val="22"/>
          <w:szCs w:val="22"/>
        </w:rPr>
        <w:t>Liquidação</w:t>
      </w:r>
    </w:p>
    <w:p w:rsidR="002D4985" w:rsidRPr="00D417A0" w:rsidRDefault="002D4985" w:rsidP="002D4985">
      <w:pPr>
        <w:pBdr>
          <w:top w:val="nil"/>
          <w:left w:val="nil"/>
          <w:bottom w:val="nil"/>
          <w:right w:val="nil"/>
          <w:between w:val="nil"/>
        </w:pBdr>
        <w:spacing w:after="200"/>
        <w:ind w:left="720" w:hanging="360"/>
        <w:rPr>
          <w:rFonts w:eastAsia="Arial"/>
          <w:color w:val="000000"/>
          <w:sz w:val="22"/>
          <w:szCs w:val="22"/>
        </w:rPr>
      </w:pPr>
      <w:r w:rsidRPr="00D417A0">
        <w:rPr>
          <w:rFonts w:eastAsia="Arial"/>
          <w:color w:val="000000"/>
          <w:sz w:val="22"/>
          <w:szCs w:val="22"/>
        </w:rPr>
        <w:t>6.11.</w:t>
      </w:r>
      <w:r w:rsidRPr="00D417A0">
        <w:rPr>
          <w:rFonts w:eastAsia="Arial"/>
          <w:color w:val="000000"/>
          <w:sz w:val="22"/>
          <w:szCs w:val="22"/>
        </w:rPr>
        <w:tab/>
        <w:t xml:space="preserve">A liquidação da despesa consiste na verificação do direito adquirido pelo credor, de acordo com a nota de empenho e do termo de contrato, este último quando presente na formalização do ajuste, para comprovação do respectivo crédito. </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6.12.</w:t>
      </w:r>
      <w:r w:rsidRPr="00D417A0">
        <w:rPr>
          <w:rFonts w:eastAsia="Arial"/>
          <w:color w:val="000000"/>
          <w:sz w:val="22"/>
          <w:szCs w:val="22"/>
        </w:rPr>
        <w:tab/>
        <w:t>Recebida a Nota Fiscal ou documento de cobrança equivalente, correrá o prazo de 10 (dez) dias úteis para fins de liquidação prorrogáveis por igual período.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6.13.</w:t>
      </w:r>
      <w:r w:rsidRPr="00D417A0">
        <w:rPr>
          <w:rFonts w:eastAsia="Arial"/>
          <w:color w:val="000000"/>
          <w:sz w:val="22"/>
          <w:szCs w:val="22"/>
        </w:rPr>
        <w:tab/>
        <w:t>O prazo de que trata o item anterior será reduzido à metade, mantendo-se a possibilidade de prorrogação, nos casos de despesas oriundas de contrato cujo valor total não ultrapasse o limite de que trata o inciso II do art. 75 da Lei nº 14.133, de 2021.</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6.14.</w:t>
      </w:r>
      <w:r w:rsidRPr="00D417A0">
        <w:rPr>
          <w:rFonts w:eastAsia="Arial"/>
          <w:color w:val="000000"/>
          <w:sz w:val="22"/>
          <w:szCs w:val="22"/>
        </w:rPr>
        <w:tab/>
        <w:t>Para fins de liquidação, o setor competente deve</w:t>
      </w:r>
      <w:r w:rsidRPr="00D417A0">
        <w:rPr>
          <w:rFonts w:eastAsia="Arial"/>
          <w:sz w:val="22"/>
          <w:szCs w:val="22"/>
        </w:rPr>
        <w:t>rá</w:t>
      </w:r>
      <w:r w:rsidRPr="00D417A0">
        <w:rPr>
          <w:rFonts w:eastAsia="Arial"/>
          <w:color w:val="000000"/>
          <w:sz w:val="22"/>
          <w:szCs w:val="22"/>
        </w:rPr>
        <w:t xml:space="preserve"> verificar se a Nota Fiscal ou Fatura apresentada expressa os elementos necessários e essenciais do documento, tais como:</w:t>
      </w:r>
    </w:p>
    <w:p w:rsidR="002D4985" w:rsidRPr="00D417A0" w:rsidRDefault="002D4985" w:rsidP="002D4985">
      <w:pPr>
        <w:pBdr>
          <w:top w:val="nil"/>
          <w:left w:val="nil"/>
          <w:bottom w:val="nil"/>
          <w:right w:val="nil"/>
          <w:between w:val="nil"/>
        </w:pBdr>
        <w:spacing w:after="200"/>
        <w:ind w:left="1080" w:hanging="720"/>
        <w:jc w:val="both"/>
        <w:rPr>
          <w:rFonts w:eastAsia="Arial"/>
          <w:color w:val="000000"/>
          <w:sz w:val="22"/>
          <w:szCs w:val="22"/>
        </w:rPr>
      </w:pPr>
      <w:r w:rsidRPr="00D417A0">
        <w:rPr>
          <w:rFonts w:eastAsia="Arial"/>
          <w:color w:val="000000"/>
          <w:sz w:val="22"/>
          <w:szCs w:val="22"/>
        </w:rPr>
        <w:lastRenderedPageBreak/>
        <w:t>6.14.1.</w:t>
      </w:r>
      <w:r w:rsidRPr="00D417A0">
        <w:rPr>
          <w:rFonts w:eastAsia="Arial"/>
          <w:color w:val="000000"/>
          <w:sz w:val="22"/>
          <w:szCs w:val="22"/>
        </w:rPr>
        <w:tab/>
      </w:r>
      <w:proofErr w:type="gramStart"/>
      <w:r w:rsidRPr="00D417A0">
        <w:rPr>
          <w:rFonts w:eastAsia="Arial"/>
          <w:color w:val="000000"/>
          <w:sz w:val="22"/>
          <w:szCs w:val="22"/>
        </w:rPr>
        <w:t>a</w:t>
      </w:r>
      <w:proofErr w:type="gramEnd"/>
      <w:r w:rsidRPr="00D417A0">
        <w:rPr>
          <w:rFonts w:eastAsia="Arial"/>
          <w:color w:val="000000"/>
          <w:sz w:val="22"/>
          <w:szCs w:val="22"/>
        </w:rPr>
        <w:t xml:space="preserve"> data da emissão;</w:t>
      </w:r>
    </w:p>
    <w:p w:rsidR="002D4985" w:rsidRPr="00D417A0" w:rsidRDefault="002D4985" w:rsidP="002D4985">
      <w:pPr>
        <w:pBdr>
          <w:top w:val="nil"/>
          <w:left w:val="nil"/>
          <w:bottom w:val="nil"/>
          <w:right w:val="nil"/>
          <w:between w:val="nil"/>
        </w:pBdr>
        <w:spacing w:after="200"/>
        <w:ind w:left="1080" w:hanging="720"/>
        <w:jc w:val="both"/>
        <w:rPr>
          <w:rFonts w:eastAsia="Arial"/>
          <w:color w:val="000000"/>
          <w:sz w:val="22"/>
          <w:szCs w:val="22"/>
        </w:rPr>
      </w:pPr>
      <w:r w:rsidRPr="00D417A0">
        <w:rPr>
          <w:rFonts w:eastAsia="Arial"/>
          <w:color w:val="000000"/>
          <w:sz w:val="22"/>
          <w:szCs w:val="22"/>
        </w:rPr>
        <w:t>6.14.2.</w:t>
      </w:r>
      <w:r w:rsidRPr="00D417A0">
        <w:rPr>
          <w:rFonts w:eastAsia="Arial"/>
          <w:color w:val="000000"/>
          <w:sz w:val="22"/>
          <w:szCs w:val="22"/>
        </w:rPr>
        <w:tab/>
      </w:r>
      <w:proofErr w:type="gramStart"/>
      <w:r w:rsidRPr="00D417A0">
        <w:rPr>
          <w:rFonts w:eastAsia="Arial"/>
          <w:color w:val="000000"/>
          <w:sz w:val="22"/>
          <w:szCs w:val="22"/>
        </w:rPr>
        <w:t>os</w:t>
      </w:r>
      <w:proofErr w:type="gramEnd"/>
      <w:r w:rsidRPr="00D417A0">
        <w:rPr>
          <w:rFonts w:eastAsia="Arial"/>
          <w:color w:val="000000"/>
          <w:sz w:val="22"/>
          <w:szCs w:val="22"/>
        </w:rPr>
        <w:t xml:space="preserve"> dados do contrato/da nota de empenho e do órgão contratante.</w:t>
      </w:r>
    </w:p>
    <w:p w:rsidR="002D4985" w:rsidRPr="00D417A0" w:rsidRDefault="002D4985" w:rsidP="002D4985">
      <w:pPr>
        <w:pBdr>
          <w:top w:val="nil"/>
          <w:left w:val="nil"/>
          <w:bottom w:val="nil"/>
          <w:right w:val="nil"/>
          <w:between w:val="nil"/>
        </w:pBdr>
        <w:spacing w:after="200"/>
        <w:ind w:left="1080" w:hanging="720"/>
        <w:jc w:val="both"/>
        <w:rPr>
          <w:rFonts w:eastAsia="Arial"/>
          <w:color w:val="000000"/>
          <w:sz w:val="22"/>
          <w:szCs w:val="22"/>
        </w:rPr>
      </w:pPr>
      <w:r w:rsidRPr="00D417A0">
        <w:rPr>
          <w:rFonts w:eastAsia="Arial"/>
          <w:color w:val="000000"/>
          <w:sz w:val="22"/>
          <w:szCs w:val="22"/>
        </w:rPr>
        <w:t>6.14.3.</w:t>
      </w:r>
      <w:r w:rsidRPr="00D417A0">
        <w:rPr>
          <w:rFonts w:eastAsia="Arial"/>
          <w:color w:val="000000"/>
          <w:sz w:val="22"/>
          <w:szCs w:val="22"/>
        </w:rPr>
        <w:tab/>
      </w:r>
      <w:proofErr w:type="gramStart"/>
      <w:r w:rsidRPr="00D417A0">
        <w:rPr>
          <w:rFonts w:eastAsia="Arial"/>
          <w:color w:val="000000"/>
          <w:sz w:val="22"/>
          <w:szCs w:val="22"/>
        </w:rPr>
        <w:t>o</w:t>
      </w:r>
      <w:proofErr w:type="gramEnd"/>
      <w:r w:rsidRPr="00D417A0">
        <w:rPr>
          <w:rFonts w:eastAsia="Arial"/>
          <w:color w:val="000000"/>
          <w:sz w:val="22"/>
          <w:szCs w:val="22"/>
        </w:rPr>
        <w:t xml:space="preserve"> valor a pagar; e</w:t>
      </w:r>
    </w:p>
    <w:p w:rsidR="002D4985" w:rsidRPr="00D417A0" w:rsidRDefault="002D4985" w:rsidP="002D4985">
      <w:pPr>
        <w:pBdr>
          <w:top w:val="nil"/>
          <w:left w:val="nil"/>
          <w:bottom w:val="nil"/>
          <w:right w:val="nil"/>
          <w:between w:val="nil"/>
        </w:pBdr>
        <w:spacing w:after="200"/>
        <w:ind w:left="1080" w:hanging="720"/>
        <w:jc w:val="both"/>
        <w:rPr>
          <w:rFonts w:eastAsia="Arial"/>
          <w:color w:val="000000"/>
          <w:sz w:val="22"/>
          <w:szCs w:val="22"/>
        </w:rPr>
      </w:pPr>
      <w:r w:rsidRPr="00D417A0">
        <w:rPr>
          <w:rFonts w:eastAsia="Arial"/>
          <w:color w:val="000000"/>
          <w:sz w:val="22"/>
          <w:szCs w:val="22"/>
        </w:rPr>
        <w:t>6.14.4.</w:t>
      </w:r>
      <w:r w:rsidRPr="00D417A0">
        <w:rPr>
          <w:rFonts w:eastAsia="Arial"/>
          <w:color w:val="000000"/>
          <w:sz w:val="22"/>
          <w:szCs w:val="22"/>
        </w:rPr>
        <w:tab/>
      </w:r>
      <w:proofErr w:type="gramStart"/>
      <w:r w:rsidRPr="00D417A0">
        <w:rPr>
          <w:rFonts w:eastAsia="Arial"/>
          <w:color w:val="000000"/>
          <w:sz w:val="22"/>
          <w:szCs w:val="22"/>
        </w:rPr>
        <w:t>eventual</w:t>
      </w:r>
      <w:proofErr w:type="gramEnd"/>
      <w:r w:rsidRPr="00D417A0">
        <w:rPr>
          <w:rFonts w:eastAsia="Arial"/>
          <w:color w:val="000000"/>
          <w:sz w:val="22"/>
          <w:szCs w:val="22"/>
        </w:rPr>
        <w:t xml:space="preserve"> destaque do valor de retenções tributárias cabíveis.</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6.15.</w:t>
      </w:r>
      <w:r w:rsidRPr="00D417A0">
        <w:rPr>
          <w:rFonts w:eastAsia="Arial"/>
          <w:color w:val="000000"/>
          <w:sz w:val="22"/>
          <w:szCs w:val="22"/>
        </w:rPr>
        <w:tab/>
        <w:t xml:space="preserve">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à </w:t>
      </w:r>
      <w:r w:rsidRPr="00D417A0">
        <w:rPr>
          <w:rFonts w:eastAsia="Arial"/>
          <w:sz w:val="22"/>
          <w:szCs w:val="22"/>
        </w:rPr>
        <w:t>C</w:t>
      </w:r>
      <w:r w:rsidRPr="00D417A0">
        <w:rPr>
          <w:rFonts w:eastAsia="Arial"/>
          <w:color w:val="000000"/>
          <w:sz w:val="22"/>
          <w:szCs w:val="22"/>
        </w:rPr>
        <w:t>ontratante.</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6.16.</w:t>
      </w:r>
      <w:r w:rsidRPr="00D417A0">
        <w:rPr>
          <w:rFonts w:eastAsia="Arial"/>
          <w:color w:val="000000"/>
          <w:sz w:val="22"/>
          <w:szCs w:val="22"/>
        </w:rPr>
        <w:tab/>
      </w:r>
      <w:r w:rsidRPr="00D417A0">
        <w:rPr>
          <w:rFonts w:eastAsia="Arial"/>
          <w:i/>
          <w:iCs/>
          <w:color w:val="000000"/>
          <w:sz w:val="22"/>
          <w:szCs w:val="22"/>
        </w:rPr>
        <w:t xml:space="preserve"> </w:t>
      </w:r>
      <w:r w:rsidRPr="00D417A0">
        <w:rPr>
          <w:rFonts w:eastAsia="Arial"/>
          <w:color w:val="000000"/>
          <w:sz w:val="22"/>
          <w:szCs w:val="22"/>
        </w:rPr>
        <w:t>A nota fiscal ou instrumento de cobrança equivalente deverá ser acompanhada da comprovação </w:t>
      </w:r>
      <w:r w:rsidRPr="00D417A0">
        <w:rPr>
          <w:rFonts w:eastAsia="Arial"/>
          <w:color w:val="000000"/>
          <w:sz w:val="22"/>
          <w:szCs w:val="22"/>
          <w:u w:val="single"/>
        </w:rPr>
        <w:t>da regularidade fiscal</w:t>
      </w:r>
      <w:r w:rsidRPr="00D417A0">
        <w:rPr>
          <w:rFonts w:eastAsia="Arial"/>
          <w:color w:val="000000"/>
          <w:sz w:val="22"/>
          <w:szCs w:val="22"/>
        </w:rPr>
        <w:t>,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6.17.</w:t>
      </w:r>
      <w:r w:rsidRPr="00D417A0">
        <w:rPr>
          <w:rFonts w:eastAsia="Arial"/>
          <w:color w:val="000000"/>
          <w:sz w:val="22"/>
          <w:szCs w:val="22"/>
        </w:rPr>
        <w:tab/>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rsidR="002D4985" w:rsidRPr="00D417A0" w:rsidRDefault="002D4985" w:rsidP="002D4985">
      <w:pPr>
        <w:spacing w:after="200"/>
        <w:jc w:val="both"/>
        <w:rPr>
          <w:rFonts w:eastAsia="Arial"/>
          <w:b/>
          <w:bCs/>
          <w:sz w:val="22"/>
          <w:szCs w:val="22"/>
        </w:rPr>
      </w:pPr>
      <w:r w:rsidRPr="00D417A0">
        <w:rPr>
          <w:rFonts w:eastAsia="Arial"/>
          <w:b/>
          <w:bCs/>
          <w:sz w:val="22"/>
          <w:szCs w:val="22"/>
        </w:rPr>
        <w:t>Prazo de pagamento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6.18.</w:t>
      </w:r>
      <w:r w:rsidRPr="00D417A0">
        <w:rPr>
          <w:rFonts w:eastAsia="Arial"/>
          <w:color w:val="000000"/>
          <w:sz w:val="22"/>
          <w:szCs w:val="22"/>
        </w:rPr>
        <w:tab/>
        <w:t>O pagamento será efetuado no prazo máximo de até 10 (dez) dias úteis, contados da finalização da liquidação da despesa, reduzindo-se à metade nos casos de despesas or</w:t>
      </w:r>
      <w:r w:rsidRPr="00D417A0">
        <w:rPr>
          <w:rFonts w:eastAsia="Arial"/>
          <w:sz w:val="22"/>
          <w:szCs w:val="22"/>
        </w:rPr>
        <w:t>iundas de contrato</w:t>
      </w:r>
      <w:r w:rsidRPr="00D417A0">
        <w:rPr>
          <w:rFonts w:eastAsia="Arial"/>
          <w:color w:val="000000"/>
          <w:sz w:val="22"/>
          <w:szCs w:val="22"/>
        </w:rPr>
        <w:t xml:space="preserve"> cujo valor</w:t>
      </w:r>
      <w:r w:rsidRPr="00D417A0">
        <w:rPr>
          <w:rFonts w:eastAsia="Arial"/>
          <w:sz w:val="22"/>
          <w:szCs w:val="22"/>
        </w:rPr>
        <w:t xml:space="preserve"> total</w:t>
      </w:r>
      <w:r w:rsidRPr="00D417A0">
        <w:rPr>
          <w:rFonts w:eastAsia="Arial"/>
          <w:color w:val="000000"/>
          <w:sz w:val="22"/>
          <w:szCs w:val="22"/>
        </w:rPr>
        <w:t xml:space="preserve"> não ultrapasse o limite de que trata o inciso II do art. 75 da Lei nº 14.133, de 2021.</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6.19.</w:t>
      </w:r>
      <w:r w:rsidRPr="00D417A0">
        <w:rPr>
          <w:rFonts w:eastAsia="Arial"/>
          <w:color w:val="000000"/>
          <w:sz w:val="22"/>
          <w:szCs w:val="22"/>
        </w:rPr>
        <w:tab/>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2D4985" w:rsidRPr="00D417A0" w:rsidRDefault="002D4985" w:rsidP="002D4985">
      <w:pPr>
        <w:pBdr>
          <w:top w:val="nil"/>
          <w:left w:val="nil"/>
          <w:bottom w:val="nil"/>
          <w:right w:val="nil"/>
          <w:between w:val="nil"/>
        </w:pBdr>
        <w:spacing w:after="200"/>
        <w:ind w:left="720"/>
        <w:jc w:val="both"/>
        <w:rPr>
          <w:rFonts w:eastAsia="Arial"/>
          <w:color w:val="000000"/>
          <w:sz w:val="22"/>
          <w:szCs w:val="22"/>
        </w:rPr>
      </w:pPr>
      <w:r w:rsidRPr="00D417A0">
        <w:rPr>
          <w:rFonts w:eastAsia="Arial"/>
          <w:color w:val="000000"/>
          <w:sz w:val="22"/>
          <w:szCs w:val="22"/>
        </w:rPr>
        <w:t>I = (TX/</w:t>
      </w:r>
      <w:proofErr w:type="gramStart"/>
      <w:r w:rsidRPr="00D417A0">
        <w:rPr>
          <w:rFonts w:eastAsia="Arial"/>
          <w:color w:val="000000"/>
          <w:sz w:val="22"/>
          <w:szCs w:val="22"/>
        </w:rPr>
        <w:t>100)/</w:t>
      </w:r>
      <w:proofErr w:type="gramEnd"/>
      <w:r w:rsidRPr="00D417A0">
        <w:rPr>
          <w:rFonts w:eastAsia="Arial"/>
          <w:color w:val="000000"/>
          <w:sz w:val="22"/>
          <w:szCs w:val="22"/>
        </w:rPr>
        <w:t xml:space="preserve">365 </w:t>
      </w:r>
    </w:p>
    <w:p w:rsidR="002D4985" w:rsidRPr="00D417A0" w:rsidRDefault="002D4985" w:rsidP="002D4985">
      <w:pPr>
        <w:pBdr>
          <w:top w:val="nil"/>
          <w:left w:val="nil"/>
          <w:bottom w:val="nil"/>
          <w:right w:val="nil"/>
          <w:between w:val="nil"/>
        </w:pBdr>
        <w:spacing w:after="200"/>
        <w:ind w:left="720"/>
        <w:jc w:val="both"/>
        <w:rPr>
          <w:rFonts w:eastAsia="Arial"/>
          <w:color w:val="000000"/>
          <w:sz w:val="22"/>
          <w:szCs w:val="22"/>
        </w:rPr>
      </w:pPr>
      <w:r w:rsidRPr="00D417A0">
        <w:rPr>
          <w:rFonts w:eastAsia="Arial"/>
          <w:color w:val="000000"/>
          <w:sz w:val="22"/>
          <w:szCs w:val="22"/>
        </w:rPr>
        <w:t xml:space="preserve">EM = I x N x VP, </w:t>
      </w:r>
    </w:p>
    <w:p w:rsidR="002D4985" w:rsidRPr="00D417A0" w:rsidRDefault="002D4985" w:rsidP="002D4985">
      <w:pPr>
        <w:pBdr>
          <w:top w:val="nil"/>
          <w:left w:val="nil"/>
          <w:bottom w:val="nil"/>
          <w:right w:val="nil"/>
          <w:between w:val="nil"/>
        </w:pBdr>
        <w:spacing w:after="200"/>
        <w:ind w:left="720"/>
        <w:jc w:val="both"/>
        <w:rPr>
          <w:rFonts w:eastAsia="Arial"/>
          <w:color w:val="000000"/>
          <w:sz w:val="22"/>
          <w:szCs w:val="22"/>
        </w:rPr>
      </w:pPr>
      <w:proofErr w:type="gramStart"/>
      <w:r w:rsidRPr="00D417A0">
        <w:rPr>
          <w:rFonts w:eastAsia="Arial"/>
          <w:color w:val="000000"/>
          <w:sz w:val="22"/>
          <w:szCs w:val="22"/>
        </w:rPr>
        <w:t>onde</w:t>
      </w:r>
      <w:proofErr w:type="gramEnd"/>
      <w:r w:rsidRPr="00D417A0">
        <w:rPr>
          <w:rFonts w:eastAsia="Arial"/>
          <w:color w:val="000000"/>
          <w:sz w:val="22"/>
          <w:szCs w:val="22"/>
        </w:rPr>
        <w:t xml:space="preserve">: I = índice de atualização financeira; </w:t>
      </w:r>
    </w:p>
    <w:p w:rsidR="002D4985" w:rsidRPr="00D417A0" w:rsidRDefault="002D4985" w:rsidP="002D4985">
      <w:pPr>
        <w:pBdr>
          <w:top w:val="nil"/>
          <w:left w:val="nil"/>
          <w:bottom w:val="nil"/>
          <w:right w:val="nil"/>
          <w:between w:val="nil"/>
        </w:pBdr>
        <w:spacing w:after="200"/>
        <w:ind w:left="720"/>
        <w:jc w:val="both"/>
        <w:rPr>
          <w:rFonts w:eastAsia="Arial"/>
          <w:color w:val="000000"/>
          <w:sz w:val="22"/>
          <w:szCs w:val="22"/>
        </w:rPr>
      </w:pPr>
      <w:r w:rsidRPr="00D417A0">
        <w:rPr>
          <w:rFonts w:eastAsia="Arial"/>
          <w:color w:val="000000"/>
          <w:sz w:val="22"/>
          <w:szCs w:val="22"/>
        </w:rPr>
        <w:t xml:space="preserve">TX = Percentual da taxa de juros de mora anual; </w:t>
      </w:r>
    </w:p>
    <w:p w:rsidR="002D4985" w:rsidRPr="00D417A0" w:rsidRDefault="002D4985" w:rsidP="002D4985">
      <w:pPr>
        <w:pBdr>
          <w:top w:val="nil"/>
          <w:left w:val="nil"/>
          <w:bottom w:val="nil"/>
          <w:right w:val="nil"/>
          <w:between w:val="nil"/>
        </w:pBdr>
        <w:spacing w:after="200"/>
        <w:ind w:left="720"/>
        <w:jc w:val="both"/>
        <w:rPr>
          <w:rFonts w:eastAsia="Arial"/>
          <w:color w:val="000000"/>
          <w:sz w:val="22"/>
          <w:szCs w:val="22"/>
        </w:rPr>
      </w:pPr>
      <w:r w:rsidRPr="00D417A0">
        <w:rPr>
          <w:rFonts w:eastAsia="Arial"/>
          <w:color w:val="000000"/>
          <w:sz w:val="22"/>
          <w:szCs w:val="22"/>
        </w:rPr>
        <w:t xml:space="preserve">EM = Encargos moratórios; </w:t>
      </w:r>
    </w:p>
    <w:p w:rsidR="002D4985" w:rsidRPr="00D417A0" w:rsidRDefault="002D4985" w:rsidP="002D4985">
      <w:pPr>
        <w:pBdr>
          <w:top w:val="nil"/>
          <w:left w:val="nil"/>
          <w:bottom w:val="nil"/>
          <w:right w:val="nil"/>
          <w:between w:val="nil"/>
        </w:pBdr>
        <w:spacing w:after="200"/>
        <w:ind w:left="720"/>
        <w:jc w:val="both"/>
        <w:rPr>
          <w:rFonts w:eastAsia="Arial"/>
          <w:color w:val="000000"/>
          <w:sz w:val="22"/>
          <w:szCs w:val="22"/>
        </w:rPr>
      </w:pPr>
      <w:r w:rsidRPr="00D417A0">
        <w:rPr>
          <w:rFonts w:eastAsia="Arial"/>
          <w:color w:val="000000"/>
          <w:sz w:val="22"/>
          <w:szCs w:val="22"/>
        </w:rPr>
        <w:t xml:space="preserve">N = Número de dias entre a data prevista para o pagamento e a do efetivo pagamento; e </w:t>
      </w:r>
    </w:p>
    <w:p w:rsidR="002D4985" w:rsidRPr="00D417A0" w:rsidRDefault="002D4985" w:rsidP="002D4985">
      <w:pPr>
        <w:pBdr>
          <w:top w:val="nil"/>
          <w:left w:val="nil"/>
          <w:bottom w:val="nil"/>
          <w:right w:val="nil"/>
          <w:between w:val="nil"/>
        </w:pBdr>
        <w:spacing w:after="200"/>
        <w:ind w:left="720"/>
        <w:jc w:val="both"/>
        <w:rPr>
          <w:rFonts w:eastAsia="Arial"/>
          <w:color w:val="000000"/>
          <w:sz w:val="22"/>
          <w:szCs w:val="22"/>
        </w:rPr>
      </w:pPr>
      <w:r w:rsidRPr="00D417A0">
        <w:rPr>
          <w:rFonts w:eastAsia="Arial"/>
          <w:color w:val="000000"/>
          <w:sz w:val="22"/>
          <w:szCs w:val="22"/>
        </w:rPr>
        <w:t>VP = Valor da parcela em atraso.</w:t>
      </w:r>
    </w:p>
    <w:p w:rsidR="002D4985" w:rsidRPr="00D417A0" w:rsidRDefault="002D4985" w:rsidP="002D4985">
      <w:pPr>
        <w:spacing w:after="200"/>
        <w:jc w:val="both"/>
        <w:rPr>
          <w:rFonts w:eastAsia="Arial"/>
          <w:b/>
          <w:bCs/>
          <w:sz w:val="22"/>
          <w:szCs w:val="22"/>
        </w:rPr>
      </w:pPr>
      <w:r w:rsidRPr="00D417A0">
        <w:rPr>
          <w:rFonts w:eastAsia="Arial"/>
          <w:b/>
          <w:bCs/>
          <w:sz w:val="22"/>
          <w:szCs w:val="22"/>
        </w:rPr>
        <w:t>Forma de pagamento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6.20.</w:t>
      </w:r>
      <w:r w:rsidRPr="00D417A0">
        <w:rPr>
          <w:rFonts w:eastAsia="Arial"/>
          <w:color w:val="000000"/>
          <w:sz w:val="22"/>
          <w:szCs w:val="22"/>
        </w:rPr>
        <w:tab/>
        <w:t>O pagamento será realizado por meio de ordem bancária, para crédito em instituição financeira, agência e conta corrente indicados pela contratada.</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lastRenderedPageBreak/>
        <w:t>6.21.</w:t>
      </w:r>
      <w:r w:rsidRPr="00D417A0">
        <w:rPr>
          <w:rFonts w:eastAsia="Arial"/>
          <w:color w:val="000000"/>
          <w:sz w:val="22"/>
          <w:szCs w:val="22"/>
        </w:rPr>
        <w:tab/>
        <w:t>Será considerada data do pagamento o dia em que constar como emitida a ordem bancária para pagamento.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6.22.</w:t>
      </w:r>
      <w:r w:rsidRPr="00D417A0">
        <w:rPr>
          <w:rFonts w:eastAsia="Arial"/>
          <w:color w:val="000000"/>
          <w:sz w:val="22"/>
          <w:szCs w:val="22"/>
        </w:rPr>
        <w:tab/>
        <w:t>Quando do pagamento, será efetuada a retenção tributária prevista na legislação aplicável.</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6.23.</w:t>
      </w:r>
      <w:r w:rsidRPr="00D417A0">
        <w:rPr>
          <w:rFonts w:eastAsia="Arial"/>
          <w:color w:val="000000"/>
          <w:sz w:val="22"/>
          <w:szCs w:val="22"/>
        </w:rPr>
        <w:tab/>
        <w:t>Independentemente do percentual de tributo inserido na planilha, quando houver, serão retidos na fonte, quando da realização do pagamento, os percentuais estabelecidos na legislação vigente.</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6.24.</w:t>
      </w:r>
      <w:r w:rsidRPr="00D417A0">
        <w:rPr>
          <w:rFonts w:eastAsia="Arial"/>
          <w:color w:val="000000"/>
          <w:sz w:val="22"/>
          <w:szCs w:val="22"/>
        </w:rPr>
        <w:tab/>
        <w:t>A contratada regularmente optante pelo Simples Nacional, nos termos da Lei Complementar nº 123, de 2006,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2D4985" w:rsidRPr="00D417A0" w:rsidRDefault="002D4985" w:rsidP="002D4985">
      <w:pPr>
        <w:pBdr>
          <w:top w:val="nil"/>
          <w:left w:val="nil"/>
          <w:bottom w:val="nil"/>
          <w:right w:val="nil"/>
          <w:between w:val="nil"/>
        </w:pBdr>
        <w:spacing w:after="200"/>
        <w:ind w:left="283" w:hanging="283"/>
        <w:jc w:val="both"/>
        <w:rPr>
          <w:rFonts w:eastAsia="Arial"/>
          <w:b/>
          <w:bCs/>
          <w:color w:val="000000"/>
          <w:sz w:val="22"/>
          <w:szCs w:val="22"/>
        </w:rPr>
      </w:pPr>
      <w:r w:rsidRPr="00D417A0">
        <w:rPr>
          <w:rFonts w:eastAsia="Arial"/>
          <w:b/>
          <w:bCs/>
          <w:color w:val="000000"/>
          <w:sz w:val="22"/>
          <w:szCs w:val="22"/>
        </w:rPr>
        <w:t>7.</w:t>
      </w:r>
      <w:r w:rsidRPr="00D417A0">
        <w:rPr>
          <w:rFonts w:eastAsia="Arial"/>
          <w:b/>
          <w:bCs/>
          <w:color w:val="000000"/>
          <w:sz w:val="22"/>
          <w:szCs w:val="22"/>
        </w:rPr>
        <w:tab/>
        <w:t>FORMA E CRITÉRIOS DE SELEÇÃO DO FORNECEDOR E REGIME DE EXECUÇÃO (Art. 6º, XXIII, alínea “h” da Lei nº 14.133/2021)</w:t>
      </w:r>
    </w:p>
    <w:p w:rsidR="002D4985" w:rsidRPr="00D417A0" w:rsidRDefault="002D4985" w:rsidP="002D4985">
      <w:pPr>
        <w:spacing w:after="200"/>
        <w:jc w:val="both"/>
        <w:rPr>
          <w:rFonts w:eastAsia="Arial"/>
          <w:b/>
          <w:bCs/>
          <w:sz w:val="22"/>
          <w:szCs w:val="22"/>
        </w:rPr>
      </w:pPr>
      <w:r w:rsidRPr="00D417A0">
        <w:rPr>
          <w:rFonts w:eastAsia="Arial"/>
          <w:b/>
          <w:bCs/>
          <w:sz w:val="22"/>
          <w:szCs w:val="22"/>
        </w:rPr>
        <w:t xml:space="preserve">Forma de seleção e critério de julgamento da proposta </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7.1.</w:t>
      </w:r>
      <w:r w:rsidRPr="00D417A0">
        <w:rPr>
          <w:rFonts w:eastAsia="Arial"/>
          <w:color w:val="000000"/>
          <w:sz w:val="22"/>
          <w:szCs w:val="22"/>
        </w:rPr>
        <w:tab/>
        <w:t xml:space="preserve">O fornecedor será selecionado por meio da realização de procedimento de DISPENSA de licitação, na forma ELETRÔNICA, com fundamento na hipótese do art. 75, inciso II da Lei nº 14.133/2021, que culminará com a seleção da proposta de MENOR PREÇO TOTAL PARA O ITEM ÚNICO. </w:t>
      </w:r>
    </w:p>
    <w:p w:rsidR="002D4985" w:rsidRPr="00D417A0" w:rsidRDefault="002D4985" w:rsidP="002D4985">
      <w:pPr>
        <w:spacing w:after="200"/>
        <w:jc w:val="both"/>
        <w:rPr>
          <w:rFonts w:eastAsia="Arial"/>
          <w:b/>
          <w:bCs/>
          <w:sz w:val="22"/>
          <w:szCs w:val="22"/>
        </w:rPr>
      </w:pPr>
      <w:r w:rsidRPr="00D417A0">
        <w:rPr>
          <w:rFonts w:eastAsia="Arial"/>
          <w:b/>
          <w:bCs/>
          <w:sz w:val="22"/>
          <w:szCs w:val="22"/>
        </w:rPr>
        <w:t>Regime de Execução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7.2.</w:t>
      </w:r>
      <w:r w:rsidRPr="00D417A0">
        <w:rPr>
          <w:rFonts w:eastAsia="Arial"/>
          <w:color w:val="000000"/>
          <w:sz w:val="22"/>
          <w:szCs w:val="22"/>
        </w:rPr>
        <w:tab/>
        <w:t xml:space="preserve">O regime de execução do contrato será </w:t>
      </w:r>
      <w:proofErr w:type="gramStart"/>
      <w:r w:rsidRPr="00D417A0">
        <w:rPr>
          <w:rFonts w:eastAsia="Arial"/>
          <w:color w:val="000000"/>
          <w:sz w:val="22"/>
          <w:szCs w:val="22"/>
        </w:rPr>
        <w:t>empreitada</w:t>
      </w:r>
      <w:proofErr w:type="gramEnd"/>
      <w:r w:rsidRPr="00D417A0">
        <w:rPr>
          <w:rFonts w:eastAsia="Arial"/>
          <w:color w:val="000000"/>
          <w:sz w:val="22"/>
          <w:szCs w:val="22"/>
        </w:rPr>
        <w:t xml:space="preserve"> por preço GLOBAL, conforme inciso XXIX, art. 6° da Lei n° 14.133/2021.</w:t>
      </w:r>
    </w:p>
    <w:p w:rsidR="002D4985" w:rsidRPr="00D417A0" w:rsidRDefault="002D4985" w:rsidP="002D4985">
      <w:pPr>
        <w:spacing w:after="200"/>
        <w:jc w:val="both"/>
        <w:rPr>
          <w:rFonts w:eastAsia="Arial"/>
          <w:b/>
          <w:bCs/>
          <w:sz w:val="22"/>
          <w:szCs w:val="22"/>
        </w:rPr>
      </w:pPr>
      <w:r w:rsidRPr="00D417A0">
        <w:rPr>
          <w:rFonts w:eastAsia="Arial"/>
          <w:b/>
          <w:bCs/>
          <w:sz w:val="22"/>
          <w:szCs w:val="22"/>
        </w:rPr>
        <w:t>Exigências de habilitação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7.3.</w:t>
      </w:r>
      <w:r w:rsidRPr="00D417A0">
        <w:rPr>
          <w:rFonts w:eastAsia="Arial"/>
          <w:color w:val="000000"/>
          <w:sz w:val="22"/>
          <w:szCs w:val="22"/>
        </w:rPr>
        <w:tab/>
        <w:t>Para fins de habilitação jurídica, fiscal, social, trabalhista e econômico-financeira, as exigências e demais condições, quando forem necessárias, estarão estabelecidas no Aviso de Contratação Direta.</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7.4.</w:t>
      </w:r>
      <w:r w:rsidRPr="00D417A0">
        <w:rPr>
          <w:rFonts w:eastAsia="Arial"/>
          <w:color w:val="000000"/>
          <w:sz w:val="22"/>
          <w:szCs w:val="22"/>
        </w:rPr>
        <w:tab/>
        <w:t>Caso admitida a participação de cooperativas, a documentação complementar exigida estará estabelecida no Aviso de Contratação Direta.</w:t>
      </w:r>
    </w:p>
    <w:p w:rsidR="002D4985" w:rsidRPr="00D417A0" w:rsidRDefault="002D4985" w:rsidP="002D4985">
      <w:pPr>
        <w:pBdr>
          <w:top w:val="nil"/>
          <w:left w:val="nil"/>
          <w:bottom w:val="nil"/>
          <w:right w:val="nil"/>
          <w:between w:val="nil"/>
        </w:pBdr>
        <w:spacing w:after="200"/>
        <w:ind w:left="283" w:hanging="283"/>
        <w:jc w:val="both"/>
        <w:rPr>
          <w:rFonts w:eastAsia="Arial"/>
          <w:b/>
          <w:bCs/>
          <w:color w:val="000000"/>
          <w:sz w:val="22"/>
          <w:szCs w:val="22"/>
        </w:rPr>
      </w:pPr>
      <w:r w:rsidRPr="00D417A0">
        <w:rPr>
          <w:rFonts w:eastAsia="Arial"/>
          <w:b/>
          <w:bCs/>
          <w:color w:val="000000"/>
          <w:sz w:val="22"/>
          <w:szCs w:val="22"/>
        </w:rPr>
        <w:t>8.</w:t>
      </w:r>
      <w:r w:rsidRPr="00D417A0">
        <w:rPr>
          <w:rFonts w:eastAsia="Arial"/>
          <w:b/>
          <w:bCs/>
          <w:color w:val="000000"/>
          <w:sz w:val="22"/>
          <w:szCs w:val="22"/>
        </w:rPr>
        <w:tab/>
        <w:t xml:space="preserve">ESTIMATIVAS DO VALOR DA CONTRATAÇÃO (Art. 6º, XXIII, alínea “i” da Lei nº 14.133/2021) </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8.1.</w:t>
      </w:r>
      <w:r w:rsidRPr="00D417A0">
        <w:rPr>
          <w:rFonts w:eastAsia="Arial"/>
          <w:color w:val="000000"/>
          <w:sz w:val="22"/>
          <w:szCs w:val="22"/>
        </w:rPr>
        <w:tab/>
        <w:t>O custo estimado total da contratação é de R$</w:t>
      </w:r>
      <w:r>
        <w:rPr>
          <w:rFonts w:eastAsia="Arial"/>
          <w:color w:val="000000"/>
          <w:sz w:val="22"/>
          <w:szCs w:val="22"/>
        </w:rPr>
        <w:t xml:space="preserve"> 3.810,58</w:t>
      </w:r>
      <w:r w:rsidRPr="00D417A0">
        <w:rPr>
          <w:rFonts w:eastAsia="Arial"/>
          <w:color w:val="000000"/>
          <w:sz w:val="22"/>
          <w:szCs w:val="22"/>
        </w:rPr>
        <w:t xml:space="preserve"> (</w:t>
      </w:r>
      <w:r>
        <w:rPr>
          <w:rFonts w:eastAsia="Arial"/>
          <w:color w:val="000000"/>
          <w:sz w:val="22"/>
          <w:szCs w:val="22"/>
        </w:rPr>
        <w:t>três mil oitocentos e dez reais e cinquenta e oito centavos</w:t>
      </w:r>
      <w:r w:rsidRPr="00D417A0">
        <w:rPr>
          <w:rFonts w:eastAsia="Arial"/>
          <w:color w:val="000000"/>
          <w:sz w:val="22"/>
          <w:szCs w:val="22"/>
        </w:rPr>
        <w:t>), conforme custos unitários apostos na tabela da cláusula 1.</w:t>
      </w:r>
    </w:p>
    <w:p w:rsidR="002D4985" w:rsidRPr="00D417A0" w:rsidRDefault="002D4985" w:rsidP="002D4985">
      <w:pPr>
        <w:pBdr>
          <w:top w:val="nil"/>
          <w:left w:val="nil"/>
          <w:bottom w:val="nil"/>
          <w:right w:val="nil"/>
          <w:between w:val="nil"/>
        </w:pBdr>
        <w:spacing w:after="200"/>
        <w:ind w:left="283" w:hanging="283"/>
        <w:jc w:val="both"/>
        <w:rPr>
          <w:rFonts w:eastAsia="Arial"/>
          <w:b/>
          <w:bCs/>
          <w:color w:val="000000"/>
          <w:sz w:val="22"/>
          <w:szCs w:val="22"/>
        </w:rPr>
      </w:pPr>
      <w:r w:rsidRPr="00D417A0">
        <w:rPr>
          <w:rFonts w:eastAsia="Arial"/>
          <w:b/>
          <w:bCs/>
          <w:color w:val="000000"/>
          <w:sz w:val="22"/>
          <w:szCs w:val="22"/>
        </w:rPr>
        <w:t>9.</w:t>
      </w:r>
      <w:r w:rsidRPr="00D417A0">
        <w:rPr>
          <w:rFonts w:eastAsia="Arial"/>
          <w:b/>
          <w:bCs/>
          <w:color w:val="000000"/>
          <w:sz w:val="22"/>
          <w:szCs w:val="22"/>
        </w:rPr>
        <w:tab/>
        <w:t>ADEQUAÇÃO ORÇAMENTÁRIA (Art. 6º, XXIII, alínea “j” da Lei nº 14.133/2021)</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9.1.</w:t>
      </w:r>
      <w:r w:rsidRPr="00D417A0">
        <w:rPr>
          <w:rFonts w:eastAsia="Arial"/>
          <w:color w:val="000000"/>
          <w:sz w:val="22"/>
          <w:szCs w:val="22"/>
        </w:rPr>
        <w:tab/>
        <w:t>As despesas decorrentes da presente contratação correrão à conta de recursos específicos consignados no Orçamento Geral da União.</w:t>
      </w:r>
    </w:p>
    <w:p w:rsidR="002D4985" w:rsidRPr="00D417A0" w:rsidRDefault="002D4985" w:rsidP="002D4985">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9.2.</w:t>
      </w:r>
      <w:r w:rsidRPr="00D417A0">
        <w:rPr>
          <w:rFonts w:eastAsia="Arial"/>
          <w:color w:val="000000"/>
          <w:sz w:val="22"/>
          <w:szCs w:val="22"/>
        </w:rPr>
        <w:tab/>
        <w:t>A dotação orçamentária encontra-se consignada no Aviso de Contratação Direta.</w:t>
      </w:r>
    </w:p>
    <w:p w:rsidR="009B2B04" w:rsidRDefault="009B2B04"/>
    <w:sectPr w:rsidR="009B2B0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985"/>
    <w:rsid w:val="001F5FC6"/>
    <w:rsid w:val="002D4985"/>
    <w:rsid w:val="009B2B04"/>
    <w:rsid w:val="00CD44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5EF343-7457-42C0-A37F-78309FAE4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D4985"/>
    <w:pPr>
      <w:spacing w:after="0" w:line="240" w:lineRule="auto"/>
    </w:pPr>
    <w:rPr>
      <w:rFonts w:ascii="Arial" w:eastAsia="Times New Roman" w:hAnsi="Arial" w:cs="Arial"/>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ebbl@tre-sp.jus.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2620</Words>
  <Characters>14151</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IVAN AZEVEDO DE CARVALHO JUNIOR</dc:creator>
  <cp:keywords/>
  <dc:description/>
  <cp:lastModifiedBy>JOSÉ IVAN AZEVEDO DE CARVALHO JUNIOR</cp:lastModifiedBy>
  <cp:revision>1</cp:revision>
  <dcterms:created xsi:type="dcterms:W3CDTF">2026-07-30T17:17:00Z</dcterms:created>
  <dcterms:modified xsi:type="dcterms:W3CDTF">2026-07-30T17:18:00Z</dcterms:modified>
</cp:coreProperties>
</file>