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b/>
          <w:bCs/>
        </w:rPr>
      </w:pPr>
      <w:r>
        <w:rPr/>
      </w:r>
    </w:p>
    <w:p>
      <w:pPr>
        <w:pStyle w:val="Normal"/>
        <w:spacing w:lineRule="auto" w:line="360"/>
        <w:jc w:val="center"/>
        <w:rPr>
          <w:b/>
          <w:bCs/>
        </w:rPr>
      </w:pPr>
      <w:r>
        <w:rPr>
          <w:b/>
          <w:bCs/>
        </w:rPr>
        <w:t>TERMO DE REFERÊNCIA</w:t>
      </w:r>
    </w:p>
    <w:p>
      <w:pPr>
        <w:pStyle w:val="Normal"/>
        <w:spacing w:lineRule="auto" w:line="360"/>
        <w:jc w:val="center"/>
        <w:rPr>
          <w:i/>
          <w:i/>
          <w:iCs/>
        </w:rPr>
      </w:pPr>
      <w:r>
        <w:rPr>
          <w:i/>
          <w:iCs/>
        </w:rPr>
        <w:t>PROCESSO N° 009/2024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0" w:left="0"/>
        <w:contextualSpacing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OBJETO</w:t>
      </w:r>
    </w:p>
    <w:p>
      <w:pPr>
        <w:pStyle w:val="Heading1"/>
        <w:keepNext w:val="true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hanging="0" w:left="0" w:right="227"/>
        <w:jc w:val="both"/>
        <w:rPr>
          <w:rFonts w:ascii="Times New Roman" w:hAnsi="Times New Roman"/>
          <w:sz w:val="22"/>
          <w:szCs w:val="22"/>
        </w:rPr>
      </w:pPr>
      <w:r>
        <w:rPr>
          <w:rFonts w:cs="Calibri Light"/>
          <w:sz w:val="22"/>
          <w:szCs w:val="22"/>
        </w:rPr>
        <w:t>Contratação de empresa especializada para fornecimento de material de consumo, para atender as necessidades da Câmara Municipal de Igarapé Grande – MA</w:t>
      </w:r>
    </w:p>
    <w:p>
      <w:pPr>
        <w:pStyle w:val="NormalWeb"/>
        <w:numPr>
          <w:ilvl w:val="0"/>
          <w:numId w:val="0"/>
        </w:numPr>
        <w:spacing w:lineRule="auto" w:line="360" w:beforeAutospacing="0" w:before="0" w:afterAutospacing="0" w:after="0"/>
        <w:ind w:hanging="0" w:left="0"/>
        <w:jc w:val="both"/>
        <w:rPr>
          <w:rFonts w:ascii="Times New Roman" w:hAnsi="Times New Roman"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0" w:left="0"/>
        <w:contextualSpacing/>
        <w:jc w:val="both"/>
        <w:rPr>
          <w:rFonts w:ascii="Times New Roman" w:hAnsi="Times New Roman"/>
        </w:rPr>
      </w:pPr>
      <w:r>
        <w:rPr>
          <w:rFonts w:cs="Times New Roman"/>
          <w:b/>
        </w:rPr>
        <w:t>JUSTIFICATIVA</w:t>
      </w:r>
    </w:p>
    <w:p>
      <w:pPr>
        <w:pStyle w:val="BodyText"/>
        <w:numPr>
          <w:ilvl w:val="0"/>
          <w:numId w:val="0"/>
        </w:numPr>
        <w:spacing w:lineRule="auto" w:line="276" w:before="0" w:after="283"/>
        <w:ind w:hanging="0" w:left="0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Calibri Light"/>
          <w:sz w:val="22"/>
          <w:szCs w:val="22"/>
        </w:rPr>
        <w:t>A Câmara Municipal de Igarapé Grande – MA precisa adquirir material de consumo para garantir a operação diária eficiente, com a manutenção dos níveis adequados desse tipo de material, sendo eles essenciais para a alimentação dos servidores, bem como para melhor qualidade de trabalho</w:t>
      </w:r>
      <w:r>
        <w:rPr>
          <w:rFonts w:cs="Times New Roman"/>
          <w:sz w:val="22"/>
          <w:szCs w:val="22"/>
        </w:rPr>
        <w:t>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0" w:left="0"/>
        <w:contextualSpacing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FUNDAMENTAÇÃO LEGAL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426" w:leader="none"/>
        </w:tabs>
        <w:spacing w:lineRule="auto" w:line="360" w:before="0" w:after="0"/>
        <w:ind w:hanging="0" w:left="0"/>
        <w:contextualSpacing/>
        <w:jc w:val="both"/>
        <w:rPr>
          <w:rFonts w:ascii="Times New Roman" w:hAnsi="Times New Roman" w:cs="Times New Roman"/>
          <w:b/>
        </w:rPr>
      </w:pPr>
      <w:r>
        <w:rPr>
          <w:rFonts w:cs="Times New Roman"/>
        </w:rPr>
        <w:t>Esta aquisição será regida pela Lei 14.133/2021 e Instrução Normativa SEGES/ME nº 67/ 2021.</w:t>
      </w:r>
    </w:p>
    <w:p>
      <w:pPr>
        <w:pStyle w:val="ListParagraph"/>
        <w:spacing w:lineRule="auto" w:line="360" w:before="0" w:after="0"/>
        <w:ind w:left="0"/>
        <w:contextualSpacing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hanging="0" w:left="0"/>
        <w:contextualSpacing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DO OBJETO</w:t>
      </w:r>
    </w:p>
    <w:p>
      <w:pPr>
        <w:pStyle w:val="Normal"/>
        <w:rPr/>
      </w:pPr>
      <w:r>
        <w:rPr/>
      </w:r>
    </w:p>
    <w:tbl>
      <w:tblPr>
        <w:tblStyle w:val="Tabelacomgrade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8"/>
        <w:gridCol w:w="3368"/>
        <w:gridCol w:w="939"/>
        <w:gridCol w:w="1032"/>
        <w:gridCol w:w="1422"/>
        <w:gridCol w:w="1491"/>
      </w:tblGrid>
      <w:tr>
        <w:trPr/>
        <w:tc>
          <w:tcPr>
            <w:tcW w:w="81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ITEM</w:t>
            </w:r>
          </w:p>
        </w:tc>
        <w:tc>
          <w:tcPr>
            <w:tcW w:w="336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DESCRIÇÕES</w:t>
            </w:r>
          </w:p>
        </w:tc>
        <w:tc>
          <w:tcPr>
            <w:tcW w:w="93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QTD.</w:t>
            </w:r>
          </w:p>
        </w:tc>
        <w:tc>
          <w:tcPr>
            <w:tcW w:w="103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UNID</w:t>
            </w:r>
          </w:p>
        </w:tc>
        <w:tc>
          <w:tcPr>
            <w:tcW w:w="142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VALOR UNITÁRIO R$</w:t>
            </w:r>
          </w:p>
        </w:tc>
        <w:tc>
          <w:tcPr>
            <w:tcW w:w="149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VALOR TOTAL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pt-BR" w:bidi="ar-SA"/>
              </w:rPr>
              <w:t>R$</w:t>
            </w:r>
          </w:p>
        </w:tc>
      </w:tr>
      <w:tr>
        <w:trPr/>
        <w:tc>
          <w:tcPr>
            <w:tcW w:w="818" w:type="dxa"/>
            <w:tcBorders/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68" w:type="dxa"/>
            <w:tcBorders/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Achocolatado em pó solúvel, com aparência de pó fino, homogêneo, na cor marrom, de fácil escoamento, não devendo estar melado ou empedrado; odor e sabor próprios, com ausência de corantes, do conservador ácido sórbico, de sujidades, parasitas, larvas e detritos animais ou vegetais; embalagem: pacote impermeável lacrado, contendo 400g, com a identificação do produto, marca do fabricante, data de fabricação, prazo de validade, peso líquido e número de registro no órgão competente, devidamente rotulado conforme legislação vigente; observadas as normas técnicas pertinentes à legislação sanitária de alimentos.</w:t>
            </w:r>
          </w:p>
        </w:tc>
        <w:tc>
          <w:tcPr>
            <w:tcW w:w="939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032" w:type="dxa"/>
            <w:tcBorders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R$ 10,00</w:t>
            </w:r>
          </w:p>
        </w:tc>
        <w:tc>
          <w:tcPr>
            <w:tcW w:w="1491" w:type="dxa"/>
            <w:tcBorders/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R$ 2.500,00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Açúcar refinado, com aparência de pó fino, homogêneo, na cor branca, de fácil escoamento, não devendo estar melado ou empedrado; odor próprio e sabor doce; livre de fermentação; isento de matéria terrosa, de sujidades, parasitas, larvas e detritos animais ou vegetais; embalagem: saco de polietileno atóxico, contendo  01 kg, com a identificação do produto, marca do fabricante, data de fabricação, prazo de validade, peso líquido e número de registro no Ministério da Saúde, devidamente rotulado conforme legislação vigente;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R$ 4,50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R$ 1.012,50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Adoçante com 200ml, contendo data de fabricação e validade. Aceito pela anvisa.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R$ 9,40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R$ 564,00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Água Mineral embalagem 20 litros, sem gás, frasco plástico 20 litros á água mineral deverá estar de acordo com a Resolução-RCD nº 54 de 15 junho de 2000-ANVS - M.S que dispõe sobre fixação de identidade e qualidade de água mineral natural. A rotulagem do produto deverá estar de acordo com a legislação vigente e especificar: A natureza da água, segundo respectiva classificação. Nome da fonte, data da fabricação, data da validade ou prazo máximo de consumo. SOMENTE O CONTEÚDO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275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R$ 11,00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R$ 3.025,00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Água Mineral embalagem 500ml, sem gás, frasco plástico 500ml á água mineral deverá estar de acordo com a Resolução-RCD nº 54 de 15 junho de 2000-ANVS - M.S que dispõe sobre fixação de identidade e qualidade de água mineral natural. A rotulagem do produto deverá estar de acordo com a legislação vigente e especificar: A natureza da água, segundo respectiva classificação. Nome da fonte, data da fabricação, data da validade ou prazo máximo de consumo.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R$ 2,00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R$ 800,00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Biscoito doce tipo maria, ingredientes: farinha de trigo enriquecida com ferro e ácido fólico, açúcar, gordura vegetal, açúcar invertido, amido de linho, soro de leite, sal refinado, aromatizante, estabilizante lecitina de soja, fermentos químicos. O biscoito deverá ser fabricado a partir de matérias primas sãs e limpas, isentas de matérias terrosas, de sujidades, parasitas, larvas, detritos animais ou vegetais e em perfeito estado de conservação. Serão rejeitados biscoitos mal cozidos, queimados e de caracteres organolépticos anormais, não podendo apresentar excesso de dureza e nem se apresentar quebradiço. Embalagem: pacote impermeável lacrado, contendo 400g (3x1), com a identificação do produto, marca do fabricante, data de fabricação, prazo de validade, peso líquido e número de registro no órgão competente Saúde, devidamente rotulado conforme legislação vigente;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R$ 6,40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R$ 320,00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Biscoito doce tipo vitaminado, ingredientes: farinha de trigo enriquecida com ferro e ácido fólico, açúcar, gordura vegetal, açúcar invertido, amido de linho, soro de leite, sal refinado, aromatizante, estabilizante lecitina de soja, fermentos químicos. O biscoito deverá ser fabricado a partir de matérias primas sãs e limpas, isentas de matérias terrosas, de sujidades, parasitas, larvas, detritos animais ou vegetais e em perfeito estado de conservação. Serão rejeitados biscoitos mal cozidos, queimados e de caracteres organolépticos anormais, não podendo apresentar excesso de dureza e nem se apresentar quebradiço. Embalagem: pacote impermeável lacrado, contendo 400g (3x1), com a identificação do produto, marca do fabricante, data de fabricação, prazo de validade, peso líquido e número de registro no órgão competente Saúde, devidamente rotulado conforme legislação vigente;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R$ 6,50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R$ 1.625,00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Biscoito salgado tipo cream cracker amanteigado, ingredientes: farinha de trigo enriquecida com ferro e ácido fólico, açúcar, gordura vegetal hidrogenada, açúcar invertido, sal refinado, extrato de malte, estabilizante lecitina de soja, fermentos químicos. O biscoito deverá ser fabricado a partir de matérias primas sãs e limpas, isentas de matérias terrosas, de sujidades, parasitas, larvas, detritos animais ou vegetais e em perfeito estado de conservação. Serão rejeitados biscoitos mal cozidos, queimados e de caracteres organolépticos anormais, não podendo apresentar excesso de dureza e nem se apresentar quebradiço. Embalagem: pacote impermeável lacrado, contendo 400g (3x1), com a identificação do produto, marca do fabricante, data de fabricação, prazo de validade, peso líquido e número de registro no órgão competente Saúde, devidamente rotulado conforme legislação vigente;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R$ 6,00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R$ 1.500,00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Café solúvel embalado a vácuo, isento de sujidades, parasitas e larvas. Embalagens de 250g, com a identificação do produto, marca do fabricante, data de fabricação, prazo de validade, peso líquido e número de registro no órgão competente, devidamente rotulado conforme legislação vigente,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R$ 7,50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R$ 1.500,00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Chá erva cidreira embalagem contendo 10g produto sem sinais de rompimento ou violação, aberturas ou furos, com identificação do produto, marca do fabricante, prazo de validade e peso líquido. Ausência de sujidades, parasitos e larvas 10 saches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R$ 3,65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R$ 456,25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Leite em pó integral, obtido por desidratação do leite de vaca integral e apto para a alimentação humana mediante processos tecnologicamente adequados. Aparência de pó fino, homogêneo, na cor própria, de fácil escoamento, não devendo estar melado ou empedrado; odor e sabor: agradável, não rançoso, semelhante ao leite fluído; ausência de conservadores, sujidades, parasitas, larvas e detritos amma1s ou vegetais; embalagem: pacote impermeável lacrado, contendo  200g, com a identificação do produto, marca do fabricante, data de fabricação, prazo de validade, peso líquido e número de registro no órgão competente, devidamente rotulado conforme legislação vigente. Deverão ser observadas as especificações gerais do Regulamento Técnico de Identidade e Qualidade de Leite em pó, fixado pela Portaria nº 369, de 04/09/97, MAA.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175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R$ 7,00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R$ 1.225,00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Refrigerante 02 litros garrafa pet Sabores guaraná, laranja, limão e cola fardo com 06, contendo marca do fabricante e data de validade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R$ 10,00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R$ 3.000,00</w:t>
            </w:r>
          </w:p>
        </w:tc>
      </w:tr>
      <w:tr>
        <w:trPr/>
        <w:tc>
          <w:tcPr>
            <w:tcW w:w="81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Calibr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368" w:type="dxa"/>
            <w:tcBorders>
              <w:top w:val="nil"/>
            </w:tcBorders>
            <w:vAlign w:val="center"/>
          </w:tcPr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Suco de fruta concentrado sabores variados, não fermentado e não alcoólico; aspecto líquido; cor e odor próprios da fruta em questão; fabricado a partir de frutos maduros, sãos, limpo s e manipulados com as adequadas técnicas de higiene; isento de matérias terrosas, de sujidades, parasitas, larvas, detritos animais ou vegetais; elaborado através de processamento tecnológico adequado; envasado assepticamente em embalagem hermética que não permita a passagem de ar e luz e que assegure a sua apresentação e conservação até o momento de consumo, sem a necessidade de refrigeração; ausência de aromas e corantes artificiais; reconstituído pela diluição de suco concentrado até a concentração original do suco integral ou o teor de sólidos solúveis mínimo s estabelecidos no respectivo. Embalagem: frasco de vidro, contendo 500ml, com a identificação do  produto, marca do fabricante, data de fabricação, prazo de validade, peso líquido e número de registro no órgão competente, devidamente rotulado, observadas as normas técnicas pertinentes à legislação sanitária de alimentos.</w:t>
            </w:r>
          </w:p>
        </w:tc>
        <w:tc>
          <w:tcPr>
            <w:tcW w:w="93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</w:t>
            </w:r>
          </w:p>
        </w:tc>
        <w:tc>
          <w:tcPr>
            <w:tcW w:w="1032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spacing w:lineRule="auto" w:line="3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pt-BR"/>
              </w:rPr>
              <w:t>Unid</w:t>
            </w:r>
          </w:p>
        </w:tc>
        <w:tc>
          <w:tcPr>
            <w:tcW w:w="1422" w:type="dxa"/>
            <w:tcBorders>
              <w:top w:val="nil"/>
              <w:right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ind w:hanging="0" w:left="0" w:righ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R$ 2,60</w:t>
            </w:r>
          </w:p>
        </w:tc>
        <w:tc>
          <w:tcPr>
            <w:tcW w:w="1491" w:type="dxa"/>
            <w:tcBorders>
              <w:top w:val="nil"/>
            </w:tcBorders>
            <w:vAlign w:val="center"/>
          </w:tcPr>
          <w:p>
            <w:pPr>
              <w:pStyle w:val="Contedodatabela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pt-BR" w:eastAsia="pt-BR" w:bidi="ar-SA"/>
              </w:rPr>
              <w:t>R$ 325,00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2"/>
        </w:numPr>
        <w:spacing w:lineRule="auto" w:line="360" w:before="0" w:after="0"/>
        <w:ind w:hanging="0" w:left="0"/>
        <w:contextualSpacing/>
        <w:jc w:val="both"/>
        <w:rPr>
          <w:sz w:val="22"/>
          <w:szCs w:val="22"/>
        </w:rPr>
      </w:pPr>
      <w:r>
        <w:rPr>
          <w:rFonts w:cs="Times New Roman"/>
          <w:bCs/>
          <w:sz w:val="22"/>
          <w:szCs w:val="22"/>
        </w:rPr>
        <w:t>Os materiais serão entregues sob demanda, logo deverá a contratada realizar a entrega de acordo com os quantitativos inseridos na Ordem de Fornecimento.</w:t>
      </w:r>
    </w:p>
    <w:p>
      <w:pPr>
        <w:pStyle w:val="ListParagraph"/>
        <w:numPr>
          <w:ilvl w:val="1"/>
          <w:numId w:val="2"/>
        </w:numPr>
        <w:spacing w:lineRule="auto" w:line="360" w:before="0" w:after="0"/>
        <w:ind w:hanging="0" w:left="0"/>
        <w:contextualSpacing/>
        <w:jc w:val="both"/>
        <w:rPr>
          <w:sz w:val="22"/>
          <w:szCs w:val="22"/>
        </w:rPr>
      </w:pPr>
      <w:r>
        <w:rPr>
          <w:rFonts w:cs="Times New Roman"/>
          <w:bCs/>
          <w:sz w:val="22"/>
          <w:szCs w:val="22"/>
        </w:rPr>
        <w:t>Havendo identificação de erros de fabricação ou avarias no lacre de segurança, deverá a CONTRATADA realizar sua substituição imediatamente.</w:t>
      </w:r>
    </w:p>
    <w:p>
      <w:pPr>
        <w:pStyle w:val="ListParagraph"/>
        <w:numPr>
          <w:ilvl w:val="1"/>
          <w:numId w:val="2"/>
        </w:numPr>
        <w:spacing w:lineRule="auto" w:line="360" w:before="0" w:after="0"/>
        <w:ind w:hanging="0" w:left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 local para entrega dos produtos solicitados será o Almoxarifado da </w:t>
      </w:r>
      <w:r>
        <w:rPr>
          <w:rFonts w:cs="Times New Roman"/>
          <w:b/>
          <w:bCs/>
          <w:sz w:val="22"/>
          <w:szCs w:val="22"/>
        </w:rPr>
        <w:t>CÂMARA MUNICIPAL DE IGARAPÉ GRANDE – MA,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ahoma"/>
          <w:b w:val="false"/>
          <w:bCs w:val="false"/>
          <w:sz w:val="22"/>
          <w:szCs w:val="22"/>
          <w:lang w:eastAsia="ar-SA"/>
        </w:rPr>
        <w:t>com sede na Av. João Carvalho, nº 54, Letra A, Centro, Igarapé Grande/MA, CEP: 65.720-000.</w:t>
      </w:r>
    </w:p>
    <w:p>
      <w:pPr>
        <w:pStyle w:val="ListParagraph"/>
        <w:spacing w:lineRule="auto" w:line="360" w:before="0" w:after="0"/>
        <w:ind w:left="0"/>
        <w:contextualSpacing/>
        <w:jc w:val="both"/>
        <w:rPr>
          <w:rFonts w:ascii="Times New Roman" w:hAnsi="Times New Roman" w:cs="Times New Roman"/>
          <w:bCs/>
        </w:rPr>
      </w:pPr>
      <w:r>
        <w:rPr>
          <w:rFonts w:cs="Times New Roman"/>
          <w:bCs/>
        </w:rPr>
      </w:r>
    </w:p>
    <w:p>
      <w:pPr>
        <w:pStyle w:val="Nivel1"/>
        <w:numPr>
          <w:ilvl w:val="0"/>
          <w:numId w:val="2"/>
        </w:numPr>
        <w:spacing w:lineRule="auto" w:line="360" w:before="0" w:after="0"/>
        <w:ind w:hanging="0" w:left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eastAsia="en-US"/>
        </w:rPr>
        <w:t>DA DOTAÇÃO E CUSTOS</w:t>
      </w:r>
    </w:p>
    <w:p>
      <w:pPr>
        <w:pStyle w:val="Nivel1"/>
        <w:numPr>
          <w:ilvl w:val="1"/>
          <w:numId w:val="2"/>
        </w:numPr>
        <w:spacing w:lineRule="auto" w:line="360" w:before="0" w:after="0"/>
        <w:ind w:hanging="0" w:left="0"/>
        <w:rPr>
          <w:rFonts w:ascii="Times New Roman" w:hAnsi="Times New Roman" w:cs="Times New Roman"/>
          <w:b w:val="false"/>
          <w:bCs/>
          <w:sz w:val="22"/>
          <w:szCs w:val="22"/>
        </w:rPr>
      </w:pPr>
      <w:r>
        <w:rPr>
          <w:rFonts w:cs="Times New Roman" w:ascii="Times New Roman" w:hAnsi="Times New Roman"/>
          <w:b w:val="false"/>
          <w:bCs/>
          <w:sz w:val="22"/>
          <w:szCs w:val="22"/>
        </w:rPr>
        <w:t>As despesas decorrentes da presente contratação correrão à conta de recursos específicos consignados para o ano de 2024.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cs="Tahoma"/>
          <w:i/>
          <w:iCs/>
          <w:sz w:val="22"/>
          <w:szCs w:val="22"/>
        </w:rPr>
        <w:t>Fonte do Recurso: 001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cs="Tahoma"/>
          <w:i/>
          <w:iCs/>
          <w:sz w:val="22"/>
          <w:szCs w:val="22"/>
        </w:rPr>
        <w:t>Projeto Atividade: 1.500.00.001.001</w:t>
      </w:r>
    </w:p>
    <w:p>
      <w:pPr>
        <w:pStyle w:val="Normal"/>
        <w:spacing w:lineRule="auto" w:line="360"/>
        <w:jc w:val="both"/>
        <w:rPr/>
      </w:pPr>
      <w:r>
        <w:rPr>
          <w:rFonts w:cs="Tahoma"/>
          <w:i/>
          <w:iCs/>
          <w:sz w:val="22"/>
          <w:szCs w:val="22"/>
        </w:rPr>
        <w:t>Natureza da Despesa: 3.3.90.39.00</w:t>
      </w:r>
    </w:p>
    <w:p>
      <w:pPr>
        <w:pStyle w:val="Nivel1"/>
        <w:numPr>
          <w:ilvl w:val="1"/>
          <w:numId w:val="2"/>
        </w:numPr>
        <w:spacing w:lineRule="auto" w:line="360" w:before="0" w:after="0"/>
        <w:ind w:hanging="0" w:left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 w:val="false"/>
          <w:bCs/>
          <w:sz w:val="22"/>
          <w:szCs w:val="22"/>
        </w:rPr>
        <w:t>O custo da presente contratação é de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2"/>
          <w:szCs w:val="22"/>
          <w:u w:val="none"/>
          <w:em w:val="none"/>
        </w:rPr>
        <w:t xml:space="preserve"> R$ 17.852,75</w:t>
      </w:r>
      <w:r>
        <w:rPr>
          <w:rFonts w:ascii="Times New Roman" w:hAnsi="Times New Roman"/>
          <w:b/>
          <w:i w:val="false"/>
          <w:strike w:val="false"/>
          <w:dstrike w:val="false"/>
          <w:outline w:val="false"/>
          <w:shadow w:val="false"/>
          <w:color w:val="auto"/>
          <w:sz w:val="22"/>
          <w:szCs w:val="22"/>
          <w:u w:val="none"/>
          <w:em w:val="none"/>
        </w:rPr>
        <w:t xml:space="preserve"> (DEZESSETE MIL, OITOCENTOS E CINQUENTA E DOIS REAIS E SETENTA E CINCO CENTAVOS)</w:t>
      </w:r>
      <w:r>
        <w:rPr>
          <w:rFonts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auto"/>
          <w:sz w:val="22"/>
          <w:szCs w:val="22"/>
          <w:u w:val="none"/>
          <w:em w:val="none"/>
        </w:rPr>
        <w:t xml:space="preserve">, </w:t>
      </w: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z w:val="22"/>
          <w:szCs w:val="22"/>
          <w:u w:val="none"/>
          <w:em w:val="none"/>
        </w:rPr>
        <w:t>tendo sido apurado por meio de pesquisa a fornecedores do ramo.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</w:r>
    </w:p>
    <w:p>
      <w:pPr>
        <w:pStyle w:val="Nivel1"/>
        <w:numPr>
          <w:ilvl w:val="0"/>
          <w:numId w:val="2"/>
        </w:numPr>
        <w:spacing w:lineRule="auto" w:line="360" w:before="0" w:after="0"/>
        <w:ind w:hanging="0" w:left="0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4"/>
          <w:szCs w:val="24"/>
        </w:rPr>
        <w:t>DO RECEBIMENTO E CRITÉRIOS DE ACEITAÇÃO DO OBJETO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p>
      <w:pPr>
        <w:pStyle w:val="Nivel1"/>
        <w:numPr>
          <w:ilvl w:val="1"/>
          <w:numId w:val="2"/>
        </w:numPr>
        <w:spacing w:lineRule="auto" w:line="360" w:before="0" w:after="0"/>
        <w:ind w:hanging="0" w:left="0"/>
        <w:rPr>
          <w:rFonts w:ascii="Times New Roman" w:hAnsi="Times New Roman" w:cs="Times New Roman"/>
          <w:b w:val="false"/>
          <w:bCs/>
          <w:sz w:val="22"/>
          <w:szCs w:val="22"/>
        </w:rPr>
      </w:pPr>
      <w:r>
        <w:rPr>
          <w:rFonts w:cs="Times New Roman" w:ascii="Times New Roman" w:hAnsi="Times New Roman"/>
          <w:b w:val="false"/>
          <w:bCs/>
          <w:sz w:val="22"/>
          <w:szCs w:val="22"/>
        </w:rPr>
        <w:t>O (s) material (is) será (ão) aceito (s), da seguinte forma: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color w:val="000000"/>
          <w:sz w:val="22"/>
          <w:szCs w:val="22"/>
        </w:rPr>
        <w:t>a)</w:t>
      </w:r>
      <w:r>
        <w:rPr>
          <w:sz w:val="22"/>
          <w:szCs w:val="22"/>
        </w:rPr>
        <w:t xml:space="preserve"> Provisoriamente, pelo Almoxarifado, para efeito de posterior verificação da conformidade do material com as especificações constantes no Termo de Referência.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color w:val="000000"/>
          <w:sz w:val="22"/>
          <w:szCs w:val="22"/>
        </w:rPr>
        <w:t>b)</w:t>
      </w:r>
      <w:r>
        <w:rPr>
          <w:sz w:val="22"/>
          <w:szCs w:val="22"/>
        </w:rPr>
        <w:t xml:space="preserve"> Definitivamente, em até 10 (dez) dias após verificação de qualidade e quantidade dos materiais e consequente aceitação pelo setor técnico requisitante e pelo responsável do Almoxarifado. Os produtos deverão estar de acordo com as especificações constantes no Termo de referência e com a amostra apresentada no momento da aceitação da proposta (quando exigida).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sz w:val="22"/>
          <w:szCs w:val="22"/>
        </w:rPr>
        <w:t>Estando em conformidade com o contrato, será feita a atestação com a declaração e assinatura do responsável no verso da nota fiscal/fatura ou documento equivalente. A atestação caberá ao servidor ou fiscal previamente designada pela Administração para esse fim.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</w:rPr>
        <w:t>A Administração rejeitará, no todo ou em parte o bem ou serviço em desacordo com o contrato</w:t>
      </w:r>
      <w:r>
        <w:rPr>
          <w:rFonts w:cs="Times New Roman"/>
          <w:color w:val="000000"/>
        </w:rPr>
        <w:t>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>O recebimento provisório ou definitivo não excluirá a responsabilidade civil pela solidez e pela segurança da obra ou serviço nem a responsabilidade ético-profissional pela perfeita execução do contrato, nos limites estabelecidos pela lei ou pelo contrato.</w:t>
      </w:r>
    </w:p>
    <w:p>
      <w:pPr>
        <w:pStyle w:val="ListParagraph"/>
        <w:spacing w:lineRule="auto" w:line="360" w:before="0" w:after="0"/>
        <w:ind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CONDIÇÕES GERAIS DO FORNECIMENTO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</w:rPr>
        <w:t>Os produtos definidos neste Termo deverão ser novos e sem utilização anterior, com validade suficiente, originais e de boa qualidade, livres de defeitos, imperfeições e outros vícios que impeçam ou reduzam suas usabilidades, observando rigorosamente as características especificadas, devendo ser apresentados nas embalagens originais dos fabricantes, adequadas para proteger seu conteúdo contra danos durante o transporte até o local de entrega.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</w:rPr>
        <w:t>O contrato de fornecimento só estará caracterizado mediante a confirmação de recebimento do contrato, pelo fornecedor.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b/>
          <w:bCs/>
          <w:color w:val="000000"/>
          <w:u w:val="single"/>
        </w:rPr>
        <w:t>A ENTREGA DOS MATERIAIS DEVERÁ OCORRER NO PRAZO MÁXIMO DE 05 (CINCO) DIAS</w:t>
      </w:r>
      <w:r>
        <w:rPr>
          <w:rFonts w:cs="Times New Roman"/>
          <w:color w:val="000000"/>
        </w:rPr>
        <w:t>, a contar da emissão da ordem de fornecimento, a ser emitido pelo Gestor/Fiscal do contrato;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>O fornecimento fica subordinado às quantidades e descrições dos produtos solicitados, devendo seu fornecimento ser realizado sob demanda.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 xml:space="preserve">Havendo desatendimento ou defeitos em geral, deverá o material ser </w:t>
      </w:r>
      <w:r>
        <w:rPr>
          <w:rFonts w:cs="Times New Roman"/>
          <w:b/>
          <w:bCs/>
          <w:color w:val="000000"/>
          <w:u w:val="single"/>
        </w:rPr>
        <w:t>SUBSTITUÍDO NO PRAZO MÁXIMO DE 05 (CINCO) DIAS</w:t>
      </w:r>
      <w:r>
        <w:rPr>
          <w:rFonts w:cs="Times New Roman"/>
          <w:color w:val="000000"/>
        </w:rPr>
        <w:t xml:space="preserve"> após a solicitação formal de substituição pelo Gestor/Fiscal do contrato.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 xml:space="preserve">A entrega dos produtos deverá ocorrer na </w:t>
      </w:r>
      <w:r>
        <w:rPr>
          <w:rFonts w:cs="Times New Roman"/>
          <w:b/>
          <w:bCs/>
          <w:color w:val="000000"/>
          <w:sz w:val="22"/>
          <w:szCs w:val="22"/>
        </w:rPr>
        <w:t>CÂMARA MUNICIPAL DE IGARAPÉ GRANDE – MA,</w:t>
      </w:r>
      <w:r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ahoma"/>
          <w:b w:val="false"/>
          <w:bCs w:val="false"/>
          <w:color w:val="000000"/>
          <w:sz w:val="22"/>
          <w:szCs w:val="22"/>
          <w:lang w:eastAsia="ar-SA"/>
        </w:rPr>
        <w:t>com sede na Av. João Carvalho, nº 54, Letra A, Centro, Igarapé Grande/MA, CEP: 65.720-000</w:t>
      </w:r>
      <w:r>
        <w:rPr>
          <w:rFonts w:cs="Times New Roman"/>
          <w:color w:val="000000"/>
        </w:rPr>
        <w:t>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cs="Times New Roman"/>
          <w:b/>
          <w:bCs/>
        </w:rPr>
        <w:t>FORMA</w:t>
      </w:r>
      <w:r>
        <w:rPr>
          <w:rFonts w:cs="Times New Roman"/>
          <w:b/>
          <w:bCs/>
          <w:color w:val="000000"/>
        </w:rPr>
        <w:t xml:space="preserve"> DE PAGAMENTO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O pagamento será realizado após a solicitação que deverá ocorrer em até 30 (trinta) dias, com apresentação da nota fiscal/fatura, devidamente comprovada à regularidade fiscal da CONTRATADA, e, em caso de pendência, ficará suspenso até a efetiva comprovação da regularidade fiscal;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a) A nota fiscal referida acima deve apresentar discriminadamente os itens e quantitativos fornecidos/prestados;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b) As notas fiscais/faturas que apresentarem incorreções serão devolvidas à CONTRATADA e neste caso o prazo para pagamento passará a ser contado a partir da data da reapresentação dos referidos documentos;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c) nenhum pagamento será efetuado aos adjudicatários enquanto pendente de liquidação ou qualquer obrigação financeira que lhe for imposta em virtude de penalidade ou falta de entrega do material.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O prazo para o pagamento será contado a partir da data em que for protocolada a Nota Fiscal/Recibo, após o devido atesto pelo responsável designado pela CONTRATANTE;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No caso de devolução da Nota Fiscal/Recibo para correção, o prazo de pagamento estipulado, passará a ser contado a partir da data de reapresentação dos referidos documentos.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ivel1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 RESCISÃO CONTRATUAL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 xml:space="preserve">O Contrato ou Instrumento correlato oriundo deste Termo de Referência poderá ou não ser rescindido quando do descumprimento de norma legal, nos termos do art. 124 e seguintes da Lei 14.133/21.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ivel1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DA AVALIAÇÃO DAS PROPOSTAS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>Para realização do julgamento das propostas deverá ser observado inicialmente o cumprimento de todos os requisitos exigidos neste Termo de Referência.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>A proposta mais vantajosa para contratação será aquela que apresentar o MENOR VALOR POR LOTE/GRUPO para material de consumo, dentro das especificações dos serviços contidas na Cláusula terceira, neste Termo de Referência.</w:t>
      </w:r>
    </w:p>
    <w:p>
      <w:pPr>
        <w:pStyle w:val="Normal"/>
        <w:spacing w:lineRule="auto" w:line="360" w:before="0" w:after="0"/>
        <w:rPr>
          <w:rFonts w:ascii="Times New Roman" w:hAnsi="Times New Roman"/>
          <w:color w:val="000000"/>
          <w:sz w:val="22"/>
          <w:szCs w:val="22"/>
        </w:rPr>
      </w:pPr>
      <w:r>
        <w:rPr>
          <w:color w:val="000000"/>
          <w:sz w:val="22"/>
          <w:szCs w:val="22"/>
        </w:rPr>
      </w:r>
    </w:p>
    <w:p>
      <w:pPr>
        <w:pStyle w:val="Nivel1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PROCEDIMENTOS DE FISCALIZAÇÃO E GERENCIAMENTO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Os itens, objeto desta licitação, a serem contratados serão objeto de acompanhamento, controle, fiscalização e avaliação por servidor designado pela portaria.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A Fiscalização é exercida no interesse da Administração; não exclui nem reduz a responsabilidade da CONTRATADA, inclusive perante terceiros, por qualquer irregularidade, e, na sua ocorrência, não implica corresponsabilidade do Poder Público ou de seus agentes e prepostos.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A CONTRATANTE se reserva o direito de rejeitar no todo ou em parte o objeto deste contrato, se em desacordo com as especificações e as Cláusulas Contratuais.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Quaisquer exigências da Fiscalização, inerentes ao objeto do Contrato, deverão ser prontamente atendidas pela CONTRATADA sem ônus para a CONTRATANTE.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b/>
        </w:rPr>
      </w:pPr>
      <w:r>
        <w:rPr>
          <w:rFonts w:cs="Times New Roman"/>
          <w:b/>
        </w:rPr>
        <w:t>DA ENTREGA DOS ITENS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 xml:space="preserve">Os produtos deverão ser entregues, na sede da </w:t>
      </w:r>
      <w:r>
        <w:rPr>
          <w:rFonts w:cs="Times New Roman"/>
          <w:b/>
          <w:bCs/>
          <w:color w:val="000000"/>
          <w:sz w:val="22"/>
          <w:szCs w:val="22"/>
        </w:rPr>
        <w:t>CÂMARA MUNICIPAL DE IGARAPÉ GRANDE – MA</w:t>
      </w:r>
      <w:r>
        <w:rPr>
          <w:rFonts w:cs="Times New Roman"/>
        </w:rPr>
        <w:t>, sendo recebidos/conferidos pelo responsável pelo almoxarifado, no horário de expediente, devendo o fornecedor ou o transportador por ele contratado certificar-se antecipadamente quanto a feriados locais ou alterações nos horários de expediente.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Fica a cargo do fornecedor ou transportador por ele contratado a descarga e movimentação do equipamento ou material do veículo até o local designado pelo servidor responsável pelo recebimento.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</w:rPr>
      </w:pPr>
      <w:r>
        <w:rPr>
          <w:rFonts w:cs="Times New Roman"/>
        </w:rPr>
        <w:t>Quando da alteração de endereço, a empresa ganhadora deverá respeitar essa alteração, modificando o respectivo endereço para a entrega dos insumos e execução do serviço.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ivel1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PRAZO DE VIGÊNCIA DO CONTRATO</w:t>
      </w:r>
    </w:p>
    <w:p>
      <w:pPr>
        <w:pStyle w:val="Nivel1"/>
        <w:numPr>
          <w:ilvl w:val="1"/>
          <w:numId w:val="3"/>
        </w:numPr>
        <w:spacing w:lineRule="auto" w:line="360" w:before="0" w:after="0"/>
        <w:ind w:hanging="0" w:left="0"/>
        <w:rPr>
          <w:rFonts w:ascii="Times New Roman" w:hAnsi="Times New Roman" w:cs="Times New Roman"/>
          <w:b w:val="false"/>
          <w:sz w:val="22"/>
          <w:szCs w:val="22"/>
        </w:rPr>
      </w:pPr>
      <w:r>
        <w:rPr>
          <w:rFonts w:cs="Times New Roman" w:ascii="Times New Roman" w:hAnsi="Times New Roman"/>
          <w:b w:val="false"/>
          <w:sz w:val="22"/>
          <w:szCs w:val="22"/>
        </w:rPr>
        <w:t>O prazo de vigência da contratação é de 12 (doze) meses contados a partir da data da assinatura.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ivel1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sz w:val="24"/>
          <w:szCs w:val="24"/>
        </w:rPr>
        <w:t>DAS SANÇÕES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Comete infração administrativa nos termos do art. 155 da Lei nº 14,133, de 2021, a Contratada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que: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der causa à inexecução total ou parcial de qualquer das obrigações assumidas em decorrência da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contratação;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não mantiver a proposta, salvo em decorrência de fato superveniente devidamente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justiﬁcado;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não celebrar o contrato ou deixar de entregar a documentação exigida dentro do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prazo;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ensejar o retardamento da execução ou entrega do objeto sem motivo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justiﬁcado;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apresentar declaração ou documentação falsa exigida para o certame ou prestar declaração falsa durante a licitação ou a execução do contrato;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fraudar a licitação ou praticar ato fraudulento na execução do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contrato;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comportar-se de modo inidôneo ou cometer fraude de qualquer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natureza;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praticar atos ilícitos com vistas a frustrar os objetivos da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licitação;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praticar ato lesivo previsto no</w:t>
      </w:r>
      <w:r>
        <w:rPr>
          <w:sz w:val="22"/>
          <w:szCs w:val="22"/>
          <w:u w:val="single" w:color="0000ED"/>
        </w:rPr>
        <w:t xml:space="preserve"> </w:t>
      </w:r>
      <w:r>
        <w:fldChar w:fldCharType="begin"/>
      </w:r>
      <w:r>
        <w:rPr>
          <w:sz w:val="22"/>
          <w:u w:val="single" w:color="0000ED"/>
          <w:szCs w:val="22"/>
        </w:rPr>
        <w:instrText xml:space="preserve"> HYPERLINK "http://www.planalto.gov.br/ccivil_03/_Ato2011-2014/2013/Lei/L12846.htm" \l "art5"</w:instrText>
      </w:r>
      <w:r>
        <w:rPr>
          <w:sz w:val="22"/>
          <w:u w:val="single" w:color="0000ED"/>
          <w:szCs w:val="22"/>
        </w:rPr>
        <w:fldChar w:fldCharType="separate"/>
      </w:r>
      <w:r>
        <w:rPr>
          <w:sz w:val="22"/>
          <w:szCs w:val="22"/>
          <w:u w:val="single" w:color="0000ED"/>
        </w:rPr>
        <w:t>art. 5º da Lei nº 12.846, de 1º de agosto de</w:t>
      </w:r>
      <w:r>
        <w:rPr>
          <w:sz w:val="22"/>
          <w:u w:val="single" w:color="0000ED"/>
          <w:szCs w:val="22"/>
        </w:rPr>
        <w:fldChar w:fldCharType="end"/>
      </w:r>
      <w:r>
        <w:rPr>
          <w:spacing w:val="-5"/>
          <w:sz w:val="22"/>
          <w:szCs w:val="22"/>
          <w:u w:val="single" w:color="0000ED"/>
        </w:rPr>
        <w:t xml:space="preserve"> </w:t>
      </w:r>
      <w:r>
        <w:rPr>
          <w:sz w:val="22"/>
          <w:szCs w:val="22"/>
          <w:u w:val="single" w:color="0000ED"/>
        </w:rPr>
        <w:t>2013.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Pela inexecução</w:t>
      </w:r>
      <w:r>
        <w:rPr>
          <w:sz w:val="22"/>
          <w:szCs w:val="22"/>
          <w:u w:val="single"/>
        </w:rPr>
        <w:t xml:space="preserve"> total ou parcial</w:t>
      </w:r>
      <w:r>
        <w:rPr>
          <w:sz w:val="22"/>
          <w:szCs w:val="22"/>
        </w:rPr>
        <w:t xml:space="preserve"> do objeto deste contrato, a Administração pode aplicar à </w:t>
      </w:r>
      <w:r>
        <w:rPr>
          <w:spacing w:val="-4"/>
          <w:sz w:val="22"/>
          <w:szCs w:val="22"/>
        </w:rPr>
        <w:t xml:space="preserve">CONTRATADA </w:t>
      </w:r>
      <w:r>
        <w:rPr>
          <w:sz w:val="22"/>
          <w:szCs w:val="22"/>
        </w:rPr>
        <w:t>as seguintes</w:t>
      </w:r>
      <w:r>
        <w:rPr>
          <w:spacing w:val="-11"/>
          <w:sz w:val="22"/>
          <w:szCs w:val="22"/>
        </w:rPr>
        <w:t xml:space="preserve"> </w:t>
      </w:r>
      <w:r>
        <w:rPr>
          <w:sz w:val="22"/>
          <w:szCs w:val="22"/>
        </w:rPr>
        <w:t>sanções: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Advertência, por faltas leves, assim entendidas aquelas que não acarretem prejuízos signiﬁcativos para a</w:t>
      </w:r>
      <w:r>
        <w:rPr>
          <w:spacing w:val="-13"/>
          <w:sz w:val="22"/>
          <w:szCs w:val="22"/>
        </w:rPr>
        <w:t xml:space="preserve"> </w:t>
      </w:r>
      <w:r>
        <w:rPr>
          <w:sz w:val="22"/>
          <w:szCs w:val="22"/>
        </w:rPr>
        <w:t>Contratante;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multa moratória de 0,5% (meio por cento) por dia de atraso injustiﬁcado sobre o valor da parcela inadimplida, até o limite de R$ 50,00 (cinquenta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reais);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multa compensatória de 20% (vinte por cento) sobre o valor total do contrato, no caso de inexecução total do</w:t>
      </w:r>
      <w:r>
        <w:rPr>
          <w:spacing w:val="-17"/>
          <w:sz w:val="22"/>
          <w:szCs w:val="22"/>
        </w:rPr>
        <w:t xml:space="preserve"> </w:t>
      </w:r>
      <w:r>
        <w:rPr>
          <w:sz w:val="22"/>
          <w:szCs w:val="22"/>
        </w:rPr>
        <w:t>objeto;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em caso de inexecução parcial, a multa compensatória, no mesmo percentual do subitem acima, será aplicada de forma proporcional à obrigação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inadimplida;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suspensão de licitar e impedimento de contratar com o órgão, entidade ou unidade administrativa pela qual a Administração Pública opera e atua concretamente, pelo prazo de até dois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anos;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impedimento de licitar e contratar com órgãos e entidades da União com o consequente descredenciamento no SICAF pelo prazo de até cinco anos;</w:t>
      </w:r>
    </w:p>
    <w:p>
      <w:pPr>
        <w:pStyle w:val="Normal"/>
        <w:widowControl w:val="false"/>
        <w:numPr>
          <w:ilvl w:val="3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A Sanção de impedimento de licitar e contratar prevista neste subitem também é aplicável em quaisquer das hipóteses previstas como infração administrativa no subitem 14.1 deste </w:t>
      </w:r>
      <w:r>
        <w:rPr>
          <w:spacing w:val="-3"/>
          <w:sz w:val="22"/>
          <w:szCs w:val="22"/>
        </w:rPr>
        <w:t xml:space="preserve">Termo </w:t>
      </w:r>
      <w:r>
        <w:rPr>
          <w:sz w:val="22"/>
          <w:szCs w:val="22"/>
        </w:rPr>
        <w:t>de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Referência.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causados;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As sanções previstas nos subitens 14.2.1, 14.2.5, 14.2.6 e 14.2.7 poderão ser aplicadas à </w:t>
      </w:r>
      <w:r>
        <w:rPr>
          <w:spacing w:val="-4"/>
          <w:sz w:val="22"/>
          <w:szCs w:val="22"/>
        </w:rPr>
        <w:t xml:space="preserve">CONTRATADA </w:t>
      </w:r>
      <w:r>
        <w:rPr>
          <w:sz w:val="22"/>
          <w:szCs w:val="22"/>
        </w:rPr>
        <w:t>juntamente com as de multa,</w:t>
      </w:r>
      <w:r>
        <w:rPr>
          <w:spacing w:val="-23"/>
          <w:sz w:val="22"/>
          <w:szCs w:val="22"/>
        </w:rPr>
        <w:t xml:space="preserve"> </w:t>
      </w:r>
      <w:r>
        <w:rPr>
          <w:sz w:val="22"/>
          <w:szCs w:val="22"/>
        </w:rPr>
        <w:t>descontando- a dos pagamentos a serem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efetuados.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pacing w:val="-3"/>
          <w:sz w:val="22"/>
          <w:szCs w:val="22"/>
        </w:rPr>
        <w:t xml:space="preserve">Também </w:t>
      </w:r>
      <w:r>
        <w:rPr>
          <w:sz w:val="22"/>
          <w:szCs w:val="22"/>
        </w:rPr>
        <w:t>ﬁcam sujeitas às penalidades do art. 156, III e IV da Lei nº 14.133, de 2021, as empresas ou proﬁssionais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que: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tenham sofrido condenação deﬁnitiva por </w:t>
      </w:r>
      <w:r>
        <w:rPr>
          <w:spacing w:val="-3"/>
          <w:sz w:val="22"/>
          <w:szCs w:val="22"/>
        </w:rPr>
        <w:t xml:space="preserve">praticar, </w:t>
      </w:r>
      <w:r>
        <w:rPr>
          <w:sz w:val="22"/>
          <w:szCs w:val="22"/>
        </w:rPr>
        <w:t>por meio dolosos, fraude ﬁscal no recolhimento de quaisquer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tributos;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tenham praticado atos ilícitos visando a frustrar os objetivos da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licitação;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demonstrem não possuir idoneidade para contratar com a Administração em virtude de atos ilícitos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praticados.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 aplicação de qualquer das penalidades previstas realizar-se-á em processo administrativo que assegurará o contraditório e a ampla defesa à Contratada, observando-se o procedimento previsto na Lei nº 14.133, de 2021, e subsidiariamente a Lei nº 9.784, de</w:t>
      </w:r>
      <w:r>
        <w:rPr>
          <w:spacing w:val="-7"/>
          <w:sz w:val="22"/>
          <w:szCs w:val="22"/>
        </w:rPr>
        <w:t xml:space="preserve"> </w:t>
      </w:r>
      <w:r>
        <w:rPr>
          <w:sz w:val="22"/>
          <w:szCs w:val="22"/>
        </w:rPr>
        <w:t>1999.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As multas devidas e/ou prejuízos causados à Contratante serão deduzidos dos valores a serem pagos, ou recolhidos em favor da União, ou deduzidos da garantia, ou ainda, quando for o caso, serão inscritos na Dívida Ativa da União e cobrados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judicialmente.</w:t>
      </w:r>
    </w:p>
    <w:p>
      <w:pPr>
        <w:pStyle w:val="Normal"/>
        <w:widowControl w:val="false"/>
        <w:numPr>
          <w:ilvl w:val="2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Caso a Contratante determine, a multa deverá ser recolhida no prazo máximo de 10 (dez) dias, a contar da data do recebimento da comunicação enviada pela autoridade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competente.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Caso o valor da multa não seja suﬁciente para cobrir os prejuízos causados pela conduta do licitante, a União ou Entidade poderá cobrar o valor remanescente judicialmente, conforme artigo 419 do Código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Civil.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autoridade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competente,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aplicação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das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sanções,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levará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consideração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gravidade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conduta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do</w:t>
      </w:r>
      <w:r>
        <w:rPr>
          <w:spacing w:val="-2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 xml:space="preserve">infrator, </w:t>
      </w:r>
      <w:r>
        <w:rPr>
          <w:sz w:val="22"/>
          <w:szCs w:val="22"/>
        </w:rPr>
        <w:t>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caráter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educativo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pena,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bem como o dano causado à Administração, observado o princípio da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proporcionalidade.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Se, durante o processo de aplicação de penalidade, se houver indícios de prática de infração administrativa tipiﬁcada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</w:t>
      </w:r>
      <w:r>
        <w:rPr>
          <w:spacing w:val="-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PAR.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A apuração e o julgamento das demais infrações administrativas não consideradas como ato lesivo à Administração Pública nacional ou estrangeira nos termos da Lei nº 12.846, de 1º de agosto de 2013, seguirão seu rito normal na unidade</w:t>
      </w:r>
      <w:r>
        <w:rPr>
          <w:spacing w:val="-8"/>
          <w:sz w:val="22"/>
          <w:szCs w:val="22"/>
        </w:rPr>
        <w:t xml:space="preserve"> </w:t>
      </w:r>
      <w:r>
        <w:rPr>
          <w:sz w:val="22"/>
          <w:szCs w:val="22"/>
        </w:rPr>
        <w:t>administrativa.</w:t>
      </w:r>
    </w:p>
    <w:p>
      <w:pPr>
        <w:pStyle w:val="Normal"/>
        <w:widowControl w:val="false"/>
        <w:numPr>
          <w:ilvl w:val="1"/>
          <w:numId w:val="3"/>
        </w:numPr>
        <w:spacing w:lineRule="auto" w:line="360" w:before="0" w:after="0"/>
        <w:ind w:hanging="0" w:left="0" w:right="-35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O processamento do </w:t>
      </w:r>
      <w:r>
        <w:rPr>
          <w:spacing w:val="-4"/>
          <w:sz w:val="22"/>
          <w:szCs w:val="22"/>
        </w:rPr>
        <w:t xml:space="preserve">PAR </w:t>
      </w:r>
      <w:r>
        <w:rPr>
          <w:sz w:val="22"/>
          <w:szCs w:val="22"/>
        </w:rPr>
        <w:t>não interfere no seguimento regular dos processos administrativos especíﬁcos para apuração da ocorrência de danos e prejuízos à Administração Pública Federal resultantes de ato lesivo cometido por pessoa jurídica, com ou sem a participação de agente</w:t>
      </w:r>
      <w:r>
        <w:rPr>
          <w:spacing w:val="-22"/>
          <w:sz w:val="22"/>
          <w:szCs w:val="22"/>
        </w:rPr>
        <w:t xml:space="preserve"> </w:t>
      </w:r>
      <w:r>
        <w:rPr>
          <w:sz w:val="22"/>
          <w:szCs w:val="22"/>
        </w:rPr>
        <w:t>público.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rPr>
          <w:rFonts w:ascii="Times New Roman" w:hAnsi="Times New Roman" w:cs="Times New Roman"/>
        </w:rPr>
      </w:pPr>
      <w:r>
        <w:rPr>
          <w:rFonts w:cs="Times New Roman"/>
        </w:rPr>
        <w:t>As penalidades serão obrigatoriamente registradas no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-3"/>
        </w:rPr>
        <w:t>SICAF</w:t>
      </w:r>
      <w:r>
        <w:rPr>
          <w:rFonts w:cs="Times New Roman"/>
        </w:rPr>
        <w:t>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3"/>
        </w:numPr>
        <w:spacing w:lineRule="auto" w:line="360" w:before="0" w:after="0"/>
        <w:ind w:hanging="0" w:left="0"/>
        <w:rPr>
          <w:sz w:val="24"/>
          <w:szCs w:val="24"/>
        </w:rPr>
      </w:pPr>
      <w:r>
        <w:rPr>
          <w:b/>
          <w:bCs/>
          <w:sz w:val="24"/>
          <w:szCs w:val="24"/>
        </w:rPr>
        <w:t>DA QUALIFICAÇÃO ESPECÍFICA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/>
          <w:bCs/>
          <w:sz w:val="22"/>
          <w:szCs w:val="22"/>
        </w:rPr>
      </w:pPr>
      <w:r>
        <w:rPr>
          <w:bCs/>
          <w:sz w:val="22"/>
          <w:szCs w:val="22"/>
        </w:rPr>
        <w:t>São requisitos para contratação: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hanging="0" w:left="0"/>
        <w:jc w:val="both"/>
        <w:rPr>
          <w:rFonts w:ascii="Times New Roman" w:hAnsi="Times New Roman"/>
          <w:bCs/>
          <w:sz w:val="22"/>
          <w:szCs w:val="22"/>
        </w:rPr>
      </w:pPr>
      <w:r>
        <w:rPr>
          <w:bCs/>
          <w:sz w:val="22"/>
          <w:szCs w:val="22"/>
        </w:rPr>
        <w:t>Atestado de Capacidade Técnica emitido por pessoa jurídica do direito público ou privado, que comprove que a licitante prestou serviços com características semelhantes ou equivalentes ao objeto;</w:t>
      </w:r>
    </w:p>
    <w:p>
      <w:pPr>
        <w:pStyle w:val="Normal"/>
        <w:numPr>
          <w:ilvl w:val="0"/>
          <w:numId w:val="4"/>
        </w:numPr>
        <w:spacing w:lineRule="auto" w:line="360" w:before="0" w:after="0"/>
        <w:ind w:hanging="0" w:left="0"/>
        <w:jc w:val="both"/>
        <w:rPr>
          <w:rFonts w:ascii="Times New Roman" w:hAnsi="Times New Roman"/>
          <w:bCs/>
          <w:sz w:val="22"/>
          <w:szCs w:val="22"/>
        </w:rPr>
      </w:pPr>
      <w:r>
        <w:rPr>
          <w:bCs/>
          <w:sz w:val="22"/>
          <w:szCs w:val="22"/>
        </w:rPr>
        <w:t>Habilitação Jurídica, Habilitação Fiscal e Trabalhista, e Habilitação Econômico e Financeira, nos termos da Lei 14.133/21.</w:t>
      </w:r>
    </w:p>
    <w:p>
      <w:pPr>
        <w:pStyle w:val="Normal"/>
        <w:spacing w:lineRule="auto" w:line="360" w:before="0" w:after="0"/>
        <w:ind w:hanging="0" w:left="0"/>
        <w:jc w:val="both"/>
        <w:rPr>
          <w:rFonts w:ascii="Times New Roman" w:hAnsi="Times New Roman"/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0" w:left="0"/>
        <w:rPr>
          <w:rFonts w:ascii="Times New Roman" w:hAnsi="Times New Roman" w:cs="Times New Roman"/>
          <w:b/>
          <w:color w:val="000000"/>
        </w:rPr>
      </w:pPr>
      <w:r>
        <w:rPr>
          <w:rFonts w:cs="Times New Roman"/>
          <w:b/>
          <w:color w:val="000000"/>
        </w:rPr>
        <w:t>DAS DISPOSIÇÕES FINAIS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>A Contratante terá direito, a qualquer tempo e lugar, de rejeitar quaisquer produtos, que de alguma forma, não estejam em estrita conformidade com os requisitos especificados.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b/>
          <w:bCs/>
          <w:i/>
          <w:iCs/>
          <w:color w:val="000000"/>
          <w:sz w:val="24"/>
          <w:szCs w:val="24"/>
          <w:shd w:fill="FFFFFF" w:val="clear"/>
        </w:rPr>
        <w:t>A(s) Contratada(s) manterá a Contratante livre de quaisquer reivindicações, demandas, queixas e representações de qualquer natureza, decorrentes de sua ação ou omissão.</w:t>
      </w:r>
    </w:p>
    <w:p>
      <w:pPr>
        <w:pStyle w:val="ListParagraph"/>
        <w:spacing w:lineRule="auto" w:line="360" w:before="0" w:after="0"/>
        <w:ind w:hanging="0" w:left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spacing w:lineRule="auto" w:line="360"/>
        <w:jc w:val="center"/>
        <w:rPr>
          <w:bCs/>
          <w:iCs/>
        </w:rPr>
      </w:pPr>
      <w:r>
        <w:rPr>
          <w:iCs/>
        </w:rPr>
        <w:t>Igarapé Grande/MA</w:t>
      </w:r>
      <w:r>
        <w:rPr>
          <w:b/>
          <w:bCs/>
          <w:iCs/>
        </w:rPr>
        <w:t>,</w:t>
      </w:r>
      <w:r>
        <w:rPr>
          <w:b w:val="false"/>
          <w:bCs w:val="false"/>
          <w:iCs/>
        </w:rPr>
        <w:t xml:space="preserve"> 29</w:t>
      </w:r>
      <w:r>
        <w:rPr>
          <w:bCs/>
          <w:iCs/>
        </w:rPr>
        <w:t xml:space="preserve"> de janeiro de 2024.</w:t>
      </w:r>
    </w:p>
    <w:p>
      <w:pPr>
        <w:pStyle w:val="Normal"/>
        <w:spacing w:lineRule="auto" w:line="360"/>
        <w:ind w:left="360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ind w:left="-284"/>
        <w:jc w:val="center"/>
        <w:rPr>
          <w:rFonts w:eastAsia="Arial"/>
        </w:rPr>
      </w:pPr>
      <w:r>
        <w:rPr>
          <w:rFonts w:eastAsia="Arial"/>
        </w:rPr>
        <w:t>____________________________</w:t>
      </w:r>
    </w:p>
    <w:p>
      <w:pPr>
        <w:pStyle w:val="Normal"/>
        <w:jc w:val="center"/>
        <w:rPr>
          <w:rFonts w:eastAsia="Arial"/>
          <w:b/>
        </w:rPr>
      </w:pPr>
      <w:r>
        <w:rPr>
          <w:rFonts w:eastAsia="Arial"/>
          <w:b/>
        </w:rPr>
        <w:t>Natália Soares Borges</w:t>
      </w:r>
    </w:p>
    <w:p>
      <w:pPr>
        <w:pStyle w:val="Normal"/>
        <w:jc w:val="center"/>
        <w:rPr/>
      </w:pPr>
      <w:r>
        <w:rPr>
          <w:rFonts w:eastAsia="Arial"/>
          <w:b/>
        </w:rPr>
        <w:t>Assessora Administrativa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Aprovo o presente Termo de Referência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________________________________</w:t>
      </w:r>
    </w:p>
    <w:p>
      <w:pPr>
        <w:pStyle w:val="Normal"/>
        <w:jc w:val="center"/>
        <w:rPr/>
      </w:pPr>
      <w:r>
        <w:rPr>
          <w:b/>
        </w:rPr>
        <w:t>JAIR BORGES DA SILVA</w:t>
      </w:r>
    </w:p>
    <w:p>
      <w:pPr>
        <w:pStyle w:val="Normal"/>
        <w:jc w:val="center"/>
        <w:rPr/>
      </w:pPr>
      <w:r>
        <w:rPr/>
        <w:t>Presidente da Câmara Municipal de Igarapé Grande - MA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20" w:top="1594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mbria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1" distT="0" distB="0" distL="114300" distR="114300" simplePos="0" locked="0" layoutInCell="0" allowOverlap="1" relativeHeight="25">
              <wp:simplePos x="0" y="0"/>
              <wp:positionH relativeFrom="page">
                <wp:posOffset>706755</wp:posOffset>
              </wp:positionH>
              <wp:positionV relativeFrom="page">
                <wp:posOffset>10333990</wp:posOffset>
              </wp:positionV>
              <wp:extent cx="5983605" cy="182880"/>
              <wp:effectExtent l="0" t="0" r="0" b="0"/>
              <wp:wrapNone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3605" cy="18288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>
                              <w:top w:val="single" w:sz="4" w:space="1" w:color="A5A5A5" w:themeColor="light1" w:themeShade="a5"/>
                            </w:pBdr>
                            <w:jc w:val="center"/>
                            <w:rPr>
                              <w:b/>
                              <w:i/>
                              <w:i/>
                              <w:color w:themeColor="background1" w:themeShade="80" w:val="80808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i/>
                              <w:sz w:val="20"/>
                              <w:szCs w:val="20"/>
                            </w:rPr>
                            <w:t>Avenida João Carvalho, s/n, Centro, Igarapé Grande - MA</w:t>
                          </w:r>
                        </w:p>
                        <w:p>
                          <w:pPr>
                            <w:pStyle w:val="Contedodoquadro"/>
                            <w:ind w:left="20" w:right="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71.15pt;height:14.4pt;mso-wrap-distance-left:9pt;mso-wrap-distance-right:9pt;mso-wrap-distance-top:0pt;mso-wrap-distance-bottom:0pt;margin-top:813.7pt;mso-position-vertical-relative:page;margin-left:55.65pt;mso-position-horizontal-relative:page">
              <v:textbox inset="0in,0in,0in,0in">
                <w:txbxContent>
                  <w:p>
                    <w:pPr>
                      <w:pStyle w:val="Footer"/>
                      <w:pBdr>
                        <w:top w:val="single" w:sz="4" w:space="1" w:color="A5A5A5" w:themeColor="light1" w:themeShade="a5"/>
                      </w:pBdr>
                      <w:jc w:val="center"/>
                      <w:rPr>
                        <w:b/>
                        <w:i/>
                        <w:i/>
                        <w:color w:themeColor="background1" w:themeShade="80" w:val="808080"/>
                        <w:sz w:val="20"/>
                        <w:szCs w:val="20"/>
                      </w:rPr>
                    </w:pPr>
                    <w:r>
                      <w:rPr>
                        <w:rFonts w:cs="Arial" w:ascii="Arial" w:hAnsi="Arial"/>
                        <w:b/>
                        <w:i/>
                        <w:sz w:val="20"/>
                        <w:szCs w:val="20"/>
                      </w:rPr>
                      <w:t>Avenida João Carvalho, s/n, Centro, Igarapé Grande - MA</w:t>
                    </w:r>
                  </w:p>
                  <w:p>
                    <w:pPr>
                      <w:pStyle w:val="Contedodoquadro"/>
                      <w:ind w:left="20" w:right="5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  <w:r>
      <mc:AlternateContent>
        <mc:Choice Requires="wps">
          <w:drawing>
            <wp:anchor behindDoc="1" distT="0" distB="0" distL="114300" distR="114300" simplePos="0" locked="0" layoutInCell="0" allowOverlap="1" relativeHeight="25">
              <wp:simplePos x="0" y="0"/>
              <wp:positionH relativeFrom="page">
                <wp:posOffset>706755</wp:posOffset>
              </wp:positionH>
              <wp:positionV relativeFrom="page">
                <wp:posOffset>10333990</wp:posOffset>
              </wp:positionV>
              <wp:extent cx="5983605" cy="182880"/>
              <wp:effectExtent l="0" t="0" r="0" b="0"/>
              <wp:wrapNone/>
              <wp:docPr id="4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83605" cy="18288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>
                              <w:top w:val="single" w:sz="4" w:space="1" w:color="A5A5A5" w:themeColor="light1" w:themeShade="a5"/>
                            </w:pBdr>
                            <w:jc w:val="center"/>
                            <w:rPr>
                              <w:b/>
                              <w:i/>
                              <w:i/>
                              <w:color w:themeColor="background1" w:themeShade="80" w:val="80808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i/>
                              <w:sz w:val="20"/>
                              <w:szCs w:val="20"/>
                            </w:rPr>
                            <w:t>Avenida João Carvalho, s/n, Centro, Igarapé Grande - MA</w:t>
                          </w:r>
                        </w:p>
                        <w:p>
                          <w:pPr>
                            <w:pStyle w:val="Contedodoquadro"/>
                            <w:ind w:left="20" w:right="5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-0;width:471.15pt;height:14.4pt;mso-wrap-distance-left:9pt;mso-wrap-distance-right:9pt;mso-wrap-distance-top:0pt;mso-wrap-distance-bottom:0pt;margin-top:813.7pt;mso-position-vertical-relative:page;margin-left:55.65pt;mso-position-horizontal-relative:page">
              <v:textbox inset="0in,0in,0in,0in">
                <w:txbxContent>
                  <w:p>
                    <w:pPr>
                      <w:pStyle w:val="Footer"/>
                      <w:pBdr>
                        <w:top w:val="single" w:sz="4" w:space="1" w:color="A5A5A5" w:themeColor="light1" w:themeShade="a5"/>
                      </w:pBdr>
                      <w:jc w:val="center"/>
                      <w:rPr>
                        <w:b/>
                        <w:i/>
                        <w:i/>
                        <w:color w:themeColor="background1" w:themeShade="80" w:val="808080"/>
                        <w:sz w:val="20"/>
                        <w:szCs w:val="20"/>
                      </w:rPr>
                    </w:pPr>
                    <w:r>
                      <w:rPr>
                        <w:rFonts w:cs="Arial" w:ascii="Arial" w:hAnsi="Arial"/>
                        <w:b/>
                        <w:i/>
                        <w:sz w:val="20"/>
                        <w:szCs w:val="20"/>
                      </w:rPr>
                      <w:t>Avenida João Carvalho, s/n, Centro, Igarapé Grande - MA</w:t>
                    </w:r>
                  </w:p>
                  <w:p>
                    <w:pPr>
                      <w:pStyle w:val="Contedodoquadro"/>
                      <w:ind w:left="20" w:right="5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contextualSpacing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2520315</wp:posOffset>
          </wp:positionH>
          <wp:positionV relativeFrom="paragraph">
            <wp:posOffset>-331470</wp:posOffset>
          </wp:positionV>
          <wp:extent cx="565785" cy="618490"/>
          <wp:effectExtent l="0" t="0" r="0" b="0"/>
          <wp:wrapNone/>
          <wp:docPr id="1" name="Imagem 254272589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54272589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618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before="0" w:after="0"/>
      <w:contextualSpacing/>
      <w:jc w:val="center"/>
      <w:rPr>
        <w:b/>
      </w:rPr>
    </w:pPr>
    <w:r>
      <w:rPr>
        <w:b/>
      </w:rPr>
    </w:r>
  </w:p>
  <w:p>
    <w:pPr>
      <w:pStyle w:val="Normal"/>
      <w:spacing w:before="0" w:after="0"/>
      <w:contextualSpacing/>
      <w:jc w:val="center"/>
      <w:rPr>
        <w:rFonts w:ascii="Arial" w:hAnsi="Arial" w:cs="Arial"/>
        <w:b/>
        <w:sz w:val="20"/>
      </w:rPr>
    </w:pPr>
    <w:r>
      <w:rPr>
        <w:rFonts w:cs="Arial" w:ascii="Arial" w:hAnsi="Arial"/>
        <w:b/>
        <w:sz w:val="20"/>
      </w:rPr>
      <w:t>ESTADO DO MARANHÃO</w:t>
    </w:r>
  </w:p>
  <w:p>
    <w:pPr>
      <w:pStyle w:val="Normal"/>
      <w:spacing w:before="0" w:after="0"/>
      <w:contextualSpacing/>
      <w:jc w:val="center"/>
      <w:rPr>
        <w:rFonts w:ascii="Arial" w:hAnsi="Arial" w:cs="Arial"/>
        <w:sz w:val="20"/>
      </w:rPr>
    </w:pPr>
    <w:r>
      <w:rPr>
        <w:rFonts w:cs="Arial" w:ascii="Arial" w:hAnsi="Arial"/>
        <w:b/>
        <w:sz w:val="20"/>
      </w:rPr>
      <w:t>CÂMARA MUNICIPAL DE IGARAPÉ GRANDE- MA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contextualSpacing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2520315</wp:posOffset>
          </wp:positionH>
          <wp:positionV relativeFrom="paragraph">
            <wp:posOffset>-331470</wp:posOffset>
          </wp:positionV>
          <wp:extent cx="565785" cy="618490"/>
          <wp:effectExtent l="0" t="0" r="0" b="0"/>
          <wp:wrapNone/>
          <wp:docPr id="2" name="Imagem 254272589" descr="P 098eer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54272589" descr="P 098eerw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5785" cy="618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spacing w:before="0" w:after="0"/>
      <w:contextualSpacing/>
      <w:jc w:val="center"/>
      <w:rPr>
        <w:b/>
      </w:rPr>
    </w:pPr>
    <w:r>
      <w:rPr>
        <w:b/>
      </w:rPr>
    </w:r>
  </w:p>
  <w:p>
    <w:pPr>
      <w:pStyle w:val="Normal"/>
      <w:spacing w:before="0" w:after="0"/>
      <w:contextualSpacing/>
      <w:jc w:val="center"/>
      <w:rPr>
        <w:rFonts w:ascii="Arial" w:hAnsi="Arial" w:cs="Arial"/>
        <w:b/>
        <w:sz w:val="20"/>
      </w:rPr>
    </w:pPr>
    <w:r>
      <w:rPr>
        <w:rFonts w:cs="Arial" w:ascii="Arial" w:hAnsi="Arial"/>
        <w:b/>
        <w:sz w:val="20"/>
      </w:rPr>
      <w:t>ESTADO DO MARANHÃO</w:t>
    </w:r>
  </w:p>
  <w:p>
    <w:pPr>
      <w:pStyle w:val="Normal"/>
      <w:spacing w:before="0" w:after="0"/>
      <w:contextualSpacing/>
      <w:jc w:val="center"/>
      <w:rPr>
        <w:rFonts w:ascii="Arial" w:hAnsi="Arial" w:cs="Arial"/>
        <w:sz w:val="20"/>
      </w:rPr>
    </w:pPr>
    <w:r>
      <w:rPr>
        <w:rFonts w:cs="Arial" w:ascii="Arial" w:hAnsi="Arial"/>
        <w:b/>
        <w:sz w:val="20"/>
      </w:rPr>
      <w:t>CÂMARA MUNICIPAL DE IGARAPÉ GRANDE- MA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573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2"/>
        <w:szCs w:val="22"/>
        <w:rFonts w:ascii="Calibri" w:hAnsi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Arial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Arial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Aria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Aria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Aria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Aria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Aria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Arial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1142" w:hanging="432"/>
      </w:pPr>
      <w:rPr>
        <w:i w:val="false"/>
        <w:b w:val="false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false"/>
        <w:b w:val="false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9"/>
      <w:numFmt w:val="decimal"/>
      <w:lvlText w:val="%1."/>
      <w:lvlJc w:val="left"/>
      <w:pPr>
        <w:tabs>
          <w:tab w:val="num" w:pos="0"/>
        </w:tabs>
        <w:ind w:left="928" w:hanging="360"/>
      </w:pPr>
      <w:rPr/>
    </w:lvl>
    <w:lvl w:ilvl="1">
      <w:start w:val="1"/>
      <w:isLgl/>
      <w:numFmt w:val="decimal"/>
      <w:lvlText w:val="%1.%2"/>
      <w:lvlJc w:val="left"/>
      <w:pPr>
        <w:tabs>
          <w:tab w:val="num" w:pos="0"/>
        </w:tabs>
        <w:ind w:left="988" w:hanging="420"/>
      </w:pPr>
      <w:rPr/>
    </w:lvl>
    <w:lvl w:ilvl="2">
      <w:start w:val="1"/>
      <w:isLgl/>
      <w:numFmt w:val="decimal"/>
      <w:lvlText w:val="%1.%2.%3"/>
      <w:lvlJc w:val="left"/>
      <w:pPr>
        <w:tabs>
          <w:tab w:val="num" w:pos="0"/>
        </w:tabs>
        <w:ind w:left="1288" w:hanging="720"/>
      </w:pPr>
      <w:rPr/>
    </w:lvl>
    <w:lvl w:ilvl="3">
      <w:start w:val="1"/>
      <w:isLgl/>
      <w:numFmt w:val="decimal"/>
      <w:lvlText w:val="%1.%2.%3.%4"/>
      <w:lvlJc w:val="left"/>
      <w:pPr>
        <w:tabs>
          <w:tab w:val="num" w:pos="0"/>
        </w:tabs>
        <w:ind w:left="1288" w:hanging="720"/>
      </w:pPr>
      <w:rPr/>
    </w:lvl>
    <w:lvl w:ilvl="4">
      <w:start w:val="1"/>
      <w:isLgl/>
      <w:numFmt w:val="decimal"/>
      <w:lvlText w:val="%1.%2.%3.%4.%5"/>
      <w:lvlJc w:val="left"/>
      <w:pPr>
        <w:tabs>
          <w:tab w:val="num" w:pos="0"/>
        </w:tabs>
        <w:ind w:left="1648" w:hanging="1080"/>
      </w:pPr>
      <w:rPr/>
    </w:lvl>
    <w:lvl w:ilvl="5">
      <w:start w:val="1"/>
      <w:isLgl/>
      <w:numFmt w:val="decimal"/>
      <w:lvlText w:val="%1.%2.%3.%4.%5.%6"/>
      <w:lvlJc w:val="left"/>
      <w:pPr>
        <w:tabs>
          <w:tab w:val="num" w:pos="0"/>
        </w:tabs>
        <w:ind w:left="1648" w:hanging="1080"/>
      </w:pPr>
      <w:rPr/>
    </w:lvl>
    <w:lvl w:ilvl="6">
      <w:start w:val="1"/>
      <w:isLgl/>
      <w:numFmt w:val="decimal"/>
      <w:lvlText w:val="%1.%2.%3.%4.%5.%6.%7"/>
      <w:lvlJc w:val="left"/>
      <w:pPr>
        <w:tabs>
          <w:tab w:val="num" w:pos="0"/>
        </w:tabs>
        <w:ind w:left="2008" w:hanging="1440"/>
      </w:pPr>
      <w:rPr/>
    </w:lvl>
    <w:lvl w:ilvl="7">
      <w:start w:val="1"/>
      <w:isLgl/>
      <w:numFmt w:val="decimal"/>
      <w:lvlText w:val="%1.%2.%3.%4.%5.%6.%7.%8"/>
      <w:lvlJc w:val="left"/>
      <w:pPr>
        <w:tabs>
          <w:tab w:val="num" w:pos="0"/>
        </w:tabs>
        <w:ind w:left="2008" w:hanging="1440"/>
      </w:pPr>
      <w:rPr/>
    </w:lvl>
    <w:lvl w:ilvl="8">
      <w:start w:val="1"/>
      <w:isLgl/>
      <w:numFmt w:val="decimal"/>
      <w:lvlText w:val="%1.%2.%3.%4.%5.%6.%7.%8.%9"/>
      <w:lvlJc w:val="left"/>
      <w:pPr>
        <w:tabs>
          <w:tab w:val="num" w:pos="0"/>
        </w:tabs>
        <w:ind w:left="2368" w:hanging="1800"/>
      </w:pPr>
      <w:rPr/>
    </w:lvl>
  </w:abstractNum>
  <w:abstractNum w:abstractNumId="5">
    <w:lvl w:ilvl="0">
      <w:start w:val="6"/>
      <w:isLgl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745d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02476a"/>
    <w:pPr>
      <w:keepNext w:val="true"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Ttulo2Char"/>
    <w:qFormat/>
    <w:rsid w:val="00c745de"/>
    <w:pPr>
      <w:keepNext w:val="true"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Heading4">
    <w:name w:val="Heading 4"/>
    <w:basedOn w:val="Normal"/>
    <w:next w:val="Normal"/>
    <w:qFormat/>
    <w:rsid w:val="00c745de"/>
    <w:pPr>
      <w:keepNext w:val="true"/>
      <w:jc w:val="center"/>
      <w:outlineLvl w:val="3"/>
    </w:pPr>
    <w:rPr>
      <w:rFonts w:ascii="Tahoma" w:hAnsi="Tahoma"/>
      <w:szCs w:val="20"/>
    </w:rPr>
  </w:style>
  <w:style w:type="paragraph" w:styleId="Heading5">
    <w:name w:val="Heading 5"/>
    <w:basedOn w:val="Normal"/>
    <w:next w:val="Normal"/>
    <w:qFormat/>
    <w:rsid w:val="00c745de"/>
    <w:pPr>
      <w:keepNext w:val="true"/>
      <w:jc w:val="right"/>
      <w:outlineLvl w:val="4"/>
    </w:pPr>
    <w:rPr>
      <w:rFonts w:ascii="Tahoma" w:hAnsi="Tahoma"/>
      <w:szCs w:val="20"/>
    </w:rPr>
  </w:style>
  <w:style w:type="paragraph" w:styleId="Heading6">
    <w:name w:val="Heading 6"/>
    <w:basedOn w:val="Normal"/>
    <w:next w:val="Normal"/>
    <w:qFormat/>
    <w:rsid w:val="00c745de"/>
    <w:pPr>
      <w:keepNext w:val="true"/>
      <w:outlineLvl w:val="5"/>
    </w:pPr>
    <w:rPr>
      <w:rFonts w:ascii="Tahoma" w:hAnsi="Tahoma"/>
      <w:szCs w:val="20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 w:val="true"/>
      <w:keepLines/>
      <w:spacing w:lineRule="auto" w:line="276" w:before="200" w:after="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c745de"/>
    <w:rPr/>
  </w:style>
  <w:style w:type="character" w:styleId="Caracteresdenotaderodap">
    <w:name w:val="Caracteres de nota de rodapé"/>
    <w:qFormat/>
    <w:rsid w:val="00c745d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Apple-converted-space" w:customStyle="1">
    <w:name w:val="apple-converted-space"/>
    <w:qFormat/>
    <w:rsid w:val="00750709"/>
    <w:rPr/>
  </w:style>
  <w:style w:type="character" w:styleId="Emphasis">
    <w:name w:val="Emphasis"/>
    <w:uiPriority w:val="20"/>
    <w:qFormat/>
    <w:rsid w:val="00750709"/>
    <w:rPr>
      <w:i/>
      <w:iCs/>
    </w:rPr>
  </w:style>
  <w:style w:type="character" w:styleId="Hyperlink">
    <w:name w:val="Hyperlink"/>
    <w:rsid w:val="00024e22"/>
    <w:rPr>
      <w:color w:val="0000FF"/>
      <w:u w:val="single"/>
    </w:rPr>
  </w:style>
  <w:style w:type="character" w:styleId="TextodebaloChar" w:customStyle="1">
    <w:name w:val="Texto de balão Char"/>
    <w:link w:val="BalloonText"/>
    <w:qFormat/>
    <w:rsid w:val="00f26912"/>
    <w:rPr>
      <w:rFonts w:ascii="Tahoma" w:hAnsi="Tahoma" w:cs="Tahoma"/>
      <w:sz w:val="16"/>
      <w:szCs w:val="16"/>
    </w:rPr>
  </w:style>
  <w:style w:type="character" w:styleId="TextodenotaderodapChar" w:customStyle="1">
    <w:name w:val="Texto de nota de rodapé Char"/>
    <w:qFormat/>
    <w:rsid w:val="0061288d"/>
    <w:rPr/>
  </w:style>
  <w:style w:type="character" w:styleId="Ttulo9Char" w:customStyle="1">
    <w:name w:val="Título 9 Char"/>
    <w:uiPriority w:val="9"/>
    <w:semiHidden/>
    <w:qFormat/>
    <w:rsid w:val="005c0f55"/>
    <w:rPr>
      <w:rFonts w:ascii="Cambria" w:hAnsi="Cambria"/>
      <w:i/>
      <w:iCs/>
      <w:color w:val="404040"/>
      <w:lang w:eastAsia="en-US"/>
    </w:rPr>
  </w:style>
  <w:style w:type="character" w:styleId="TextosemFormataoChar" w:customStyle="1">
    <w:name w:val="Texto sem Formatação Char"/>
    <w:link w:val="PlainText"/>
    <w:qFormat/>
    <w:rsid w:val="00d83cfa"/>
    <w:rPr>
      <w:rFonts w:ascii="Courier New" w:hAnsi="Courier New"/>
    </w:rPr>
  </w:style>
  <w:style w:type="character" w:styleId="CabealhoChar" w:customStyle="1">
    <w:name w:val="Cabeçalho Char"/>
    <w:qFormat/>
    <w:rsid w:val="00e63682"/>
    <w:rPr>
      <w:sz w:val="28"/>
    </w:rPr>
  </w:style>
  <w:style w:type="character" w:styleId="Ttulo2Char" w:customStyle="1">
    <w:name w:val="Título 2 Char"/>
    <w:qFormat/>
    <w:rsid w:val="00a84257"/>
    <w:rPr>
      <w:rFonts w:ascii="Tahoma" w:hAnsi="Tahoma"/>
      <w:b/>
      <w:sz w:val="28"/>
      <w:u w:val="single"/>
    </w:rPr>
  </w:style>
  <w:style w:type="character" w:styleId="Ttulo1Char" w:customStyle="1">
    <w:name w:val="Título 1 Char"/>
    <w:qFormat/>
    <w:rsid w:val="00a84257"/>
    <w:rPr>
      <w:sz w:val="28"/>
    </w:rPr>
  </w:style>
  <w:style w:type="character" w:styleId="RodapChar" w:customStyle="1">
    <w:name w:val="Rodapé Char"/>
    <w:uiPriority w:val="99"/>
    <w:qFormat/>
    <w:rsid w:val="002c4351"/>
    <w:rPr/>
  </w:style>
  <w:style w:type="character" w:styleId="Nivel1Char" w:customStyle="1">
    <w:name w:val="Nivel1 Char"/>
    <w:basedOn w:val="Ttulo1Char"/>
    <w:link w:val="Nivel1"/>
    <w:qFormat/>
    <w:rsid w:val="00e336f9"/>
    <w:rPr>
      <w:rFonts w:ascii="Arial" w:hAnsi="Arial" w:cs="Arial"/>
      <w:b/>
      <w:color w:val="000000"/>
      <w:sz w:val="28"/>
    </w:rPr>
  </w:style>
  <w:style w:type="character" w:styleId="PargrafodaListaChar" w:customStyle="1">
    <w:name w:val="Parágrafo da Lista Char"/>
    <w:link w:val="ListParagraph"/>
    <w:uiPriority w:val="34"/>
    <w:qFormat/>
    <w:rsid w:val="00615e79"/>
    <w:rPr>
      <w:sz w:val="24"/>
      <w:szCs w:val="24"/>
    </w:rPr>
  </w:style>
  <w:style w:type="character" w:styleId="Nivel2Char" w:customStyle="1">
    <w:name w:val="Nivel 2 Char"/>
    <w:basedOn w:val="DefaultParagraphFont"/>
    <w:link w:val="Nivel2"/>
    <w:qFormat/>
    <w:locked/>
    <w:rsid w:val="007b1048"/>
    <w:rPr>
      <w:rFonts w:eastAsia="Arial"/>
      <w:sz w:val="22"/>
      <w:szCs w:val="22"/>
    </w:rPr>
  </w:style>
  <w:style w:type="character" w:styleId="Nivel3Char" w:customStyle="1">
    <w:name w:val="Nivel 3 Char"/>
    <w:basedOn w:val="DefaultParagraphFont"/>
    <w:link w:val="Nivel3"/>
    <w:qFormat/>
    <w:rsid w:val="00f40eea"/>
    <w:rPr>
      <w:rFonts w:ascii="Arial" w:hAnsi="Arial" w:cs="Arial"/>
      <w:color w:val="000000"/>
    </w:rPr>
  </w:style>
  <w:style w:type="character" w:styleId="Nvel1-SemNumPretoChar" w:customStyle="1">
    <w:name w:val="Nível 1-Sem Num Preto Char"/>
    <w:basedOn w:val="DefaultParagraphFont"/>
    <w:link w:val="Nvel1-SemNumPreto"/>
    <w:qFormat/>
    <w:rsid w:val="00f40eea"/>
    <w:rPr>
      <w:rFonts w:ascii="Arial" w:hAnsi="Arial" w:eastAsia="" w:cs="Arial" w:eastAsiaTheme="majorEastAsia"/>
      <w:b/>
      <w:bCs/>
      <w:lang w:eastAsia="zh-CN" w:bidi="hi-IN"/>
    </w:rPr>
  </w:style>
  <w:style w:type="character" w:styleId="Nvel2-RedChar" w:customStyle="1">
    <w:name w:val="Nível 2 -Red Char"/>
    <w:basedOn w:val="Nivel2Char"/>
    <w:link w:val="Nvel2-Red"/>
    <w:qFormat/>
    <w:rsid w:val="00f40eea"/>
    <w:rPr>
      <w:rFonts w:ascii="Arial" w:hAnsi="Arial" w:eastAsia="Arial" w:cs="Arial"/>
      <w:i/>
      <w:iCs/>
      <w:color w:val="FF0000"/>
      <w:sz w:val="22"/>
      <w:szCs w:val="22"/>
    </w:rPr>
  </w:style>
  <w:style w:type="character" w:styleId="Nvel3-RChar" w:customStyle="1">
    <w:name w:val="Nível 3-R Char"/>
    <w:basedOn w:val="Nivel3Char"/>
    <w:link w:val="Nvel3-R"/>
    <w:qFormat/>
    <w:rsid w:val="00f40eea"/>
    <w:rPr>
      <w:rFonts w:ascii="Arial" w:hAnsi="Arial" w:eastAsia="" w:cs="Arial" w:eastAsiaTheme="minorEastAsia"/>
      <w:i/>
      <w:iCs/>
      <w:color w:val="FF0000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4b385f"/>
    <w:pPr/>
    <w:rPr>
      <w:sz w:val="28"/>
      <w:szCs w:val="20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rsid w:val="00c745de"/>
    <w:pPr>
      <w:tabs>
        <w:tab w:val="clear" w:pos="709"/>
        <w:tab w:val="center" w:pos="4419" w:leader="none"/>
        <w:tab w:val="right" w:pos="8838" w:leader="none"/>
      </w:tabs>
      <w:overflowPunct w:val="false"/>
      <w:textAlignment w:val="baseline"/>
    </w:pPr>
    <w:rPr>
      <w:sz w:val="28"/>
      <w:szCs w:val="20"/>
    </w:rPr>
  </w:style>
  <w:style w:type="paragraph" w:styleId="Footer">
    <w:name w:val="Footer"/>
    <w:basedOn w:val="Normal"/>
    <w:link w:val="RodapChar"/>
    <w:uiPriority w:val="99"/>
    <w:rsid w:val="00c745de"/>
    <w:pPr>
      <w:tabs>
        <w:tab w:val="clear" w:pos="709"/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FootnoteText">
    <w:name w:val="Footnote Text"/>
    <w:basedOn w:val="Normal"/>
    <w:link w:val="TextodenotaderodapChar"/>
    <w:rsid w:val="00c745de"/>
    <w:pPr/>
    <w:rPr>
      <w:sz w:val="20"/>
      <w:szCs w:val="20"/>
    </w:rPr>
  </w:style>
  <w:style w:type="paragraph" w:styleId="BodyTextIndent2">
    <w:name w:val="Body Text Indent 2"/>
    <w:basedOn w:val="Normal"/>
    <w:qFormat/>
    <w:rsid w:val="009f1c14"/>
    <w:pPr>
      <w:spacing w:lineRule="auto" w:line="480" w:before="0" w:after="120"/>
      <w:ind w:left="283"/>
    </w:pPr>
    <w:rPr/>
  </w:style>
  <w:style w:type="paragraph" w:styleId="NormalWeb">
    <w:name w:val="Normal (Web)"/>
    <w:basedOn w:val="Normal"/>
    <w:uiPriority w:val="99"/>
    <w:qFormat/>
    <w:rsid w:val="00cb0bd0"/>
    <w:pPr>
      <w:spacing w:beforeAutospacing="1" w:afterAutospacing="1"/>
    </w:pPr>
    <w:rPr/>
  </w:style>
  <w:style w:type="paragraph" w:styleId="Default" w:customStyle="1">
    <w:name w:val="Default"/>
    <w:qFormat/>
    <w:rsid w:val="007c0cf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BalloonText">
    <w:name w:val="Balloon Text"/>
    <w:basedOn w:val="Normal"/>
    <w:link w:val="TextodebaloChar"/>
    <w:qFormat/>
    <w:rsid w:val="00f26912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link w:val="PargrafodaListaChar"/>
    <w:uiPriority w:val="1"/>
    <w:qFormat/>
    <w:rsid w:val="00e84ede"/>
    <w:pPr>
      <w:ind w:left="708"/>
    </w:pPr>
    <w:rPr/>
  </w:style>
  <w:style w:type="paragraph" w:styleId="Anexottulo1" w:customStyle="1">
    <w:name w:val="Anexo_título1"/>
    <w:basedOn w:val="ListParagraph"/>
    <w:qFormat/>
    <w:rsid w:val="009325f7"/>
    <w:pPr>
      <w:numPr>
        <w:ilvl w:val="0"/>
        <w:numId w:val="1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styleId="Alneas" w:customStyle="1">
    <w:name w:val="#Alíneas"/>
    <w:basedOn w:val="ListParagraph"/>
    <w:qFormat/>
    <w:rsid w:val="009325f7"/>
    <w:pPr>
      <w:numPr>
        <w:ilvl w:val="1"/>
        <w:numId w:val="1"/>
      </w:numPr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styleId="A261075" w:customStyle="1">
    <w:name w:val="_A261075"/>
    <w:basedOn w:val="Normal"/>
    <w:qFormat/>
    <w:rsid w:val="00d83cfa"/>
    <w:pPr>
      <w:widowControl w:val="false"/>
      <w:suppressAutoHyphens w:val="true"/>
      <w:ind w:firstLine="3600" w:left="1296"/>
    </w:pPr>
    <w:rPr>
      <w:rFonts w:eastAsia="Tahoma" w:cs="Tahoma"/>
      <w:szCs w:val="20"/>
    </w:rPr>
  </w:style>
  <w:style w:type="paragraph" w:styleId="PlainText">
    <w:name w:val="Plain Text"/>
    <w:basedOn w:val="Normal"/>
    <w:link w:val="TextosemFormataoChar"/>
    <w:qFormat/>
    <w:rsid w:val="00d83cfa"/>
    <w:pPr/>
    <w:rPr>
      <w:rFonts w:ascii="Courier New" w:hAnsi="Courier New"/>
      <w:sz w:val="20"/>
      <w:szCs w:val="20"/>
    </w:rPr>
  </w:style>
  <w:style w:type="paragraph" w:styleId="Western" w:customStyle="1">
    <w:name w:val="western"/>
    <w:basedOn w:val="Normal"/>
    <w:qFormat/>
    <w:rsid w:val="007145bc"/>
    <w:pPr>
      <w:spacing w:beforeAutospacing="1" w:after="119"/>
    </w:pPr>
    <w:rPr/>
  </w:style>
  <w:style w:type="paragraph" w:styleId="Nivel1" w:customStyle="1">
    <w:name w:val="Nivel1"/>
    <w:basedOn w:val="Heading1"/>
    <w:next w:val="Normal"/>
    <w:link w:val="Nivel1Char"/>
    <w:qFormat/>
    <w:rsid w:val="002b4bcb"/>
    <w:pPr>
      <w:keepLines/>
      <w:numPr>
        <w:ilvl w:val="0"/>
        <w:numId w:val="3"/>
      </w:numPr>
      <w:spacing w:lineRule="auto" w:line="276" w:before="480" w:after="120"/>
      <w:jc w:val="both"/>
    </w:pPr>
    <w:rPr>
      <w:rFonts w:ascii="Arial" w:hAnsi="Arial" w:cs="Arial"/>
      <w:b/>
      <w:color w:val="000000"/>
      <w:sz w:val="20"/>
    </w:rPr>
  </w:style>
  <w:style w:type="paragraph" w:styleId="Normal1" w:customStyle="1">
    <w:name w:val="Normal1"/>
    <w:basedOn w:val="Normal"/>
    <w:uiPriority w:val="99"/>
    <w:qFormat/>
    <w:rsid w:val="00d26e15"/>
    <w:pPr>
      <w:suppressAutoHyphens w:val="true"/>
      <w:spacing w:before="120" w:after="0"/>
      <w:ind w:hanging="397" w:left="397"/>
      <w:jc w:val="both"/>
    </w:pPr>
    <w:rPr>
      <w:rFonts w:ascii="Arial" w:hAnsi="Arial" w:cs="Arial"/>
      <w:szCs w:val="20"/>
      <w:lang w:eastAsia="ar-SA"/>
    </w:rPr>
  </w:style>
  <w:style w:type="paragraph" w:styleId="Nivel3" w:customStyle="1">
    <w:name w:val="Nivel 3"/>
    <w:basedOn w:val="Normal"/>
    <w:link w:val="Nivel3Char"/>
    <w:qFormat/>
    <w:rsid w:val="00f40eea"/>
    <w:pPr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Nivel2" w:customStyle="1">
    <w:name w:val="Nivel 2"/>
    <w:basedOn w:val="Normal"/>
    <w:link w:val="Nivel2Char"/>
    <w:autoRedefine/>
    <w:qFormat/>
    <w:rsid w:val="007b1048"/>
    <w:pPr>
      <w:spacing w:lineRule="auto" w:line="360"/>
      <w:ind w:left="426"/>
      <w:jc w:val="both"/>
    </w:pPr>
    <w:rPr>
      <w:rFonts w:eastAsia="Arial"/>
      <w:sz w:val="22"/>
      <w:szCs w:val="22"/>
    </w:rPr>
  </w:style>
  <w:style w:type="paragraph" w:styleId="Nvel1-SemNumPreto" w:customStyle="1">
    <w:name w:val="Nível 1-Sem Num Preto"/>
    <w:basedOn w:val="Normal"/>
    <w:link w:val="Nvel1-SemNumPretoChar"/>
    <w:qFormat/>
    <w:rsid w:val="00f40eea"/>
    <w:pPr>
      <w:keepNext w:val="true"/>
      <w:keepLines/>
      <w:tabs>
        <w:tab w:val="clear" w:pos="709"/>
        <w:tab w:val="left" w:pos="567" w:leader="none"/>
      </w:tabs>
      <w:spacing w:lineRule="auto" w:line="276" w:before="240" w:after="120"/>
      <w:jc w:val="both"/>
      <w:outlineLvl w:val="1"/>
    </w:pPr>
    <w:rPr>
      <w:rFonts w:ascii="Arial" w:hAnsi="Arial" w:eastAsia="" w:cs="Arial" w:eastAsiaTheme="majorEastAsia"/>
      <w:b/>
      <w:bCs/>
      <w:sz w:val="20"/>
      <w:szCs w:val="20"/>
      <w:lang w:eastAsia="zh-CN" w:bidi="hi-IN"/>
    </w:rPr>
  </w:style>
  <w:style w:type="paragraph" w:styleId="Nvel2-Red" w:customStyle="1">
    <w:name w:val="Nível 2 -Red"/>
    <w:basedOn w:val="Nivel2"/>
    <w:link w:val="Nvel2-RedChar"/>
    <w:qFormat/>
    <w:rsid w:val="00f40eea"/>
    <w:pPr/>
    <w:rPr>
      <w:rFonts w:ascii="Arial" w:hAnsi="Arial" w:cs="Arial"/>
      <w:i/>
      <w:iCs/>
      <w:color w:val="FF0000"/>
    </w:rPr>
  </w:style>
  <w:style w:type="paragraph" w:styleId="Nvel3-R" w:customStyle="1">
    <w:name w:val="Nível 3-R"/>
    <w:basedOn w:val="Nivel3"/>
    <w:link w:val="Nvel3-RChar"/>
    <w:autoRedefine/>
    <w:qFormat/>
    <w:rsid w:val="00f40eea"/>
    <w:pPr>
      <w:ind w:left="284"/>
    </w:pPr>
    <w:rPr>
      <w:rFonts w:eastAsia="" w:eastAsiaTheme="minorEastAsia"/>
      <w:i/>
      <w:iCs/>
      <w:color w:val="FF0000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fe34f3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84ed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237B6-2CF9-4B94-A8F9-BE0F4ED1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Application>LibreOffice/24.2.0.3$Windows_X86_64 LibreOffice_project/da48488a73ddd66ea24cf16bbc4f7b9c08e9bea1</Application>
  <AppVersion>15.0000</AppVersion>
  <Pages>12</Pages>
  <Words>3360</Words>
  <Characters>19135</Characters>
  <CharactersWithSpaces>22233</CharactersWithSpaces>
  <Paragraphs>192</Paragraphs>
  <Company>Kille®Soft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2019-05-29T19:16:00Z</dcterms:created>
  <dc:creator>User</dc:creator>
  <dc:description/>
  <dc:language>pt-BR</dc:language>
  <cp:lastModifiedBy/>
  <cp:lastPrinted>2017-08-21T20:53:00Z</cp:lastPrinted>
  <dcterms:modified xsi:type="dcterms:W3CDTF">2024-02-19T13:32:33Z</dcterms:modified>
  <cp:revision>149</cp:revision>
  <dc:subject/>
  <dc:title>PROCESSO 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