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20"/>
          <w:tab w:val="left" w:pos="142" w:leader="none"/>
        </w:tabs>
        <w:bidi w:val="0"/>
        <w:spacing w:lineRule="auto" w:line="240" w:before="0" w:after="0"/>
        <w:jc w:val="center"/>
        <w:rPr>
          <w:rFonts w:ascii="Times New Roman" w:hAnsi="Times New Roman" w:eastAsia="Times New Roman" w:cs="Times New Roman"/>
          <w:b/>
          <w:b/>
          <w:color w:val="000000"/>
          <w:sz w:val="24"/>
          <w:szCs w:val="24"/>
        </w:rPr>
      </w:pPr>
      <w:r>
        <w:drawing>
          <wp:anchor behindDoc="1" distT="0" distB="0" distL="0" distR="0" simplePos="0" locked="0" layoutInCell="0" allowOverlap="1" relativeHeight="2">
            <wp:simplePos x="0" y="0"/>
            <wp:positionH relativeFrom="margin">
              <wp:posOffset>5243195</wp:posOffset>
            </wp:positionH>
            <wp:positionV relativeFrom="paragraph">
              <wp:posOffset>-496570</wp:posOffset>
            </wp:positionV>
            <wp:extent cx="612140" cy="476250"/>
            <wp:effectExtent l="0" t="0" r="0" b="0"/>
            <wp:wrapNone/>
            <wp:docPr id="1" name="Figura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8" descr=""/>
                    <pic:cNvPicPr>
                      <a:picLocks noChangeAspect="1" noChangeArrowheads="1"/>
                    </pic:cNvPicPr>
                  </pic:nvPicPr>
                  <pic:blipFill>
                    <a:blip r:embed="rId2"/>
                    <a:srcRect l="-6148" t="-6631" r="-6148" b="-6631"/>
                    <a:stretch>
                      <a:fillRect/>
                    </a:stretch>
                  </pic:blipFill>
                  <pic:spPr bwMode="auto">
                    <a:xfrm>
                      <a:off x="0" y="0"/>
                      <a:ext cx="612140" cy="476250"/>
                    </a:xfrm>
                    <a:prstGeom prst="rect">
                      <a:avLst/>
                    </a:prstGeom>
                  </pic:spPr>
                </pic:pic>
              </a:graphicData>
            </a:graphic>
          </wp:anchor>
        </w:drawing>
        <w:drawing>
          <wp:anchor behindDoc="1" distT="0" distB="0" distL="0" distR="0" simplePos="0" locked="0" layoutInCell="0" allowOverlap="1" relativeHeight="3">
            <wp:simplePos x="0" y="0"/>
            <wp:positionH relativeFrom="column">
              <wp:posOffset>2599690</wp:posOffset>
            </wp:positionH>
            <wp:positionV relativeFrom="paragraph">
              <wp:posOffset>-585470</wp:posOffset>
            </wp:positionV>
            <wp:extent cx="561975" cy="561975"/>
            <wp:effectExtent l="0" t="0" r="0" b="0"/>
            <wp:wrapNone/>
            <wp:docPr id="2" name="Figura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3" descr=""/>
                    <pic:cNvPicPr>
                      <a:picLocks noChangeAspect="1" noChangeArrowheads="1"/>
                    </pic:cNvPicPr>
                  </pic:nvPicPr>
                  <pic:blipFill>
                    <a:blip r:embed="rId3"/>
                    <a:srcRect l="-1235" t="-1235" r="-1235" b="-1235"/>
                    <a:stretch>
                      <a:fillRect/>
                    </a:stretch>
                  </pic:blipFill>
                  <pic:spPr bwMode="auto">
                    <a:xfrm>
                      <a:off x="0" y="0"/>
                      <a:ext cx="561975" cy="561975"/>
                    </a:xfrm>
                    <a:prstGeom prst="rect">
                      <a:avLst/>
                    </a:prstGeom>
                  </pic:spPr>
                </pic:pic>
              </a:graphicData>
            </a:graphic>
          </wp:anchor>
        </w:drawing>
        <w:drawing>
          <wp:anchor behindDoc="0" distT="0" distB="0" distL="0" distR="0" simplePos="0" locked="0" layoutInCell="0" allowOverlap="1" relativeHeight="4">
            <wp:simplePos x="0" y="0"/>
            <wp:positionH relativeFrom="column">
              <wp:posOffset>43815</wp:posOffset>
            </wp:positionH>
            <wp:positionV relativeFrom="paragraph">
              <wp:posOffset>-669925</wp:posOffset>
            </wp:positionV>
            <wp:extent cx="618490" cy="646430"/>
            <wp:effectExtent l="0" t="0" r="0" b="0"/>
            <wp:wrapSquare wrapText="largest"/>
            <wp:docPr id="3"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descr=""/>
                    <pic:cNvPicPr>
                      <a:picLocks noChangeAspect="1" noChangeArrowheads="1"/>
                    </pic:cNvPicPr>
                  </pic:nvPicPr>
                  <pic:blipFill>
                    <a:blip r:embed="rId4"/>
                    <a:srcRect l="-18" t="-17" r="-18" b="-17"/>
                    <a:stretch>
                      <a:fillRect/>
                    </a:stretch>
                  </pic:blipFill>
                  <pic:spPr bwMode="auto">
                    <a:xfrm>
                      <a:off x="0" y="0"/>
                      <a:ext cx="618490" cy="646430"/>
                    </a:xfrm>
                    <a:prstGeom prst="rect">
                      <a:avLst/>
                    </a:prstGeom>
                  </pic:spPr>
                </pic:pic>
              </a:graphicData>
            </a:graphic>
          </wp:anchor>
        </w:drawing>
      </w:r>
      <w:r>
        <w:rPr>
          <w:rFonts w:eastAsia="Times New Roman" w:cs="Times New Roman"/>
          <w:b/>
          <w:color w:val="000000"/>
          <w:sz w:val="24"/>
          <w:szCs w:val="24"/>
        </w:rPr>
        <w:t>ESTADO DO MARANHÃO</w:t>
      </w:r>
    </w:p>
    <w:p>
      <w:pPr>
        <w:pStyle w:val="Normal"/>
        <w:bidi w:val="0"/>
        <w:spacing w:lineRule="auto" w:line="240" w:before="0" w:after="0"/>
        <w:jc w:val="center"/>
        <w:rPr>
          <w:rFonts w:ascii="Times New Roman" w:hAnsi="Times New Roman" w:eastAsia="Times New Roman" w:cs="Times New Roman"/>
          <w:b/>
          <w:b/>
          <w:color w:val="000000"/>
          <w:sz w:val="24"/>
          <w:szCs w:val="24"/>
        </w:rPr>
      </w:pPr>
      <w:r>
        <w:rPr>
          <w:rFonts w:eastAsia="Times New Roman" w:cs="Times New Roman"/>
          <w:b/>
          <w:color w:val="000000"/>
          <w:sz w:val="24"/>
          <w:szCs w:val="24"/>
        </w:rPr>
        <w:t>SECRETARIA DE ESTADO DA SEGURANÇA PÚBLICA</w:t>
      </w:r>
    </w:p>
    <w:p>
      <w:pPr>
        <w:pStyle w:val="Normal"/>
        <w:bidi w:val="0"/>
        <w:spacing w:lineRule="auto" w:line="240" w:before="0" w:after="0"/>
        <w:jc w:val="center"/>
        <w:rPr>
          <w:rFonts w:ascii="Times New Roman" w:hAnsi="Times New Roman" w:eastAsia="Times New Roman" w:cs="Times New Roman"/>
          <w:b/>
          <w:b/>
          <w:color w:val="000000"/>
          <w:sz w:val="24"/>
          <w:szCs w:val="24"/>
        </w:rPr>
      </w:pPr>
      <w:r>
        <w:rPr>
          <w:rFonts w:eastAsia="Times New Roman" w:cs="Times New Roman"/>
          <w:b/>
          <w:color w:val="000000"/>
          <w:sz w:val="24"/>
          <w:szCs w:val="24"/>
        </w:rPr>
        <w:t>POLÍCIA MILITAR DO MARANHÃO</w:t>
      </w:r>
    </w:p>
    <w:p>
      <w:pPr>
        <w:pStyle w:val="Normal"/>
        <w:bidi w:val="0"/>
        <w:spacing w:lineRule="auto" w:line="240" w:before="0" w:after="0"/>
        <w:ind w:left="2273" w:right="2283" w:hanging="0"/>
        <w:jc w:val="center"/>
        <w:rPr>
          <w:rFonts w:ascii="Times New Roman" w:hAnsi="Times New Roman" w:cs="Times New Roman"/>
          <w:b/>
          <w:b/>
          <w:bCs/>
          <w:color w:val="000000"/>
          <w:sz w:val="24"/>
          <w:szCs w:val="24"/>
        </w:rPr>
      </w:pPr>
      <w:r>
        <w:rPr>
          <w:rFonts w:cs="Times New Roman"/>
          <w:b/>
          <w:bCs/>
          <w:color w:val="000000"/>
          <w:spacing w:val="-2"/>
          <w:sz w:val="24"/>
          <w:szCs w:val="24"/>
        </w:rPr>
        <w:t>4ª SEÇÃO DO ESTADO MAIOR GERAL</w:t>
      </w:r>
    </w:p>
    <w:p>
      <w:pPr>
        <w:pStyle w:val="Normal"/>
        <w:widowControl w:val="false"/>
        <w:suppressAutoHyphens w:val="true"/>
        <w:bidi w:val="0"/>
        <w:spacing w:lineRule="auto" w:line="240" w:before="70" w:after="0"/>
        <w:ind w:left="0" w:right="0" w:hanging="0"/>
        <w:jc w:val="center"/>
        <w:rPr>
          <w:rFonts w:ascii="Times New Roman" w:hAnsi="Times New Roman" w:cs="Times New Roman"/>
          <w:b/>
          <w:b/>
          <w:bCs/>
          <w:color w:val="000000"/>
          <w:sz w:val="24"/>
          <w:szCs w:val="24"/>
        </w:rPr>
      </w:pPr>
      <w:r>
        <w:rPr>
          <w:rFonts w:cs="Times New Roman"/>
          <w:b/>
          <w:bCs/>
          <w:color w:val="000000"/>
          <w:sz w:val="24"/>
          <w:szCs w:val="24"/>
        </w:rPr>
      </w:r>
    </w:p>
    <w:p>
      <w:pPr>
        <w:pStyle w:val="Normal"/>
        <w:bidi w:val="0"/>
        <w:spacing w:lineRule="auto" w:line="360"/>
        <w:jc w:val="center"/>
        <w:rPr>
          <w:rFonts w:ascii="Times New Roman" w:hAnsi="Times New Roman" w:cs="Times New Roman"/>
          <w:b/>
          <w:b/>
          <w:bCs/>
          <w:color w:val="000000"/>
          <w:sz w:val="24"/>
          <w:szCs w:val="24"/>
        </w:rPr>
      </w:pPr>
      <w:r>
        <w:rPr>
          <w:rFonts w:cs="Times New Roman"/>
          <w:b/>
          <w:bCs/>
          <w:color w:val="000000"/>
          <w:sz w:val="24"/>
          <w:szCs w:val="24"/>
        </w:rPr>
        <w:t>TERMO DE REFERÊNCIA</w:t>
      </w:r>
    </w:p>
    <w:p>
      <w:pPr>
        <w:pStyle w:val="Normal"/>
        <w:bidi w:val="0"/>
        <w:spacing w:lineRule="auto" w:line="360"/>
        <w:jc w:val="center"/>
        <w:rPr>
          <w:rFonts w:ascii="Times New Roman" w:hAnsi="Times New Roman" w:cs="Times New Roman"/>
          <w:sz w:val="24"/>
          <w:szCs w:val="24"/>
        </w:rPr>
      </w:pPr>
      <w:r>
        <w:rPr>
          <w:rFonts w:cs="Times New Roman"/>
          <w:sz w:val="24"/>
          <w:szCs w:val="24"/>
        </w:rPr>
      </w:r>
    </w:p>
    <w:p>
      <w:pPr>
        <w:pStyle w:val="Normal"/>
        <w:widowControl w:val="false"/>
        <w:tabs>
          <w:tab w:val="clear" w:pos="720"/>
          <w:tab w:val="left" w:pos="142" w:leader="none"/>
        </w:tabs>
        <w:suppressAutoHyphens w:val="true"/>
        <w:bidi w:val="0"/>
        <w:spacing w:lineRule="auto" w:line="240" w:before="70" w:after="0"/>
        <w:ind w:left="0" w:right="0" w:hanging="0"/>
        <w:jc w:val="center"/>
        <w:rPr>
          <w:highlight w:val="none"/>
          <w:shd w:fill="auto" w:val="clear"/>
        </w:rPr>
      </w:pPr>
      <w:r>
        <w:rPr>
          <w:rFonts w:eastAsia="Times New Roman" w:cs="Times New Roman"/>
          <w:b/>
          <w:bCs/>
          <w:color w:val="000000"/>
          <w:sz w:val="24"/>
          <w:szCs w:val="24"/>
          <w:shd w:fill="auto" w:val="clear"/>
        </w:rPr>
        <w:t>(PROCESSO ADMINISTRATIVO Nº PMMA/000</w:t>
      </w:r>
      <w:r>
        <w:rPr>
          <w:rFonts w:eastAsia="Times New Roman" w:cs="Times New Roman"/>
          <w:b/>
          <w:bCs/>
          <w:color w:val="000000"/>
          <w:sz w:val="24"/>
          <w:szCs w:val="24"/>
          <w:shd w:fill="auto" w:val="clear"/>
        </w:rPr>
        <w:t>1</w:t>
      </w:r>
      <w:r>
        <w:rPr>
          <w:rFonts w:eastAsia="Times New Roman" w:cs="Times New Roman"/>
          <w:b/>
          <w:bCs/>
          <w:color w:val="000000"/>
          <w:sz w:val="24"/>
          <w:szCs w:val="24"/>
          <w:shd w:fill="auto" w:val="clear"/>
        </w:rPr>
        <w:t>6/2024 – SIGA)</w:t>
      </w:r>
    </w:p>
    <w:p>
      <w:pPr>
        <w:pStyle w:val="Normal"/>
        <w:bidi w:val="0"/>
        <w:spacing w:lineRule="auto" w:line="360" w:before="0" w:after="0"/>
        <w:ind w:right="2283" w:hanging="0"/>
        <w:jc w:val="left"/>
        <w:rPr>
          <w:rFonts w:ascii="Times New Roman" w:hAnsi="Times New Roman" w:cs="Times New Roman"/>
          <w:b/>
          <w:b/>
          <w:bCs/>
          <w:color w:val="000000"/>
          <w:sz w:val="24"/>
          <w:szCs w:val="24"/>
        </w:rPr>
      </w:pPr>
      <w:r>
        <w:rPr>
          <w:rFonts w:cs="Times New Roman"/>
          <w:b/>
          <w:bCs/>
          <w:color w:val="000000"/>
          <w:sz w:val="24"/>
          <w:szCs w:val="24"/>
        </w:rPr>
      </w:r>
    </w:p>
    <w:p>
      <w:pPr>
        <w:pStyle w:val="Normal"/>
        <w:bidi w:val="0"/>
        <w:spacing w:lineRule="auto" w:line="360" w:before="0" w:after="0"/>
        <w:ind w:right="2283" w:hanging="0"/>
        <w:jc w:val="left"/>
        <w:rPr>
          <w:rFonts w:ascii="Times New Roman" w:hAnsi="Times New Roman" w:cs="Times New Roman"/>
          <w:b/>
          <w:b/>
          <w:bCs/>
          <w:color w:val="000000"/>
          <w:sz w:val="24"/>
          <w:szCs w:val="24"/>
        </w:rPr>
      </w:pPr>
      <w:r>
        <w:rPr>
          <w:rFonts w:cs="Times New Roman"/>
          <w:b/>
          <w:bCs/>
          <w:color w:val="000000"/>
          <w:sz w:val="24"/>
          <w:szCs w:val="24"/>
        </w:rPr>
      </w:r>
    </w:p>
    <w:p>
      <w:pPr>
        <w:pStyle w:val="Normal"/>
        <w:bidi w:val="0"/>
        <w:spacing w:lineRule="auto" w:line="360" w:before="0" w:after="0"/>
        <w:ind w:right="2283" w:hanging="0"/>
        <w:jc w:val="left"/>
        <w:rPr>
          <w:rFonts w:ascii="Times New Roman" w:hAnsi="Times New Roman" w:cs="Times New Roman"/>
          <w:b/>
          <w:b/>
          <w:bCs/>
          <w:color w:val="000000"/>
          <w:sz w:val="24"/>
          <w:szCs w:val="24"/>
        </w:rPr>
      </w:pPr>
      <w:r>
        <w:rPr>
          <w:rFonts w:cs="Times New Roman"/>
          <w:b/>
          <w:bCs/>
          <w:color w:val="000000"/>
          <w:sz w:val="24"/>
          <w:szCs w:val="24"/>
        </w:rPr>
        <w:t>1. OBJETO</w:t>
      </w:r>
    </w:p>
    <w:p>
      <w:pPr>
        <w:pStyle w:val="Normal"/>
        <w:bidi w:val="0"/>
        <w:spacing w:lineRule="auto" w:line="360" w:before="0" w:after="0"/>
        <w:ind w:right="2283" w:hanging="0"/>
        <w:jc w:val="left"/>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Aquisição de </w:t>
      </w:r>
      <w:r>
        <w:rPr>
          <w:rFonts w:cs="Times New Roman"/>
          <w:b w:val="false"/>
          <w:bCs w:val="false"/>
          <w:color w:val="000000"/>
          <w:sz w:val="24"/>
          <w:szCs w:val="24"/>
          <w:shd w:fill="FFFFFF" w:val="clear"/>
        </w:rPr>
        <w:t xml:space="preserve">materiais de consumo para execução de seminário de capacitação das Patrulhas Maria da Penha – Agosto Lilás, </w:t>
      </w:r>
      <w:r>
        <w:rPr>
          <w:rFonts w:cs="Times New Roman"/>
          <w:b w:val="false"/>
          <w:bCs w:val="false"/>
          <w:color w:val="000000"/>
          <w:sz w:val="24"/>
          <w:szCs w:val="24"/>
        </w:rPr>
        <w:t>conforme condições e exigências estabelecidas no processo.</w:t>
      </w:r>
    </w:p>
    <w:tbl>
      <w:tblPr>
        <w:tblW w:w="9015" w:type="dxa"/>
        <w:jc w:val="left"/>
        <w:tblInd w:w="40" w:type="dxa"/>
        <w:tblLayout w:type="fixed"/>
        <w:tblCellMar>
          <w:top w:w="0" w:type="dxa"/>
          <w:left w:w="5" w:type="dxa"/>
          <w:bottom w:w="0" w:type="dxa"/>
          <w:right w:w="5" w:type="dxa"/>
        </w:tblCellMar>
      </w:tblPr>
      <w:tblGrid>
        <w:gridCol w:w="676"/>
        <w:gridCol w:w="1017"/>
        <w:gridCol w:w="3182"/>
        <w:gridCol w:w="629"/>
        <w:gridCol w:w="737"/>
        <w:gridCol w:w="733"/>
        <w:gridCol w:w="961"/>
        <w:gridCol w:w="1079"/>
      </w:tblGrid>
      <w:tr>
        <w:trPr>
          <w:tblHeader w:val="true"/>
          <w:trHeight w:val="724" w:hRule="atLeast"/>
        </w:trPr>
        <w:tc>
          <w:tcPr>
            <w:tcW w:w="676"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before="0" w:after="0"/>
              <w:jc w:val="center"/>
              <w:rPr>
                <w:rFonts w:ascii="Times New Roman" w:hAnsi="Times New Roman" w:cs="Times New Roman"/>
                <w:sz w:val="24"/>
                <w:szCs w:val="24"/>
              </w:rPr>
            </w:pPr>
            <w:r>
              <w:rPr>
                <w:rFonts w:cs="Times New Roman"/>
                <w:sz w:val="24"/>
                <w:szCs w:val="24"/>
              </w:rPr>
              <w:t>ITEM</w:t>
            </w:r>
          </w:p>
        </w:tc>
        <w:tc>
          <w:tcPr>
            <w:tcW w:w="1017"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before="0" w:after="0"/>
              <w:jc w:val="center"/>
              <w:rPr/>
            </w:pPr>
            <w:r>
              <w:rPr>
                <w:rFonts w:cs="Times New Roman"/>
                <w:sz w:val="24"/>
                <w:szCs w:val="24"/>
              </w:rPr>
              <w:t>COD</w:t>
            </w:r>
            <w:r>
              <w:rPr>
                <w:rFonts w:cs="Times New Roman"/>
                <w:spacing w:val="-50"/>
                <w:sz w:val="24"/>
                <w:szCs w:val="24"/>
              </w:rPr>
              <w:t xml:space="preserve"> </w:t>
            </w:r>
            <w:r>
              <w:rPr>
                <w:rFonts w:cs="Times New Roman"/>
                <w:sz w:val="24"/>
                <w:szCs w:val="24"/>
              </w:rPr>
              <w:t>SIGA</w:t>
            </w:r>
          </w:p>
        </w:tc>
        <w:tc>
          <w:tcPr>
            <w:tcW w:w="3182"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before="0" w:after="0"/>
              <w:jc w:val="center"/>
              <w:rPr>
                <w:rFonts w:ascii="Times New Roman" w:hAnsi="Times New Roman" w:cs="Times New Roman"/>
                <w:sz w:val="24"/>
                <w:szCs w:val="24"/>
              </w:rPr>
            </w:pPr>
            <w:r>
              <w:rPr>
                <w:rFonts w:cs="Times New Roman"/>
                <w:sz w:val="24"/>
                <w:szCs w:val="24"/>
              </w:rPr>
              <w:t>DESCRIÇÃO</w:t>
            </w:r>
          </w:p>
        </w:tc>
        <w:tc>
          <w:tcPr>
            <w:tcW w:w="629"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before="0" w:after="0"/>
              <w:jc w:val="center"/>
              <w:rPr>
                <w:rFonts w:ascii="Times New Roman" w:hAnsi="Times New Roman" w:cs="Times New Roman"/>
                <w:sz w:val="24"/>
                <w:szCs w:val="24"/>
              </w:rPr>
            </w:pPr>
            <w:r>
              <w:rPr>
                <w:rFonts w:cs="Times New Roman"/>
                <w:sz w:val="24"/>
                <w:szCs w:val="24"/>
              </w:rPr>
              <w:t>UND</w:t>
            </w:r>
          </w:p>
        </w:tc>
        <w:tc>
          <w:tcPr>
            <w:tcW w:w="737"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before="0" w:after="0"/>
              <w:ind w:left="0" w:right="101" w:hanging="0"/>
              <w:jc w:val="center"/>
              <w:rPr>
                <w:rFonts w:ascii="Times New Roman" w:hAnsi="Times New Roman" w:cs="Times New Roman"/>
                <w:sz w:val="24"/>
                <w:szCs w:val="24"/>
              </w:rPr>
            </w:pPr>
            <w:r>
              <w:rPr>
                <w:rFonts w:cs="Times New Roman"/>
                <w:sz w:val="24"/>
                <w:szCs w:val="24"/>
              </w:rPr>
              <w:t>QTD</w:t>
            </w:r>
          </w:p>
        </w:tc>
        <w:tc>
          <w:tcPr>
            <w:tcW w:w="733"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before="0" w:after="0"/>
              <w:jc w:val="center"/>
              <w:rPr>
                <w:rFonts w:ascii="Times New Roman" w:hAnsi="Times New Roman" w:cs="Times New Roman"/>
                <w:sz w:val="24"/>
                <w:szCs w:val="24"/>
              </w:rPr>
            </w:pPr>
            <w:r>
              <w:rPr>
                <w:rFonts w:cs="Times New Roman"/>
                <w:sz w:val="24"/>
                <w:szCs w:val="24"/>
              </w:rPr>
              <w:t>TIPO</w:t>
            </w:r>
          </w:p>
        </w:tc>
        <w:tc>
          <w:tcPr>
            <w:tcW w:w="961"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before="0" w:after="0"/>
              <w:jc w:val="center"/>
              <w:rPr/>
            </w:pPr>
            <w:r>
              <w:rPr>
                <w:rFonts w:cs="Times New Roman"/>
                <w:spacing w:val="-5"/>
                <w:sz w:val="24"/>
                <w:szCs w:val="24"/>
              </w:rPr>
              <w:t>VALOR</w:t>
            </w:r>
            <w:r>
              <w:rPr>
                <w:rFonts w:cs="Times New Roman"/>
                <w:spacing w:val="-51"/>
                <w:sz w:val="24"/>
                <w:szCs w:val="24"/>
              </w:rPr>
              <w:t xml:space="preserve"> </w:t>
            </w:r>
            <w:r>
              <w:rPr>
                <w:rFonts w:cs="Times New Roman"/>
                <w:sz w:val="24"/>
                <w:szCs w:val="24"/>
              </w:rPr>
              <w:t>UNIT (R$)</w:t>
            </w:r>
          </w:p>
        </w:tc>
        <w:tc>
          <w:tcPr>
            <w:tcW w:w="1079" w:type="dxa"/>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before="0" w:after="0"/>
              <w:jc w:val="center"/>
              <w:rPr/>
            </w:pPr>
            <w:r>
              <w:rPr>
                <w:rFonts w:cs="Times New Roman"/>
                <w:spacing w:val="-5"/>
                <w:sz w:val="24"/>
                <w:szCs w:val="24"/>
              </w:rPr>
              <w:t>VALOR</w:t>
            </w:r>
            <w:r>
              <w:rPr>
                <w:rFonts w:cs="Times New Roman"/>
                <w:spacing w:val="-51"/>
                <w:sz w:val="24"/>
                <w:szCs w:val="24"/>
              </w:rPr>
              <w:t xml:space="preserve"> </w:t>
            </w:r>
            <w:r>
              <w:rPr>
                <w:rFonts w:cs="Times New Roman"/>
                <w:sz w:val="24"/>
                <w:szCs w:val="24"/>
              </w:rPr>
              <w:t>TOTAL (R$)</w:t>
            </w:r>
          </w:p>
        </w:tc>
      </w:tr>
      <w:tr>
        <w:trPr>
          <w:trHeight w:val="724" w:hRule="atLeast"/>
        </w:trPr>
        <w:tc>
          <w:tcPr>
            <w:tcW w:w="676"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Times New Roman" w:hAnsi="Times New Roman" w:cs="Times New Roman"/>
                <w:sz w:val="24"/>
                <w:szCs w:val="24"/>
              </w:rPr>
            </w:pPr>
            <w:r>
              <w:rPr>
                <w:rFonts w:cs="Times New Roman"/>
                <w:sz w:val="24"/>
                <w:szCs w:val="24"/>
              </w:rPr>
              <w:t>1</w:t>
            </w:r>
          </w:p>
        </w:tc>
        <w:tc>
          <w:tcPr>
            <w:tcW w:w="1017" w:type="dxa"/>
            <w:tcBorders>
              <w:left w:val="single" w:sz="4" w:space="0" w:color="000000"/>
              <w:bottom w:val="single" w:sz="4" w:space="0" w:color="000000"/>
              <w:right w:val="single" w:sz="4" w:space="0" w:color="000000"/>
            </w:tcBorders>
            <w:vAlign w:val="center"/>
          </w:tcPr>
          <w:p>
            <w:pPr>
              <w:pStyle w:val="Normal"/>
              <w:widowControl w:val="false"/>
              <w:jc w:val="center"/>
              <w:rPr>
                <w:rFonts w:eastAsia="Cambria" w:cs="Times New Roman"/>
                <w:sz w:val="24"/>
                <w:szCs w:val="24"/>
              </w:rPr>
            </w:pPr>
            <w:r>
              <w:rPr>
                <w:rFonts w:eastAsia="Cambria" w:cs="Times New Roman"/>
                <w:sz w:val="24"/>
                <w:szCs w:val="24"/>
              </w:rPr>
              <w:t>0043406</w:t>
            </w:r>
          </w:p>
        </w:tc>
        <w:tc>
          <w:tcPr>
            <w:tcW w:w="3182" w:type="dxa"/>
            <w:tcBorders>
              <w:left w:val="single" w:sz="4" w:space="0" w:color="000000"/>
              <w:bottom w:val="single" w:sz="4" w:space="0" w:color="000000"/>
              <w:right w:val="single" w:sz="4" w:space="0" w:color="000000"/>
            </w:tcBorders>
            <w:vAlign w:val="center"/>
          </w:tcPr>
          <w:p>
            <w:pPr>
              <w:pStyle w:val="Normal"/>
              <w:widowControl w:val="false"/>
              <w:bidi w:val="0"/>
              <w:spacing w:lineRule="auto" w:line="240" w:before="0" w:after="0"/>
              <w:jc w:val="both"/>
              <w:rPr>
                <w:rFonts w:ascii="Times New Roman" w:hAnsi="Times New Roman" w:cs="Times New Roman"/>
                <w:sz w:val="24"/>
                <w:szCs w:val="24"/>
                <w:shd w:fill="auto" w:val="clear"/>
              </w:rPr>
            </w:pPr>
            <w:r>
              <w:rPr>
                <w:rFonts w:cs="Times New Roman"/>
                <w:b w:val="false"/>
                <w:bCs w:val="false"/>
                <w:sz w:val="24"/>
                <w:szCs w:val="24"/>
                <w:shd w:fill="auto" w:val="clear"/>
              </w:rPr>
              <w:t>Caneta - Tipo: esferográfica; Cor: azul; Corpo: material plástico transparente, sextavado ou redondo; Ponta: 0.7 mm.</w:t>
            </w:r>
          </w:p>
        </w:tc>
        <w:tc>
          <w:tcPr>
            <w:tcW w:w="62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Times New Roman" w:hAnsi="Times New Roman" w:cs="Times New Roman"/>
                <w:sz w:val="24"/>
                <w:szCs w:val="24"/>
              </w:rPr>
            </w:pPr>
            <w:r>
              <w:rPr>
                <w:rFonts w:cs="Times New Roman"/>
                <w:sz w:val="24"/>
                <w:szCs w:val="24"/>
              </w:rPr>
              <w:t>1 - caixa</w:t>
            </w:r>
          </w:p>
        </w:tc>
        <w:tc>
          <w:tcPr>
            <w:tcW w:w="737"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center"/>
              <w:rPr>
                <w:rFonts w:ascii="Times New Roman" w:hAnsi="Times New Roman" w:cs="Times New Roman"/>
                <w:sz w:val="24"/>
                <w:szCs w:val="24"/>
              </w:rPr>
            </w:pPr>
            <w:r>
              <w:rPr>
                <w:rFonts w:cs="Times New Roman"/>
                <w:sz w:val="24"/>
                <w:szCs w:val="24"/>
              </w:rPr>
              <w:t>25</w:t>
            </w:r>
          </w:p>
        </w:tc>
        <w:tc>
          <w:tcPr>
            <w:tcW w:w="733" w:type="dxa"/>
            <w:tcBorders>
              <w:left w:val="single" w:sz="4" w:space="0" w:color="000000"/>
              <w:bottom w:val="single" w:sz="4" w:space="0" w:color="000000"/>
              <w:right w:val="single" w:sz="4" w:space="0" w:color="000000"/>
            </w:tcBorders>
            <w:vAlign w:val="center"/>
          </w:tcPr>
          <w:p>
            <w:pPr>
              <w:pStyle w:val="TableParagraph"/>
              <w:widowControl w:val="false"/>
              <w:snapToGrid w:val="false"/>
              <w:spacing w:before="0" w:after="0"/>
              <w:jc w:val="center"/>
              <w:rPr>
                <w:rFonts w:ascii="Times New Roman" w:hAnsi="Times New Roman" w:cs="Times New Roman"/>
                <w:sz w:val="24"/>
                <w:szCs w:val="24"/>
              </w:rPr>
            </w:pPr>
            <w:r>
              <w:rPr>
                <w:rFonts w:cs="Times New Roman"/>
                <w:sz w:val="24"/>
                <w:szCs w:val="24"/>
              </w:rPr>
              <w:t>Item 001</w:t>
            </w:r>
          </w:p>
        </w:tc>
        <w:tc>
          <w:tcPr>
            <w:tcW w:w="96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center"/>
              <w:rPr>
                <w:rFonts w:ascii="Times New Roman" w:hAnsi="Times New Roman" w:cs="Times New Roman"/>
                <w:sz w:val="24"/>
                <w:szCs w:val="24"/>
              </w:rPr>
            </w:pPr>
            <w:r>
              <w:rPr>
                <w:rFonts w:cs="Times New Roman"/>
                <w:sz w:val="24"/>
                <w:szCs w:val="24"/>
              </w:rPr>
              <w:t>46,69</w:t>
            </w:r>
          </w:p>
        </w:tc>
        <w:tc>
          <w:tcPr>
            <w:tcW w:w="1079"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center"/>
              <w:rPr>
                <w:rFonts w:ascii="Times New Roman" w:hAnsi="Times New Roman" w:cs="Times New Roman"/>
                <w:sz w:val="24"/>
                <w:szCs w:val="24"/>
              </w:rPr>
            </w:pPr>
            <w:r>
              <w:rPr>
                <w:rFonts w:cs="Times New Roman"/>
                <w:sz w:val="24"/>
                <w:szCs w:val="24"/>
              </w:rPr>
              <w:t>1.167,25</w:t>
            </w:r>
          </w:p>
        </w:tc>
      </w:tr>
      <w:tr>
        <w:trPr>
          <w:trHeight w:val="724" w:hRule="atLeast"/>
        </w:trPr>
        <w:tc>
          <w:tcPr>
            <w:tcW w:w="676"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Times New Roman" w:hAnsi="Times New Roman" w:cs="Times New Roman"/>
                <w:sz w:val="24"/>
                <w:szCs w:val="24"/>
              </w:rPr>
            </w:pPr>
            <w:r>
              <w:rPr>
                <w:rFonts w:cs="Times New Roman"/>
                <w:sz w:val="24"/>
                <w:szCs w:val="24"/>
              </w:rPr>
              <w:t>2</w:t>
            </w:r>
          </w:p>
        </w:tc>
        <w:tc>
          <w:tcPr>
            <w:tcW w:w="1017" w:type="dxa"/>
            <w:tcBorders>
              <w:left w:val="single" w:sz="4" w:space="0" w:color="000000"/>
              <w:bottom w:val="single" w:sz="4" w:space="0" w:color="000000"/>
              <w:right w:val="single" w:sz="4" w:space="0" w:color="000000"/>
            </w:tcBorders>
            <w:vAlign w:val="center"/>
          </w:tcPr>
          <w:p>
            <w:pPr>
              <w:pStyle w:val="Normal"/>
              <w:widowControl w:val="false"/>
              <w:jc w:val="center"/>
              <w:rPr>
                <w:rFonts w:ascii="Times New Roman" w:hAnsi="Times New Roman" w:cs="Times New Roman"/>
                <w:color w:val="000000"/>
                <w:sz w:val="24"/>
                <w:szCs w:val="24"/>
                <w:lang w:val="pt-BR"/>
              </w:rPr>
            </w:pPr>
            <w:r>
              <w:rPr>
                <w:rFonts w:cs="Times New Roman"/>
                <w:color w:val="000000"/>
                <w:sz w:val="24"/>
                <w:szCs w:val="24"/>
                <w:lang w:val="pt-BR"/>
              </w:rPr>
              <w:t>0038865</w:t>
            </w:r>
          </w:p>
        </w:tc>
        <w:tc>
          <w:tcPr>
            <w:tcW w:w="3182" w:type="dxa"/>
            <w:tcBorders>
              <w:left w:val="single" w:sz="4" w:space="0" w:color="000000"/>
              <w:bottom w:val="single" w:sz="4" w:space="0" w:color="000000"/>
              <w:right w:val="single" w:sz="4" w:space="0" w:color="000000"/>
            </w:tcBorders>
            <w:vAlign w:val="center"/>
          </w:tcPr>
          <w:p>
            <w:pPr>
              <w:pStyle w:val="Contedodatabela"/>
              <w:widowControl w:val="false"/>
              <w:spacing w:lineRule="auto" w:line="240" w:before="0" w:after="0"/>
              <w:jc w:val="both"/>
              <w:rPr>
                <w:rFonts w:ascii="Times New Roman" w:hAnsi="Times New Roman" w:cs="Times New Roman"/>
                <w:sz w:val="24"/>
                <w:szCs w:val="24"/>
              </w:rPr>
            </w:pPr>
            <w:r>
              <w:rPr>
                <w:rFonts w:cs="Times New Roman"/>
                <w:sz w:val="24"/>
                <w:szCs w:val="24"/>
              </w:rPr>
              <w:t>Quadro - Tipo: branco; Material: tela em chapa de fibra de madeira, moldura em alumínio; Medida: 100 x 70 cm; Demais características: com porta marcador e apagador</w:t>
            </w:r>
          </w:p>
        </w:tc>
        <w:tc>
          <w:tcPr>
            <w:tcW w:w="629" w:type="dxa"/>
            <w:tcBorders>
              <w:left w:val="single" w:sz="4" w:space="0" w:color="000000"/>
              <w:bottom w:val="single" w:sz="4" w:space="0" w:color="000000"/>
              <w:right w:val="single" w:sz="4" w:space="0" w:color="000000"/>
            </w:tcBorders>
            <w:vAlign w:val="center"/>
          </w:tcPr>
          <w:p>
            <w:pPr>
              <w:pStyle w:val="Contedodatabela"/>
              <w:widowControl w:val="false"/>
              <w:spacing w:before="0" w:after="0"/>
              <w:jc w:val="center"/>
              <w:rPr>
                <w:rFonts w:ascii="Times New Roman" w:hAnsi="Times New Roman" w:cs="Times New Roman"/>
                <w:sz w:val="24"/>
                <w:szCs w:val="24"/>
              </w:rPr>
            </w:pPr>
            <w:r>
              <w:rPr>
                <w:rFonts w:cs="Times New Roman"/>
                <w:sz w:val="24"/>
                <w:szCs w:val="24"/>
              </w:rPr>
              <w:t>1 - Un</w:t>
            </w:r>
          </w:p>
        </w:tc>
        <w:tc>
          <w:tcPr>
            <w:tcW w:w="737"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center"/>
              <w:rPr>
                <w:rFonts w:ascii="Times New Roman" w:hAnsi="Times New Roman" w:cs="Times New Roman"/>
                <w:sz w:val="24"/>
                <w:szCs w:val="24"/>
              </w:rPr>
            </w:pPr>
            <w:r>
              <w:rPr>
                <w:rFonts w:cs="Times New Roman"/>
                <w:sz w:val="24"/>
                <w:szCs w:val="24"/>
              </w:rPr>
              <w:t>30</w:t>
            </w:r>
          </w:p>
        </w:tc>
        <w:tc>
          <w:tcPr>
            <w:tcW w:w="733" w:type="dxa"/>
            <w:tcBorders>
              <w:left w:val="single" w:sz="4" w:space="0" w:color="000000"/>
              <w:bottom w:val="single" w:sz="4" w:space="0" w:color="000000"/>
              <w:right w:val="single" w:sz="4" w:space="0" w:color="000000"/>
            </w:tcBorders>
            <w:vAlign w:val="center"/>
          </w:tcPr>
          <w:p>
            <w:pPr>
              <w:pStyle w:val="TableParagraph"/>
              <w:widowControl w:val="false"/>
              <w:snapToGrid w:val="false"/>
              <w:spacing w:before="0" w:after="0"/>
              <w:jc w:val="center"/>
              <w:rPr>
                <w:rFonts w:ascii="Times New Roman" w:hAnsi="Times New Roman" w:cs="Times New Roman"/>
                <w:sz w:val="24"/>
                <w:szCs w:val="24"/>
              </w:rPr>
            </w:pPr>
            <w:r>
              <w:rPr>
                <w:rFonts w:cs="Times New Roman"/>
                <w:sz w:val="24"/>
                <w:szCs w:val="24"/>
              </w:rPr>
              <w:t>Item 002</w:t>
            </w:r>
          </w:p>
        </w:tc>
        <w:tc>
          <w:tcPr>
            <w:tcW w:w="96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center"/>
              <w:rPr>
                <w:rFonts w:ascii="Times New Roman" w:hAnsi="Times New Roman" w:cs="Times New Roman"/>
                <w:sz w:val="24"/>
                <w:szCs w:val="24"/>
              </w:rPr>
            </w:pPr>
            <w:r>
              <w:rPr>
                <w:rFonts w:cs="Times New Roman"/>
                <w:sz w:val="24"/>
                <w:szCs w:val="24"/>
              </w:rPr>
              <w:t>129,90</w:t>
            </w:r>
          </w:p>
        </w:tc>
        <w:tc>
          <w:tcPr>
            <w:tcW w:w="1079"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center"/>
              <w:rPr>
                <w:rFonts w:ascii="Times New Roman" w:hAnsi="Times New Roman" w:cs="Times New Roman"/>
                <w:sz w:val="24"/>
                <w:szCs w:val="24"/>
              </w:rPr>
            </w:pPr>
            <w:r>
              <w:rPr>
                <w:rFonts w:cs="Times New Roman"/>
                <w:sz w:val="24"/>
                <w:szCs w:val="24"/>
              </w:rPr>
              <w:t>3.897,00</w:t>
            </w:r>
          </w:p>
        </w:tc>
      </w:tr>
      <w:tr>
        <w:trPr>
          <w:trHeight w:val="724" w:hRule="atLeast"/>
        </w:trPr>
        <w:tc>
          <w:tcPr>
            <w:tcW w:w="676" w:type="dxa"/>
            <w:tcBorders>
              <w:left w:val="single" w:sz="4" w:space="0" w:color="000000"/>
              <w:bottom w:val="single" w:sz="4" w:space="0" w:color="000000"/>
              <w:right w:val="single" w:sz="4" w:space="0" w:color="000000"/>
            </w:tcBorders>
            <w:vAlign w:val="center"/>
          </w:tcPr>
          <w:p>
            <w:pPr>
              <w:pStyle w:val="TableParagraph"/>
              <w:widowControl w:val="false"/>
              <w:spacing w:before="0" w:after="0"/>
              <w:ind w:left="9" w:right="0" w:hanging="0"/>
              <w:jc w:val="center"/>
              <w:rPr>
                <w:rFonts w:ascii="Times New Roman" w:hAnsi="Times New Roman" w:cs="Times New Roman"/>
                <w:sz w:val="24"/>
                <w:szCs w:val="24"/>
                <w:shd w:fill="auto" w:val="clear"/>
              </w:rPr>
            </w:pPr>
            <w:r>
              <w:rPr>
                <w:rFonts w:cs="Times New Roman"/>
                <w:sz w:val="24"/>
                <w:szCs w:val="24"/>
                <w:shd w:fill="auto" w:val="clear"/>
              </w:rPr>
              <w:t>3</w:t>
            </w:r>
          </w:p>
        </w:tc>
        <w:tc>
          <w:tcPr>
            <w:tcW w:w="1017" w:type="dxa"/>
            <w:tcBorders>
              <w:left w:val="single" w:sz="4" w:space="0" w:color="000000"/>
              <w:bottom w:val="single" w:sz="4" w:space="0" w:color="000000"/>
              <w:right w:val="single" w:sz="4" w:space="0" w:color="000000"/>
            </w:tcBorders>
            <w:vAlign w:val="center"/>
          </w:tcPr>
          <w:p>
            <w:pPr>
              <w:pStyle w:val="Normal"/>
              <w:widowControl w:val="false"/>
              <w:jc w:val="center"/>
              <w:rPr>
                <w:rFonts w:eastAsia="Cambria" w:cs="Times New Roman"/>
                <w:sz w:val="24"/>
                <w:szCs w:val="24"/>
              </w:rPr>
            </w:pPr>
            <w:r>
              <w:rPr>
                <w:rFonts w:eastAsia="Cambria" w:cs="Times New Roman"/>
                <w:sz w:val="24"/>
                <w:szCs w:val="24"/>
              </w:rPr>
              <w:t>0031816</w:t>
            </w:r>
          </w:p>
        </w:tc>
        <w:tc>
          <w:tcPr>
            <w:tcW w:w="3182"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both"/>
              <w:rPr>
                <w:rFonts w:ascii="Times New Roman" w:hAnsi="Times New Roman" w:cs="Times New Roman"/>
                <w:sz w:val="24"/>
                <w:szCs w:val="24"/>
                <w:shd w:fill="auto" w:val="clear"/>
              </w:rPr>
            </w:pPr>
            <w:r>
              <w:rPr>
                <w:rFonts w:cs="Times New Roman"/>
                <w:sz w:val="24"/>
                <w:szCs w:val="24"/>
                <w:shd w:fill="auto" w:val="clear"/>
              </w:rPr>
              <w:t>Grampeador - Tipo: semi-Industrial; Material: metal; Capacidade: 100 folhas; Outras características: Para mesa</w:t>
            </w:r>
          </w:p>
        </w:tc>
        <w:tc>
          <w:tcPr>
            <w:tcW w:w="629" w:type="dxa"/>
            <w:tcBorders>
              <w:left w:val="single" w:sz="4" w:space="0" w:color="000000"/>
              <w:bottom w:val="single" w:sz="4" w:space="0" w:color="000000"/>
              <w:right w:val="single" w:sz="4" w:space="0" w:color="000000"/>
            </w:tcBorders>
            <w:vAlign w:val="center"/>
          </w:tcPr>
          <w:p>
            <w:pPr>
              <w:pStyle w:val="Contedodatabela"/>
              <w:widowControl w:val="false"/>
              <w:spacing w:before="0" w:after="0"/>
              <w:jc w:val="center"/>
              <w:rPr>
                <w:rFonts w:ascii="Times New Roman" w:hAnsi="Times New Roman" w:cs="Times New Roman"/>
                <w:sz w:val="24"/>
                <w:szCs w:val="24"/>
              </w:rPr>
            </w:pPr>
            <w:r>
              <w:rPr>
                <w:rFonts w:cs="Times New Roman"/>
                <w:sz w:val="24"/>
                <w:szCs w:val="24"/>
                <w:shd w:fill="auto" w:val="clear"/>
              </w:rPr>
              <w:t>1 - Un</w:t>
            </w:r>
          </w:p>
        </w:tc>
        <w:tc>
          <w:tcPr>
            <w:tcW w:w="737"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center"/>
              <w:rPr>
                <w:rFonts w:ascii="Times New Roman" w:hAnsi="Times New Roman" w:cs="Times New Roman"/>
                <w:sz w:val="24"/>
                <w:szCs w:val="24"/>
                <w:shd w:fill="auto" w:val="clear"/>
              </w:rPr>
            </w:pPr>
            <w:r>
              <w:rPr>
                <w:rFonts w:cs="Times New Roman"/>
                <w:sz w:val="24"/>
                <w:szCs w:val="24"/>
                <w:shd w:fill="auto" w:val="clear"/>
              </w:rPr>
              <w:t>20</w:t>
            </w:r>
          </w:p>
        </w:tc>
        <w:tc>
          <w:tcPr>
            <w:tcW w:w="733" w:type="dxa"/>
            <w:tcBorders>
              <w:left w:val="single" w:sz="4" w:space="0" w:color="000000"/>
              <w:bottom w:val="single" w:sz="4" w:space="0" w:color="000000"/>
              <w:right w:val="single" w:sz="4" w:space="0" w:color="000000"/>
            </w:tcBorders>
            <w:vAlign w:val="center"/>
          </w:tcPr>
          <w:p>
            <w:pPr>
              <w:pStyle w:val="TableParagraph"/>
              <w:widowControl w:val="false"/>
              <w:suppressAutoHyphens w:val="true"/>
              <w:snapToGrid w:val="false"/>
              <w:spacing w:lineRule="auto" w:line="240" w:before="0" w:after="0"/>
              <w:jc w:val="center"/>
              <w:rPr>
                <w:rFonts w:ascii="Times New Roman" w:hAnsi="Times New Roman" w:cs="Times New Roman"/>
                <w:sz w:val="24"/>
                <w:szCs w:val="24"/>
              </w:rPr>
            </w:pPr>
            <w:r>
              <w:rPr>
                <w:rFonts w:eastAsia="Arial" w:cs="Times New Roman"/>
                <w:b w:val="false"/>
                <w:bCs w:val="false"/>
                <w:color w:val="000000"/>
                <w:kern w:val="0"/>
                <w:sz w:val="24"/>
                <w:szCs w:val="24"/>
                <w:shd w:fill="auto" w:val="clear"/>
                <w:lang w:val="pt-BR" w:eastAsia="pt-BR" w:bidi="ar-SA"/>
              </w:rPr>
              <w:t>Item 003</w:t>
            </w:r>
          </w:p>
        </w:tc>
        <w:tc>
          <w:tcPr>
            <w:tcW w:w="961"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center"/>
              <w:rPr>
                <w:rFonts w:ascii="Times New Roman" w:hAnsi="Times New Roman" w:cs="Times New Roman"/>
                <w:sz w:val="24"/>
                <w:szCs w:val="24"/>
                <w:shd w:fill="auto" w:val="clear"/>
              </w:rPr>
            </w:pPr>
            <w:r>
              <w:rPr>
                <w:rFonts w:cs="Times New Roman"/>
                <w:sz w:val="24"/>
                <w:szCs w:val="24"/>
                <w:shd w:fill="auto" w:val="clear"/>
              </w:rPr>
              <w:t>35,00</w:t>
            </w:r>
          </w:p>
        </w:tc>
        <w:tc>
          <w:tcPr>
            <w:tcW w:w="1079" w:type="dxa"/>
            <w:tcBorders>
              <w:left w:val="single" w:sz="4" w:space="0" w:color="000000"/>
              <w:bottom w:val="single" w:sz="4" w:space="0" w:color="000000"/>
              <w:right w:val="single" w:sz="4" w:space="0" w:color="000000"/>
            </w:tcBorders>
            <w:vAlign w:val="center"/>
          </w:tcPr>
          <w:p>
            <w:pPr>
              <w:pStyle w:val="Contedodatabela"/>
              <w:widowControl w:val="false"/>
              <w:snapToGrid w:val="false"/>
              <w:spacing w:lineRule="auto" w:line="240" w:before="0" w:after="0"/>
              <w:jc w:val="center"/>
              <w:rPr>
                <w:rFonts w:ascii="Times New Roman" w:hAnsi="Times New Roman" w:cs="Times New Roman"/>
                <w:sz w:val="24"/>
                <w:szCs w:val="24"/>
                <w:shd w:fill="auto" w:val="clear"/>
              </w:rPr>
            </w:pPr>
            <w:r>
              <w:rPr>
                <w:rFonts w:cs="Times New Roman"/>
                <w:sz w:val="24"/>
                <w:szCs w:val="24"/>
                <w:shd w:fill="auto" w:val="clear"/>
              </w:rPr>
              <w:t>700,00</w:t>
            </w:r>
          </w:p>
        </w:tc>
      </w:tr>
      <w:tr>
        <w:trPr>
          <w:trHeight w:val="197" w:hRule="atLeast"/>
        </w:trPr>
        <w:tc>
          <w:tcPr>
            <w:tcW w:w="676" w:type="dxa"/>
            <w:tcBorders>
              <w:left w:val="single" w:sz="4" w:space="0" w:color="000000"/>
              <w:bottom w:val="single" w:sz="4" w:space="0" w:color="000000"/>
              <w:right w:val="single" w:sz="4" w:space="0" w:color="000000"/>
            </w:tcBorders>
            <w:vAlign w:val="center"/>
          </w:tcPr>
          <w:p>
            <w:pPr>
              <w:pStyle w:val="TableParagraph"/>
              <w:widowControl w:val="false"/>
              <w:snapToGrid w:val="false"/>
              <w:spacing w:before="0" w:after="0"/>
              <w:rPr>
                <w:rFonts w:ascii="Times New Roman" w:hAnsi="Times New Roman" w:cs="Times New Roman"/>
                <w:sz w:val="24"/>
                <w:szCs w:val="24"/>
              </w:rPr>
            </w:pPr>
            <w:r>
              <w:rPr>
                <w:rFonts w:cs="Times New Roman"/>
                <w:sz w:val="24"/>
                <w:szCs w:val="24"/>
              </w:rPr>
            </w:r>
          </w:p>
        </w:tc>
        <w:tc>
          <w:tcPr>
            <w:tcW w:w="6298" w:type="dxa"/>
            <w:gridSpan w:val="5"/>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before="0" w:after="0"/>
              <w:jc w:val="center"/>
              <w:rPr>
                <w:rFonts w:ascii="Times New Roman" w:hAnsi="Times New Roman" w:cs="Times New Roman"/>
                <w:sz w:val="24"/>
                <w:szCs w:val="24"/>
              </w:rPr>
            </w:pPr>
            <w:r>
              <w:rPr>
                <w:rFonts w:cs="Times New Roman"/>
                <w:sz w:val="24"/>
                <w:szCs w:val="24"/>
              </w:rPr>
              <w:t>VALOR TOTAL (R$)</w:t>
            </w:r>
          </w:p>
        </w:tc>
        <w:tc>
          <w:tcPr>
            <w:tcW w:w="2040" w:type="dxa"/>
            <w:gridSpan w:val="2"/>
            <w:tcBorders>
              <w:top w:val="single" w:sz="4" w:space="0" w:color="000000"/>
              <w:left w:val="single" w:sz="4" w:space="0" w:color="000000"/>
              <w:bottom w:val="single" w:sz="4" w:space="0" w:color="000000"/>
              <w:right w:val="single" w:sz="4" w:space="0" w:color="000000"/>
            </w:tcBorders>
            <w:vAlign w:val="center"/>
          </w:tcPr>
          <w:p>
            <w:pPr>
              <w:pStyle w:val="TableParagraph"/>
              <w:widowControl w:val="false"/>
              <w:spacing w:before="0" w:after="0"/>
              <w:ind w:left="601" w:right="0" w:hanging="0"/>
              <w:rPr>
                <w:rFonts w:ascii="Times New Roman" w:hAnsi="Times New Roman" w:cs="Times New Roman"/>
                <w:sz w:val="24"/>
                <w:szCs w:val="24"/>
                <w:shd w:fill="auto" w:val="clear"/>
              </w:rPr>
            </w:pPr>
            <w:r>
              <w:rPr>
                <w:rFonts w:cs="Times New Roman"/>
                <w:sz w:val="24"/>
                <w:szCs w:val="24"/>
                <w:shd w:fill="auto" w:val="clear"/>
              </w:rPr>
              <w:t>5.764,25</w:t>
            </w:r>
          </w:p>
        </w:tc>
      </w:tr>
    </w:tbl>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Os bens objeto desta contratação são caracterizados como comuns, conforme justificativa constante do neste instrumento.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objeto desta contratação não se enquadra como sendo de bem de luxo, conforme Decreto nº 10.818, de 27 de setembro de 2021.</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contrato oferece maior detalhamento das regras que serão aplicadas em relação à vigência da contratação.</w:t>
      </w:r>
    </w:p>
    <w:p>
      <w:pPr>
        <w:pStyle w:val="Normal"/>
        <w:bidi w:val="0"/>
        <w:spacing w:lineRule="auto" w:line="360" w:before="0" w:after="0"/>
        <w:ind w:right="2283" w:hanging="0"/>
        <w:jc w:val="left"/>
        <w:rPr>
          <w:rFonts w:ascii="Times New Roman" w:hAnsi="Times New Roman" w:cs="Times New Roman"/>
          <w:b/>
          <w:b/>
          <w:bCs/>
          <w:color w:val="000000"/>
          <w:sz w:val="24"/>
          <w:szCs w:val="24"/>
        </w:rPr>
      </w:pPr>
      <w:r>
        <w:rPr>
          <w:rFonts w:cs="Times New Roman"/>
          <w:b/>
          <w:bCs/>
          <w:color w:val="000000"/>
          <w:sz w:val="24"/>
          <w:szCs w:val="24"/>
        </w:rPr>
      </w:r>
    </w:p>
    <w:p>
      <w:pPr>
        <w:pStyle w:val="Normal"/>
        <w:bidi w:val="0"/>
        <w:spacing w:lineRule="auto" w:line="360" w:before="0" w:after="0"/>
        <w:ind w:right="2283" w:hanging="0"/>
        <w:jc w:val="left"/>
        <w:rPr>
          <w:rFonts w:ascii="Times New Roman" w:hAnsi="Times New Roman" w:cs="Times New Roman"/>
          <w:b/>
          <w:b/>
          <w:bCs/>
          <w:color w:val="000000"/>
          <w:sz w:val="24"/>
          <w:szCs w:val="24"/>
        </w:rPr>
      </w:pPr>
      <w:r>
        <w:rPr>
          <w:rFonts w:cs="Times New Roman"/>
          <w:b/>
          <w:bCs/>
          <w:color w:val="000000"/>
          <w:sz w:val="24"/>
          <w:szCs w:val="24"/>
        </w:rPr>
        <w:t>2. JUSTIFICATIVA</w:t>
      </w:r>
    </w:p>
    <w:p>
      <w:pPr>
        <w:pStyle w:val="Normal"/>
        <w:bidi w:val="0"/>
        <w:spacing w:lineRule="auto" w:line="360" w:before="0" w:after="0"/>
        <w:ind w:right="2283" w:hanging="0"/>
        <w:jc w:val="left"/>
        <w:rPr>
          <w:rFonts w:ascii="Times New Roman" w:hAnsi="Times New Roman" w:cs="Times New Roman"/>
          <w:b/>
          <w:b/>
          <w:bCs/>
          <w:color w:val="000000"/>
          <w:sz w:val="24"/>
          <w:szCs w:val="24"/>
        </w:rPr>
      </w:pPr>
      <w:r>
        <w:rPr>
          <w:rFonts w:cs="Times New Roman"/>
          <w:b/>
          <w:bCs/>
          <w:color w:val="000000"/>
          <w:sz w:val="24"/>
          <w:szCs w:val="24"/>
        </w:rPr>
      </w:r>
    </w:p>
    <w:p>
      <w:pPr>
        <w:pStyle w:val="Normal"/>
        <w:bidi w:val="0"/>
        <w:spacing w:lineRule="auto" w:line="360" w:before="0" w:after="0"/>
        <w:ind w:right="2283" w:hanging="0"/>
        <w:jc w:val="left"/>
        <w:rPr>
          <w:rFonts w:ascii="Times New Roman" w:hAnsi="Times New Roman" w:cs="Times New Roman"/>
          <w:b/>
          <w:b/>
          <w:bCs/>
          <w:color w:val="000000"/>
          <w:sz w:val="24"/>
          <w:szCs w:val="24"/>
        </w:rPr>
      </w:pPr>
      <w:r>
        <w:rPr>
          <w:rFonts w:cs="Times New Roman"/>
          <w:b/>
          <w:bCs/>
          <w:color w:val="000000"/>
          <w:sz w:val="24"/>
          <w:szCs w:val="24"/>
        </w:rPr>
        <w:t>2.1. PARA CONTRATAÇÃO</w:t>
      </w:r>
    </w:p>
    <w:p>
      <w:pPr>
        <w:pStyle w:val="Normal"/>
        <w:bidi w:val="0"/>
        <w:spacing w:lineRule="auto" w:line="360" w:before="0" w:after="0"/>
        <w:ind w:right="2283" w:hanging="0"/>
        <w:jc w:val="left"/>
        <w:rPr>
          <w:rFonts w:ascii="Times New Roman" w:hAnsi="Times New Roman" w:cs="Times New Roman"/>
          <w:b/>
          <w:b/>
          <w:bCs/>
          <w:color w:val="000000"/>
          <w:sz w:val="24"/>
          <w:szCs w:val="24"/>
        </w:rPr>
      </w:pPr>
      <w:r>
        <w:rPr>
          <w:rFonts w:cs="Times New Roman"/>
          <w:b/>
          <w:bCs/>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Justifica-se esta aquisição pela necessidade de qualificar o efetivo das Patrulhas Maria da Penha e unidades operacionais para intervir com qualidade nas ocorrências envolvendo mulheres em situação de violência doméstica e familiar numa ação de fiscalização do cumprimento de medidas protetivas de urgência determinadas judicialmente e também de ação policial preventiva contribuindo para promoção de uma cultura de paz, segurança e bem estar dentro da filosofia de Policiamento Comunitário.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O seminário será destinado para 60 policiais militares das PMP’s e para realização far-se-á necessário kits do aluno (cartilha, pasta, caneta, bloco de anotação), certificados, bem como folderes informativo, panfletos, material de limpeza, copos, papel higiênico, água e coffee break para os dias de capacitação das pessoas envolvidas no processo. O seminário ocorrerá como parte das ações da Campanha Agosto Lilás. </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Destarte, para cumprir os citados dispositivos legais e alcançar os objetivos previstos, a Polícia Militar do Maranhão deve adquirir os </w:t>
      </w:r>
      <w:r>
        <w:rPr>
          <w:rFonts w:cs="Times New Roman"/>
          <w:b w:val="false"/>
          <w:bCs w:val="false"/>
          <w:color w:val="000000"/>
          <w:sz w:val="24"/>
          <w:szCs w:val="24"/>
          <w:shd w:fill="FFFFFF" w:val="clear"/>
        </w:rPr>
        <w:t>materiais de consumo para execução de seminário de capacitação das Patrulhas Maria da Penha – Agosto Lilás</w:t>
      </w:r>
      <w:r>
        <w:rPr>
          <w:rFonts w:cs="Times New Roman"/>
          <w:b w:val="false"/>
          <w:bCs w:val="false"/>
          <w:color w:val="000000"/>
          <w:sz w:val="24"/>
          <w:szCs w:val="24"/>
        </w:rPr>
        <w:t>, através da melhor proposta apresentada pelas empresas que as comercializam, agindo assim em conformidade com o que determina a Lei Federal nº 14.133/2021, e suas alterações, que estabelece normas gerais de licitação e contratação para as Administrações Públicas diretas, autárquicas e fundacionais da União, dos Estados, do Distrito Federal e dos Municípios.</w:t>
      </w:r>
    </w:p>
    <w:p>
      <w:pPr>
        <w:pStyle w:val="Normal"/>
        <w:bidi w:val="0"/>
        <w:spacing w:lineRule="auto" w:line="360" w:before="0" w:after="0"/>
        <w:ind w:right="2283" w:hanging="0"/>
        <w:jc w:val="left"/>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bidi w:val="0"/>
        <w:spacing w:lineRule="auto" w:line="360" w:before="0" w:after="0"/>
        <w:ind w:right="2283" w:hanging="0"/>
        <w:jc w:val="left"/>
        <w:rPr>
          <w:rFonts w:ascii="Times New Roman" w:hAnsi="Times New Roman" w:cs="Times New Roman"/>
          <w:b/>
          <w:b/>
          <w:bCs/>
          <w:color w:val="000000"/>
          <w:sz w:val="24"/>
          <w:szCs w:val="24"/>
        </w:rPr>
      </w:pPr>
      <w:r>
        <w:rPr>
          <w:rFonts w:cs="Times New Roman"/>
          <w:b/>
          <w:bCs/>
          <w:color w:val="000000"/>
          <w:sz w:val="24"/>
          <w:szCs w:val="24"/>
        </w:rPr>
        <w:t>2.2. DOTAÇÃO ORÇAMENTÁRIA</w:t>
      </w:r>
    </w:p>
    <w:p>
      <w:pPr>
        <w:pStyle w:val="Normal"/>
        <w:bidi w:val="0"/>
        <w:spacing w:lineRule="auto" w:line="360" w:before="0" w:after="0"/>
        <w:ind w:right="2283" w:hanging="0"/>
        <w:jc w:val="left"/>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Não será adotado o sistema de Registro de  Preços – SRP para a presente licitação visto que o </w:t>
      </w:r>
      <w:r>
        <w:rPr>
          <w:rFonts w:cs="Times New Roman"/>
          <w:b w:val="false"/>
          <w:bCs w:val="false"/>
          <w:color w:val="000000" w:themeColor="text1"/>
          <w:sz w:val="24"/>
          <w:szCs w:val="24"/>
        </w:rPr>
        <w:t xml:space="preserve">valor se encontra dentro do estimado para contratação por Dispensa de Licitação. </w:t>
      </w:r>
      <w:r>
        <w:rPr>
          <w:rFonts w:cs="Times New Roman"/>
          <w:b w:val="false"/>
          <w:bCs w:val="false"/>
          <w:color w:val="000000"/>
          <w:sz w:val="24"/>
          <w:szCs w:val="24"/>
        </w:rPr>
        <w:t>A presente licitação terá fundamento em dotação orçamentária.</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As despesas decorrentes da presente contratação correrão à conta de recursos específicos consignados no Orçamento da Polícia Militar do Maranhão.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r>
        <w:br w:type="page"/>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A contratação será atendida pela seguinte dotação:</w:t>
      </w:r>
    </w:p>
    <w:p>
      <w:pPr>
        <w:pStyle w:val="Normal"/>
        <w:widowControl w:val="false"/>
        <w:suppressAutoHyphens w:val="true"/>
        <w:bidi w:val="0"/>
        <w:spacing w:lineRule="auto" w:line="240" w:before="0" w:after="0"/>
        <w:ind w:left="1020" w:right="0" w:hanging="0"/>
        <w:jc w:val="left"/>
        <w:rPr>
          <w:rFonts w:cs="Times New Roman"/>
          <w:b w:val="false"/>
          <w:b w:val="false"/>
          <w:bCs w:val="false"/>
          <w:color w:val="000000"/>
          <w:sz w:val="24"/>
          <w:szCs w:val="24"/>
          <w:shd w:fill="auto" w:val="clear"/>
        </w:rPr>
      </w:pPr>
      <w:r>
        <w:rPr>
          <w:rFonts w:cs="Times New Roman"/>
          <w:b w:val="false"/>
          <w:bCs w:val="false"/>
          <w:color w:val="000000"/>
          <w:sz w:val="24"/>
          <w:szCs w:val="24"/>
          <w:shd w:fill="auto" w:val="clear"/>
        </w:rPr>
        <w:t>EXERCÍCIO: 2024</w:t>
      </w:r>
    </w:p>
    <w:p>
      <w:pPr>
        <w:pStyle w:val="Normal"/>
        <w:widowControl w:val="false"/>
        <w:suppressAutoHyphens w:val="true"/>
        <w:bidi w:val="0"/>
        <w:spacing w:lineRule="auto" w:line="240" w:before="0" w:after="0"/>
        <w:ind w:left="1020" w:right="0" w:hanging="0"/>
        <w:jc w:val="left"/>
        <w:rPr>
          <w:rFonts w:cs="Times New Roman"/>
          <w:b w:val="false"/>
          <w:b w:val="false"/>
          <w:bCs w:val="false"/>
          <w:color w:val="000000"/>
          <w:sz w:val="24"/>
          <w:szCs w:val="24"/>
          <w:shd w:fill="auto" w:val="clear"/>
        </w:rPr>
      </w:pPr>
      <w:r>
        <w:rPr>
          <w:rFonts w:cs="Times New Roman"/>
          <w:b w:val="false"/>
          <w:bCs w:val="false"/>
          <w:color w:val="000000"/>
          <w:sz w:val="24"/>
          <w:szCs w:val="24"/>
          <w:shd w:fill="auto" w:val="clear"/>
        </w:rPr>
        <w:t>UNIDADE GESTORA: 190.110 – POLÍCIA MILITAR DO MARANHÃO</w:t>
      </w:r>
    </w:p>
    <w:p>
      <w:pPr>
        <w:pStyle w:val="Normal"/>
        <w:widowControl w:val="false"/>
        <w:suppressAutoHyphens w:val="true"/>
        <w:bidi w:val="0"/>
        <w:spacing w:lineRule="auto" w:line="240" w:before="0" w:after="0"/>
        <w:ind w:left="1020" w:right="0" w:hanging="0"/>
        <w:jc w:val="left"/>
        <w:rPr>
          <w:rFonts w:cs="Times New Roman"/>
          <w:b w:val="false"/>
          <w:b w:val="false"/>
          <w:bCs w:val="false"/>
          <w:color w:val="000000"/>
          <w:sz w:val="24"/>
          <w:szCs w:val="24"/>
          <w:shd w:fill="auto" w:val="clear"/>
        </w:rPr>
      </w:pPr>
      <w:r>
        <w:rPr>
          <w:rFonts w:cs="Times New Roman"/>
          <w:b w:val="false"/>
          <w:bCs w:val="false"/>
          <w:color w:val="000000"/>
          <w:sz w:val="24"/>
          <w:szCs w:val="24"/>
          <w:shd w:fill="auto" w:val="clear"/>
        </w:rPr>
        <w:t>FUNÇÃO: 06 – SEGURANÇA PÚBLICA</w:t>
      </w:r>
    </w:p>
    <w:p>
      <w:pPr>
        <w:pStyle w:val="Normal"/>
        <w:widowControl w:val="false"/>
        <w:suppressAutoHyphens w:val="true"/>
        <w:bidi w:val="0"/>
        <w:spacing w:lineRule="auto" w:line="240" w:before="0" w:after="0"/>
        <w:ind w:left="1020" w:right="0" w:hanging="0"/>
        <w:jc w:val="left"/>
        <w:rPr>
          <w:rFonts w:cs="Times New Roman"/>
          <w:b w:val="false"/>
          <w:b w:val="false"/>
          <w:bCs w:val="false"/>
          <w:color w:val="000000"/>
          <w:sz w:val="24"/>
          <w:szCs w:val="24"/>
          <w:shd w:fill="auto" w:val="clear"/>
        </w:rPr>
      </w:pPr>
      <w:r>
        <w:rPr>
          <w:rFonts w:cs="Times New Roman"/>
          <w:b w:val="false"/>
          <w:bCs w:val="false"/>
          <w:color w:val="000000"/>
          <w:sz w:val="24"/>
          <w:szCs w:val="24"/>
          <w:shd w:fill="auto" w:val="clear"/>
        </w:rPr>
        <w:t xml:space="preserve">SUBFUNÇÃO: 181 – POLICIAMENTO OSTENSIVO </w:t>
      </w:r>
    </w:p>
    <w:p>
      <w:pPr>
        <w:pStyle w:val="Normal"/>
        <w:widowControl w:val="false"/>
        <w:suppressAutoHyphens w:val="true"/>
        <w:bidi w:val="0"/>
        <w:spacing w:lineRule="auto" w:line="240" w:before="0" w:after="0"/>
        <w:ind w:left="1020" w:right="0" w:hanging="0"/>
        <w:jc w:val="left"/>
        <w:rPr>
          <w:rFonts w:cs="Times New Roman"/>
          <w:b w:val="false"/>
          <w:b w:val="false"/>
          <w:bCs w:val="false"/>
          <w:color w:val="000000"/>
          <w:sz w:val="24"/>
          <w:szCs w:val="24"/>
          <w:shd w:fill="auto" w:val="clear"/>
        </w:rPr>
      </w:pPr>
      <w:r>
        <w:rPr>
          <w:rFonts w:cs="Times New Roman"/>
          <w:b w:val="false"/>
          <w:bCs w:val="false"/>
          <w:color w:val="000000"/>
          <w:sz w:val="24"/>
          <w:szCs w:val="24"/>
          <w:shd w:fill="auto" w:val="clear"/>
        </w:rPr>
        <w:t xml:space="preserve">PROGRAMA – 0577 – MARANHÃO SEGURO </w:t>
      </w:r>
    </w:p>
    <w:p>
      <w:pPr>
        <w:pStyle w:val="Normal"/>
        <w:widowControl w:val="false"/>
        <w:suppressAutoHyphens w:val="true"/>
        <w:bidi w:val="0"/>
        <w:spacing w:lineRule="auto" w:line="240" w:before="0" w:after="0"/>
        <w:ind w:left="1020" w:right="0" w:hanging="0"/>
        <w:jc w:val="left"/>
        <w:rPr>
          <w:rFonts w:cs="Times New Roman"/>
          <w:b w:val="false"/>
          <w:b w:val="false"/>
          <w:bCs w:val="false"/>
          <w:color w:val="000000"/>
          <w:sz w:val="24"/>
          <w:szCs w:val="24"/>
          <w:shd w:fill="auto" w:val="clear"/>
        </w:rPr>
      </w:pPr>
      <w:r>
        <w:rPr>
          <w:rFonts w:cs="Times New Roman"/>
          <w:b w:val="false"/>
          <w:bCs w:val="false"/>
          <w:color w:val="000000"/>
          <w:sz w:val="24"/>
          <w:szCs w:val="24"/>
          <w:shd w:fill="auto" w:val="clear"/>
        </w:rPr>
        <w:t xml:space="preserve">AÇÃO – 6117 – PREVENÇÃO À VIOLÊNCIA DOMÉSTICA – PATRULHA MARIA DA PENHA </w:t>
      </w:r>
    </w:p>
    <w:p>
      <w:pPr>
        <w:pStyle w:val="Normal"/>
        <w:widowControl w:val="false"/>
        <w:suppressAutoHyphens w:val="true"/>
        <w:bidi w:val="0"/>
        <w:spacing w:lineRule="auto" w:line="240" w:before="0" w:after="0"/>
        <w:ind w:left="1020" w:right="0" w:hanging="0"/>
        <w:jc w:val="left"/>
        <w:rPr>
          <w:rFonts w:cs="Times New Roman"/>
          <w:b w:val="false"/>
          <w:b w:val="false"/>
          <w:bCs w:val="false"/>
          <w:color w:val="000000"/>
          <w:sz w:val="24"/>
          <w:szCs w:val="24"/>
          <w:shd w:fill="auto" w:val="clear"/>
        </w:rPr>
      </w:pPr>
      <w:r>
        <w:rPr>
          <w:rFonts w:cs="Times New Roman"/>
          <w:b w:val="false"/>
          <w:bCs w:val="false"/>
          <w:color w:val="000000"/>
          <w:sz w:val="24"/>
          <w:szCs w:val="24"/>
          <w:shd w:fill="auto" w:val="clear"/>
        </w:rPr>
        <w:t>SUBAÇÃO – 023862 – MATERIAL DE CONSUMO</w:t>
      </w:r>
    </w:p>
    <w:p>
      <w:pPr>
        <w:pStyle w:val="Normal"/>
        <w:widowControl w:val="false"/>
        <w:suppressAutoHyphens w:val="true"/>
        <w:bidi w:val="0"/>
        <w:spacing w:lineRule="auto" w:line="240" w:before="0" w:after="0"/>
        <w:ind w:left="1020" w:right="0" w:hanging="0"/>
        <w:jc w:val="left"/>
        <w:rPr>
          <w:rFonts w:cs="Times New Roman"/>
          <w:b w:val="false"/>
          <w:b w:val="false"/>
          <w:bCs w:val="false"/>
          <w:color w:val="000000"/>
          <w:sz w:val="24"/>
          <w:szCs w:val="24"/>
          <w:shd w:fill="auto" w:val="clear"/>
        </w:rPr>
      </w:pPr>
      <w:r>
        <w:rPr>
          <w:rFonts w:cs="Times New Roman"/>
          <w:b w:val="false"/>
          <w:bCs w:val="false"/>
          <w:color w:val="000000"/>
          <w:sz w:val="24"/>
          <w:szCs w:val="24"/>
          <w:shd w:fill="auto" w:val="clear"/>
        </w:rPr>
        <w:t xml:space="preserve">REGIÃO – 0001 – NO ESTADO DO MARANHÃO </w:t>
      </w:r>
    </w:p>
    <w:p>
      <w:pPr>
        <w:pStyle w:val="Normal"/>
        <w:widowControl w:val="false"/>
        <w:suppressAutoHyphens w:val="true"/>
        <w:bidi w:val="0"/>
        <w:spacing w:lineRule="auto" w:line="240" w:before="0" w:after="0"/>
        <w:ind w:left="1020" w:right="0" w:hanging="0"/>
        <w:jc w:val="left"/>
        <w:rPr>
          <w:highlight w:val="none"/>
          <w:shd w:fill="auto" w:val="clear"/>
        </w:rPr>
      </w:pPr>
      <w:r>
        <w:rPr>
          <w:rFonts w:cs="Times New Roman"/>
          <w:b w:val="false"/>
          <w:bCs w:val="false"/>
          <w:color w:val="000000"/>
          <w:sz w:val="24"/>
          <w:szCs w:val="24"/>
          <w:shd w:fill="auto" w:val="clear"/>
        </w:rPr>
        <w:t>PLANO INTERNO – MATCONSUMO</w:t>
      </w:r>
    </w:p>
    <w:p>
      <w:pPr>
        <w:pStyle w:val="Normal"/>
        <w:widowControl w:val="false"/>
        <w:suppressAutoHyphens w:val="true"/>
        <w:bidi w:val="0"/>
        <w:spacing w:lineRule="auto" w:line="240" w:before="0" w:after="0"/>
        <w:ind w:left="1020" w:right="0" w:hanging="0"/>
        <w:jc w:val="left"/>
        <w:rPr/>
      </w:pPr>
      <w:r>
        <w:rPr>
          <w:rFonts w:cs="Times New Roman"/>
          <w:b w:val="false"/>
          <w:bCs w:val="false"/>
          <w:color w:val="000000"/>
          <w:sz w:val="24"/>
          <w:szCs w:val="24"/>
          <w:shd w:fill="auto" w:val="clear"/>
        </w:rPr>
        <w:t xml:space="preserve">FONTE – 1500 – TESOURO </w:t>
      </w:r>
    </w:p>
    <w:p>
      <w:pPr>
        <w:pStyle w:val="Normal"/>
        <w:widowControl w:val="false"/>
        <w:suppressAutoHyphens w:val="true"/>
        <w:bidi w:val="0"/>
        <w:spacing w:lineRule="auto" w:line="240" w:before="0" w:after="0"/>
        <w:ind w:left="1020" w:right="0" w:hanging="0"/>
        <w:jc w:val="left"/>
        <w:rPr>
          <w:rFonts w:ascii="Times New Roman" w:hAnsi="Times New Roman" w:cs="Times New Roman"/>
          <w:b w:val="false"/>
          <w:b w:val="false"/>
          <w:bCs w:val="false"/>
          <w:color w:val="000000"/>
          <w:sz w:val="24"/>
          <w:szCs w:val="24"/>
          <w:shd w:fill="auto" w:val="clear"/>
        </w:rPr>
      </w:pPr>
      <w:r>
        <w:rPr>
          <w:rFonts w:cs="Times New Roman"/>
          <w:b w:val="false"/>
          <w:bCs w:val="false"/>
          <w:color w:val="000000"/>
          <w:sz w:val="24"/>
          <w:szCs w:val="24"/>
          <w:shd w:fill="auto" w:val="clear"/>
        </w:rPr>
        <w:t>NATUREZA DA DESPESA – 3390-30</w:t>
      </w:r>
    </w:p>
    <w:p>
      <w:pPr>
        <w:pStyle w:val="Normal"/>
        <w:bidi w:val="0"/>
        <w:spacing w:lineRule="auto" w:line="360" w:before="0" w:after="0"/>
        <w:ind w:right="2283" w:hanging="0"/>
        <w:jc w:val="left"/>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 </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A dotação relativa aos exercícios financeiros subsequentes será indicada após aprovação da Lei Orçamentária respectiva e liberação dos créditos correspondentes, mediante apostilamento.</w:t>
      </w:r>
    </w:p>
    <w:p>
      <w:pPr>
        <w:pStyle w:val="Normal"/>
        <w:bidi w:val="0"/>
        <w:spacing w:lineRule="auto" w:line="360" w:before="0" w:after="0"/>
        <w:ind w:right="2283" w:hanging="0"/>
        <w:jc w:val="left"/>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left"/>
        <w:rPr>
          <w:rFonts w:ascii="Times New Roman" w:hAnsi="Times New Roman" w:cs="Times New Roman"/>
          <w:b/>
          <w:b/>
          <w:bCs/>
          <w:color w:val="000000"/>
          <w:sz w:val="24"/>
          <w:szCs w:val="24"/>
        </w:rPr>
      </w:pPr>
      <w:r>
        <w:rPr>
          <w:rFonts w:cs="Times New Roman"/>
          <w:b/>
          <w:bCs/>
          <w:color w:val="000000"/>
          <w:sz w:val="24"/>
          <w:szCs w:val="24"/>
        </w:rPr>
        <w:t>2.3. PREVISÃO NO PLANO DE CONTRATAÇ</w:t>
      </w:r>
      <w:r>
        <w:rPr>
          <w:rFonts w:cs="Times New Roman"/>
          <w:b/>
          <w:bCs/>
          <w:color w:val="000000"/>
          <w:sz w:val="24"/>
          <w:szCs w:val="24"/>
        </w:rPr>
        <w:t>Õ</w:t>
      </w:r>
      <w:r>
        <w:rPr>
          <w:rFonts w:cs="Times New Roman"/>
          <w:b/>
          <w:bCs/>
          <w:color w:val="000000"/>
          <w:sz w:val="24"/>
          <w:szCs w:val="24"/>
        </w:rPr>
        <w:t>ES ANUAL</w:t>
      </w:r>
    </w:p>
    <w:p>
      <w:pPr>
        <w:pStyle w:val="Normal"/>
        <w:bidi w:val="0"/>
        <w:spacing w:lineRule="auto" w:line="360" w:before="0" w:after="0"/>
        <w:ind w:right="2283" w:hanging="0"/>
        <w:jc w:val="left"/>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Face o exposto e em observância ao que aduz o inciso II do § 1° do art. 18 da Lei 14.133/21 e Art. 7°, inciso IX da IN 40/2020 da SEGES a contratação pretendida está em conformidade com os ditames legais, uma vez que encontra previsão no plano anual de contratações.</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3. DA MODALIDADE E FUNDAMENTAÇÃO LEGAL DA CONTRATAÇÃO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A contratação do presente objeto se dará por meio de licitação na modalidade Dispensa por Valor, no tipo menor preço, pelo critério de julgamento por valor global.</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A licitação e a contratação reger-se-ão pelas disposições da Lei Federal nº 14.133/2021, do Decreto nº 11.462/23, bem como dos Decretos Estaduais nº 38.136/23 e Decreto nº 38.137/23, e suas alterações, aplicando subsidiariamente demais normas regulamentares pertinentes à espécie.</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r>
      <w:r>
        <w:br w:type="page"/>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4. REQUISITOS DA CONTRATAÇÃO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4.1. SUSTENTABILIDADE</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Além dos critérios de sustentabilidade eventualmente inseridos na descrição do objeto, devem ser atendidos os seguintes requisitos, que se baseiam no Guia Nacional de Contratações Sustentáveis.</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4.2. GARANTIA DA CONTRATAÇÃO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Não haverá exigência da garantia da contratação dos artigos 96 e seguintes da Lei nº 14.133, de 2021.</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5. TRATAMENTO DIFERENCIADO DA CONTRATAÇÃO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Em atendimento ao artigo 48 da Lei Complementar n° 123, de 14 de dezembro de 2006 regulamentou o tratamento diferenciado e simplificado para as Microempresas – ME, Empresas de Pequeno Porte – EPP e Microempreendedores Individuais – MEI, nas licitações públicas no âmbito da Administração Pública Estadual, fica estabelecido que o processo será exclusivo para contratação de Microempresas – ME, Empresas de Pequeno Porte – EPP e Microempreendedores Individuais – MEI.</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Para os itens cujos valores estimados sejam de até R$ 80.000,00 (oitenta mil reais) será realizada licitação exclusiva às microempresas, empresas de pequeno porte e microempreendedores individuais, nos termos do disposto no art. 48, I da Lei Complementar acima mencionada.</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6. MODELO DE EXECUÇÃO DO OBJETO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6.1. CONDIÇÕES DE ENTREGA</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Os materiais serão entregues de acordo com a solicitação do Fiscal do Contrato, não podendo ultrapassar 30 (trinta) dias após a solicitação.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Caso não seja possível a entrega na data assinalada, a empresa deverá comunicar as razões respectivas com pelo menos 10 (dez) dias de antecedência para que qualquer pleito de prorrogação de prazo seja analisado, ressalvadas situações de caso fortuito e força maior.</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Os bens deverão ser entregues na Sede do Comando de Segurança Comunitária, localizado à Avenida dos Holandeses, nº 50, Olho D’água, CEP; 65.074-220, São Luís – MA.</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No caso de produtos perecíveis, o prazo de validade na data da entrega não poderá ser inferior a 01 (um) ano, ou a (metade) do prazo total recomendado pelo fabricante.</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7. GARANTIA, MANUTENÇÃO E ASSISTÊNCIA TÉCNICA</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prazo de garantia é aquele estabelecido na Lei nº 8.078, de 11 de setembro de 1990 (Código de Defesa do Consumidor). Caso o prazo da garantia oferecida pelo fabricante seja inferior ao estabelecido nesta cláusula, o fornecedor deverá complementar a garantia do bem ofertado pelo período restante. A garantia será prestada com vistas a manter os materiais fornecidos em perfeitas condições de uso, sem qualquer ônus ou custo adicional para o Contratante.</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8. MODELO DE GESTÃO DO CONTRATO</w:t>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contrato deverá ser executado fielmente pelas partes, de acordo com as cláusulas avançados e as normas da Lei nº 14.133, de 2021, e cada parte responderá pelas consequências de sua inexecução total ou parcial.</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Em caso de impedimento, ordem de paralisação ou suspensão do contrato, o cronograma de execução será prorrogado automaticamente pelo tempo correspondente, anotadas tais circunstâncias mediante simples apostila.</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As comunicações entre o órgão ou entidade e a contratada devem ser realizadas por escrito sempre que o ato exigir tal formalidade, admitindo-se o uso de mensagem eletrônica para esse fim.</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órgão ou entidade poderá convocar representante da empresa para adoção de providências que devam ser cumpridas de imediato.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A execução do contrato deverá ser acompanhada e fiscalizada pelo(s) fiscal(is) do contrato, ou pelos respectivos substitutos (Lei nº 14.133, de 2021, art. 117, caput).</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9. FISCALIZAÇÃO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A execução do contrato deverá ser acompanhada e fiscalizada pelo(s) fiscal(is) do contrato, ou pelos </w:t>
      </w:r>
      <w:r>
        <w:rPr>
          <w:rFonts w:cs="Times New Roman"/>
          <w:b w:val="false"/>
          <w:bCs w:val="false"/>
          <w:color w:val="000000"/>
          <w:sz w:val="24"/>
          <w:szCs w:val="24"/>
          <w:lang w:val="pt-BR" w:eastAsia="en-US" w:bidi="ar-SA"/>
        </w:rPr>
        <w:t>respectivos</w:t>
      </w:r>
      <w:r>
        <w:rPr>
          <w:rFonts w:cs="Times New Roman"/>
          <w:b w:val="false"/>
          <w:bCs w:val="false"/>
          <w:color w:val="000000"/>
          <w:sz w:val="24"/>
          <w:szCs w:val="24"/>
        </w:rPr>
        <w:t xml:space="preserve"> substitutos (Lei nº 14.133, de 2021, art. 117, caput).</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9.1. FISCALIZAÇÃO TÉCNICA</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Identificada qualquer inexatidão ou irregularidade, o fiscal técnico do contrato emitirá notificações para a correção da execução do contrato, determinando prazo para a correção. (Decreto nº 11.246, de 2022, art. 22, III); </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No caso de ocorrências que possam inviabilizar a execução do contrato nas datas aprazadas, o fiscal técnico do contrato comunicará o fato imediatamente ao gestor do contrato. (Decreto nº 11.246, de 2022, art. 22, V).</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fiscal técnico do contrato comunicará ao gestor do contrato, em tempo hábil, o término do contrato sob sua responsabilidade, com vistas à renovação tempestiva ou à prorrogação contratual (Decreto nº 11.246, de 2022, art. 22, VII).</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9.2. FISCALIZAÇÃO ADMINISTRATIVA</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Além do disposto acima, a fiscalização contratual obedecerá às rotinas necessárias para a completa execução contratual.</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10. GESTOR DO CONTRATO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O gestor do contrato coordenará a atualização do processo de acompanhamento e fiscalização do contrato contendo todos os </w:t>
      </w:r>
      <w:r>
        <w:rPr>
          <w:rFonts w:cs="Times New Roman"/>
          <w:b w:val="false"/>
          <w:bCs w:val="false"/>
          <w:color w:val="000000"/>
          <w:sz w:val="24"/>
          <w:szCs w:val="24"/>
          <w:lang w:val="pt-BR" w:eastAsia="en-US" w:bidi="ar-SA"/>
        </w:rPr>
        <w:t>registros</w:t>
      </w:r>
      <w:r>
        <w:rPr>
          <w:rFonts w:cs="Times New Roman"/>
          <w:b w:val="false"/>
          <w:bCs w:val="false"/>
          <w:color w:val="000000"/>
          <w:sz w:val="24"/>
          <w:szCs w:val="24"/>
        </w:rPr>
        <w:t xml:space="preserve"> formais da execução no histórico de </w:t>
      </w:r>
      <w:r>
        <w:rPr>
          <w:rFonts w:cs="Times New Roman"/>
          <w:b w:val="false"/>
          <w:bCs w:val="false"/>
          <w:color w:val="000000"/>
          <w:sz w:val="24"/>
          <w:szCs w:val="24"/>
          <w:lang w:val="pt-BR" w:eastAsia="en-US" w:bidi="ar-SA"/>
        </w:rPr>
        <w:t>gerenciamento</w:t>
      </w:r>
      <w:r>
        <w:rPr>
          <w:rFonts w:cs="Times New Roman"/>
          <w:b w:val="false"/>
          <w:bCs w:val="false"/>
          <w:color w:val="000000"/>
          <w:sz w:val="24"/>
          <w:szCs w:val="24"/>
        </w:rPr>
        <w:t xml:space="preserve"> do contrato, a exemplo da ordem de serviço, do </w:t>
      </w:r>
      <w:r>
        <w:rPr>
          <w:rFonts w:cs="Times New Roman"/>
          <w:b w:val="false"/>
          <w:bCs w:val="false"/>
          <w:color w:val="000000"/>
          <w:sz w:val="24"/>
          <w:szCs w:val="24"/>
          <w:lang w:val="pt-BR" w:eastAsia="en-US" w:bidi="ar-SA"/>
        </w:rPr>
        <w:t>registro</w:t>
      </w:r>
      <w:r>
        <w:rPr>
          <w:rFonts w:cs="Times New Roman"/>
          <w:b w:val="false"/>
          <w:bCs w:val="false"/>
          <w:color w:val="000000"/>
          <w:sz w:val="24"/>
          <w:szCs w:val="24"/>
        </w:rPr>
        <w:t xml:space="preserve"> de ocorrências, das alterações e das prorrogações contratuais, elaborando relatório com vistas à verificação da necessidade de adequações do contrato para fins de atendimento da finalidade da administração. (Decreto nº 11.246, de 2022, art. 21, IV).</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O gestor do contrato acompanhará os </w:t>
      </w:r>
      <w:r>
        <w:rPr>
          <w:rFonts w:cs="Times New Roman"/>
          <w:b w:val="false"/>
          <w:bCs w:val="false"/>
          <w:color w:val="000000"/>
          <w:sz w:val="24"/>
          <w:szCs w:val="24"/>
          <w:lang w:val="pt-BR" w:eastAsia="en-US" w:bidi="ar-SA"/>
        </w:rPr>
        <w:t>registros</w:t>
      </w:r>
      <w:r>
        <w:rPr>
          <w:rFonts w:cs="Times New Roman"/>
          <w:b w:val="false"/>
          <w:bCs w:val="false"/>
          <w:color w:val="000000"/>
          <w:sz w:val="24"/>
          <w:szCs w:val="24"/>
        </w:rPr>
        <w:t xml:space="preserve"> realizados pelos fiscais do contrato, de todas as ocorrências relacionadas à execução do contrato e as medidas adotadas, informando, se for o caso, à autoridade superior àquelas que ultrapassarem a sua competência. (Decreto nº 11.246, de 2022, art. 21, II). </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b/>
          <w:b/>
          <w:bCs/>
        </w:rPr>
      </w:pPr>
      <w:r>
        <w:rPr>
          <w:rFonts w:cs="Times New Roman"/>
          <w:b/>
          <w:bCs/>
          <w:color w:val="000000"/>
          <w:sz w:val="24"/>
          <w:szCs w:val="24"/>
        </w:rPr>
        <w:t>11. OBRIGAÇÕES DA CONTRATANTE</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São obrigações da Contratante:</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Prestar as informações e os esclarecimentos que venham a ser solicitadas pela Contratada;</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Receber os produtos adjudicados, nos termos, prazos, quantidade, qualidade e condições estabelecidas no Termo de Referência;</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Rejeitar, no todo ou em parte, os produtos que a Contratada entregar fora das especificações do Termo de Referência;</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Comunicar à Contratada após apresentação da Nota Fiscal, o aceite do servidor responsável pelo recebimento dos produtos adquiridos;</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Fiscalizar a execução do contrato, aplicando as sanções cabíveis, quando for o caso;       </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Efetuar o pagamento da Contratada no prazo determinado no Edital e em seus anexos, inclusive, no contrato;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Notificar, por escrito à Contratada, ocorrência de eventuais imperfeições no curso de execução do objeto, fixando prazo para a sua correção. </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b/>
          <w:b/>
          <w:bCs/>
        </w:rPr>
      </w:pPr>
      <w:r>
        <w:rPr>
          <w:rFonts w:cs="Times New Roman"/>
          <w:b/>
          <w:bCs/>
          <w:color w:val="000000"/>
          <w:sz w:val="24"/>
          <w:szCs w:val="24"/>
        </w:rPr>
        <w:t>12. OBRIGAÇÕES DA CONTRATADA</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São obrigações da Contratada:</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Entregar todos os materiais, novos e de primeira qualidade, conforme especificações do Termo de Referência e em consonância com a proposta de preços, sob pena de impugnação dos mesmos pela fiscalização;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Manter, durante toda a execução do contrato, em compatibilidade com as obrigações assumidas, todas as condições de habilitação e qualificação exigidas na licitação;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Providenciar a imediata correção das deficiências e/ou irregularidades apontadas pelo Contratante;</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Apresentar à Contratante, o nome do Banco, Agência e o número da conta bancária, para efeito de crédito de pagamento das obrigações;</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Assumir total responsabilidade por qualquer dano pessoal ou material que seus funcionários venham a causar ao </w:t>
      </w:r>
      <w:r>
        <w:rPr>
          <w:rFonts w:cs="Times New Roman"/>
          <w:b w:val="false"/>
          <w:bCs w:val="false"/>
          <w:color w:val="000000"/>
          <w:sz w:val="24"/>
          <w:szCs w:val="24"/>
          <w:lang w:val="pt-BR" w:eastAsia="en-US" w:bidi="ar-SA"/>
        </w:rPr>
        <w:t>patrimônio</w:t>
      </w:r>
      <w:r>
        <w:rPr>
          <w:rFonts w:cs="Times New Roman"/>
          <w:b w:val="false"/>
          <w:bCs w:val="false"/>
          <w:color w:val="000000"/>
          <w:sz w:val="24"/>
          <w:szCs w:val="24"/>
        </w:rPr>
        <w:t xml:space="preserve"> da Contratante ou a terceiros quando da execução do contrato;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Substituir eventuais produtos que estejam com validade vencida e/ou que não estejam em conformidade com o termo de referência e proposta de preços, com as mesmas especificações;</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Comunicar à Administração, no prazo máximo de 24 (vinte e quatro) horas que antecede a data da entrega, os motivos que impossibilitem o cumprimento do prazo previsto, com a devida comprovação;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Responsabilizar-se pelas despesas dos tributos, encargos trabalhistas, previdenciários, fiscais, comerciais, taxas, fretes, seguros, deslocamento de pessoal, prestação de garantia e quaisquer outras que incidam ou venham a incidir na execução do contrato;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Prever em seu orçamento, todas as despesas diretas e indiretas para o completo fornecimento dos materiais descritos neste Termo de Referência.</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13. CRITÉRIOS DE MEDIÇÃO E DE PAGAMENTO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13.1. RECEBIMENTO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Os bens poderão ser rejeitados, no todo ou em parte, inclusive antes do recebimento provisório, quando em desacordo com as especificações constantes no Termo de Referência e na proposta, devendo ser substituídos no prazo de 07 dias corridos, a contar da notificação da contratada, às suas custas, sem prejuízo da aplicação das penalidades.</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recebimento definitivo ocorrerá no prazo de 05 dias úteis, a contar do recebimento da nota fiscal ou instrumento de cobrança equivalente pela Administração, após a verificação da qualidade e quantidade do material e consequente aceitação mediante termo detalhado.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prazo para recebimento definitivo poderá ser excepcionalmente prorrogado, de forma justificada, por igual período, quando houver necessidade de diligências para a aferição do atendimento das exigências contratuais.</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recebimento provisório ou definitivo não excluirá a responsabilidade civil pela solidez e pela segurança dos bens nem a responsabilidade ético-profissional pela perfeita execução do contrato.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13.2. PRAZO DE PAGAMENTO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pagamento será efetuado no prazo de até 30 (trinta) dias úteis contados da finalização da liquidação da despesa, conforme seção anterior, nos termos da Instrução Normativa SEGES/ME nº 77, de 2022.</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13.3. FORMA DE PAGAMENTO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Será considerada data do pagamento o dia em que constar como emitida a ordem bancária para pagamento.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Quando do pagamento, será efetuada a retenção tributária prevista na legislação aplicável.</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Independentemente do percentual de tributo inserido na planilha, quando houver, serão retidos na fonte, quando da realização do pagamento, os percentuais estabelecidos na legislação vigente.</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14. FORMA E CRITÉRIOS DE SELEÇÃO DO FORNECEDOR E FORMA DE FORNECIMENTO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14.1. FORMA DE SELEÇÃO E CRITÉRIO DE JULGAMENTO DA PROPOSTA</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fornecedor será selecionado por meio da realização de procedimento de Licitação, na modalidade Dispensa por Valor, com adoção do critério de julgamento pelo menor preço.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14.2. FORMA DE FORNECIMENTO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Na presente demanda, não é vislumbrado, no momento, motivações para a adoção do parcelamento do objeto, visto que por se tratar de contratação de aquisição comum de uma única categoria, com requisitos muito específicos a entrega dos itens deve ser feita de forma única e da demanda integral.</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14.3. EXIGÊNCIAS DE HABILITAÇÃO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Para fins de habilitação, deverá o licitante comprovar os seguintes requisitos:</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14.4. QUALIFICAÇÃO TÉCNICA</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Será admitida, para fins de comprovação de quantitativo mínimo, a apresentação e o somatório de diferentes atestados executados de forma concomitante.</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Os atestados de capacidade técnica poderão ser apresentados em nome da matriz ou da filial do fornecedor.</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15. DAS PENALIDADES</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descumprimento da Ata de Registro de Preços ensejará aplicação das penalidades estabelecidas no edital ou no aviso de contratação direta.</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As sanções também se aplicam aos integrantes do cadastro de reserva no registro de preços que, convocados, não honrarem o compromisso assumido injustificadamente após terem assinado a ata. </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16. DA ANTICORRUPÇÃO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ab/>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Em demonstração de comprometimento e responsabilidade, as partes declaram conhecer e concordar integralmente com o estabelecido na Lei n° 12.846/2013, que dispõe sobre a responsabilização administrativa e civil de pessoas jurídicas pela prática de atos contra a administração pública, e se comprometem a observar e a fazer observar, inclusive por seus subcontratados, se admitida subcontratação, o mais alto padrão de ética durante todo o processo de contratação e de execução do objeto contratual. </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Sendo assim, na execução do presente contrato, é vedado à requisitante e ao contratado e/ou ao empregado, preposto e/ou gestor seu:</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a) Ao longo da vigência deste ajuste e após, prometer, oferecer ou dar, direta ou indiretamente, vantagem indevida a agente público, ou a terceira pessoa a ele relacionada, ou a quem quer que seja;</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b) Comprovadamente, financiar, custear, patrocinar ou de qualquer modo subvencionar a prática dos atos ilícitos previstos na Lei n° 12.846/2013;</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c) Criar, de modo fraudulento ou irregular, pessoa jurídica para celebrar o presente Contrato;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d) Obter vantagem ou benefício indevido, de modo fraudulento, de modificações ou prorrogações do presente Contrato, sem autorização em lei, no ato convocatório da licitação pública ou nos respectivos instrumentos contratuais;</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e) Manipular ou fraudar o equilíbrio econômico-financeiro do presente Contrato;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f) Dificultar atividade de investigação ou fiscalização de órgãos, entidades ou agentes públicos, ou intervir em sua atuação, inclusive no âmbito das agências reguladoras e dos órgãos de fiscalização do sistema financeiro nacional; </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g) De qualquer maneira fraudar o presente Contrato, assim como realizar quaisquer ações ou omissões que constituam prática ilegal ou de corrupção, nos termos da Lei n° 12.846/2013, do Decreto n° 8.420/2015 e alterações ou de quaisquer outras leis ou regulamentos aplicáveis ("Leis Anticorrupção"), ainda que não relacionadas com o presente Contrato.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Constatada administrativamente qualquer prática contrária aos deveres estipulados nesta cláusula, a Parte poderá notificar a outra e exigir que essa tome as medidas corretivas necessárias em um prazo razoável.</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Se a Parte notificada falhar ao tomar as medidas corretivas necessárias, ou se essas medidas não forem possíveis, poderá invocar defesa, provando que, quando as evidências da violação surgiram, tinha colocado em prática medidas preventivas anticorrupções, capazes de detectar o ato de corrupção e promover uma cultura de integridade na organização.</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Se nenhuma medida corretiva for tomada, a Parte notificante poderá, a seu critério, independentemente das sanções aplicáveis à conduta, proceder à imediata rescisão deste Contrato, sem prejuízo da aplicação das penalidades devidas.</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hanging="0"/>
        <w:jc w:val="both"/>
        <w:rPr>
          <w:rFonts w:ascii="Times New Roman" w:hAnsi="Times New Roman" w:cs="Times New Roman"/>
          <w:b/>
          <w:b/>
          <w:bCs/>
          <w:color w:val="000000"/>
          <w:sz w:val="24"/>
          <w:szCs w:val="24"/>
        </w:rPr>
      </w:pPr>
      <w:r>
        <w:rPr>
          <w:rFonts w:cs="Times New Roman"/>
          <w:b/>
          <w:bCs/>
          <w:color w:val="000000"/>
          <w:sz w:val="24"/>
          <w:szCs w:val="24"/>
        </w:rPr>
        <w:t>17. ESTIMATIVAS DO VALOR DA CONTRATAÇÃO</w:t>
      </w:r>
    </w:p>
    <w:p>
      <w:pPr>
        <w:pStyle w:val="Normal"/>
        <w:widowControl w:val="false"/>
        <w:suppressAutoHyphens w:val="true"/>
        <w:bidi w:val="0"/>
        <w:spacing w:lineRule="auto" w:line="360" w:before="0" w:after="0"/>
        <w:ind w:left="0" w:right="0" w:hanging="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 xml:space="preserve">O custo estimado total da contratação é de </w:t>
      </w:r>
      <w:r>
        <w:rPr>
          <w:rFonts w:cs="Times New Roman"/>
          <w:b w:val="false"/>
          <w:bCs w:val="false"/>
          <w:color w:val="000000"/>
          <w:sz w:val="24"/>
          <w:szCs w:val="24"/>
          <w:shd w:fill="auto" w:val="clear"/>
        </w:rPr>
        <w:t xml:space="preserve">R$ 5.764,25 (cinco mil setecentos e sessenta e quatro reais e vinte e cinco centavos), </w:t>
      </w:r>
      <w:r>
        <w:rPr>
          <w:rFonts w:cs="Times New Roman"/>
          <w:b w:val="false"/>
          <w:bCs w:val="false"/>
          <w:color w:val="000000"/>
          <w:sz w:val="24"/>
          <w:szCs w:val="24"/>
        </w:rPr>
        <w:t>conforme custos unitários apostos na tabela acima.</w:t>
      </w:r>
    </w:p>
    <w:p>
      <w:pPr>
        <w:pStyle w:val="Normal"/>
        <w:widowControl w:val="false"/>
        <w:suppressAutoHyphens w:val="true"/>
        <w:bidi w:val="0"/>
        <w:spacing w:lineRule="auto" w:line="360" w:before="0" w:after="0"/>
        <w:ind w:left="0" w:right="0" w:firstLine="850"/>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em caso de criação, alteração ou extinção de quaisquer tributos ou encargos legais ou superveniência de disposições legais, com comprovada repercussão sobre os preços registrados; serão reajustados os preços registrados, respeitada a contagem da anualidade e o índice previsto para a contratação; ou poderão ser repactuados, a pedido do interessado, conforme critérios definidos para a contratação.</w:t>
      </w:r>
    </w:p>
    <w:p>
      <w:pPr>
        <w:pStyle w:val="Normal"/>
        <w:widowControl w:val="false"/>
        <w:suppressAutoHyphens w:val="true"/>
        <w:bidi w:val="0"/>
        <w:spacing w:lineRule="auto" w:line="240" w:before="0" w:after="0"/>
        <w:ind w:left="0" w:right="0" w:hanging="0"/>
        <w:jc w:val="center"/>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240" w:before="0" w:after="0"/>
        <w:ind w:left="0" w:right="0" w:hanging="0"/>
        <w:jc w:val="center"/>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São Luís – MA, 1</w:t>
      </w:r>
      <w:r>
        <w:rPr>
          <w:rFonts w:cs="Times New Roman"/>
          <w:b w:val="false"/>
          <w:bCs w:val="false"/>
          <w:color w:val="000000"/>
          <w:sz w:val="24"/>
          <w:szCs w:val="24"/>
        </w:rPr>
        <w:t>2</w:t>
      </w:r>
      <w:r>
        <w:rPr>
          <w:rFonts w:cs="Times New Roman"/>
          <w:b w:val="false"/>
          <w:bCs w:val="false"/>
          <w:color w:val="000000"/>
          <w:sz w:val="24"/>
          <w:szCs w:val="24"/>
        </w:rPr>
        <w:t xml:space="preserve"> de julho de 2024</w:t>
      </w:r>
    </w:p>
    <w:p>
      <w:pPr>
        <w:pStyle w:val="Normal"/>
        <w:widowControl w:val="false"/>
        <w:suppressAutoHyphens w:val="true"/>
        <w:bidi w:val="0"/>
        <w:spacing w:lineRule="auto" w:line="240" w:before="0" w:after="0"/>
        <w:ind w:left="0" w:right="0" w:hanging="0"/>
        <w:jc w:val="center"/>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240" w:before="0" w:after="0"/>
        <w:ind w:left="0" w:right="0" w:hanging="0"/>
        <w:jc w:val="center"/>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widowControl w:val="false"/>
        <w:suppressAutoHyphens w:val="true"/>
        <w:bidi w:val="0"/>
        <w:spacing w:lineRule="auto" w:line="240" w:before="0" w:after="0"/>
        <w:ind w:left="0" w:right="0" w:hanging="0"/>
        <w:jc w:val="center"/>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br/>
      </w:r>
      <w:r>
        <w:rPr>
          <w:rFonts w:cs="Times New Roman"/>
          <w:b/>
          <w:bCs/>
          <w:color w:val="000000"/>
          <w:sz w:val="24"/>
          <w:szCs w:val="24"/>
        </w:rPr>
        <w:t xml:space="preserve">Ten Cel QOPM </w:t>
      </w:r>
      <w:r>
        <w:rPr>
          <w:rFonts w:cs="Times New Roman"/>
          <w:b w:val="false"/>
          <w:bCs w:val="false"/>
          <w:color w:val="000000"/>
          <w:sz w:val="24"/>
          <w:szCs w:val="24"/>
        </w:rPr>
        <w:t xml:space="preserve">Raimundo </w:t>
      </w:r>
      <w:r>
        <w:rPr>
          <w:rFonts w:cs="Times New Roman"/>
          <w:b/>
          <w:bCs/>
          <w:color w:val="000000"/>
          <w:sz w:val="24"/>
          <w:szCs w:val="24"/>
        </w:rPr>
        <w:t>Borba Lima</w:t>
      </w:r>
    </w:p>
    <w:p>
      <w:pPr>
        <w:pStyle w:val="Normal"/>
        <w:widowControl w:val="false"/>
        <w:suppressAutoHyphens w:val="true"/>
        <w:bidi w:val="0"/>
        <w:spacing w:lineRule="auto" w:line="240" w:before="0" w:after="0"/>
        <w:ind w:left="0" w:right="0" w:hanging="0"/>
        <w:jc w:val="center"/>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t>Chefe da 4ª Seção do EMG</w:t>
      </w:r>
    </w:p>
    <w:sectPr>
      <w:headerReference w:type="default" r:id="rId5"/>
      <w:type w:val="nextPage"/>
      <w:pgSz w:w="11906" w:h="16838"/>
      <w:pgMar w:left="1701" w:right="1134" w:gutter="0" w:header="720" w:top="1580"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Segoe UI">
    <w:charset w:val="00"/>
    <w:family w:val="roman"/>
    <w:pitch w:val="variable"/>
  </w:font>
  <w:font w:name="Liberation Sans">
    <w:altName w:val="Arial"/>
    <w:charset w:val="00"/>
    <w:family w:val="roman"/>
    <w:pitch w:val="variable"/>
  </w:font>
  <w:font w:name="Cambri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left" w:pos="4536" w:leader="none"/>
        <w:tab w:val="left" w:pos="4820" w:leader="none"/>
      </w:tabs>
      <w:jc w:val="center"/>
      <w:rPr>
        <w:rFonts w:ascii="Cambria" w:hAnsi="Cambria" w:cs="Arial" w:asciiTheme="majorHAnsi" w:hAnsiTheme="majorHAnsi"/>
        <w:b/>
        <w:b/>
        <w:color w:val="000000"/>
      </w:rPr>
    </w:pPr>
    <w:r>
      <w:rPr>
        <w:rFonts w:cs="Arial" w:ascii="Cambria" w:hAnsi="Cambria"/>
        <w:b/>
        <w:color w:val="00000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sz w:val="20"/>
        <w:i w:val="false"/>
        <w:b/>
      </w:rPr>
    </w:lvl>
    <w:lvl w:ilvl="1">
      <w:start w:val="1"/>
      <w:numFmt w:val="decimal"/>
      <w:lvlText w:val="%1.%2."/>
      <w:lvlJc w:val="left"/>
      <w:pPr>
        <w:tabs>
          <w:tab w:val="num" w:pos="0"/>
        </w:tabs>
        <w:ind w:left="432" w:hanging="432"/>
      </w:pPr>
      <w:rPr>
        <w:dstrike w:val="false"/>
        <w:strike w:val="false"/>
        <w:sz w:val="20"/>
        <w:i w:val="false"/>
        <w:u w:val="none"/>
        <w:b/>
        <w:szCs w:val="20"/>
        <w:color w:val="auto"/>
      </w:rPr>
    </w:lvl>
    <w:lvl w:ilvl="2">
      <w:start w:val="1"/>
      <w:numFmt w:val="decimal"/>
      <w:lvlText w:val="%1.%2.%3."/>
      <w:lvlJc w:val="left"/>
      <w:pPr>
        <w:tabs>
          <w:tab w:val="num" w:pos="0"/>
        </w:tabs>
        <w:ind w:left="1781"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pt-PT" w:eastAsia="en-US" w:bidi="ar-SA"/>
    </w:rPr>
  </w:style>
  <w:style w:type="paragraph" w:styleId="Ttulo1">
    <w:name w:val="Heading 1"/>
    <w:basedOn w:val="Normal"/>
    <w:uiPriority w:val="1"/>
    <w:qFormat/>
    <w:pPr>
      <w:spacing w:lineRule="exact" w:line="275"/>
      <w:ind w:left="340" w:hanging="240"/>
      <w:jc w:val="both"/>
      <w:outlineLvl w:val="0"/>
    </w:pPr>
    <w:rPr>
      <w:b/>
      <w:bCs/>
      <w:sz w:val="24"/>
      <w:szCs w:val="24"/>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d74485"/>
    <w:rPr>
      <w:rFonts w:ascii="Times New Roman" w:hAnsi="Times New Roman" w:eastAsia="Times New Roman" w:cs="Times New Roman"/>
      <w:lang w:val="pt-PT"/>
    </w:rPr>
  </w:style>
  <w:style w:type="character" w:styleId="RodapChar" w:customStyle="1">
    <w:name w:val="Rodapé Char"/>
    <w:basedOn w:val="DefaultParagraphFont"/>
    <w:uiPriority w:val="99"/>
    <w:qFormat/>
    <w:rsid w:val="00d74485"/>
    <w:rPr>
      <w:rFonts w:ascii="Times New Roman" w:hAnsi="Times New Roman" w:eastAsia="Times New Roman" w:cs="Times New Roman"/>
      <w:lang w:val="pt-PT"/>
    </w:rPr>
  </w:style>
  <w:style w:type="character" w:styleId="LinkdaInternet">
    <w:name w:val="Link da Internet"/>
    <w:basedOn w:val="DefaultParagraphFont"/>
    <w:uiPriority w:val="99"/>
    <w:unhideWhenUsed/>
    <w:rsid w:val="00d74485"/>
    <w:rPr>
      <w:color w:val="0000FF" w:themeColor="hyperlink"/>
      <w:u w:val="single"/>
    </w:rPr>
  </w:style>
  <w:style w:type="character" w:styleId="Nivel01Char" w:customStyle="1">
    <w:name w:val="Nivel 01 Char"/>
    <w:basedOn w:val="DefaultParagraphFont"/>
    <w:link w:val="Nivel01"/>
    <w:qFormat/>
    <w:rsid w:val="00c33b05"/>
    <w:rPr>
      <w:rFonts w:ascii="Arial" w:hAnsi="Arial" w:eastAsia="" w:cs="Arial" w:eastAsiaTheme="majorEastAsia"/>
      <w:b/>
      <w:bCs/>
      <w:color w:val="000000"/>
      <w:sz w:val="20"/>
      <w:szCs w:val="20"/>
      <w:lang w:val="pt-BR" w:eastAsia="pt-BR"/>
    </w:rPr>
  </w:style>
  <w:style w:type="character" w:styleId="Nivel2Char" w:customStyle="1">
    <w:name w:val="Nivel 2 Char"/>
    <w:basedOn w:val="DefaultParagraphFont"/>
    <w:link w:val="Nivel2"/>
    <w:qFormat/>
    <w:locked/>
    <w:rsid w:val="00d74485"/>
    <w:rPr>
      <w:rFonts w:ascii="Arial" w:hAnsi="Arial" w:eastAsia="Arial" w:cs="Arial"/>
      <w:bCs/>
      <w:sz w:val="20"/>
      <w:szCs w:val="20"/>
      <w:lang w:val="pt-BR" w:eastAsia="pt-BR"/>
    </w:rPr>
  </w:style>
  <w:style w:type="character" w:styleId="Nivel3Char" w:customStyle="1">
    <w:name w:val="Nivel 3 Char"/>
    <w:basedOn w:val="DefaultParagraphFont"/>
    <w:link w:val="Nivel3"/>
    <w:qFormat/>
    <w:rsid w:val="00d74485"/>
    <w:rPr>
      <w:rFonts w:ascii="Arial" w:hAnsi="Arial" w:eastAsia="" w:cs="Arial" w:eastAsiaTheme="minorEastAsia"/>
      <w:color w:val="000000"/>
      <w:sz w:val="20"/>
      <w:szCs w:val="20"/>
      <w:lang w:val="pt-BR" w:eastAsia="pt-BR"/>
    </w:rPr>
  </w:style>
  <w:style w:type="character" w:styleId="Nvel1SemNumPretoChar" w:customStyle="1">
    <w:name w:val="Nível 1-Sem Num Preto Char"/>
    <w:basedOn w:val="DefaultParagraphFont"/>
    <w:link w:val="Nvel1SemNumPreto"/>
    <w:qFormat/>
    <w:rsid w:val="00d74485"/>
    <w:rPr>
      <w:rFonts w:ascii="Arial" w:hAnsi="Arial" w:eastAsia="" w:cs="Arial" w:eastAsiaTheme="majorEastAsia"/>
      <w:b/>
      <w:bCs/>
      <w:sz w:val="20"/>
      <w:szCs w:val="20"/>
      <w:lang w:val="pt-BR" w:eastAsia="zh-CN" w:bidi="hi-IN"/>
    </w:rPr>
  </w:style>
  <w:style w:type="character" w:styleId="Normaltextrun" w:customStyle="1">
    <w:name w:val="normaltextrun"/>
    <w:basedOn w:val="DefaultParagraphFont"/>
    <w:qFormat/>
    <w:rsid w:val="00d74485"/>
    <w:rPr/>
  </w:style>
  <w:style w:type="character" w:styleId="Nvel3RChar" w:customStyle="1">
    <w:name w:val="Nível 3-R Char"/>
    <w:basedOn w:val="Nivel3Char"/>
    <w:link w:val="Nvel3R"/>
    <w:qFormat/>
    <w:rsid w:val="00d74485"/>
    <w:rPr>
      <w:rFonts w:ascii="Arial" w:hAnsi="Arial" w:eastAsia="" w:cs="Arial" w:eastAsiaTheme="minorEastAsia"/>
      <w:i/>
      <w:iCs/>
      <w:color w:val="000000"/>
      <w:sz w:val="20"/>
      <w:szCs w:val="20"/>
      <w:lang w:val="pt-BR" w:eastAsia="pt-BR"/>
    </w:rPr>
  </w:style>
  <w:style w:type="character" w:styleId="Findhit" w:customStyle="1">
    <w:name w:val="findhit"/>
    <w:basedOn w:val="DefaultParagraphFont"/>
    <w:qFormat/>
    <w:rsid w:val="00d74485"/>
    <w:rPr/>
  </w:style>
  <w:style w:type="character" w:styleId="Nivel4Char" w:customStyle="1">
    <w:name w:val="Nivel 4 Char"/>
    <w:basedOn w:val="DefaultParagraphFont"/>
    <w:link w:val="Nivel4"/>
    <w:qFormat/>
    <w:rsid w:val="00d74485"/>
    <w:rPr>
      <w:rFonts w:ascii="Arial" w:hAnsi="Arial" w:eastAsia="" w:cs="Arial" w:eastAsiaTheme="minorEastAsia"/>
      <w:sz w:val="20"/>
      <w:szCs w:val="20"/>
      <w:lang w:val="pt-BR" w:eastAsia="pt-BR"/>
    </w:rPr>
  </w:style>
  <w:style w:type="character" w:styleId="TextodebaloChar" w:customStyle="1">
    <w:name w:val="Texto de balão Char"/>
    <w:basedOn w:val="DefaultParagraphFont"/>
    <w:link w:val="BalloonText"/>
    <w:uiPriority w:val="99"/>
    <w:semiHidden/>
    <w:qFormat/>
    <w:rsid w:val="00b12d04"/>
    <w:rPr>
      <w:rFonts w:ascii="Segoe UI" w:hAnsi="Segoe UI" w:eastAsia="Times New Roman" w:cs="Segoe UI"/>
      <w:sz w:val="18"/>
      <w:szCs w:val="18"/>
      <w:lang w:val="pt-PT"/>
    </w:rPr>
  </w:style>
  <w:style w:type="character" w:styleId="TtuloChar" w:customStyle="1">
    <w:name w:val="Título Char"/>
    <w:basedOn w:val="DefaultParagraphFont"/>
    <w:uiPriority w:val="1"/>
    <w:qFormat/>
    <w:rsid w:val="00f31b5b"/>
    <w:rPr>
      <w:rFonts w:ascii="Arial" w:hAnsi="Arial" w:eastAsia="Arial" w:cs="Arial"/>
      <w:b/>
      <w:bCs/>
      <w:sz w:val="20"/>
      <w:szCs w:val="20"/>
      <w:lang w:val="pt-PT"/>
    </w:rPr>
  </w:style>
  <w:style w:type="character" w:styleId="Ttulo1Char">
    <w:name w:val="Título 1 Char"/>
    <w:qFormat/>
    <w:rPr>
      <w:rFonts w:ascii="Arial" w:hAnsi="Arial" w:cs="0"/>
      <w:b/>
      <w:bCs/>
      <w:color w:val="000000"/>
      <w:szCs w:val="28"/>
      <w:lang w:eastAsia="pt-BR"/>
    </w:rPr>
  </w:style>
  <w:style w:type="character" w:styleId="Strong">
    <w:name w:val="Strong"/>
    <w:qFormat/>
    <w:rPr>
      <w:rFonts w:ascii="Times New Roman" w:hAnsi="Times New Roman" w:eastAsia="Times New Roman" w:cs="Times New Roman"/>
      <w:b/>
      <w:bCs/>
      <w:color w:val="000000"/>
      <w:sz w:val="24"/>
      <w:szCs w:val="24"/>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uiPriority w:val="1"/>
    <w:qFormat/>
    <w:pPr>
      <w:ind w:left="100" w:right="112" w:hanging="0"/>
      <w:jc w:val="both"/>
    </w:pPr>
    <w:rPr>
      <w:sz w:val="24"/>
      <w:szCs w:val="24"/>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ListParagraph">
    <w:name w:val="List Paragraph"/>
    <w:basedOn w:val="Normal"/>
    <w:uiPriority w:val="1"/>
    <w:qFormat/>
    <w:pPr>
      <w:ind w:left="100" w:hanging="0"/>
      <w:jc w:val="both"/>
    </w:pPr>
    <w:rPr/>
  </w:style>
  <w:style w:type="paragraph" w:styleId="TableParagraph" w:customStyle="1">
    <w:name w:val="Table Paragraph"/>
    <w:basedOn w:val="Normal"/>
    <w:uiPriority w:val="1"/>
    <w:qFormat/>
    <w:pPr>
      <w:jc w:val="center"/>
    </w:pPr>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d74485"/>
    <w:pPr>
      <w:tabs>
        <w:tab w:val="clear" w:pos="720"/>
        <w:tab w:val="center" w:pos="4252" w:leader="none"/>
        <w:tab w:val="right" w:pos="8504" w:leader="none"/>
      </w:tabs>
    </w:pPr>
    <w:rPr/>
  </w:style>
  <w:style w:type="paragraph" w:styleId="Rodap">
    <w:name w:val="Footer"/>
    <w:basedOn w:val="Normal"/>
    <w:link w:val="RodapChar"/>
    <w:uiPriority w:val="99"/>
    <w:unhideWhenUsed/>
    <w:rsid w:val="00d74485"/>
    <w:pPr>
      <w:tabs>
        <w:tab w:val="clear" w:pos="720"/>
        <w:tab w:val="center" w:pos="4252" w:leader="none"/>
        <w:tab w:val="right" w:pos="8504" w:leader="none"/>
      </w:tabs>
    </w:pPr>
    <w:rPr/>
  </w:style>
  <w:style w:type="paragraph" w:styleId="Nivel01" w:customStyle="1">
    <w:name w:val="Nivel 01"/>
    <w:basedOn w:val="Ttulo1"/>
    <w:next w:val="Normal"/>
    <w:link w:val="Nivel01Char"/>
    <w:autoRedefine/>
    <w:qFormat/>
    <w:rsid w:val="00c33b05"/>
    <w:pPr>
      <w:keepNext w:val="true"/>
      <w:keepLines/>
      <w:widowControl/>
      <w:numPr>
        <w:ilvl w:val="0"/>
        <w:numId w:val="1"/>
      </w:numPr>
      <w:tabs>
        <w:tab w:val="clear" w:pos="720"/>
        <w:tab w:val="left" w:pos="567" w:leader="none"/>
      </w:tabs>
      <w:spacing w:lineRule="auto" w:line="276" w:before="240" w:after="120"/>
      <w:ind w:left="0" w:hanging="0"/>
    </w:pPr>
    <w:rPr>
      <w:rFonts w:ascii="Arial" w:hAnsi="Arial" w:eastAsia="" w:cs="Arial" w:eastAsiaTheme="majorEastAsia"/>
      <w:color w:val="000000"/>
      <w:sz w:val="20"/>
      <w:szCs w:val="20"/>
      <w:lang w:val="pt-BR" w:eastAsia="pt-BR"/>
    </w:rPr>
  </w:style>
  <w:style w:type="paragraph" w:styleId="Nivel2" w:customStyle="1">
    <w:name w:val="Nivel 2"/>
    <w:basedOn w:val="Normal"/>
    <w:link w:val="Nivel2Char"/>
    <w:autoRedefine/>
    <w:qFormat/>
    <w:rsid w:val="00d74485"/>
    <w:pPr>
      <w:widowControl/>
      <w:numPr>
        <w:ilvl w:val="0"/>
        <w:numId w:val="0"/>
      </w:numPr>
      <w:suppressAutoHyphens w:val="true"/>
      <w:bidi w:val="0"/>
      <w:spacing w:lineRule="auto" w:line="360" w:before="0" w:after="0"/>
      <w:ind w:left="0" w:right="0" w:firstLine="850"/>
      <w:jc w:val="both"/>
    </w:pPr>
    <w:rPr>
      <w:rFonts w:ascii="Arial" w:hAnsi="Arial" w:eastAsia="Arial" w:cs="Arial"/>
      <w:b w:val="false"/>
      <w:bCs w:val="false"/>
      <w:sz w:val="20"/>
      <w:szCs w:val="20"/>
      <w:lang w:val="pt-BR" w:eastAsia="pt-BR"/>
    </w:rPr>
  </w:style>
  <w:style w:type="paragraph" w:styleId="Nivel3" w:customStyle="1">
    <w:name w:val="Nivel 3"/>
    <w:basedOn w:val="Normal"/>
    <w:link w:val="Nivel3Char"/>
    <w:autoRedefine/>
    <w:qFormat/>
    <w:rsid w:val="00d74485"/>
    <w:pPr>
      <w:widowControl/>
      <w:spacing w:lineRule="auto" w:line="276" w:before="120" w:after="120"/>
      <w:jc w:val="both"/>
    </w:pPr>
    <w:rPr>
      <w:rFonts w:ascii="Arial" w:hAnsi="Arial" w:eastAsia="" w:cs="Arial" w:eastAsiaTheme="minorEastAsia"/>
      <w:color w:val="000000"/>
      <w:sz w:val="20"/>
      <w:szCs w:val="20"/>
      <w:lang w:val="pt-BR" w:eastAsia="pt-BR"/>
    </w:rPr>
  </w:style>
  <w:style w:type="paragraph" w:styleId="Nvel1SemNumPreto" w:customStyle="1">
    <w:name w:val="Nível 1-Sem Num Preto"/>
    <w:basedOn w:val="Normal"/>
    <w:link w:val="Nvel1SemNumPretoChar"/>
    <w:qFormat/>
    <w:rsid w:val="00d74485"/>
    <w:pPr>
      <w:keepNext w:val="true"/>
      <w:keepLines/>
      <w:widowControl/>
      <w:tabs>
        <w:tab w:val="clear" w:pos="720"/>
        <w:tab w:val="left" w:pos="567" w:leader="none"/>
      </w:tabs>
      <w:spacing w:lineRule="auto" w:line="276" w:before="240" w:after="120"/>
      <w:jc w:val="both"/>
      <w:outlineLvl w:val="1"/>
    </w:pPr>
    <w:rPr>
      <w:rFonts w:ascii="Arial" w:hAnsi="Arial" w:eastAsia="" w:cs="Arial" w:eastAsiaTheme="majorEastAsia"/>
      <w:b/>
      <w:bCs/>
      <w:sz w:val="20"/>
      <w:szCs w:val="20"/>
      <w:lang w:val="pt-BR" w:eastAsia="zh-CN" w:bidi="hi-IN"/>
    </w:rPr>
  </w:style>
  <w:style w:type="paragraph" w:styleId="Nvel3R" w:customStyle="1">
    <w:name w:val="Nível 3-R"/>
    <w:basedOn w:val="Nivel3"/>
    <w:link w:val="Nvel3RChar"/>
    <w:autoRedefine/>
    <w:qFormat/>
    <w:rsid w:val="00d74485"/>
    <w:pPr/>
    <w:rPr>
      <w:i/>
      <w:iCs/>
    </w:rPr>
  </w:style>
  <w:style w:type="paragraph" w:styleId="Nivel4" w:customStyle="1">
    <w:name w:val="Nivel 4"/>
    <w:basedOn w:val="Nivel3"/>
    <w:link w:val="Nivel4Char"/>
    <w:autoRedefine/>
    <w:qFormat/>
    <w:rsid w:val="00d74485"/>
    <w:pPr>
      <w:ind w:left="567" w:hanging="0"/>
    </w:pPr>
    <w:rPr>
      <w:color w:val="auto"/>
    </w:rPr>
  </w:style>
  <w:style w:type="paragraph" w:styleId="BalloonText">
    <w:name w:val="Balloon Text"/>
    <w:basedOn w:val="Normal"/>
    <w:link w:val="TextodebaloChar"/>
    <w:uiPriority w:val="99"/>
    <w:semiHidden/>
    <w:unhideWhenUsed/>
    <w:qFormat/>
    <w:rsid w:val="00b12d04"/>
    <w:pPr/>
    <w:rPr>
      <w:rFonts w:ascii="Segoe UI" w:hAnsi="Segoe UI" w:cs="Segoe UI"/>
      <w:sz w:val="18"/>
      <w:szCs w:val="18"/>
    </w:rPr>
  </w:style>
  <w:style w:type="paragraph" w:styleId="Standard" w:customStyle="1">
    <w:name w:val="Standard"/>
    <w:qFormat/>
    <w:rsid w:val="00384b35"/>
    <w:pPr>
      <w:widowControl w:val="false"/>
      <w:suppressAutoHyphens w:val="true"/>
      <w:bidi w:val="0"/>
      <w:spacing w:before="0" w:after="0"/>
      <w:jc w:val="left"/>
      <w:textAlignment w:val="baseline"/>
    </w:pPr>
    <w:rPr>
      <w:rFonts w:ascii="Liberation Serif" w:hAnsi="Liberation Serif" w:eastAsia="SimSun" w:cs="Mangal"/>
      <w:color w:val="auto"/>
      <w:kern w:val="2"/>
      <w:sz w:val="24"/>
      <w:szCs w:val="24"/>
      <w:lang w:val="pt-BR" w:eastAsia="zh-CN" w:bidi="hi-IN"/>
    </w:rPr>
  </w:style>
  <w:style w:type="paragraph" w:styleId="Ttulododocumento">
    <w:name w:val="Title"/>
    <w:basedOn w:val="Normal"/>
    <w:link w:val="TtuloChar"/>
    <w:uiPriority w:val="1"/>
    <w:qFormat/>
    <w:rsid w:val="00f31b5b"/>
    <w:pPr>
      <w:spacing w:before="111" w:after="0"/>
      <w:ind w:left="5030" w:right="4351" w:hanging="0"/>
      <w:jc w:val="center"/>
    </w:pPr>
    <w:rPr>
      <w:rFonts w:ascii="Arial" w:hAnsi="Arial" w:eastAsia="Arial" w:cs="Arial"/>
      <w:b/>
      <w:bCs/>
      <w:sz w:val="20"/>
      <w:szCs w:val="20"/>
    </w:rPr>
  </w:style>
  <w:style w:type="paragraph" w:styleId="Contedodoquadro">
    <w:name w:val="Conteúdo do quadro"/>
    <w:basedOn w:val="Normal"/>
    <w:qFormat/>
    <w:pPr/>
    <w:rPr/>
  </w:style>
  <w:style w:type="paragraph" w:styleId="Contedodatabela">
    <w:name w:val="Conteúdo da tabela"/>
    <w:basedOn w:val="Normal"/>
    <w:qFormat/>
    <w:pPr>
      <w:widowControl w:val="false"/>
      <w:suppressLineNumbers/>
    </w:pPr>
    <w:rPr/>
  </w:style>
  <w:style w:type="paragraph" w:styleId="Padro">
    <w:name w:val="Padrão"/>
    <w:qFormat/>
    <w:pPr>
      <w:widowControl/>
      <w:tabs>
        <w:tab w:val="clear" w:pos="720"/>
        <w:tab w:val="left" w:pos="708" w:leader="none"/>
      </w:tabs>
      <w:suppressAutoHyphens w:val="true"/>
      <w:bidi w:val="0"/>
      <w:spacing w:lineRule="auto" w:line="252" w:before="0" w:after="160"/>
      <w:jc w:val="left"/>
    </w:pPr>
    <w:rPr>
      <w:rFonts w:ascii="Times New Roman" w:hAnsi="Times New Roman" w:eastAsia="SimSun" w:cs="Mangal"/>
      <w:color w:val="auto"/>
      <w:kern w:val="0"/>
      <w:sz w:val="24"/>
      <w:szCs w:val="24"/>
      <w:lang w:val="pt-BR" w:eastAsia="zh-CN" w:bidi="hi-IN"/>
    </w:rPr>
  </w:style>
  <w:style w:type="paragraph" w:styleId="Default">
    <w:name w:val="Default"/>
    <w:qFormat/>
    <w:pPr>
      <w:widowControl/>
      <w:suppressAutoHyphens w:val="true"/>
      <w:bidi w:val="0"/>
      <w:spacing w:lineRule="auto" w:line="240" w:before="0" w:after="0"/>
      <w:jc w:val="left"/>
    </w:pPr>
    <w:rPr>
      <w:rFonts w:ascii="Calibri" w:hAnsi="Calibri" w:eastAsia="SimSun" w:cs="Calibri"/>
      <w:color w:val="000000"/>
      <w:kern w:val="0"/>
      <w:sz w:val="24"/>
      <w:szCs w:val="24"/>
      <w:lang w:val="pt-BR" w:eastAsia="zh-CN" w:bidi="ar-SA"/>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eader" Target="head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636</TotalTime>
  <Application>LibreOffice/7.3.4.2$Windows_X86_64 LibreOffice_project/728fec16bd5f605073805c3c9e7c4212a0120dc5</Application>
  <AppVersion>15.0000</AppVersion>
  <Pages>14</Pages>
  <Words>3889</Words>
  <Characters>22119</Characters>
  <CharactersWithSpaces>25874</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Clarisse Rabelo Oliveira</dc:creator>
  <dc:description/>
  <dc:language>pt-BR</dc:language>
  <cp:lastModifiedBy/>
  <cp:lastPrinted>2024-07-11T09:13:38Z</cp:lastPrinted>
  <dcterms:modified xsi:type="dcterms:W3CDTF">2024-07-12T11:19:29Z</dcterms:modified>
  <cp:revision>117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2024-01-22T00:00:00Z</vt:filetime>
  </property>
  <property fmtid="{D5CDD505-2E9C-101B-9397-08002B2CF9AE}" pid="3" name="LastSaved">
    <vt:filetime>2024-01-25T00:00:00Z</vt:filetime>
  </property>
  <property fmtid="{D5CDD505-2E9C-101B-9397-08002B2CF9AE}" pid="4" name="Producer">
    <vt:lpwstr>iText® 7.1.8 ©2000-2019 iText Group NV (AGPL-version)</vt:lpwstr>
  </property>
</Properties>
</file>