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142" w:leader="none"/>
        </w:tabs>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drawing>
          <wp:anchor behindDoc="1" distT="0" distB="0" distL="0" distR="0" simplePos="0" locked="0" layoutInCell="0" allowOverlap="1" relativeHeight="2">
            <wp:simplePos x="0" y="0"/>
            <wp:positionH relativeFrom="margin">
              <wp:posOffset>-158750</wp:posOffset>
            </wp:positionH>
            <wp:positionV relativeFrom="paragraph">
              <wp:posOffset>-272415</wp:posOffset>
            </wp:positionV>
            <wp:extent cx="648335" cy="573405"/>
            <wp:effectExtent l="0" t="0" r="0" b="0"/>
            <wp:wrapNone/>
            <wp:docPr id="1" name="Imagem 2" descr="Uma imagem contendo segurando, placa, mulher,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Uma imagem contendo segurando, placa, mulher, relógio&#10;&#10;Descrição gerada automaticamente"/>
                    <pic:cNvPicPr>
                      <a:picLocks noChangeAspect="1" noChangeArrowheads="1"/>
                    </pic:cNvPicPr>
                  </pic:nvPicPr>
                  <pic:blipFill>
                    <a:blip r:embed="rId2"/>
                    <a:stretch>
                      <a:fillRect/>
                    </a:stretch>
                  </pic:blipFill>
                  <pic:spPr bwMode="auto">
                    <a:xfrm>
                      <a:off x="0" y="0"/>
                      <a:ext cx="648335" cy="573405"/>
                    </a:xfrm>
                    <a:prstGeom prst="rect">
                      <a:avLst/>
                    </a:prstGeom>
                  </pic:spPr>
                </pic:pic>
              </a:graphicData>
            </a:graphic>
          </wp:anchor>
        </w:drawing>
        <w:drawing>
          <wp:anchor behindDoc="1" distT="0" distB="0" distL="0" distR="0" simplePos="0" locked="0" layoutInCell="0" allowOverlap="1" relativeHeight="3">
            <wp:simplePos x="0" y="0"/>
            <wp:positionH relativeFrom="column">
              <wp:posOffset>5067935</wp:posOffset>
            </wp:positionH>
            <wp:positionV relativeFrom="paragraph">
              <wp:posOffset>-247650</wp:posOffset>
            </wp:positionV>
            <wp:extent cx="560705" cy="556260"/>
            <wp:effectExtent l="0" t="0" r="0" b="0"/>
            <wp:wrapNone/>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3"/>
                    <a:stretch>
                      <a:fillRect/>
                    </a:stretch>
                  </pic:blipFill>
                  <pic:spPr bwMode="auto">
                    <a:xfrm>
                      <a:off x="0" y="0"/>
                      <a:ext cx="560705" cy="556260"/>
                    </a:xfrm>
                    <a:prstGeom prst="rect">
                      <a:avLst/>
                    </a:prstGeom>
                  </pic:spPr>
                </pic:pic>
              </a:graphicData>
            </a:graphic>
          </wp:anchor>
        </w:drawing>
        <w:drawing>
          <wp:anchor behindDoc="1" distT="0" distB="0" distL="0" distR="0" simplePos="0" locked="0" layoutInCell="0" allowOverlap="1" relativeHeight="4">
            <wp:simplePos x="0" y="0"/>
            <wp:positionH relativeFrom="column">
              <wp:posOffset>2609850</wp:posOffset>
            </wp:positionH>
            <wp:positionV relativeFrom="paragraph">
              <wp:posOffset>-273050</wp:posOffset>
            </wp:positionV>
            <wp:extent cx="579755" cy="579755"/>
            <wp:effectExtent l="0" t="0" r="0" b="0"/>
            <wp:wrapNone/>
            <wp:docPr id="3" name="Imagem 887936881" descr="Desenho de um cachorr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87936881" descr="Desenho de um cachorro&#10;&#10;Descrição gerada automaticamente"/>
                    <pic:cNvPicPr>
                      <a:picLocks noChangeAspect="1" noChangeArrowheads="1"/>
                    </pic:cNvPicPr>
                  </pic:nvPicPr>
                  <pic:blipFill>
                    <a:blip r:embed="rId4"/>
                    <a:stretch>
                      <a:fillRect/>
                    </a:stretch>
                  </pic:blipFill>
                  <pic:spPr bwMode="auto">
                    <a:xfrm>
                      <a:off x="0" y="0"/>
                      <a:ext cx="579755" cy="579755"/>
                    </a:xfrm>
                    <a:prstGeom prst="rect">
                      <a:avLst/>
                    </a:prstGeom>
                  </pic:spPr>
                </pic:pic>
              </a:graphicData>
            </a:graphic>
          </wp:anchor>
        </w:drawing>
      </w:r>
    </w:p>
    <w:p>
      <w:pPr>
        <w:pStyle w:val="Normal"/>
        <w:tabs>
          <w:tab w:val="clear" w:pos="708"/>
          <w:tab w:val="left" w:pos="142" w:leader="none"/>
        </w:tabs>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r>
    </w:p>
    <w:p>
      <w:pPr>
        <w:pStyle w:val="Normal"/>
        <w:tabs>
          <w:tab w:val="clear" w:pos="708"/>
          <w:tab w:val="left" w:pos="142" w:leader="none"/>
        </w:tabs>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r>
    </w:p>
    <w:p>
      <w:pPr>
        <w:pStyle w:val="Normal"/>
        <w:tabs>
          <w:tab w:val="clear" w:pos="708"/>
          <w:tab w:val="left" w:pos="142" w:leader="none"/>
        </w:tabs>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t>ESTADO DO MARANHÃO</w:t>
      </w:r>
    </w:p>
    <w:p>
      <w:pPr>
        <w:pStyle w:val="Normal"/>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t>SECRETARIA DE ESTADO DA SEGURANÇA PÚBLICA</w:t>
      </w:r>
    </w:p>
    <w:p>
      <w:pPr>
        <w:pStyle w:val="Normal"/>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t>POLÍCIA MILITAR DO MARANHÃO</w:t>
      </w:r>
    </w:p>
    <w:p>
      <w:pPr>
        <w:pStyle w:val="Normal"/>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t>4ª SEÇÃO DO ESTADO MAIOR GERAL</w:t>
      </w:r>
    </w:p>
    <w:p>
      <w:pPr>
        <w:pStyle w:val="Normal"/>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r>
    </w:p>
    <w:p>
      <w:pPr>
        <w:pStyle w:val="Normal"/>
        <w:jc w:val="center"/>
        <w:rPr>
          <w:rFonts w:ascii="Times New Roman" w:hAnsi="Times New Roman" w:eastAsia="Times New Roman" w:cs="Times New Roman"/>
          <w:b/>
          <w:b/>
          <w:color w:val="000000" w:themeColor="text1"/>
        </w:rPr>
      </w:pPr>
      <w:r>
        <w:rPr>
          <w:rFonts w:eastAsia="Times New Roman" w:cs="Times New Roman" w:ascii="Times New Roman" w:hAnsi="Times New Roman"/>
          <w:b/>
          <w:color w:val="000000" w:themeColor="text1"/>
        </w:rPr>
      </w:r>
    </w:p>
    <w:p>
      <w:pPr>
        <w:pStyle w:val="Normal"/>
        <w:jc w:val="center"/>
        <w:rPr>
          <w:rFonts w:ascii="Times New Roman" w:hAnsi="Times New Roman" w:cs="Times New Roman"/>
          <w:b/>
          <w:b/>
          <w:bCs/>
        </w:rPr>
      </w:pPr>
      <w:r>
        <w:rPr>
          <w:rFonts w:cs="Times New Roman" w:ascii="Times New Roman" w:hAnsi="Times New Roman"/>
          <w:b/>
          <w:bCs/>
        </w:rPr>
        <w:t>TERMO DE REFERÊNCIA</w:t>
      </w:r>
    </w:p>
    <w:p>
      <w:pPr>
        <w:pStyle w:val="Normal"/>
        <w:jc w:val="center"/>
        <w:rPr>
          <w:rFonts w:ascii="Times New Roman" w:hAnsi="Times New Roman" w:cs="Times New Roman"/>
          <w:b/>
          <w:b/>
          <w:bCs/>
        </w:rPr>
      </w:pPr>
      <w:r>
        <w:rPr>
          <w:rFonts w:cs="Times New Roman" w:ascii="Times New Roman" w:hAnsi="Times New Roman"/>
          <w:b/>
          <w:bCs/>
        </w:rPr>
        <w:t>PROCESSO Nº PMMA/00002/2024</w:t>
      </w:r>
    </w:p>
    <w:p>
      <w:pPr>
        <w:pStyle w:val="Normal"/>
        <w:jc w:val="center"/>
        <w:rPr>
          <w:rFonts w:ascii="Times New Roman" w:hAnsi="Times New Roman" w:cs="Times New Roman"/>
          <w:b/>
          <w:b/>
          <w:bCs/>
        </w:rPr>
      </w:pPr>
      <w:r>
        <w:rPr>
          <w:rFonts w:cs="Times New Roman" w:ascii="Times New Roman" w:hAnsi="Times New Roman"/>
          <w:b/>
          <w:bCs/>
        </w:rPr>
      </w:r>
    </w:p>
    <w:p>
      <w:pPr>
        <w:pStyle w:val="Normal"/>
        <w:jc w:val="center"/>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ListParagraph"/>
        <w:numPr>
          <w:ilvl w:val="0"/>
          <w:numId w:val="1"/>
        </w:numPr>
        <w:jc w:val="both"/>
        <w:rPr>
          <w:rFonts w:ascii="Times New Roman" w:hAnsi="Times New Roman" w:cs="Times New Roman"/>
          <w:b/>
          <w:b/>
          <w:bCs/>
        </w:rPr>
      </w:pPr>
      <w:r>
        <w:rPr>
          <w:rFonts w:cs="Times New Roman" w:ascii="Times New Roman" w:hAnsi="Times New Roman"/>
        </w:rPr>
        <w:t>OBJETO</w:t>
      </w:r>
    </w:p>
    <w:p>
      <w:pPr>
        <w:pStyle w:val="ListParagraph"/>
        <w:spacing w:lineRule="auto" w:line="360"/>
        <w:ind w:left="720" w:hanging="0"/>
        <w:jc w:val="both"/>
        <w:rPr>
          <w:rFonts w:ascii="Times New Roman" w:hAnsi="Times New Roman" w:cs="Times New Roman"/>
          <w:lang w:eastAsia="en-US"/>
        </w:rPr>
      </w:pPr>
      <w:r>
        <w:rPr>
          <w:rFonts w:cs="Times New Roman" w:ascii="Times New Roman" w:hAnsi="Times New Roman"/>
          <w:lang w:eastAsia="en-US"/>
        </w:rPr>
      </w:r>
    </w:p>
    <w:p>
      <w:pPr>
        <w:pStyle w:val="ListParagraph"/>
        <w:widowControl/>
        <w:suppressAutoHyphens w:val="true"/>
        <w:bidi w:val="0"/>
        <w:spacing w:lineRule="auto" w:line="360" w:before="0" w:after="0"/>
        <w:ind w:left="0" w:right="0" w:firstLine="850"/>
        <w:contextualSpacing/>
        <w:jc w:val="both"/>
        <w:rPr>
          <w:rFonts w:ascii="Times New Roman" w:hAnsi="Times New Roman" w:cs="Times New Roman"/>
          <w:lang w:eastAsia="en-US"/>
        </w:rPr>
      </w:pPr>
      <w:r>
        <w:rPr>
          <w:rFonts w:cs="Times New Roman" w:ascii="Times New Roman" w:hAnsi="Times New Roman"/>
          <w:lang w:eastAsia="en-US"/>
        </w:rPr>
        <w:t xml:space="preserve">Contratação de serviços de exames laboratoriais e de imagem para a divisão veterinária, da Diretoria de saúde e Promoção Social da Polícia Militar do Maranhão (DSPS/PMMA), </w:t>
      </w:r>
      <w:r>
        <w:rPr>
          <w:rFonts w:eastAsia="Arial" w:cs="Times New Roman" w:ascii="Times New Roman" w:hAnsi="Times New Roman"/>
          <w:lang w:eastAsia="en-US"/>
        </w:rPr>
        <w:t xml:space="preserve">municípios de São Luís e </w:t>
      </w:r>
      <w:r>
        <w:rPr>
          <w:rFonts w:cs="Times New Roman" w:ascii="Times New Roman" w:hAnsi="Times New Roman"/>
          <w:lang w:eastAsia="en-US"/>
        </w:rPr>
        <w:t>Imperatriz.</w:t>
      </w:r>
    </w:p>
    <w:tbl>
      <w:tblPr>
        <w:tblStyle w:val="Tabelacomgrade"/>
        <w:tblW w:w="9645" w:type="dxa"/>
        <w:jc w:val="left"/>
        <w:tblInd w:w="182" w:type="dxa"/>
        <w:tblLayout w:type="fixed"/>
        <w:tblCellMar>
          <w:top w:w="0" w:type="dxa"/>
          <w:left w:w="108" w:type="dxa"/>
          <w:bottom w:w="0" w:type="dxa"/>
          <w:right w:w="108" w:type="dxa"/>
        </w:tblCellMar>
        <w:tblLook w:firstRow="1" w:noVBand="1" w:lastRow="0" w:firstColumn="1" w:lastColumn="0" w:noHBand="0" w:val="04a0"/>
      </w:tblPr>
      <w:tblGrid>
        <w:gridCol w:w="675"/>
        <w:gridCol w:w="629"/>
        <w:gridCol w:w="960"/>
        <w:gridCol w:w="4050"/>
        <w:gridCol w:w="901"/>
        <w:gridCol w:w="614"/>
        <w:gridCol w:w="781"/>
        <w:gridCol w:w="1033"/>
        <w:gridCol w:w="2"/>
        <w:gridCol w:w="1"/>
      </w:tblGrid>
      <w:tr>
        <w:trPr/>
        <w:tc>
          <w:tcPr>
            <w:tcW w:w="9645" w:type="dxa"/>
            <w:gridSpan w:val="8"/>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 – SÃO LUIS/MA</w:t>
            </w:r>
          </w:p>
        </w:tc>
        <w:tc>
          <w:tcPr>
            <w:tcW w:w="1" w:type="dxa"/>
            <w:tcBorders/>
            <w:vAlign w:val="center"/>
          </w:tcPr>
          <w:p>
            <w:pPr>
              <w:pStyle w:val="Normal"/>
              <w:widowControl w:val="false"/>
              <w:rPr/>
            </w:pPr>
            <w:r>
              <w:rPr/>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Tipo</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Item</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Código</w:t>
            </w:r>
          </w:p>
        </w:tc>
        <w:tc>
          <w:tcPr>
            <w:tcW w:w="405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Descrição</w:t>
            </w:r>
          </w:p>
        </w:tc>
        <w:tc>
          <w:tcPr>
            <w:tcW w:w="90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Unidade</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Qtde</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Valor</w:t>
            </w:r>
          </w:p>
          <w:p>
            <w:pPr>
              <w:pStyle w:val="TableParagraph"/>
              <w:widowControl w:val="false"/>
              <w:jc w:val="center"/>
              <w:rPr>
                <w:rFonts w:ascii="Times New Roman" w:hAnsi="Times New Roman"/>
                <w:sz w:val="20"/>
                <w:szCs w:val="20"/>
              </w:rPr>
            </w:pPr>
            <w:r>
              <w:rPr>
                <w:rFonts w:ascii="Times New Roman" w:hAnsi="Times New Roman"/>
                <w:sz w:val="20"/>
                <w:szCs w:val="20"/>
              </w:rPr>
              <w:t>Unit</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Valor</w:t>
            </w:r>
          </w:p>
          <w:p>
            <w:pPr>
              <w:pStyle w:val="TableParagraph"/>
              <w:widowControl w:val="false"/>
              <w:jc w:val="center"/>
              <w:rPr>
                <w:rFonts w:ascii="Times New Roman" w:hAnsi="Times New Roman"/>
                <w:sz w:val="20"/>
                <w:szCs w:val="20"/>
              </w:rPr>
            </w:pPr>
            <w:r>
              <w:rPr>
                <w:rFonts w:ascii="Times New Roman" w:hAnsi="Times New Roman"/>
                <w:sz w:val="20"/>
                <w:szCs w:val="20"/>
              </w:rPr>
              <w:t>Total</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0049821</w:t>
            </w:r>
          </w:p>
        </w:tc>
        <w:tc>
          <w:tcPr>
            <w:tcW w:w="4050" w:type="dxa"/>
            <w:tcBorders/>
            <w:vAlign w:val="center"/>
          </w:tcPr>
          <w:p>
            <w:pPr>
              <w:pStyle w:val="TableParagraph"/>
              <w:widowControl w:val="false"/>
              <w:jc w:val="both"/>
              <w:rPr>
                <w:rFonts w:ascii="Times New Roman" w:hAnsi="Times New Roman"/>
                <w:sz w:val="20"/>
                <w:szCs w:val="20"/>
              </w:rPr>
            </w:pPr>
            <w:r>
              <w:rPr>
                <w:rFonts w:ascii="Times New Roman" w:hAnsi="Times New Roman"/>
                <w:sz w:val="20"/>
                <w:szCs w:val="20"/>
              </w:rPr>
              <w:t>Exame</w:t>
              <w:tab/>
              <w:t>-</w:t>
              <w:tab/>
              <w:t>Tipo: diagnóstico</w:t>
            </w:r>
          </w:p>
          <w:p>
            <w:pPr>
              <w:pStyle w:val="TableParagraph"/>
              <w:widowControl w:val="false"/>
              <w:jc w:val="both"/>
              <w:rPr>
                <w:rFonts w:ascii="Times New Roman" w:hAnsi="Times New Roman"/>
                <w:sz w:val="20"/>
                <w:szCs w:val="20"/>
              </w:rPr>
            </w:pPr>
            <w:r>
              <w:rPr>
                <w:rFonts w:cs="Times New Roman" w:ascii="Times New Roman" w:hAnsi="Times New Roman"/>
                <w:spacing w:val="-2"/>
                <w:sz w:val="20"/>
                <w:szCs w:val="20"/>
              </w:rPr>
              <w:t>para</w:t>
            </w:r>
            <w:r>
              <w:rPr>
                <w:rFonts w:cs="Times New Roman" w:ascii="Times New Roman" w:hAnsi="Times New Roman"/>
                <w:spacing w:val="-64"/>
                <w:sz w:val="20"/>
                <w:szCs w:val="20"/>
              </w:rPr>
              <w:t xml:space="preserve"> </w:t>
            </w:r>
            <w:r>
              <w:rPr>
                <w:rFonts w:cs="Times New Roman" w:ascii="Times New Roman" w:hAnsi="Times New Roman"/>
                <w:sz w:val="20"/>
                <w:szCs w:val="20"/>
              </w:rPr>
              <w:t>Leishmaniose</w:t>
            </w:r>
            <w:r>
              <w:rPr>
                <w:rFonts w:cs="Times New Roman" w:ascii="Times New Roman" w:hAnsi="Times New Roman"/>
                <w:spacing w:val="64"/>
                <w:sz w:val="20"/>
                <w:szCs w:val="20"/>
              </w:rPr>
              <w:t xml:space="preserve"> </w:t>
            </w:r>
            <w:r>
              <w:rPr>
                <w:rFonts w:cs="Times New Roman" w:ascii="Times New Roman" w:hAnsi="Times New Roman"/>
                <w:sz w:val="20"/>
                <w:szCs w:val="20"/>
              </w:rPr>
              <w:t>Visceral</w:t>
            </w:r>
            <w:r>
              <w:rPr>
                <w:rFonts w:cs="Times New Roman" w:ascii="Times New Roman" w:hAnsi="Times New Roman"/>
                <w:spacing w:val="66"/>
                <w:sz w:val="20"/>
                <w:szCs w:val="20"/>
              </w:rPr>
              <w:t xml:space="preserve"> </w:t>
            </w:r>
            <w:r>
              <w:rPr>
                <w:rFonts w:cs="Times New Roman" w:ascii="Times New Roman" w:hAnsi="Times New Roman"/>
                <w:sz w:val="20"/>
                <w:szCs w:val="20"/>
              </w:rPr>
              <w:t>Canina;</w:t>
            </w:r>
            <w:r>
              <w:rPr>
                <w:rFonts w:cs="Times New Roman" w:ascii="Times New Roman" w:hAnsi="Times New Roman"/>
                <w:spacing w:val="65"/>
                <w:sz w:val="20"/>
                <w:szCs w:val="20"/>
              </w:rPr>
              <w:t xml:space="preserve"> </w:t>
            </w:r>
            <w:r>
              <w:rPr>
                <w:rFonts w:cs="Times New Roman" w:ascii="Times New Roman" w:hAnsi="Times New Roman"/>
                <w:sz w:val="20"/>
                <w:szCs w:val="20"/>
              </w:rPr>
              <w:t>Requisito:</w:t>
            </w:r>
          </w:p>
          <w:p>
            <w:pPr>
              <w:pStyle w:val="TableParagraph"/>
              <w:widowControl w:val="false"/>
              <w:jc w:val="both"/>
              <w:rPr>
                <w:rFonts w:ascii="Times New Roman" w:hAnsi="Times New Roman"/>
                <w:sz w:val="20"/>
                <w:szCs w:val="20"/>
              </w:rPr>
            </w:pPr>
            <w:r>
              <w:rPr>
                <w:rFonts w:cs="Times New Roman" w:ascii="Times New Roman" w:hAnsi="Times New Roman"/>
                <w:sz w:val="20"/>
                <w:szCs w:val="20"/>
              </w:rPr>
              <w:t>Elisa/RIFI</w:t>
            </w:r>
            <w:r>
              <w:rPr>
                <w:rFonts w:cs="Times New Roman" w:ascii="Times New Roman" w:hAnsi="Times New Roman"/>
                <w:spacing w:val="-5"/>
                <w:sz w:val="20"/>
                <w:szCs w:val="20"/>
              </w:rPr>
              <w:t xml:space="preserve"> </w:t>
            </w:r>
            <w:r>
              <w:rPr>
                <w:rFonts w:cs="Times New Roman" w:ascii="Times New Roman" w:hAnsi="Times New Roman"/>
                <w:sz w:val="20"/>
                <w:szCs w:val="20"/>
              </w:rPr>
              <w:t>com</w:t>
            </w:r>
            <w:r>
              <w:rPr>
                <w:rFonts w:cs="Times New Roman" w:ascii="Times New Roman" w:hAnsi="Times New Roman"/>
                <w:spacing w:val="-3"/>
                <w:sz w:val="20"/>
                <w:szCs w:val="20"/>
              </w:rPr>
              <w:t xml:space="preserve"> </w:t>
            </w:r>
            <w:r>
              <w:rPr>
                <w:rFonts w:cs="Times New Roman" w:ascii="Times New Roman" w:hAnsi="Times New Roman"/>
                <w:sz w:val="20"/>
                <w:szCs w:val="20"/>
              </w:rPr>
              <w:t>diluição.</w:t>
            </w:r>
          </w:p>
        </w:tc>
        <w:tc>
          <w:tcPr>
            <w:tcW w:w="90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20</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262,50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5.250,00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0049822</w:t>
            </w:r>
          </w:p>
        </w:tc>
        <w:tc>
          <w:tcPr>
            <w:tcW w:w="4050" w:type="dxa"/>
            <w:tcBorders/>
            <w:vAlign w:val="center"/>
          </w:tcPr>
          <w:p>
            <w:pPr>
              <w:pStyle w:val="TableParagraph"/>
              <w:widowControl w:val="false"/>
              <w:jc w:val="both"/>
              <w:rPr>
                <w:rFonts w:ascii="Times New Roman" w:hAnsi="Times New Roman"/>
                <w:sz w:val="20"/>
                <w:szCs w:val="20"/>
              </w:rPr>
            </w:pPr>
            <w:r>
              <w:rPr>
                <w:rFonts w:ascii="Times New Roman" w:hAnsi="Times New Roman"/>
                <w:sz w:val="20"/>
                <w:szCs w:val="20"/>
              </w:rPr>
              <w:t>Exame</w:t>
              <w:tab/>
              <w:t>-</w:t>
              <w:tab/>
              <w:t>Tipo: diagnóstico</w:t>
              <w:tab/>
              <w:t xml:space="preserve">para </w:t>
            </w:r>
            <w:r>
              <w:rPr>
                <w:rFonts w:cs="Times New Roman" w:ascii="Times New Roman" w:hAnsi="Times New Roman"/>
                <w:sz w:val="20"/>
                <w:szCs w:val="20"/>
              </w:rPr>
              <w:t>Leishmaniose</w:t>
            </w:r>
            <w:r>
              <w:rPr>
                <w:rFonts w:cs="Times New Roman" w:ascii="Times New Roman" w:hAnsi="Times New Roman"/>
                <w:spacing w:val="1"/>
                <w:sz w:val="20"/>
                <w:szCs w:val="20"/>
              </w:rPr>
              <w:t xml:space="preserve"> </w:t>
            </w:r>
            <w:r>
              <w:rPr>
                <w:rFonts w:cs="Times New Roman" w:ascii="Times New Roman" w:hAnsi="Times New Roman"/>
                <w:sz w:val="20"/>
                <w:szCs w:val="20"/>
              </w:rPr>
              <w:t>Visceral</w:t>
            </w:r>
            <w:r>
              <w:rPr>
                <w:rFonts w:cs="Times New Roman" w:ascii="Times New Roman" w:hAnsi="Times New Roman"/>
                <w:spacing w:val="1"/>
                <w:sz w:val="20"/>
                <w:szCs w:val="20"/>
              </w:rPr>
              <w:t xml:space="preserve"> </w:t>
            </w:r>
            <w:r>
              <w:rPr>
                <w:rFonts w:cs="Times New Roman" w:ascii="Times New Roman" w:hAnsi="Times New Roman"/>
                <w:sz w:val="20"/>
                <w:szCs w:val="20"/>
              </w:rPr>
              <w:t>Canina;</w:t>
            </w:r>
            <w:r>
              <w:rPr>
                <w:rFonts w:cs="Times New Roman" w:ascii="Times New Roman" w:hAnsi="Times New Roman"/>
                <w:spacing w:val="1"/>
                <w:sz w:val="20"/>
                <w:szCs w:val="20"/>
              </w:rPr>
              <w:t xml:space="preserve"> </w:t>
            </w:r>
            <w:r>
              <w:rPr>
                <w:rFonts w:cs="Times New Roman" w:ascii="Times New Roman" w:hAnsi="Times New Roman"/>
                <w:sz w:val="20"/>
                <w:szCs w:val="20"/>
              </w:rPr>
              <w:t>Requisito:</w:t>
            </w:r>
            <w:r>
              <w:rPr>
                <w:rFonts w:cs="Times New Roman" w:ascii="Times New Roman" w:hAnsi="Times New Roman"/>
                <w:spacing w:val="-64"/>
                <w:sz w:val="20"/>
                <w:szCs w:val="20"/>
              </w:rPr>
              <w:t xml:space="preserve"> </w:t>
            </w:r>
            <w:r>
              <w:rPr>
                <w:rFonts w:cs="Times New Roman" w:ascii="Times New Roman" w:hAnsi="Times New Roman"/>
                <w:sz w:val="20"/>
                <w:szCs w:val="20"/>
              </w:rPr>
              <w:t>PCR.</w:t>
            </w:r>
          </w:p>
        </w:tc>
        <w:tc>
          <w:tcPr>
            <w:tcW w:w="90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08</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388,50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3.108,00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0049823</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w:t>
            </w:r>
            <w:r>
              <w:rPr>
                <w:rFonts w:cs="Times New Roman" w:ascii="Times New Roman" w:hAnsi="Times New Roman"/>
                <w:spacing w:val="63"/>
                <w:sz w:val="20"/>
                <w:szCs w:val="20"/>
              </w:rPr>
              <w:t xml:space="preserve"> </w:t>
            </w:r>
            <w:r>
              <w:rPr>
                <w:rFonts w:cs="Times New Roman" w:ascii="Times New Roman" w:hAnsi="Times New Roman"/>
                <w:sz w:val="20"/>
                <w:szCs w:val="20"/>
              </w:rPr>
              <w:t>-</w:t>
            </w:r>
            <w:r>
              <w:rPr>
                <w:rFonts w:cs="Times New Roman" w:ascii="Times New Roman" w:hAnsi="Times New Roman"/>
                <w:spacing w:val="66"/>
                <w:sz w:val="20"/>
                <w:szCs w:val="20"/>
              </w:rPr>
              <w:t xml:space="preserve"> </w:t>
            </w:r>
            <w:r>
              <w:rPr>
                <w:rFonts w:cs="Times New Roman" w:ascii="Times New Roman" w:hAnsi="Times New Roman"/>
                <w:sz w:val="20"/>
                <w:szCs w:val="20"/>
              </w:rPr>
              <w:t>Tipo:</w:t>
            </w:r>
            <w:r>
              <w:rPr>
                <w:rFonts w:cs="Times New Roman" w:ascii="Times New Roman" w:hAnsi="Times New Roman"/>
                <w:spacing w:val="1"/>
                <w:sz w:val="20"/>
                <w:szCs w:val="20"/>
              </w:rPr>
              <w:t xml:space="preserve"> </w:t>
            </w:r>
            <w:r>
              <w:rPr>
                <w:rFonts w:cs="Times New Roman" w:ascii="Times New Roman" w:hAnsi="Times New Roman"/>
                <w:sz w:val="20"/>
                <w:szCs w:val="20"/>
              </w:rPr>
              <w:t>mormo</w:t>
            </w:r>
            <w:r>
              <w:rPr>
                <w:rFonts w:cs="Times New Roman" w:ascii="Times New Roman" w:hAnsi="Times New Roman"/>
                <w:spacing w:val="66"/>
                <w:sz w:val="20"/>
                <w:szCs w:val="20"/>
              </w:rPr>
              <w:t xml:space="preserve"> </w:t>
            </w:r>
            <w:r>
              <w:rPr>
                <w:rFonts w:cs="Times New Roman" w:ascii="Times New Roman" w:hAnsi="Times New Roman"/>
                <w:sz w:val="20"/>
                <w:szCs w:val="20"/>
              </w:rPr>
              <w:t>equino;</w:t>
            </w:r>
            <w:r>
              <w:rPr>
                <w:rFonts w:cs="Times New Roman" w:ascii="Times New Roman" w:hAnsi="Times New Roman"/>
                <w:spacing w:val="67"/>
                <w:sz w:val="20"/>
                <w:szCs w:val="20"/>
              </w:rPr>
              <w:t xml:space="preserve"> </w:t>
            </w:r>
            <w:r>
              <w:rPr>
                <w:rFonts w:cs="Times New Roman" w:ascii="Times New Roman" w:hAnsi="Times New Roman"/>
                <w:sz w:val="20"/>
                <w:szCs w:val="20"/>
              </w:rPr>
              <w:t>Requisito:</w:t>
            </w:r>
          </w:p>
          <w:p>
            <w:pPr>
              <w:pStyle w:val="TableParagraph"/>
              <w:widowControl w:val="false"/>
              <w:jc w:val="both"/>
              <w:rPr>
                <w:rFonts w:ascii="Times New Roman" w:hAnsi="Times New Roman"/>
                <w:sz w:val="20"/>
                <w:szCs w:val="20"/>
              </w:rPr>
            </w:pPr>
            <w:r>
              <w:rPr>
                <w:rFonts w:cs="Times New Roman" w:ascii="Times New Roman" w:hAnsi="Times New Roman"/>
                <w:sz w:val="20"/>
                <w:szCs w:val="20"/>
              </w:rPr>
              <w:t>sangue;</w:t>
            </w:r>
            <w:r>
              <w:rPr>
                <w:rFonts w:cs="Times New Roman" w:ascii="Times New Roman" w:hAnsi="Times New Roman"/>
                <w:spacing w:val="-4"/>
                <w:sz w:val="20"/>
                <w:szCs w:val="20"/>
              </w:rPr>
              <w:t xml:space="preserve"> </w:t>
            </w:r>
            <w:r>
              <w:rPr>
                <w:rFonts w:cs="Times New Roman" w:ascii="Times New Roman" w:hAnsi="Times New Roman"/>
                <w:sz w:val="20"/>
                <w:szCs w:val="20"/>
              </w:rPr>
              <w:t>Característica:</w:t>
            </w:r>
            <w:r>
              <w:rPr>
                <w:rFonts w:cs="Times New Roman" w:ascii="Times New Roman" w:hAnsi="Times New Roman"/>
                <w:spacing w:val="-4"/>
                <w:sz w:val="20"/>
                <w:szCs w:val="20"/>
              </w:rPr>
              <w:t xml:space="preserve"> </w:t>
            </w:r>
            <w:r>
              <w:rPr>
                <w:rFonts w:cs="Times New Roman" w:ascii="Times New Roman" w:hAnsi="Times New Roman"/>
                <w:sz w:val="20"/>
                <w:szCs w:val="20"/>
              </w:rPr>
              <w:t>exame</w:t>
            </w:r>
            <w:r>
              <w:rPr>
                <w:rFonts w:cs="Times New Roman" w:ascii="Times New Roman" w:hAnsi="Times New Roman"/>
                <w:spacing w:val="-3"/>
                <w:sz w:val="20"/>
                <w:szCs w:val="20"/>
              </w:rPr>
              <w:t xml:space="preserve"> </w:t>
            </w:r>
            <w:r>
              <w:rPr>
                <w:rFonts w:cs="Times New Roman" w:ascii="Times New Roman" w:hAnsi="Times New Roman"/>
                <w:sz w:val="20"/>
                <w:szCs w:val="20"/>
              </w:rPr>
              <w:t>clínico.</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50</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136,50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6.825,00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0049824</w:t>
            </w:r>
          </w:p>
        </w:tc>
        <w:tc>
          <w:tcPr>
            <w:tcW w:w="4050" w:type="dxa"/>
            <w:tcBorders/>
            <w:vAlign w:val="center"/>
          </w:tcPr>
          <w:p>
            <w:pPr>
              <w:pStyle w:val="TableParagraph"/>
              <w:widowControl w:val="false"/>
              <w:jc w:val="both"/>
              <w:rPr>
                <w:rFonts w:ascii="Times New Roman" w:hAnsi="Times New Roman"/>
                <w:sz w:val="20"/>
                <w:szCs w:val="20"/>
              </w:rPr>
            </w:pPr>
            <w:r>
              <w:rPr>
                <w:rFonts w:ascii="Times New Roman" w:hAnsi="Times New Roman"/>
                <w:sz w:val="20"/>
                <w:szCs w:val="20"/>
              </w:rPr>
              <w:t>Exame</w:t>
              <w:tab/>
              <w:t>-</w:t>
              <w:tab/>
              <w:t>Tipo: hemograma</w:t>
              <w:tab/>
              <w:t>completo;</w:t>
            </w:r>
          </w:p>
          <w:p>
            <w:pPr>
              <w:pStyle w:val="TableParagraph"/>
              <w:widowControl w:val="false"/>
              <w:jc w:val="both"/>
              <w:rPr>
                <w:rFonts w:ascii="Times New Roman" w:hAnsi="Times New Roman"/>
                <w:sz w:val="20"/>
                <w:szCs w:val="20"/>
              </w:rPr>
            </w:pPr>
            <w:r>
              <w:rPr>
                <w:rFonts w:cs="Times New Roman" w:ascii="Times New Roman" w:hAnsi="Times New Roman"/>
                <w:sz w:val="20"/>
                <w:szCs w:val="20"/>
              </w:rPr>
              <w:t>Requisito:</w:t>
            </w:r>
            <w:r>
              <w:rPr>
                <w:rFonts w:cs="Times New Roman" w:ascii="Times New Roman" w:hAnsi="Times New Roman"/>
                <w:spacing w:val="-5"/>
                <w:sz w:val="20"/>
                <w:szCs w:val="20"/>
              </w:rPr>
              <w:t xml:space="preserve"> </w:t>
            </w:r>
            <w:r>
              <w:rPr>
                <w:rFonts w:cs="Times New Roman" w:ascii="Times New Roman" w:hAnsi="Times New Roman"/>
                <w:sz w:val="20"/>
                <w:szCs w:val="20"/>
              </w:rPr>
              <w:t>PARA</w:t>
            </w:r>
            <w:r>
              <w:rPr>
                <w:rFonts w:cs="Times New Roman" w:ascii="Times New Roman" w:hAnsi="Times New Roman"/>
                <w:spacing w:val="-5"/>
                <w:sz w:val="20"/>
                <w:szCs w:val="20"/>
              </w:rPr>
              <w:t xml:space="preserve"> </w:t>
            </w:r>
            <w:r>
              <w:rPr>
                <w:rFonts w:cs="Times New Roman" w:ascii="Times New Roman" w:hAnsi="Times New Roman"/>
                <w:sz w:val="20"/>
                <w:szCs w:val="20"/>
              </w:rPr>
              <w:t>CÃES.</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20</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99,75</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1.995,00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5</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0049825</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 - Tipo: hemograma completo;</w:t>
            </w:r>
            <w:r>
              <w:rPr>
                <w:rFonts w:cs="Times New Roman" w:ascii="Times New Roman" w:hAnsi="Times New Roman"/>
                <w:spacing w:val="1"/>
                <w:sz w:val="20"/>
                <w:szCs w:val="20"/>
              </w:rPr>
              <w:t xml:space="preserve"> </w:t>
            </w:r>
            <w:r>
              <w:rPr>
                <w:rFonts w:cs="Times New Roman" w:ascii="Times New Roman" w:hAnsi="Times New Roman"/>
                <w:sz w:val="20"/>
                <w:szCs w:val="20"/>
              </w:rPr>
              <w:t>Requisito:</w:t>
            </w:r>
            <w:r>
              <w:rPr>
                <w:rFonts w:cs="Times New Roman" w:ascii="Times New Roman" w:hAnsi="Times New Roman"/>
                <w:spacing w:val="-4"/>
                <w:sz w:val="20"/>
                <w:szCs w:val="20"/>
              </w:rPr>
              <w:t xml:space="preserve"> </w:t>
            </w:r>
            <w:r>
              <w:rPr>
                <w:rFonts w:cs="Times New Roman" w:ascii="Times New Roman" w:hAnsi="Times New Roman"/>
                <w:sz w:val="20"/>
                <w:szCs w:val="20"/>
              </w:rPr>
              <w:t>sangue;</w:t>
            </w:r>
            <w:r>
              <w:rPr>
                <w:rFonts w:cs="Times New Roman" w:ascii="Times New Roman" w:hAnsi="Times New Roman"/>
                <w:spacing w:val="-5"/>
                <w:sz w:val="20"/>
                <w:szCs w:val="20"/>
              </w:rPr>
              <w:t xml:space="preserve"> </w:t>
            </w:r>
            <w:r>
              <w:rPr>
                <w:rFonts w:cs="Times New Roman" w:ascii="Times New Roman" w:hAnsi="Times New Roman"/>
                <w:sz w:val="20"/>
                <w:szCs w:val="20"/>
              </w:rPr>
              <w:t>Característica:</w:t>
            </w:r>
            <w:r>
              <w:rPr>
                <w:rFonts w:cs="Times New Roman" w:ascii="Times New Roman" w:hAnsi="Times New Roman"/>
                <w:spacing w:val="-5"/>
                <w:sz w:val="20"/>
                <w:szCs w:val="20"/>
              </w:rPr>
              <w:t xml:space="preserve"> </w:t>
            </w:r>
            <w:r>
              <w:rPr>
                <w:rFonts w:cs="Times New Roman" w:ascii="Times New Roman" w:hAnsi="Times New Roman"/>
                <w:sz w:val="20"/>
                <w:szCs w:val="20"/>
              </w:rPr>
              <w:t xml:space="preserve">exame </w:t>
            </w:r>
            <w:r>
              <w:rPr>
                <w:rFonts w:ascii="Times New Roman" w:hAnsi="Times New Roman"/>
                <w:sz w:val="20"/>
                <w:szCs w:val="20"/>
              </w:rPr>
              <w:t>clinico.</w:t>
            </w:r>
          </w:p>
        </w:tc>
        <w:tc>
          <w:tcPr>
            <w:tcW w:w="90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15</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115,50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1.732,50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6</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0049827</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w:t>
            </w:r>
            <w:r>
              <w:rPr>
                <w:rFonts w:cs="Times New Roman" w:ascii="Times New Roman" w:hAnsi="Times New Roman"/>
                <w:spacing w:val="-3"/>
                <w:sz w:val="20"/>
                <w:szCs w:val="20"/>
              </w:rPr>
              <w:t xml:space="preserve"> </w:t>
            </w:r>
            <w:r>
              <w:rPr>
                <w:rFonts w:cs="Times New Roman" w:ascii="Times New Roman" w:hAnsi="Times New Roman"/>
                <w:sz w:val="20"/>
                <w:szCs w:val="20"/>
              </w:rPr>
              <w:t>-</w:t>
            </w:r>
            <w:r>
              <w:rPr>
                <w:rFonts w:cs="Times New Roman" w:ascii="Times New Roman" w:hAnsi="Times New Roman"/>
                <w:spacing w:val="-3"/>
                <w:sz w:val="20"/>
                <w:szCs w:val="20"/>
              </w:rPr>
              <w:t xml:space="preserve"> </w:t>
            </w:r>
            <w:r>
              <w:rPr>
                <w:rFonts w:cs="Times New Roman" w:ascii="Times New Roman" w:hAnsi="Times New Roman"/>
                <w:sz w:val="20"/>
                <w:szCs w:val="20"/>
              </w:rPr>
              <w:t>Tipo:</w:t>
            </w:r>
            <w:r>
              <w:rPr>
                <w:rFonts w:cs="Times New Roman" w:ascii="Times New Roman" w:hAnsi="Times New Roman"/>
                <w:spacing w:val="-2"/>
                <w:sz w:val="20"/>
                <w:szCs w:val="20"/>
              </w:rPr>
              <w:t xml:space="preserve"> </w:t>
            </w:r>
            <w:r>
              <w:rPr>
                <w:rFonts w:cs="Times New Roman" w:ascii="Times New Roman" w:hAnsi="Times New Roman"/>
                <w:sz w:val="20"/>
                <w:szCs w:val="20"/>
              </w:rPr>
              <w:t>Bioquímicos;</w:t>
            </w:r>
            <w:r>
              <w:rPr>
                <w:rFonts w:cs="Times New Roman" w:ascii="Times New Roman" w:hAnsi="Times New Roman"/>
                <w:spacing w:val="-4"/>
                <w:sz w:val="20"/>
                <w:szCs w:val="20"/>
              </w:rPr>
              <w:t xml:space="preserve"> </w:t>
            </w:r>
            <w:r>
              <w:rPr>
                <w:rFonts w:cs="Times New Roman" w:ascii="Times New Roman" w:hAnsi="Times New Roman"/>
                <w:sz w:val="20"/>
                <w:szCs w:val="20"/>
              </w:rPr>
              <w:t>Método: Funções</w:t>
            </w:r>
            <w:r>
              <w:rPr>
                <w:rFonts w:cs="Times New Roman" w:ascii="Times New Roman" w:hAnsi="Times New Roman"/>
                <w:spacing w:val="-4"/>
                <w:sz w:val="20"/>
                <w:szCs w:val="20"/>
              </w:rPr>
              <w:t xml:space="preserve"> </w:t>
            </w:r>
            <w:r>
              <w:rPr>
                <w:rFonts w:cs="Times New Roman" w:ascii="Times New Roman" w:hAnsi="Times New Roman"/>
                <w:sz w:val="20"/>
                <w:szCs w:val="20"/>
              </w:rPr>
              <w:t>Renal</w:t>
            </w:r>
            <w:r>
              <w:rPr>
                <w:rFonts w:cs="Times New Roman" w:ascii="Times New Roman" w:hAnsi="Times New Roman"/>
                <w:spacing w:val="-4"/>
                <w:sz w:val="20"/>
                <w:szCs w:val="20"/>
              </w:rPr>
              <w:t xml:space="preserve"> </w:t>
            </w:r>
            <w:r>
              <w:rPr>
                <w:rFonts w:cs="Times New Roman" w:ascii="Times New Roman" w:hAnsi="Times New Roman"/>
                <w:sz w:val="20"/>
                <w:szCs w:val="20"/>
              </w:rPr>
              <w:t>e</w:t>
            </w:r>
            <w:r>
              <w:rPr>
                <w:rFonts w:cs="Times New Roman" w:ascii="Times New Roman" w:hAnsi="Times New Roman"/>
                <w:spacing w:val="-4"/>
                <w:sz w:val="20"/>
                <w:szCs w:val="20"/>
              </w:rPr>
              <w:t xml:space="preserve"> </w:t>
            </w:r>
            <w:r>
              <w:rPr>
                <w:rFonts w:cs="Times New Roman" w:ascii="Times New Roman" w:hAnsi="Times New Roman"/>
                <w:sz w:val="20"/>
                <w:szCs w:val="20"/>
              </w:rPr>
              <w:t>Hepática.</w:t>
            </w:r>
            <w:r>
              <w:rPr>
                <w:rFonts w:cs="Times New Roman" w:ascii="Times New Roman" w:hAnsi="Times New Roman"/>
                <w:spacing w:val="-2"/>
                <w:sz w:val="20"/>
                <w:szCs w:val="20"/>
              </w:rPr>
              <w:t xml:space="preserve"> </w:t>
            </w:r>
            <w:r>
              <w:rPr>
                <w:rFonts w:cs="Times New Roman" w:ascii="Times New Roman" w:hAnsi="Times New Roman"/>
                <w:sz w:val="20"/>
                <w:szCs w:val="20"/>
              </w:rPr>
              <w:t>Exames</w:t>
            </w:r>
            <w:r>
              <w:rPr>
                <w:rFonts w:cs="Times New Roman" w:ascii="Times New Roman" w:hAnsi="Times New Roman"/>
                <w:spacing w:val="-2"/>
                <w:sz w:val="20"/>
                <w:szCs w:val="20"/>
              </w:rPr>
              <w:t xml:space="preserve"> </w:t>
            </w:r>
            <w:r>
              <w:rPr>
                <w:rFonts w:cs="Times New Roman" w:ascii="Times New Roman" w:hAnsi="Times New Roman"/>
                <w:sz w:val="20"/>
                <w:szCs w:val="20"/>
              </w:rPr>
              <w:t>para</w:t>
            </w:r>
            <w:r>
              <w:rPr>
                <w:rFonts w:cs="Times New Roman" w:ascii="Times New Roman" w:hAnsi="Times New Roman"/>
                <w:spacing w:val="-64"/>
                <w:sz w:val="20"/>
                <w:szCs w:val="20"/>
              </w:rPr>
              <w:t xml:space="preserve"> </w:t>
            </w:r>
            <w:r>
              <w:rPr>
                <w:rFonts w:cs="Times New Roman" w:ascii="Times New Roman" w:hAnsi="Times New Roman"/>
                <w:sz w:val="20"/>
                <w:szCs w:val="20"/>
              </w:rPr>
              <w:t>equinos</w:t>
            </w:r>
          </w:p>
        </w:tc>
        <w:tc>
          <w:tcPr>
            <w:tcW w:w="90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10</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472,50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4.725,00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001</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7</w:t>
            </w:r>
          </w:p>
        </w:tc>
        <w:tc>
          <w:tcPr>
            <w:tcW w:w="960"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0040541</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Prestação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Serviço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Exame</w:t>
            </w:r>
            <w:r>
              <w:rPr>
                <w:rFonts w:cs="Times New Roman" w:ascii="Times New Roman" w:hAnsi="Times New Roman"/>
                <w:spacing w:val="-2"/>
                <w:sz w:val="20"/>
                <w:szCs w:val="20"/>
              </w:rPr>
              <w:t xml:space="preserve"> </w:t>
            </w:r>
            <w:r>
              <w:rPr>
                <w:rFonts w:cs="Times New Roman" w:ascii="Times New Roman" w:hAnsi="Times New Roman"/>
                <w:sz w:val="20"/>
                <w:szCs w:val="20"/>
              </w:rPr>
              <w:t>Sumário de</w:t>
            </w:r>
            <w:r>
              <w:rPr>
                <w:rFonts w:cs="Times New Roman" w:ascii="Times New Roman" w:hAnsi="Times New Roman"/>
                <w:spacing w:val="-2"/>
                <w:sz w:val="20"/>
                <w:szCs w:val="20"/>
              </w:rPr>
              <w:t xml:space="preserve"> </w:t>
            </w:r>
            <w:r>
              <w:rPr>
                <w:rFonts w:cs="Times New Roman" w:ascii="Times New Roman" w:hAnsi="Times New Roman"/>
                <w:sz w:val="20"/>
                <w:szCs w:val="20"/>
              </w:rPr>
              <w:t>Urina</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10</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173,66</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1.736,60</w:t>
            </w:r>
          </w:p>
        </w:tc>
      </w:tr>
      <w:tr>
        <w:trPr/>
        <w:tc>
          <w:tcPr>
            <w:tcW w:w="7829" w:type="dxa"/>
            <w:gridSpan w:val="6"/>
            <w:tcBorders/>
            <w:vAlign w:val="center"/>
          </w:tcPr>
          <w:p>
            <w:pPr>
              <w:pStyle w:val="TableParagraph"/>
              <w:widowControl w:val="false"/>
              <w:suppressAutoHyphens w:val="true"/>
              <w:bidi w:val="0"/>
              <w:spacing w:before="0" w:after="0"/>
              <w:ind w:left="0" w:right="-1814" w:hanging="0"/>
              <w:jc w:val="center"/>
              <w:rPr>
                <w:rFonts w:ascii="Times New Roman" w:hAnsi="Times New Roman"/>
                <w:sz w:val="20"/>
                <w:szCs w:val="20"/>
              </w:rPr>
            </w:pPr>
            <w:r>
              <w:rPr>
                <w:rFonts w:ascii="Times New Roman" w:hAnsi="Times New Roman"/>
                <w:sz w:val="20"/>
                <w:szCs w:val="20"/>
              </w:rPr>
              <w:t>SOMA DO LOTE 001</w:t>
            </w:r>
          </w:p>
        </w:tc>
        <w:tc>
          <w:tcPr>
            <w:tcW w:w="1816" w:type="dxa"/>
            <w:gridSpan w:val="2"/>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25.372,10</w:t>
            </w:r>
          </w:p>
        </w:tc>
        <w:tc>
          <w:tcPr>
            <w:tcW w:w="1" w:type="dxa"/>
            <w:tcBorders/>
            <w:vAlign w:val="center"/>
          </w:tcPr>
          <w:p>
            <w:pPr>
              <w:pStyle w:val="Normal"/>
              <w:widowControl w:val="false"/>
              <w:rPr/>
            </w:pPr>
            <w:r>
              <w:rPr/>
            </w:r>
          </w:p>
        </w:tc>
      </w:tr>
      <w:tr>
        <w:trPr/>
        <w:tc>
          <w:tcPr>
            <w:tcW w:w="9645" w:type="dxa"/>
            <w:gridSpan w:val="8"/>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002 – SÃO LUÍS/MA</w:t>
            </w:r>
          </w:p>
        </w:tc>
        <w:tc>
          <w:tcPr>
            <w:tcW w:w="1" w:type="dxa"/>
            <w:tcBorders/>
            <w:vAlign w:val="center"/>
          </w:tcPr>
          <w:p>
            <w:pPr>
              <w:pStyle w:val="Normal"/>
              <w:widowControl w:val="false"/>
              <w:rPr/>
            </w:pPr>
            <w:r>
              <w:rPr/>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002</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0044381</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Serviço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raio-x em</w:t>
            </w:r>
            <w:r>
              <w:rPr>
                <w:rFonts w:cs="Times New Roman" w:ascii="Times New Roman" w:hAnsi="Times New Roman"/>
                <w:spacing w:val="1"/>
                <w:sz w:val="20"/>
                <w:szCs w:val="20"/>
              </w:rPr>
              <w:t xml:space="preserve"> </w:t>
            </w:r>
            <w:r>
              <w:rPr>
                <w:rFonts w:cs="Times New Roman" w:ascii="Times New Roman" w:hAnsi="Times New Roman"/>
                <w:sz w:val="20"/>
                <w:szCs w:val="20"/>
              </w:rPr>
              <w:t>equinos</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04</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491,66</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1.966,64</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002</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0044384</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Serviço</w:t>
            </w:r>
            <w:r>
              <w:rPr>
                <w:rFonts w:cs="Times New Roman" w:ascii="Times New Roman" w:hAnsi="Times New Roman"/>
                <w:spacing w:val="-4"/>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ultrassom equino</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04</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354,00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1.416,00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002</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0044382</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Serviço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raio-x</w:t>
            </w:r>
            <w:r>
              <w:rPr>
                <w:rFonts w:cs="Times New Roman" w:ascii="Times New Roman" w:hAnsi="Times New Roman"/>
                <w:spacing w:val="-1"/>
                <w:sz w:val="20"/>
                <w:szCs w:val="20"/>
              </w:rPr>
              <w:t xml:space="preserve"> </w:t>
            </w:r>
            <w:r>
              <w:rPr>
                <w:rFonts w:cs="Times New Roman" w:ascii="Times New Roman" w:hAnsi="Times New Roman"/>
                <w:sz w:val="20"/>
                <w:szCs w:val="20"/>
              </w:rPr>
              <w:t>em</w:t>
            </w:r>
            <w:r>
              <w:rPr>
                <w:rFonts w:cs="Times New Roman" w:ascii="Times New Roman" w:hAnsi="Times New Roman"/>
                <w:spacing w:val="2"/>
                <w:sz w:val="20"/>
                <w:szCs w:val="20"/>
              </w:rPr>
              <w:t xml:space="preserve"> </w:t>
            </w:r>
            <w:r>
              <w:rPr>
                <w:rFonts w:cs="Times New Roman" w:ascii="Times New Roman" w:hAnsi="Times New Roman"/>
                <w:sz w:val="20"/>
                <w:szCs w:val="20"/>
              </w:rPr>
              <w:t>cães</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04</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359,89</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1.439,56</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002</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0044385</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Serviço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ultrassom</w:t>
            </w:r>
            <w:r>
              <w:rPr>
                <w:rFonts w:cs="Times New Roman" w:ascii="Times New Roman" w:hAnsi="Times New Roman"/>
                <w:spacing w:val="1"/>
                <w:sz w:val="20"/>
                <w:szCs w:val="20"/>
              </w:rPr>
              <w:t xml:space="preserve"> </w:t>
            </w:r>
            <w:r>
              <w:rPr>
                <w:rFonts w:cs="Times New Roman" w:ascii="Times New Roman" w:hAnsi="Times New Roman"/>
                <w:sz w:val="20"/>
                <w:szCs w:val="20"/>
              </w:rPr>
              <w:t>canino</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04</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253,00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1.012,00</w:t>
            </w:r>
          </w:p>
        </w:tc>
      </w:tr>
      <w:tr>
        <w:trPr/>
        <w:tc>
          <w:tcPr>
            <w:tcW w:w="7829" w:type="dxa"/>
            <w:gridSpan w:val="6"/>
            <w:tcBorders/>
            <w:vAlign w:val="center"/>
          </w:tcPr>
          <w:p>
            <w:pPr>
              <w:pStyle w:val="TableParagraph"/>
              <w:widowControl w:val="false"/>
              <w:suppressAutoHyphens w:val="true"/>
              <w:bidi w:val="0"/>
              <w:spacing w:before="0" w:after="0"/>
              <w:ind w:left="0" w:right="-1814" w:hanging="0"/>
              <w:jc w:val="center"/>
              <w:rPr>
                <w:rFonts w:ascii="Times New Roman" w:hAnsi="Times New Roman"/>
                <w:sz w:val="20"/>
                <w:szCs w:val="20"/>
              </w:rPr>
            </w:pPr>
            <w:r>
              <w:rPr>
                <w:rFonts w:ascii="Times New Roman" w:hAnsi="Times New Roman"/>
                <w:sz w:val="20"/>
                <w:szCs w:val="20"/>
              </w:rPr>
              <w:t>SOMA DO LOTE 002</w:t>
            </w:r>
          </w:p>
        </w:tc>
        <w:tc>
          <w:tcPr>
            <w:tcW w:w="1816" w:type="dxa"/>
            <w:gridSpan w:val="2"/>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5.834,20</w:t>
            </w:r>
          </w:p>
        </w:tc>
        <w:tc>
          <w:tcPr>
            <w:tcW w:w="1" w:type="dxa"/>
            <w:tcBorders/>
            <w:vAlign w:val="center"/>
          </w:tcPr>
          <w:p>
            <w:pPr>
              <w:pStyle w:val="Normal"/>
              <w:widowControl w:val="false"/>
              <w:rPr/>
            </w:pPr>
            <w:r>
              <w:rPr/>
            </w:r>
          </w:p>
        </w:tc>
      </w:tr>
      <w:tr>
        <w:trPr/>
        <w:tc>
          <w:tcPr>
            <w:tcW w:w="9645" w:type="dxa"/>
            <w:gridSpan w:val="8"/>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 – IMPERATRIZ/MA</w:t>
            </w:r>
          </w:p>
        </w:tc>
        <w:tc>
          <w:tcPr>
            <w:tcW w:w="1" w:type="dxa"/>
            <w:tcBorders/>
            <w:vAlign w:val="center"/>
          </w:tcPr>
          <w:p>
            <w:pPr>
              <w:pStyle w:val="Normal"/>
              <w:widowControl w:val="false"/>
              <w:rPr/>
            </w:pPr>
            <w:r>
              <w:rPr/>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r>
          </w:p>
          <w:p>
            <w:pPr>
              <w:pStyle w:val="TableParagraph"/>
              <w:widowControl w:val="false"/>
              <w:rPr>
                <w:rFonts w:ascii="Times New Roman" w:hAnsi="Times New Roman"/>
                <w:sz w:val="20"/>
                <w:szCs w:val="20"/>
              </w:rPr>
            </w:pPr>
            <w:r>
              <w:rPr>
                <w:rFonts w:ascii="Times New Roman" w:hAnsi="Times New Roman"/>
                <w:sz w:val="20"/>
                <w:szCs w:val="20"/>
              </w:rPr>
              <w:t>0049826</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w:t>
            </w:r>
            <w:r>
              <w:rPr>
                <w:rFonts w:cs="Times New Roman" w:ascii="Times New Roman" w:hAnsi="Times New Roman"/>
                <w:spacing w:val="-4"/>
                <w:sz w:val="20"/>
                <w:szCs w:val="20"/>
              </w:rPr>
              <w:t xml:space="preserve"> </w:t>
            </w:r>
            <w:r>
              <w:rPr>
                <w:rFonts w:cs="Times New Roman" w:ascii="Times New Roman" w:hAnsi="Times New Roman"/>
                <w:sz w:val="20"/>
                <w:szCs w:val="20"/>
              </w:rPr>
              <w:t>-</w:t>
            </w:r>
            <w:r>
              <w:rPr>
                <w:rFonts w:cs="Times New Roman" w:ascii="Times New Roman" w:hAnsi="Times New Roman"/>
                <w:spacing w:val="-3"/>
                <w:sz w:val="20"/>
                <w:szCs w:val="20"/>
              </w:rPr>
              <w:t xml:space="preserve"> </w:t>
            </w:r>
            <w:r>
              <w:rPr>
                <w:rFonts w:cs="Times New Roman" w:ascii="Times New Roman" w:hAnsi="Times New Roman"/>
                <w:sz w:val="20"/>
                <w:szCs w:val="20"/>
              </w:rPr>
              <w:t>Tipo:</w:t>
            </w:r>
            <w:r>
              <w:rPr>
                <w:rFonts w:cs="Times New Roman" w:ascii="Times New Roman" w:hAnsi="Times New Roman"/>
                <w:spacing w:val="-2"/>
                <w:sz w:val="20"/>
                <w:szCs w:val="20"/>
              </w:rPr>
              <w:t xml:space="preserve"> </w:t>
            </w:r>
            <w:r>
              <w:rPr>
                <w:rFonts w:cs="Times New Roman" w:ascii="Times New Roman" w:hAnsi="Times New Roman"/>
                <w:sz w:val="20"/>
                <w:szCs w:val="20"/>
              </w:rPr>
              <w:t>anemia</w:t>
            </w:r>
            <w:r>
              <w:rPr>
                <w:rFonts w:cs="Times New Roman" w:ascii="Times New Roman" w:hAnsi="Times New Roman"/>
                <w:spacing w:val="-4"/>
                <w:sz w:val="20"/>
                <w:szCs w:val="20"/>
              </w:rPr>
              <w:t xml:space="preserve"> </w:t>
            </w:r>
            <w:r>
              <w:rPr>
                <w:rFonts w:cs="Times New Roman" w:ascii="Times New Roman" w:hAnsi="Times New Roman"/>
                <w:sz w:val="20"/>
                <w:szCs w:val="20"/>
              </w:rPr>
              <w:t>infecciosa</w:t>
            </w:r>
            <w:r>
              <w:rPr>
                <w:rFonts w:cs="Times New Roman" w:ascii="Times New Roman" w:hAnsi="Times New Roman"/>
                <w:spacing w:val="-3"/>
                <w:sz w:val="20"/>
                <w:szCs w:val="20"/>
              </w:rPr>
              <w:t xml:space="preserve"> </w:t>
            </w:r>
            <w:r>
              <w:rPr>
                <w:rFonts w:cs="Times New Roman" w:ascii="Times New Roman" w:hAnsi="Times New Roman"/>
                <w:sz w:val="20"/>
                <w:szCs w:val="20"/>
              </w:rPr>
              <w:t>equina;</w:t>
            </w:r>
            <w:r>
              <w:rPr>
                <w:rFonts w:cs="Times New Roman" w:ascii="Times New Roman" w:hAnsi="Times New Roman"/>
                <w:spacing w:val="-64"/>
                <w:sz w:val="20"/>
                <w:szCs w:val="20"/>
              </w:rPr>
              <w:t xml:space="preserve"> </w:t>
            </w:r>
            <w:r>
              <w:rPr>
                <w:rFonts w:cs="Times New Roman" w:ascii="Times New Roman" w:hAnsi="Times New Roman"/>
                <w:sz w:val="20"/>
                <w:szCs w:val="20"/>
              </w:rPr>
              <w:t>Requisito:</w:t>
            </w:r>
            <w:r>
              <w:rPr>
                <w:rFonts w:cs="Times New Roman" w:ascii="Times New Roman" w:hAnsi="Times New Roman"/>
                <w:spacing w:val="-1"/>
                <w:sz w:val="20"/>
                <w:szCs w:val="20"/>
              </w:rPr>
              <w:t xml:space="preserve"> </w:t>
            </w:r>
            <w:r>
              <w:rPr>
                <w:rFonts w:cs="Times New Roman" w:ascii="Times New Roman" w:hAnsi="Times New Roman"/>
                <w:sz w:val="20"/>
                <w:szCs w:val="20"/>
              </w:rPr>
              <w:t>sangue.</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70</w:t>
            </w:r>
          </w:p>
        </w:tc>
        <w:tc>
          <w:tcPr>
            <w:tcW w:w="78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132,00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9.240,00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r>
          </w:p>
          <w:p>
            <w:pPr>
              <w:pStyle w:val="TableParagraph"/>
              <w:widowControl w:val="false"/>
              <w:rPr>
                <w:rFonts w:ascii="Times New Roman" w:hAnsi="Times New Roman"/>
                <w:sz w:val="20"/>
                <w:szCs w:val="20"/>
              </w:rPr>
            </w:pPr>
            <w:r>
              <w:rPr>
                <w:rFonts w:ascii="Times New Roman" w:hAnsi="Times New Roman"/>
                <w:sz w:val="20"/>
                <w:szCs w:val="20"/>
              </w:rPr>
              <w:t>0049823</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w:t>
            </w:r>
            <w:r>
              <w:rPr>
                <w:rFonts w:cs="Times New Roman" w:ascii="Times New Roman" w:hAnsi="Times New Roman"/>
                <w:spacing w:val="-4"/>
                <w:sz w:val="20"/>
                <w:szCs w:val="20"/>
              </w:rPr>
              <w:t xml:space="preserve"> </w:t>
            </w:r>
            <w:r>
              <w:rPr>
                <w:rFonts w:cs="Times New Roman" w:ascii="Times New Roman" w:hAnsi="Times New Roman"/>
                <w:sz w:val="20"/>
                <w:szCs w:val="20"/>
              </w:rPr>
              <w:t>-</w:t>
            </w:r>
            <w:r>
              <w:rPr>
                <w:rFonts w:cs="Times New Roman" w:ascii="Times New Roman" w:hAnsi="Times New Roman"/>
                <w:spacing w:val="-4"/>
                <w:sz w:val="20"/>
                <w:szCs w:val="20"/>
              </w:rPr>
              <w:t xml:space="preserve"> </w:t>
            </w:r>
            <w:r>
              <w:rPr>
                <w:rFonts w:cs="Times New Roman" w:ascii="Times New Roman" w:hAnsi="Times New Roman"/>
                <w:sz w:val="20"/>
                <w:szCs w:val="20"/>
              </w:rPr>
              <w:t>Tipo:</w:t>
            </w:r>
            <w:r>
              <w:rPr>
                <w:rFonts w:cs="Times New Roman" w:ascii="Times New Roman" w:hAnsi="Times New Roman"/>
                <w:spacing w:val="-3"/>
                <w:sz w:val="20"/>
                <w:szCs w:val="20"/>
              </w:rPr>
              <w:t xml:space="preserve"> </w:t>
            </w:r>
            <w:r>
              <w:rPr>
                <w:rFonts w:cs="Times New Roman" w:ascii="Times New Roman" w:hAnsi="Times New Roman"/>
                <w:sz w:val="20"/>
                <w:szCs w:val="20"/>
              </w:rPr>
              <w:t>mormo</w:t>
            </w:r>
            <w:r>
              <w:rPr>
                <w:rFonts w:cs="Times New Roman" w:ascii="Times New Roman" w:hAnsi="Times New Roman"/>
                <w:spacing w:val="-3"/>
                <w:sz w:val="20"/>
                <w:szCs w:val="20"/>
              </w:rPr>
              <w:t xml:space="preserve"> </w:t>
            </w:r>
            <w:r>
              <w:rPr>
                <w:rFonts w:cs="Times New Roman" w:ascii="Times New Roman" w:hAnsi="Times New Roman"/>
                <w:sz w:val="20"/>
                <w:szCs w:val="20"/>
              </w:rPr>
              <w:t>equino;</w:t>
            </w:r>
            <w:r>
              <w:rPr>
                <w:rFonts w:cs="Times New Roman" w:ascii="Times New Roman" w:hAnsi="Times New Roman"/>
                <w:spacing w:val="-3"/>
                <w:sz w:val="20"/>
                <w:szCs w:val="20"/>
              </w:rPr>
              <w:t xml:space="preserve"> </w:t>
            </w:r>
            <w:r>
              <w:rPr>
                <w:rFonts w:cs="Times New Roman" w:ascii="Times New Roman" w:hAnsi="Times New Roman"/>
                <w:sz w:val="20"/>
                <w:szCs w:val="20"/>
              </w:rPr>
              <w:t>Requisito:</w:t>
            </w:r>
            <w:r>
              <w:rPr>
                <w:rFonts w:cs="Times New Roman" w:ascii="Times New Roman" w:hAnsi="Times New Roman"/>
                <w:spacing w:val="-64"/>
                <w:sz w:val="20"/>
                <w:szCs w:val="20"/>
              </w:rPr>
              <w:t xml:space="preserve"> </w:t>
            </w:r>
            <w:r>
              <w:rPr>
                <w:rFonts w:cs="Times New Roman" w:ascii="Times New Roman" w:hAnsi="Times New Roman"/>
                <w:sz w:val="20"/>
                <w:szCs w:val="20"/>
              </w:rPr>
              <w:t>sangue;</w:t>
            </w:r>
            <w:r>
              <w:rPr>
                <w:rFonts w:cs="Times New Roman" w:ascii="Times New Roman" w:hAnsi="Times New Roman"/>
                <w:spacing w:val="-4"/>
                <w:sz w:val="20"/>
                <w:szCs w:val="20"/>
              </w:rPr>
              <w:t xml:space="preserve"> </w:t>
            </w:r>
            <w:r>
              <w:rPr>
                <w:rFonts w:cs="Times New Roman" w:ascii="Times New Roman" w:hAnsi="Times New Roman"/>
                <w:sz w:val="20"/>
                <w:szCs w:val="20"/>
              </w:rPr>
              <w:t>Característica:</w:t>
            </w:r>
            <w:r>
              <w:rPr>
                <w:rFonts w:cs="Times New Roman" w:ascii="Times New Roman" w:hAnsi="Times New Roman"/>
                <w:spacing w:val="-3"/>
                <w:sz w:val="20"/>
                <w:szCs w:val="20"/>
              </w:rPr>
              <w:t xml:space="preserve"> </w:t>
            </w:r>
            <w:r>
              <w:rPr>
                <w:rFonts w:cs="Times New Roman" w:ascii="Times New Roman" w:hAnsi="Times New Roman"/>
                <w:sz w:val="20"/>
                <w:szCs w:val="20"/>
              </w:rPr>
              <w:t>exame</w:t>
            </w:r>
            <w:r>
              <w:rPr>
                <w:rFonts w:cs="Times New Roman" w:ascii="Times New Roman" w:hAnsi="Times New Roman"/>
                <w:spacing w:val="-2"/>
                <w:sz w:val="20"/>
                <w:szCs w:val="20"/>
              </w:rPr>
              <w:t xml:space="preserve"> </w:t>
            </w:r>
            <w:r>
              <w:rPr>
                <w:rFonts w:cs="Times New Roman" w:ascii="Times New Roman" w:hAnsi="Times New Roman"/>
                <w:sz w:val="20"/>
                <w:szCs w:val="20"/>
              </w:rPr>
              <w:t>clinico.</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p>
            <w:pPr>
              <w:pStyle w:val="TableParagraph"/>
              <w:widowControl w:val="false"/>
              <w:jc w:val="center"/>
              <w:rPr>
                <w:rFonts w:ascii="Times New Roman" w:hAnsi="Times New Roman"/>
                <w:sz w:val="20"/>
                <w:szCs w:val="20"/>
              </w:rPr>
            </w:pPr>
            <w:r>
              <w:rPr>
                <w:rFonts w:ascii="Times New Roman" w:hAnsi="Times New Roman"/>
                <w:sz w:val="20"/>
                <w:szCs w:val="20"/>
              </w:rPr>
              <w:t>70</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136,50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9.555,00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r>
          </w:p>
          <w:p>
            <w:pPr>
              <w:pStyle w:val="TableParagraph"/>
              <w:widowControl w:val="false"/>
              <w:rPr>
                <w:rFonts w:ascii="Times New Roman" w:hAnsi="Times New Roman"/>
                <w:sz w:val="20"/>
                <w:szCs w:val="20"/>
              </w:rPr>
            </w:pPr>
            <w:r>
              <w:rPr>
                <w:rFonts w:ascii="Times New Roman" w:hAnsi="Times New Roman"/>
                <w:sz w:val="20"/>
                <w:szCs w:val="20"/>
              </w:rPr>
              <w:t>0049825</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w:t>
            </w:r>
            <w:r>
              <w:rPr>
                <w:rFonts w:cs="Times New Roman" w:ascii="Times New Roman" w:hAnsi="Times New Roman"/>
                <w:spacing w:val="-4"/>
                <w:sz w:val="20"/>
                <w:szCs w:val="20"/>
              </w:rPr>
              <w:t xml:space="preserve"> </w:t>
            </w:r>
            <w:r>
              <w:rPr>
                <w:rFonts w:cs="Times New Roman" w:ascii="Times New Roman" w:hAnsi="Times New Roman"/>
                <w:sz w:val="20"/>
                <w:szCs w:val="20"/>
              </w:rPr>
              <w:t>-</w:t>
            </w:r>
            <w:r>
              <w:rPr>
                <w:rFonts w:cs="Times New Roman" w:ascii="Times New Roman" w:hAnsi="Times New Roman"/>
                <w:spacing w:val="-4"/>
                <w:sz w:val="20"/>
                <w:szCs w:val="20"/>
              </w:rPr>
              <w:t xml:space="preserve"> </w:t>
            </w:r>
            <w:r>
              <w:rPr>
                <w:rFonts w:cs="Times New Roman" w:ascii="Times New Roman" w:hAnsi="Times New Roman"/>
                <w:sz w:val="20"/>
                <w:szCs w:val="20"/>
              </w:rPr>
              <w:t>Tipo:</w:t>
            </w:r>
            <w:r>
              <w:rPr>
                <w:rFonts w:cs="Times New Roman" w:ascii="Times New Roman" w:hAnsi="Times New Roman"/>
                <w:spacing w:val="-3"/>
                <w:sz w:val="20"/>
                <w:szCs w:val="20"/>
              </w:rPr>
              <w:t xml:space="preserve"> </w:t>
            </w:r>
            <w:r>
              <w:rPr>
                <w:rFonts w:cs="Times New Roman" w:ascii="Times New Roman" w:hAnsi="Times New Roman"/>
                <w:sz w:val="20"/>
                <w:szCs w:val="20"/>
              </w:rPr>
              <w:t>hemograma</w:t>
            </w:r>
            <w:r>
              <w:rPr>
                <w:rFonts w:cs="Times New Roman" w:ascii="Times New Roman" w:hAnsi="Times New Roman"/>
                <w:spacing w:val="-4"/>
                <w:sz w:val="20"/>
                <w:szCs w:val="20"/>
              </w:rPr>
              <w:t xml:space="preserve"> </w:t>
            </w:r>
            <w:r>
              <w:rPr>
                <w:rFonts w:cs="Times New Roman" w:ascii="Times New Roman" w:hAnsi="Times New Roman"/>
                <w:sz w:val="20"/>
                <w:szCs w:val="20"/>
              </w:rPr>
              <w:t>completo;</w:t>
            </w:r>
            <w:r>
              <w:rPr>
                <w:rFonts w:cs="Times New Roman" w:ascii="Times New Roman" w:hAnsi="Times New Roman"/>
                <w:spacing w:val="-3"/>
                <w:sz w:val="20"/>
                <w:szCs w:val="20"/>
              </w:rPr>
              <w:t xml:space="preserve"> </w:t>
            </w:r>
            <w:r>
              <w:rPr>
                <w:rFonts w:cs="Times New Roman" w:ascii="Times New Roman" w:hAnsi="Times New Roman"/>
                <w:sz w:val="20"/>
                <w:szCs w:val="20"/>
              </w:rPr>
              <w:t>Requisito:</w:t>
            </w:r>
            <w:r>
              <w:rPr>
                <w:rFonts w:cs="Times New Roman" w:ascii="Times New Roman" w:hAnsi="Times New Roman"/>
                <w:spacing w:val="-64"/>
                <w:sz w:val="20"/>
                <w:szCs w:val="20"/>
              </w:rPr>
              <w:t xml:space="preserve"> </w:t>
            </w:r>
            <w:r>
              <w:rPr>
                <w:rFonts w:cs="Times New Roman" w:ascii="Times New Roman" w:hAnsi="Times New Roman"/>
                <w:sz w:val="20"/>
                <w:szCs w:val="20"/>
              </w:rPr>
              <w:t>sangue;</w:t>
            </w:r>
            <w:r>
              <w:rPr>
                <w:rFonts w:cs="Times New Roman" w:ascii="Times New Roman" w:hAnsi="Times New Roman"/>
                <w:spacing w:val="-3"/>
                <w:sz w:val="20"/>
                <w:szCs w:val="20"/>
              </w:rPr>
              <w:t xml:space="preserve"> </w:t>
            </w:r>
            <w:r>
              <w:rPr>
                <w:rFonts w:cs="Times New Roman" w:ascii="Times New Roman" w:hAnsi="Times New Roman"/>
                <w:sz w:val="20"/>
                <w:szCs w:val="20"/>
              </w:rPr>
              <w:t>Característica:</w:t>
            </w:r>
            <w:r>
              <w:rPr>
                <w:rFonts w:cs="Times New Roman" w:ascii="Times New Roman" w:hAnsi="Times New Roman"/>
                <w:spacing w:val="-2"/>
                <w:sz w:val="20"/>
                <w:szCs w:val="20"/>
              </w:rPr>
              <w:t xml:space="preserve"> </w:t>
            </w:r>
            <w:r>
              <w:rPr>
                <w:rFonts w:cs="Times New Roman" w:ascii="Times New Roman" w:hAnsi="Times New Roman"/>
                <w:sz w:val="20"/>
                <w:szCs w:val="20"/>
              </w:rPr>
              <w:t>exame</w:t>
            </w:r>
            <w:r>
              <w:rPr>
                <w:rFonts w:cs="Times New Roman" w:ascii="Times New Roman" w:hAnsi="Times New Roman"/>
                <w:spacing w:val="-2"/>
                <w:sz w:val="20"/>
                <w:szCs w:val="20"/>
              </w:rPr>
              <w:t xml:space="preserve"> </w:t>
            </w:r>
            <w:r>
              <w:rPr>
                <w:rFonts w:cs="Times New Roman" w:ascii="Times New Roman" w:hAnsi="Times New Roman"/>
                <w:sz w:val="20"/>
                <w:szCs w:val="20"/>
              </w:rPr>
              <w:t>clinico.</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25</w:t>
            </w:r>
          </w:p>
        </w:tc>
        <w:tc>
          <w:tcPr>
            <w:tcW w:w="78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155,62</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3.890,50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0049828</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 - Tipo: Pesquisa de Hemiparasitas;</w:t>
            </w:r>
            <w:r>
              <w:rPr>
                <w:rFonts w:cs="Times New Roman" w:ascii="Times New Roman" w:hAnsi="Times New Roman"/>
                <w:spacing w:val="1"/>
                <w:sz w:val="20"/>
                <w:szCs w:val="20"/>
              </w:rPr>
              <w:t xml:space="preserve"> </w:t>
            </w:r>
            <w:r>
              <w:rPr>
                <w:rFonts w:cs="Times New Roman" w:ascii="Times New Roman" w:hAnsi="Times New Roman"/>
                <w:sz w:val="20"/>
                <w:szCs w:val="20"/>
              </w:rPr>
              <w:t>Método:</w:t>
            </w:r>
            <w:r>
              <w:rPr>
                <w:rFonts w:cs="Times New Roman" w:ascii="Times New Roman" w:hAnsi="Times New Roman"/>
                <w:spacing w:val="-5"/>
                <w:sz w:val="20"/>
                <w:szCs w:val="20"/>
              </w:rPr>
              <w:t xml:space="preserve"> </w:t>
            </w:r>
            <w:r>
              <w:rPr>
                <w:rFonts w:cs="Times New Roman" w:ascii="Times New Roman" w:hAnsi="Times New Roman"/>
                <w:sz w:val="20"/>
                <w:szCs w:val="20"/>
              </w:rPr>
              <w:t>Esfregaço</w:t>
            </w:r>
            <w:r>
              <w:rPr>
                <w:rFonts w:cs="Times New Roman" w:ascii="Times New Roman" w:hAnsi="Times New Roman"/>
                <w:spacing w:val="-5"/>
                <w:sz w:val="20"/>
                <w:szCs w:val="20"/>
              </w:rPr>
              <w:t xml:space="preserve"> </w:t>
            </w:r>
            <w:r>
              <w:rPr>
                <w:rFonts w:cs="Times New Roman" w:ascii="Times New Roman" w:hAnsi="Times New Roman"/>
                <w:sz w:val="20"/>
                <w:szCs w:val="20"/>
              </w:rPr>
              <w:t>Sanguíneo.</w:t>
            </w:r>
            <w:r>
              <w:rPr>
                <w:rFonts w:cs="Times New Roman" w:ascii="Times New Roman" w:hAnsi="Times New Roman"/>
                <w:spacing w:val="-4"/>
                <w:sz w:val="20"/>
                <w:szCs w:val="20"/>
              </w:rPr>
              <w:t xml:space="preserve"> </w:t>
            </w:r>
            <w:r>
              <w:rPr>
                <w:rFonts w:cs="Times New Roman" w:ascii="Times New Roman" w:hAnsi="Times New Roman"/>
                <w:sz w:val="20"/>
                <w:szCs w:val="20"/>
              </w:rPr>
              <w:t>Exames</w:t>
            </w:r>
            <w:r>
              <w:rPr>
                <w:rFonts w:cs="Times New Roman" w:ascii="Times New Roman" w:hAnsi="Times New Roman"/>
                <w:spacing w:val="-4"/>
                <w:sz w:val="20"/>
                <w:szCs w:val="20"/>
              </w:rPr>
              <w:t xml:space="preserve"> </w:t>
            </w:r>
            <w:r>
              <w:rPr>
                <w:rFonts w:cs="Times New Roman" w:ascii="Times New Roman" w:hAnsi="Times New Roman"/>
                <w:sz w:val="20"/>
                <w:szCs w:val="20"/>
              </w:rPr>
              <w:t>para</w:t>
            </w:r>
            <w:r>
              <w:rPr>
                <w:rFonts w:cs="Times New Roman" w:ascii="Times New Roman" w:hAnsi="Times New Roman"/>
                <w:spacing w:val="-63"/>
                <w:sz w:val="20"/>
                <w:szCs w:val="20"/>
              </w:rPr>
              <w:t xml:space="preserve"> </w:t>
            </w:r>
            <w:r>
              <w:rPr>
                <w:rFonts w:cs="Times New Roman" w:ascii="Times New Roman" w:hAnsi="Times New Roman"/>
                <w:sz w:val="20"/>
                <w:szCs w:val="20"/>
              </w:rPr>
              <w:t>equinos</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15</w:t>
            </w:r>
          </w:p>
        </w:tc>
        <w:tc>
          <w:tcPr>
            <w:tcW w:w="78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207,50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3.112,50</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5</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r>
          </w:p>
          <w:p>
            <w:pPr>
              <w:pStyle w:val="TableParagraph"/>
              <w:widowControl w:val="false"/>
              <w:rPr>
                <w:rFonts w:ascii="Times New Roman" w:hAnsi="Times New Roman"/>
                <w:sz w:val="20"/>
                <w:szCs w:val="20"/>
              </w:rPr>
            </w:pPr>
            <w:r>
              <w:rPr>
                <w:rFonts w:ascii="Times New Roman" w:hAnsi="Times New Roman"/>
                <w:sz w:val="20"/>
                <w:szCs w:val="20"/>
              </w:rPr>
              <w:t>0049827</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Exame</w:t>
            </w:r>
            <w:r>
              <w:rPr>
                <w:rFonts w:cs="Times New Roman" w:ascii="Times New Roman" w:hAnsi="Times New Roman"/>
                <w:spacing w:val="-4"/>
                <w:sz w:val="20"/>
                <w:szCs w:val="20"/>
              </w:rPr>
              <w:t xml:space="preserve"> </w:t>
            </w:r>
            <w:r>
              <w:rPr>
                <w:rFonts w:cs="Times New Roman" w:ascii="Times New Roman" w:hAnsi="Times New Roman"/>
                <w:sz w:val="20"/>
                <w:szCs w:val="20"/>
              </w:rPr>
              <w:t>-</w:t>
            </w:r>
            <w:r>
              <w:rPr>
                <w:rFonts w:cs="Times New Roman" w:ascii="Times New Roman" w:hAnsi="Times New Roman"/>
                <w:spacing w:val="-3"/>
                <w:sz w:val="20"/>
                <w:szCs w:val="20"/>
              </w:rPr>
              <w:t xml:space="preserve"> </w:t>
            </w:r>
            <w:r>
              <w:rPr>
                <w:rFonts w:cs="Times New Roman" w:ascii="Times New Roman" w:hAnsi="Times New Roman"/>
                <w:sz w:val="20"/>
                <w:szCs w:val="20"/>
              </w:rPr>
              <w:t>Tipo:</w:t>
            </w:r>
            <w:r>
              <w:rPr>
                <w:rFonts w:cs="Times New Roman" w:ascii="Times New Roman" w:hAnsi="Times New Roman"/>
                <w:spacing w:val="-2"/>
                <w:sz w:val="20"/>
                <w:szCs w:val="20"/>
              </w:rPr>
              <w:t xml:space="preserve"> </w:t>
            </w:r>
            <w:r>
              <w:rPr>
                <w:rFonts w:cs="Times New Roman" w:ascii="Times New Roman" w:hAnsi="Times New Roman"/>
                <w:sz w:val="20"/>
                <w:szCs w:val="20"/>
              </w:rPr>
              <w:t>Bioquímicos;</w:t>
            </w:r>
            <w:r>
              <w:rPr>
                <w:rFonts w:cs="Times New Roman" w:ascii="Times New Roman" w:hAnsi="Times New Roman"/>
                <w:spacing w:val="-4"/>
                <w:sz w:val="20"/>
                <w:szCs w:val="20"/>
              </w:rPr>
              <w:t xml:space="preserve"> </w:t>
            </w:r>
            <w:r>
              <w:rPr>
                <w:rFonts w:cs="Times New Roman" w:ascii="Times New Roman" w:hAnsi="Times New Roman"/>
                <w:sz w:val="20"/>
                <w:szCs w:val="20"/>
              </w:rPr>
              <w:t>Método:</w:t>
            </w:r>
            <w:r>
              <w:rPr>
                <w:rFonts w:cs="Times New Roman" w:ascii="Times New Roman" w:hAnsi="Times New Roman"/>
                <w:spacing w:val="-4"/>
                <w:sz w:val="20"/>
                <w:szCs w:val="20"/>
              </w:rPr>
              <w:t xml:space="preserve"> </w:t>
            </w:r>
            <w:r>
              <w:rPr>
                <w:rFonts w:cs="Times New Roman" w:ascii="Times New Roman" w:hAnsi="Times New Roman"/>
                <w:sz w:val="20"/>
                <w:szCs w:val="20"/>
              </w:rPr>
              <w:t>Funções</w:t>
            </w:r>
            <w:r>
              <w:rPr>
                <w:rFonts w:cs="Times New Roman" w:ascii="Times New Roman" w:hAnsi="Times New Roman"/>
                <w:spacing w:val="-64"/>
                <w:sz w:val="20"/>
                <w:szCs w:val="20"/>
              </w:rPr>
              <w:t xml:space="preserve"> </w:t>
            </w:r>
            <w:r>
              <w:rPr>
                <w:rFonts w:cs="Times New Roman" w:ascii="Times New Roman" w:hAnsi="Times New Roman"/>
                <w:sz w:val="20"/>
                <w:szCs w:val="20"/>
              </w:rPr>
              <w:t>Renal</w:t>
            </w:r>
            <w:r>
              <w:rPr>
                <w:rFonts w:cs="Times New Roman" w:ascii="Times New Roman" w:hAnsi="Times New Roman"/>
                <w:spacing w:val="-3"/>
                <w:sz w:val="20"/>
                <w:szCs w:val="20"/>
              </w:rPr>
              <w:t xml:space="preserve"> </w:t>
            </w:r>
            <w:r>
              <w:rPr>
                <w:rFonts w:cs="Times New Roman" w:ascii="Times New Roman" w:hAnsi="Times New Roman"/>
                <w:sz w:val="20"/>
                <w:szCs w:val="20"/>
              </w:rPr>
              <w:t>e</w:t>
            </w:r>
            <w:r>
              <w:rPr>
                <w:rFonts w:cs="Times New Roman" w:ascii="Times New Roman" w:hAnsi="Times New Roman"/>
                <w:spacing w:val="-2"/>
                <w:sz w:val="20"/>
                <w:szCs w:val="20"/>
              </w:rPr>
              <w:t xml:space="preserve"> </w:t>
            </w:r>
            <w:r>
              <w:rPr>
                <w:rFonts w:cs="Times New Roman" w:ascii="Times New Roman" w:hAnsi="Times New Roman"/>
                <w:sz w:val="20"/>
                <w:szCs w:val="20"/>
              </w:rPr>
              <w:t>Hepática.</w:t>
            </w:r>
            <w:r>
              <w:rPr>
                <w:rFonts w:cs="Times New Roman" w:ascii="Times New Roman" w:hAnsi="Times New Roman"/>
                <w:spacing w:val="-1"/>
                <w:sz w:val="20"/>
                <w:szCs w:val="20"/>
              </w:rPr>
              <w:t xml:space="preserve"> </w:t>
            </w:r>
            <w:r>
              <w:rPr>
                <w:rFonts w:cs="Times New Roman" w:ascii="Times New Roman" w:hAnsi="Times New Roman"/>
                <w:sz w:val="20"/>
                <w:szCs w:val="20"/>
              </w:rPr>
              <w:t>Exames</w:t>
            </w:r>
            <w:r>
              <w:rPr>
                <w:rFonts w:cs="Times New Roman" w:ascii="Times New Roman" w:hAnsi="Times New Roman"/>
                <w:spacing w:val="-2"/>
                <w:sz w:val="20"/>
                <w:szCs w:val="20"/>
              </w:rPr>
              <w:t xml:space="preserve"> </w:t>
            </w:r>
            <w:r>
              <w:rPr>
                <w:rFonts w:cs="Times New Roman" w:ascii="Times New Roman" w:hAnsi="Times New Roman"/>
                <w:sz w:val="20"/>
                <w:szCs w:val="20"/>
              </w:rPr>
              <w:t>para equinos</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25</w:t>
            </w:r>
          </w:p>
        </w:tc>
        <w:tc>
          <w:tcPr>
            <w:tcW w:w="78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454,37</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11.359,25</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003</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6</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0040541</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Prestação</w:t>
            </w:r>
            <w:r>
              <w:rPr>
                <w:rFonts w:cs="Times New Roman" w:ascii="Times New Roman" w:hAnsi="Times New Roman"/>
                <w:spacing w:val="-4"/>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Serviço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Exame</w:t>
            </w:r>
            <w:r>
              <w:rPr>
                <w:rFonts w:cs="Times New Roman" w:ascii="Times New Roman" w:hAnsi="Times New Roman"/>
                <w:spacing w:val="-3"/>
                <w:sz w:val="20"/>
                <w:szCs w:val="20"/>
              </w:rPr>
              <w:t xml:space="preserve"> </w:t>
            </w:r>
            <w:r>
              <w:rPr>
                <w:rFonts w:cs="Times New Roman" w:ascii="Times New Roman" w:hAnsi="Times New Roman"/>
                <w:sz w:val="20"/>
                <w:szCs w:val="20"/>
              </w:rPr>
              <w:t>Sumário</w:t>
            </w:r>
            <w:r>
              <w:rPr>
                <w:rFonts w:cs="Times New Roman" w:ascii="Times New Roman" w:hAnsi="Times New Roman"/>
                <w:spacing w:val="-3"/>
                <w:sz w:val="20"/>
                <w:szCs w:val="20"/>
              </w:rPr>
              <w:t xml:space="preserve"> </w:t>
            </w:r>
            <w:r>
              <w:rPr>
                <w:rFonts w:cs="Times New Roman" w:ascii="Times New Roman" w:hAnsi="Times New Roman"/>
                <w:sz w:val="20"/>
                <w:szCs w:val="20"/>
              </w:rPr>
              <w:t>de</w:t>
            </w:r>
            <w:r>
              <w:rPr>
                <w:rFonts w:cs="Times New Roman" w:ascii="Times New Roman" w:hAnsi="Times New Roman"/>
                <w:spacing w:val="-64"/>
                <w:sz w:val="20"/>
                <w:szCs w:val="20"/>
              </w:rPr>
              <w:t xml:space="preserve"> </w:t>
            </w:r>
            <w:r>
              <w:rPr>
                <w:rFonts w:cs="Times New Roman" w:ascii="Times New Roman" w:hAnsi="Times New Roman"/>
                <w:sz w:val="20"/>
                <w:szCs w:val="20"/>
              </w:rPr>
              <w:t>Urina</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10</w:t>
            </w:r>
          </w:p>
        </w:tc>
        <w:tc>
          <w:tcPr>
            <w:tcW w:w="78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132,00</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1.320,00</w:t>
            </w:r>
          </w:p>
        </w:tc>
      </w:tr>
      <w:tr>
        <w:trPr/>
        <w:tc>
          <w:tcPr>
            <w:tcW w:w="7829" w:type="dxa"/>
            <w:gridSpan w:val="6"/>
            <w:tcBorders/>
            <w:vAlign w:val="center"/>
          </w:tcPr>
          <w:p>
            <w:pPr>
              <w:pStyle w:val="TableParagraph"/>
              <w:widowControl w:val="false"/>
              <w:suppressAutoHyphens w:val="true"/>
              <w:bidi w:val="0"/>
              <w:spacing w:before="0" w:after="0"/>
              <w:ind w:left="0" w:right="-1814" w:hanging="0"/>
              <w:jc w:val="center"/>
              <w:rPr>
                <w:rFonts w:ascii="Times New Roman" w:hAnsi="Times New Roman"/>
                <w:sz w:val="20"/>
                <w:szCs w:val="20"/>
              </w:rPr>
            </w:pPr>
            <w:r>
              <w:rPr>
                <w:rFonts w:ascii="Times New Roman" w:hAnsi="Times New Roman"/>
                <w:sz w:val="20"/>
                <w:szCs w:val="20"/>
              </w:rPr>
              <w:t>SOMA DO LOTE 003</w:t>
            </w:r>
          </w:p>
        </w:tc>
        <w:tc>
          <w:tcPr>
            <w:tcW w:w="1816" w:type="dxa"/>
            <w:gridSpan w:val="2"/>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38.477,25</w:t>
            </w:r>
          </w:p>
        </w:tc>
        <w:tc>
          <w:tcPr>
            <w:tcW w:w="1" w:type="dxa"/>
            <w:tcBorders/>
            <w:vAlign w:val="center"/>
          </w:tcPr>
          <w:p>
            <w:pPr>
              <w:pStyle w:val="Normal"/>
              <w:widowControl w:val="false"/>
              <w:rPr/>
            </w:pPr>
            <w:r>
              <w:rPr/>
            </w:r>
          </w:p>
        </w:tc>
      </w:tr>
      <w:tr>
        <w:trPr/>
        <w:tc>
          <w:tcPr>
            <w:tcW w:w="9645" w:type="dxa"/>
            <w:gridSpan w:val="8"/>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004 – IMPERATRIZ/MA</w:t>
            </w:r>
          </w:p>
        </w:tc>
        <w:tc>
          <w:tcPr>
            <w:tcW w:w="1" w:type="dxa"/>
            <w:tcBorders/>
            <w:vAlign w:val="center"/>
          </w:tcPr>
          <w:p>
            <w:pPr>
              <w:pStyle w:val="Normal"/>
              <w:widowControl w:val="false"/>
              <w:rPr/>
            </w:pPr>
            <w:r>
              <w:rPr/>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004</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1</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0044381</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Serviço</w:t>
            </w:r>
            <w:r>
              <w:rPr>
                <w:rFonts w:cs="Times New Roman" w:ascii="Times New Roman" w:hAnsi="Times New Roman"/>
                <w:spacing w:val="-4"/>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radiografia</w:t>
            </w:r>
            <w:r>
              <w:rPr>
                <w:rFonts w:cs="Times New Roman" w:ascii="Times New Roman" w:hAnsi="Times New Roman"/>
                <w:spacing w:val="-3"/>
                <w:sz w:val="20"/>
                <w:szCs w:val="20"/>
              </w:rPr>
              <w:t xml:space="preserve"> </w:t>
            </w:r>
            <w:r>
              <w:rPr>
                <w:rFonts w:cs="Times New Roman" w:ascii="Times New Roman" w:hAnsi="Times New Roman"/>
                <w:sz w:val="20"/>
                <w:szCs w:val="20"/>
              </w:rPr>
              <w:t>em</w:t>
            </w:r>
            <w:r>
              <w:rPr>
                <w:rFonts w:cs="Times New Roman" w:ascii="Times New Roman" w:hAnsi="Times New Roman"/>
                <w:spacing w:val="3"/>
                <w:sz w:val="20"/>
                <w:szCs w:val="20"/>
              </w:rPr>
              <w:t xml:space="preserve"> </w:t>
            </w:r>
            <w:r>
              <w:rPr>
                <w:rFonts w:cs="Times New Roman" w:ascii="Times New Roman" w:hAnsi="Times New Roman"/>
                <w:sz w:val="20"/>
                <w:szCs w:val="20"/>
              </w:rPr>
              <w:t>equinos</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08</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491,66</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3.933,28</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Lote 004</w:t>
            </w:r>
          </w:p>
        </w:tc>
        <w:tc>
          <w:tcPr>
            <w:tcW w:w="629"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2</w:t>
            </w:r>
          </w:p>
        </w:tc>
        <w:tc>
          <w:tcPr>
            <w:tcW w:w="960" w:type="dxa"/>
            <w:tcBorders/>
            <w:vAlign w:val="center"/>
          </w:tcPr>
          <w:p>
            <w:pPr>
              <w:pStyle w:val="TableParagraph"/>
              <w:widowControl w:val="false"/>
              <w:rPr>
                <w:rFonts w:ascii="Times New Roman" w:hAnsi="Times New Roman"/>
                <w:sz w:val="20"/>
                <w:szCs w:val="20"/>
              </w:rPr>
            </w:pPr>
            <w:r>
              <w:rPr>
                <w:rFonts w:ascii="Times New Roman" w:hAnsi="Times New Roman"/>
                <w:sz w:val="20"/>
                <w:szCs w:val="20"/>
              </w:rPr>
              <w:t>0044384</w:t>
            </w:r>
          </w:p>
        </w:tc>
        <w:tc>
          <w:tcPr>
            <w:tcW w:w="4050" w:type="dxa"/>
            <w:tcBorders/>
            <w:vAlign w:val="center"/>
          </w:tcPr>
          <w:p>
            <w:pPr>
              <w:pStyle w:val="TableParagraph"/>
              <w:widowControl w:val="false"/>
              <w:jc w:val="both"/>
              <w:rPr>
                <w:rFonts w:ascii="Times New Roman" w:hAnsi="Times New Roman"/>
                <w:sz w:val="20"/>
                <w:szCs w:val="20"/>
              </w:rPr>
            </w:pPr>
            <w:r>
              <w:rPr>
                <w:rFonts w:cs="Times New Roman" w:ascii="Times New Roman" w:hAnsi="Times New Roman"/>
                <w:sz w:val="20"/>
                <w:szCs w:val="20"/>
              </w:rPr>
              <w:t>Serviço</w:t>
            </w:r>
            <w:r>
              <w:rPr>
                <w:rFonts w:cs="Times New Roman" w:ascii="Times New Roman" w:hAnsi="Times New Roman"/>
                <w:spacing w:val="-4"/>
                <w:sz w:val="20"/>
                <w:szCs w:val="20"/>
              </w:rPr>
              <w:t xml:space="preserve"> </w:t>
            </w:r>
            <w:r>
              <w:rPr>
                <w:rFonts w:cs="Times New Roman" w:ascii="Times New Roman" w:hAnsi="Times New Roman"/>
                <w:sz w:val="20"/>
                <w:szCs w:val="20"/>
              </w:rPr>
              <w:t>de</w:t>
            </w:r>
            <w:r>
              <w:rPr>
                <w:rFonts w:cs="Times New Roman" w:ascii="Times New Roman" w:hAnsi="Times New Roman"/>
                <w:spacing w:val="-3"/>
                <w:sz w:val="20"/>
                <w:szCs w:val="20"/>
              </w:rPr>
              <w:t xml:space="preserve"> </w:t>
            </w:r>
            <w:r>
              <w:rPr>
                <w:rFonts w:cs="Times New Roman" w:ascii="Times New Roman" w:hAnsi="Times New Roman"/>
                <w:sz w:val="20"/>
                <w:szCs w:val="20"/>
              </w:rPr>
              <w:t>ultrassom equino</w:t>
            </w:r>
          </w:p>
        </w:tc>
        <w:tc>
          <w:tcPr>
            <w:tcW w:w="901" w:type="dxa"/>
            <w:tcBorders/>
            <w:vAlign w:val="center"/>
          </w:tcPr>
          <w:p>
            <w:pPr>
              <w:pStyle w:val="TableParagraph"/>
              <w:widowControl w:val="false"/>
              <w:jc w:val="center"/>
              <w:rPr>
                <w:rFonts w:ascii="Times New Roman" w:hAnsi="Times New Roman"/>
                <w:sz w:val="20"/>
                <w:szCs w:val="20"/>
              </w:rPr>
            </w:pPr>
            <w:r>
              <w:rPr>
                <w:rFonts w:cs="Times New Roman" w:ascii="Times New Roman" w:hAnsi="Times New Roman"/>
                <w:sz w:val="20"/>
                <w:szCs w:val="20"/>
              </w:rPr>
              <w:t>1</w:t>
            </w:r>
            <w:r>
              <w:rPr>
                <w:rFonts w:cs="Times New Roman" w:ascii="Times New Roman" w:hAnsi="Times New Roman"/>
                <w:spacing w:val="-2"/>
                <w:sz w:val="20"/>
                <w:szCs w:val="20"/>
              </w:rPr>
              <w:t xml:space="preserve"> </w:t>
            </w:r>
            <w:r>
              <w:rPr>
                <w:rFonts w:cs="Times New Roman" w:ascii="Times New Roman" w:hAnsi="Times New Roman"/>
                <w:sz w:val="20"/>
                <w:szCs w:val="20"/>
              </w:rPr>
              <w:t>–</w:t>
            </w:r>
            <w:r>
              <w:rPr>
                <w:rFonts w:cs="Times New Roman" w:ascii="Times New Roman" w:hAnsi="Times New Roman"/>
                <w:spacing w:val="-2"/>
                <w:sz w:val="20"/>
                <w:szCs w:val="20"/>
              </w:rPr>
              <w:t xml:space="preserve"> </w:t>
            </w:r>
            <w:r>
              <w:rPr>
                <w:rFonts w:cs="Times New Roman" w:ascii="Times New Roman" w:hAnsi="Times New Roman"/>
                <w:sz w:val="20"/>
                <w:szCs w:val="20"/>
              </w:rPr>
              <w:t>Un.</w:t>
            </w:r>
          </w:p>
        </w:tc>
        <w:tc>
          <w:tcPr>
            <w:tcW w:w="614"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08</w:t>
            </w:r>
          </w:p>
        </w:tc>
        <w:tc>
          <w:tcPr>
            <w:tcW w:w="781"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387,33</w:t>
            </w:r>
          </w:p>
        </w:tc>
        <w:tc>
          <w:tcPr>
            <w:tcW w:w="1033"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3.98,64</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tc>
        <w:tc>
          <w:tcPr>
            <w:tcW w:w="7154" w:type="dxa"/>
            <w:gridSpan w:val="5"/>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SOMA  DO LOTE 004</w:t>
            </w:r>
          </w:p>
        </w:tc>
        <w:tc>
          <w:tcPr>
            <w:tcW w:w="1814" w:type="dxa"/>
            <w:gridSpan w:val="2"/>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7.031,92</w:t>
            </w:r>
          </w:p>
        </w:tc>
      </w:tr>
      <w:tr>
        <w:trPr/>
        <w:tc>
          <w:tcPr>
            <w:tcW w:w="675" w:type="dxa"/>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r>
          </w:p>
        </w:tc>
        <w:tc>
          <w:tcPr>
            <w:tcW w:w="7154" w:type="dxa"/>
            <w:gridSpan w:val="5"/>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VALOR TOTAL</w:t>
            </w:r>
          </w:p>
        </w:tc>
        <w:tc>
          <w:tcPr>
            <w:tcW w:w="1814" w:type="dxa"/>
            <w:gridSpan w:val="2"/>
            <w:tcBorders/>
            <w:vAlign w:val="center"/>
          </w:tcPr>
          <w:p>
            <w:pPr>
              <w:pStyle w:val="TableParagraph"/>
              <w:widowControl w:val="false"/>
              <w:jc w:val="center"/>
              <w:rPr>
                <w:rFonts w:ascii="Times New Roman" w:hAnsi="Times New Roman"/>
                <w:sz w:val="20"/>
                <w:szCs w:val="20"/>
              </w:rPr>
            </w:pPr>
            <w:r>
              <w:rPr>
                <w:rFonts w:ascii="Times New Roman" w:hAnsi="Times New Roman"/>
                <w:sz w:val="20"/>
                <w:szCs w:val="20"/>
              </w:rPr>
              <w:t>76.715,47</w:t>
            </w:r>
          </w:p>
        </w:tc>
      </w:tr>
    </w:tbl>
    <w:p>
      <w:pPr>
        <w:pStyle w:val="ListParagraph"/>
        <w:numPr>
          <w:ilvl w:val="0"/>
          <w:numId w:val="0"/>
        </w:numPr>
        <w:spacing w:lineRule="auto" w:line="360"/>
        <w:ind w:left="0" w:hanging="0"/>
        <w:jc w:val="both"/>
        <w:rPr>
          <w:rFonts w:ascii="Times New Roman" w:hAnsi="Times New Roman" w:cs="Times New Roman"/>
        </w:rPr>
      </w:pPr>
      <w:r>
        <w:rPr>
          <w:rFonts w:cs="Times New Roman" w:ascii="Times New Roman" w:hAnsi="Times New Roman"/>
        </w:rPr>
      </w:r>
    </w:p>
    <w:p>
      <w:pPr>
        <w:pStyle w:val="ListParagraph"/>
        <w:numPr>
          <w:ilvl w:val="0"/>
          <w:numId w:val="0"/>
        </w:numPr>
        <w:spacing w:lineRule="auto" w:line="360"/>
        <w:ind w:left="0" w:hanging="0"/>
        <w:jc w:val="both"/>
        <w:rPr>
          <w:rFonts w:ascii="Times New Roman" w:hAnsi="Times New Roman" w:cs="Times New Roman"/>
        </w:rPr>
      </w:pPr>
      <w:r>
        <w:rPr>
          <w:rFonts w:cs="Times New Roman" w:ascii="Times New Roman" w:hAnsi="Times New Roman"/>
        </w:rPr>
      </w:r>
    </w:p>
    <w:p>
      <w:pPr>
        <w:pStyle w:val="ListParagraph"/>
        <w:widowControl/>
        <w:suppressAutoHyphens w:val="true"/>
        <w:bidi w:val="0"/>
        <w:spacing w:lineRule="auto" w:line="360" w:before="0" w:after="0"/>
        <w:ind w:left="0" w:right="0" w:firstLine="850"/>
        <w:contextualSpacing/>
        <w:jc w:val="both"/>
        <w:rPr>
          <w:rFonts w:ascii="Times New Roman" w:hAnsi="Times New Roman" w:cs="Times New Roman"/>
        </w:rPr>
      </w:pPr>
      <w:r>
        <w:rPr>
          <w:rFonts w:cs="Times New Roman" w:ascii="Times New Roman" w:hAnsi="Times New Roman"/>
        </w:rPr>
        <w:t>Os serviços objeto desta contratação são caracterizados como comuns, conforme justificativa constante do Estudo Técnico Preliminar.</w:t>
      </w:r>
    </w:p>
    <w:p>
      <w:pPr>
        <w:pStyle w:val="ListParagraph"/>
        <w:widowControl/>
        <w:suppressAutoHyphens w:val="true"/>
        <w:bidi w:val="0"/>
        <w:spacing w:lineRule="auto" w:line="360" w:before="0" w:after="0"/>
        <w:ind w:left="0" w:right="0" w:firstLine="850"/>
        <w:contextualSpacing/>
        <w:jc w:val="both"/>
        <w:rPr>
          <w:rFonts w:ascii="Times New Roman" w:hAnsi="Times New Roman" w:cs="Times New Roman"/>
        </w:rPr>
      </w:pPr>
      <w:r>
        <w:rPr>
          <w:rFonts w:cs="Times New Roman" w:ascii="Times New Roman" w:hAnsi="Times New Roman"/>
          <w:highlight w:val="white"/>
        </w:rPr>
        <w:t>O prazo de vigência da contratação é de 12 (meses), contados da assinatura do contrato, prorrogável por até 10 anos, na forma dos artigos 106 e 107 da Lei n° 14.133, de 2021</w:t>
      </w:r>
      <w:r>
        <w:rPr>
          <w:rFonts w:cs="Times New Roman" w:ascii="Times New Roman" w:hAnsi="Times New Roman"/>
        </w:rPr>
        <w:t>.</w:t>
      </w:r>
    </w:p>
    <w:p>
      <w:pPr>
        <w:pStyle w:val="ListParagraph"/>
        <w:widowControl/>
        <w:suppressAutoHyphens w:val="true"/>
        <w:bidi w:val="0"/>
        <w:spacing w:lineRule="auto" w:line="360" w:before="0" w:after="0"/>
        <w:ind w:left="0" w:right="0" w:firstLine="850"/>
        <w:contextualSpacing/>
        <w:jc w:val="both"/>
        <w:rPr>
          <w:rFonts w:ascii="Times New Roman" w:hAnsi="Times New Roman" w:cs="Times New Roman"/>
        </w:rPr>
      </w:pPr>
      <w:r>
        <w:rPr>
          <w:rFonts w:cs="Times New Roman" w:ascii="Times New Roman" w:hAnsi="Times New Roman"/>
          <w:highlight w:val="white"/>
        </w:rPr>
        <w:t>O serviço é enquadrado como continuado tendo em vista que a interrupção comprometeria a continuidade das atividades da Administração Públicas, sendo a vigência plurianual mais vantajosa considerando o Estudo Técnico Preliminar</w:t>
      </w:r>
    </w:p>
    <w:p>
      <w:pPr>
        <w:pStyle w:val="ListParagraph"/>
        <w:widowControl/>
        <w:suppressAutoHyphens w:val="true"/>
        <w:bidi w:val="0"/>
        <w:spacing w:lineRule="auto" w:line="360" w:before="0" w:after="0"/>
        <w:ind w:left="0" w:right="0" w:firstLine="850"/>
        <w:contextualSpacing/>
        <w:jc w:val="both"/>
        <w:rPr>
          <w:rFonts w:ascii="Times New Roman" w:hAnsi="Times New Roman" w:cs="Times New Roman"/>
        </w:rPr>
      </w:pPr>
      <w:r>
        <w:rPr>
          <w:rFonts w:cs="Times New Roman" w:ascii="Times New Roman" w:hAnsi="Times New Roman"/>
        </w:rPr>
        <w:t>O contrato oferece maior detalhamento das regras que serão aplicadas em relação à vigência da contratação.</w:t>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t>2. MODALIDADE E FUNDAMENTAÇÃO PARA A CONTRATAÇÃO</w:t>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A contratação do presente serviço dar-se-á por meio de licitação na modalidade Pregão Eletrônico, no tipo menor preço por item, pelo Sistema de Registro de Preços, embora no Estudo Técnico Preliminar não tenha indicado dessa forma, sendo que a equipe de Elaboração do Termo de Referência discordou, entendo ser a melhor forma, o registro de preços.</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rPr>
        <w:t>A licitação e a contratação reger-se-ão pelas disposições da Lei Federal nº 14.133/2021, Decreto Federal nº 11.462/23, bem como dos Decretos Estaduais nº 38.136/23, Decreto nº 38.137/23 e Decreto 38.728/23, e suas alterações, aplicando subsidiariamente demais normas regulamentares pertinentes à espécie.</w:t>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t>3. DESCRIÇÃO</w:t>
      </w:r>
      <w:r>
        <w:rPr>
          <w:rFonts w:ascii="Times New Roman" w:hAnsi="Times New Roman"/>
          <w:b/>
          <w:bCs/>
        </w:rPr>
        <w:t xml:space="preserve"> </w:t>
      </w:r>
      <w:r>
        <w:rPr>
          <w:rFonts w:ascii="Times New Roman" w:hAnsi="Times New Roman"/>
        </w:rPr>
        <w:t>DA</w:t>
      </w:r>
      <w:r>
        <w:rPr>
          <w:rFonts w:ascii="Times New Roman" w:hAnsi="Times New Roman"/>
          <w:b/>
          <w:bCs/>
        </w:rPr>
        <w:t xml:space="preserve"> </w:t>
      </w:r>
      <w:r>
        <w:rPr>
          <w:rFonts w:ascii="Times New Roman" w:hAnsi="Times New Roman"/>
        </w:rPr>
        <w:t>NECESSIDADE DA CONTRATAÇÃO</w:t>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ascii="Times New Roman" w:hAnsi="Times New Roman"/>
        </w:rPr>
        <w:t>3.1. DA JUSTIFICATIVA PARA A CONTRATAÇÃO</w:t>
      </w:r>
    </w:p>
    <w:p>
      <w:pPr>
        <w:pStyle w:val="Nivel2"/>
        <w:numPr>
          <w:ilvl w:val="0"/>
          <w:numId w:val="0"/>
        </w:numPr>
        <w:spacing w:lineRule="auto" w:line="360" w:before="0" w:after="0"/>
        <w:ind w:left="720" w:right="0" w:firstLine="698"/>
        <w:rPr/>
      </w:pPr>
      <w:r>
        <w:rPr/>
      </w:r>
    </w:p>
    <w:p>
      <w:pPr>
        <w:pStyle w:val="Nivel2"/>
        <w:ind w:left="0" w:right="0" w:firstLine="850"/>
        <w:rPr/>
      </w:pPr>
      <w:r>
        <w:rPr/>
        <w:t>Contratação de serviços de exames laboratoriais e de imagem para a divisão veterinária, da Diretoria de saúde e Promoção Social da Polícia Militar do Maranhão (DSPS/PMMA), contemplando os municípios de São Luís e Imperatriz, para atender a demanda no período de 12 meses para o exercício financeiro de 2024.</w:t>
      </w:r>
    </w:p>
    <w:p>
      <w:pPr>
        <w:pStyle w:val="Nivel2"/>
        <w:ind w:left="0" w:right="0" w:firstLine="850"/>
        <w:rPr/>
      </w:pPr>
      <w:r>
        <w:rPr/>
        <w:t>A presente contratação tem por objetivo subsidiar a Divisão Veterinária, cuja demanda foi estimada pela área técnica requisitante com base na rotina diária de todas as subunidades que possuem equinos e caninos no estado, contemplando os municípios de São Luís e Imperatriz.</w:t>
      </w:r>
    </w:p>
    <w:p>
      <w:pPr>
        <w:pStyle w:val="Nivel2"/>
        <w:ind w:left="0" w:right="0" w:firstLine="850"/>
        <w:rPr/>
      </w:pPr>
      <w:r>
        <w:rPr/>
        <w:t>A saúde e o bem-estar animal e um conceito amplo, e um dos pilares para atender as exigências de uma criação e garantir suporte médico veterinário para os semoventes (cães e cavalos). Atualmente, a Divisão Veterinária tem como principal objetivo prevenir a ocorrência de doenças, o que e vantajoso para os animais e para todo o sistema de gestão pública, uma vez que os gastos com prevenção são menores, o que imediatamente reduz o custo de manutenção e garante maior qualidade de vida aos mesmos.</w:t>
      </w:r>
    </w:p>
    <w:p>
      <w:pPr>
        <w:pStyle w:val="Nivel2"/>
        <w:ind w:left="0" w:right="0" w:firstLine="850"/>
        <w:rPr/>
      </w:pPr>
      <w:r>
        <w:rPr/>
        <w:t>O setor veterinário da PMMA trabalha diuturnamente em diversas frentes: atendimento clínico, cirúrgico e ambulatorial, internamento, realizando cirurgias eletivas e de emergência, coordenando programas de manejo sanitário etc. Para todas essas frentes os exames laboratoriais e de imagem são uma necessidade premente.</w:t>
      </w:r>
    </w:p>
    <w:p>
      <w:pPr>
        <w:pStyle w:val="Nivel2"/>
        <w:ind w:left="0" w:right="0" w:firstLine="850"/>
        <w:rPr/>
      </w:pPr>
      <w:r>
        <w:rPr/>
        <w:t>Sendo assim, e imprescindível a contratação de empresa(s) que realize(m) exames laboratoriais e de imagem com alta qualidade, a fim de rastrear doenças, dar suporte as avaliações clínicas e como preparatórios para procedimentos cirúrgicos, sendo mais uma excelente ferramenta para a definição de um diagnóstico preciso.</w:t>
      </w:r>
    </w:p>
    <w:p>
      <w:pPr>
        <w:pStyle w:val="Nivel2"/>
        <w:ind w:left="0" w:right="0" w:hanging="0"/>
        <w:rPr/>
      </w:pPr>
      <w:r>
        <w:rPr/>
      </w:r>
    </w:p>
    <w:p>
      <w:pPr>
        <w:pStyle w:val="Nivel2"/>
        <w:ind w:left="0" w:right="0" w:hanging="0"/>
        <w:rPr/>
      </w:pPr>
      <w:r>
        <w:rPr/>
      </w:r>
      <w:r>
        <w:br w:type="page"/>
      </w:r>
    </w:p>
    <w:p>
      <w:pPr>
        <w:pStyle w:val="Nivel2"/>
        <w:ind w:left="0" w:right="0" w:hanging="0"/>
        <w:rPr/>
      </w:pPr>
      <w:r>
        <w:rPr/>
        <w:t>3.2. DA JUSTIFICATIVA PARA A ADOÇÃO DO SISTEMA DE REGISTRO DE PREÇOS</w:t>
      </w:r>
    </w:p>
    <w:p>
      <w:pPr>
        <w:pStyle w:val="Nivel2"/>
        <w:ind w:left="0" w:right="0" w:firstLine="850"/>
        <w:rPr/>
      </w:pPr>
      <w:r>
        <w:rPr/>
      </w:r>
    </w:p>
    <w:p>
      <w:pPr>
        <w:pStyle w:val="Nivel2"/>
        <w:ind w:left="0" w:right="0" w:firstLine="850"/>
        <w:rPr/>
      </w:pPr>
      <w:r>
        <w:rPr/>
        <w:t>A opção pelo Sistema de Registro de Preços – SRP para a presente licitação tem como um de seus objetivos principais o princípio da Economicidade, pois diferentemente da licitação convencional, não há o compromisso assumido de contratação, nem mesmo de utilização dos quantitativos totais estimados. O SRP constitui um importante instrumento de gestão, onde as demandas são incertas, frequentes ou de difícil mensuração.</w:t>
      </w:r>
    </w:p>
    <w:p>
      <w:pPr>
        <w:pStyle w:val="Nivel2"/>
        <w:ind w:left="0" w:right="0" w:firstLine="850"/>
        <w:rPr/>
      </w:pPr>
      <w:r>
        <w:rPr/>
        <w:t>Em consonância com o Decreto Estadual nº 38.136/2023 e o Decreto Federal nº 11.462/2023 que regulamenta o Sistema de Registro de Preços previsto no art. 78, IV da Lei nº 14.133/21, verifica-se a viabilidade de realização de licitação sob o regime de Registro de Preços por prazo fixo e determinado para os bens e serviços comuns que se pretende adquirir.</w:t>
      </w:r>
    </w:p>
    <w:p>
      <w:pPr>
        <w:pStyle w:val="Nivel2"/>
        <w:ind w:left="0" w:right="0" w:firstLine="850"/>
        <w:rPr/>
      </w:pPr>
      <w:r>
        <w:rPr/>
        <w:t xml:space="preserve">Em síntese, as vantagens do SRP, são as seguintes: otimização dos processos de compras, maior flexibilidade em contratações, expectativa de crédito orçamentário futuro, eliminação de casos de fracionamento de despesas, permite a compra do quantitativo exato e necessário para atender às necessidades da administração, reduzindo assim o desperdício de materiais em estoques desnecessários, atendendo às necessidades da administração na quantidade certa e no momento exato, além de permitir maior agilidade nas contratações, coadunando com o objetivo da pretensa contratação. </w:t>
      </w:r>
    </w:p>
    <w:p>
      <w:pPr>
        <w:pStyle w:val="Nivel2"/>
        <w:ind w:left="0" w:right="0" w:firstLine="850"/>
        <w:rPr/>
      </w:pPr>
      <w:r>
        <w:rPr/>
        <w:t xml:space="preserve">O objeto da contratação está previsto no Plano de Contratações Anual 2024, conforme Plano Elaborado na 4º Seção do Estado Maior Geral da PMMA. </w:t>
      </w:r>
    </w:p>
    <w:p>
      <w:pPr>
        <w:pStyle w:val="Nivel2"/>
        <w:ind w:left="0" w:right="0" w:hanging="0"/>
        <w:rPr/>
      </w:pPr>
      <w:r>
        <w:rPr/>
      </w:r>
    </w:p>
    <w:p>
      <w:pPr>
        <w:pStyle w:val="Nivel2"/>
        <w:ind w:left="0" w:right="0" w:hanging="0"/>
        <w:rPr/>
      </w:pPr>
      <w:r>
        <w:rPr/>
        <w:t>4. DOS ÓRGÃOS PARTICIPANTES</w:t>
      </w:r>
    </w:p>
    <w:p>
      <w:pPr>
        <w:pStyle w:val="Nivel2"/>
        <w:ind w:left="0" w:right="0" w:hanging="0"/>
        <w:rPr/>
      </w:pPr>
      <w:r>
        <w:rPr/>
      </w:r>
    </w:p>
    <w:p>
      <w:pPr>
        <w:pStyle w:val="Nivel2"/>
        <w:ind w:left="0" w:right="0" w:firstLine="850"/>
        <w:rPr/>
      </w:pPr>
      <w:r>
        <w:rPr/>
        <w:t>Polícia Militar do Maranhão.</w:t>
      </w:r>
    </w:p>
    <w:p>
      <w:pPr>
        <w:pStyle w:val="Nivel2"/>
        <w:ind w:left="0" w:right="0" w:hanging="0"/>
        <w:rPr>
          <w:highlight w:val="white"/>
        </w:rPr>
      </w:pPr>
      <w:r>
        <w:rPr>
          <w:highlight w:val="white"/>
        </w:rPr>
      </w:r>
    </w:p>
    <w:p>
      <w:pPr>
        <w:pStyle w:val="Nivel2"/>
        <w:ind w:left="0" w:right="0" w:hanging="0"/>
        <w:rPr/>
      </w:pPr>
      <w:r>
        <w:rPr>
          <w:highlight w:val="white"/>
        </w:rPr>
        <w:t>5. REQUISITOS DA CONTRATAÇÃO</w:t>
      </w:r>
    </w:p>
    <w:p>
      <w:pPr>
        <w:pStyle w:val="Nivel2"/>
        <w:ind w:left="0" w:right="0" w:hanging="0"/>
        <w:rPr>
          <w:highlight w:val="white"/>
        </w:rPr>
      </w:pPr>
      <w:r>
        <w:rPr>
          <w:highlight w:val="white"/>
        </w:rPr>
      </w:r>
    </w:p>
    <w:p>
      <w:pPr>
        <w:pStyle w:val="Nivel2"/>
        <w:ind w:left="0" w:right="0" w:hanging="0"/>
        <w:rPr/>
      </w:pPr>
      <w:r>
        <w:rPr>
          <w:highlight w:val="white"/>
        </w:rPr>
        <w:t>5.1. SUSTENTABILIDADE</w:t>
      </w:r>
    </w:p>
    <w:p>
      <w:pPr>
        <w:pStyle w:val="Nivel2"/>
        <w:ind w:left="0" w:right="0" w:hanging="0"/>
        <w:rPr>
          <w:rFonts w:ascii="Times New Roman" w:hAnsi="Times New Roman" w:cs="Times New Roman"/>
          <w:highlight w:val="white"/>
        </w:rPr>
      </w:pPr>
      <w:r>
        <w:rPr>
          <w:rFonts w:cs="Times New Roman"/>
          <w:highlight w:val="white"/>
        </w:rPr>
      </w:r>
    </w:p>
    <w:p>
      <w:pPr>
        <w:pStyle w:val="Nivel2"/>
        <w:ind w:left="0" w:right="0" w:firstLine="850"/>
        <w:rPr/>
      </w:pPr>
      <w:r>
        <w:rPr>
          <w:rFonts w:cs="Times New Roman"/>
          <w:highlight w:val="white"/>
        </w:rPr>
        <w:t>Além dos critérios de sustentabilidade eventualmente inseridos na descrição do objeto, devem ser atendidos os requisitos, que se baseiam no Guia Nacional de Contratações Sustentáveis</w:t>
      </w:r>
      <w:r>
        <w:rPr>
          <w:rFonts w:cs="Times New Roman"/>
        </w:rPr>
        <w:t>.</w:t>
      </w:r>
    </w:p>
    <w:p>
      <w:pPr>
        <w:pStyle w:val="Nivel2"/>
        <w:ind w:left="0" w:right="0" w:hanging="0"/>
        <w:rPr>
          <w:rFonts w:ascii="Times New Roman" w:hAnsi="Times New Roman" w:cs="Times New Roman"/>
          <w:highlight w:val="white"/>
        </w:rPr>
      </w:pPr>
      <w:r>
        <w:rPr>
          <w:rFonts w:cs="Times New Roman"/>
          <w:highlight w:val="white"/>
        </w:rPr>
      </w:r>
    </w:p>
    <w:p>
      <w:pPr>
        <w:pStyle w:val="Nivel2"/>
        <w:ind w:left="0" w:right="0" w:hanging="0"/>
        <w:rPr>
          <w:rFonts w:ascii="Times New Roman" w:hAnsi="Times New Roman" w:cs="Times New Roman"/>
          <w:highlight w:val="white"/>
        </w:rPr>
      </w:pPr>
      <w:r>
        <w:rPr>
          <w:rFonts w:cs="Times New Roman"/>
          <w:highlight w:val="white"/>
        </w:rPr>
      </w:r>
      <w:r>
        <w:br w:type="page"/>
      </w:r>
    </w:p>
    <w:p>
      <w:pPr>
        <w:pStyle w:val="Nivel2"/>
        <w:ind w:left="0" w:right="0" w:hanging="0"/>
        <w:rPr/>
      </w:pPr>
      <w:r>
        <w:rPr>
          <w:rFonts w:cs="Times New Roman"/>
          <w:highlight w:val="white"/>
        </w:rPr>
        <w:t xml:space="preserve">5.2. </w:t>
      </w:r>
      <w:r>
        <w:rPr>
          <w:highlight w:val="white"/>
        </w:rPr>
        <w:t>GARANTIA DA CONTRATAÇÃO</w:t>
      </w:r>
    </w:p>
    <w:p>
      <w:pPr>
        <w:pStyle w:val="Nivel2"/>
        <w:ind w:left="0" w:right="0" w:hanging="0"/>
        <w:rPr>
          <w:highlight w:val="white"/>
        </w:rPr>
      </w:pPr>
      <w:r>
        <w:rPr>
          <w:highlight w:val="white"/>
        </w:rPr>
      </w:r>
    </w:p>
    <w:p>
      <w:pPr>
        <w:pStyle w:val="Nivel2"/>
        <w:widowControl/>
        <w:numPr>
          <w:ilvl w:val="0"/>
          <w:numId w:val="0"/>
        </w:numPr>
        <w:suppressAutoHyphens w:val="true"/>
        <w:bidi w:val="0"/>
        <w:spacing w:lineRule="auto" w:line="360" w:before="0" w:after="0"/>
        <w:ind w:left="0" w:right="0" w:firstLine="850"/>
        <w:jc w:val="both"/>
        <w:rPr/>
      </w:pPr>
      <w:r>
        <w:rPr>
          <w:rFonts w:eastAsia="Arial" w:cs="Times New Roman"/>
          <w:color w:val="000000"/>
          <w:kern w:val="2"/>
          <w:lang w:eastAsia="pt-BR"/>
          <w14:ligatures w14:val="standardContextual"/>
        </w:rPr>
        <w:t>Não haverá exigência da garantia da contratação dos artigos 96 e seguintes da Lei nº 14.133, de 2021.</w:t>
      </w:r>
    </w:p>
    <w:p>
      <w:pPr>
        <w:pStyle w:val="Nivel2"/>
        <w:widowControl/>
        <w:numPr>
          <w:ilvl w:val="0"/>
          <w:numId w:val="0"/>
        </w:numPr>
        <w:suppressAutoHyphens w:val="true"/>
        <w:bidi w:val="0"/>
        <w:spacing w:lineRule="auto" w:line="360" w:before="0" w:after="0"/>
        <w:ind w:left="0" w:right="0" w:hanging="0"/>
        <w:jc w:val="both"/>
        <w:rPr>
          <w:rFonts w:ascii="Times New Roman" w:hAnsi="Times New Roman" w:eastAsia="Arial" w:cs="Times New Roman"/>
          <w:color w:val="000000"/>
          <w:kern w:val="2"/>
          <w:highlight w:val="white"/>
          <w:lang w:eastAsia="pt-BR"/>
          <w14:ligatures w14:val="standardContextual"/>
        </w:rPr>
      </w:pPr>
      <w:r>
        <w:rPr>
          <w:rFonts w:eastAsia="Arial" w:cs="Times New Roman"/>
          <w:color w:val="000000"/>
          <w:kern w:val="2"/>
          <w:highlight w:val="white"/>
          <w:lang w:eastAsia="pt-BR"/>
          <w14:ligatures w14:val="standardContextual"/>
        </w:rPr>
      </w:r>
    </w:p>
    <w:p>
      <w:pPr>
        <w:pStyle w:val="Nivel2"/>
        <w:widowControl/>
        <w:numPr>
          <w:ilvl w:val="0"/>
          <w:numId w:val="0"/>
        </w:numPr>
        <w:suppressAutoHyphens w:val="true"/>
        <w:bidi w:val="0"/>
        <w:spacing w:lineRule="auto" w:line="360" w:before="0" w:after="0"/>
        <w:ind w:left="0" w:right="0" w:hanging="0"/>
        <w:jc w:val="both"/>
        <w:rPr/>
      </w:pPr>
      <w:r>
        <w:rPr>
          <w:rFonts w:eastAsia="Arial" w:cs="Times New Roman"/>
          <w:color w:val="000000"/>
          <w:kern w:val="2"/>
          <w:highlight w:val="white"/>
          <w:lang w:eastAsia="pt-BR"/>
          <w14:ligatures w14:val="standardContextual"/>
        </w:rPr>
        <w:t>5.3. VISTORIA</w:t>
      </w:r>
    </w:p>
    <w:p>
      <w:pPr>
        <w:pStyle w:val="Nivel2"/>
        <w:widowControl/>
        <w:numPr>
          <w:ilvl w:val="0"/>
          <w:numId w:val="0"/>
        </w:numPr>
        <w:suppressAutoHyphens w:val="true"/>
        <w:bidi w:val="0"/>
        <w:spacing w:lineRule="auto" w:line="360" w:before="0" w:after="0"/>
        <w:ind w:left="0" w:right="0" w:hanging="0"/>
        <w:jc w:val="both"/>
        <w:rPr>
          <w:rFonts w:ascii="Times New Roman" w:hAnsi="Times New Roman" w:eastAsia="Arial" w:cs="Times New Roman"/>
          <w:color w:val="000000"/>
          <w:kern w:val="2"/>
          <w:highlight w:val="white"/>
          <w:lang w:eastAsia="pt-BR"/>
          <w14:ligatures w14:val="standardContextual"/>
        </w:rPr>
      </w:pPr>
      <w:r>
        <w:rPr>
          <w:rFonts w:eastAsia="Arial" w:cs="Times New Roman"/>
          <w:color w:val="000000"/>
          <w:kern w:val="2"/>
          <w:highlight w:val="white"/>
          <w:lang w:eastAsia="pt-BR"/>
          <w14:ligatures w14:val="standardContextual"/>
        </w:rPr>
      </w:r>
    </w:p>
    <w:p>
      <w:pPr>
        <w:pStyle w:val="Nivel2"/>
        <w:ind w:left="0" w:right="0" w:firstLine="850"/>
        <w:rPr/>
      </w:pPr>
      <w:r>
        <w:rPr/>
        <w:t>Não há necessidade de realização de avaliação prévia do local de execução dos serviços.</w:t>
      </w:r>
    </w:p>
    <w:p>
      <w:pPr>
        <w:pStyle w:val="Nivel2"/>
        <w:ind w:left="0" w:right="0" w:hanging="0"/>
        <w:rPr>
          <w:highlight w:val="white"/>
        </w:rPr>
      </w:pPr>
      <w:r>
        <w:rPr>
          <w:highlight w:val="white"/>
        </w:rPr>
      </w:r>
    </w:p>
    <w:p>
      <w:pPr>
        <w:pStyle w:val="Nivel2"/>
        <w:ind w:left="0" w:right="0" w:hanging="0"/>
        <w:rPr/>
      </w:pPr>
      <w:r>
        <w:rPr>
          <w:highlight w:val="white"/>
        </w:rPr>
        <w:t>6. TRATAMENTO DIFERENCIADO DA CONTRATAÇÃO</w:t>
      </w:r>
    </w:p>
    <w:p>
      <w:pPr>
        <w:pStyle w:val="Nivel2"/>
        <w:ind w:left="0" w:right="0" w:hanging="0"/>
        <w:rPr>
          <w:highlight w:val="white"/>
        </w:rPr>
      </w:pPr>
      <w:r>
        <w:rPr>
          <w:highlight w:val="white"/>
        </w:rPr>
      </w:r>
    </w:p>
    <w:p>
      <w:pPr>
        <w:pStyle w:val="Nivel2"/>
        <w:ind w:left="0" w:right="0" w:firstLine="850"/>
        <w:rPr/>
      </w:pPr>
      <w:r>
        <w:rPr/>
        <w:t>Em atendimento ao artigo 48 da Lei Complementar n° 123, de 14 de dezembro de 2006 regulamentou o tratamento diferenciado e simplificado para as Microempresas - ME, Empresas de Pequeno Porte – EPP e Microempreendedores Individuais – MEI, nas licitações públicas no âmbito da Administração Pública Estadual, fica estabelecido que todos os Lotes são exclusivos para ME/EPP e MEI.</w:t>
      </w:r>
    </w:p>
    <w:p>
      <w:pPr>
        <w:pStyle w:val="Nivel2"/>
        <w:ind w:left="0" w:right="0" w:hanging="0"/>
        <w:rPr>
          <w:rFonts w:ascii="Times New Roman" w:hAnsi="Times New Roman" w:cs="Times New Roman"/>
          <w:highlight w:val="white"/>
        </w:rPr>
      </w:pPr>
      <w:r>
        <w:rPr>
          <w:rFonts w:cs="Times New Roman"/>
          <w:highlight w:val="white"/>
        </w:rPr>
      </w:r>
    </w:p>
    <w:p>
      <w:pPr>
        <w:pStyle w:val="Nivel2"/>
        <w:ind w:left="0" w:right="0" w:hanging="0"/>
        <w:rPr/>
      </w:pPr>
      <w:r>
        <w:rPr>
          <w:rFonts w:cs="Times New Roman"/>
          <w:highlight w:val="white"/>
        </w:rPr>
        <w:t>6.1. SUBCONTRATAÇÃO</w:t>
      </w:r>
    </w:p>
    <w:p>
      <w:pPr>
        <w:pStyle w:val="Nivel2"/>
        <w:ind w:left="0" w:right="0" w:hanging="0"/>
        <w:rPr>
          <w:rFonts w:ascii="Times New Roman" w:hAnsi="Times New Roman" w:cs="Times New Roman"/>
          <w:highlight w:val="white"/>
        </w:rPr>
      </w:pPr>
      <w:r>
        <w:rPr>
          <w:rFonts w:cs="Times New Roman"/>
          <w:highlight w:val="white"/>
        </w:rPr>
      </w:r>
    </w:p>
    <w:p>
      <w:pPr>
        <w:pStyle w:val="Nivel2"/>
        <w:ind w:left="0" w:right="0" w:firstLine="850"/>
        <w:rPr/>
      </w:pPr>
      <w:r>
        <w:rPr/>
        <w:t>Não é admitida a subcontratação do objeto contratual.</w:t>
      </w:r>
    </w:p>
    <w:p>
      <w:pPr>
        <w:pStyle w:val="Nivel2"/>
        <w:ind w:left="0" w:right="0" w:hanging="0"/>
        <w:rPr>
          <w:rFonts w:ascii="Times New Roman" w:hAnsi="Times New Roman" w:cs="Times New Roman"/>
          <w:highlight w:val="white"/>
        </w:rPr>
      </w:pPr>
      <w:r>
        <w:rPr>
          <w:rFonts w:cs="Times New Roman"/>
          <w:highlight w:val="white"/>
        </w:rPr>
      </w:r>
    </w:p>
    <w:p>
      <w:pPr>
        <w:pStyle w:val="Nivel2"/>
        <w:ind w:left="0" w:right="0" w:hanging="0"/>
        <w:rPr/>
      </w:pPr>
      <w:r>
        <w:rPr>
          <w:rFonts w:cs="Times New Roman"/>
          <w:highlight w:val="white"/>
        </w:rPr>
        <w:t>7. MODELO DE EXECUÇÃO DO OBJETO</w:t>
      </w:r>
    </w:p>
    <w:p>
      <w:pPr>
        <w:pStyle w:val="Nivel2"/>
        <w:ind w:left="0" w:right="0" w:hanging="0"/>
        <w:rPr>
          <w:rFonts w:ascii="Times New Roman" w:hAnsi="Times New Roman" w:cs="Times New Roman"/>
          <w:b w:val="false"/>
          <w:b w:val="false"/>
          <w:bCs w:val="false"/>
          <w:highlight w:val="white"/>
        </w:rPr>
      </w:pPr>
      <w:r>
        <w:rPr>
          <w:rFonts w:cs="Times New Roman"/>
          <w:b w:val="false"/>
          <w:bCs w:val="false"/>
          <w:highlight w:val="white"/>
        </w:rPr>
      </w:r>
    </w:p>
    <w:p>
      <w:pPr>
        <w:pStyle w:val="Nivel2"/>
        <w:ind w:left="0" w:right="0" w:hanging="0"/>
        <w:rPr/>
      </w:pPr>
      <w:r>
        <w:rPr>
          <w:rFonts w:cs="Times New Roman"/>
          <w:b w:val="false"/>
          <w:bCs w:val="false"/>
          <w:highlight w:val="white"/>
        </w:rPr>
        <w:t>7.1. CONDIÇÕES DE EXECUÇÃO</w:t>
      </w:r>
    </w:p>
    <w:p>
      <w:pPr>
        <w:pStyle w:val="Nivel2"/>
        <w:ind w:left="0" w:right="0" w:hanging="0"/>
        <w:rPr>
          <w:rFonts w:ascii="Times New Roman" w:hAnsi="Times New Roman" w:cs="Times New Roman"/>
          <w:b w:val="false"/>
          <w:b w:val="false"/>
          <w:bCs w:val="false"/>
          <w:highlight w:val="white"/>
        </w:rPr>
      </w:pPr>
      <w:r>
        <w:rPr>
          <w:rFonts w:cs="Times New Roman"/>
          <w:b w:val="false"/>
          <w:bCs w:val="false"/>
          <w:highlight w:val="white"/>
        </w:rPr>
      </w:r>
    </w:p>
    <w:p>
      <w:pPr>
        <w:pStyle w:val="Nivel2"/>
        <w:ind w:left="0" w:right="0" w:firstLine="850"/>
        <w:rPr/>
      </w:pPr>
      <w:r>
        <w:rPr>
          <w:b w:val="false"/>
          <w:bCs w:val="false"/>
        </w:rPr>
        <w:t>A execução do objeto seguirá a seguinte dinâmica:</w:t>
      </w:r>
    </w:p>
    <w:p>
      <w:pPr>
        <w:pStyle w:val="Nivel2"/>
        <w:ind w:left="0" w:right="0" w:firstLine="850"/>
        <w:rPr/>
      </w:pPr>
      <w:r>
        <w:rPr>
          <w:b w:val="false"/>
          <w:bCs w:val="false"/>
        </w:rPr>
        <w:t>Início da execução do objeto: em até 15 dias após emissão da ordem de serviço;</w:t>
      </w:r>
    </w:p>
    <w:p>
      <w:pPr>
        <w:pStyle w:val="Nivel2"/>
        <w:numPr>
          <w:ilvl w:val="0"/>
          <w:numId w:val="0"/>
        </w:numPr>
        <w:ind w:left="0" w:right="0" w:hanging="0"/>
        <w:rPr>
          <w:b w:val="false"/>
          <w:b w:val="false"/>
          <w:bCs w:val="false"/>
        </w:rPr>
      </w:pPr>
      <w:r>
        <w:rPr>
          <w:b w:val="false"/>
          <w:bCs w:val="false"/>
        </w:rPr>
      </w:r>
    </w:p>
    <w:p>
      <w:pPr>
        <w:pStyle w:val="Nivel2"/>
        <w:numPr>
          <w:ilvl w:val="0"/>
          <w:numId w:val="0"/>
        </w:numPr>
        <w:ind w:left="0" w:right="0" w:hanging="0"/>
        <w:rPr>
          <w:b w:val="false"/>
          <w:b w:val="false"/>
          <w:bCs w:val="false"/>
        </w:rPr>
      </w:pPr>
      <w:r>
        <w:rPr>
          <w:b w:val="false"/>
          <w:bCs w:val="false"/>
        </w:rPr>
        <w:t>7.2. LOCAL E HORÁRIO DA PRESTAÇÃO DOS SERVIÇOS</w:t>
      </w:r>
    </w:p>
    <w:p>
      <w:pPr>
        <w:pStyle w:val="Nivel2"/>
        <w:numPr>
          <w:ilvl w:val="0"/>
          <w:numId w:val="0"/>
        </w:numPr>
        <w:ind w:left="0" w:right="0" w:hanging="0"/>
        <w:rPr>
          <w:rFonts w:ascii="Times New Roman" w:hAnsi="Times New Roman" w:cs="Times New Roman"/>
          <w:highlight w:val="white"/>
        </w:rPr>
      </w:pPr>
      <w:r>
        <w:rPr>
          <w:rFonts w:cs="Times New Roman"/>
          <w:highlight w:val="white"/>
        </w:rPr>
      </w:r>
    </w:p>
    <w:p>
      <w:pPr>
        <w:pStyle w:val="Nivel2"/>
        <w:ind w:left="0" w:right="0" w:firstLine="850"/>
        <w:rPr/>
      </w:pPr>
      <w:r>
        <w:rPr>
          <w:rFonts w:cs="Times New Roman"/>
          <w:b w:val="false"/>
          <w:bCs w:val="false"/>
          <w:highlight w:val="white"/>
        </w:rPr>
        <w:t>A realização dos exames será efetuada de acordo com a necessidade da PMMA, em qualquer um dos lotes sendo em São Luís quanto em Imperatriz.</w:t>
      </w:r>
    </w:p>
    <w:p>
      <w:pPr>
        <w:pStyle w:val="Nivel2"/>
        <w:ind w:left="0" w:right="0" w:firstLine="850"/>
        <w:rPr/>
      </w:pPr>
      <w:r>
        <w:rPr>
          <w:rFonts w:cs="Times New Roman"/>
          <w:b w:val="false"/>
          <w:bCs w:val="false"/>
        </w:rPr>
        <w:t>Os exames veterinários deverão ser realizados nas unidades veterinárias dos municípios de São Luís e Imperatriz, devendo obedecer às especificações e quantitativos constantes neste termo, e de acordo com a solicitação demandada pela equipe de gestão e fiscalização do contrato e/ou oficiais veterinários da instituição.</w:t>
      </w:r>
    </w:p>
    <w:p>
      <w:pPr>
        <w:pStyle w:val="Nivel2"/>
        <w:ind w:left="0" w:right="0" w:firstLine="850"/>
        <w:rPr/>
      </w:pPr>
      <w:r>
        <w:rPr>
          <w:rFonts w:cs="Times New Roman"/>
        </w:rPr>
        <w:t>Caso não seja possível a realização do exame na data acordada, a empresa deverá comunicar as razões respectivas com pelo menos 10 (dez) dias de antecedência para que qualquer pleito de prorrogação de prazo seja analisado, ressalvadas situações de caso fortuito e força maior.</w:t>
      </w:r>
    </w:p>
    <w:p>
      <w:pPr>
        <w:pStyle w:val="Nivel2"/>
        <w:ind w:left="0" w:right="0" w:firstLine="850"/>
        <w:rPr/>
      </w:pPr>
      <w:r>
        <w:rPr>
          <w:rFonts w:cs="Times New Roman"/>
        </w:rPr>
        <w:t>Os serviços serão demandados com antecedência mínima de até 48 (quarenta e oito) horas, por meio de solicitação formal da contratante e a execução dar-se-á pela contratada após solicitação formal dos serviços, emitida pelo fiscal do contrato. Porém, no caso de hemograma completo, em casos de emergência, a solicitação poderá ser realizada de acordo com a necessidade da contratante</w:t>
      </w:r>
    </w:p>
    <w:p>
      <w:pPr>
        <w:pStyle w:val="Nivel2"/>
        <w:ind w:left="0" w:right="0" w:firstLine="850"/>
        <w:rPr/>
      </w:pPr>
      <w:r>
        <w:rPr>
          <w:rFonts w:cs="Times New Roman"/>
        </w:rPr>
        <w:t>Eventualmente, os serviços poderão ser solicitados com prazo menor que o estipulado, casos em que serão negociados entre a contratante e a contratada.</w:t>
      </w:r>
    </w:p>
    <w:p>
      <w:pPr>
        <w:pStyle w:val="Nivel2"/>
        <w:ind w:left="0" w:right="0" w:firstLine="850"/>
        <w:rPr/>
      </w:pPr>
      <w:r>
        <w:rPr>
          <w:rFonts w:cs="Times New Roman"/>
        </w:rPr>
        <w:t>A contratante poderá cancelar a solicitação do serviço mediante comunicação prévia à contratada, não cabendo nenhum ônus, caso o cancelamento seja efetuado com antecedência mínima de 24 (vinte e quatro) horas da data prevista para a execução do serviço.</w:t>
      </w:r>
    </w:p>
    <w:p>
      <w:pPr>
        <w:pStyle w:val="Nivel2"/>
        <w:ind w:left="0" w:right="0" w:firstLine="850"/>
        <w:rPr/>
      </w:pPr>
      <w:r>
        <w:rPr>
          <w:rFonts w:cs="Times New Roman"/>
        </w:rPr>
        <w:t>Os horários de entrega dos materiais coletados serão enviados na solicitação encaminhada ao fornecedor sempre em horário comercial.</w:t>
      </w:r>
    </w:p>
    <w:p>
      <w:pPr>
        <w:pStyle w:val="Nivel2"/>
        <w:ind w:left="0" w:right="0" w:firstLine="850"/>
        <w:rPr>
          <w:rFonts w:ascii="Times New Roman" w:hAnsi="Times New Roman" w:cs="Times New Roman"/>
          <w:b/>
          <w:b/>
          <w:bCs/>
        </w:rPr>
      </w:pPr>
      <w:r>
        <w:rPr>
          <w:rFonts w:cs="Times New Roman"/>
          <w:b/>
          <w:bCs/>
        </w:rPr>
      </w:r>
    </w:p>
    <w:p>
      <w:pPr>
        <w:pStyle w:val="Nivel2"/>
        <w:ind w:left="0" w:right="0" w:hanging="0"/>
        <w:rPr/>
      </w:pPr>
      <w:r>
        <w:rPr>
          <w:b w:val="false"/>
          <w:bCs w:val="false"/>
        </w:rPr>
        <w:t>7.3. MATERIAIS A SEREM DISPONIBILIZADOS</w:t>
      </w:r>
    </w:p>
    <w:p>
      <w:pPr>
        <w:pStyle w:val="Nivel2"/>
        <w:ind w:left="0" w:right="0" w:hanging="0"/>
        <w:rPr>
          <w:b w:val="false"/>
          <w:b w:val="false"/>
          <w:bCs w:val="false"/>
        </w:rPr>
      </w:pPr>
      <w:r>
        <w:rPr>
          <w:b w:val="false"/>
          <w:bCs w:val="false"/>
        </w:rPr>
      </w:r>
    </w:p>
    <w:p>
      <w:pPr>
        <w:pStyle w:val="Nivel2"/>
        <w:ind w:left="0" w:right="0" w:firstLine="850"/>
        <w:rPr/>
      </w:pPr>
      <w:r>
        <w:rPr>
          <w:b w:val="false"/>
          <w:bCs w:val="false"/>
        </w:rPr>
        <w:t>Os materiais necessários para a execução dos serviços serão de responsabilidade exclusiva da contratada.</w:t>
      </w:r>
    </w:p>
    <w:p>
      <w:pPr>
        <w:pStyle w:val="Nivel2"/>
        <w:ind w:left="0" w:right="0" w:hanging="0"/>
        <w:rPr>
          <w:rFonts w:ascii="Times New Roman" w:hAnsi="Times New Roman" w:cs="Times New Roman"/>
          <w:b w:val="false"/>
          <w:b w:val="false"/>
          <w:bCs w:val="false"/>
          <w:color w:val="000000" w:themeColor="text1"/>
        </w:rPr>
      </w:pPr>
      <w:r>
        <w:rPr>
          <w:rFonts w:cs="Times New Roman"/>
          <w:b w:val="false"/>
          <w:bCs w:val="false"/>
          <w:color w:val="000000" w:themeColor="text1"/>
        </w:rPr>
      </w:r>
    </w:p>
    <w:p>
      <w:pPr>
        <w:pStyle w:val="Nivel2"/>
        <w:ind w:left="0" w:right="0" w:hanging="0"/>
        <w:rPr/>
      </w:pPr>
      <w:r>
        <w:rPr>
          <w:rFonts w:cs="Times New Roman"/>
          <w:b w:val="false"/>
          <w:bCs w:val="false"/>
          <w:color w:val="000000" w:themeColor="text1"/>
        </w:rPr>
        <w:t xml:space="preserve">8. </w:t>
      </w:r>
      <w:r>
        <w:rPr>
          <w:rFonts w:cs="Times New Roman"/>
          <w:color w:val="000000" w:themeColor="text1"/>
        </w:rPr>
        <w:t>MODELO DE GESTÃO DO CONTRATO</w:t>
      </w:r>
    </w:p>
    <w:p>
      <w:pPr>
        <w:pStyle w:val="Nivel2"/>
        <w:ind w:left="0" w:right="0" w:hanging="0"/>
        <w:rPr>
          <w:rFonts w:ascii="Times New Roman" w:hAnsi="Times New Roman" w:cs="Times New Roman"/>
          <w:color w:val="000000" w:themeColor="text1"/>
        </w:rPr>
      </w:pPr>
      <w:r>
        <w:rPr>
          <w:rFonts w:cs="Times New Roman"/>
          <w:color w:val="000000" w:themeColor="text1"/>
        </w:rPr>
      </w:r>
    </w:p>
    <w:p>
      <w:pPr>
        <w:pStyle w:val="Nivel2"/>
        <w:ind w:left="0" w:right="0" w:firstLine="850"/>
        <w:rPr/>
      </w:pPr>
      <w:r>
        <w:rPr>
          <w:rFonts w:cs="Times New Roman"/>
          <w:color w:val="000000" w:themeColor="text1"/>
        </w:rPr>
        <w:t>O contrato deverá ser executado fielmente pelas partes, de acordo com as cláusulas avençadas e as normas da Lei nº 14.133, de 2021, e cada parte responderá pelas consequências de sua inexecução total ou parcial.</w:t>
      </w:r>
    </w:p>
    <w:p>
      <w:pPr>
        <w:pStyle w:val="Nivel2"/>
        <w:ind w:left="0" w:right="0" w:firstLine="850"/>
        <w:rPr/>
      </w:pPr>
      <w:r>
        <w:rPr>
          <w:rFonts w:cs="Times New Roman"/>
          <w:color w:val="000000" w:themeColor="text1"/>
        </w:rPr>
        <w:t>Em caso de impedimento, ordem de paralisação ou suspensão do contrato, o cronograma de execução será prorrogado automaticamente pelo tempo correspondente, anotadas tais circunstâncias mediante simples apostila.</w:t>
      </w:r>
    </w:p>
    <w:p>
      <w:pPr>
        <w:pStyle w:val="Nivel2"/>
        <w:ind w:left="0" w:right="0" w:firstLine="850"/>
        <w:rPr/>
      </w:pPr>
      <w:r>
        <w:rPr>
          <w:rFonts w:cs="Times New Roman"/>
          <w:color w:val="000000" w:themeColor="text1"/>
        </w:rPr>
        <w:t>As comunicações entre o órgão ou entidade e a contratada devem ser realizadas por escrito sempre que o ato exigir tal formalidade, admitindo-se o uso de mensagem eletrônica para esse fim.</w:t>
      </w:r>
    </w:p>
    <w:p>
      <w:pPr>
        <w:pStyle w:val="Nivel2"/>
        <w:ind w:left="0" w:right="0" w:firstLine="850"/>
        <w:rPr/>
      </w:pPr>
      <w:r>
        <w:rPr>
          <w:rFonts w:cs="Times New Roman"/>
          <w:color w:val="000000" w:themeColor="text1"/>
        </w:rPr>
        <w:t>O órgão ou entidade poderá convocar representante da empresa para adoção de providências que devam ser cumpridas de imediato.</w:t>
      </w:r>
    </w:p>
    <w:p>
      <w:pPr>
        <w:pStyle w:val="Nivel2"/>
        <w:ind w:left="0" w:right="0" w:firstLine="850"/>
        <w:rPr/>
      </w:pPr>
      <w:r>
        <w:rPr>
          <w:rFonts w:cs="Times New Roman"/>
          <w:color w:val="000000" w:themeColor="text1"/>
        </w:rPr>
        <w:t>Após a assinatura do contrato ou instrumento equivalente</w:t>
      </w:r>
      <w:r>
        <w:rPr>
          <w:rFonts w:cs="Times New Roman"/>
          <w:strike/>
          <w:color w:val="000000" w:themeColor="text1"/>
        </w:rPr>
        <w:t>,</w:t>
      </w:r>
      <w:r>
        <w:rPr>
          <w:rFonts w:cs="Times New Roman"/>
          <w:color w:val="000000" w:themeColor="text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ListParagraph"/>
        <w:spacing w:lineRule="auto" w:line="360"/>
        <w:ind w:left="720" w:hanging="0"/>
        <w:jc w:val="both"/>
        <w:rPr>
          <w:rFonts w:ascii="Times New Roman" w:hAnsi="Times New Roman" w:cs="Times New Roman"/>
          <w:b/>
          <w:b/>
          <w:bCs/>
          <w:color w:val="000000" w:themeColor="text1"/>
        </w:rPr>
      </w:pPr>
      <w:r>
        <w:rPr>
          <w:rFonts w:cs="Times New Roman" w:ascii="Times New Roman" w:hAnsi="Times New Roman"/>
          <w:b/>
          <w:bCs/>
          <w:color w:val="000000" w:themeColor="text1"/>
        </w:rPr>
      </w:r>
    </w:p>
    <w:p>
      <w:pPr>
        <w:pStyle w:val="ListParagraph"/>
        <w:spacing w:lineRule="auto" w:line="360"/>
        <w:ind w:left="720" w:hanging="0"/>
        <w:jc w:val="both"/>
        <w:rPr>
          <w:rFonts w:ascii="Times New Roman" w:hAnsi="Times New Roman"/>
        </w:rPr>
      </w:pPr>
      <w:r>
        <w:rPr>
          <w:rFonts w:cs="Times New Roman" w:ascii="Times New Roman" w:hAnsi="Times New Roman"/>
          <w:b w:val="false"/>
          <w:bCs w:val="false"/>
          <w:color w:val="000000" w:themeColor="text1"/>
        </w:rPr>
        <w:t>8.1. PREPOSTO</w:t>
      </w:r>
    </w:p>
    <w:p>
      <w:pPr>
        <w:pStyle w:val="ListParagraph"/>
        <w:spacing w:lineRule="auto" w:line="360"/>
        <w:ind w:left="720" w:hanging="0"/>
        <w:jc w:val="both"/>
        <w:rPr>
          <w:rFonts w:eastAsia="" w:cs="Times New Roman"/>
          <w:b w:val="false"/>
          <w:b w:val="false"/>
          <w:bCs w:val="false"/>
          <w:color w:val="000000" w:themeColor="text1"/>
          <w:kern w:val="0"/>
        </w:rPr>
      </w:pPr>
      <w:r>
        <w:rPr>
          <w:rFonts w:eastAsia="" w:cs="Times New Roman"/>
          <w:b w:val="false"/>
          <w:bCs w:val="false"/>
          <w:color w:val="000000" w:themeColor="text1"/>
          <w:kern w:val="0"/>
        </w:rPr>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eastAsia="" w:ascii="Times New Roman" w:hAnsi="Times New Roman" w:eastAsiaTheme="minorEastAsia"/>
          <w:color w:val="000000" w:themeColor="text1"/>
          <w:kern w:val="0"/>
          <w14:ligatures w14:val="none"/>
        </w:rPr>
        <w:t>A Contratada designará formalmente o preposto da empresa, antes do início da prestação dos serviços, indicando no instrumento os poderes e deveres em relação à execução do objeto contratado.</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A contratada deverá, durante a execução do contrato, manter preposto na cidade da prestação do serviço, objetivando prestar esclarecimentos, receber e resolver reclamações, acordar a respeito, dentre outras atribuições, durante a vigência do contrato, indicando o nome do preposto que irá representá-la quando da execução do contrato, fornecendo telefone, endereço para os casos de urgência, em observância ao art. 118 da Lei 14.133/21</w:t>
      </w:r>
      <w:bookmarkStart w:id="0" w:name="_Hlk154051631"/>
      <w:r>
        <w:rPr>
          <w:rFonts w:ascii="Times New Roman" w:hAnsi="Times New Roman"/>
        </w:rPr>
        <w:t>.</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A Contratante poderá recusar, desde que justificadamente, a indicação ou a manutenção do preposto da empresa, hipótese em que a Contratada designará outro para o exercício da atividade.</w:t>
      </w:r>
      <w:bookmarkEnd w:id="0"/>
    </w:p>
    <w:p>
      <w:pPr>
        <w:pStyle w:val="Nivel2"/>
        <w:numPr>
          <w:ilvl w:val="0"/>
          <w:numId w:val="0"/>
        </w:numPr>
        <w:ind w:left="360" w:right="0" w:hanging="0"/>
        <w:rPr>
          <w:b/>
          <w:b/>
          <w:bCs/>
        </w:rPr>
      </w:pPr>
      <w:r>
        <w:rPr>
          <w:b/>
          <w:bCs/>
        </w:rPr>
      </w:r>
    </w:p>
    <w:p>
      <w:pPr>
        <w:pStyle w:val="Nivel2"/>
        <w:widowControl/>
        <w:numPr>
          <w:ilvl w:val="0"/>
          <w:numId w:val="0"/>
        </w:numPr>
        <w:suppressAutoHyphens w:val="true"/>
        <w:bidi w:val="0"/>
        <w:spacing w:lineRule="auto" w:line="360" w:before="0" w:after="0"/>
        <w:ind w:left="0" w:right="0" w:hanging="0"/>
        <w:jc w:val="both"/>
        <w:rPr/>
      </w:pPr>
      <w:r>
        <w:rPr>
          <w:rFonts w:eastAsia="Arial" w:cs="Times New Roman"/>
          <w:color w:val="000000"/>
          <w:kern w:val="2"/>
          <w:u w:val="none"/>
          <w:lang w:eastAsia="pt-BR"/>
          <w14:ligatures w14:val="standardContextual"/>
        </w:rPr>
        <w:t>8.2. ROTINAS DE FISCALIZAÇÃO</w:t>
      </w:r>
    </w:p>
    <w:p>
      <w:pPr>
        <w:pStyle w:val="Nivel2"/>
        <w:widowControl/>
        <w:numPr>
          <w:ilvl w:val="0"/>
          <w:numId w:val="0"/>
        </w:numPr>
        <w:suppressAutoHyphens w:val="true"/>
        <w:bidi w:val="0"/>
        <w:spacing w:lineRule="auto" w:line="360" w:before="0" w:after="0"/>
        <w:ind w:left="0" w:right="0" w:hanging="0"/>
        <w:jc w:val="both"/>
        <w:rPr>
          <w:rFonts w:ascii="Times New Roman" w:hAnsi="Times New Roman" w:eastAsia="Arial" w:cs="Times New Roman"/>
          <w:color w:val="000000"/>
          <w:kern w:val="2"/>
          <w:u w:val="none"/>
          <w:lang w:eastAsia="pt-BR"/>
          <w14:ligatures w14:val="standardContextual"/>
        </w:rPr>
      </w:pPr>
      <w:r>
        <w:rPr>
          <w:rFonts w:eastAsia="Arial" w:cs="Times New Roman"/>
          <w:color w:val="000000"/>
          <w:kern w:val="2"/>
          <w:u w:val="none"/>
          <w:lang w:eastAsia="pt-BR"/>
          <w14:ligatures w14:val="standardContextual"/>
        </w:rPr>
      </w:r>
    </w:p>
    <w:p>
      <w:pPr>
        <w:pStyle w:val="Nivel2"/>
        <w:ind w:left="0" w:right="0" w:firstLine="850"/>
        <w:rPr/>
      </w:pPr>
      <w:r>
        <w:rPr>
          <w:rFonts w:cs="Times New Roman"/>
          <w:color w:val="000000" w:themeColor="text1"/>
        </w:rPr>
        <w:t>A execução do contrato deverá ser acompanhada e fiscalizada pelo(s) fiscal(is) do contrato, ou pelos respectivos substitutos (</w:t>
      </w:r>
      <w:r>
        <w:fldChar w:fldCharType="begin"/>
      </w:r>
      <w:r>
        <w:rPr>
          <w:rStyle w:val="LinkdaInternet"/>
          <w:rFonts w:cs="Times New Roman"/>
          <w:color w:val="000000"/>
        </w:rPr>
        <w:instrText xml:space="preserve"> HYPERLINK "http://www.planalto.gov.br/ccivil_03/_ato2019-2022/2021/lei/L14133.htm" \l "art117"</w:instrText>
      </w:r>
      <w:r>
        <w:rPr>
          <w:rStyle w:val="LinkdaInternet"/>
          <w:rFonts w:cs="Times New Roman"/>
          <w:color w:val="000000"/>
        </w:rPr>
        <w:fldChar w:fldCharType="separate"/>
      </w:r>
      <w:r>
        <w:rPr>
          <w:rStyle w:val="LinkdaInternet"/>
          <w:rFonts w:cs="Times New Roman"/>
          <w:color w:val="000000" w:themeColor="text1"/>
        </w:rPr>
        <w:t>Lei nº 14.133, de 2021, art. 117, caput</w:t>
      </w:r>
      <w:r>
        <w:rPr>
          <w:rStyle w:val="LinkdaInternet"/>
          <w:rFonts w:cs="Times New Roman"/>
          <w:color w:val="000000"/>
        </w:rPr>
        <w:fldChar w:fldCharType="end"/>
      </w:r>
      <w:r>
        <w:rPr>
          <w:rFonts w:cs="Times New Roman"/>
          <w:color w:val="000000" w:themeColor="text1"/>
        </w:rPr>
        <w:t>).</w:t>
      </w:r>
    </w:p>
    <w:p>
      <w:pPr>
        <w:pStyle w:val="Normal"/>
        <w:tabs>
          <w:tab w:val="clear" w:pos="708"/>
          <w:tab w:val="left" w:pos="1134" w:leader="none"/>
          <w:tab w:val="left" w:pos="1440" w:leader="none"/>
          <w:tab w:val="left" w:pos="1680" w:leader="none"/>
        </w:tabs>
        <w:spacing w:lineRule="auto" w:line="360"/>
        <w:ind w:hanging="0"/>
        <w:jc w:val="both"/>
        <w:rPr>
          <w:rFonts w:cs="Times New Roman"/>
          <w:b/>
          <w:b/>
          <w:bCs/>
          <w:color w:val="000000" w:themeColor="text1"/>
        </w:rPr>
      </w:pPr>
      <w:r>
        <w:rPr>
          <w:rFonts w:cs="Times New Roman"/>
          <w:b/>
          <w:bCs/>
          <w:color w:val="000000" w:themeColor="text1"/>
        </w:rPr>
      </w:r>
    </w:p>
    <w:p>
      <w:pPr>
        <w:pStyle w:val="Normal"/>
        <w:tabs>
          <w:tab w:val="clear" w:pos="708"/>
          <w:tab w:val="left" w:pos="1134" w:leader="none"/>
          <w:tab w:val="left" w:pos="1440" w:leader="none"/>
          <w:tab w:val="left" w:pos="1680" w:leader="none"/>
        </w:tabs>
        <w:spacing w:lineRule="auto" w:line="360"/>
        <w:ind w:hanging="0"/>
        <w:jc w:val="both"/>
        <w:rPr>
          <w:rFonts w:cs="Times New Roman"/>
          <w:b/>
          <w:b/>
          <w:bCs/>
          <w:color w:val="000000" w:themeColor="text1"/>
        </w:rPr>
      </w:pPr>
      <w:r>
        <w:rPr>
          <w:rFonts w:cs="Times New Roman"/>
          <w:b/>
          <w:bCs/>
          <w:color w:val="000000" w:themeColor="text1"/>
        </w:rPr>
      </w:r>
      <w:r>
        <w:br w:type="page"/>
      </w:r>
    </w:p>
    <w:p>
      <w:pPr>
        <w:pStyle w:val="Normal"/>
        <w:tabs>
          <w:tab w:val="clear" w:pos="708"/>
          <w:tab w:val="left" w:pos="1134" w:leader="none"/>
          <w:tab w:val="left" w:pos="1440" w:leader="none"/>
          <w:tab w:val="left" w:pos="1680" w:leader="none"/>
        </w:tabs>
        <w:spacing w:lineRule="auto" w:line="360"/>
        <w:ind w:hanging="0"/>
        <w:jc w:val="both"/>
        <w:rPr>
          <w:rFonts w:ascii="Times New Roman" w:hAnsi="Times New Roman"/>
        </w:rPr>
      </w:pPr>
      <w:r>
        <w:rPr>
          <w:rFonts w:cs="Times New Roman" w:ascii="Times New Roman" w:hAnsi="Times New Roman"/>
          <w:b w:val="false"/>
          <w:bCs w:val="false"/>
          <w:color w:val="000000" w:themeColor="text1"/>
        </w:rPr>
        <w:t>8.3. FISCALIZAÇÃO TÉCNICA</w:t>
      </w:r>
    </w:p>
    <w:p>
      <w:pPr>
        <w:pStyle w:val="Normal"/>
        <w:tabs>
          <w:tab w:val="clear" w:pos="708"/>
          <w:tab w:val="left" w:pos="1134" w:leader="none"/>
          <w:tab w:val="left" w:pos="1440" w:leader="none"/>
          <w:tab w:val="left" w:pos="1680" w:leader="none"/>
        </w:tabs>
        <w:spacing w:lineRule="auto" w:line="360"/>
        <w:ind w:hanging="0"/>
        <w:jc w:val="both"/>
        <w:rPr>
          <w:rFonts w:cs="Times New Roman"/>
          <w:b w:val="false"/>
          <w:b w:val="false"/>
          <w:bCs w:val="false"/>
          <w:color w:val="000000" w:themeColor="text1"/>
        </w:rPr>
      </w:pPr>
      <w:r>
        <w:rPr>
          <w:rFonts w:cs="Times New Roman"/>
          <w:b w:val="false"/>
          <w:bCs w:val="false"/>
          <w:color w:val="000000" w:themeColor="text1"/>
        </w:rPr>
      </w:r>
    </w:p>
    <w:p>
      <w:pPr>
        <w:pStyle w:val="Normal"/>
        <w:widowControl/>
        <w:tabs>
          <w:tab w:val="clear" w:pos="708"/>
          <w:tab w:val="left" w:pos="1134" w:leader="none"/>
          <w:tab w:val="left" w:pos="1440" w:leader="none"/>
          <w:tab w:val="left" w:pos="1680" w:leader="none"/>
        </w:tabs>
        <w:suppressAutoHyphens w:val="true"/>
        <w:bidi w:val="0"/>
        <w:spacing w:lineRule="auto" w:line="360" w:before="0" w:after="0"/>
        <w:ind w:left="0" w:right="0" w:firstLine="850"/>
        <w:jc w:val="both"/>
        <w:rPr>
          <w:rFonts w:ascii="Times New Roman" w:hAnsi="Times New Roman"/>
        </w:rPr>
      </w:pPr>
      <w:r>
        <w:rPr>
          <w:rFonts w:cs="Times New Roman" w:ascii="Times New Roman" w:hAnsi="Times New Roman"/>
          <w:color w:val="000000" w:themeColor="text1"/>
        </w:rPr>
        <w:t>O fiscal técnico do contrato acompanhará a execução do contrato, para que sejam cumpridas todas as condições estabelecidas no contrato, de modo a assegurar os melhores resultados para a Administração. (Decreto Federal nº 11.246, de 2022, art. 22, VI).</w:t>
      </w:r>
    </w:p>
    <w:p>
      <w:pPr>
        <w:pStyle w:val="Normal"/>
        <w:widowControl/>
        <w:tabs>
          <w:tab w:val="clear" w:pos="708"/>
          <w:tab w:val="left" w:pos="1134" w:leader="none"/>
          <w:tab w:val="left" w:pos="1440" w:leader="none"/>
          <w:tab w:val="left" w:pos="1680" w:leader="none"/>
        </w:tabs>
        <w:suppressAutoHyphens w:val="true"/>
        <w:bidi w:val="0"/>
        <w:spacing w:lineRule="auto" w:line="360" w:before="0" w:after="0"/>
        <w:ind w:left="0" w:right="0" w:firstLine="850"/>
        <w:jc w:val="both"/>
        <w:rPr/>
      </w:pPr>
      <w:r>
        <w:rPr>
          <w:rFonts w:cs="Times New Roman" w:ascii="Times New Roman" w:hAnsi="Times New Roman"/>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ormal"/>
        <w:widowControl/>
        <w:tabs>
          <w:tab w:val="clear" w:pos="708"/>
          <w:tab w:val="left" w:pos="1134" w:leader="none"/>
          <w:tab w:val="left" w:pos="1440" w:leader="none"/>
          <w:tab w:val="left" w:pos="1680" w:leader="none"/>
        </w:tabs>
        <w:suppressAutoHyphens w:val="true"/>
        <w:bidi w:val="0"/>
        <w:spacing w:lineRule="auto" w:line="360" w:before="0" w:after="0"/>
        <w:ind w:left="0" w:right="0" w:firstLine="850"/>
        <w:jc w:val="both"/>
        <w:rPr/>
      </w:pPr>
      <w:r>
        <w:rPr>
          <w:rFonts w:cs="Times New Roman" w:ascii="Times New Roman" w:hAnsi="Times New Roman"/>
          <w:color w:val="000000" w:themeColor="text1"/>
        </w:rPr>
        <w:t>Identificada qualquer inexatidão ou irregularidade, o fiscal técnico do contrato emitirá notificações para a correção da execução do contrato, determinando prazo para a correção. (</w:t>
      </w:r>
      <w:r>
        <w:fldChar w:fldCharType="begin"/>
      </w:r>
      <w:r>
        <w:rPr>
          <w:rStyle w:val="LinkdaInternet"/>
          <w:rFonts w:cs="Times New Roman" w:ascii="Times New Roman" w:hAnsi="Times New Roman"/>
          <w:color w:val="000000"/>
        </w:rPr>
        <w:instrText xml:space="preserve"> HYPERLINK "https://www.planalto.gov.br/ccivil_03/_ato2019-2022/2022/Decreto/D11246.htm" \l "art22"</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Decreto Federal nº 11.246</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 de 2022, art. 22, III</w:t>
      </w:r>
      <w:r>
        <w:rPr>
          <w:rFonts w:cs="Times New Roman" w:ascii="Times New Roman" w:hAnsi="Times New Roman"/>
          <w:color w:val="000000" w:themeColor="text1"/>
        </w:rPr>
        <w:t>).</w:t>
      </w:r>
    </w:p>
    <w:p>
      <w:pPr>
        <w:pStyle w:val="Normal"/>
        <w:widowControl/>
        <w:tabs>
          <w:tab w:val="clear" w:pos="708"/>
          <w:tab w:val="left" w:pos="1134" w:leader="none"/>
          <w:tab w:val="left" w:pos="1440" w:leader="none"/>
          <w:tab w:val="left" w:pos="1680" w:leader="none"/>
        </w:tabs>
        <w:suppressAutoHyphens w:val="true"/>
        <w:bidi w:val="0"/>
        <w:spacing w:lineRule="auto" w:line="360" w:before="0" w:after="0"/>
        <w:ind w:left="0" w:right="0" w:firstLine="850"/>
        <w:jc w:val="both"/>
        <w:rPr/>
      </w:pPr>
      <w:r>
        <w:rPr>
          <w:rFonts w:cs="Times New Roman" w:ascii="Times New Roman" w:hAnsi="Times New Roman"/>
          <w:color w:val="000000" w:themeColor="text1"/>
        </w:rPr>
        <w:t>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LinkdaInternet"/>
          <w:rFonts w:cs="Times New Roman" w:ascii="Times New Roman" w:hAnsi="Times New Roman"/>
          <w:color w:val="000000"/>
        </w:rPr>
        <w:instrText xml:space="preserve"> HYPERLINK "https://www.planalto.gov.br/ccivil_03/_ato2019-2022/2022/Decreto/D11246.htm" \l "art22"</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Decreto Federal nº 11.246</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 de 2022, art. 22, IV</w:t>
      </w:r>
      <w:r>
        <w:rPr>
          <w:rFonts w:cs="Times New Roman" w:ascii="Times New Roman" w:hAnsi="Times New Roman"/>
          <w:color w:val="000000" w:themeColor="text1"/>
        </w:rPr>
        <w:t>).</w:t>
      </w:r>
    </w:p>
    <w:p>
      <w:pPr>
        <w:pStyle w:val="Normal"/>
        <w:widowControl/>
        <w:tabs>
          <w:tab w:val="clear" w:pos="708"/>
          <w:tab w:val="left" w:pos="1134" w:leader="none"/>
          <w:tab w:val="left" w:pos="1440" w:leader="none"/>
          <w:tab w:val="left" w:pos="1680" w:leader="none"/>
        </w:tabs>
        <w:suppressAutoHyphens w:val="true"/>
        <w:bidi w:val="0"/>
        <w:spacing w:lineRule="auto" w:line="360" w:before="0" w:after="0"/>
        <w:ind w:left="0" w:right="0" w:firstLine="850"/>
        <w:jc w:val="both"/>
        <w:rPr/>
      </w:pPr>
      <w:r>
        <w:rPr>
          <w:rFonts w:cs="Times New Roman" w:ascii="Times New Roman" w:hAnsi="Times New Roman"/>
          <w:color w:val="000000" w:themeColor="text1"/>
        </w:rPr>
        <w:t>No caso de ocorrências que possam inviabilizar a execução do contrato nas datas aprazadas, o fiscal técnico do contrato comunicará o fato imediatamente ao gestor do contrato. (</w:t>
      </w:r>
      <w:r>
        <w:fldChar w:fldCharType="begin"/>
      </w:r>
      <w:r>
        <w:rPr>
          <w:rStyle w:val="LinkdaInternet"/>
          <w:rFonts w:cs="Times New Roman" w:ascii="Times New Roman" w:hAnsi="Times New Roman"/>
          <w:color w:val="000000"/>
        </w:rPr>
        <w:instrText xml:space="preserve"> HYPERLINK "https://www.planalto.gov.br/ccivil_03/_ato2019-2022/2022/Decreto/D11246.htm" \l "art22"</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Decreto Federal nº 11.246</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 de 2022, art. 22, V).</w:t>
      </w:r>
    </w:p>
    <w:p>
      <w:pPr>
        <w:pStyle w:val="Normal"/>
        <w:widowControl/>
        <w:tabs>
          <w:tab w:val="clear" w:pos="708"/>
          <w:tab w:val="left" w:pos="1134" w:leader="none"/>
          <w:tab w:val="left" w:pos="1440" w:leader="none"/>
          <w:tab w:val="left" w:pos="1680" w:leader="none"/>
        </w:tabs>
        <w:suppressAutoHyphens w:val="true"/>
        <w:bidi w:val="0"/>
        <w:spacing w:lineRule="auto" w:line="360" w:before="0" w:after="0"/>
        <w:ind w:left="0" w:right="0" w:firstLine="850"/>
        <w:jc w:val="both"/>
        <w:rPr/>
      </w:pPr>
      <w:r>
        <w:rPr>
          <w:rFonts w:cs="Times New Roman" w:ascii="Times New Roman" w:hAnsi="Times New Roman"/>
          <w:color w:val="000000" w:themeColor="text1"/>
        </w:rPr>
        <w:t xml:space="preserve">O fiscal técnico do contrato comunicará ao gestor do contrato, em tempo hábil, o término do contrato sob sua responsabilidade, com vistas à renovação tempestiva ou à prorrogação contratual </w:t>
      </w:r>
      <w:r>
        <w:fldChar w:fldCharType="begin"/>
      </w:r>
      <w:r>
        <w:rPr>
          <w:rStyle w:val="LinkdaInternet"/>
          <w:rFonts w:cs="Times New Roman" w:ascii="Times New Roman" w:hAnsi="Times New Roman"/>
          <w:color w:val="000000"/>
        </w:rPr>
        <w:instrText xml:space="preserve"> HYPERLINK "https://www.planalto.gov.br/ccivil_03/_ato2019-2022/2022/Decreto/D11246.htm" \l "art22"</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 xml:space="preserve"> Decreto Federal nº 11.246, de 2022, art. 22, VII</w:t>
      </w:r>
      <w:r>
        <w:rPr>
          <w:rFonts w:cs="Times New Roman" w:ascii="Times New Roman" w:hAnsi="Times New Roman"/>
          <w:color w:val="000000" w:themeColor="text1"/>
        </w:rPr>
        <w:t>).</w:t>
      </w:r>
    </w:p>
    <w:p>
      <w:pPr>
        <w:pStyle w:val="Normal"/>
        <w:spacing w:lineRule="auto" w:line="360"/>
        <w:ind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spacing w:lineRule="auto" w:line="360"/>
        <w:ind w:hanging="0"/>
        <w:jc w:val="both"/>
        <w:rPr/>
      </w:pPr>
      <w:r>
        <w:rPr>
          <w:rFonts w:cs="Times New Roman" w:ascii="Times New Roman" w:hAnsi="Times New Roman"/>
          <w:b w:val="false"/>
          <w:bCs w:val="false"/>
          <w:color w:val="000000" w:themeColor="text1"/>
        </w:rPr>
        <w:t>8.4. FISCALIZAÇÃO ADMINISTRATIVA</w:t>
      </w:r>
    </w:p>
    <w:p>
      <w:pPr>
        <w:pStyle w:val="Normal"/>
        <w:spacing w:lineRule="auto" w:line="360"/>
        <w:ind w:hanging="0"/>
        <w:jc w:val="both"/>
        <w:rPr>
          <w:rFonts w:ascii="Times New Roman" w:hAnsi="Times New Roman" w:cs="Times New Roman"/>
          <w:b w:val="false"/>
          <w:b w:val="false"/>
          <w:bCs w:val="false"/>
          <w:color w:val="000000" w:themeColor="text1"/>
        </w:rPr>
      </w:pPr>
      <w:r>
        <w:rPr>
          <w:rFonts w:cs="Times New Roman" w:ascii="Times New Roman" w:hAnsi="Times New Roman"/>
          <w:b w:val="false"/>
          <w:bCs w:val="false"/>
          <w:color w:val="000000" w:themeColor="text1"/>
        </w:rPr>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LinkdaInternet"/>
          <w:rFonts w:cs="Times New Roman" w:ascii="Times New Roman" w:hAnsi="Times New Roman"/>
          <w:color w:val="000000"/>
        </w:rPr>
        <w:instrText xml:space="preserve"> HYPERLINK "https://www.planalto.gov.br/ccivil_03/_ato2019-2022/2022/Decreto/D11246.htm" \l "art23"</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Decreto Federal nº 11.246</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 de 2022</w:t>
      </w:r>
      <w:r>
        <w:rPr>
          <w:rFonts w:cs="Times New Roman" w:ascii="Times New Roman" w:hAnsi="Times New Roman"/>
          <w:color w:val="000000" w:themeColor="text1"/>
        </w:rPr>
        <w:t>).</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LinkdaInternet"/>
          <w:rFonts w:cs="Times New Roman" w:ascii="Times New Roman" w:hAnsi="Times New Roman"/>
          <w:color w:val="000000"/>
        </w:rPr>
        <w:instrText xml:space="preserve"> HYPERLINK "https://www.planalto.gov.br/ccivil_03/_ato2019-2022/2022/Decreto/D11246.htm" \l "art23"</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Decreto Federal nº 11.246</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 de 2022, art. 23, IV).</w:t>
      </w:r>
    </w:p>
    <w:p>
      <w:pPr>
        <w:pStyle w:val="Normal"/>
        <w:spacing w:lineRule="auto" w:line="360"/>
        <w:ind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spacing w:lineRule="auto" w:line="360"/>
        <w:ind w:hanging="0"/>
        <w:jc w:val="both"/>
        <w:rPr>
          <w:rFonts w:ascii="Times New Roman" w:hAnsi="Times New Roman" w:cs="Times New Roman"/>
          <w:color w:val="000000" w:themeColor="text1"/>
        </w:rPr>
      </w:pPr>
      <w:r>
        <w:rPr>
          <w:rFonts w:cs="Times New Roman" w:ascii="Times New Roman" w:hAnsi="Times New Roman"/>
          <w:color w:val="000000" w:themeColor="text1"/>
        </w:rPr>
      </w:r>
      <w:r>
        <w:br w:type="page"/>
      </w:r>
    </w:p>
    <w:p>
      <w:pPr>
        <w:pStyle w:val="Normal"/>
        <w:spacing w:lineRule="auto" w:line="360"/>
        <w:ind w:hanging="0"/>
        <w:jc w:val="both"/>
        <w:rPr/>
      </w:pPr>
      <w:r>
        <w:rPr>
          <w:rFonts w:cs="Times New Roman" w:ascii="Times New Roman" w:hAnsi="Times New Roman"/>
          <w:b w:val="false"/>
          <w:bCs w:val="false"/>
          <w:color w:val="000000" w:themeColor="text1"/>
        </w:rPr>
        <w:t>8.5. GESTOR DO CONTRATO</w:t>
      </w:r>
    </w:p>
    <w:p>
      <w:pPr>
        <w:pStyle w:val="Normal"/>
        <w:spacing w:lineRule="auto" w:line="360"/>
        <w:ind w:hanging="0"/>
        <w:jc w:val="both"/>
        <w:rPr>
          <w:rFonts w:ascii="Times New Roman" w:hAnsi="Times New Roman" w:cs="Times New Roman"/>
          <w:b w:val="false"/>
          <w:b w:val="false"/>
          <w:bCs w:val="false"/>
          <w:color w:val="000000" w:themeColor="text1"/>
        </w:rPr>
      </w:pPr>
      <w:r>
        <w:rPr>
          <w:rFonts w:cs="Times New Roman" w:ascii="Times New Roman" w:hAnsi="Times New Roman"/>
          <w:b w:val="false"/>
          <w:bCs w:val="false"/>
          <w:color w:val="000000" w:themeColor="text1"/>
        </w:rPr>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Federal nº 11.246, de 2022, art. 21, IV).</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Federal nº 11.246, de 2022, art. 21, II).</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Federal nº 11.246, de 2022, art. 21, III).</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Federal nº 11.246, de 2022, art. 21, VIII).</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Federal nº 11.246, de 2022, art. 21, X)</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deverá elaborar relatório final com informações sobre a consecução dos objetivos que tenham justificado a contratação e eventuais condutas a serem adotadas para o aprimoramento das atividades da Administração. (Decreto Federal nº 11.246, de 2022, art. 21, VI).</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rPr>
        <w:t>O gestor do contrato deverá enviar a documentação pertinente ao setor de contratos para a formalização dos procedimentos de liquidação e pagamento, no valor dimensionado pela fiscalização e gestão nos termos do contrato.</w:t>
      </w:r>
    </w:p>
    <w:p>
      <w:pPr>
        <w:pStyle w:val="Normal"/>
        <w:widowControl/>
        <w:suppressAutoHyphens w:val="true"/>
        <w:bidi w:val="0"/>
        <w:spacing w:lineRule="auto" w:line="360" w:before="0" w:after="0"/>
        <w:ind w:left="0" w:right="0"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widowControl/>
        <w:suppressAutoHyphens w:val="true"/>
        <w:bidi w:val="0"/>
        <w:spacing w:lineRule="auto" w:line="360" w:before="0" w:after="0"/>
        <w:ind w:left="0" w:right="0" w:hanging="0"/>
        <w:jc w:val="both"/>
        <w:rPr/>
      </w:pPr>
      <w:r>
        <w:rPr>
          <w:rFonts w:cs="Times New Roman" w:ascii="Times New Roman" w:hAnsi="Times New Roman"/>
          <w:color w:val="000000" w:themeColor="text1"/>
        </w:rPr>
        <w:t>9. OBRIGAÇÕES DA CONTRATANTE</w:t>
      </w:r>
    </w:p>
    <w:p>
      <w:pPr>
        <w:pStyle w:val="Normal"/>
        <w:widowControl/>
        <w:suppressAutoHyphens w:val="true"/>
        <w:bidi w:val="0"/>
        <w:spacing w:lineRule="auto" w:line="360" w:before="0" w:after="0"/>
        <w:ind w:left="0" w:right="0"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Para os exames sorológicos: Definir datas das coletas de material previamente, com antecedência mínima de 48 (quarenta e oito) horas corridos para quantidade menor de amostras e de pelo menos 5 (cinco) dias corridos para maiores quantidades (acima de 50 amostras).</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Para hemograma e exames bioquímicos: Envio das amostras será feito a partir da demanda clínica, o processamento da amostra deve ser realizado em até seis horas após o recebimento do material pela contatada.</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Acompanhar todos os serviços prestados pela contratada se estes estiverem dentro das expectativas da contratante, observados os níveis de qualidade, eficiência e pontualidade necessários para a plena execução do serviço.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Responsabilizar-se pela preparação do material a ser encaminhado a contratante, o que inclui materiais e equipamentos associados;</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Acompanhar todo o processo de execução e entrega de resultados dos serviços por meio do Fiscal do Contrato;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Efetuar o pagamento devido à empresa prestadora do serviço, se esta cumprir todas as exigências constantes neste Termo;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Acompanhar todas as fases de execução dos serviços, promovendo reuniões com a contratada, caso haja necessidade;</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Adquirir serviços decorrentes deste Termo de Referência conforme a necessidade e conveniência da contratante, devidamente autorizada por meio da emissão de solicitação formal do serviço;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Exigir da contratada o cumprimento rigoroso de todos os itens de segurança descritos neste Termo de Referência.</w:t>
      </w:r>
    </w:p>
    <w:p>
      <w:pPr>
        <w:pStyle w:val="Normal"/>
        <w:widowControl/>
        <w:suppressAutoHyphens w:val="true"/>
        <w:bidi w:val="0"/>
        <w:spacing w:lineRule="auto" w:line="360" w:before="0" w:after="0"/>
        <w:ind w:left="0" w:right="0"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widowControl/>
        <w:suppressAutoHyphens w:val="true"/>
        <w:bidi w:val="0"/>
        <w:spacing w:lineRule="auto" w:line="360" w:before="0" w:after="0"/>
        <w:ind w:left="0" w:right="0" w:hanging="0"/>
        <w:jc w:val="both"/>
        <w:rPr/>
      </w:pPr>
      <w:r>
        <w:rPr>
          <w:rFonts w:cs="Times New Roman" w:ascii="Times New Roman" w:hAnsi="Times New Roman"/>
          <w:color w:val="000000" w:themeColor="text1"/>
        </w:rPr>
        <w:t>10. OBRIGAÇÕES DA CONTRATADA</w:t>
      </w:r>
    </w:p>
    <w:p>
      <w:pPr>
        <w:pStyle w:val="Normal"/>
        <w:widowControl/>
        <w:suppressAutoHyphens w:val="true"/>
        <w:bidi w:val="0"/>
        <w:spacing w:lineRule="auto" w:line="360" w:before="0" w:after="0"/>
        <w:ind w:left="0" w:right="0"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Providenciar todos os recursos e insumos necessários ao perfeito cumprimento do objeto contratado, devendo estar incluídas no preço proposto todas as despesas com materiais, alimentação, equipamento, insumos, mão-de-obra, fretes, embalagens, seguros, impostos, taxas, tarifas, encargos sociais e trabalhistas e demais despesas necessárias à perfeita execução no cumprimento dos serviços;</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É imprescindível que a empresa a ser contratada demonstre, efetivamente, a plena capacidade para o atendimento de seu objeto, não podendo a Administração estar sujeita a acontecimentos que possam vir a prejudicar a fidedignidade dos resultados dos exames, sendo assim, deletério a saúde dos animais e da tropa, em razão de uma contratação que coloque em risco as atividades externas e internas desta empresa pública;</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É imprescindível que a empresa a ser contratada disponha de representante legal nas cidades, onde situam-se as unidades veterinárias (São Luís e Imperatriz), pois é necessário que a empresa garanta o recebimento da amostra no prazo estipulado em contrato, além de facilitar a comunicação entre contratada e contratante;</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 empresa declarada vencedora do certame deverá viabilizar visita técnica às suas dependências sempre que solicitada pela contratante (de acordo com agendamento prévio de 48 (quarenta e oito) horas a fim de evidenciar o cumprimento de questões relacionadas a qualidade das instalações e realização das análises das amostras, conforme os órgãos reguladores. Caso não atenda estes requisitos, a empresa incorrerá em descumprimento contratual;</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 contratada deverá apresentar à contratante, sempre que for solicitado, o Certificado de Inspeção Sanitária emitido pelo órgão competente, habilitando a empresa e o local inspecionado a realização de análises laboratoriais;</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 contratada deverá verificar, acompanhar e preparar os recursos, humanos e materiais, necessários para o cumprimento do contrato;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Orientar, coordenar, acompanhar, dar ordens ao contingente alocado, resolver quaisquer imprevistos, inclusive a correção de situações adversas, para o perfeito desenvolvimento das atividades, devendo o preposto da empresa estar munido de telefone celular. O preposto deverá ser nomeado, durante o período de vigência, representá-lo na execução do contrato.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 contratada deve responsabilizar-se pelos custos relativos a seus funcionários, visando a prestação dos serviços objeto deste Termo de Referência.</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 contratada deverá comprovar que possui em seu quadro de funcionários um (a) Médico (a) Veterinário (a) habilitado (a), pelo Conselho Regional de Medicina Veterinária, do respectivo estado.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Manter, durante toda a vigência do contrato, em compatibilidade com as obrigações assumidas, todas as condições de habilitação e qualificação exigidas no contrato.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Responsabilizar-se pelos danos causados diretamente à Administração ou a terceiros, decorrentes de sua culpa ou dolo na execução do contrato, não excluindo ou reduzindo essa responsabilidade à fiscalização e o acompanhamento da contratante.</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Responsabilizar-se pelos encargos trabalhistas, previdenciários, fiscais e comerciais, resultantes da execução do Contrato.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Responsabilizar-se por quaisquer acidentes que provoquem vítimas entre empregados ou preposto quando a serviço da contratante.</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Garantir que a ação ou omissão, total ou parcial, da fiscalização da contratante, não eximirá a contratada de total responsabilidade quanto ao cumprimento das obrigações pactuadas entre as partes.</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Receber e assinar as solicitações dos serviços com antecedência mínima de 48 (quarenta e oito) horas corridas.</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Os representantes da empresa prestadora de serviço deverão atender com atenção e pontualidade todas as solicitações feitas pela contratante.</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Respeitar as normas de controle de bens e de fluxo de pessoas nas dependências da contratante.</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Refazer os serviços que comprovadamente estiverem fora dos padrões de qualidade, sem que caiba qualquer acréscimo no preço contratado.</w:t>
      </w:r>
    </w:p>
    <w:p>
      <w:pPr>
        <w:pStyle w:val="Normal"/>
        <w:widowControl/>
        <w:suppressAutoHyphens w:val="true"/>
        <w:bidi w:val="0"/>
        <w:spacing w:lineRule="auto" w:line="360" w:before="0" w:after="0"/>
        <w:ind w:left="0" w:right="0" w:firstLine="850"/>
        <w:jc w:val="both"/>
        <w:rPr/>
      </w:pPr>
      <w:r>
        <w:rPr>
          <w:rFonts w:cs="Times New Roman" w:ascii="Times New Roman" w:hAnsi="Times New Roman"/>
        </w:rPr>
        <w:t>A contratada deve arcar com as reclamações levadas ao seu conhecimento por parte da fiscalização do contrato a ser firmado, cuidando imediatamente das providências necessárias para a correção, evitando repetição de fatos.</w:t>
      </w:r>
    </w:p>
    <w:p>
      <w:pPr>
        <w:pStyle w:val="Normal"/>
        <w:widowControl/>
        <w:suppressAutoHyphens w:val="true"/>
        <w:bidi w:val="0"/>
        <w:spacing w:lineRule="auto" w:line="360" w:before="0" w:after="0"/>
        <w:ind w:left="0" w:right="0" w:hanging="0"/>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Normal"/>
        <w:widowControl/>
        <w:suppressAutoHyphens w:val="true"/>
        <w:bidi w:val="0"/>
        <w:spacing w:lineRule="auto" w:line="360" w:before="0" w:after="0"/>
        <w:ind w:left="0" w:right="0" w:hanging="0"/>
        <w:jc w:val="both"/>
        <w:rPr/>
      </w:pPr>
      <w:r>
        <w:rPr>
          <w:rFonts w:cs="Times New Roman" w:ascii="Times New Roman" w:hAnsi="Times New Roman"/>
          <w:color w:val="000000" w:themeColor="text1"/>
        </w:rPr>
        <w:t>11. CRITÉRIOS DE MEDIÇÃO E DE PAGAMENTO</w:t>
      </w:r>
    </w:p>
    <w:p>
      <w:pPr>
        <w:pStyle w:val="Normal"/>
        <w:widowControl/>
        <w:suppressAutoHyphens w:val="true"/>
        <w:bidi w:val="0"/>
        <w:spacing w:lineRule="auto" w:line="360" w:before="0" w:after="0"/>
        <w:ind w:left="0" w:right="0" w:hanging="0"/>
        <w:jc w:val="both"/>
        <w:rPr>
          <w:rFonts w:ascii="Times New Roman" w:hAnsi="Times New Roman" w:cs="Times New Roman"/>
          <w:b/>
          <w:b/>
          <w:bCs/>
          <w:color w:val="000000" w:themeColor="text1"/>
        </w:rPr>
      </w:pPr>
      <w:r>
        <w:rPr>
          <w:rFonts w:cs="Times New Roman" w:ascii="Times New Roman" w:hAnsi="Times New Roman"/>
          <w:b/>
          <w:bCs/>
          <w:color w:val="000000" w:themeColor="text1"/>
        </w:rPr>
      </w:r>
    </w:p>
    <w:p>
      <w:pPr>
        <w:pStyle w:val="Normal"/>
        <w:widowControl/>
        <w:suppressAutoHyphens w:val="true"/>
        <w:bidi w:val="0"/>
        <w:spacing w:lineRule="auto" w:line="360" w:before="0" w:after="0"/>
        <w:ind w:left="0" w:right="0" w:hanging="0"/>
        <w:jc w:val="both"/>
        <w:rPr/>
      </w:pPr>
      <w:r>
        <w:rPr>
          <w:rFonts w:cs="Times New Roman" w:ascii="Times New Roman" w:hAnsi="Times New Roman"/>
          <w:b w:val="false"/>
          <w:bCs w:val="false"/>
          <w:color w:val="000000" w:themeColor="text1"/>
        </w:rPr>
        <w:t>11.1. RECEBIMENTO</w:t>
      </w:r>
    </w:p>
    <w:p>
      <w:pPr>
        <w:pStyle w:val="Normal"/>
        <w:widowControl/>
        <w:suppressAutoHyphens w:val="true"/>
        <w:bidi w:val="0"/>
        <w:spacing w:lineRule="auto" w:line="360" w:before="0" w:after="0"/>
        <w:ind w:left="0" w:right="0" w:hanging="0"/>
        <w:jc w:val="both"/>
        <w:rPr>
          <w:rFonts w:ascii="Times New Roman" w:hAnsi="Times New Roman" w:cs="Times New Roman"/>
          <w:b w:val="false"/>
          <w:b w:val="false"/>
          <w:bCs w:val="false"/>
          <w:color w:val="000000" w:themeColor="text1"/>
          <w:lang w:eastAsia="en-US"/>
        </w:rPr>
      </w:pPr>
      <w:r>
        <w:rPr>
          <w:rFonts w:cs="Times New Roman" w:ascii="Times New Roman" w:hAnsi="Times New Roman"/>
          <w:b w:val="false"/>
          <w:bCs w:val="false"/>
          <w:color w:val="000000" w:themeColor="text1"/>
          <w:lang w:eastAsia="en-US"/>
        </w:rPr>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 xml:space="preserve">Os exames serão realizados provisoriamente, de forma sumária, no ato da entrega, juntamente com a </w:t>
      </w:r>
      <w:r>
        <w:rPr>
          <w:rFonts w:eastAsia="Calibri" w:cs="Times New Roman" w:ascii="Times New Roman" w:hAnsi="Times New Roman"/>
          <w:color w:val="000000" w:themeColor="text1"/>
          <w:lang w:eastAsia="en-US"/>
        </w:rPr>
        <w:t>nota</w:t>
      </w:r>
      <w:r>
        <w:rPr>
          <w:rFonts w:cs="Times New Roman" w:ascii="Times New Roman" w:hAnsi="Times New Roman"/>
          <w:color w:val="000000" w:themeColor="text1"/>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Os exames poderão ser rejeitados, no todo ou em parte, inclusive antes da realização provisória, quando em desacordo com as especificações constantes no Termo de Referência e na proposta, devendo ser substituídos no prazo de 10 dias, a contar da notificação da contratada, às suas custas, sem prejuízo da aplicação das penalidades.</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O recebimento definitivo ocorrerá no prazo de 30 dias úteis, a contar do recebimento da nota fiscal ou instrumento de cobrança equivalente pela Administração, após a verificação da qualidade e quantidade do material e consequente aceitação mediante termo detalhado.</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O prazo para recebimento definitivo poderá ser excepcionalmente prorrogado, de forma justificada, por igual período, quando houver necessidade de diligências para a aferição do atendimento das exigências contratuais.</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 xml:space="preserve">No caso de controvérsia sobre a execução do objeto, quanto à dimensão, qualidade e quantidade, deverá ser observado o teor do </w:t>
      </w:r>
      <w:r>
        <w:fldChar w:fldCharType="begin"/>
      </w:r>
      <w:r>
        <w:rPr>
          <w:rStyle w:val="LinkdaInternet"/>
          <w:rFonts w:cs="Times New Roman" w:ascii="Times New Roman" w:hAnsi="Times New Roman"/>
          <w:color w:val="000000"/>
          <w:lang w:eastAsia="en-US"/>
        </w:rPr>
        <w:instrText xml:space="preserve"> HYPERLINK "http://www.planalto.gov.br/ccivil_03/_ato2019-2022/2021/lei/L14133.htm" \l "art143"</w:instrText>
      </w:r>
      <w:r>
        <w:rPr>
          <w:rStyle w:val="LinkdaInternet"/>
          <w:rFonts w:cs="Times New Roman" w:ascii="Times New Roman" w:hAnsi="Times New Roman"/>
          <w:color w:val="000000"/>
          <w:lang w:eastAsia="en-US"/>
        </w:rPr>
        <w:fldChar w:fldCharType="separate"/>
      </w:r>
      <w:r>
        <w:rPr>
          <w:rStyle w:val="LinkdaInternet"/>
          <w:rFonts w:cs="Times New Roman" w:ascii="Times New Roman" w:hAnsi="Times New Roman"/>
          <w:color w:val="000000" w:themeColor="text1"/>
          <w:lang w:eastAsia="en-US"/>
        </w:rPr>
        <w:t>art. 143 da Lei nº 14.133, de 2021</w:t>
      </w:r>
      <w:r>
        <w:rPr>
          <w:rStyle w:val="LinkdaInternet"/>
          <w:rFonts w:cs="Times New Roman" w:ascii="Times New Roman" w:hAnsi="Times New Roman"/>
          <w:color w:val="000000"/>
          <w:lang w:eastAsia="en-US"/>
        </w:rPr>
        <w:fldChar w:fldCharType="end"/>
      </w:r>
      <w:r>
        <w:rPr>
          <w:rFonts w:cs="Times New Roman" w:ascii="Times New Roman" w:hAnsi="Times New Roman"/>
          <w:color w:val="000000" w:themeColor="text1"/>
          <w:lang w:eastAsia="en-US"/>
        </w:rPr>
        <w:t>, comunicando-se à empresa para emissão de Nota Fiscal no que pertine à parcela incontroversa da execução do objeto, para efeito de liquidação e pagamento.</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ormal"/>
        <w:widowControl/>
        <w:suppressAutoHyphens w:val="true"/>
        <w:bidi w:val="0"/>
        <w:spacing w:lineRule="auto" w:line="360" w:before="0" w:after="0"/>
        <w:ind w:left="0" w:right="0" w:firstLine="850"/>
        <w:jc w:val="both"/>
        <w:rPr/>
      </w:pPr>
      <w:r>
        <w:rPr>
          <w:rFonts w:cs="Times New Roman" w:ascii="Times New Roman" w:hAnsi="Times New Roman"/>
          <w:color w:val="000000" w:themeColor="text1"/>
          <w:lang w:eastAsia="en-US"/>
        </w:rPr>
        <w:t>O recebimento provisório ou definitivo não excluirá a responsabilidade civil pela solidez e pela segurança dos bens nem a responsabilidade ético-profissional pela perfeita execução do contrato.</w:t>
      </w:r>
    </w:p>
    <w:p>
      <w:pPr>
        <w:pStyle w:val="ListParagraph"/>
        <w:spacing w:lineRule="auto" w:line="360"/>
        <w:ind w:left="720" w:hanging="0"/>
        <w:jc w:val="both"/>
        <w:rPr>
          <w:rFonts w:ascii="Times New Roman" w:hAnsi="Times New Roman" w:cs="Times New Roman"/>
          <w:b/>
          <w:b/>
          <w:bCs/>
          <w:color w:val="000000" w:themeColor="text1"/>
        </w:rPr>
      </w:pPr>
      <w:r>
        <w:rPr>
          <w:rFonts w:cs="Times New Roman" w:ascii="Times New Roman" w:hAnsi="Times New Roman"/>
          <w:b/>
          <w:bCs/>
          <w:color w:val="000000" w:themeColor="text1"/>
        </w:rPr>
      </w:r>
    </w:p>
    <w:p>
      <w:pPr>
        <w:pStyle w:val="ListParagraph"/>
        <w:spacing w:lineRule="auto" w:line="360"/>
        <w:ind w:left="720" w:hanging="0"/>
        <w:jc w:val="both"/>
        <w:rPr/>
      </w:pPr>
      <w:r>
        <w:rPr>
          <w:rFonts w:cs="Times New Roman" w:ascii="Times New Roman" w:hAnsi="Times New Roman"/>
          <w:b w:val="false"/>
          <w:bCs w:val="false"/>
        </w:rPr>
        <w:t>11.2. PRAZO DE PAGAMENTO</w:t>
      </w:r>
    </w:p>
    <w:p>
      <w:pPr>
        <w:pStyle w:val="ListParagraph"/>
        <w:spacing w:lineRule="auto" w:line="360"/>
        <w:ind w:left="720" w:hanging="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sz w:val="24"/>
          <w:szCs w:val="24"/>
        </w:rPr>
        <w:t xml:space="preserve">O pagamento será efetuado no prazo de até 30 (dez) dias úteis contados da finalização da liquidação da despesa, conforme seção anterior, nos termos da </w:t>
      </w:r>
      <w:hyperlink r:id="rId5">
        <w:r>
          <w:rPr>
            <w:rStyle w:val="LinkdaInternet"/>
            <w:rFonts w:cs="Times New Roman" w:ascii="Times New Roman" w:hAnsi="Times New Roman"/>
            <w:color w:val="000000" w:themeColor="text1"/>
            <w:sz w:val="24"/>
            <w:szCs w:val="24"/>
          </w:rPr>
          <w:t>Instrução Normativa SEGES/ME nº 77, de 2022</w:t>
        </w:r>
      </w:hyperlink>
      <w:r>
        <w:rPr>
          <w:rStyle w:val="LinkdaInternet"/>
          <w:rFonts w:cs="Times New Roman" w:ascii="Times New Roman" w:hAnsi="Times New Roman"/>
          <w:color w:val="000000" w:themeColor="text1"/>
          <w:sz w:val="24"/>
          <w:szCs w:val="24"/>
        </w:rPr>
        <w:t>.</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ascii="Times New Roman" w:hAnsi="Times New Roman"/>
          <w:sz w:val="24"/>
          <w:szCs w:val="24"/>
        </w:rPr>
        <w:t>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formulas:</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Arial" w:ascii="Times New Roman" w:hAnsi="Times New Roman"/>
          <w:color w:val="000000"/>
          <w:sz w:val="24"/>
          <w:szCs w:val="24"/>
        </w:rPr>
        <w:t>I = (TX/100)/365 EM = I x N x VP,</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Arial" w:ascii="Times New Roman" w:hAnsi="Times New Roman"/>
          <w:color w:val="000000"/>
          <w:sz w:val="24"/>
          <w:szCs w:val="24"/>
        </w:rPr>
        <w:t>Onde:</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Arial" w:ascii="Times New Roman" w:hAnsi="Times New Roman"/>
          <w:color w:val="000000"/>
          <w:sz w:val="24"/>
          <w:szCs w:val="24"/>
        </w:rPr>
        <w:t>I = Índice de atualização financeira;</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Arial" w:ascii="Times New Roman" w:hAnsi="Times New Roman"/>
          <w:color w:val="000000"/>
          <w:sz w:val="24"/>
          <w:szCs w:val="24"/>
        </w:rPr>
        <w:t>TX = Percentual da taxa de juros de mora anual;</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Arial" w:ascii="Times New Roman" w:hAnsi="Times New Roman"/>
          <w:color w:val="000000"/>
          <w:sz w:val="24"/>
          <w:szCs w:val="24"/>
        </w:rPr>
        <w:t>EM = Encargos moratórios;</w:t>
      </w:r>
    </w:p>
    <w:p>
      <w:pPr>
        <w:pStyle w:val="ListParagraph"/>
        <w:widowControl/>
        <w:suppressAutoHyphens w:val="true"/>
        <w:bidi w:val="0"/>
        <w:spacing w:lineRule="auto" w:line="360" w:before="0" w:after="0"/>
        <w:ind w:left="0" w:right="0" w:firstLine="850"/>
        <w:contextualSpacing/>
        <w:jc w:val="both"/>
        <w:rPr/>
      </w:pPr>
      <w:r>
        <w:rPr>
          <w:rFonts w:cs="Arial" w:ascii="Times New Roman" w:hAnsi="Times New Roman"/>
          <w:color w:val="000000"/>
          <w:sz w:val="24"/>
          <w:szCs w:val="24"/>
        </w:rPr>
        <w:t>N = Número de dias entre a data prevista para o pagamento e a do efetivo pagamento;</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Arial" w:ascii="Times New Roman" w:hAnsi="Times New Roman"/>
          <w:color w:val="000000"/>
          <w:sz w:val="24"/>
          <w:szCs w:val="24"/>
        </w:rPr>
        <w:t>VP = Valor da parcela em atraso;</w:t>
      </w:r>
    </w:p>
    <w:p>
      <w:pPr>
        <w:pStyle w:val="ListParagraph"/>
        <w:widowControl/>
        <w:suppressAutoHyphens w:val="true"/>
        <w:bidi w:val="0"/>
        <w:spacing w:lineRule="auto" w:line="360" w:before="0" w:after="0"/>
        <w:ind w:left="0" w:right="0" w:hanging="0"/>
        <w:contextualSpacing/>
        <w:jc w:val="both"/>
        <w:rPr>
          <w:rFonts w:cs="Arial"/>
          <w:b/>
          <w:b/>
          <w:bCs/>
          <w:color w:val="000000"/>
        </w:rPr>
      </w:pPr>
      <w:r>
        <w:rPr>
          <w:rFonts w:cs="Arial"/>
          <w:b/>
          <w:bCs/>
          <w:color w:val="000000"/>
        </w:rPr>
      </w:r>
    </w:p>
    <w:p>
      <w:pPr>
        <w:pStyle w:val="ListParagraph"/>
        <w:widowControl/>
        <w:suppressAutoHyphens w:val="true"/>
        <w:bidi w:val="0"/>
        <w:spacing w:lineRule="auto" w:line="360" w:before="0" w:after="0"/>
        <w:ind w:left="0" w:right="0" w:hanging="0"/>
        <w:contextualSpacing/>
        <w:jc w:val="both"/>
        <w:rPr>
          <w:rFonts w:ascii="Times New Roman" w:hAnsi="Times New Roman"/>
          <w:sz w:val="24"/>
          <w:szCs w:val="24"/>
        </w:rPr>
      </w:pPr>
      <w:r>
        <w:rPr>
          <w:rFonts w:cs="Arial" w:ascii="Times New Roman" w:hAnsi="Times New Roman"/>
          <w:b w:val="false"/>
          <w:bCs w:val="false"/>
          <w:color w:val="000000"/>
          <w:sz w:val="24"/>
          <w:szCs w:val="24"/>
        </w:rPr>
        <w:t xml:space="preserve">11.3. </w:t>
      </w:r>
      <w:r>
        <w:rPr>
          <w:rFonts w:cs="Times New Roman" w:ascii="Times New Roman" w:hAnsi="Times New Roman"/>
          <w:b w:val="false"/>
          <w:bCs w:val="false"/>
          <w:sz w:val="24"/>
          <w:szCs w:val="24"/>
        </w:rPr>
        <w:t>FORMA DE PAGAMENTO</w:t>
      </w:r>
    </w:p>
    <w:p>
      <w:pPr>
        <w:pStyle w:val="ListParagraph"/>
        <w:widowControl/>
        <w:suppressAutoHyphens w:val="true"/>
        <w:bidi w:val="0"/>
        <w:spacing w:lineRule="auto" w:line="360" w:before="0" w:after="0"/>
        <w:ind w:left="0" w:right="0" w:hanging="0"/>
        <w:contextualSpacing/>
        <w:jc w:val="both"/>
        <w:rPr>
          <w:rFonts w:cs="Times New Roman"/>
          <w:b w:val="false"/>
          <w:b w:val="false"/>
          <w:bCs w:val="false"/>
        </w:rPr>
      </w:pPr>
      <w:r>
        <w:rPr>
          <w:rFonts w:cs="Times New Roman"/>
          <w:b w:val="false"/>
          <w:bCs w:val="false"/>
        </w:rPr>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Times New Roman" w:ascii="Times New Roman" w:hAnsi="Times New Roman"/>
          <w:sz w:val="24"/>
          <w:szCs w:val="24"/>
        </w:rPr>
        <w:t>O pagamento será realizado por meio de ordem bancária, para crédito em banco, agência e conta corrente indicados pelo contratado.</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Times New Roman" w:ascii="Times New Roman" w:hAnsi="Times New Roman"/>
          <w:sz w:val="24"/>
          <w:szCs w:val="24"/>
        </w:rPr>
        <w:t>Será considerada data do pagamento o dia em que constar como emitida a ordem bancária para pagamento.</w:t>
      </w:r>
    </w:p>
    <w:p>
      <w:pPr>
        <w:pStyle w:val="ListParagraph"/>
        <w:widowControl/>
        <w:suppressAutoHyphens w:val="true"/>
        <w:bidi w:val="0"/>
        <w:spacing w:lineRule="auto" w:line="360" w:before="0" w:after="0"/>
        <w:ind w:left="0" w:right="0" w:firstLine="850"/>
        <w:contextualSpacing/>
        <w:jc w:val="both"/>
        <w:rPr>
          <w:rFonts w:ascii="Times New Roman" w:hAnsi="Times New Roman"/>
          <w:sz w:val="24"/>
          <w:szCs w:val="24"/>
        </w:rPr>
      </w:pPr>
      <w:r>
        <w:rPr>
          <w:rFonts w:cs="Times New Roman" w:ascii="Times New Roman" w:hAnsi="Times New Roman"/>
          <w:sz w:val="24"/>
          <w:szCs w:val="24"/>
        </w:rPr>
        <w:t>Quando do pagamento, será efetuada a retenção tributária prevista na legislação aplicável.</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sz w:val="24"/>
          <w:szCs w:val="24"/>
        </w:rPr>
        <w:t>Independentemente do percentual de tributo inserido na planilha, quando houver, serão retidos na fonte, quando da realização do pagamento, os percentuais estabelecidos na legislação vigente.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sz w:val="24"/>
          <w:szCs w:val="24"/>
        </w:rPr>
        <w:t xml:space="preserve">O contratado regularmente optante pelo Simples Nacional, nos termos da </w:t>
      </w:r>
      <w:hyperlink r:id="rId6">
        <w:r>
          <w:rPr>
            <w:rStyle w:val="LinkdaInternet"/>
            <w:rFonts w:cs="Times New Roman" w:ascii="Times New Roman" w:hAnsi="Times New Roman"/>
            <w:color w:val="000000" w:themeColor="text1"/>
            <w:sz w:val="24"/>
            <w:szCs w:val="24"/>
            <w:lang w:eastAsia="en-US"/>
          </w:rPr>
          <w:t>Lei Complementar nº 123, de 2006</w:t>
        </w:r>
      </w:hyperlink>
      <w:r>
        <w:rPr>
          <w:rFonts w:cs="Times New Roman"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O contratado deverá manter, durante toda execução do contrato, em compatibilidade com as obrigações por ele assumidas, todas as condições de habilitação e qualificação, devendo demostrar por meio da seguinte documentação</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Certidão Negativa de débito, dívida ativa da União e Previdenciária</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Certidão Regularidade do FGTS – CRF;</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Certidão Negativa de Débitos Trabalhista – CNDT;</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Certidão Negativa da CAEMA, caso a empresa seja do Estado do Maranhão;</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Outros que sejam necessários para a realização do certame;</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A Nota Fiscal que for apresentada com erro será devolvida ao contratado para retificação e reapresentação.</w:t>
      </w:r>
    </w:p>
    <w:p>
      <w:pPr>
        <w:pStyle w:val="ListParagraph"/>
        <w:widowControl/>
        <w:suppressAutoHyphens w:val="true"/>
        <w:bidi w:val="0"/>
        <w:spacing w:lineRule="auto" w:line="360" w:before="0" w:after="0"/>
        <w:ind w:left="0" w:right="0" w:firstLine="850"/>
        <w:contextualSpacing/>
        <w:jc w:val="both"/>
        <w:rPr/>
      </w:pPr>
      <w:r>
        <w:rPr>
          <w:rFonts w:ascii="Times New Roman" w:hAnsi="Times New Roman"/>
          <w:sz w:val="24"/>
          <w:szCs w:val="24"/>
        </w:rPr>
        <w:t>A Contratante poderá deduzir do montante a pagar os valores correspondentes a multas ou indenizações devidas pela Contratada.</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sz w:val="24"/>
          <w:szCs w:val="24"/>
          <w:highlight w:val="white"/>
        </w:rPr>
      </w:pPr>
      <w:r>
        <w:rPr>
          <w:rFonts w:cs="Times New Roman" w:ascii="Times New Roman" w:hAnsi="Times New Roman"/>
          <w:sz w:val="24"/>
          <w:szCs w:val="24"/>
          <w:highlight w:val="white"/>
        </w:rPr>
      </w:r>
      <w:r>
        <w:br w:type="page"/>
      </w:r>
    </w:p>
    <w:p>
      <w:pPr>
        <w:pStyle w:val="ListParagraph"/>
        <w:widowControl/>
        <w:suppressAutoHyphens w:val="true"/>
        <w:bidi w:val="0"/>
        <w:spacing w:lineRule="auto" w:line="360" w:before="0" w:after="0"/>
        <w:ind w:left="0" w:right="0" w:hanging="0"/>
        <w:contextualSpacing/>
        <w:jc w:val="both"/>
        <w:rPr/>
      </w:pPr>
      <w:r>
        <w:rPr>
          <w:rFonts w:cs="Times New Roman" w:ascii="Times New Roman" w:hAnsi="Times New Roman"/>
          <w:sz w:val="24"/>
          <w:szCs w:val="24"/>
          <w:highlight w:val="white"/>
        </w:rPr>
        <w:t>12. GARANTIA, MANUTENÇÃO E ASSISTÊNCIA TÉCNICA</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sz w:val="24"/>
          <w:szCs w:val="24"/>
        </w:rPr>
        <w:t>O prazo de garantia é aquele estabelecido na Lei nº 8.078, de 11 de setembro de 1990 (Código de Defesa do Consumidor).</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 Contratada garantirá que as prestações dos serviços estejam exatamente de acordo com as especificações técnicas pertinentes e se obriga a providenciar, às suas expensas, no endereço indicado neste termo, a correção de qualquer parte do fornecimento, desde que.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Não atenda as especificações exigidas neste termo.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color w:val="000000" w:themeColor="text1"/>
        </w:rPr>
        <w:t>Seja recusado pelos serviços de inspeção ou recebimento da PMMA.</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Em caso de serviços imperfeitos e incompletos por estarem em desacordo com as especificações, todas as despesas correrão por conta da contratada.</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color w:val="000000" w:themeColor="text1"/>
        </w:rPr>
        <w:t>A empresa contratada se responsabilizará por toda e qualquer despesa relacionada ao envio das amostras até a sua unidade de execução dos exames laboratoriais. Além disso, deverá fornecer os resultados num prazo máximo de 72 horas, por via digital através do e-mail: veterinariapmma@outlook.com. Caso a empresa necessite de mais prazo para entrega dos resultados, ela deverá informar previamente, no momento da entrega das amostras.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color w:val="000000" w:themeColor="text1"/>
        </w:rPr>
        <w:t>Caberá a PMMA apenas acondicionar as amostras em recipiente adequado e entregar no local indicado pela contratada, desde que seja na mesma cidade da (s) respectiva (s) unidade (s) veterinária (s). Caso contrário, a empresa contratada deverá designar um representante ou parceiro para retirar as amostras coletadas e embaladas, na unidade veterinária indicada, e encaminhá-las ao laboratório.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color w:val="000000" w:themeColor="text1"/>
        </w:rPr>
        <w:t>Estão inclusos nos preços propostos todos os custos, impostos (IPI, ICMS, PIS, COFINS, IR, CSLL) e os demais diretos e indiretos, fretes, seguros e demais despesas para execução dos serviços nos locais designados pela contratante.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color w:val="000000" w:themeColor="text1"/>
        </w:rPr>
        <w:t>Em caso da não aceitação dos serviços por estarem em desacordo com a requisição de fornecimento, todas as despesas correrão por conta da contratada.</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ListParagraph"/>
        <w:widowControl/>
        <w:suppressAutoHyphens w:val="true"/>
        <w:bidi w:val="0"/>
        <w:spacing w:lineRule="auto" w:line="360" w:before="0" w:after="0"/>
        <w:ind w:left="0" w:right="0" w:hanging="0"/>
        <w:contextualSpacing/>
        <w:jc w:val="both"/>
        <w:rPr/>
      </w:pPr>
      <w:r>
        <w:rPr>
          <w:rFonts w:cs="Times New Roman" w:ascii="Times New Roman" w:hAnsi="Times New Roman"/>
          <w:color w:val="000000" w:themeColor="text1"/>
        </w:rPr>
        <w:t xml:space="preserve">13. </w:t>
      </w:r>
      <w:r>
        <w:rPr>
          <w:rFonts w:cs="Times New Roman" w:ascii="Times New Roman" w:hAnsi="Times New Roman"/>
        </w:rPr>
        <w:t>FORMA E CRITÉRIOS DE SELEÇÃO DO FORNECEDOR E FORMA DE FORNECIMENTO</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rPr>
      </w:pPr>
      <w:r>
        <w:rPr>
          <w:rFonts w:cs="Times New Roman" w:ascii="Times New Roman" w:hAnsi="Times New Roman"/>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 xml:space="preserve">O fornecedor será selecionado por meio da realização de procedimento de LICITAÇÃO, na modalidade PREGÃO, sob a forma ELETRÔNICA, com adoção do critério de julgamento pelo </w:t>
      </w:r>
      <w:r>
        <w:rPr>
          <w:rFonts w:cs="Times New Roman" w:ascii="Times New Roman" w:hAnsi="Times New Roman"/>
          <w:b w:val="false"/>
          <w:bCs w:val="false"/>
        </w:rPr>
        <w:t>menor preço, por grupo (lote).</w:t>
      </w:r>
    </w:p>
    <w:p>
      <w:pPr>
        <w:pStyle w:val="ListParagraph"/>
        <w:widowControl/>
        <w:suppressAutoHyphens w:val="true"/>
        <w:bidi w:val="0"/>
        <w:spacing w:lineRule="auto" w:line="360" w:before="0" w:after="0"/>
        <w:ind w:left="0" w:right="0" w:hanging="0"/>
        <w:contextualSpacing/>
        <w:jc w:val="both"/>
        <w:rPr/>
      </w:pPr>
      <w:r>
        <w:rPr>
          <w:rFonts w:cs="Times New Roman" w:ascii="Times New Roman" w:hAnsi="Times New Roman"/>
          <w:b w:val="false"/>
          <w:bCs w:val="false"/>
          <w:color w:val="000000" w:themeColor="text1"/>
        </w:rPr>
        <w:t xml:space="preserve">13.1. </w:t>
      </w:r>
      <w:r>
        <w:rPr>
          <w:rFonts w:cs="Times New Roman" w:ascii="Times New Roman" w:hAnsi="Times New Roman"/>
          <w:color w:val="000000" w:themeColor="text1"/>
        </w:rPr>
        <w:t>FORMA DE FORNECIMENTO</w:t>
      </w:r>
    </w:p>
    <w:p>
      <w:pPr>
        <w:pStyle w:val="ListParagraph"/>
        <w:widowControl/>
        <w:suppressAutoHyphens w:val="true"/>
        <w:bidi w:val="0"/>
        <w:spacing w:lineRule="auto" w:line="360" w:before="0" w:after="0"/>
        <w:ind w:left="0" w:right="0" w:hanging="0"/>
        <w:contextualSpacing/>
        <w:jc w:val="both"/>
        <w:rPr>
          <w:rStyle w:val="Normaltextrun"/>
          <w:rFonts w:ascii="Times New Roman" w:hAnsi="Times New Roman" w:cs="Times New Roman"/>
          <w:color w:val="000000" w:themeColor="text1"/>
        </w:rPr>
      </w:pPr>
      <w:r>
        <w:rPr>
          <w:rFonts w:cs="Times New Roman" w:ascii="Times New Roman" w:hAnsi="Times New Roman"/>
          <w:color w:val="000000" w:themeColor="text1"/>
        </w:rPr>
      </w:r>
    </w:p>
    <w:p>
      <w:pPr>
        <w:pStyle w:val="ListParagraph"/>
        <w:widowControl/>
        <w:suppressAutoHyphens w:val="true"/>
        <w:bidi w:val="0"/>
        <w:spacing w:lineRule="auto" w:line="360" w:before="0" w:after="0"/>
        <w:ind w:left="0" w:right="0" w:firstLine="850"/>
        <w:contextualSpacing/>
        <w:jc w:val="both"/>
        <w:rPr/>
      </w:pPr>
      <w:r>
        <w:rPr>
          <w:rStyle w:val="Normaltextrun"/>
          <w:rFonts w:cs="Times New Roman" w:ascii="Times New Roman" w:hAnsi="Times New Roman"/>
          <w:color w:val="000000" w:themeColor="text1"/>
        </w:rPr>
        <w:t xml:space="preserve">O </w:t>
      </w:r>
      <w:r>
        <w:rPr>
          <w:rStyle w:val="Findhit"/>
          <w:rFonts w:cs="Times New Roman" w:ascii="Times New Roman" w:hAnsi="Times New Roman"/>
          <w:color w:val="000000" w:themeColor="text1"/>
        </w:rPr>
        <w:t xml:space="preserve">fornecimento do objeto será </w:t>
      </w:r>
      <w:r>
        <w:rPr>
          <w:rFonts w:cs="Times New Roman" w:ascii="Times New Roman" w:hAnsi="Times New Roman"/>
        </w:rPr>
        <w:t>parcelado.</w:t>
      </w:r>
    </w:p>
    <w:p>
      <w:pPr>
        <w:pStyle w:val="ListParagraph"/>
        <w:spacing w:lineRule="auto" w:line="360"/>
        <w:ind w:left="720" w:hanging="0"/>
        <w:jc w:val="both"/>
        <w:rPr>
          <w:rFonts w:ascii="Times New Roman" w:hAnsi="Times New Roman" w:cs="Times New Roman"/>
          <w:b/>
          <w:b/>
          <w:bCs/>
          <w:color w:val="000000" w:themeColor="text1"/>
        </w:rPr>
      </w:pPr>
      <w:r>
        <w:rPr>
          <w:rFonts w:cs="Times New Roman" w:ascii="Times New Roman" w:hAnsi="Times New Roman"/>
          <w:b/>
          <w:bCs/>
          <w:color w:val="000000" w:themeColor="text1"/>
        </w:rPr>
      </w:r>
    </w:p>
    <w:p>
      <w:pPr>
        <w:pStyle w:val="ListParagraph"/>
        <w:spacing w:lineRule="auto" w:line="360"/>
        <w:ind w:left="720" w:hanging="0"/>
        <w:jc w:val="both"/>
        <w:rPr/>
      </w:pPr>
      <w:r>
        <w:rPr>
          <w:rFonts w:cs="Times New Roman" w:ascii="Times New Roman" w:hAnsi="Times New Roman"/>
          <w:b w:val="false"/>
          <w:bCs w:val="false"/>
        </w:rPr>
        <w:t>13.2. EXIGÊNCIAS DE HABILITAÇÃO</w:t>
      </w:r>
    </w:p>
    <w:p>
      <w:pPr>
        <w:pStyle w:val="ListParagraph"/>
        <w:spacing w:lineRule="auto" w:line="360"/>
        <w:ind w:left="720" w:hanging="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Para fins de habilitação, deverá o licitante comprovar os seguintes requisitos:</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b/>
          <w:b/>
          <w:bCs/>
        </w:rPr>
      </w:pPr>
      <w:r>
        <w:rPr>
          <w:rFonts w:cs="Times New Roman" w:ascii="Times New Roman" w:hAnsi="Times New Roman"/>
          <w:b/>
          <w:bCs/>
        </w:rPr>
      </w:r>
    </w:p>
    <w:p>
      <w:pPr>
        <w:pStyle w:val="ListParagraph"/>
        <w:widowControl/>
        <w:suppressAutoHyphens w:val="true"/>
        <w:bidi w:val="0"/>
        <w:spacing w:lineRule="auto" w:line="360" w:before="0" w:after="0"/>
        <w:ind w:left="0" w:right="0" w:hanging="0"/>
        <w:contextualSpacing/>
        <w:jc w:val="both"/>
        <w:rPr>
          <w:b w:val="false"/>
          <w:b w:val="false"/>
          <w:bCs w:val="false"/>
        </w:rPr>
      </w:pPr>
      <w:r>
        <w:rPr>
          <w:rFonts w:cs="Times New Roman" w:ascii="Times New Roman" w:hAnsi="Times New Roman"/>
          <w:b w:val="false"/>
          <w:bCs w:val="false"/>
        </w:rPr>
        <w:t>13.3. QUALIFICAÇÃO TÉCNICA</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rPr>
      </w:pPr>
      <w:r>
        <w:rPr>
          <w:rFonts w:cs="Times New Roman" w:ascii="Times New Roman" w:hAnsi="Times New Roman"/>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b w:val="false"/>
          <w:bCs w:val="false"/>
        </w:rPr>
        <w:t>Comprovação de aptidão para o forne</w:t>
      </w:r>
      <w:r>
        <w:rPr>
          <w:rFonts w:cs="Times New Roman" w:ascii="Times New Roman" w:hAnsi="Times New Roman"/>
        </w:rPr>
        <w:t>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Admitida, para fins de comprovação de quantitativo mínimo, a apresentação e o somatório de diferentes atestados executados de forma concomitante;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Os atestados de capacidade técnica poderão ser apresentados em nome da matriz ou da filial do fornecedor;</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Caso admitida a participação de cooperativas, será exigida a seguinte documentação complementar;</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rPr>
          <w:rStyle w:val="LinkdaInternet"/>
          <w:rFonts w:cs="Times New Roman" w:ascii="Times New Roman" w:hAnsi="Times New Roman"/>
          <w:color w:val="000000"/>
        </w:rPr>
        <w:instrText xml:space="preserve"> HYPERLINK "https://www.planalto.gov.br/ccivil_03/leis/l5764.htm" \l "art4"</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arts. 4º, inciso XI, 21, inciso I</w:t>
      </w:r>
      <w:r>
        <w:rPr>
          <w:rStyle w:val="LinkdaInternet"/>
          <w:rFonts w:cs="Times New Roman" w:ascii="Times New Roman" w:hAnsi="Times New Roman"/>
          <w:color w:val="000000"/>
        </w:rPr>
        <w:fldChar w:fldCharType="end"/>
      </w:r>
      <w:r>
        <w:rPr>
          <w:rFonts w:cs="Times New Roman" w:ascii="Times New Roman" w:hAnsi="Times New Roman"/>
        </w:rPr>
        <w:t xml:space="preserve"> e </w:t>
      </w:r>
      <w:r>
        <w:fldChar w:fldCharType="begin"/>
      </w:r>
      <w:r>
        <w:rPr>
          <w:rStyle w:val="LinkdaInternet"/>
          <w:rFonts w:cs="Times New Roman" w:ascii="Times New Roman" w:hAnsi="Times New Roman"/>
          <w:color w:val="000000"/>
        </w:rPr>
        <w:instrText xml:space="preserve"> HYPERLINK "https://www.planalto.gov.br/ccivil_03/leis/l5764.htm" \l "art42"</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42, §§2º a 6º da Lei n. 5.764, de 1971</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 declaração de regularidade de situação do contribuinte individual – DRSCI, para cada um dos cooperados indicados;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 comprovação do capital social proporcional ao número de cooperados necessários à execução contratual;</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color w:val="000000" w:themeColor="text1"/>
        </w:rPr>
        <w:t xml:space="preserve">O registro previsto na </w:t>
      </w:r>
      <w:r>
        <w:fldChar w:fldCharType="begin"/>
      </w:r>
      <w:r>
        <w:rPr>
          <w:rStyle w:val="LinkdaInternet"/>
          <w:rFonts w:cs="Times New Roman" w:ascii="Times New Roman" w:hAnsi="Times New Roman"/>
          <w:color w:val="000000"/>
        </w:rPr>
        <w:instrText xml:space="preserve"> HYPERLINK "https://www.planalto.gov.br/ccivil_03/leis/l5764.htm" \l "art107"</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Lei n. 5.764, de 1971, art. 107</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 comprovação de integração das respectivas quotas-partes por parte dos cooperados que executarão o contrato; 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 xml:space="preserve">A última auditoria contábil-financeira da cooperativa, conforme dispõe o </w:t>
      </w:r>
      <w:r>
        <w:fldChar w:fldCharType="begin"/>
      </w:r>
      <w:r>
        <w:rPr>
          <w:rStyle w:val="LinkdaInternet"/>
          <w:rFonts w:cs="Times New Roman" w:ascii="Times New Roman" w:hAnsi="Times New Roman"/>
          <w:color w:val="000000"/>
        </w:rPr>
        <w:instrText xml:space="preserve"> HYPERLINK "https://www.planalto.gov.br/ccivil_03/leis/l5764.htm" \l "art112"</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art. 112 da Lei n. 5.764, de 1971</w:t>
      </w:r>
      <w:r>
        <w:rPr>
          <w:rStyle w:val="LinkdaInternet"/>
          <w:rFonts w:cs="Times New Roman" w:ascii="Times New Roman" w:hAnsi="Times New Roman"/>
          <w:color w:val="000000"/>
        </w:rPr>
        <w:fldChar w:fldCharType="end"/>
      </w:r>
      <w:r>
        <w:rPr>
          <w:rFonts w:cs="Times New Roman" w:ascii="Times New Roman" w:hAnsi="Times New Roman"/>
        </w:rPr>
        <w:t>, ou uma declaração, sob as penas da lei, de que tal auditoria não foi exigida pelo órgão fiscalizador.</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b/>
          <w:b/>
          <w:bCs/>
        </w:rPr>
      </w:pPr>
      <w:r>
        <w:rPr>
          <w:rFonts w:cs="Times New Roman" w:ascii="Times New Roman" w:hAnsi="Times New Roman"/>
          <w:b/>
          <w:bCs/>
        </w:rPr>
      </w:r>
    </w:p>
    <w:p>
      <w:pPr>
        <w:pStyle w:val="ListParagraph"/>
        <w:widowControl/>
        <w:suppressAutoHyphens w:val="true"/>
        <w:bidi w:val="0"/>
        <w:spacing w:lineRule="auto" w:line="360" w:before="0" w:after="0"/>
        <w:ind w:left="0" w:right="0" w:hanging="0"/>
        <w:contextualSpacing/>
        <w:jc w:val="both"/>
        <w:rPr>
          <w:rFonts w:ascii="Times New Roman" w:hAnsi="Times New Roman"/>
          <w:b w:val="false"/>
          <w:b w:val="false"/>
          <w:bCs w:val="false"/>
        </w:rPr>
      </w:pPr>
      <w:r>
        <w:rPr>
          <w:rFonts w:cs="Times New Roman" w:ascii="Times New Roman" w:hAnsi="Times New Roman"/>
          <w:b w:val="false"/>
          <w:bCs w:val="false"/>
        </w:rPr>
        <w:t>13.4. QUALIFICAÇÃO TÉCNICO-OPERACIONAL</w:t>
      </w:r>
    </w:p>
    <w:p>
      <w:pPr>
        <w:pStyle w:val="ListParagraph"/>
        <w:widowControl/>
        <w:suppressAutoHyphens w:val="true"/>
        <w:bidi w:val="0"/>
        <w:spacing w:lineRule="auto" w:line="360" w:before="0" w:after="0"/>
        <w:ind w:left="0" w:right="0" w:hanging="0"/>
        <w:contextualSpacing/>
        <w:jc w:val="both"/>
        <w:rPr>
          <w:rFonts w:cs="Times New Roman"/>
          <w:b/>
          <w:b/>
          <w:bCs/>
        </w:rPr>
      </w:pPr>
      <w:r>
        <w:rPr>
          <w:rFonts w:cs="Times New Roman"/>
          <w:b/>
          <w:bCs/>
        </w:rPr>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Os atestados de capacidade técnica podem ser apresentados em nome da matriz ou da filial da empresa licitante.</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Os atestados deverão referir-se a serviços prestados no âmbito de sua atividade econômica principal ou secundária especificadas no contrato social vigente;</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Declaração de que o licitante possui ou instalará escritório em local (cidade/município) previamente definido pela Administração, a ser comprovado no prazo máximo de 60 (sessenta) dias contado a partir da vigência do contrato.</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Serão aceitos atestados ou outros documentos hábeis emitidos por entidades estrangeiras quando acompanhados de tradução para o português, salvo se comprovada a inidoneidade da entidade emissora.</w:t>
      </w:r>
    </w:p>
    <w:p>
      <w:pPr>
        <w:pStyle w:val="ListParagraph"/>
        <w:widowControl/>
        <w:suppressAutoHyphens w:val="true"/>
        <w:bidi w:val="0"/>
        <w:spacing w:lineRule="auto" w:line="360" w:before="0" w:after="0"/>
        <w:ind w:left="0" w:right="0" w:firstLine="850"/>
        <w:contextualSpacing/>
        <w:jc w:val="both"/>
        <w:rPr>
          <w:rFonts w:ascii="Times New Roman" w:hAnsi="Times New Roman"/>
        </w:rPr>
      </w:pPr>
      <w:r>
        <w:rPr>
          <w:rFonts w:ascii="Times New Roman" w:hAnsi="Times New Roman"/>
        </w:rPr>
        <w:t>A apresentação de certidões ou atestados de desempenho anterior emitido em favor de consórcio do qual tenha feito parte será admitido, desde que atendidos os requisitos do art. 67, §§ 10 e 11, da Lei nº 14.133/2021 e regulamentos sobre o tema.</w:t>
      </w:r>
    </w:p>
    <w:p>
      <w:pPr>
        <w:pStyle w:val="ListParagraph"/>
        <w:widowControl/>
        <w:suppressAutoHyphens w:val="true"/>
        <w:bidi w:val="0"/>
        <w:spacing w:lineRule="auto" w:line="360" w:before="0" w:after="0"/>
        <w:ind w:left="0" w:right="0" w:hanging="0"/>
        <w:contextualSpacing/>
        <w:jc w:val="both"/>
        <w:rPr>
          <w:rFonts w:cs="Times New Roman"/>
          <w:b/>
          <w:b/>
          <w:bCs/>
        </w:rPr>
      </w:pPr>
      <w:r>
        <w:rPr>
          <w:rFonts w:cs="Times New Roman"/>
          <w:b/>
          <w:bCs/>
        </w:rPr>
      </w:r>
    </w:p>
    <w:p>
      <w:pPr>
        <w:pStyle w:val="ListParagraph"/>
        <w:widowControl/>
        <w:suppressAutoHyphens w:val="true"/>
        <w:bidi w:val="0"/>
        <w:spacing w:lineRule="auto" w:line="360" w:before="0" w:after="0"/>
        <w:ind w:left="0" w:right="0" w:hanging="0"/>
        <w:contextualSpacing/>
        <w:jc w:val="both"/>
        <w:rPr>
          <w:rFonts w:ascii="Times New Roman" w:hAnsi="Times New Roman"/>
        </w:rPr>
      </w:pPr>
      <w:r>
        <w:rPr>
          <w:rFonts w:cs="Times New Roman" w:ascii="Times New Roman" w:hAnsi="Times New Roman"/>
          <w:b w:val="false"/>
          <w:bCs w:val="false"/>
        </w:rPr>
        <w:t>13.5. HABILITAÇÃO JURÍDICA</w:t>
      </w:r>
    </w:p>
    <w:p>
      <w:pPr>
        <w:pStyle w:val="ListParagraph"/>
        <w:widowControl/>
        <w:suppressAutoHyphens w:val="true"/>
        <w:bidi w:val="0"/>
        <w:spacing w:lineRule="auto" w:line="360" w:before="0" w:after="0"/>
        <w:ind w:left="0" w:right="0" w:hanging="0"/>
        <w:contextualSpacing/>
        <w:jc w:val="both"/>
        <w:rPr>
          <w:rFonts w:cs="Times New Roman"/>
          <w:b w:val="false"/>
          <w:b w:val="false"/>
          <w:bCs w:val="false"/>
        </w:rPr>
      </w:pPr>
      <w:r>
        <w:rPr>
          <w:rFonts w:cs="Times New Roman"/>
          <w:b w:val="false"/>
          <w:bCs w:val="false"/>
        </w:rPr>
      </w:r>
    </w:p>
    <w:p>
      <w:pPr>
        <w:pStyle w:val="ListParagraph"/>
        <w:widowControl/>
        <w:suppressAutoHyphens w:val="true"/>
        <w:bidi w:val="0"/>
        <w:spacing w:lineRule="auto" w:line="360" w:before="0" w:after="0"/>
        <w:ind w:left="0" w:right="0" w:firstLine="850"/>
        <w:contextualSpacing/>
        <w:jc w:val="both"/>
        <w:rPr>
          <w:rFonts w:ascii="Times New Roman" w:hAnsi="Times New Roman"/>
          <w:b w:val="false"/>
          <w:b w:val="false"/>
          <w:bCs w:val="false"/>
        </w:rPr>
      </w:pPr>
      <w:r>
        <w:rPr>
          <w:rFonts w:cs="Times New Roman" w:ascii="Times New Roman" w:hAnsi="Times New Roman"/>
          <w:b w:val="false"/>
          <w:bCs w:val="false"/>
        </w:rPr>
        <w:t>Pessoa física: cédula de identidade (RG) ou documento equivalente que, por força de lei, tenha validade para fins de identificação em todo o território nacional;</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b w:val="false"/>
          <w:bCs w:val="false"/>
        </w:rPr>
        <w:t>Empresário individual: inscrição no Registro Público de Empresas Mercantis, a cargo da Junta Comercial da respectiva sede;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b w:val="false"/>
          <w:bCs w:val="false"/>
        </w:rPr>
        <w:t xml:space="preserve">Microempreendedor Individual - MEI: Certificado da Condição de Microempreendedor Individual - CCMEI, cuja aceitação ficará condicionada à verificação da autenticidade no sítio </w:t>
      </w:r>
      <w:hyperlink r:id="rId7">
        <w:r>
          <w:rPr>
            <w:rStyle w:val="LinkdaInternet"/>
            <w:rFonts w:cs="Times New Roman" w:ascii="Times New Roman" w:hAnsi="Times New Roman"/>
            <w:b w:val="false"/>
            <w:bCs w:val="false"/>
            <w:color w:val="000000" w:themeColor="text1"/>
          </w:rPr>
          <w:t>https://www.gov.br/empresas-e-negocios/pt-br/empreendedor</w:t>
        </w:r>
      </w:hyperlink>
      <w:r>
        <w:rPr>
          <w:rStyle w:val="LinkdaInternet"/>
          <w:rFonts w:cs="Times New Roman" w:ascii="Times New Roman" w:hAnsi="Times New Roman"/>
          <w:b w:val="false"/>
          <w:bCs w:val="false"/>
          <w:color w:val="000000" w:themeColor="text1"/>
        </w:rPr>
        <w:t>;</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b w:val="false"/>
          <w:bCs w:val="false"/>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b w:val="false"/>
          <w:bCs w:val="false"/>
        </w:rPr>
        <w:t>Sociedade empresária estrangeira: portaria de autorização de funcionamento no Brasil, publicada no Diário Oficial da</w:t>
      </w:r>
      <w:r>
        <w:rPr>
          <w:rFonts w:cs="Times New Roman" w:ascii="Times New Roman" w:hAnsi="Times New Roman"/>
        </w:rPr>
        <w:t xml:space="preserve"> União e arquivada na Junta Comercial da unidade federativa onde se localizar a filial, agência, sucursal ou estabelecimento, a qual será considerada como sua sede, conforme Instrução </w:t>
      </w:r>
      <w:hyperlink r:id="rId8">
        <w:r>
          <w:rPr>
            <w:rStyle w:val="LinkdaInternet"/>
            <w:rFonts w:cs="Times New Roman" w:ascii="Times New Roman" w:hAnsi="Times New Roman"/>
            <w:color w:val="000000" w:themeColor="text1"/>
          </w:rPr>
          <w:t>Normativa DREI/ME n.º 77, de 18 de março de 2020</w:t>
        </w:r>
      </w:hyperlink>
      <w:r>
        <w:rPr>
          <w:rStyle w:val="LinkdaInternet"/>
          <w:rFonts w:cs="Times New Roman" w:ascii="Times New Roman" w:hAnsi="Times New Roman"/>
          <w:color w:val="000000" w:themeColor="text1"/>
        </w:rPr>
        <w:t>;</w:t>
      </w:r>
    </w:p>
    <w:p>
      <w:pPr>
        <w:pStyle w:val="ListParagraph"/>
        <w:widowControl/>
        <w:suppressAutoHyphens w:val="true"/>
        <w:bidi w:val="0"/>
        <w:spacing w:lineRule="auto" w:line="360" w:before="0" w:after="0"/>
        <w:ind w:left="0" w:right="0" w:firstLine="850"/>
        <w:contextualSpacing/>
        <w:jc w:val="both"/>
        <w:rPr>
          <w:b w:val="false"/>
          <w:b w:val="false"/>
          <w:bCs w:val="false"/>
        </w:rPr>
      </w:pPr>
      <w:r>
        <w:rPr>
          <w:rFonts w:cs="Times New Roman" w:ascii="Times New Roman" w:hAnsi="Times New Roman"/>
          <w:b w:val="false"/>
          <w:bCs w:val="false"/>
        </w:rPr>
        <w:t>Sociedade simples: inscrição do ato constitutivo no Registro Civil de Pessoas Jurídicas do local de sua sede, acompanhada de documento comprobatório de seus administradores;</w:t>
      </w:r>
    </w:p>
    <w:p>
      <w:pPr>
        <w:pStyle w:val="ListParagraph"/>
        <w:widowControl/>
        <w:suppressAutoHyphens w:val="true"/>
        <w:bidi w:val="0"/>
        <w:spacing w:lineRule="auto" w:line="360" w:before="0" w:after="0"/>
        <w:ind w:left="0" w:right="0" w:firstLine="850"/>
        <w:contextualSpacing/>
        <w:jc w:val="both"/>
        <w:rPr>
          <w:b w:val="false"/>
          <w:b w:val="false"/>
          <w:bCs w:val="false"/>
        </w:rPr>
      </w:pPr>
      <w:r>
        <w:rPr>
          <w:rFonts w:cs="Times New Roman" w:ascii="Times New Roman" w:hAnsi="Times New Roman"/>
          <w:b w:val="false"/>
          <w:bCs w:val="false"/>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 w:name="_Int_ySfCXwr4"/>
      <w:r>
        <w:rPr>
          <w:rFonts w:cs="Times New Roman" w:ascii="Times New Roman" w:hAnsi="Times New Roman"/>
          <w:b w:val="false"/>
          <w:bCs w:val="false"/>
        </w:rPr>
        <w:t>Mercantis onde</w:t>
      </w:r>
      <w:bookmarkEnd w:id="1"/>
      <w:r>
        <w:rPr>
          <w:rFonts w:cs="Times New Roman" w:ascii="Times New Roman" w:hAnsi="Times New Roman"/>
          <w:b w:val="false"/>
          <w:bCs w:val="false"/>
        </w:rPr>
        <w:t xml:space="preserve"> opera, com averbação no Registro onde tem sede a matriz;</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b w:val="false"/>
          <w:bCs w:val="false"/>
        </w:rPr>
        <w:t xml:space="preserve">Sociedade cooperativa: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LinkdaInternet"/>
          <w:b w:val="false"/>
          <w:bCs w:val="false"/>
          <w:rFonts w:cs="Times New Roman" w:ascii="Times New Roman" w:hAnsi="Times New Roman"/>
          <w:color w:val="000000"/>
        </w:rPr>
        <w:instrText xml:space="preserve"> HYPERLINK "https://www.planalto.gov.br/ccivil_03/leis/l5764.htm" \l "art107"</w:instrText>
      </w:r>
      <w:r>
        <w:rPr>
          <w:rStyle w:val="LinkdaInternet"/>
          <w:b w:val="false"/>
          <w:bCs w:val="false"/>
          <w:rFonts w:cs="Times New Roman" w:ascii="Times New Roman" w:hAnsi="Times New Roman"/>
          <w:color w:val="000000"/>
        </w:rPr>
        <w:fldChar w:fldCharType="separate"/>
      </w:r>
      <w:r>
        <w:rPr>
          <w:rStyle w:val="LinkdaInternet"/>
          <w:rFonts w:cs="Times New Roman" w:ascii="Times New Roman" w:hAnsi="Times New Roman"/>
          <w:b w:val="false"/>
          <w:bCs w:val="false"/>
          <w:color w:val="000000" w:themeColor="text1"/>
        </w:rPr>
        <w:t>art. 107 da Lei nº 5.764, de 16 de dezembro 1971</w:t>
      </w:r>
      <w:r>
        <w:rPr>
          <w:rStyle w:val="LinkdaInternet"/>
          <w:b w:val="false"/>
          <w:bCs w:val="false"/>
          <w:rFonts w:cs="Times New Roman" w:ascii="Times New Roman" w:hAnsi="Times New Roman"/>
          <w:color w:val="000000"/>
        </w:rPr>
        <w:fldChar w:fldCharType="end"/>
      </w:r>
      <w:r>
        <w:rPr>
          <w:rStyle w:val="LinkdaInternet"/>
          <w:rFonts w:cs="Times New Roman" w:ascii="Times New Roman" w:hAnsi="Times New Roman"/>
          <w:b w:val="false"/>
          <w:bCs w:val="false"/>
          <w:color w:val="000000" w:themeColor="text1"/>
        </w:rPr>
        <w:t>;</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Os documentos apresentados deverão estar acompanhados de todas as alterações ou da consolidação respectiva.</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b/>
          <w:b/>
          <w:bCs/>
        </w:rPr>
      </w:pPr>
      <w:r>
        <w:rPr>
          <w:rFonts w:cs="Times New Roman" w:ascii="Times New Roman" w:hAnsi="Times New Roman"/>
          <w:b/>
          <w:bCs/>
        </w:rPr>
      </w:r>
    </w:p>
    <w:p>
      <w:pPr>
        <w:pStyle w:val="ListParagraph"/>
        <w:widowControl/>
        <w:suppressAutoHyphens w:val="true"/>
        <w:bidi w:val="0"/>
        <w:spacing w:lineRule="auto" w:line="360" w:before="0" w:after="0"/>
        <w:ind w:left="0" w:right="0" w:hanging="0"/>
        <w:contextualSpacing/>
        <w:jc w:val="both"/>
        <w:rPr/>
      </w:pPr>
      <w:r>
        <w:rPr>
          <w:rFonts w:cs="Times New Roman" w:ascii="Times New Roman" w:hAnsi="Times New Roman"/>
          <w:b w:val="false"/>
          <w:bCs w:val="false"/>
        </w:rPr>
        <w:t>13.6. HABILITAÇÃO FISCAL, SOCIAL E TRABALHISTA</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b w:val="false"/>
          <w:b w:val="false"/>
          <w:bCs w:val="false"/>
        </w:rPr>
      </w:pPr>
      <w:r>
        <w:rPr>
          <w:rFonts w:cs="Times New Roman" w:ascii="Times New Roman" w:hAnsi="Times New Roman"/>
          <w:b w:val="false"/>
          <w:bCs w:val="false"/>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Prova de inscrição no Cadastro Nacional de Pessoas Jurídicas ou no Cadastro de Pessoas Físicas, conforme o caso;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Prova de regularidade com o Fundo de Garantia do Tempo de Serviço (FGTS);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 xml:space="preserve">Prova de inscrição no cadastro de contribuintes </w:t>
      </w:r>
      <w:bookmarkStart w:id="2" w:name="__DdeLink__2087_2180028487"/>
      <w:r>
        <w:rPr>
          <w:rFonts w:cs="Times New Roman" w:ascii="Times New Roman" w:hAnsi="Times New Roman"/>
        </w:rPr>
        <w:t>Estadual ou Municipal</w:t>
      </w:r>
      <w:bookmarkEnd w:id="2"/>
      <w:r>
        <w:rPr>
          <w:rFonts w:cs="Times New Roman" w:ascii="Times New Roman" w:hAnsi="Times New Roman"/>
        </w:rPr>
        <w:t xml:space="preserve"> relativo ao domicílio ou sede do fornecedor, pertinente ao seu ramo de atividade e compatível com o objeto contratual;</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Prova de regularidade com a Fazenda Estadual ou Municipal do domicílio ou sede do fornecedor, relativa à atividade em cujo exercício contrata ou concorre;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Certidão Negativa de Débito com a CAEMA, se empresa do Estado do Maranhão, consoante determina o Decreto Estadual n.º 21.178, de 26/04/2005;</w:t>
      </w:r>
    </w:p>
    <w:p>
      <w:pPr>
        <w:pStyle w:val="ListParagraph"/>
        <w:spacing w:lineRule="auto" w:line="360"/>
        <w:ind w:left="720" w:hanging="0"/>
        <w:jc w:val="both"/>
        <w:rPr>
          <w:rFonts w:cs="Times New Roman"/>
          <w:b/>
          <w:b/>
          <w:bCs/>
        </w:rPr>
      </w:pPr>
      <w:r>
        <w:rPr>
          <w:rFonts w:cs="Times New Roman"/>
          <w:b/>
          <w:bCs/>
        </w:rPr>
      </w:r>
      <w:r>
        <w:br w:type="page"/>
      </w:r>
    </w:p>
    <w:p>
      <w:pPr>
        <w:pStyle w:val="ListParagraph"/>
        <w:spacing w:lineRule="auto" w:line="360"/>
        <w:ind w:left="720" w:hanging="0"/>
        <w:jc w:val="both"/>
        <w:rPr/>
      </w:pPr>
      <w:r>
        <w:rPr>
          <w:rFonts w:cs="Times New Roman" w:ascii="Times New Roman" w:hAnsi="Times New Roman"/>
          <w:b w:val="false"/>
          <w:bCs w:val="false"/>
        </w:rPr>
        <w:t>13.7. QUALIFICAÇÃO ECONÔMICO-FINANCEIRA</w:t>
      </w:r>
    </w:p>
    <w:p>
      <w:pPr>
        <w:pStyle w:val="ListParagraph"/>
        <w:spacing w:lineRule="auto" w:line="360"/>
        <w:ind w:left="720" w:hanging="0"/>
        <w:jc w:val="both"/>
        <w:rPr>
          <w:rFonts w:ascii="Times New Roman" w:hAnsi="Times New Roman" w:cs="Times New Roman"/>
          <w:b w:val="false"/>
          <w:b w:val="false"/>
          <w:bCs w:val="false"/>
        </w:rPr>
      </w:pPr>
      <w:r>
        <w:rPr>
          <w:rFonts w:cs="Times New Roman" w:ascii="Times New Roman" w:hAnsi="Times New Roman"/>
          <w:b w:val="false"/>
          <w:bCs w:val="false"/>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Certidão negativa de insolvência civil expedida pelo distribuidor do domicílio ou sede do licitante, caso se trate de pessoa física, desde que admitida a sua participação na licitação (</w:t>
      </w:r>
      <w:r>
        <w:fldChar w:fldCharType="begin"/>
      </w:r>
      <w:r>
        <w:rPr>
          <w:rStyle w:val="LinkdaInternet"/>
          <w:rFonts w:cs="Times New Roman" w:ascii="Times New Roman" w:hAnsi="Times New Roman"/>
          <w:color w:val="000000"/>
        </w:rPr>
        <w:instrText xml:space="preserve"> HYPERLINK "https://www.gov.br/compras/pt-br/acesso-a-informacao/legislacao/instrucoes-normativas/instrucao-normativa-seges-me-no-116-de-21-de-dezembro-de-2021" \l "art5"</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art. 5º, inciso II, alínea “c”, da Instrução Normativa Seges/ME nº 116, de 2021</w:t>
      </w:r>
      <w:r>
        <w:rPr>
          <w:rStyle w:val="LinkdaInternet"/>
          <w:rFonts w:cs="Times New Roman" w:ascii="Times New Roman" w:hAnsi="Times New Roman"/>
          <w:color w:val="000000"/>
        </w:rPr>
        <w:fldChar w:fldCharType="end"/>
      </w:r>
      <w:r>
        <w:rPr>
          <w:rFonts w:cs="Times New Roman" w:ascii="Times New Roman" w:hAnsi="Times New Roman"/>
        </w:rPr>
        <w:t>), ou de sociedade simples;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 xml:space="preserve">Certidão negativa de falência expedida pelo distribuidor da sede do fornecedor - </w:t>
      </w:r>
      <w:r>
        <w:fldChar w:fldCharType="begin"/>
      </w:r>
      <w:r>
        <w:rPr>
          <w:rStyle w:val="LinkdaInternet"/>
          <w:rFonts w:cs="Times New Roman" w:ascii="Times New Roman" w:hAnsi="Times New Roman"/>
          <w:color w:val="000000"/>
        </w:rPr>
        <w:instrText xml:space="preserve"> HYPERLINK "http://www.planalto.gov.br/ccivil_03/_ato2019-2022/2021/lei/L14133.htm" \l "art69"</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Lei nº 14.133, de 2021, art. 69, caput, inciso II</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Balanço patrimonial, demonstração de resultado de exercício e demais demonstrações contábeis dos 2 (dois) últimos exercícios sociais, comprovando;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índices de Liquidez Geral (LG), Liquidez Corrente (LC), e Solvência Geral (SG) superiores a 1 (um);</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As empresas criadas no exercício financeiro da licitação deverão atender a todas as exigências da habilitação e poderão substituir os demonstrativos contábeis pelo balanço de abertura;</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Os documentos referidos acima limitar-se-ão ao último exercício no caso de a pessoa jurídica ter sido constituída há menos de 2 (dois) anos;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Os documentos referidos acima deverão ser exigidos com base no limite definido pela Receita Federal do Brasil para transmissão da Escrituração Contábil Digital - ECD ao SPED;</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Caso a empresa licitante apresente resultado inferior ou igual a 1 (um) em qualquer dos índices de Liquidez Geral (LG), Solvência Geral (SG) e Liquidez Corrente (LC), será exigido para fins de habilitação patrimônio líquido mínimo de até 10% do valor total estimado da contratação;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As empresas criadas no exercício financeiro da licitação deverão atender a todas as exigências da habilitação e poderão substituir os demonstrativos contábeis pelo balanço de abertura. (Lei nº 14.133, de 2021, art. 65, §1º)</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O atendimento dos índices econômicos previstos neste item deverá ser atestado mediante declaração assinada por profissional habilitado da área contábil, apresentada pelo fornecedor.</w:t>
      </w:r>
    </w:p>
    <w:p>
      <w:pPr>
        <w:pStyle w:val="ListParagraph"/>
        <w:spacing w:lineRule="auto" w:line="360"/>
        <w:ind w:left="720" w:hanging="0"/>
        <w:jc w:val="both"/>
        <w:rPr/>
      </w:pPr>
      <w:r>
        <w:rPr/>
      </w:r>
    </w:p>
    <w:p>
      <w:pPr>
        <w:pStyle w:val="ListParagraph"/>
        <w:spacing w:lineRule="auto" w:line="360"/>
        <w:ind w:left="720" w:hanging="0"/>
        <w:jc w:val="both"/>
        <w:rPr>
          <w:b w:val="false"/>
          <w:b w:val="false"/>
          <w:bCs w:val="false"/>
        </w:rPr>
      </w:pPr>
      <w:r>
        <w:rPr>
          <w:rFonts w:cs="Times New Roman" w:ascii="Times New Roman" w:hAnsi="Times New Roman"/>
          <w:b w:val="false"/>
          <w:bCs w:val="false"/>
          <w:color w:val="000000" w:themeColor="text1"/>
        </w:rPr>
        <w:t>13.8. LIQUIDAÇÃO</w:t>
      </w:r>
    </w:p>
    <w:p>
      <w:pPr>
        <w:pStyle w:val="ListParagraph"/>
        <w:spacing w:lineRule="auto" w:line="360"/>
        <w:ind w:left="720" w:hanging="0"/>
        <w:jc w:val="both"/>
        <w:rPr/>
      </w:pPr>
      <w:r>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Recebida a Nota Fiscal ou documento de cobrança equivalente, correrá o prazo de dez dias úteis para fins de liquidação, na forma desta seção, prorrogáveis por igual período, nos termos do art. 7º, §3</w:t>
      </w:r>
      <w:r>
        <w:rPr>
          <w:rStyle w:val="LinkdaInternet"/>
          <w:rFonts w:cs="Times New Roman" w:ascii="Times New Roman" w:hAnsi="Times New Roman"/>
          <w:color w:val="000000" w:themeColor="text1"/>
          <w:lang w:eastAsia="en-US"/>
        </w:rPr>
        <w:t>º da Instrução Normativa SEGES/ME nº 77/2022.</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 xml:space="preserve">O prazo de que trata o item anterior será reduzido à metade, mantendo-se a possibilidade de prorrogação, no caso de contratações decorrentes de despesas cujos valores não ultrapassem o limite de que trata o </w:t>
      </w:r>
      <w:r>
        <w:fldChar w:fldCharType="begin"/>
      </w:r>
      <w:r>
        <w:rPr>
          <w:rStyle w:val="LinkdaInternet"/>
          <w:rFonts w:cs="Times New Roman" w:ascii="Times New Roman" w:hAnsi="Times New Roman"/>
          <w:color w:val="000000"/>
        </w:rPr>
        <w:instrText xml:space="preserve"> HYPERLINK "http://www.planalto.gov.br/ccivil_03/_ato2019-2022/2021/lei/L14133.htm" \l "art75"</w:instrText>
      </w:r>
      <w:r>
        <w:rPr>
          <w:rStyle w:val="LinkdaInternet"/>
          <w:rFonts w:cs="Times New Roman" w:ascii="Times New Roman" w:hAnsi="Times New Roman"/>
          <w:color w:val="000000"/>
        </w:rPr>
        <w:fldChar w:fldCharType="separate"/>
      </w:r>
      <w:r>
        <w:rPr>
          <w:rStyle w:val="LinkdaInternet"/>
          <w:rFonts w:cs="Times New Roman" w:ascii="Times New Roman" w:hAnsi="Times New Roman"/>
          <w:color w:val="000000" w:themeColor="text1"/>
        </w:rPr>
        <w:t>inciso II do art. 75 da Lei nº 14.133, de 2021</w:t>
      </w:r>
      <w:r>
        <w:rPr>
          <w:rStyle w:val="LinkdaInternet"/>
          <w:rFonts w:cs="Times New Roman" w:ascii="Times New Roman" w:hAnsi="Times New Roman"/>
          <w:color w:val="000000"/>
        </w:rPr>
        <w:fldChar w:fldCharType="end"/>
      </w:r>
      <w:r>
        <w:rPr>
          <w:rStyle w:val="LinkdaInternet"/>
          <w:rFonts w:cs="Times New Roman" w:ascii="Times New Roman" w:hAnsi="Times New Roman"/>
          <w:color w:val="000000" w:themeColor="text1"/>
        </w:rPr>
        <w:t>.</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Para fins de liquidação, o setor competente deverá verificar se a nota fiscal ou instrumento de cobrança equivalente apresentado expressa os elementos necessários e essenciais do documento, tais como: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O prazo de validade;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a data da emissão;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os dados do contrato e do órgão contratante;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o período respectivo de execução do contrato;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o valor a pagar; 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eventual destaque do valor de retenções tributárias cabíveis.</w:t>
      </w:r>
    </w:p>
    <w:p>
      <w:pPr>
        <w:pStyle w:val="ListParagraph"/>
        <w:widowControl/>
        <w:suppressAutoHyphens w:val="true"/>
        <w:bidi w:val="0"/>
        <w:spacing w:lineRule="auto" w:line="360" w:before="0" w:after="0"/>
        <w:ind w:left="0" w:right="0" w:firstLine="850"/>
        <w:contextualSpacing/>
        <w:jc w:val="both"/>
        <w:rPr/>
      </w:pPr>
      <w:r>
        <w:rPr>
          <w:rFonts w:eastAsia="Calibri" w:cs="Times New Roman" w:ascii="Times New Roman" w:hAnsi="Times New Roman"/>
          <w:lang w:eastAsia="en-US"/>
        </w:rPr>
        <w:t xml:space="preserve">Havendo erro na apresentação da nota fiscal ou instrumento de cobrança equivalente, ou circunstância que impeça a </w:t>
      </w:r>
      <w:r>
        <w:rPr>
          <w:rFonts w:cs="Times New Roman" w:ascii="Times New Roman" w:hAnsi="Times New Roman"/>
          <w:lang w:eastAsia="en-US"/>
        </w:rPr>
        <w:t>liquidação da despesa, esta ficará sobrestada até que o contratado providencie as medidas saneadoras, reiniciando-se o prazo após a comprovação da regularização da situação, sem ônus ao contratante.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 xml:space="preserve">A nota fiscal ou instrumento de cobrança equivalente deverá ser obrigatoriamente acompanhado da comprovação da regularidade fiscal, constatada por meio de consulta </w:t>
      </w:r>
      <w:r>
        <w:rPr>
          <w:rFonts w:cs="Times New Roman" w:ascii="Times New Roman" w:hAnsi="Times New Roman"/>
          <w:i/>
          <w:iCs/>
          <w:lang w:eastAsia="en-US"/>
        </w:rPr>
        <w:t>on-line</w:t>
      </w:r>
      <w:r>
        <w:rPr>
          <w:rFonts w:cs="Times New Roman" w:ascii="Times New Roman" w:hAnsi="Times New Roman"/>
          <w:lang w:eastAsia="en-US"/>
        </w:rPr>
        <w:t xml:space="preserve"> ao SICAF ou, na impossibilidade de acesso ao referido Sistema, mediante consulta aos sítios eletrônicos oficiais ou à documentação mencionada no</w:t>
      </w:r>
      <w:r>
        <w:rPr>
          <w:rFonts w:cs="Times New Roman" w:ascii="Times New Roman" w:hAnsi="Times New Roman"/>
        </w:rPr>
        <w:t xml:space="preserve"> </w:t>
      </w:r>
      <w:r>
        <w:rPr>
          <w:rFonts w:cs="Times New Roman" w:ascii="Times New Roman" w:hAnsi="Times New Roman"/>
          <w:lang w:eastAsia="en-US"/>
        </w:rPr>
        <w:t>art. 68 da Lei nº 14.133, de 2021.</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Persistindo a irregularidade, o contratante deverá adotar as medidas necessárias à rescisão contratual nos autos do processo administrativo correspondente, assegurada ao contratado a ampla defesa.</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lang w:eastAsia="en-US"/>
        </w:rPr>
        <w:t>Havendo a efetiva execução do objeto, os pagamentos serão realizados normalmente, até que se decida pela rescisão do contrato, caso o contratado não regularize sua situação junto ao SICAF.</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lang w:eastAsia="en-US"/>
        </w:rPr>
      </w:pPr>
      <w:r>
        <w:rPr>
          <w:rFonts w:cs="Times New Roman" w:ascii="Times New Roman" w:hAnsi="Times New Roman"/>
          <w:lang w:eastAsia="en-US"/>
        </w:rPr>
      </w:r>
    </w:p>
    <w:p>
      <w:pPr>
        <w:pStyle w:val="ListParagraph"/>
        <w:widowControl/>
        <w:suppressAutoHyphens w:val="true"/>
        <w:bidi w:val="0"/>
        <w:spacing w:lineRule="auto" w:line="360" w:before="0" w:after="0"/>
        <w:ind w:left="0" w:right="0" w:hanging="0"/>
        <w:contextualSpacing/>
        <w:jc w:val="both"/>
        <w:rPr/>
      </w:pPr>
      <w:r>
        <w:rPr>
          <w:rFonts w:cs="Times New Roman" w:ascii="Times New Roman" w:hAnsi="Times New Roman"/>
          <w:lang w:eastAsia="en-US"/>
        </w:rPr>
        <w:t xml:space="preserve">14. </w:t>
      </w:r>
      <w:r>
        <w:rPr>
          <w:rFonts w:cs="Times New Roman" w:ascii="Times New Roman" w:hAnsi="Times New Roman"/>
        </w:rPr>
        <w:t>CONDIÇÕES DE OPERACIONALIZAÇÃO DOS SERVIÇOS</w:t>
      </w:r>
    </w:p>
    <w:p>
      <w:pPr>
        <w:pStyle w:val="ListParagraph"/>
        <w:widowControl/>
        <w:suppressAutoHyphens w:val="true"/>
        <w:bidi w:val="0"/>
        <w:spacing w:lineRule="auto" w:line="360" w:before="0" w:after="0"/>
        <w:ind w:left="0" w:right="0" w:hanging="0"/>
        <w:contextualSpacing/>
        <w:jc w:val="both"/>
        <w:rPr>
          <w:rFonts w:ascii="Times New Roman" w:hAnsi="Times New Roman" w:cs="Times New Roman"/>
        </w:rPr>
      </w:pPr>
      <w:r>
        <w:rPr>
          <w:rFonts w:cs="Times New Roman" w:ascii="Times New Roman" w:hAnsi="Times New Roman"/>
        </w:rPr>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Quanto aos serviços que deverão ser prestados, as especificações constam no anexo I e deverá ser estabelecido no contrato penalidades para o descumprimento de qualquer item ali contido, bem como garantir a qualidade do serviço prestado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Cada Unidade Veterinária (situadas respectivamente, no 1º RPMONT, BPCHOQUE e 2º EPMONT) deverá fazer constar em seu relatório as observações sobre a prestação do serviço.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A empresa contratada deverá seguir padrões de excelência nos serviços contratados e deverá apresentar acreditação na ISO 17025 pelo INMETRO e credenciamento atualizado, no Ministério da Agricultura Pecuária e Abastecimento (MAPA).</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Todas as amostras deverão ser coletas pela equipe de veterinários da PMMA, cabendo a contratada viabilizar o recebimento imediato.</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Caberá à Contratada selecionar e preparar uma equipe de profissionais com especialização e quantidade para prestar de forma satisfatória os serviços contratados neste Termo de Referência.</w:t>
      </w:r>
    </w:p>
    <w:p>
      <w:pPr>
        <w:pStyle w:val="ListParagraph"/>
        <w:widowControl/>
        <w:suppressAutoHyphens w:val="true"/>
        <w:bidi w:val="0"/>
        <w:spacing w:lineRule="auto" w:line="360" w:before="0" w:after="0"/>
        <w:ind w:left="0" w:right="0" w:firstLine="850"/>
        <w:contextualSpacing/>
        <w:jc w:val="both"/>
        <w:rPr/>
      </w:pPr>
      <w:r>
        <w:rPr>
          <w:rFonts w:cs="Times New Roman" w:ascii="Times New Roman" w:hAnsi="Times New Roman"/>
        </w:rPr>
        <w:t>Sendo assim, para hemograma e exames bioquímicos: Envio das amostras será feito a partir da demanda clínica, o processamento da amostra deve ser realizado em até seis horas após o recebimento do material pela contatada.</w:t>
      </w:r>
    </w:p>
    <w:p>
      <w:pPr>
        <w:pStyle w:val="ListParagraph"/>
        <w:widowControl/>
        <w:suppressAutoHyphens w:val="true"/>
        <w:bidi w:val="0"/>
        <w:spacing w:lineRule="auto" w:line="360" w:before="0" w:after="0"/>
        <w:ind w:left="0" w:right="0" w:hanging="0"/>
        <w:contextualSpacing/>
        <w:jc w:val="both"/>
        <w:rPr>
          <w:rFonts w:cs="Times New Roman"/>
        </w:rPr>
      </w:pPr>
      <w:r>
        <w:rPr>
          <w:rFonts w:cs="Times New Roman"/>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cs="Times New Roman" w:ascii="Times New Roman" w:hAnsi="Times New Roman"/>
          <w:sz w:val="24"/>
          <w:szCs w:val="24"/>
        </w:rPr>
        <w:t xml:space="preserve">15. </w:t>
      </w:r>
      <w:r>
        <w:rPr>
          <w:rFonts w:ascii="Times New Roman" w:hAnsi="Times New Roman"/>
          <w:sz w:val="24"/>
          <w:szCs w:val="24"/>
        </w:rPr>
        <w:t>DA ADESÃO À ATA DE REGISTRO DE PREÇOS</w:t>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Apresentação de justificativa da vantagem da adesão, inclusive em situações de provável desabastecimento ou descontinuidade de serviço público.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Demonstração de que os valores registrados estão compatíveis com os valores praticados pelo mercado na forma do art. 23 da Lei nº 14.133, de 2021; e</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Consulta e aceitação prévias do órgão ou da entidade gerenciadora e do fornecedor.</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A autorização do órgão ou entidade gerenciadora apenas será realizada após a aceitação da adesão pelo fornecedor.</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O órgão ou entidade gerenciadora poderá rejeitar adesões caso elas possam acarretar prejuízo à execução de seus próprios contratos ou à sua capacidade de gerenciamento.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Após a autorização do órgão ou da entidade gerenciadora, o órgão ou entidade não participante deverá efetivar a aquisição ou a contratação solicitada em até noventa dias, observado o prazo de vigência da ata.</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O órgão ou a entidade poderá aderir a item da ata de registro de preços da qual seja integrante, na qualidade de não participante, para aqueles itens para os quais não tenha quantitativo registrado, observados os requisitos do processo.</w:t>
      </w:r>
    </w:p>
    <w:p>
      <w:pPr>
        <w:pStyle w:val="ListParagraph"/>
        <w:widowControl/>
        <w:suppressAutoHyphens w:val="true"/>
        <w:bidi w:val="0"/>
        <w:spacing w:lineRule="auto" w:line="360" w:before="0" w:after="0"/>
        <w:ind w:left="0" w:right="0" w:hanging="0"/>
        <w:contextualSpacing w:val="false"/>
        <w:jc w:val="both"/>
        <w:rPr>
          <w:rFonts w:cs="Arial"/>
          <w:b/>
          <w:b/>
        </w:rPr>
      </w:pPr>
      <w:r>
        <w:rPr>
          <w:rFonts w:cs="Arial"/>
          <w:b/>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cs="Arial" w:ascii="Times New Roman" w:hAnsi="Times New Roman"/>
          <w:b w:val="false"/>
          <w:bCs w:val="false"/>
          <w:sz w:val="24"/>
          <w:szCs w:val="24"/>
        </w:rPr>
        <w:t>15.1. DOS LIMITES PARA AS ADESÕES</w:t>
      </w:r>
    </w:p>
    <w:p>
      <w:pPr>
        <w:pStyle w:val="ListParagraph"/>
        <w:widowControl/>
        <w:suppressAutoHyphens w:val="true"/>
        <w:bidi w:val="0"/>
        <w:spacing w:lineRule="auto" w:line="360" w:before="0" w:after="0"/>
        <w:ind w:left="0" w:right="0" w:hanging="0"/>
        <w:contextualSpacing w:val="false"/>
        <w:jc w:val="both"/>
        <w:rPr>
          <w:rFonts w:cs="Arial"/>
          <w:b w:val="false"/>
          <w:b w:val="false"/>
          <w:bCs w:val="false"/>
        </w:rPr>
      </w:pPr>
      <w:r>
        <w:rPr>
          <w:rFonts w:cs="Arial"/>
          <w:b w:val="false"/>
          <w:bCs w:val="false"/>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t>16. DO REGISTRO ADICIONAL DE PREÇOS</w:t>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Após o encerramento da etapa competitiva, além do preço do 1º (primeiro) colocado, serão registrados preços de outros fornecedores, desde que as ofertas sejam em valores iguais ao do licitante vencedor.</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Para registro adicional de preços dos demais licitantes será exigido à análise das documentações de habilitação;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A apresentação de propostas adequadas para fins de registro adicional de preços não prejudicará o resultado do certame em relação ao licitante vencedor;</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sz w:val="24"/>
          <w:szCs w:val="24"/>
        </w:rPr>
      </w:pPr>
      <w:r>
        <w:rPr>
          <w:rFonts w:ascii="Times New Roman" w:hAnsi="Times New Roman"/>
          <w:sz w:val="24"/>
          <w:szCs w:val="24"/>
        </w:rPr>
        <w:t>O registro a que se refere o item 16.1 tem por objetivo o cadastro de reserva, no caso de exclusão do primeiro colocado da Ata de Registro de Preços, nos casos previstos no Decreto Federal nº 7.892/2013, devendo ser registrados obedecendo à ordem prevista no art. 11 do referido Decreto Federal.</w:t>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t>17. DA VALIDADE DA ATA DE REGISTRO DE PREÇOS</w:t>
      </w:r>
    </w:p>
    <w:p>
      <w:pPr>
        <w:pStyle w:val="ListParagraph"/>
        <w:widowControl/>
        <w:suppressAutoHyphens w:val="true"/>
        <w:bidi w:val="0"/>
        <w:spacing w:lineRule="auto" w:line="360" w:before="0" w:after="0"/>
        <w:ind w:left="0" w:right="0" w:hanging="0"/>
        <w:contextualSpacing w:val="false"/>
        <w:jc w:val="both"/>
        <w:rPr>
          <w:rFonts w:ascii="Times New Roman" w:hAnsi="Times New Roman"/>
          <w:sz w:val="24"/>
          <w:szCs w:val="24"/>
        </w:rPr>
      </w:pPr>
      <w:r>
        <w:rPr>
          <w:rFonts w:ascii="Times New Roman" w:hAnsi="Times New Roman"/>
          <w:sz w:val="24"/>
          <w:szCs w:val="24"/>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sz w:val="24"/>
          <w:szCs w:val="24"/>
        </w:rPr>
        <w:t xml:space="preserve">A validade da Ata de Registro de Preços será de 1 (um) ano, contado a partir do primeiro dia útil subsequente à data de divulgação no PNCP, </w:t>
      </w:r>
      <w:r>
        <w:rPr>
          <w:rFonts w:ascii="Times New Roman" w:hAnsi="Times New Roman"/>
          <w:color w:val="auto"/>
          <w:sz w:val="24"/>
          <w:szCs w:val="24"/>
        </w:rPr>
        <w:t>podendo ser prorrogada por igual período, mediante a anuência do fornecedor, desde que comprovado o preço vantajoso.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sz w:val="24"/>
          <w:szCs w:val="24"/>
        </w:rPr>
        <w:t>O contrato decorrente da ata de registro de preços terá sua vigência estabelecida no próprio instrumento contratual e observará no momento da contratação e a</w:t>
      </w:r>
      <w:r>
        <w:rPr>
          <w:rFonts w:ascii="Times New Roman" w:hAnsi="Times New Roman"/>
        </w:rPr>
        <w:t xml:space="preserve"> cada exercício financeiro a disponibilidade de créditos orçamentários, bem como a previsão no plano plurianual, quando ultrapassar 1 (um) exercício financeiro.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Na formalização do contrato ou do instrumento substituto deverá haver a indicação da disponibilidade dos créditos orçamentários respectivos.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O instrumento contratual de que trata o item 14.2. deverá ser assinado no prazo de validade da ata de registro de preços.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Os contratos decorrentes do sistema de registro de preços poderão ser alterados, observado o art. 124 da Lei nº 14.133, de 2021.</w:t>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r>
      <w:r>
        <w:br w:type="page"/>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t>18. ALTERAÇÃO OU ATUALIZAÇÃO DOS PREÇOS REGISTRADOS</w:t>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Os preços registrados poderão ser alterados ou atualizados em decorrência de eventual redução dos preços pra</w:t>
      </w:r>
      <w:r>
        <w:rPr>
          <w:rFonts w:eastAsia="Calibri" w:ascii="Times New Roman" w:hAnsi="Times New Roman"/>
        </w:rPr>
        <w:t>ti</w:t>
      </w:r>
      <w:r>
        <w:rPr>
          <w:rFonts w:ascii="Times New Roman" w:hAnsi="Times New Roman"/>
        </w:rPr>
        <w:t>cados no mercado ou de fato que eleve o custo dos bens, das obras ou dos serviços registrados, nas seguintes situações: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color w:val="auto"/>
        </w:rPr>
        <w:t>Em caso de criação, alteração ou ex</w:t>
      </w:r>
      <w:r>
        <w:rPr>
          <w:rFonts w:eastAsia="Calibri" w:ascii="Times New Roman" w:hAnsi="Times New Roman"/>
          <w:color w:val="auto"/>
        </w:rPr>
        <w:t>ti</w:t>
      </w:r>
      <w:r>
        <w:rPr>
          <w:rFonts w:ascii="Times New Roman" w:hAnsi="Times New Roman"/>
          <w:color w:val="auto"/>
        </w:rPr>
        <w:t xml:space="preserve">nção de quaisquer tributos ou encargos legais </w:t>
      </w:r>
      <w:r>
        <w:rPr>
          <w:rFonts w:ascii="Times New Roman" w:hAnsi="Times New Roman"/>
        </w:rPr>
        <w:t>ou a superveniência de disposições legais, com comprovada repercussão sobre os preços registrados;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Na hipótese de previsão no edital ou no aviso de contratação direta de cláusula de reajustamento ou repactuação sobre os preços registrados, nos termos da Lei nº 14.133, de 2021.</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No caso do reajustamento, deverá ser respeitada a contagem da anualidade e o índice previstos para a contratação;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No caso da repactuação, poderá ser a pedido do interessado, conforme critérios definidos para a contratação.</w:t>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t>19. CANCELAMENTO DO REGISTRO DO LICITANTE VENCEDOR E DOS PREÇOS REGISTRADOS</w:t>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ascii="Times New Roman" w:hAnsi="Times New Roman"/>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O registro do fornecedor será cancelado pelo gerenciador, quando o fornecedor.</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Descumprir as condições da ata de registro de preços, sem motivo justificado.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Não retirar a nota de empenho, ou instrumento equivalente, no prazo estabelecido pela Administração sem justificativa razoável;</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Não aceitar manter seu preço registrado, na hipótese prevista no artigo 27, § 2º, do Decreto nº 11.462, de 2023; ou</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Sofrer sanção prevista nos incisos III ou IV do caput do art. 156 da Lei nº 14.133, de 2021.</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 xml:space="preserve">O cancelamento de registros nas hipóteses previstas no item </w:t>
      </w:r>
      <w:r>
        <w:rPr>
          <w:rFonts w:ascii="Times New Roman" w:hAnsi="Times New Roman"/>
        </w:rPr>
        <w:fldChar w:fldCharType="begin"/>
      </w:r>
      <w:r>
        <w:rPr>
          <w:rFonts w:ascii="Times New Roman" w:hAnsi="Times New Roman"/>
        </w:rPr>
        <w:instrText xml:space="preserve"> REF cancelamento_do_fornecedor \r \h </w:instrText>
      </w:r>
      <w:r>
        <w:rPr>
          <w:rFonts w:ascii="Times New Roman" w:hAnsi="Times New Roman"/>
        </w:rPr>
        <w:fldChar w:fldCharType="separate"/>
      </w:r>
      <w:r>
        <w:rPr>
          <w:rFonts w:ascii="Times New Roman" w:hAnsi="Times New Roman"/>
        </w:rPr>
        <w:t>Erro: Origem da referência não encontrada</w:t>
      </w:r>
      <w:r>
        <w:rPr>
          <w:rFonts w:ascii="Times New Roman" w:hAnsi="Times New Roman"/>
        </w:rPr>
        <w:fldChar w:fldCharType="end"/>
      </w:r>
      <w:r>
        <w:rPr>
          <w:rFonts w:ascii="Times New Roman" w:hAnsi="Times New Roman"/>
        </w:rPr>
        <w:t xml:space="preserve"> será formalizado por despacho do órgão ou da entidade gerenciadora, garantidos os princípios do contraditório e da ampla defesa.</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Na hipótese de cancelamento do registro do fornecedor, o órgão ou a entidade gerenciadora poderá convocar os licitantes que compõem o cadastro de reserva, observada a ordem de classificação.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 xml:space="preserve"> </w:t>
      </w:r>
      <w:r>
        <w:rPr>
          <w:rFonts w:ascii="Times New Roman" w:hAnsi="Times New Roman"/>
        </w:rPr>
        <w:t>O cancelamento dos preços registrados poderá ser realizado pelo gerenciador, em determinada ata de registro de preços, total ou parcialmente, nas seguintes hipóteses, desde que devidamente comprovadas e justificadas:</w:t>
      </w:r>
      <w:bookmarkStart w:id="3" w:name="cancelamento_da_ata"/>
      <w:bookmarkEnd w:id="3"/>
      <w:r>
        <w:rPr>
          <w:rFonts w:ascii="Times New Roman" w:hAnsi="Times New Roman"/>
        </w:rPr>
        <w:t xml:space="preserve"> </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Por razão de interesse público;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ascii="Times New Roman" w:hAnsi="Times New Roman"/>
        </w:rPr>
        <w:t xml:space="preserve">A pedido do fornecedor, decorrente de caso fortuito ou força maior; ouSe não houver êxito nas negociações, nas hipóteses em que o preço de mercado tornar-se superior ou inferior ao preço registrado, nos termos do artigos 26, § 3º e  27, § 4º, ambos do Decreto nº 11.462, de 2023. </w:t>
      </w:r>
    </w:p>
    <w:p>
      <w:pPr>
        <w:pStyle w:val="ListParagraph"/>
        <w:widowControl/>
        <w:suppressAutoHyphens w:val="true"/>
        <w:bidi w:val="0"/>
        <w:spacing w:lineRule="auto" w:line="360" w:before="0" w:after="0"/>
        <w:ind w:left="0" w:right="0" w:hanging="0"/>
        <w:contextualSpacing w:val="false"/>
        <w:jc w:val="both"/>
        <w:rPr>
          <w:rFonts w:cs="Times New Roman"/>
        </w:rPr>
      </w:pPr>
      <w:r>
        <w:rPr>
          <w:rFonts w:cs="Times New Roman"/>
        </w:rPr>
      </w:r>
    </w:p>
    <w:p>
      <w:pPr>
        <w:pStyle w:val="ListParagraph"/>
        <w:widowControl/>
        <w:suppressAutoHyphens w:val="true"/>
        <w:bidi w:val="0"/>
        <w:spacing w:lineRule="auto" w:line="360" w:before="0" w:after="0"/>
        <w:ind w:left="0" w:right="0" w:hanging="0"/>
        <w:contextualSpacing w:val="false"/>
        <w:jc w:val="both"/>
        <w:rPr>
          <w:rFonts w:ascii="Times New Roman" w:hAnsi="Times New Roman"/>
        </w:rPr>
      </w:pPr>
      <w:r>
        <w:rPr>
          <w:rFonts w:cs="Times New Roman" w:ascii="Times New Roman" w:hAnsi="Times New Roman"/>
        </w:rPr>
        <w:t>20. DAS PENALIDADES</w:t>
      </w:r>
    </w:p>
    <w:p>
      <w:pPr>
        <w:pStyle w:val="ListParagraph"/>
        <w:widowControl/>
        <w:suppressAutoHyphens w:val="true"/>
        <w:bidi w:val="0"/>
        <w:spacing w:lineRule="auto" w:line="360" w:before="0" w:after="0"/>
        <w:ind w:left="0" w:right="0" w:hanging="0"/>
        <w:contextualSpacing w:val="false"/>
        <w:jc w:val="both"/>
        <w:rPr>
          <w:rFonts w:cs="Times New Roman"/>
        </w:rPr>
      </w:pPr>
      <w:r>
        <w:rPr>
          <w:rFonts w:cs="Times New Roman"/>
        </w:rPr>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Se a contratada, injustificadamente, recusar-se a retirar a Nota de Empenho ou a assinar o Instrumento Contratual, sujeitar-se-á às seguintes penalidades: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Impedimento de licitar e contratar com o Estado do Maranhão, pelo prazo de até 05 (cinco) anos;</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Multa de 20% (vinte por cento) do valor global da proposta, devidamente atualizada;</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O atraso injustificado na prestação dos serviços ou entrega dos materiais sujeitará a contratada à aplicação das seguintes multas de mora:</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0,33% (trinta e três centésimos por cento) ao dia, incidente sobre o valor da parcela do objeto em atraso, desde o segundo até o trigésimo dia;</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0,66% (sessenta e seis centésimos por cento) ao dia, incidente sobre o valor da parcela em atraso, a partir do trigésimo primeiro dia, não podendo ultrapassar 20% (vinte por cento) do valor do contrato</w:t>
      </w:r>
    </w:p>
    <w:p>
      <w:pPr>
        <w:pStyle w:val="ListParagraph"/>
        <w:widowControl/>
        <w:suppressAutoHyphens w:val="true"/>
        <w:bidi w:val="0"/>
        <w:spacing w:lineRule="auto" w:line="360" w:before="0" w:after="0"/>
        <w:ind w:left="0" w:right="0" w:firstLine="850"/>
        <w:contextualSpacing w:val="false"/>
        <w:jc w:val="both"/>
        <w:rPr>
          <w:rFonts w:ascii="Times New Roman" w:hAnsi="Times New Roman"/>
        </w:rPr>
      </w:pPr>
      <w:r>
        <w:rPr>
          <w:rFonts w:cs="Times New Roman" w:ascii="Times New Roman" w:hAnsi="Times New Roman"/>
        </w:rPr>
        <w:t>Além das multas aludidas no item anterior, a contratante, poderá aplicar as seguintes sanções à contratada, garantida a prévia e ampla defesa, nas hipóteses de inexecução total ou parcial do Contrato: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(a) Advertência escrita;</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(b) Multa de 10% (dez por cento) sobre o valor total do Contrato;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(c) Impedimento para participar de licitação e assinar contratos com o Estado pelo prazo de até 05 (cinco) anos e descredenciamento do Sistema de Gerenciamento de Licitações e Contratos – SGC por igual prazo;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(d) Suspensão temporária de participação em licitação e impedimento de contratar com a Administração, por prazo não superior a 2 (dois) anos</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As sanções previstas nas alíneas “a”, “c”, “d” e “e” poderão ser aplicadas conjuntamente com a prevista na alínea “b”.</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Caberá ao Fiscal do Contrato, designado pela contratante, propor a aplicação das penalidades previstas, mediante relatório circunstanciado, apresentando provas que justifiquem a proposição.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A contratada estará sujeita à aplicação de sanções administrativas, dentre outras hipóteses legais, quando: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Entregar os materiais em desconformidade com o especificado e aceito;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Não substituir, no prazo estipulado, o material recusado pela contratante;</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Descumprir os prazos e condições previstas neste Termo de Referência;</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As multas deverão ser recolhidas no prazo de 15 (quinze) dias consecutivos contados da data da notificação, em conta bancária a ser informada pela contratante;</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O valor da multa poderá ser descontado dos pagamentos ou cobrado diretamente da contratada, amigável ou judicialmente;</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rPr>
        <w:t>Se a contratada ensejar o retardamento da execução do certame,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05 (cinco) anos, enquanto perdurarem os motivos determinantes da punição ou até que seja promovida a reabilitação perante a própria autoridade que aplicou a penalidade.</w:t>
      </w:r>
    </w:p>
    <w:p>
      <w:pPr>
        <w:pStyle w:val="ListParagraph"/>
        <w:widowControl/>
        <w:suppressAutoHyphens w:val="true"/>
        <w:bidi w:val="0"/>
        <w:spacing w:lineRule="auto" w:line="360" w:before="0" w:after="0"/>
        <w:ind w:left="0" w:right="0" w:hanging="0"/>
        <w:contextualSpacing w:val="false"/>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ListParagraph"/>
        <w:widowControl/>
        <w:suppressAutoHyphens w:val="true"/>
        <w:bidi w:val="0"/>
        <w:spacing w:lineRule="auto" w:line="360" w:before="0" w:after="0"/>
        <w:ind w:left="0" w:right="0" w:hanging="0"/>
        <w:contextualSpacing w:val="false"/>
        <w:jc w:val="both"/>
        <w:rPr/>
      </w:pPr>
      <w:r>
        <w:rPr>
          <w:rFonts w:cs="Times New Roman" w:ascii="Times New Roman" w:hAnsi="Times New Roman"/>
          <w:color w:val="000000" w:themeColor="text1"/>
        </w:rPr>
        <w:t>21. ESTIMATIVA DO VALOR DA CONTRATAÇÃO</w:t>
      </w:r>
    </w:p>
    <w:p>
      <w:pPr>
        <w:pStyle w:val="ListParagraph"/>
        <w:widowControl/>
        <w:suppressAutoHyphens w:val="true"/>
        <w:bidi w:val="0"/>
        <w:spacing w:lineRule="auto" w:line="360" w:before="0" w:after="0"/>
        <w:ind w:left="0" w:right="0" w:hanging="0"/>
        <w:contextualSpacing w:val="false"/>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O custo estimado total da contratação é de R$ 76.715,47 (setenta e seis mil setecentos e quinze reais e quarenta e sete centavos).</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Em caso de criação, alteração ou extinção de quaisquer tributos ou encargos legais ou superveniência de disposições legais, com comprovada repercussão sobre os preços registrados;</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Serão reajustados os preços registrados, respeitada a contagem da anualidade e o índice previsto para a contratação; ou 18.1.4. poderão ser repactuados, a pedido do interessado, conforme critérios definidos para a contratação.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Serão reajustados os preços registrados, respeitada a contagem da anualidade e o índice previsto para a contratação; ou</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Poderão ser repactuados, a pedido do interessado, conforme critérios definidos para a contratação.</w:t>
      </w:r>
    </w:p>
    <w:p>
      <w:pPr>
        <w:pStyle w:val="ListParagraph"/>
        <w:widowControl/>
        <w:suppressAutoHyphens w:val="true"/>
        <w:bidi w:val="0"/>
        <w:spacing w:lineRule="auto" w:line="360" w:before="0" w:after="0"/>
        <w:ind w:left="0" w:right="0" w:hanging="0"/>
        <w:contextualSpacing w:val="false"/>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ListParagraph"/>
        <w:widowControl/>
        <w:suppressAutoHyphens w:val="true"/>
        <w:bidi w:val="0"/>
        <w:spacing w:lineRule="auto" w:line="360" w:before="0" w:after="0"/>
        <w:ind w:left="0" w:right="0" w:hanging="0"/>
        <w:contextualSpacing w:val="false"/>
        <w:jc w:val="both"/>
        <w:rPr/>
      </w:pPr>
      <w:r>
        <w:rPr>
          <w:rFonts w:cs="Times New Roman" w:ascii="Times New Roman" w:hAnsi="Times New Roman"/>
          <w:color w:val="000000" w:themeColor="text1"/>
        </w:rPr>
        <w:t>22. DA ANTICORRUPÇÃO</w:t>
      </w:r>
    </w:p>
    <w:p>
      <w:pPr>
        <w:pStyle w:val="ListParagraph"/>
        <w:widowControl/>
        <w:suppressAutoHyphens w:val="true"/>
        <w:bidi w:val="0"/>
        <w:spacing w:lineRule="auto" w:line="360" w:before="0" w:after="0"/>
        <w:ind w:left="0" w:right="0" w:hanging="0"/>
        <w:contextualSpacing w:val="false"/>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Sendo assim, na execução do presente contrato, é vedado à requisitante e ao contratado e/ou ao empregado, preposto e/ou gestor seu.</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Ao longo da vigência deste ajuste e após, prometer, oferecer ou dar, direta ou indiretamente, vantagem indevida a agente público, ou a terceira pessoa a ele relacionada, ou a quem quer que seja;</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Comprovadamente, financiar, custear, patrocinar ou de qualquer modo subvencionar a prática dos atos ilícitos previstos na Lei n° 12.846/2013;</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Criar, de modo fraudulento ou irregular, pessoa jurídica para celebrar o presente Contrato;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Obter vantagem ou benefício indevido, de modo fraudulento, de modificações ou prorrogações do presente</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Contrato, sem autorização em lei, no ato convocatório da licitação pública ou nos respectivos instrumentos contratuais;</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Manipular ou fraudar o equilíbrio econômico-financeiro do presente Contrato;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Dificultar atividade de investigação ou fiscalização de órgãos, entidades ou agentes públicos, ou intervir em sua atuação, inclusive no âmbito das agências reguladoras e dos órgãos de fiscalização do sistema financeiro nacional;</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De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Constatada administrativamente qualquer prática contrária aos deveres estipulados nesta cláusula, a Parte poderá notificar a outra e exigir que essa tome as medidas corretivas necessárias em um prazo razoável.</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pPr>
        <w:pStyle w:val="ListParagraph"/>
        <w:widowControl/>
        <w:suppressAutoHyphens w:val="true"/>
        <w:bidi w:val="0"/>
        <w:spacing w:lineRule="auto" w:line="360" w:before="0" w:after="0"/>
        <w:ind w:left="0" w:right="0" w:firstLine="850"/>
        <w:contextualSpacing w:val="false"/>
        <w:jc w:val="both"/>
        <w:rPr/>
      </w:pPr>
      <w:r>
        <w:rPr>
          <w:rFonts w:cs="Times New Roman" w:ascii="Times New Roman" w:hAnsi="Times New Roman"/>
          <w:color w:val="000000" w:themeColor="text1"/>
        </w:rPr>
        <w:t>Se nenhuma medida corretiva for tomada, a Parte notificante poderá, a seu critério, independentemente das sanções aplicáveis à conduta, proceder à imediata rescisão deste Contrato, sem prejuízo da aplicação das penalidades devidas.</w:t>
      </w:r>
    </w:p>
    <w:p>
      <w:pPr>
        <w:pStyle w:val="ListParagraph"/>
        <w:jc w:val="both"/>
        <w:rPr>
          <w:rFonts w:ascii="Times New Roman" w:hAnsi="Times New Roman" w:cs="Times New Roman"/>
        </w:rPr>
      </w:pPr>
      <w:r>
        <w:rPr>
          <w:rFonts w:cs="Times New Roman" w:ascii="Times New Roman" w:hAnsi="Times New Roman"/>
        </w:rPr>
      </w:r>
    </w:p>
    <w:p>
      <w:pPr>
        <w:pStyle w:val="ListParagraph"/>
        <w:jc w:val="both"/>
        <w:rPr>
          <w:rFonts w:ascii="Times New Roman" w:hAnsi="Times New Roman" w:cs="Times New Roman"/>
        </w:rPr>
      </w:pPr>
      <w:r>
        <w:rPr>
          <w:rFonts w:cs="Times New Roman" w:ascii="Times New Roman" w:hAnsi="Times New Roman"/>
        </w:rPr>
      </w:r>
    </w:p>
    <w:p>
      <w:pPr>
        <w:pStyle w:val="ListParagraph"/>
        <w:jc w:val="center"/>
        <w:rPr>
          <w:rFonts w:ascii="Times New Roman" w:hAnsi="Times New Roman" w:cs="Times New Roman"/>
          <w:b/>
          <w:b/>
          <w:bCs/>
          <w:highlight w:val="white"/>
        </w:rPr>
      </w:pPr>
      <w:r>
        <w:rPr>
          <w:rFonts w:cs="Times New Roman" w:ascii="Times New Roman" w:hAnsi="Times New Roman"/>
          <w:b/>
          <w:bCs/>
          <w:highlight w:val="white"/>
        </w:rPr>
        <w:t>Atesto</w:t>
      </w:r>
    </w:p>
    <w:p>
      <w:pPr>
        <w:pStyle w:val="ListParagraph"/>
        <w:jc w:val="both"/>
        <w:rPr>
          <w:rFonts w:ascii="Times New Roman" w:hAnsi="Times New Roman" w:cs="Times New Roman"/>
        </w:rPr>
      </w:pPr>
      <w:r>
        <w:rPr>
          <w:rFonts w:cs="Times New Roman" w:ascii="Times New Roman" w:hAnsi="Times New Roman"/>
        </w:rPr>
      </w:r>
    </w:p>
    <w:p>
      <w:pPr>
        <w:pStyle w:val="ListParagraph"/>
        <w:jc w:val="both"/>
        <w:rPr>
          <w:rFonts w:ascii="Times New Roman" w:hAnsi="Times New Roman" w:cs="Times New Roman"/>
        </w:rPr>
      </w:pPr>
      <w:r>
        <w:rPr>
          <w:rFonts w:cs="Times New Roman" w:ascii="Times New Roman" w:hAnsi="Times New Roman"/>
        </w:rPr>
      </w:r>
    </w:p>
    <w:p>
      <w:pPr>
        <w:pStyle w:val="ListParagraph"/>
        <w:jc w:val="center"/>
        <w:rPr>
          <w:rFonts w:ascii="Times New Roman" w:hAnsi="Times New Roman" w:cs="Times New Roman"/>
        </w:rPr>
      </w:pPr>
      <w:r>
        <w:rPr>
          <w:rFonts w:cs="Times New Roman" w:ascii="Times New Roman" w:hAnsi="Times New Roman"/>
        </w:rPr>
        <w:t>Maj QOPM Paulo Cledson Barroso Ramos</w:t>
      </w:r>
    </w:p>
    <w:p>
      <w:pPr>
        <w:pStyle w:val="ListParagraph"/>
        <w:jc w:val="center"/>
        <w:rPr>
          <w:rFonts w:ascii="Times New Roman" w:hAnsi="Times New Roman" w:cs="Times New Roman"/>
          <w:b w:val="false"/>
          <w:b w:val="false"/>
          <w:bCs w:val="false"/>
          <w:highlight w:val="white"/>
        </w:rPr>
      </w:pPr>
      <w:r>
        <w:rPr>
          <w:rFonts w:cs="Times New Roman" w:ascii="Times New Roman" w:hAnsi="Times New Roman"/>
          <w:b w:val="false"/>
          <w:bCs w:val="false"/>
          <w:highlight w:val="white"/>
        </w:rPr>
        <w:t>Chefe da Subseção de Planejamento</w:t>
      </w:r>
    </w:p>
    <w:p>
      <w:pPr>
        <w:pStyle w:val="ListParagraph"/>
        <w:jc w:val="center"/>
        <w:rPr>
          <w:rFonts w:ascii="Times New Roman" w:hAnsi="Times New Roman" w:cs="Times New Roman"/>
          <w:b/>
          <w:b/>
          <w:bCs/>
          <w:highlight w:val="white"/>
        </w:rPr>
      </w:pPr>
      <w:r>
        <w:rPr>
          <w:rFonts w:cs="Times New Roman" w:ascii="Times New Roman" w:hAnsi="Times New Roman"/>
          <w:b/>
          <w:bCs/>
          <w:highlight w:val="white"/>
        </w:rPr>
      </w:r>
    </w:p>
    <w:p>
      <w:pPr>
        <w:pStyle w:val="ListParagraph"/>
        <w:jc w:val="center"/>
        <w:rPr>
          <w:rFonts w:ascii="Times New Roman" w:hAnsi="Times New Roman" w:cs="Times New Roman"/>
          <w:b/>
          <w:b/>
          <w:bCs/>
          <w:highlight w:val="white"/>
        </w:rPr>
      </w:pPr>
      <w:r>
        <w:rPr>
          <w:rFonts w:cs="Times New Roman" w:ascii="Times New Roman" w:hAnsi="Times New Roman"/>
          <w:b/>
          <w:bCs/>
          <w:highlight w:val="white"/>
        </w:rPr>
      </w:r>
    </w:p>
    <w:p>
      <w:pPr>
        <w:pStyle w:val="ListParagraph"/>
        <w:jc w:val="center"/>
        <w:rPr>
          <w:rFonts w:ascii="Times New Roman" w:hAnsi="Times New Roman" w:cs="Times New Roman"/>
          <w:b/>
          <w:b/>
          <w:bCs/>
          <w:highlight w:val="white"/>
        </w:rPr>
      </w:pPr>
      <w:r>
        <w:rPr>
          <w:rFonts w:cs="Times New Roman" w:ascii="Times New Roman" w:hAnsi="Times New Roman"/>
          <w:b/>
          <w:bCs/>
          <w:highlight w:val="white"/>
        </w:rPr>
        <w:t>Atesto</w:t>
      </w:r>
    </w:p>
    <w:p>
      <w:pPr>
        <w:pStyle w:val="ListParagraph"/>
        <w:jc w:val="both"/>
        <w:rPr>
          <w:rFonts w:ascii="Times New Roman" w:hAnsi="Times New Roman" w:cs="Times New Roman"/>
        </w:rPr>
      </w:pPr>
      <w:r>
        <w:rPr>
          <w:rFonts w:cs="Times New Roman" w:ascii="Times New Roman" w:hAnsi="Times New Roman"/>
        </w:rPr>
      </w:r>
    </w:p>
    <w:p>
      <w:pPr>
        <w:pStyle w:val="ListParagraph"/>
        <w:jc w:val="both"/>
        <w:rPr>
          <w:rFonts w:ascii="Times New Roman" w:hAnsi="Times New Roman" w:cs="Times New Roman"/>
        </w:rPr>
      </w:pPr>
      <w:r>
        <w:rPr>
          <w:rFonts w:cs="Times New Roman" w:ascii="Times New Roman" w:hAnsi="Times New Roman"/>
        </w:rPr>
      </w:r>
    </w:p>
    <w:p>
      <w:pPr>
        <w:pStyle w:val="ListParagraph"/>
        <w:jc w:val="center"/>
        <w:rPr>
          <w:rFonts w:ascii="Times New Roman" w:hAnsi="Times New Roman" w:cs="Times New Roman"/>
        </w:rPr>
      </w:pPr>
      <w:r>
        <w:rPr>
          <w:rFonts w:cs="Times New Roman" w:ascii="Times New Roman" w:hAnsi="Times New Roman"/>
        </w:rPr>
        <w:t>TC QOPM Raimundo Borba Lima</w:t>
      </w:r>
    </w:p>
    <w:p>
      <w:pPr>
        <w:pStyle w:val="ListParagraph"/>
        <w:jc w:val="center"/>
        <w:rPr>
          <w:rFonts w:ascii="Times New Roman" w:hAnsi="Times New Roman" w:cs="Times New Roman"/>
        </w:rPr>
      </w:pPr>
      <w:r>
        <w:rPr>
          <w:rFonts w:cs="Times New Roman" w:ascii="Times New Roman" w:hAnsi="Times New Roman"/>
        </w:rPr>
        <w:t>Chefe da 4ª Seção/EMG</w:t>
      </w:r>
    </w:p>
    <w:sectPr>
      <w:headerReference w:type="even" r:id="rId9"/>
      <w:headerReference w:type="default" r:id="rId10"/>
      <w:headerReference w:type="first" r:id="rId11"/>
      <w:footerReference w:type="even" r:id="rId12"/>
      <w:footerReference w:type="default" r:id="rId13"/>
      <w:footerReference w:type="first" r:id="rId14"/>
      <w:type w:val="nextPage"/>
      <w:pgSz w:w="11906" w:h="16838"/>
      <w:pgMar w:left="1276"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Ecofont_Spranq_eco_Sans">
    <w:charset w:val="00"/>
    <w:family w:val="roman"/>
    <w:pitch w:val="variable"/>
  </w:font>
  <w:font w:name="Aptos Display">
    <w:charset w:val="00"/>
    <w:family w:val="roman"/>
    <w:pitch w:val="variable"/>
  </w:font>
  <w:font w:name="Arial">
    <w:charset w:val="00"/>
    <w:family w:val="roman"/>
    <w:pitch w:val="variable"/>
  </w:font>
  <w:font w:name="Liberation Sans">
    <w:altName w:val="Arial"/>
    <w:charset w:val="00"/>
    <w:family w:val="roman"/>
    <w:pitch w:val="variable"/>
  </w:font>
  <w:font w:name="Arial MT">
    <w:charset w:val="00"/>
    <w:family w:val="roman"/>
    <w:pitch w:val="variable"/>
  </w:font>
  <w:font w:name="Rawlin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356510520"/>
    </w:sdtPr>
    <w:sdtContent>
      <w:p>
        <w:pPr>
          <w:pStyle w:val="Rodap"/>
          <w:rPr>
            <w:color w:val="2C7FCE" w:themeColor="text2" w:themeTint="99"/>
            <w:spacing w:val="60"/>
            <w:sz w:val="16"/>
            <w:szCs w:val="16"/>
          </w:rPr>
        </w:pPr>
        <w:r>
          <w:rPr>
            <w:color w:val="2C7FCE" w:themeColor="text2" w:themeTint="99"/>
            <w:spacing w:val="60"/>
            <w:sz w:val="22"/>
            <w:szCs w:val="22"/>
          </w:rPr>
          <w:tab/>
          <w:tab/>
        </w:r>
      </w:p>
      <w:p>
        <w:pPr>
          <w:pStyle w:val="Rodap"/>
          <w:rPr>
            <w:rFonts w:ascii="Rawline" w:hAnsi="Rawline"/>
          </w:rPr>
        </w:pPr>
        <w:r>
          <w:rPr>
            <w:rFonts w:ascii="Rawline" w:hAnsi="Rawline"/>
          </w:rPr>
        </w:r>
      </w:p>
    </w:sdtContent>
  </w:sdt>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746511"/>
    </w:sdtPr>
    <w:sdtContent>
      <w:p>
        <w:pPr>
          <w:pStyle w:val="Rodap"/>
          <w:rPr>
            <w:color w:val="2C7FCE" w:themeColor="text2" w:themeTint="99"/>
            <w:spacing w:val="60"/>
            <w:sz w:val="16"/>
            <w:szCs w:val="16"/>
          </w:rPr>
        </w:pPr>
        <w:r>
          <w:rPr>
            <w:color w:val="2C7FCE" w:themeColor="text2" w:themeTint="99"/>
            <w:spacing w:val="60"/>
            <w:sz w:val="22"/>
            <w:szCs w:val="22"/>
          </w:rPr>
          <w:tab/>
          <w:tab/>
        </w:r>
      </w:p>
      <w:p>
        <w:pPr>
          <w:pStyle w:val="Rodap"/>
          <w:rPr>
            <w:rFonts w:ascii="Rawline" w:hAnsi="Rawline"/>
          </w:rPr>
        </w:pPr>
        <w:r>
          <w:rPr>
            <w:rFonts w:ascii="Rawline" w:hAnsi="Rawline"/>
          </w:rPr>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val="false"/>
        <w:bCs w:val="false"/>
      </w:rPr>
    </w:lvl>
    <w:lvl w:ilvl="1">
      <w:start w:val="1"/>
      <w:numFmt w:val="decimal"/>
      <w:lvlText w:val="%1.%2"/>
      <w:lvlJc w:val="left"/>
      <w:pPr>
        <w:tabs>
          <w:tab w:val="num" w:pos="0"/>
        </w:tabs>
        <w:ind w:left="1095" w:hanging="375"/>
      </w:pPr>
      <w:rPr>
        <w:b w:val="false"/>
        <w:bCs w:val="false"/>
      </w:rPr>
    </w:lvl>
    <w:lvl w:ilvl="2">
      <w:start w:val="1"/>
      <w:numFmt w:val="decimal"/>
      <w:lvlText w:val="%1.%2.%3"/>
      <w:lvlJc w:val="left"/>
      <w:pPr>
        <w:tabs>
          <w:tab w:val="num" w:pos="0"/>
        </w:tabs>
        <w:ind w:left="1800" w:hanging="720"/>
      </w:pPr>
      <w:rPr>
        <w:sz w:val="24"/>
        <w:b w:val="false"/>
        <w:szCs w:val="24"/>
        <w:bCs w:val="false"/>
        <w:rFonts w:ascii="Ecofont_Spranq_eco_Sans" w:hAnsi="Ecofont_Spranq_eco_Sans"/>
        <w:color w:val="auto"/>
      </w:rPr>
    </w:lvl>
    <w:lvl w:ilvl="3">
      <w:start w:val="1"/>
      <w:numFmt w:val="decimal"/>
      <w:lvlText w:val="%1.%2.%3.%4"/>
      <w:lvlJc w:val="left"/>
      <w:pPr>
        <w:tabs>
          <w:tab w:val="num" w:pos="0"/>
        </w:tabs>
        <w:ind w:left="2520" w:hanging="1080"/>
      </w:pPr>
      <w:rPr>
        <w:b w:val="false"/>
        <w:bCs w:val="false"/>
      </w:rPr>
    </w:lvl>
    <w:lvl w:ilvl="4">
      <w:start w:val="1"/>
      <w:numFmt w:val="decimal"/>
      <w:lvlText w:val="%1.%2.%3.%4.%5"/>
      <w:lvlJc w:val="left"/>
      <w:pPr>
        <w:tabs>
          <w:tab w:val="num" w:pos="0"/>
        </w:tabs>
        <w:ind w:left="2880" w:hanging="1080"/>
      </w:pPr>
      <w:rPr/>
    </w:lvl>
    <w:lvl w:ilvl="5">
      <w:start w:val="1"/>
      <w:numFmt w:val="decimal"/>
      <w:lvlText w:val="%1.%2.%3.%4.%5.%6"/>
      <w:lvlJc w:val="left"/>
      <w:pPr>
        <w:tabs>
          <w:tab w:val="num" w:pos="0"/>
        </w:tabs>
        <w:ind w:left="3600" w:hanging="1440"/>
      </w:pPr>
      <w:rPr/>
    </w:lvl>
    <w:lvl w:ilvl="6">
      <w:start w:val="1"/>
      <w:numFmt w:val="decimal"/>
      <w:lvlText w:val="%1.%2.%3.%4.%5.%6.%7"/>
      <w:lvlJc w:val="left"/>
      <w:pPr>
        <w:tabs>
          <w:tab w:val="num" w:pos="0"/>
        </w:tabs>
        <w:ind w:left="3960" w:hanging="1440"/>
      </w:pPr>
      <w:rPr/>
    </w:lvl>
    <w:lvl w:ilvl="7">
      <w:start w:val="1"/>
      <w:numFmt w:val="decimal"/>
      <w:lvlText w:val="%1.%2.%3.%4.%5.%6.%7.%8"/>
      <w:lvlJc w:val="left"/>
      <w:pPr>
        <w:tabs>
          <w:tab w:val="num" w:pos="0"/>
        </w:tabs>
        <w:ind w:left="4680" w:hanging="1800"/>
      </w:pPr>
      <w:rPr/>
    </w:lvl>
    <w:lvl w:ilvl="8">
      <w:start w:val="1"/>
      <w:numFmt w:val="decimal"/>
      <w:lvlText w:val="%1.%2.%3.%4.%5.%6.%7.%8.%9"/>
      <w:lvlJc w:val="left"/>
      <w:pPr>
        <w:tabs>
          <w:tab w:val="num" w:pos="0"/>
        </w:tabs>
        <w:ind w:left="5040" w:hanging="1800"/>
      </w:pPr>
      <w:rPr/>
    </w:lvl>
  </w:abstractNum>
  <w:abstractNum w:abstractNumId="2">
    <w:lvl w:ilvl="0">
      <w:start w:val="8"/>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3">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sz w:val="24"/>
        <w:b/>
        <w:rFonts w:ascii="Times New Roman" w:hAnsi="Times New Roman"/>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02d8e"/>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14:ligatures w14:val="none"/>
    </w:rPr>
  </w:style>
  <w:style w:type="paragraph" w:styleId="Ttulo1">
    <w:name w:val="Heading 1"/>
    <w:basedOn w:val="Normal"/>
    <w:next w:val="Normal"/>
    <w:link w:val="Ttulo1Char"/>
    <w:uiPriority w:val="9"/>
    <w:qFormat/>
    <w:rsid w:val="00302d8e"/>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Ttulo2">
    <w:name w:val="Heading 2"/>
    <w:basedOn w:val="Normal"/>
    <w:next w:val="Normal"/>
    <w:link w:val="Ttulo2Char"/>
    <w:uiPriority w:val="9"/>
    <w:semiHidden/>
    <w:unhideWhenUsed/>
    <w:qFormat/>
    <w:rsid w:val="00302d8e"/>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Ttulo3">
    <w:name w:val="Heading 3"/>
    <w:basedOn w:val="Normal"/>
    <w:next w:val="Normal"/>
    <w:link w:val="Ttulo3Char"/>
    <w:uiPriority w:val="9"/>
    <w:semiHidden/>
    <w:unhideWhenUsed/>
    <w:qFormat/>
    <w:rsid w:val="00302d8e"/>
    <w:pPr>
      <w:keepNext w:val="true"/>
      <w:keepLines/>
      <w:spacing w:before="160" w:after="80"/>
      <w:outlineLvl w:val="2"/>
    </w:pPr>
    <w:rPr>
      <w:rFonts w:eastAsia="" w:cs="" w:cstheme="majorBidi" w:eastAsiaTheme="majorEastAsia"/>
      <w:color w:val="0F4761" w:themeColor="accent1" w:themeShade="bf"/>
      <w:sz w:val="28"/>
      <w:szCs w:val="28"/>
    </w:rPr>
  </w:style>
  <w:style w:type="paragraph" w:styleId="Ttulo4">
    <w:name w:val="Heading 4"/>
    <w:basedOn w:val="Normal"/>
    <w:next w:val="Normal"/>
    <w:link w:val="Ttulo4Char"/>
    <w:uiPriority w:val="9"/>
    <w:semiHidden/>
    <w:unhideWhenUsed/>
    <w:qFormat/>
    <w:rsid w:val="00302d8e"/>
    <w:pPr>
      <w:keepNext w:val="true"/>
      <w:keepLines/>
      <w:spacing w:before="80" w:after="40"/>
      <w:outlineLvl w:val="3"/>
    </w:pPr>
    <w:rPr>
      <w:rFonts w:eastAsia="" w:cs="" w:cstheme="majorBidi" w:eastAsiaTheme="majorEastAsia"/>
      <w:i/>
      <w:iCs/>
      <w:color w:val="0F4761" w:themeColor="accent1" w:themeShade="bf"/>
    </w:rPr>
  </w:style>
  <w:style w:type="paragraph" w:styleId="Ttulo5">
    <w:name w:val="Heading 5"/>
    <w:basedOn w:val="Normal"/>
    <w:next w:val="Normal"/>
    <w:link w:val="Ttulo5Char"/>
    <w:uiPriority w:val="9"/>
    <w:semiHidden/>
    <w:unhideWhenUsed/>
    <w:qFormat/>
    <w:rsid w:val="00302d8e"/>
    <w:pPr>
      <w:keepNext w:val="true"/>
      <w:keepLines/>
      <w:spacing w:before="80" w:after="40"/>
      <w:outlineLvl w:val="4"/>
    </w:pPr>
    <w:rPr>
      <w:rFonts w:eastAsia="" w:cs="" w:cstheme="majorBidi" w:eastAsiaTheme="majorEastAsia"/>
      <w:color w:val="0F4761" w:themeColor="accent1" w:themeShade="bf"/>
    </w:rPr>
  </w:style>
  <w:style w:type="paragraph" w:styleId="Ttulo6">
    <w:name w:val="Heading 6"/>
    <w:basedOn w:val="Normal"/>
    <w:next w:val="Normal"/>
    <w:link w:val="Ttulo6Char"/>
    <w:uiPriority w:val="9"/>
    <w:semiHidden/>
    <w:unhideWhenUsed/>
    <w:qFormat/>
    <w:rsid w:val="00302d8e"/>
    <w:pPr>
      <w:keepNext w:val="true"/>
      <w:keepLines/>
      <w:spacing w:before="40" w:after="0"/>
      <w:outlineLvl w:val="5"/>
    </w:pPr>
    <w:rPr>
      <w:rFonts w:eastAsia="" w:cs="" w:cstheme="majorBidi" w:eastAsiaTheme="majorEastAsia"/>
      <w:i/>
      <w:iCs/>
      <w:color w:val="595959" w:themeColor="text1" w:themeTint="a6"/>
    </w:rPr>
  </w:style>
  <w:style w:type="paragraph" w:styleId="Ttulo7">
    <w:name w:val="Heading 7"/>
    <w:basedOn w:val="Normal"/>
    <w:next w:val="Normal"/>
    <w:link w:val="Ttulo7Char"/>
    <w:uiPriority w:val="9"/>
    <w:semiHidden/>
    <w:unhideWhenUsed/>
    <w:qFormat/>
    <w:rsid w:val="00302d8e"/>
    <w:pPr>
      <w:keepNext w:val="true"/>
      <w:keepLines/>
      <w:spacing w:before="40" w:after="0"/>
      <w:outlineLvl w:val="6"/>
    </w:pPr>
    <w:rPr>
      <w:rFonts w:eastAsia="" w:cs="" w:cstheme="majorBidi" w:eastAsiaTheme="majorEastAsia"/>
      <w:color w:val="595959" w:themeColor="text1" w:themeTint="a6"/>
    </w:rPr>
  </w:style>
  <w:style w:type="paragraph" w:styleId="Ttulo8">
    <w:name w:val="Heading 8"/>
    <w:basedOn w:val="Normal"/>
    <w:next w:val="Normal"/>
    <w:link w:val="Ttulo8Char"/>
    <w:uiPriority w:val="9"/>
    <w:semiHidden/>
    <w:unhideWhenUsed/>
    <w:qFormat/>
    <w:rsid w:val="00302d8e"/>
    <w:pPr>
      <w:keepNext w:val="true"/>
      <w:keepLines/>
      <w:outlineLvl w:val="7"/>
    </w:pPr>
    <w:rPr>
      <w:rFonts w:eastAsia="" w:cs="" w:cstheme="majorBidi" w:eastAsiaTheme="majorEastAsia"/>
      <w:i/>
      <w:iCs/>
      <w:color w:val="272727" w:themeColor="text1" w:themeTint="d8"/>
    </w:rPr>
  </w:style>
  <w:style w:type="paragraph" w:styleId="Ttulo9">
    <w:name w:val="Heading 9"/>
    <w:basedOn w:val="Normal"/>
    <w:next w:val="Normal"/>
    <w:link w:val="Ttulo9Char"/>
    <w:uiPriority w:val="9"/>
    <w:semiHidden/>
    <w:unhideWhenUsed/>
    <w:qFormat/>
    <w:rsid w:val="00302d8e"/>
    <w:pPr>
      <w:keepNext w:val="true"/>
      <w:keepLines/>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302d8e"/>
    <w:rPr>
      <w:rFonts w:ascii="Aptos Display" w:hAnsi="Aptos Display" w:eastAsia="" w:cs="" w:asciiTheme="majorHAnsi" w:cstheme="majorBidi" w:eastAsiaTheme="majorEastAsia" w:hAnsiTheme="majorHAnsi"/>
      <w:color w:val="0F4761" w:themeColor="accent1" w:themeShade="bf"/>
      <w:sz w:val="40"/>
      <w:szCs w:val="40"/>
    </w:rPr>
  </w:style>
  <w:style w:type="character" w:styleId="Ttulo2Char" w:customStyle="1">
    <w:name w:val="Título 2 Char"/>
    <w:basedOn w:val="DefaultParagraphFont"/>
    <w:uiPriority w:val="9"/>
    <w:semiHidden/>
    <w:qFormat/>
    <w:rsid w:val="00302d8e"/>
    <w:rPr>
      <w:rFonts w:ascii="Aptos Display" w:hAnsi="Aptos Display" w:eastAsia="" w:cs="" w:asciiTheme="majorHAnsi" w:cstheme="majorBidi" w:eastAsiaTheme="majorEastAsia" w:hAnsiTheme="majorHAnsi"/>
      <w:color w:val="0F4761" w:themeColor="accent1" w:themeShade="bf"/>
      <w:sz w:val="32"/>
      <w:szCs w:val="32"/>
    </w:rPr>
  </w:style>
  <w:style w:type="character" w:styleId="Ttulo3Char" w:customStyle="1">
    <w:name w:val="Título 3 Char"/>
    <w:basedOn w:val="DefaultParagraphFont"/>
    <w:uiPriority w:val="9"/>
    <w:semiHidden/>
    <w:qFormat/>
    <w:rsid w:val="00302d8e"/>
    <w:rPr>
      <w:rFonts w:eastAsia="" w:cs="" w:cstheme="majorBidi" w:eastAsiaTheme="majorEastAsia"/>
      <w:color w:val="0F4761" w:themeColor="accent1" w:themeShade="bf"/>
      <w:sz w:val="28"/>
      <w:szCs w:val="28"/>
    </w:rPr>
  </w:style>
  <w:style w:type="character" w:styleId="Ttulo4Char" w:customStyle="1">
    <w:name w:val="Título 4 Char"/>
    <w:basedOn w:val="DefaultParagraphFont"/>
    <w:uiPriority w:val="9"/>
    <w:semiHidden/>
    <w:qFormat/>
    <w:rsid w:val="00302d8e"/>
    <w:rPr>
      <w:rFonts w:eastAsia="" w:cs="" w:cstheme="majorBidi" w:eastAsiaTheme="majorEastAsia"/>
      <w:i/>
      <w:iCs/>
      <w:color w:val="0F4761" w:themeColor="accent1" w:themeShade="bf"/>
    </w:rPr>
  </w:style>
  <w:style w:type="character" w:styleId="Ttulo5Char" w:customStyle="1">
    <w:name w:val="Título 5 Char"/>
    <w:basedOn w:val="DefaultParagraphFont"/>
    <w:uiPriority w:val="9"/>
    <w:semiHidden/>
    <w:qFormat/>
    <w:rsid w:val="00302d8e"/>
    <w:rPr>
      <w:rFonts w:eastAsia="" w:cs="" w:cstheme="majorBidi" w:eastAsiaTheme="majorEastAsia"/>
      <w:color w:val="0F4761" w:themeColor="accent1" w:themeShade="bf"/>
    </w:rPr>
  </w:style>
  <w:style w:type="character" w:styleId="Ttulo6Char" w:customStyle="1">
    <w:name w:val="Título 6 Char"/>
    <w:basedOn w:val="DefaultParagraphFont"/>
    <w:uiPriority w:val="9"/>
    <w:semiHidden/>
    <w:qFormat/>
    <w:rsid w:val="00302d8e"/>
    <w:rPr>
      <w:rFonts w:eastAsia="" w:cs="" w:cstheme="majorBidi" w:eastAsiaTheme="majorEastAsia"/>
      <w:i/>
      <w:iCs/>
      <w:color w:val="595959" w:themeColor="text1" w:themeTint="a6"/>
    </w:rPr>
  </w:style>
  <w:style w:type="character" w:styleId="Ttulo7Char" w:customStyle="1">
    <w:name w:val="Título 7 Char"/>
    <w:basedOn w:val="DefaultParagraphFont"/>
    <w:uiPriority w:val="9"/>
    <w:semiHidden/>
    <w:qFormat/>
    <w:rsid w:val="00302d8e"/>
    <w:rPr>
      <w:rFonts w:eastAsia="" w:cs="" w:cstheme="majorBidi" w:eastAsiaTheme="majorEastAsia"/>
      <w:color w:val="595959" w:themeColor="text1" w:themeTint="a6"/>
    </w:rPr>
  </w:style>
  <w:style w:type="character" w:styleId="Ttulo8Char" w:customStyle="1">
    <w:name w:val="Título 8 Char"/>
    <w:basedOn w:val="DefaultParagraphFont"/>
    <w:uiPriority w:val="9"/>
    <w:semiHidden/>
    <w:qFormat/>
    <w:rsid w:val="00302d8e"/>
    <w:rPr>
      <w:rFonts w:eastAsia="" w:cs="" w:cstheme="majorBidi" w:eastAsiaTheme="majorEastAsia"/>
      <w:i/>
      <w:iCs/>
      <w:color w:val="272727" w:themeColor="text1" w:themeTint="d8"/>
    </w:rPr>
  </w:style>
  <w:style w:type="character" w:styleId="Ttulo9Char" w:customStyle="1">
    <w:name w:val="Título 9 Char"/>
    <w:basedOn w:val="DefaultParagraphFont"/>
    <w:uiPriority w:val="9"/>
    <w:semiHidden/>
    <w:qFormat/>
    <w:rsid w:val="00302d8e"/>
    <w:rPr>
      <w:rFonts w:eastAsia="" w:cs="" w:cstheme="majorBidi" w:eastAsiaTheme="majorEastAsia"/>
      <w:color w:val="272727" w:themeColor="text1" w:themeTint="d8"/>
    </w:rPr>
  </w:style>
  <w:style w:type="character" w:styleId="TtuloChar" w:customStyle="1">
    <w:name w:val="Título Char"/>
    <w:basedOn w:val="DefaultParagraphFont"/>
    <w:uiPriority w:val="10"/>
    <w:qFormat/>
    <w:rsid w:val="00302d8e"/>
    <w:rPr>
      <w:rFonts w:ascii="Aptos Display" w:hAnsi="Aptos Display" w:eastAsia="" w:cs="" w:asciiTheme="majorHAnsi" w:cstheme="majorBidi" w:eastAsiaTheme="majorEastAsia" w:hAnsiTheme="majorHAnsi"/>
      <w:spacing w:val="-10"/>
      <w:kern w:val="2"/>
      <w:sz w:val="56"/>
      <w:szCs w:val="56"/>
    </w:rPr>
  </w:style>
  <w:style w:type="character" w:styleId="SubttuloChar" w:customStyle="1">
    <w:name w:val="Subtítulo Char"/>
    <w:basedOn w:val="DefaultParagraphFont"/>
    <w:uiPriority w:val="11"/>
    <w:qFormat/>
    <w:rsid w:val="00302d8e"/>
    <w:rPr>
      <w:rFonts w:eastAsia="" w:cs="" w:cstheme="majorBidi" w:eastAsiaTheme="majorEastAsia"/>
      <w:color w:val="595959" w:themeColor="text1" w:themeTint="a6"/>
      <w:spacing w:val="15"/>
      <w:sz w:val="28"/>
      <w:szCs w:val="28"/>
    </w:rPr>
  </w:style>
  <w:style w:type="character" w:styleId="CitaoChar" w:customStyle="1">
    <w:name w:val="Citação Char"/>
    <w:basedOn w:val="DefaultParagraphFont"/>
    <w:link w:val="Quote"/>
    <w:uiPriority w:val="29"/>
    <w:qFormat/>
    <w:rsid w:val="00302d8e"/>
    <w:rPr>
      <w:i/>
      <w:iCs/>
      <w:color w:val="404040" w:themeColor="text1" w:themeTint="bf"/>
    </w:rPr>
  </w:style>
  <w:style w:type="character" w:styleId="IntenseEmphasis">
    <w:name w:val="Intense Emphasis"/>
    <w:basedOn w:val="DefaultParagraphFont"/>
    <w:uiPriority w:val="21"/>
    <w:qFormat/>
    <w:rsid w:val="00302d8e"/>
    <w:rPr>
      <w:i/>
      <w:iCs/>
      <w:color w:val="0F4761" w:themeColor="accent1" w:themeShade="bf"/>
    </w:rPr>
  </w:style>
  <w:style w:type="character" w:styleId="CitaoIntensaChar" w:customStyle="1">
    <w:name w:val="Citação Intensa Char"/>
    <w:basedOn w:val="DefaultParagraphFont"/>
    <w:link w:val="IntenseQuote"/>
    <w:uiPriority w:val="30"/>
    <w:qFormat/>
    <w:rsid w:val="00302d8e"/>
    <w:rPr>
      <w:i/>
      <w:iCs/>
      <w:color w:val="0F4761" w:themeColor="accent1" w:themeShade="bf"/>
    </w:rPr>
  </w:style>
  <w:style w:type="character" w:styleId="IntenseReference">
    <w:name w:val="Intense Reference"/>
    <w:basedOn w:val="DefaultParagraphFont"/>
    <w:uiPriority w:val="32"/>
    <w:qFormat/>
    <w:rsid w:val="00302d8e"/>
    <w:rPr>
      <w:b/>
      <w:bCs/>
      <w:smallCaps/>
      <w:color w:val="0F4761" w:themeColor="accent1" w:themeShade="bf"/>
      <w:spacing w:val="5"/>
    </w:rPr>
  </w:style>
  <w:style w:type="character" w:styleId="Nivel2Char" w:customStyle="1">
    <w:name w:val="Nivel 2 Char"/>
    <w:basedOn w:val="DefaultParagraphFont"/>
    <w:link w:val="Nivel2"/>
    <w:qFormat/>
    <w:locked/>
    <w:rsid w:val="00c609f8"/>
    <w:rPr>
      <w:rFonts w:ascii="Times New Roman" w:hAnsi="Times New Roman" w:eastAsia="Arial" w:cs="Times New Roman"/>
      <w:color w:val="000000"/>
      <w:lang w:eastAsia="pt-BR"/>
    </w:rPr>
  </w:style>
  <w:style w:type="character" w:styleId="Nivel01Char" w:customStyle="1">
    <w:name w:val="Nivel 01 Char"/>
    <w:basedOn w:val="TtuloChar"/>
    <w:link w:val="Nivel01"/>
    <w:qFormat/>
    <w:rsid w:val="00b47f78"/>
    <w:rPr>
      <w:rFonts w:ascii="Arial" w:hAnsi="Arial" w:eastAsia="" w:cs="Arial" w:eastAsiaTheme="majorEastAsia"/>
      <w:color w:val="0A1D30" w:themeColor="text2" w:themeShade="bf"/>
      <w:spacing w:val="5"/>
      <w:kern w:val="2"/>
      <w:sz w:val="52"/>
      <w:szCs w:val="52"/>
      <w:lang w:eastAsia="pt-BR"/>
    </w:rPr>
  </w:style>
  <w:style w:type="character" w:styleId="LinkdaInternet">
    <w:name w:val="Link da Internet"/>
    <w:unhideWhenUsed/>
    <w:rsid w:val="00a71a0a"/>
    <w:rPr>
      <w:color w:val="000080"/>
      <w:u w:val="single"/>
    </w:rPr>
  </w:style>
  <w:style w:type="character" w:styleId="PargrafodaListaChar" w:customStyle="1">
    <w:name w:val="Parágrafo da Lista Char"/>
    <w:basedOn w:val="DefaultParagraphFont"/>
    <w:link w:val="ListParagraph"/>
    <w:uiPriority w:val="34"/>
    <w:qFormat/>
    <w:rsid w:val="00990f47"/>
    <w:rPr>
      <w:rFonts w:ascii="Ecofont_Spranq_eco_Sans" w:hAnsi="Ecofont_Spranq_eco_Sans" w:eastAsia="" w:cs="Tahoma" w:eastAsiaTheme="minorEastAsia"/>
      <w:kern w:val="0"/>
      <w:lang w:eastAsia="pt-BR"/>
      <w14:ligatures w14:val="none"/>
    </w:rPr>
  </w:style>
  <w:style w:type="character" w:styleId="Normaltextrun" w:customStyle="1">
    <w:name w:val="normaltextrun"/>
    <w:basedOn w:val="DefaultParagraphFont"/>
    <w:qFormat/>
    <w:rsid w:val="008b1454"/>
    <w:rPr/>
  </w:style>
  <w:style w:type="character" w:styleId="Findhit" w:customStyle="1">
    <w:name w:val="findhit"/>
    <w:basedOn w:val="DefaultParagraphFont"/>
    <w:qFormat/>
    <w:rsid w:val="008b1454"/>
    <w:rPr/>
  </w:style>
  <w:style w:type="character" w:styleId="CabealhoChar" w:customStyle="1">
    <w:name w:val="Cabeçalho Char"/>
    <w:uiPriority w:val="99"/>
    <w:qFormat/>
    <w:rsid w:val="00653ed7"/>
    <w:rPr>
      <w:rFonts w:ascii="Ecofont_Spranq_eco_Sans" w:hAnsi="Ecofont_Spranq_eco_Sans" w:cs="Tahoma"/>
    </w:rPr>
  </w:style>
  <w:style w:type="character" w:styleId="RodapChar" w:customStyle="1">
    <w:name w:val="Rodapé Char"/>
    <w:uiPriority w:val="99"/>
    <w:qFormat/>
    <w:rsid w:val="00653ed7"/>
    <w:rPr>
      <w:rFonts w:ascii="Ecofont_Spranq_eco_Sans" w:hAnsi="Ecofont_Spranq_eco_Sans" w:cs="Tahoma"/>
    </w:rPr>
  </w:style>
  <w:style w:type="character" w:styleId="CorpodetextoChar" w:customStyle="1">
    <w:name w:val="Corpo de texto Char"/>
    <w:basedOn w:val="DefaultParagraphFont"/>
    <w:uiPriority w:val="99"/>
    <w:qFormat/>
    <w:rsid w:val="00653ed7"/>
    <w:rPr>
      <w:rFonts w:ascii="Times New Roman" w:hAnsi="Times New Roman" w:eastAsia="Times New Roman" w:cs="Times New Roman"/>
      <w:kern w:val="0"/>
      <w:lang w:eastAsia="pt-BR"/>
      <w14:ligatures w14:val="none"/>
    </w:rPr>
  </w:style>
  <w:style w:type="character" w:styleId="CabealhoChar1" w:customStyle="1">
    <w:name w:val="Cabeçalho Char1"/>
    <w:basedOn w:val="DefaultParagraphFont"/>
    <w:uiPriority w:val="99"/>
    <w:semiHidden/>
    <w:qFormat/>
    <w:rsid w:val="00653ed7"/>
    <w:rPr>
      <w:rFonts w:ascii="Ecofont_Spranq_eco_Sans" w:hAnsi="Ecofont_Spranq_eco_Sans" w:eastAsia="" w:cs="Tahoma" w:eastAsiaTheme="minorEastAsia"/>
      <w:kern w:val="0"/>
      <w:lang w:eastAsia="pt-BR"/>
      <w14:ligatures w14:val="none"/>
    </w:rPr>
  </w:style>
  <w:style w:type="character" w:styleId="RodapChar1" w:customStyle="1">
    <w:name w:val="Rodapé Char1"/>
    <w:basedOn w:val="DefaultParagraphFont"/>
    <w:uiPriority w:val="99"/>
    <w:semiHidden/>
    <w:qFormat/>
    <w:rsid w:val="00653ed7"/>
    <w:rPr>
      <w:rFonts w:ascii="Ecofont_Spranq_eco_Sans" w:hAnsi="Ecofont_Spranq_eco_Sans" w:eastAsia="" w:cs="Tahoma" w:eastAsiaTheme="minorEastAsia"/>
      <w:kern w:val="0"/>
      <w:lang w:eastAsia="pt-BR"/>
      <w14:ligatures w14:val="none"/>
    </w:rPr>
  </w:style>
  <w:style w:type="character" w:styleId="Paginarotulo" w:customStyle="1">
    <w:name w:val="paginarotulo"/>
    <w:basedOn w:val="DefaultParagraphFont"/>
    <w:qFormat/>
    <w:rsid w:val="004e2b97"/>
    <w:rPr/>
  </w:style>
  <w:style w:type="character" w:styleId="Nivel3Char" w:customStyle="1">
    <w:name w:val="Nivel 3 Char"/>
    <w:basedOn w:val="DefaultParagraphFont"/>
    <w:link w:val="Nivel3"/>
    <w:qFormat/>
    <w:rsid w:val="00682580"/>
    <w:rPr>
      <w:rFonts w:ascii="Times New Roman" w:hAnsi="Times New Roman" w:eastAsia="" w:cs="Times New Roman" w:eastAsiaTheme="minorEastAsia"/>
      <w:color w:val="000000"/>
      <w:kern w:val="0"/>
      <w:lang w:eastAsia="pt-BR"/>
      <w14:ligatures w14:val="none"/>
    </w:rPr>
  </w:style>
  <w:style w:type="character" w:styleId="Nvel1SemNumeraoChar" w:customStyle="1">
    <w:name w:val="Nível 1-Sem Numeração Char"/>
    <w:basedOn w:val="DefaultParagraphFont"/>
    <w:link w:val="Nvel1SemNumerao"/>
    <w:qFormat/>
    <w:locked/>
    <w:rsid w:val="00a71a0a"/>
    <w:rPr>
      <w:rFonts w:ascii="Arial" w:hAnsi="Arial" w:eastAsia="" w:cs="Arial" w:eastAsiaTheme="majorEastAsia"/>
      <w:b/>
      <w:bCs/>
      <w:sz w:val="20"/>
      <w:szCs w:val="20"/>
      <w:lang w:eastAsia="pt-BR"/>
    </w:rPr>
  </w:style>
  <w:style w:type="character" w:styleId="Nivel4Char" w:customStyle="1">
    <w:name w:val="Nivel 4 Char"/>
    <w:basedOn w:val="DefaultParagraphFont"/>
    <w:link w:val="Nivel4"/>
    <w:qFormat/>
    <w:rsid w:val="00e31cf5"/>
    <w:rPr>
      <w:rFonts w:ascii="Times New Roman" w:hAnsi="Times New Roman" w:eastAsia="" w:cs="Times New Roman" w:eastAsiaTheme="minorEastAsia"/>
      <w:kern w:val="0"/>
      <w:lang w:eastAsia="pt-BR"/>
      <w14:ligatures w14:val="non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unhideWhenUsed/>
    <w:rsid w:val="00653ed7"/>
    <w:pPr>
      <w:spacing w:beforeAutospacing="1" w:afterAutospacing="1"/>
    </w:pPr>
    <w:rPr>
      <w:rFonts w:ascii="Times New Roman" w:hAnsi="Times New Roman" w:eastAsia="Times New Roman" w:cs="Times New Roman"/>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link w:val="TtuloChar"/>
    <w:uiPriority w:val="10"/>
    <w:qFormat/>
    <w:rsid w:val="00302d8e"/>
    <w:pPr>
      <w:spacing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Caption">
    <w:name w:val="caption"/>
    <w:basedOn w:val="Normal"/>
    <w:qFormat/>
    <w:pPr>
      <w:suppressLineNumbers/>
      <w:spacing w:before="120" w:after="120"/>
    </w:pPr>
    <w:rPr>
      <w:rFonts w:cs="Arial"/>
      <w:i/>
      <w:iCs/>
    </w:rPr>
  </w:style>
  <w:style w:type="paragraph" w:styleId="Subttulo">
    <w:name w:val="Subtitle"/>
    <w:basedOn w:val="Normal"/>
    <w:next w:val="Normal"/>
    <w:link w:val="SubttuloChar"/>
    <w:uiPriority w:val="11"/>
    <w:qFormat/>
    <w:rsid w:val="00302d8e"/>
    <w:pPr/>
    <w:rPr>
      <w:rFonts w:eastAsia="" w:cs="" w:cstheme="majorBidi" w:eastAsiaTheme="majorEastAsia"/>
      <w:color w:val="595959" w:themeColor="text1" w:themeTint="a6"/>
      <w:spacing w:val="15"/>
      <w:sz w:val="28"/>
      <w:szCs w:val="28"/>
    </w:rPr>
  </w:style>
  <w:style w:type="paragraph" w:styleId="Quote">
    <w:name w:val="Quote"/>
    <w:basedOn w:val="Normal"/>
    <w:next w:val="Normal"/>
    <w:link w:val="CitaoChar"/>
    <w:uiPriority w:val="29"/>
    <w:qFormat/>
    <w:rsid w:val="00302d8e"/>
    <w:pPr>
      <w:spacing w:before="160" w:after="0"/>
      <w:jc w:val="center"/>
    </w:pPr>
    <w:rPr>
      <w:i/>
      <w:iCs/>
      <w:color w:val="404040" w:themeColor="text1" w:themeTint="bf"/>
    </w:rPr>
  </w:style>
  <w:style w:type="paragraph" w:styleId="ListParagraph">
    <w:name w:val="List Paragraph"/>
    <w:basedOn w:val="Normal"/>
    <w:link w:val="PargrafodaListaChar"/>
    <w:uiPriority w:val="34"/>
    <w:qFormat/>
    <w:rsid w:val="00302d8e"/>
    <w:pPr>
      <w:spacing w:before="0" w:after="0"/>
      <w:ind w:left="720" w:hanging="0"/>
      <w:contextualSpacing/>
    </w:pPr>
    <w:rPr/>
  </w:style>
  <w:style w:type="paragraph" w:styleId="IntenseQuote">
    <w:name w:val="Intense Quote"/>
    <w:basedOn w:val="Normal"/>
    <w:next w:val="Normal"/>
    <w:link w:val="CitaoIntensaChar"/>
    <w:uiPriority w:val="30"/>
    <w:qFormat/>
    <w:rsid w:val="00302d8e"/>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TableParagraph" w:customStyle="1">
    <w:name w:val="Table Paragraph"/>
    <w:basedOn w:val="Normal"/>
    <w:qFormat/>
    <w:rsid w:val="00302d8e"/>
    <w:pPr/>
    <w:rPr>
      <w:rFonts w:ascii="Arial MT" w:hAnsi="Arial MT" w:eastAsia="Arial MT" w:cs="Arial MT"/>
      <w:lang w:val="pt-PT" w:eastAsia="en-US"/>
    </w:rPr>
  </w:style>
  <w:style w:type="paragraph" w:styleId="Nivel2" w:customStyle="1">
    <w:name w:val="Nivel 2"/>
    <w:basedOn w:val="Normal"/>
    <w:link w:val="Nivel2Char"/>
    <w:autoRedefine/>
    <w:qFormat/>
    <w:rsid w:val="00c609f8"/>
    <w:pPr>
      <w:widowControl/>
      <w:numPr>
        <w:ilvl w:val="0"/>
        <w:numId w:val="0"/>
      </w:numPr>
      <w:suppressAutoHyphens w:val="true"/>
      <w:bidi w:val="0"/>
      <w:spacing w:lineRule="auto" w:line="360" w:before="0" w:after="0"/>
      <w:ind w:left="0" w:right="0" w:firstLine="850"/>
      <w:jc w:val="both"/>
    </w:pPr>
    <w:rPr>
      <w:rFonts w:ascii="Times New Roman" w:hAnsi="Times New Roman" w:eastAsia="Arial" w:cs="Times New Roman"/>
      <w:b w:val="false"/>
      <w:bCs w:val="false"/>
      <w:color w:val="000000"/>
      <w:kern w:val="2"/>
      <w:u w:val="none"/>
      <w14:ligatures w14:val="standardContextual"/>
    </w:rPr>
  </w:style>
  <w:style w:type="paragraph" w:styleId="Nivel01" w:customStyle="1">
    <w:name w:val="Nivel 01"/>
    <w:basedOn w:val="Ttulo1"/>
    <w:next w:val="Normal"/>
    <w:link w:val="Nivel01Char"/>
    <w:autoRedefine/>
    <w:qFormat/>
    <w:rsid w:val="00b47f78"/>
    <w:pPr>
      <w:numPr>
        <w:ilvl w:val="1"/>
        <w:numId w:val="2"/>
      </w:numPr>
      <w:tabs>
        <w:tab w:val="clear" w:pos="708"/>
        <w:tab w:val="left" w:pos="567" w:leader="none"/>
      </w:tabs>
      <w:spacing w:lineRule="auto" w:line="276" w:before="240" w:after="120"/>
      <w:ind w:left="851" w:hanging="425"/>
      <w:jc w:val="both"/>
    </w:pPr>
    <w:rPr>
      <w:rFonts w:ascii="Arial" w:hAnsi="Arial" w:cs="Arial"/>
      <w:color w:val="0A1D30" w:themeColor="text2" w:themeShade="bf"/>
      <w:spacing w:val="5"/>
      <w:kern w:val="2"/>
      <w:sz w:val="52"/>
      <w:szCs w:val="52"/>
      <w14:ligatures w14:val="standardContextual"/>
    </w:rPr>
  </w:style>
  <w:style w:type="paragraph" w:styleId="Nvel1SemNumPreto" w:customStyle="1">
    <w:name w:val="Nível 1-Sem Num Preto"/>
    <w:basedOn w:val="Normal"/>
    <w:qFormat/>
    <w:rsid w:val="008b1454"/>
    <w:pPr>
      <w:keepNext w:val="true"/>
      <w:keepLines/>
      <w:numPr>
        <w:ilvl w:val="1"/>
        <w:numId w:val="3"/>
      </w:numPr>
      <w:tabs>
        <w:tab w:val="clear" w:pos="708"/>
        <w:tab w:val="left" w:pos="567" w:leader="none"/>
      </w:tabs>
      <w:spacing w:lineRule="auto" w:line="276" w:before="240" w:after="120"/>
      <w:ind w:left="851" w:hanging="425"/>
      <w:jc w:val="both"/>
      <w:outlineLvl w:val="1"/>
    </w:pPr>
    <w:rPr>
      <w:rFonts w:ascii="Arial" w:hAnsi="Arial" w:eastAsia="" w:cs="Arial" w:eastAsiaTheme="majorEastAsia"/>
      <w:sz w:val="20"/>
      <w:szCs w:val="20"/>
      <w:lang w:eastAsia="zh-CN" w:bidi="hi-IN"/>
    </w:rPr>
  </w:style>
  <w:style w:type="paragraph" w:styleId="CabealhoeRodap" w:customStyle="1">
    <w:name w:val="Cabeçalho e Rodapé"/>
    <w:basedOn w:val="Normal"/>
    <w:qFormat/>
    <w:pPr/>
    <w:rPr/>
  </w:style>
  <w:style w:type="paragraph" w:styleId="Cabealho">
    <w:name w:val="Header"/>
    <w:basedOn w:val="Normal"/>
    <w:link w:val="CabealhoChar"/>
    <w:uiPriority w:val="99"/>
    <w:rsid w:val="00653ed7"/>
    <w:pPr>
      <w:tabs>
        <w:tab w:val="clear" w:pos="708"/>
        <w:tab w:val="center" w:pos="4252" w:leader="none"/>
        <w:tab w:val="right" w:pos="8504" w:leader="none"/>
      </w:tabs>
    </w:pPr>
    <w:rPr>
      <w:rFonts w:eastAsia="Aptos" w:eastAsiaTheme="minorHAnsi"/>
      <w:kern w:val="2"/>
      <w:lang w:eastAsia="en-US"/>
      <w14:ligatures w14:val="standardContextual"/>
    </w:rPr>
  </w:style>
  <w:style w:type="paragraph" w:styleId="Rodap">
    <w:name w:val="Footer"/>
    <w:basedOn w:val="Normal"/>
    <w:link w:val="RodapChar"/>
    <w:uiPriority w:val="99"/>
    <w:rsid w:val="00653ed7"/>
    <w:pPr>
      <w:tabs>
        <w:tab w:val="clear" w:pos="708"/>
        <w:tab w:val="center" w:pos="4252" w:leader="none"/>
        <w:tab w:val="right" w:pos="8504" w:leader="none"/>
      </w:tabs>
    </w:pPr>
    <w:rPr>
      <w:rFonts w:eastAsia="Aptos" w:eastAsiaTheme="minorHAnsi"/>
      <w:kern w:val="2"/>
      <w:lang w:eastAsia="en-US"/>
      <w14:ligatures w14:val="standardContextual"/>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Nivel3" w:customStyle="1">
    <w:name w:val="Nivel 3"/>
    <w:basedOn w:val="Normal"/>
    <w:link w:val="Nivel3Char"/>
    <w:autoRedefine/>
    <w:qFormat/>
    <w:rsid w:val="00682580"/>
    <w:pPr>
      <w:numPr>
        <w:ilvl w:val="2"/>
        <w:numId w:val="1"/>
      </w:numPr>
      <w:suppressAutoHyphens w:val="false"/>
      <w:spacing w:lineRule="auto" w:line="276" w:before="120" w:after="120"/>
      <w:jc w:val="both"/>
    </w:pPr>
    <w:rPr>
      <w:rFonts w:ascii="Times New Roman" w:hAnsi="Times New Roman" w:cs="Times New Roman"/>
      <w:color w:val="000000"/>
    </w:rPr>
  </w:style>
  <w:style w:type="paragraph" w:styleId="Nivel4" w:customStyle="1">
    <w:name w:val="Nivel 4"/>
    <w:basedOn w:val="Nivel3"/>
    <w:link w:val="Nivel4Char"/>
    <w:autoRedefine/>
    <w:qFormat/>
    <w:rsid w:val="00e31cf5"/>
    <w:pPr>
      <w:tabs>
        <w:tab w:val="clear" w:pos="708"/>
      </w:tabs>
      <w:ind w:left="1560" w:hanging="0"/>
    </w:pPr>
    <w:rPr>
      <w:color w:val="auto"/>
    </w:rPr>
  </w:style>
  <w:style w:type="paragraph" w:styleId="Nvel1SemNumerao" w:customStyle="1">
    <w:name w:val="Nível 1-Sem Numeração"/>
    <w:basedOn w:val="Normal"/>
    <w:link w:val="Nvel1SemNumeraoChar"/>
    <w:autoRedefine/>
    <w:qFormat/>
    <w:rsid w:val="00a71a0a"/>
    <w:pPr>
      <w:keepNext w:val="true"/>
      <w:keepLines/>
      <w:tabs>
        <w:tab w:val="clear" w:pos="708"/>
        <w:tab w:val="left" w:pos="0" w:leader="none"/>
      </w:tabs>
      <w:suppressAutoHyphens w:val="false"/>
      <w:spacing w:lineRule="auto" w:line="276" w:before="240" w:after="120"/>
      <w:jc w:val="both"/>
      <w:outlineLvl w:val="1"/>
    </w:pPr>
    <w:rPr>
      <w:rFonts w:ascii="Arial" w:hAnsi="Arial" w:eastAsia="" w:cs="Arial" w:eastAsiaTheme="majorEastAsia"/>
      <w:b/>
      <w:bCs/>
      <w:kern w:val="2"/>
      <w:sz w:val="20"/>
      <w:szCs w:val="20"/>
      <w14:ligatures w14:val="standardContextual"/>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hyperlink" Target="https://in.gov.br/en/web/dou/-/instrucao-normativa-seges/me-n-77-de-4-de-novembro-de-2022-441681061" TargetMode="External"/><Relationship Id="rId6" Type="http://schemas.openxmlformats.org/officeDocument/2006/relationships/hyperlink" Target="https://www.planalto.gov.br/ccivil_03/leis/lcp/lcp123.htm" TargetMode="External"/><Relationship Id="rId7" Type="http://schemas.openxmlformats.org/officeDocument/2006/relationships/hyperlink" Target="https://www.gov.br/empresas-e-negocios/pt-br/empreendedor" TargetMode="External"/><Relationship Id="rId8" Type="http://schemas.openxmlformats.org/officeDocument/2006/relationships/hyperlink" Target="https://www.gov.br/economia/pt-br/assuntos/drei/legislacao/arquivos/legislacoes-federais/indrei772020.pdf"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Application>LibreOffice/7.3.4.2$Windows_X86_64 LibreOffice_project/728fec16bd5f605073805c3c9e7c4212a0120dc5</Application>
  <AppVersion>15.0000</AppVersion>
  <Pages>29</Pages>
  <Words>8934</Words>
  <Characters>50354</Characters>
  <CharactersWithSpaces>58817</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2024-04-01T13:37:00Z</dcterms:created>
  <dc:creator>PAULO RAMOS</dc:creator>
  <dc:description/>
  <dc:language>pt-BR</dc:language>
  <cp:lastModifiedBy/>
  <cp:lastPrinted>2024-04-02T14:07:00Z</cp:lastPrinted>
  <dcterms:modified xsi:type="dcterms:W3CDTF">2024-05-13T11:30:25Z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file>