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89C698">
      <w:pPr>
        <w:pStyle w:val="13"/>
        <w:rPr>
          <w:rFonts w:hint="default" w:ascii="Times New Roman" w:hAnsi="Times New Roman" w:cs="Times New Roman"/>
          <w:i/>
          <w:sz w:val="28"/>
          <w:szCs w:val="28"/>
        </w:rPr>
      </w:pPr>
    </w:p>
    <w:p w14:paraId="0B9484F3">
      <w:pPr>
        <w:pStyle w:val="2"/>
        <w:spacing w:before="41" w:line="276" w:lineRule="auto"/>
        <w:ind w:left="1093" w:right="1099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pt-BR"/>
        </w:rPr>
        <w:t xml:space="preserve"> RETIFICAÇÃO I </w:t>
      </w:r>
      <w:bookmarkStart w:id="5" w:name="_GoBack"/>
      <w:bookmarkEnd w:id="5"/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TERMO</w:t>
      </w:r>
      <w:r>
        <w:rPr>
          <w:rFonts w:hint="default" w:ascii="Times New Roman" w:hAnsi="Times New Roman" w:cs="Times New Roman"/>
          <w:b/>
          <w:color w:val="auto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DE</w:t>
      </w:r>
      <w:r>
        <w:rPr>
          <w:rFonts w:hint="default" w:ascii="Times New Roman" w:hAnsi="Times New Roman" w:cs="Times New Roman"/>
          <w:b/>
          <w:color w:val="auto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REFERÊNCIA</w:t>
      </w:r>
      <w:r>
        <w:rPr>
          <w:rFonts w:hint="default" w:ascii="Times New Roman" w:hAnsi="Times New Roman" w:cs="Times New Roman"/>
          <w:b/>
          <w:color w:val="auto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–</w:t>
      </w:r>
      <w:r>
        <w:rPr>
          <w:rFonts w:hint="default" w:ascii="Times New Roman" w:hAnsi="Times New Roman" w:cs="Times New Roman"/>
          <w:b/>
          <w:color w:val="auto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LEI</w:t>
      </w:r>
      <w:r>
        <w:rPr>
          <w:rFonts w:hint="default" w:ascii="Times New Roman" w:hAnsi="Times New Roman" w:cs="Times New Roman"/>
          <w:b/>
          <w:color w:val="auto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14.133/21 COMPRAS – CONTRATAÇÃO DIRETA</w:t>
      </w:r>
    </w:p>
    <w:p w14:paraId="6B22331A">
      <w:pPr>
        <w:spacing w:line="275" w:lineRule="exact"/>
        <w:ind w:left="1093" w:right="1099"/>
        <w:jc w:val="center"/>
        <w:rPr>
          <w:rFonts w:hint="default" w:ascii="Times New Roman" w:hAnsi="Times New Roman" w:cs="Times New Roman"/>
          <w:b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Processo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Administrativo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N° 700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  <w:lang w:val="pt-BR"/>
        </w:rPr>
        <w:t>016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>/202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  <w:lang w:val="pt-BR"/>
        </w:rPr>
        <w:t>6</w:t>
      </w:r>
    </w:p>
    <w:p w14:paraId="3E676FF4">
      <w:pPr>
        <w:pStyle w:val="13"/>
        <w:spacing w:before="94"/>
        <w:rPr>
          <w:rFonts w:hint="default" w:ascii="Times New Roman" w:hAnsi="Times New Roman" w:cs="Times New Roman"/>
          <w:b/>
          <w:sz w:val="28"/>
          <w:szCs w:val="28"/>
        </w:rPr>
      </w:pPr>
    </w:p>
    <w:p w14:paraId="213EBE62">
      <w:pPr>
        <w:pStyle w:val="32"/>
        <w:widowControl w:val="0"/>
        <w:numPr>
          <w:ilvl w:val="0"/>
          <w:numId w:val="1"/>
        </w:numPr>
        <w:tabs>
          <w:tab w:val="left" w:pos="579"/>
          <w:tab w:val="left" w:pos="581"/>
          <w:tab w:val="left" w:pos="8080"/>
          <w:tab w:val="left" w:pos="8789"/>
        </w:tabs>
        <w:suppressAutoHyphens w:val="0"/>
        <w:autoSpaceDE w:val="0"/>
        <w:autoSpaceDN w:val="0"/>
        <w:spacing w:before="81" w:line="360" w:lineRule="auto"/>
        <w:ind w:left="0" w:right="-2" w:hanging="1"/>
        <w:contextualSpacing w:val="0"/>
        <w:jc w:val="both"/>
        <w:rPr>
          <w:rFonts w:hint="default" w:ascii="Times New Roman" w:hAnsi="Times New Roman" w:cs="Times New Roman"/>
          <w:b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DAS CONDIÇÕES GERAIS DA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CONTRATAÇÃO (art.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6º, XXIII, “a”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e “i” da Lei Nº 14.133/2021).</w:t>
      </w:r>
    </w:p>
    <w:p w14:paraId="20F8FE71">
      <w:pPr>
        <w:keepNext w:val="0"/>
        <w:keepLines w:val="0"/>
        <w:widowControl/>
        <w:suppressLineNumbers w:val="0"/>
        <w:suppressAutoHyphens/>
        <w:spacing w:before="0" w:beforeAutospacing="0" w:after="0" w:afterAutospacing="0"/>
        <w:ind w:left="0" w:right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Contratação de agência para aquisição de um pacote de viagem incluindo transporte terrestre 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, aéreo </w:t>
      </w:r>
      <w:r>
        <w:rPr>
          <w:rFonts w:hint="default" w:ascii="Times New Roman" w:hAnsi="Times New Roman" w:cs="Times New Roman"/>
          <w:sz w:val="28"/>
          <w:szCs w:val="28"/>
        </w:rPr>
        <w:t xml:space="preserve">e hospedagem para participação de representantes do Instituto Previdenciário de Mogi das Cruzes/SP-IPREM MC no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"https://eventos.inf.br/abipem/2026/8cbi/" \t "https://www.abipem.org.br/eventos/_blank"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8º Congresso Brasileiro de Investimentos RPPS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, a ser realizado n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o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CentroSul - Centro de Convenções de Florianópolis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pt-BR" w:eastAsia="zh-CN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instrText xml:space="preserve"> HYPERLINK "https://www.bing.com/ck/a?!&amp;&amp;p=209fc277adbb6cae1ed20426b9585b4f78f019ad15ae3c7b03f5734f3f00c6fdJmltdHM9MTc2ODM0ODgwMA&amp;ptn=3&amp;ver=2&amp;hsh=4&amp;fclid=1c6ecf8d-5b9c-6697-11a5-da4e5a2d67aa&amp;u=a1L21hcHM_Jm1lcGk9MH5-RW1iZWRkZWR-QWRkcmVzc19MaW5rJnR5PTE4JnE9Q2VudHJvc3VsJnNzPXlwaWQuWU43OTkzeDIyNDU0NTA2NDcxMDEwNjQ1NDUmcHBvaXM9LTI3LjYwMTk5OTI4MjgzNjkxNF8tNDguNTUyMTAxMTM1MjUzOTA2X0NlbnRyb3N1bF9ZTjc5OTN4MjI0NTQ1MDY0NzEwMTA2NDU0NX4mY3A9LTI3LjYwMTk5OX4tNDguNTUyMTAxJnY9MiZzVj0xJkZPUk09TVBTUlBM&amp;ntb=1" \t "https://www.bing.com/_blank" </w:instrTex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Av. Gov. Gustavo Richard 850, Florianópolis, SC, 88045-505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fldChar w:fldCharType="end"/>
      </w:r>
    </w:p>
    <w:p w14:paraId="3611B86D">
      <w:pPr>
        <w:pStyle w:val="32"/>
        <w:widowControl w:val="0"/>
        <w:tabs>
          <w:tab w:val="left" w:pos="653"/>
        </w:tabs>
        <w:suppressAutoHyphens w:val="0"/>
        <w:autoSpaceDE w:val="0"/>
        <w:autoSpaceDN w:val="0"/>
        <w:spacing w:before="41" w:line="360" w:lineRule="auto"/>
        <w:ind w:left="0"/>
        <w:contextualSpacing w:val="0"/>
        <w:jc w:val="both"/>
        <w:rPr>
          <w:rFonts w:hint="default" w:ascii="Times New Roman" w:hAnsi="Times New Roman" w:eastAsia="SimSun" w:cs="Times New Roman"/>
          <w:color w:val="000000"/>
          <w:sz w:val="28"/>
          <w:szCs w:val="28"/>
        </w:rPr>
      </w:pPr>
    </w:p>
    <w:p w14:paraId="50649611">
      <w:pPr>
        <w:spacing w:line="360" w:lineRule="auto"/>
        <w:ind w:right="-2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30D1823">
      <w:pPr>
        <w:pStyle w:val="32"/>
        <w:widowControl w:val="0"/>
        <w:numPr>
          <w:ilvl w:val="1"/>
          <w:numId w:val="1"/>
        </w:numPr>
        <w:tabs>
          <w:tab w:val="left" w:pos="654"/>
        </w:tabs>
        <w:suppressAutoHyphens w:val="0"/>
        <w:autoSpaceDE w:val="0"/>
        <w:autoSpaceDN w:val="0"/>
        <w:spacing w:after="19" w:line="360" w:lineRule="auto"/>
        <w:ind w:left="432" w:leftChars="0" w:right="228" w:firstLineChars="0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33"/>
        <w:tblW w:w="9826" w:type="dxa"/>
        <w:tblInd w:w="-57" w:type="dxa"/>
        <w:tblBorders>
          <w:top w:val="double" w:color="9F9F9F" w:sz="6" w:space="0"/>
          <w:left w:val="double" w:color="9F9F9F" w:sz="6" w:space="0"/>
          <w:bottom w:val="double" w:color="9F9F9F" w:sz="6" w:space="0"/>
          <w:right w:val="double" w:color="9F9F9F" w:sz="6" w:space="0"/>
          <w:insideH w:val="double" w:color="9F9F9F" w:sz="6" w:space="0"/>
          <w:insideV w:val="double" w:color="9F9F9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8"/>
        <w:gridCol w:w="3027"/>
        <w:gridCol w:w="1391"/>
        <w:gridCol w:w="1282"/>
        <w:gridCol w:w="2318"/>
      </w:tblGrid>
      <w:tr w14:paraId="772D3797">
        <w:tblPrEx>
          <w:tblBorders>
            <w:top w:val="double" w:color="9F9F9F" w:sz="6" w:space="0"/>
            <w:left w:val="double" w:color="9F9F9F" w:sz="6" w:space="0"/>
            <w:bottom w:val="double" w:color="9F9F9F" w:sz="6" w:space="0"/>
            <w:right w:val="double" w:color="9F9F9F" w:sz="6" w:space="0"/>
            <w:insideH w:val="double" w:color="9F9F9F" w:sz="6" w:space="0"/>
            <w:insideV w:val="double" w:color="9F9F9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808" w:type="dxa"/>
            <w:tcBorders>
              <w:left w:val="double" w:color="EFEFEF" w:sz="6" w:space="0"/>
            </w:tcBorders>
          </w:tcPr>
          <w:p w14:paraId="1863C983">
            <w:pPr>
              <w:pStyle w:val="34"/>
              <w:tabs>
                <w:tab w:val="left" w:pos="720"/>
              </w:tabs>
              <w:spacing w:before="147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28"/>
                <w:szCs w:val="28"/>
                <w:lang w:val="pt-BR"/>
              </w:rPr>
              <w:t>Código  material</w:t>
            </w:r>
          </w:p>
        </w:tc>
        <w:tc>
          <w:tcPr>
            <w:tcW w:w="3027" w:type="dxa"/>
          </w:tcPr>
          <w:p w14:paraId="4736756A">
            <w:pPr>
              <w:pStyle w:val="34"/>
              <w:spacing w:before="147"/>
              <w:ind w:left="601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28"/>
                <w:szCs w:val="28"/>
              </w:rPr>
              <w:t>OBJETO</w:t>
            </w:r>
          </w:p>
        </w:tc>
        <w:tc>
          <w:tcPr>
            <w:tcW w:w="1391" w:type="dxa"/>
          </w:tcPr>
          <w:p w14:paraId="2213CB51">
            <w:pPr>
              <w:pStyle w:val="34"/>
              <w:spacing w:before="147"/>
              <w:ind w:left="183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28"/>
                <w:szCs w:val="28"/>
              </w:rPr>
              <w:t>QUANTIDADE</w:t>
            </w:r>
          </w:p>
        </w:tc>
        <w:tc>
          <w:tcPr>
            <w:tcW w:w="1282" w:type="dxa"/>
          </w:tcPr>
          <w:p w14:paraId="6C6B9FF1">
            <w:pPr>
              <w:pStyle w:val="34"/>
              <w:spacing w:before="8" w:line="270" w:lineRule="atLeast"/>
              <w:ind w:left="274" w:leftChars="105" w:hanging="22" w:hangingChars="8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28"/>
                <w:szCs w:val="28"/>
              </w:rPr>
              <w:t xml:space="preserve">VALOR </w:t>
            </w:r>
            <w:r>
              <w:rPr>
                <w:rFonts w:hint="default" w:ascii="Times New Roman" w:hAnsi="Times New Roman" w:cs="Times New Roman"/>
                <w:b/>
                <w:spacing w:val="-4"/>
                <w:sz w:val="28"/>
                <w:szCs w:val="28"/>
              </w:rPr>
              <w:t>UNIT</w:t>
            </w:r>
          </w:p>
        </w:tc>
        <w:tc>
          <w:tcPr>
            <w:tcW w:w="2318" w:type="dxa"/>
          </w:tcPr>
          <w:p w14:paraId="77E3BF42">
            <w:pPr>
              <w:pStyle w:val="34"/>
              <w:spacing w:before="8" w:line="270" w:lineRule="atLeast"/>
              <w:ind w:left="155" w:right="108" w:hanging="20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28"/>
                <w:szCs w:val="28"/>
              </w:rPr>
              <w:t>VALOR TOTAL</w:t>
            </w:r>
          </w:p>
        </w:tc>
      </w:tr>
      <w:tr w14:paraId="409687B3">
        <w:tblPrEx>
          <w:tblBorders>
            <w:top w:val="double" w:color="9F9F9F" w:sz="6" w:space="0"/>
            <w:left w:val="double" w:color="9F9F9F" w:sz="6" w:space="0"/>
            <w:bottom w:val="double" w:color="9F9F9F" w:sz="6" w:space="0"/>
            <w:right w:val="double" w:color="9F9F9F" w:sz="6" w:space="0"/>
            <w:insideH w:val="double" w:color="9F9F9F" w:sz="6" w:space="0"/>
            <w:insideV w:val="double" w:color="9F9F9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808" w:type="dxa"/>
            <w:tcBorders>
              <w:left w:val="double" w:color="EFEFEF" w:sz="6" w:space="0"/>
            </w:tcBorders>
          </w:tcPr>
          <w:p w14:paraId="1CBA9C5C">
            <w:pPr>
              <w:pStyle w:val="34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E0D3CAE">
            <w:pPr>
              <w:pStyle w:val="34"/>
              <w:spacing w:before="12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DDAF16">
            <w:pPr>
              <w:pStyle w:val="34"/>
              <w:ind w:left="17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2.04.73.0003.1</w:t>
            </w:r>
          </w:p>
        </w:tc>
        <w:tc>
          <w:tcPr>
            <w:tcW w:w="3027" w:type="dxa"/>
            <w:vAlign w:val="center"/>
          </w:tcPr>
          <w:p w14:paraId="7F92AA97">
            <w:pPr>
              <w:pStyle w:val="34"/>
              <w:spacing w:before="1" w:line="273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Transporte terrestre (van)</w:t>
            </w:r>
          </w:p>
          <w:p w14:paraId="562878BF">
            <w:pPr>
              <w:pStyle w:val="34"/>
              <w:spacing w:before="1" w:line="273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(contemplar valor ida-volta tanto de Florianopolis quanto</w:t>
            </w:r>
          </w:p>
          <w:p w14:paraId="38A76DA0">
            <w:pPr>
              <w:pStyle w:val="34"/>
              <w:spacing w:before="1" w:line="273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Mogi das Cruzes)</w:t>
            </w:r>
          </w:p>
        </w:tc>
        <w:tc>
          <w:tcPr>
            <w:tcW w:w="1391" w:type="dxa"/>
            <w:vAlign w:val="center"/>
          </w:tcPr>
          <w:p w14:paraId="555CB93C">
            <w:pPr>
              <w:pStyle w:val="34"/>
              <w:ind w:left="2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01</w:t>
            </w:r>
          </w:p>
        </w:tc>
        <w:tc>
          <w:tcPr>
            <w:tcW w:w="1282" w:type="dxa"/>
            <w:vAlign w:val="center"/>
          </w:tcPr>
          <w:p w14:paraId="613B0F7B">
            <w:pPr>
              <w:pStyle w:val="34"/>
              <w:ind w:left="19" w:right="106" w:firstLine="420" w:firstLineChars="15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  <w:tc>
          <w:tcPr>
            <w:tcW w:w="2318" w:type="dxa"/>
            <w:vAlign w:val="center"/>
          </w:tcPr>
          <w:p w14:paraId="31CDD5F9">
            <w:pPr>
              <w:pStyle w:val="34"/>
              <w:ind w:left="2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  <w:tr w14:paraId="258DB921">
        <w:tblPrEx>
          <w:tblBorders>
            <w:top w:val="double" w:color="9F9F9F" w:sz="6" w:space="0"/>
            <w:left w:val="double" w:color="9F9F9F" w:sz="6" w:space="0"/>
            <w:bottom w:val="double" w:color="9F9F9F" w:sz="6" w:space="0"/>
            <w:right w:val="double" w:color="9F9F9F" w:sz="6" w:space="0"/>
            <w:insideH w:val="double" w:color="9F9F9F" w:sz="6" w:space="0"/>
            <w:insideV w:val="double" w:color="9F9F9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808" w:type="dxa"/>
            <w:tcBorders>
              <w:left w:val="double" w:color="EFEFEF" w:sz="6" w:space="0"/>
            </w:tcBorders>
          </w:tcPr>
          <w:p w14:paraId="6EEC01F4">
            <w:pPr>
              <w:pStyle w:val="34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  <w:p w14:paraId="4E57692E">
            <w:pPr>
              <w:pStyle w:val="34"/>
              <w:ind w:left="17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  <w:p w14:paraId="69E0BA7D">
            <w:pPr>
              <w:pStyle w:val="34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2.04.80.0002.3</w:t>
            </w:r>
          </w:p>
        </w:tc>
        <w:tc>
          <w:tcPr>
            <w:tcW w:w="3027" w:type="dxa"/>
            <w:vAlign w:val="center"/>
          </w:tcPr>
          <w:p w14:paraId="6D5F2CCB">
            <w:pPr>
              <w:pStyle w:val="34"/>
              <w:spacing w:before="1" w:line="273" w:lineRule="exact"/>
              <w:ind w:left="20" w:firstLine="140" w:firstLineChars="5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Hospedagem</w:t>
            </w:r>
          </w:p>
          <w:p w14:paraId="77464A59">
            <w:pPr>
              <w:pStyle w:val="34"/>
              <w:spacing w:before="1" w:line="273" w:lineRule="exact"/>
              <w:ind w:left="20" w:firstLine="140" w:firstLineChars="5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(Quartos duplos)</w:t>
            </w:r>
          </w:p>
        </w:tc>
        <w:tc>
          <w:tcPr>
            <w:tcW w:w="1391" w:type="dxa"/>
            <w:vAlign w:val="center"/>
          </w:tcPr>
          <w:p w14:paraId="1D822EEF">
            <w:pPr>
              <w:pStyle w:val="34"/>
              <w:ind w:left="2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 xml:space="preserve">04  </w:t>
            </w:r>
          </w:p>
        </w:tc>
        <w:tc>
          <w:tcPr>
            <w:tcW w:w="1282" w:type="dxa"/>
            <w:vAlign w:val="center"/>
          </w:tcPr>
          <w:p w14:paraId="264F3B20">
            <w:pPr>
              <w:pStyle w:val="34"/>
              <w:ind w:left="19" w:right="106" w:firstLine="420" w:firstLineChars="15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  <w:tc>
          <w:tcPr>
            <w:tcW w:w="2318" w:type="dxa"/>
            <w:vAlign w:val="center"/>
          </w:tcPr>
          <w:p w14:paraId="489C0C39">
            <w:pPr>
              <w:pStyle w:val="34"/>
              <w:ind w:left="2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  <w:tr w14:paraId="3B543CF9">
        <w:tblPrEx>
          <w:tblBorders>
            <w:top w:val="double" w:color="9F9F9F" w:sz="6" w:space="0"/>
            <w:left w:val="double" w:color="9F9F9F" w:sz="6" w:space="0"/>
            <w:bottom w:val="double" w:color="9F9F9F" w:sz="6" w:space="0"/>
            <w:right w:val="double" w:color="9F9F9F" w:sz="6" w:space="0"/>
            <w:insideH w:val="double" w:color="9F9F9F" w:sz="6" w:space="0"/>
            <w:insideV w:val="double" w:color="9F9F9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808" w:type="dxa"/>
            <w:tcBorders>
              <w:left w:val="double" w:color="EFEFEF" w:sz="6" w:space="0"/>
            </w:tcBorders>
          </w:tcPr>
          <w:p w14:paraId="11886336">
            <w:pPr>
              <w:pStyle w:val="34"/>
              <w:ind w:left="17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08054D">
            <w:pPr>
              <w:pStyle w:val="34"/>
              <w:ind w:left="17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7D921D5">
            <w:pPr>
              <w:pStyle w:val="34"/>
              <w:ind w:left="17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2.04.80.0001.5</w:t>
            </w:r>
          </w:p>
        </w:tc>
        <w:tc>
          <w:tcPr>
            <w:tcW w:w="3027" w:type="dxa"/>
            <w:vAlign w:val="center"/>
          </w:tcPr>
          <w:p w14:paraId="6673A3F8">
            <w:pPr>
              <w:pStyle w:val="34"/>
              <w:spacing w:before="1" w:line="273" w:lineRule="exact"/>
              <w:ind w:left="20" w:firstLine="140" w:firstLineChars="5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Hospedagem</w:t>
            </w:r>
          </w:p>
          <w:p w14:paraId="5E825740">
            <w:pPr>
              <w:pStyle w:val="34"/>
              <w:spacing w:before="1" w:line="273" w:lineRule="exact"/>
              <w:ind w:left="20" w:firstLine="140" w:firstLineChars="5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(Quartos triplos)</w:t>
            </w:r>
          </w:p>
        </w:tc>
        <w:tc>
          <w:tcPr>
            <w:tcW w:w="1391" w:type="dxa"/>
            <w:vAlign w:val="center"/>
          </w:tcPr>
          <w:p w14:paraId="37DFD8C2">
            <w:pPr>
              <w:keepNext w:val="0"/>
              <w:keepLines w:val="0"/>
              <w:widowControl/>
              <w:suppressLineNumbers w:val="0"/>
              <w:suppressAutoHyphens/>
              <w:autoSpaceDE w:val="0"/>
              <w:autoSpaceDN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Arial MT" w:cs="Times New Roman"/>
                <w:sz w:val="28"/>
                <w:szCs w:val="28"/>
                <w:lang w:val="pt-BR" w:eastAsia="en-US" w:bidi="ar-SA"/>
              </w:rPr>
            </w:pPr>
            <w:r>
              <w:rPr>
                <w:rFonts w:hint="default" w:ascii="Times New Roman" w:hAnsi="Times New Roman" w:eastAsia="Arial MT" w:cs="Times New Roman"/>
                <w:sz w:val="28"/>
                <w:szCs w:val="28"/>
                <w:lang w:val="pt-BR" w:eastAsia="en-US" w:bidi="ar-SA"/>
              </w:rPr>
              <w:t>02</w:t>
            </w:r>
          </w:p>
          <w:p w14:paraId="5EF584A8">
            <w:pPr>
              <w:pStyle w:val="34"/>
              <w:ind w:left="2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  <w:tc>
          <w:tcPr>
            <w:tcW w:w="1282" w:type="dxa"/>
            <w:vAlign w:val="center"/>
          </w:tcPr>
          <w:p w14:paraId="6E330AA0">
            <w:pPr>
              <w:pStyle w:val="34"/>
              <w:ind w:left="19" w:right="106" w:firstLine="420" w:firstLineChars="15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  <w:tc>
          <w:tcPr>
            <w:tcW w:w="2318" w:type="dxa"/>
            <w:vAlign w:val="center"/>
          </w:tcPr>
          <w:p w14:paraId="2ED8CAC1">
            <w:pPr>
              <w:pStyle w:val="34"/>
              <w:ind w:left="2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  <w:tr w14:paraId="76B81E56">
        <w:tblPrEx>
          <w:tblBorders>
            <w:top w:val="double" w:color="9F9F9F" w:sz="6" w:space="0"/>
            <w:left w:val="double" w:color="9F9F9F" w:sz="6" w:space="0"/>
            <w:bottom w:val="double" w:color="9F9F9F" w:sz="6" w:space="0"/>
            <w:right w:val="double" w:color="9F9F9F" w:sz="6" w:space="0"/>
            <w:insideH w:val="double" w:color="9F9F9F" w:sz="6" w:space="0"/>
            <w:insideV w:val="double" w:color="9F9F9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808" w:type="dxa"/>
            <w:tcBorders>
              <w:left w:val="double" w:color="EFEFEF" w:sz="6" w:space="0"/>
            </w:tcBorders>
            <w:vAlign w:val="top"/>
          </w:tcPr>
          <w:p w14:paraId="6593E893">
            <w:pPr>
              <w:pStyle w:val="34"/>
              <w:ind w:left="17" w:leftChars="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  <w:p w14:paraId="1594AF64">
            <w:pPr>
              <w:pStyle w:val="34"/>
              <w:ind w:left="17" w:leftChars="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  <w:p w14:paraId="52DFEA28">
            <w:pPr>
              <w:pStyle w:val="34"/>
              <w:ind w:left="17" w:leftChars="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2.04.73.0002.3</w:t>
            </w:r>
          </w:p>
        </w:tc>
        <w:tc>
          <w:tcPr>
            <w:tcW w:w="3027" w:type="dxa"/>
            <w:vAlign w:val="center"/>
          </w:tcPr>
          <w:p w14:paraId="2157BE11">
            <w:pPr>
              <w:pStyle w:val="34"/>
              <w:spacing w:before="1" w:line="273" w:lineRule="exact"/>
              <w:ind w:left="20" w:leftChars="0" w:firstLine="140" w:firstLineChars="5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Passagens aéreas</w:t>
            </w:r>
          </w:p>
        </w:tc>
        <w:tc>
          <w:tcPr>
            <w:tcW w:w="1391" w:type="dxa"/>
            <w:vAlign w:val="center"/>
          </w:tcPr>
          <w:p w14:paraId="784FA587">
            <w:pPr>
              <w:pStyle w:val="34"/>
              <w:ind w:left="20" w:leftChars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  <w:t>14</w:t>
            </w:r>
          </w:p>
        </w:tc>
        <w:tc>
          <w:tcPr>
            <w:tcW w:w="1282" w:type="dxa"/>
            <w:vAlign w:val="center"/>
          </w:tcPr>
          <w:p w14:paraId="1B6CCFF0">
            <w:pPr>
              <w:pStyle w:val="34"/>
              <w:ind w:left="19" w:right="106" w:firstLine="420" w:firstLineChars="15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  <w:tc>
          <w:tcPr>
            <w:tcW w:w="2318" w:type="dxa"/>
            <w:vAlign w:val="center"/>
          </w:tcPr>
          <w:p w14:paraId="0A16FD0E">
            <w:pPr>
              <w:pStyle w:val="34"/>
              <w:ind w:left="20"/>
              <w:rPr>
                <w:rFonts w:hint="default"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14:paraId="3A0BD2E6">
      <w:pPr>
        <w:pStyle w:val="13"/>
        <w:spacing w:before="68"/>
        <w:rPr>
          <w:rFonts w:hint="default" w:ascii="Times New Roman" w:hAnsi="Times New Roman" w:cs="Times New Roman"/>
          <w:i/>
          <w:sz w:val="28"/>
          <w:szCs w:val="28"/>
        </w:rPr>
      </w:pPr>
    </w:p>
    <w:p w14:paraId="3881239F">
      <w:pPr>
        <w:pStyle w:val="32"/>
        <w:widowControl w:val="0"/>
        <w:numPr>
          <w:ilvl w:val="1"/>
          <w:numId w:val="1"/>
        </w:numPr>
        <w:tabs>
          <w:tab w:val="left" w:pos="654"/>
        </w:tabs>
        <w:suppressAutoHyphens w:val="0"/>
        <w:autoSpaceDE w:val="0"/>
        <w:autoSpaceDN w:val="0"/>
        <w:spacing w:line="360" w:lineRule="auto"/>
        <w:ind w:left="-1" w:leftChars="0" w:right="-2" w:firstLine="1" w:firstLineChars="0"/>
        <w:contextualSpacing w:val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O objeto desta contratação não se enquadra como sendo de bem de luxo, conforme Decreto nº 10.818, de 2021.</w:t>
      </w:r>
    </w:p>
    <w:p w14:paraId="4D405A43">
      <w:pPr>
        <w:pStyle w:val="32"/>
        <w:widowControl w:val="0"/>
        <w:numPr>
          <w:ilvl w:val="1"/>
          <w:numId w:val="1"/>
        </w:numPr>
        <w:tabs>
          <w:tab w:val="left" w:pos="654"/>
          <w:tab w:val="left" w:leader="dot" w:pos="3213"/>
        </w:tabs>
        <w:suppressAutoHyphens w:val="0"/>
        <w:autoSpaceDE w:val="0"/>
        <w:autoSpaceDN w:val="0"/>
        <w:spacing w:line="272" w:lineRule="exact"/>
        <w:ind w:left="432" w:leftChars="0" w:right="-2" w:firstLineChars="0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Cs/>
          <w:sz w:val="28"/>
          <w:szCs w:val="28"/>
        </w:rPr>
        <w:t xml:space="preserve">O prazo de vigência da contratação é do dia 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>03 a 0</w:t>
      </w:r>
      <w:r>
        <w:rPr>
          <w:rFonts w:hint="default" w:cs="Times New Roman"/>
          <w:sz w:val="28"/>
          <w:szCs w:val="28"/>
          <w:lang w:val="pt-BR"/>
        </w:rPr>
        <w:t>7</w:t>
      </w:r>
      <w:r>
        <w:rPr>
          <w:rFonts w:hint="default" w:ascii="Times New Roman" w:hAnsi="Times New Roman" w:cs="Times New Roman"/>
          <w:sz w:val="28"/>
          <w:szCs w:val="28"/>
        </w:rPr>
        <w:t xml:space="preserve"> de 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>Março</w:t>
      </w:r>
      <w:r>
        <w:rPr>
          <w:rFonts w:hint="default" w:ascii="Times New Roman" w:hAnsi="Times New Roman" w:cs="Times New Roman"/>
          <w:sz w:val="28"/>
          <w:szCs w:val="28"/>
        </w:rPr>
        <w:t xml:space="preserve"> de 202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>6.</w:t>
      </w:r>
    </w:p>
    <w:p w14:paraId="38D38B77">
      <w:pPr>
        <w:tabs>
          <w:tab w:val="left" w:pos="654"/>
          <w:tab w:val="left" w:leader="dot" w:pos="3213"/>
        </w:tabs>
        <w:spacing w:line="272" w:lineRule="exact"/>
        <w:ind w:right="-2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69A26E1">
      <w:pPr>
        <w:pStyle w:val="32"/>
        <w:widowControl w:val="0"/>
        <w:numPr>
          <w:ilvl w:val="1"/>
          <w:numId w:val="1"/>
        </w:numPr>
        <w:tabs>
          <w:tab w:val="left" w:pos="654"/>
        </w:tabs>
        <w:suppressAutoHyphens w:val="0"/>
        <w:autoSpaceDE w:val="0"/>
        <w:autoSpaceDN w:val="0"/>
        <w:spacing w:line="360" w:lineRule="auto"/>
        <w:ind w:left="-1" w:leftChars="0" w:right="-2" w:firstLine="1" w:firstLineChars="0"/>
        <w:contextualSpacing w:val="0"/>
        <w:jc w:val="both"/>
        <w:rPr>
          <w:rFonts w:hint="default" w:ascii="Times New Roman" w:hAnsi="Times New Roman" w:cs="Times New Roman"/>
          <w:iCs/>
          <w:sz w:val="28"/>
          <w:szCs w:val="28"/>
        </w:rPr>
      </w:pPr>
      <w:r>
        <w:rPr>
          <w:rFonts w:hint="default" w:ascii="Times New Roman" w:hAnsi="Times New Roman" w:cs="Times New Roman"/>
          <w:iCs/>
          <w:sz w:val="28"/>
          <w:szCs w:val="28"/>
        </w:rPr>
        <w:t>O custo estimado total da contratação é de R$..............., conforme custos unitários apostos na tabela acima.</w:t>
      </w:r>
    </w:p>
    <w:p w14:paraId="02D246A1">
      <w:pPr>
        <w:pStyle w:val="32"/>
        <w:widowControl w:val="0"/>
        <w:tabs>
          <w:tab w:val="left" w:pos="654"/>
        </w:tabs>
        <w:suppressAutoHyphens w:val="0"/>
        <w:autoSpaceDE w:val="0"/>
        <w:autoSpaceDN w:val="0"/>
        <w:spacing w:line="360" w:lineRule="auto"/>
        <w:ind w:left="1" w:right="231"/>
        <w:contextualSpacing w:val="0"/>
        <w:jc w:val="both"/>
        <w:rPr>
          <w:rFonts w:hint="default" w:ascii="Times New Roman" w:hAnsi="Times New Roman" w:cs="Times New Roman"/>
          <w:i/>
          <w:sz w:val="28"/>
          <w:szCs w:val="28"/>
        </w:rPr>
      </w:pPr>
    </w:p>
    <w:p w14:paraId="68D00C25">
      <w:pPr>
        <w:pStyle w:val="2"/>
        <w:numPr>
          <w:ilvl w:val="0"/>
          <w:numId w:val="1"/>
        </w:numPr>
        <w:tabs>
          <w:tab w:val="left" w:pos="360"/>
          <w:tab w:val="left" w:pos="580"/>
        </w:tabs>
        <w:spacing w:before="1" w:line="360" w:lineRule="auto"/>
        <w:ind w:left="358" w:hanging="358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FUNDAMENTAÇÃO</w:t>
      </w:r>
      <w:r>
        <w:rPr>
          <w:rFonts w:hint="default" w:ascii="Times New Roman" w:hAnsi="Times New Roman" w:cs="Times New Roman"/>
          <w:b/>
          <w:bCs/>
          <w:color w:val="auto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E</w:t>
      </w:r>
      <w:r>
        <w:rPr>
          <w:rFonts w:hint="default" w:ascii="Times New Roman" w:hAnsi="Times New Roman" w:cs="Times New Roman"/>
          <w:b/>
          <w:bCs/>
          <w:color w:val="auto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DESCRIÇÃO</w:t>
      </w:r>
      <w:r>
        <w:rPr>
          <w:rFonts w:hint="default" w:ascii="Times New Roman" w:hAnsi="Times New Roman" w:cs="Times New Roman"/>
          <w:b/>
          <w:bCs/>
          <w:color w:val="auto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DA</w:t>
      </w:r>
      <w:r>
        <w:rPr>
          <w:rFonts w:hint="default" w:ascii="Times New Roman" w:hAnsi="Times New Roman" w:cs="Times New Roman"/>
          <w:b/>
          <w:bCs/>
          <w:color w:val="auto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NECESSIDADE</w:t>
      </w:r>
      <w:r>
        <w:rPr>
          <w:rFonts w:hint="default" w:ascii="Times New Roman" w:hAnsi="Times New Roman" w:cs="Times New Roman"/>
          <w:b/>
          <w:bCs/>
          <w:color w:val="auto"/>
          <w:spacing w:val="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DA</w:t>
      </w:r>
      <w:r>
        <w:rPr>
          <w:rFonts w:hint="default" w:ascii="Times New Roman" w:hAnsi="Times New Roman" w:cs="Times New Roman"/>
          <w:b/>
          <w:bCs/>
          <w:color w:val="auto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pacing w:val="-2"/>
          <w:sz w:val="28"/>
          <w:szCs w:val="28"/>
        </w:rPr>
        <w:t>CONTRATAÇÃO</w:t>
      </w:r>
    </w:p>
    <w:p w14:paraId="1F661E7E">
      <w:pPr>
        <w:pStyle w:val="2"/>
        <w:tabs>
          <w:tab w:val="left" w:pos="360"/>
          <w:tab w:val="left" w:pos="580"/>
        </w:tabs>
        <w:spacing w:before="1" w:line="360" w:lineRule="auto"/>
        <w:ind w:left="358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(art.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6º,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inciso XXIII,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alínea</w:t>
      </w:r>
      <w:r>
        <w:rPr>
          <w:rFonts w:hint="default" w:ascii="Times New Roman" w:hAnsi="Times New Roman" w:cs="Times New Roman"/>
          <w:b/>
          <w:color w:val="auto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‘b’, da</w:t>
      </w:r>
      <w:r>
        <w:rPr>
          <w:rFonts w:hint="default" w:ascii="Times New Roman" w:hAnsi="Times New Roman" w:cs="Times New Roman"/>
          <w:b/>
          <w:color w:val="auto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Lei</w:t>
      </w:r>
      <w:r>
        <w:rPr>
          <w:rFonts w:hint="default" w:ascii="Times New Roman" w:hAnsi="Times New Roman" w:cs="Times New Roman"/>
          <w:b/>
          <w:color w:val="auto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nº 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>14.133/2021).</w:t>
      </w:r>
    </w:p>
    <w:p w14:paraId="2BAC7CF9">
      <w:pPr>
        <w:pStyle w:val="32"/>
        <w:widowControl w:val="0"/>
        <w:numPr>
          <w:ilvl w:val="1"/>
          <w:numId w:val="1"/>
        </w:numPr>
        <w:suppressAutoHyphens w:val="0"/>
        <w:autoSpaceDE w:val="0"/>
        <w:autoSpaceDN w:val="0"/>
        <w:spacing w:before="40" w:line="360" w:lineRule="auto"/>
        <w:ind w:left="432" w:leftChars="0" w:right="-2" w:firstLineChars="0"/>
        <w:contextualSpacing w:val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A participação dos membros do IPREM-MC no Congresso é de fundamental importância para o aprofundamento no conhecimento das atividades 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>de investimento</w:t>
      </w:r>
      <w:r>
        <w:rPr>
          <w:rFonts w:hint="default" w:ascii="Times New Roman" w:hAnsi="Times New Roman" w:cs="Times New Roman"/>
          <w:sz w:val="28"/>
          <w:szCs w:val="28"/>
        </w:rPr>
        <w:t xml:space="preserve">, com retorno positivo na busca constante da melhoria do Instituto. </w:t>
      </w:r>
    </w:p>
    <w:p w14:paraId="134334F3">
      <w:pPr>
        <w:pStyle w:val="32"/>
        <w:widowControl w:val="0"/>
        <w:suppressAutoHyphens w:val="0"/>
        <w:autoSpaceDE w:val="0"/>
        <w:autoSpaceDN w:val="0"/>
        <w:spacing w:before="40" w:line="360" w:lineRule="auto"/>
        <w:ind w:left="1" w:right="226"/>
        <w:contextualSpacing w:val="0"/>
        <w:jc w:val="both"/>
        <w:rPr>
          <w:rFonts w:hint="default" w:ascii="Times New Roman" w:hAnsi="Times New Roman" w:cs="Times New Roman"/>
          <w:i/>
          <w:sz w:val="28"/>
          <w:szCs w:val="28"/>
        </w:rPr>
      </w:pPr>
    </w:p>
    <w:p w14:paraId="5270D883">
      <w:pPr>
        <w:pStyle w:val="32"/>
        <w:widowControl w:val="0"/>
        <w:numPr>
          <w:ilvl w:val="0"/>
          <w:numId w:val="1"/>
        </w:numPr>
        <w:tabs>
          <w:tab w:val="left" w:pos="142"/>
        </w:tabs>
        <w:suppressAutoHyphens w:val="0"/>
        <w:autoSpaceDE w:val="0"/>
        <w:autoSpaceDN w:val="0"/>
        <w:spacing w:line="360" w:lineRule="auto"/>
        <w:ind w:left="0" w:right="-2" w:firstLine="0"/>
        <w:contextualSpacing w:val="0"/>
        <w:jc w:val="both"/>
        <w:rPr>
          <w:rFonts w:hint="default" w:ascii="Times New Roman" w:hAnsi="Times New Roman" w:cs="Times New Roman"/>
          <w:b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DESCRIÇÃO DA SOLUÇÃO COMO UM TODO CONSIDERADO O CICLO DE VIDA</w:t>
      </w:r>
      <w:r>
        <w:rPr>
          <w:rFonts w:hint="default" w:ascii="Times New Roman" w:hAnsi="Times New Roman" w:cs="Times New Roman"/>
          <w:b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DO</w:t>
      </w:r>
      <w:r>
        <w:rPr>
          <w:rFonts w:hint="default" w:ascii="Times New Roman" w:hAnsi="Times New Roman" w:cs="Times New Roman"/>
          <w:b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OBJETO</w:t>
      </w:r>
      <w:r>
        <w:rPr>
          <w:rFonts w:hint="default" w:ascii="Times New Roman" w:hAnsi="Times New Roman" w:cs="Times New Roman"/>
          <w:b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E</w:t>
      </w:r>
      <w:r>
        <w:rPr>
          <w:rFonts w:hint="default" w:ascii="Times New Roman" w:hAnsi="Times New Roman" w:cs="Times New Roman"/>
          <w:b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ESPECIFICAÇÃO</w:t>
      </w:r>
      <w:r>
        <w:rPr>
          <w:rFonts w:hint="default" w:ascii="Times New Roman" w:hAnsi="Times New Roman" w:cs="Times New Roman"/>
          <w:b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DO</w:t>
      </w:r>
      <w:r>
        <w:rPr>
          <w:rFonts w:hint="default" w:ascii="Times New Roman" w:hAnsi="Times New Roman" w:cs="Times New Roman"/>
          <w:b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PRODUTO</w:t>
      </w:r>
      <w:r>
        <w:rPr>
          <w:rFonts w:hint="default" w:ascii="Times New Roman" w:hAnsi="Times New Roman" w:cs="Times New Roman"/>
          <w:b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(art.</w:t>
      </w:r>
      <w:r>
        <w:rPr>
          <w:rFonts w:hint="default" w:ascii="Times New Roman" w:hAnsi="Times New Roman" w:cs="Times New Roman"/>
          <w:b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6º,</w:t>
      </w:r>
      <w:r>
        <w:rPr>
          <w:rFonts w:hint="default" w:ascii="Times New Roman" w:hAnsi="Times New Roman" w:cs="Times New Roman"/>
          <w:b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inciso</w:t>
      </w:r>
      <w:r>
        <w:rPr>
          <w:rFonts w:hint="default" w:ascii="Times New Roman" w:hAnsi="Times New Roman" w:cs="Times New Roman"/>
          <w:b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XXIII, alínea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‘c’, e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art.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40,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§1º, inciso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I,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da Lei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nº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14.133/2021).</w:t>
      </w:r>
    </w:p>
    <w:p w14:paraId="4A7C40BE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lang w:val="pt-BR" w:eastAsia="pt-BR" w:bidi="ar-SA"/>
        </w:rPr>
        <w:t xml:space="preserve">3.1. </w:t>
      </w:r>
      <w:r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u w:val="single"/>
          <w:lang w:val="pt-BR" w:eastAsia="pt-BR" w:bidi="ar-SA"/>
        </w:rPr>
        <w:t>Hospedagem</w:t>
      </w:r>
    </w:p>
    <w:p w14:paraId="056FA17E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  <w:t xml:space="preserve">Reserva de hospedagem em hotel mínimo 3 (três) estrelas, com café da manhã e taxas inclusas, com início da diária em </w:t>
      </w:r>
      <w:r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lang w:val="pt-BR" w:eastAsia="pt-BR" w:bidi="ar-SA"/>
        </w:rPr>
        <w:t>03/03/2026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  <w:t>,</w:t>
      </w:r>
      <w:r>
        <w:rPr>
          <w:rFonts w:hint="default" w:cs="Times New Roman"/>
          <w:b w:val="0"/>
          <w:bCs w:val="0"/>
          <w:spacing w:val="-2"/>
          <w:kern w:val="0"/>
          <w:sz w:val="28"/>
          <w:szCs w:val="28"/>
          <w:lang w:val="en-US" w:eastAsia="pt-BR" w:bidi="ar-SA"/>
        </w:rPr>
        <w:t xml:space="preserve"> até dia </w:t>
      </w:r>
      <w:r>
        <w:rPr>
          <w:rFonts w:hint="default" w:cs="Times New Roman"/>
          <w:b/>
          <w:bCs/>
          <w:spacing w:val="-2"/>
          <w:kern w:val="0"/>
          <w:sz w:val="28"/>
          <w:szCs w:val="28"/>
          <w:lang w:val="en-US" w:eastAsia="pt-BR" w:bidi="ar-SA"/>
        </w:rPr>
        <w:t>06/03/2026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  <w:t xml:space="preserve"> garantindo check-in imediato na chegada </w:t>
      </w:r>
      <w:r>
        <w:rPr>
          <w:rFonts w:hint="default" w:cs="Times New Roman"/>
          <w:b w:val="0"/>
          <w:bCs w:val="0"/>
          <w:spacing w:val="-2"/>
          <w:kern w:val="0"/>
          <w:sz w:val="28"/>
          <w:szCs w:val="28"/>
          <w:lang w:val="en-US" w:eastAsia="pt-BR" w:bidi="ar-SA"/>
        </w:rPr>
        <w:t>vespertina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  <w:t xml:space="preserve"> do grupo, com recepção 24 horas.</w:t>
      </w:r>
    </w:p>
    <w:p w14:paraId="7A20B8AF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u w:val="single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lang w:val="pt-BR" w:eastAsia="pt-BR" w:bidi="ar-SA"/>
        </w:rPr>
        <w:t xml:space="preserve">3.2. </w:t>
      </w:r>
      <w:r>
        <w:rPr>
          <w:rFonts w:hint="default" w:ascii="Times New Roman" w:hAnsi="Times New Roman" w:eastAsia="Times New Roman" w:cs="Times New Roman"/>
          <w:b/>
          <w:bCs/>
          <w:spacing w:val="-2"/>
          <w:kern w:val="0"/>
          <w:sz w:val="28"/>
          <w:szCs w:val="28"/>
          <w:u w:val="single"/>
          <w:lang w:val="pt-BR" w:eastAsia="pt-BR" w:bidi="ar-SA"/>
        </w:rPr>
        <w:t>Transporte</w:t>
      </w:r>
    </w:p>
    <w:p w14:paraId="30FD2646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2"/>
          <w:kern w:val="0"/>
          <w:sz w:val="28"/>
          <w:szCs w:val="28"/>
          <w:lang w:val="pt-BR" w:eastAsia="pt-BR" w:bidi="ar-SA"/>
        </w:rPr>
        <w:t>Fornecimento de transporte terrestre e aéreo, observando critérios de segurança, conforto, economicidade e eficiência, sendo adotado van em razão do número de passageiros e do transporte de bagagens.</w:t>
      </w:r>
    </w:p>
    <w:p w14:paraId="2AEC550D">
      <w:pPr>
        <w:pStyle w:val="13"/>
        <w:widowControl w:val="0"/>
        <w:suppressAutoHyphens w:val="0"/>
        <w:autoSpaceDE w:val="0"/>
        <w:autoSpaceDN w:val="0"/>
        <w:spacing w:before="41" w:after="0" w:line="360" w:lineRule="auto"/>
        <w:ind w:right="229"/>
        <w:jc w:val="both"/>
        <w:rPr>
          <w:rFonts w:hint="default" w:ascii="Times New Roman" w:hAnsi="Times New Roman" w:cs="Times New Roman"/>
          <w:i/>
          <w:iCs/>
          <w:sz w:val="28"/>
          <w:szCs w:val="28"/>
        </w:rPr>
      </w:pPr>
    </w:p>
    <w:p w14:paraId="371AED06">
      <w:pPr>
        <w:pStyle w:val="32"/>
        <w:widowControl w:val="0"/>
        <w:numPr>
          <w:ilvl w:val="0"/>
          <w:numId w:val="1"/>
        </w:numPr>
        <w:tabs>
          <w:tab w:val="left" w:pos="579"/>
          <w:tab w:val="left" w:pos="581"/>
        </w:tabs>
        <w:suppressAutoHyphens w:val="0"/>
        <w:autoSpaceDE w:val="0"/>
        <w:autoSpaceDN w:val="0"/>
        <w:spacing w:before="1" w:line="360" w:lineRule="auto"/>
        <w:ind w:left="359" w:right="-2"/>
        <w:contextualSpacing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REQUISITOS DA CONTRATAÇÃO (art. 6º, XXIII, alínea ‘d’, da Lei nº</w:t>
      </w:r>
      <w:r>
        <w:rPr>
          <w:rFonts w:hint="default" w:ascii="Times New Roman" w:hAnsi="Times New Roman" w:cs="Times New Roman"/>
          <w:b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14.133/21)</w:t>
      </w:r>
    </w:p>
    <w:p w14:paraId="6525AABE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4.1.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>Transporte terrestre – Ida</w:t>
      </w:r>
    </w:p>
    <w:p w14:paraId="01C651C2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01 (uma) van, devidamente registrad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a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 e autorizad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a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, para condução de 14 (quatorze) servidores, com bagagens, da Prefeitura Municipal de Mogi das Cruzes ao Aeroporto Internacional de Guarulhos, conforme segue:</w:t>
      </w:r>
    </w:p>
    <w:p w14:paraId="1F203C61">
      <w:pPr>
        <w:pStyle w:val="15"/>
        <w:keepNext w:val="0"/>
        <w:keepLines w:val="0"/>
        <w:widowControl/>
        <w:suppressLineNumbers w:val="0"/>
        <w:ind w:left="72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Data: 03/03/2026</w:t>
      </w:r>
    </w:p>
    <w:p w14:paraId="25422F29">
      <w:pPr>
        <w:pStyle w:val="15"/>
        <w:keepNext w:val="0"/>
        <w:keepLines w:val="0"/>
        <w:widowControl/>
        <w:suppressLineNumbers w:val="0"/>
        <w:ind w:left="72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Horário de saída: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12h00</w:t>
      </w:r>
    </w:p>
    <w:p w14:paraId="37BBA7C9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4.2.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u w:val="single"/>
          <w:lang w:val="pt-BR" w:eastAsia="pt-BR" w:bidi="ar-SA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>Transporte terrestre – Chegada em Florianópolis</w:t>
      </w:r>
    </w:p>
    <w:p w14:paraId="4EC3087C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01 (uma) van, devidamente registrad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a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, para condução dos 14 (quatorze) servidores do Aeroporto Internacional de Florianópolis ao hotel reservado:</w:t>
      </w:r>
    </w:p>
    <w:p w14:paraId="68760913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Data: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03/03/2026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 xml:space="preserve"> (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vespertino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)</w:t>
      </w:r>
    </w:p>
    <w:p w14:paraId="70B0DEB9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Horário de saída do aeroporto: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t>de acordo com o horário de chegada dos servidores no aeroporto</w:t>
      </w:r>
      <w:r>
        <w:rPr>
          <w:rFonts w:hint="default" w:ascii="Times New Roman" w:hAnsi="Times New Roman" w:cs="Times New Roman"/>
          <w:b/>
          <w:bCs/>
          <w:kern w:val="0"/>
          <w:sz w:val="28"/>
          <w:szCs w:val="28"/>
          <w:lang w:val="en-US" w:eastAsia="pt-BR" w:bidi="ar-SA"/>
        </w:rPr>
        <w:t>.</w:t>
      </w:r>
    </w:p>
    <w:p w14:paraId="0E5BA07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ascii="Times New Roman" w:hAnsi="Times New Roman" w:cs="Times New Roman"/>
          <w:sz w:val="28"/>
          <w:szCs w:val="28"/>
        </w:rPr>
      </w:pPr>
    </w:p>
    <w:p w14:paraId="39127683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4.3.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>Transporte terrestre – Retorno</w:t>
      </w:r>
    </w:p>
    <w:p w14:paraId="17DCCE0D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01 (um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a) van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 para condução dos servidores do hotel ao Aeroporto Internacional de Florianópolis:</w:t>
      </w:r>
    </w:p>
    <w:p w14:paraId="77B05C48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Data: 06/03/2026</w:t>
      </w:r>
    </w:p>
    <w:p w14:paraId="3E6C76CC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highlight w:val="green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highlight w:val="green"/>
          <w:lang w:val="pt-BR" w:eastAsia="pt-BR" w:bidi="ar-SA"/>
        </w:rPr>
        <w:t xml:space="preserve">Horário de saída do hotel: </w:t>
      </w:r>
      <w:r>
        <w:rPr>
          <w:rFonts w:hint="default" w:cs="Times New Roman"/>
          <w:b w:val="0"/>
          <w:bCs w:val="0"/>
          <w:kern w:val="0"/>
          <w:sz w:val="28"/>
          <w:szCs w:val="28"/>
          <w:highlight w:val="green"/>
          <w:lang w:val="en-US" w:eastAsia="pt-BR" w:bidi="ar-SA"/>
        </w:rPr>
        <w:t>17h30</w:t>
      </w:r>
    </w:p>
    <w:p w14:paraId="6907F54A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4.4.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>Transporte terrestre – Retorno a Mogi das Cruzes</w:t>
      </w:r>
    </w:p>
    <w:p w14:paraId="28B85093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01 (um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a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) 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>van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, para condução dos servidores do Aeroporto Internacional de Guarulhos até a Prefeitura Municipal de Mogi das Cruzes,</w:t>
      </w:r>
      <w:r>
        <w:rPr>
          <w:rFonts w:hint="default" w:ascii="Times New Roman" w:hAnsi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  <w:t xml:space="preserve"> de acordo com o horário/dia de chegada ao aeroporto.</w:t>
      </w:r>
    </w:p>
    <w:p w14:paraId="7D2359FE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4.5.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 xml:space="preserve"> Hospedagem</w:t>
      </w:r>
    </w:p>
    <w:p w14:paraId="12D998C0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Hospedagem em hotel mínimo 3 (três) estrelas, com café da manhã e taxas inclusas, para o período de 03 a 06 de março de 2026, sendo:</w:t>
      </w:r>
    </w:p>
    <w:p w14:paraId="256B7433">
      <w:pPr>
        <w:pStyle w:val="15"/>
        <w:keepNext w:val="0"/>
        <w:keepLines w:val="0"/>
        <w:widowControl/>
        <w:suppressLineNumbers w:val="0"/>
        <w:ind w:left="72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04 (quatro) quartos duplos</w:t>
      </w:r>
    </w:p>
    <w:p w14:paraId="719674D6">
      <w:pPr>
        <w:pStyle w:val="15"/>
        <w:keepNext w:val="0"/>
        <w:keepLines w:val="0"/>
        <w:widowControl/>
        <w:suppressLineNumbers w:val="0"/>
        <w:ind w:left="72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02 (dois) quartos triplos</w:t>
      </w:r>
    </w:p>
    <w:p w14:paraId="5141B4B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</w:p>
    <w:p w14:paraId="3CA3CA46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Com garantia de check-in a partir das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 xml:space="preserve">16h00 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d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e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 dia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03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/03/2026, recepção 24 horas e sem cobrança adicional de diárias ou taxas extras em razão do horário de chegada.</w:t>
      </w:r>
    </w:p>
    <w:p w14:paraId="454A626D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O hotel deverá ser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t xml:space="preserve"> próximo ao seguinte endereço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:</w:t>
      </w:r>
    </w:p>
    <w:p w14:paraId="59CB19E2">
      <w:pPr>
        <w:pStyle w:val="32"/>
        <w:widowControl w:val="0"/>
        <w:tabs>
          <w:tab w:val="left" w:pos="653"/>
        </w:tabs>
        <w:suppressAutoHyphens w:val="0"/>
        <w:autoSpaceDE w:val="0"/>
        <w:autoSpaceDN w:val="0"/>
        <w:spacing w:before="41" w:line="360" w:lineRule="auto"/>
        <w:ind w:left="0"/>
        <w:contextualSpacing w:val="0"/>
        <w:jc w:val="both"/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en-US" w:eastAsia="zh-CN" w:bidi="ar-SA"/>
        </w:rPr>
        <w:t>CentroSul - Centro de Convenções de Florianópolis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zh-CN" w:bidi="ar-SA"/>
        </w:rPr>
        <w:t xml:space="preserve">,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fldChar w:fldCharType="begin"/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instrText xml:space="preserve"> HYPERLINK "https://www.bing.com/ck/a?!&amp;&amp;p=209fc277adbb6cae1ed20426b9585b4f78f019ad15ae3c7b03f5734f3f00c6fdJmltdHM9MTc2ODM0ODgwMA&amp;ptn=3&amp;ver=2&amp;hsh=4&amp;fclid=1c6ecf8d-5b9c-6697-11a5-da4e5a2d67aa&amp;u=a1L21hcHM_Jm1lcGk9MH5-RW1iZWRkZWR-QWRkcmVzc19MaW5rJnR5PTE4JnE9Q2VudHJvc3VsJnNzPXlwaWQuWU43OTkzeDIyNDU0NTA2NDcxMDEwNjQ1NDUmcHBvaXM9LTI3LjYwMTk5OTI4MjgzNjkxNF8tNDguNTUyMTAxMTM1MjUzOTA2X0NlbnRyb3N1bF9ZTjc5OTN4MjI0NTQ1MDY0NzEwMTA2NDU0NX4mY3A9LTI3LjYwMTk5OX4tNDguNTUyMTAxJnY9MiZzVj0xJkZPUk09TVBTUlBM&amp;ntb=1" \t "https://www.bing.com/_blank" </w:instrTex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fldChar w:fldCharType="separate"/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t>Av. Gov. Gustavo Richard 850, Florianópolis, SC, 88045-505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fldChar w:fldCharType="end"/>
      </w:r>
    </w:p>
    <w:p w14:paraId="07DA7654">
      <w:pPr>
        <w:pStyle w:val="32"/>
        <w:widowControl w:val="0"/>
        <w:tabs>
          <w:tab w:val="left" w:pos="653"/>
        </w:tabs>
        <w:suppressAutoHyphens w:val="0"/>
        <w:autoSpaceDE w:val="0"/>
        <w:autoSpaceDN w:val="0"/>
        <w:spacing w:before="41" w:line="360" w:lineRule="auto"/>
        <w:ind w:left="0"/>
        <w:contextualSpacing w:val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E9CE805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4.6.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lang w:val="pt-BR" w:eastAsia="pt-BR" w:bidi="ar-SA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kern w:val="0"/>
          <w:sz w:val="28"/>
          <w:szCs w:val="28"/>
          <w:u w:val="single"/>
          <w:lang w:val="pt-BR" w:eastAsia="pt-BR" w:bidi="ar-SA"/>
        </w:rPr>
        <w:t>Passagens Aéreas</w:t>
      </w:r>
    </w:p>
    <w:p w14:paraId="36A1971D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Passagens aéreas de ida e volta, incluindo bagagem de mão e bagagem despachada, para 14 passageiros, nos seguintes trechos:</w:t>
      </w:r>
    </w:p>
    <w:p w14:paraId="0F167654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Guarulhos → Florianópolis</w:t>
      </w:r>
    </w:p>
    <w:p w14:paraId="599F2531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Data: 03/03/2026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Horário de partida: entre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14h00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 e </w:t>
      </w:r>
      <w:r>
        <w:rPr>
          <w:rFonts w:hint="default" w:cs="Times New Roman"/>
          <w:b w:val="0"/>
          <w:bCs w:val="0"/>
          <w:kern w:val="0"/>
          <w:sz w:val="28"/>
          <w:szCs w:val="28"/>
          <w:lang w:val="en-US" w:eastAsia="pt-BR" w:bidi="ar-SA"/>
        </w:rPr>
        <w:t>17:00</w:t>
      </w:r>
    </w:p>
    <w:p w14:paraId="5D3BA691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 xml:space="preserve">Florianópolis → Guarulhos </w:t>
      </w:r>
    </w:p>
    <w:p w14:paraId="395C2BA0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en-US" w:eastAsia="pt-BR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t>Data: 06/03/2026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lang w:val="pt-BR" w:eastAsia="pt-BR" w:bidi="ar-SA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highlight w:val="green"/>
          <w:lang w:val="pt-BR" w:eastAsia="pt-BR" w:bidi="ar-SA"/>
        </w:rPr>
        <w:t xml:space="preserve">Horário de partida: entre </w:t>
      </w:r>
      <w:r>
        <w:rPr>
          <w:rFonts w:hint="default" w:cs="Times New Roman"/>
          <w:b w:val="0"/>
          <w:bCs w:val="0"/>
          <w:kern w:val="0"/>
          <w:sz w:val="28"/>
          <w:szCs w:val="28"/>
          <w:highlight w:val="green"/>
          <w:lang w:val="en-US" w:eastAsia="pt-BR" w:bidi="ar-SA"/>
        </w:rPr>
        <w:t>19h30</w:t>
      </w:r>
      <w:r>
        <w:rPr>
          <w:rFonts w:hint="default" w:ascii="Times New Roman" w:hAnsi="Times New Roman" w:eastAsia="Times New Roman" w:cs="Times New Roman"/>
          <w:b w:val="0"/>
          <w:bCs w:val="0"/>
          <w:kern w:val="0"/>
          <w:sz w:val="28"/>
          <w:szCs w:val="28"/>
          <w:highlight w:val="green"/>
          <w:lang w:val="pt-BR" w:eastAsia="pt-BR" w:bidi="ar-SA"/>
        </w:rPr>
        <w:t xml:space="preserve"> e</w:t>
      </w:r>
      <w:r>
        <w:rPr>
          <w:rFonts w:hint="default" w:cs="Times New Roman"/>
          <w:b w:val="0"/>
          <w:bCs w:val="0"/>
          <w:kern w:val="0"/>
          <w:sz w:val="28"/>
          <w:szCs w:val="28"/>
          <w:highlight w:val="green"/>
          <w:lang w:val="en-US" w:eastAsia="pt-BR" w:bidi="ar-SA"/>
        </w:rPr>
        <w:t xml:space="preserve"> 22h00</w:t>
      </w:r>
    </w:p>
    <w:p w14:paraId="4B1F4B75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4.7 </w:t>
      </w:r>
      <w:r>
        <w:rPr>
          <w:rFonts w:hint="default" w:ascii="Times New Roman" w:hAnsi="Times New Roman" w:cs="Times New Roman"/>
          <w:sz w:val="28"/>
          <w:szCs w:val="28"/>
        </w:rPr>
        <w:t>Os intervalos de horários foram definidos de modo a compatibilizar o transporte terrestre, os procedimentos de embarque e desembarque e a garantia de repouso adequado aos servidores.</w:t>
      </w:r>
    </w:p>
    <w:p w14:paraId="5236445F">
      <w:pPr>
        <w:pStyle w:val="32"/>
        <w:widowControl w:val="0"/>
        <w:tabs>
          <w:tab w:val="left" w:pos="653"/>
        </w:tabs>
        <w:suppressAutoHyphens w:val="0"/>
        <w:autoSpaceDE w:val="0"/>
        <w:autoSpaceDN w:val="0"/>
        <w:spacing w:before="41" w:line="360" w:lineRule="auto"/>
        <w:ind w:left="0"/>
        <w:contextualSpacing w:val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</w:t>
      </w:r>
      <w:r>
        <w:rPr>
          <w:rFonts w:hint="default" w:ascii="Times New Roman" w:hAnsi="Times New Roman" w:cs="Times New Roman"/>
          <w:sz w:val="28"/>
          <w:szCs w:val="28"/>
          <w:lang w:val="pt-BR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>. Não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será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admitida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a subcontratação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do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objeto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contratual.</w:t>
      </w:r>
    </w:p>
    <w:p w14:paraId="6B6A4C1C">
      <w:pPr>
        <w:pStyle w:val="32"/>
        <w:widowControl w:val="0"/>
        <w:tabs>
          <w:tab w:val="left" w:pos="653"/>
        </w:tabs>
        <w:suppressAutoHyphens w:val="0"/>
        <w:autoSpaceDE w:val="0"/>
        <w:autoSpaceDN w:val="0"/>
        <w:spacing w:before="41" w:line="360" w:lineRule="auto"/>
        <w:ind w:left="0"/>
        <w:contextualSpacing w:val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08C214F">
      <w:pPr>
        <w:pStyle w:val="32"/>
        <w:widowControl w:val="0"/>
        <w:numPr>
          <w:ilvl w:val="0"/>
          <w:numId w:val="1"/>
        </w:numPr>
        <w:tabs>
          <w:tab w:val="left" w:pos="580"/>
        </w:tabs>
        <w:suppressAutoHyphens w:val="0"/>
        <w:autoSpaceDE w:val="0"/>
        <w:autoSpaceDN w:val="0"/>
        <w:spacing w:line="360" w:lineRule="auto"/>
        <w:ind w:left="358" w:hanging="358"/>
        <w:contextualSpacing w:val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DA EXECUÇÃO</w:t>
      </w:r>
      <w:r>
        <w:rPr>
          <w:rFonts w:hint="default" w:ascii="Times New Roman" w:hAnsi="Times New Roman" w:cs="Times New Roman"/>
          <w:b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CONTRATUAL</w:t>
      </w:r>
      <w:r>
        <w:rPr>
          <w:rFonts w:hint="default" w:ascii="Times New Roman" w:hAnsi="Times New Roman" w:cs="Times New Roman"/>
          <w:b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(arts.</w:t>
      </w:r>
      <w:r>
        <w:rPr>
          <w:rFonts w:hint="default" w:ascii="Times New Roman" w:hAnsi="Times New Roman" w:cs="Times New Roman"/>
          <w:b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6º,</w:t>
      </w:r>
      <w:r>
        <w:rPr>
          <w:rFonts w:hint="default" w:ascii="Times New Roman" w:hAnsi="Times New Roman" w:cs="Times New Roman"/>
          <w:b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XXIII,</w:t>
      </w:r>
      <w:r>
        <w:rPr>
          <w:rFonts w:hint="default" w:ascii="Times New Roman" w:hAnsi="Times New Roman" w:cs="Times New Roman"/>
          <w:b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alínea</w:t>
      </w:r>
      <w:r>
        <w:rPr>
          <w:rFonts w:hint="default" w:ascii="Times New Roman" w:hAnsi="Times New Roman" w:cs="Times New Roman"/>
          <w:b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“e”</w:t>
      </w:r>
      <w:r>
        <w:rPr>
          <w:rFonts w:hint="default" w:ascii="Times New Roman" w:hAnsi="Times New Roman" w:cs="Times New Roman"/>
          <w:b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e</w:t>
      </w:r>
      <w:r>
        <w:rPr>
          <w:rFonts w:hint="default" w:ascii="Times New Roman" w:hAnsi="Times New Roman" w:cs="Times New Roman"/>
          <w:b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40,</w:t>
      </w:r>
      <w:r>
        <w:rPr>
          <w:rFonts w:hint="default" w:ascii="Times New Roman" w:hAnsi="Times New Roman" w:cs="Times New Roman"/>
          <w:b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§1º, </w:t>
      </w:r>
      <w:r>
        <w:rPr>
          <w:rFonts w:hint="default" w:ascii="Times New Roman" w:hAnsi="Times New Roman" w:cs="Times New Roman"/>
          <w:b/>
          <w:sz w:val="28"/>
          <w:szCs w:val="28"/>
        </w:rPr>
        <w:t>inciso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II, da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Lei nº</w:t>
      </w:r>
      <w:r>
        <w:rPr>
          <w:rFonts w:hint="default"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14.133/2021).</w:t>
      </w:r>
    </w:p>
    <w:p w14:paraId="2AE6AFDD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Cs/>
          <w:spacing w:val="-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Os serviços que não estiverem de acordo com este pedido não serão aceitos.</w:t>
      </w:r>
    </w:p>
    <w:p w14:paraId="6EF574CB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Endereço de cobrança: Av. Ver. Narciso Yague Guimarães, 277, 2º Andar – IPREM, Centro Cívico, Mogi das Cruzes.</w:t>
      </w:r>
    </w:p>
    <w:p w14:paraId="598E82D6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Deverá constar na nota fiscal o número desta autorização de fornecimento.</w:t>
      </w:r>
    </w:p>
    <w:p w14:paraId="4B3E2595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 primeira via deverá ser apresentada no ato do pagamento.</w:t>
      </w:r>
    </w:p>
    <w:p w14:paraId="2A3496CD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Na nota fiscal deverá constar a descrição idêntica à da autorização de fornecimento.</w:t>
      </w:r>
    </w:p>
    <w:p w14:paraId="3E8A0FDD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O IPREM-MC se reserva no direito de comunicar e cancelar o fornecimento sem prejuízo das sanções previstas em lei.</w:t>
      </w:r>
    </w:p>
    <w:p w14:paraId="518F5F82">
      <w:pPr>
        <w:numPr>
          <w:ilvl w:val="1"/>
          <w:numId w:val="1"/>
        </w:numPr>
        <w:spacing w:line="360" w:lineRule="auto"/>
        <w:ind w:left="432" w:leftChars="0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A empresa CONTRATADA que não cumprir as obrigações assumidas, especialmente quanto aos prazos, sofrerá as penalidades estabelecidas na legislação pertinente em vigor. </w:t>
      </w:r>
    </w:p>
    <w:p w14:paraId="044FF059">
      <w:pPr>
        <w:spacing w:line="360" w:lineRule="auto"/>
        <w:rPr>
          <w:rFonts w:hint="default" w:ascii="Times New Roman" w:hAnsi="Times New Roman" w:cs="Times New Roman"/>
          <w:i/>
          <w:sz w:val="28"/>
          <w:szCs w:val="28"/>
        </w:rPr>
      </w:pPr>
    </w:p>
    <w:p w14:paraId="7C18EECC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pt-BR"/>
        </w:rPr>
        <w:t xml:space="preserve">5.8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</w:rPr>
        <w:t>Das obrigações da contratada.</w:t>
      </w:r>
    </w:p>
    <w:p w14:paraId="70B0354A">
      <w:pPr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</w:rPr>
      </w:pPr>
    </w:p>
    <w:p w14:paraId="10E3EA8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/>
        <w:ind w:left="420" w:leftChars="0" w:right="0" w:hanging="420" w:firstLineChars="0"/>
        <w:jc w:val="left"/>
        <w:textAlignment w:val="baseline"/>
        <w:rPr>
          <w:rFonts w:hint="default" w:ascii="Times New Roman" w:hAnsi="Times New Roman" w:eastAsia="Tahoma" w:cs="Times New Roman"/>
          <w:i w:val="0"/>
          <w:iCs w:val="0"/>
          <w:caps w:val="0"/>
          <w:color w:val="242424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 xml:space="preserve">Endereço de ida e volta e envio de nota fiscal: </w: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begin"/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instrText xml:space="preserve"> HYPERLINK "https://www.google.com/maps/dir//IPREM/data=!4m6!4m5!1m1!4e2!1m2!1m1!1s0x94cdd95ec3f8d445:0xd33b3c227966a949?sa=X&amp;ved=2ahUKEwji8PKs3czdAhXPjVkKHSXKCh4Q9RcwAHoECAEQCQ" \o "https://www.google.com/maps/dir//IPREM/data=!4m6!4m5!1m1!4e2!1m2!1m1!1s0x94cdd95ec3f8d445:0xd33b3c227966a949?sa=X&amp;ved=2ahUKEwji8PKs3czdAhXPjVkKHSXKCh4Q9RcwAHoECAEQCQ" \t "https://outlook.office365.com/mail/inbox/id/_blank" </w:instrTex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sz w:val="28"/>
          <w:szCs w:val="28"/>
          <w:shd w:val="clear" w:fill="FDFDFD"/>
          <w:vertAlign w:val="baseline"/>
        </w:rPr>
        <w:t>Av. Vereador Narciso Yague Guimarães, 277, 2º andar</w: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end"/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pt-BR" w:eastAsia="zh-CN" w:bidi="ar"/>
        </w:rPr>
        <w:t xml:space="preserve"> </w: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begin"/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instrText xml:space="preserve"> HYPERLINK "https://www.google.com/maps/dir//IPREM/data=!4m6!4m5!1m1!4e2!1m2!1m1!1s0x94cdd95ec3f8d445:0xd33b3c227966a949?sa=X&amp;ved=2ahUKEwji8PKs3czdAhXPjVkKHSXKCh4Q9RcwAHoECAEQCQ" \o "https://www.google.com/maps/dir//IPREM/data=!4m6!4m5!1m1!4e2!1m2!1m1!1s0x94cdd95ec3f8d445:0xd33b3c227966a949?sa=X&amp;ved=2ahUKEwji8PKs3czdAhXPjVkKHSXKCh4Q9RcwAHoECAEQCQ" \t "https://outlook.office365.com/mail/inbox/id/_blank" </w:instrTex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sz w:val="28"/>
          <w:szCs w:val="28"/>
          <w:shd w:val="clear" w:fill="FDFDFD"/>
          <w:vertAlign w:val="baseline"/>
        </w:rPr>
        <w:t>Centro Cívico - Mogi das Cruzes/SP</w:t>
      </w:r>
      <w:r>
        <w:rPr>
          <w:rFonts w:hint="default" w:ascii="Times New Roman" w:hAnsi="Times New Roman" w:eastAsia="Tahoma" w:cs="Times New Roman"/>
          <w:i/>
          <w:iCs/>
          <w:caps w:val="0"/>
          <w:color w:val="00008B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fldChar w:fldCharType="end"/>
      </w:r>
      <w:r>
        <w:rPr>
          <w:rFonts w:hint="default" w:ascii="Times New Roman" w:hAnsi="Times New Roman" w:eastAsia="Tahoma" w:cs="Times New Roman"/>
          <w:i/>
          <w:iCs/>
          <w:caps w:val="0"/>
          <w:color w:val="000000"/>
          <w:spacing w:val="0"/>
          <w:kern w:val="0"/>
          <w:sz w:val="28"/>
          <w:szCs w:val="28"/>
          <w:shd w:val="clear" w:fill="FDFDFD"/>
          <w:vertAlign w:val="baseline"/>
          <w:lang w:val="en-US" w:eastAsia="zh-CN" w:bidi="ar"/>
        </w:rPr>
        <w:t> - CEP 08780-900</w:t>
      </w:r>
    </w:p>
    <w:p w14:paraId="5F052BA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D"/>
        <w:spacing w:before="0" w:beforeAutospacing="0" w:after="0" w:afterAutospacing="0"/>
        <w:ind w:left="420" w:leftChars="0" w:right="0" w:hanging="420" w:firstLineChars="0"/>
        <w:jc w:val="left"/>
        <w:textAlignment w:val="baseline"/>
        <w:rPr>
          <w:rFonts w:hint="default" w:ascii="Times New Roman" w:hAnsi="Times New Roman" w:eastAsia="Tahoma" w:cs="Times New Roman"/>
          <w:i w:val="0"/>
          <w:iCs w:val="0"/>
          <w:caps w:val="0"/>
          <w:color w:val="242424"/>
          <w:spacing w:val="0"/>
          <w:sz w:val="28"/>
          <w:szCs w:val="28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DFDFD"/>
          <w:vertAlign w:val="baseline"/>
          <w:lang w:val="pt-BR" w:eastAsia="zh-CN" w:bidi="ar"/>
        </w:rPr>
        <w:t>O objeto do contrato deverá ser entregue conforme o cronograma apontado no item 4 do presente termo de referência.</w:t>
      </w:r>
    </w:p>
    <w:p w14:paraId="6B1C5EF7">
      <w:pPr>
        <w:jc w:val="both"/>
        <w:rPr>
          <w:rFonts w:hint="default" w:ascii="Times New Roman" w:hAnsi="Times New Roman" w:cs="Times New Roman"/>
          <w:iCs/>
          <w:sz w:val="28"/>
          <w:szCs w:val="28"/>
          <w:lang w:val="pt-BR"/>
        </w:rPr>
      </w:pPr>
    </w:p>
    <w:p w14:paraId="6FD2A2EE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iCs/>
          <w:color w:val="auto"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iCs/>
          <w:color w:val="auto"/>
          <w:sz w:val="28"/>
          <w:szCs w:val="28"/>
          <w:lang w:val="pt-BR"/>
        </w:rPr>
        <w:t>Na hipótese de constatação de descumprimento do presente termo que comprometam a utilização adequada dos objetos, estes serão rejeitados, em todo ou em parte, conforme dispõe o artigo 119 da lei N° 14.133/2021, sem qualquer ônus para a CONTRATANTE, devendo a CONTRATADA representá-los no prazo de até 2 dias, a partir da data de solicitação da substituição.</w:t>
      </w:r>
    </w:p>
    <w:p w14:paraId="11AA36F0">
      <w:pPr>
        <w:rPr>
          <w:rFonts w:hint="default" w:ascii="Times New Roman" w:hAnsi="Times New Roman" w:cs="Times New Roman"/>
          <w:iCs/>
          <w:color w:val="FF0000"/>
          <w:sz w:val="28"/>
          <w:szCs w:val="28"/>
          <w:lang w:val="pt-BR"/>
        </w:rPr>
      </w:pPr>
    </w:p>
    <w:p w14:paraId="7153DC67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pt-BR"/>
        </w:rPr>
        <w:t>5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>.9.  Das obrigações do contratante.</w:t>
      </w:r>
    </w:p>
    <w:p w14:paraId="290F5B16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</w:p>
    <w:p w14:paraId="358A59F6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>a)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 xml:space="preserve"> Efetuar o pagamento ajustado.</w:t>
      </w:r>
    </w:p>
    <w:p w14:paraId="54D6F5E4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</w:p>
    <w:p w14:paraId="21DA099A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 xml:space="preserve">b)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>Fornecer orientações à regular execução do Contrato.</w:t>
      </w:r>
    </w:p>
    <w:p w14:paraId="09E684BD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</w:p>
    <w:p w14:paraId="10026B71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>c)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 xml:space="preserve"> Exercer a fiscalização dos serviços, assegurando o efetivo cumprimento do contratado.</w:t>
      </w:r>
    </w:p>
    <w:p w14:paraId="2EE26888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</w:p>
    <w:p w14:paraId="1966E670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 xml:space="preserve">d)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>Atuar junto a contratada na resolução de problemas ou outras situações inerentes ao compra..</w:t>
      </w:r>
    </w:p>
    <w:p w14:paraId="4D47FC8D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</w:p>
    <w:p w14:paraId="2A86653A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 xml:space="preserve">e)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>Notificar a contratada por problemas ou irregularidades inerentes à compra.</w:t>
      </w:r>
    </w:p>
    <w:p w14:paraId="2DD79AA0">
      <w:pPr>
        <w:tabs>
          <w:tab w:val="left" w:pos="654"/>
        </w:tabs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</w:p>
    <w:p w14:paraId="5D823BF3">
      <w:pPr>
        <w:numPr>
          <w:ilvl w:val="0"/>
          <w:numId w:val="0"/>
        </w:numPr>
        <w:tabs>
          <w:tab w:val="left" w:pos="654"/>
        </w:tabs>
        <w:ind w:leftChars="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pt-BR"/>
        </w:rPr>
        <w:t>6.0 MODELO DE GESTÃO DO CONTRATO (Art. 6º, XXIII, alínea “f”, da Lei nº14.133/21)</w:t>
      </w:r>
    </w:p>
    <w:p w14:paraId="3C60DC69">
      <w:pPr>
        <w:tabs>
          <w:tab w:val="left" w:pos="654"/>
        </w:tabs>
        <w:ind w:left="720"/>
        <w:jc w:val="both"/>
        <w:rPr>
          <w:rFonts w:hint="default" w:ascii="Times New Roman" w:hAnsi="Times New Roman" w:eastAsia="Times New Roman" w:cs="Times New Roman"/>
          <w:b/>
          <w:i/>
          <w:color w:val="000000"/>
          <w:sz w:val="28"/>
          <w:szCs w:val="28"/>
          <w:lang w:val="pt-BR"/>
        </w:rPr>
      </w:pPr>
    </w:p>
    <w:p w14:paraId="4413C55E">
      <w:pPr>
        <w:numPr>
          <w:ilvl w:val="0"/>
          <w:numId w:val="0"/>
        </w:numPr>
        <w:tabs>
          <w:tab w:val="left" w:pos="654"/>
        </w:tabs>
        <w:ind w:leftChars="0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  <w:t>6.1 Não é aplicável contrato no presente caso.</w:t>
      </w:r>
    </w:p>
    <w:p w14:paraId="510BC334">
      <w:pPr>
        <w:numPr>
          <w:ilvl w:val="0"/>
          <w:numId w:val="0"/>
        </w:numPr>
        <w:tabs>
          <w:tab w:val="left" w:pos="654"/>
        </w:tabs>
        <w:ind w:leftChars="0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pt-BR"/>
        </w:rPr>
      </w:pPr>
    </w:p>
    <w:p w14:paraId="4AB94E8E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val="pt-BR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val="pt-BR"/>
        </w:rPr>
        <w:t>7.0 CRITÉRIOS DE MEDIÇÃO E DE PAGAMENTO (Art. 6º, inc. XXIII, AL. G)</w:t>
      </w:r>
    </w:p>
    <w:p w14:paraId="44604975">
      <w:pPr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val="pt-BR"/>
        </w:rPr>
      </w:pPr>
    </w:p>
    <w:p w14:paraId="20D32E0C">
      <w:pPr>
        <w:pStyle w:val="32"/>
        <w:widowControl w:val="0"/>
        <w:numPr>
          <w:ilvl w:val="0"/>
          <w:numId w:val="0"/>
        </w:numPr>
        <w:tabs>
          <w:tab w:val="left" w:pos="580"/>
        </w:tabs>
        <w:suppressAutoHyphens w:val="0"/>
        <w:autoSpaceDE w:val="0"/>
        <w:autoSpaceDN w:val="0"/>
        <w:spacing w:line="360" w:lineRule="auto"/>
        <w:ind w:leftChars="0"/>
        <w:contextualSpacing w:val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pt-BR"/>
        </w:rPr>
        <w:t>7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pt-BR"/>
        </w:rPr>
        <w:t xml:space="preserve">.1. 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pt-BR"/>
        </w:rPr>
        <w:t xml:space="preserve">O prazo de pagamento é de até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pt-BR"/>
        </w:rPr>
        <w:t>7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pt-BR"/>
        </w:rPr>
        <w:t xml:space="preserve"> dias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pt-BR"/>
        </w:rPr>
        <w:t xml:space="preserve"> úteis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pt-BR"/>
        </w:rPr>
        <w:t xml:space="preserve"> a contar do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pt-BR"/>
        </w:rPr>
        <w:t>fornecimento do serviço.</w:t>
      </w:r>
    </w:p>
    <w:p w14:paraId="4FEBE134">
      <w:pPr>
        <w:pStyle w:val="32"/>
        <w:widowControl w:val="0"/>
        <w:numPr>
          <w:ilvl w:val="0"/>
          <w:numId w:val="0"/>
        </w:numPr>
        <w:tabs>
          <w:tab w:val="left" w:pos="580"/>
        </w:tabs>
        <w:suppressAutoHyphens w:val="0"/>
        <w:autoSpaceDE w:val="0"/>
        <w:autoSpaceDN w:val="0"/>
        <w:spacing w:line="360" w:lineRule="auto"/>
        <w:ind w:leftChars="0"/>
        <w:contextualSpacing w:val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pt-BR"/>
        </w:rPr>
      </w:pPr>
    </w:p>
    <w:p w14:paraId="1729899E">
      <w:pPr>
        <w:pStyle w:val="32"/>
        <w:widowControl w:val="0"/>
        <w:numPr>
          <w:ilvl w:val="0"/>
          <w:numId w:val="0"/>
        </w:numPr>
        <w:tabs>
          <w:tab w:val="left" w:pos="580"/>
        </w:tabs>
        <w:suppressAutoHyphens w:val="0"/>
        <w:autoSpaceDE w:val="0"/>
        <w:autoSpaceDN w:val="0"/>
        <w:spacing w:line="360" w:lineRule="auto"/>
        <w:ind w:leftChars="0"/>
        <w:contextualSpacing w:val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pt-BR"/>
        </w:rPr>
        <w:t xml:space="preserve">8.0 </w:t>
      </w:r>
      <w:r>
        <w:rPr>
          <w:rFonts w:hint="default" w:ascii="Times New Roman" w:hAnsi="Times New Roman" w:cs="Times New Roman"/>
          <w:b/>
          <w:sz w:val="28"/>
          <w:szCs w:val="28"/>
        </w:rPr>
        <w:t>FORMA</w:t>
      </w:r>
      <w:r>
        <w:rPr>
          <w:rFonts w:hint="default" w:ascii="Times New Roman" w:hAnsi="Times New Roman" w:cs="Times New Roman"/>
          <w:b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E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CRITÉRIOS</w:t>
      </w:r>
      <w:r>
        <w:rPr>
          <w:rFonts w:hint="default" w:ascii="Times New Roman" w:hAnsi="Times New Roman" w:cs="Times New Roman"/>
          <w:b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DE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SELEÇÃO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DO</w:t>
      </w:r>
      <w:r>
        <w:rPr>
          <w:rFonts w:hint="default" w:ascii="Times New Roman" w:hAnsi="Times New Roman" w:cs="Times New Roman"/>
          <w:b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FORNECEDOR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(art.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6º,</w:t>
      </w:r>
      <w:r>
        <w:rPr>
          <w:rFonts w:hint="default" w:ascii="Times New Roman" w:hAnsi="Times New Roman" w:cs="Times New Roman"/>
          <w:b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inciso</w:t>
      </w:r>
      <w:r>
        <w:rPr>
          <w:rFonts w:hint="default" w:ascii="Times New Roman" w:hAnsi="Times New Roman" w:cs="Times New Roman"/>
          <w:b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XXIII,</w:t>
      </w:r>
    </w:p>
    <w:p w14:paraId="2F912E1E">
      <w:pPr>
        <w:spacing w:before="39" w:line="360" w:lineRule="auto"/>
        <w:ind w:left="581"/>
        <w:jc w:val="both"/>
        <w:rPr>
          <w:rFonts w:hint="default" w:ascii="Times New Roman" w:hAnsi="Times New Roman" w:cs="Times New Roman"/>
          <w:b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alínea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‘h’, da Lei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nº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14.133/2021)</w:t>
      </w:r>
    </w:p>
    <w:p w14:paraId="6FA305D2">
      <w:pPr>
        <w:pStyle w:val="13"/>
        <w:spacing w:line="360" w:lineRule="auto"/>
        <w:ind w:right="228"/>
        <w:jc w:val="both"/>
        <w:rPr>
          <w:rFonts w:hint="default" w:ascii="Times New Roman" w:hAnsi="Times New Roman" w:cs="Times New Roman"/>
          <w:iCs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>8</w:t>
      </w:r>
      <w:r>
        <w:rPr>
          <w:rFonts w:hint="default" w:ascii="Times New Roman" w:hAnsi="Times New Roman" w:cs="Times New Roman"/>
          <w:iCs/>
          <w:sz w:val="28"/>
          <w:szCs w:val="28"/>
        </w:rPr>
        <w:t>.1.</w:t>
      </w:r>
      <w:r>
        <w:rPr>
          <w:rFonts w:hint="default" w:ascii="Times New Roman" w:hAnsi="Times New Roman" w:cs="Times New Roman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Cs/>
          <w:sz w:val="28"/>
          <w:szCs w:val="28"/>
        </w:rPr>
        <w:t xml:space="preserve">A empresa a ser CONTRATADA será selecionado por meio da realização de </w:t>
      </w: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>dispensa de licitação</w:t>
      </w:r>
      <w:r>
        <w:rPr>
          <w:rFonts w:hint="default" w:ascii="Times New Roman" w:hAnsi="Times New Roman" w:cs="Times New Roman"/>
          <w:iCs/>
          <w:sz w:val="28"/>
          <w:szCs w:val="28"/>
        </w:rPr>
        <w:t xml:space="preserve">, assegurando a seleção da proposta de menor preço nos termos do </w:t>
      </w: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>A</w:t>
      </w:r>
      <w:r>
        <w:rPr>
          <w:rFonts w:hint="default" w:ascii="Times New Roman" w:hAnsi="Times New Roman" w:cs="Times New Roman"/>
          <w:iCs/>
          <w:sz w:val="28"/>
          <w:szCs w:val="28"/>
        </w:rPr>
        <w:t>rt.</w:t>
      </w: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 xml:space="preserve"> </w:t>
      </w:r>
      <w:r>
        <w:rPr>
          <w:rFonts w:hint="default" w:cs="Times New Roman"/>
          <w:iCs/>
          <w:sz w:val="28"/>
          <w:szCs w:val="28"/>
          <w:lang w:val="pt-BR"/>
        </w:rPr>
        <w:t>75, inciso II</w:t>
      </w: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 xml:space="preserve"> da Lei Federal N° 14.133/2021 </w:t>
      </w:r>
    </w:p>
    <w:p w14:paraId="5C2329B8">
      <w:pPr>
        <w:pStyle w:val="32"/>
        <w:widowControl w:val="0"/>
        <w:tabs>
          <w:tab w:val="left" w:pos="928"/>
        </w:tabs>
        <w:suppressAutoHyphens w:val="0"/>
        <w:autoSpaceDE w:val="0"/>
        <w:autoSpaceDN w:val="0"/>
        <w:spacing w:before="225" w:after="225" w:line="360" w:lineRule="auto"/>
        <w:ind w:left="0" w:right="230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Cs/>
          <w:sz w:val="28"/>
          <w:szCs w:val="28"/>
          <w:lang w:val="pt-BR"/>
        </w:rPr>
        <w:t>8</w:t>
      </w:r>
      <w:r>
        <w:rPr>
          <w:rFonts w:hint="default" w:ascii="Times New Roman" w:hAnsi="Times New Roman" w:cs="Times New Roman"/>
          <w:iCs/>
          <w:sz w:val="28"/>
          <w:szCs w:val="28"/>
        </w:rPr>
        <w:t>.2. Previamente à assinatura da Autorização de Fornecimento, será verificada  a</w:t>
      </w:r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s habilitações fiscais, sociais e trabalhistas, mediante a verificação dos seguintes requisitos:</w:t>
      </w:r>
    </w:p>
    <w:p w14:paraId="4C046F5B">
      <w:pPr>
        <w:suppressAutoHyphens w:val="0"/>
        <w:spacing w:before="225" w:after="225" w:line="360" w:lineRule="auto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bookmarkStart w:id="0" w:name="art68i"/>
      <w:bookmarkEnd w:id="0"/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a) a inscrição no Cadastro de Pessoas Físicas (CPF) ou no Cadastro Nacional da Pessoa Jurídica (CNPJ);</w:t>
      </w:r>
    </w:p>
    <w:p w14:paraId="6130C508">
      <w:pPr>
        <w:suppressAutoHyphens w:val="0"/>
        <w:spacing w:before="225" w:after="225" w:line="360" w:lineRule="auto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bookmarkStart w:id="1" w:name="art68ii"/>
      <w:bookmarkEnd w:id="1"/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b) a inscrição no cadastro de contribuintes estadual e/ou municipal, se houver, relativo ao domicílio ou sede do licitante, pertinente ao seu ramo de atividade e compatível com o objeto contratual;</w:t>
      </w:r>
    </w:p>
    <w:p w14:paraId="2703AEFB">
      <w:pPr>
        <w:suppressAutoHyphens w:val="0"/>
        <w:spacing w:before="225" w:after="225" w:line="360" w:lineRule="auto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bookmarkStart w:id="2" w:name="art68iii"/>
      <w:bookmarkEnd w:id="2"/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c) a regularidade perante a Fazenda federal, estadual e/ou municipal do domicílio ou sede do licitante, ou outra equivalente, na forma da lei;</w:t>
      </w:r>
    </w:p>
    <w:p w14:paraId="535C9C50">
      <w:pPr>
        <w:suppressAutoHyphens w:val="0"/>
        <w:spacing w:before="225" w:after="225" w:line="360" w:lineRule="auto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bookmarkStart w:id="3" w:name="art68iv"/>
      <w:bookmarkEnd w:id="3"/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d) a regularidade relativa à Seguridade Social e ao FGTS, que demonstre cumprimento dos encargos sociais instituídos por lei;</w:t>
      </w:r>
    </w:p>
    <w:p w14:paraId="22E58DB1">
      <w:pPr>
        <w:suppressAutoHyphens w:val="0"/>
        <w:spacing w:before="225" w:after="225" w:line="360" w:lineRule="auto"/>
        <w:jc w:val="both"/>
        <w:rPr>
          <w:rFonts w:hint="default" w:ascii="Times New Roman" w:hAnsi="Times New Roman" w:cs="Times New Roman"/>
          <w:iCs/>
          <w:color w:val="000000"/>
          <w:sz w:val="28"/>
          <w:szCs w:val="28"/>
        </w:rPr>
      </w:pPr>
      <w:bookmarkStart w:id="4" w:name="art68v"/>
      <w:bookmarkEnd w:id="4"/>
      <w:r>
        <w:rPr>
          <w:rFonts w:hint="default" w:ascii="Times New Roman" w:hAnsi="Times New Roman" w:cs="Times New Roman"/>
          <w:iCs/>
          <w:color w:val="000000"/>
          <w:sz w:val="28"/>
          <w:szCs w:val="28"/>
        </w:rPr>
        <w:t>e) a regularidade perante a Justiça do Trabalho;</w:t>
      </w:r>
    </w:p>
    <w:p w14:paraId="62A16F80">
      <w:pPr>
        <w:suppressAutoHyphens w:val="0"/>
        <w:spacing w:before="225" w:after="225" w:line="360" w:lineRule="auto"/>
        <w:jc w:val="both"/>
        <w:rPr>
          <w:rFonts w:hint="default" w:ascii="Times New Roman" w:hAnsi="Times New Roman" w:eastAsia="WenQuanYi Zen Hei" w:cs="Times New Roman"/>
          <w:kern w:val="1"/>
          <w:sz w:val="28"/>
          <w:szCs w:val="28"/>
          <w:lang w:eastAsia="zh-CN" w:bidi="hi-IN"/>
        </w:rPr>
      </w:pPr>
      <w:r>
        <w:rPr>
          <w:rFonts w:hint="default" w:ascii="Times New Roman" w:hAnsi="Times New Roman" w:eastAsia="WenQuanYi Zen Hei" w:cs="Times New Roman"/>
          <w:kern w:val="1"/>
          <w:sz w:val="28"/>
          <w:szCs w:val="28"/>
          <w:lang w:eastAsia="zh-CN" w:bidi="hi-IN"/>
        </w:rPr>
        <w:t>f) Inexistência de imposição de sanção de idoneidade por qualquer outro público federal, estadual ou municipal</w:t>
      </w:r>
      <w:r>
        <w:rPr>
          <w:rFonts w:hint="default" w:ascii="Times New Roman" w:hAnsi="Times New Roman" w:eastAsia="WenQuanYi Zen Hei" w:cs="Times New Roman"/>
          <w:kern w:val="1"/>
          <w:sz w:val="28"/>
          <w:szCs w:val="28"/>
          <w:vertAlign w:val="superscript"/>
          <w:lang w:eastAsia="zh-CN" w:bidi="hi-IN"/>
        </w:rPr>
        <w:footnoteReference w:id="0"/>
      </w:r>
      <w:r>
        <w:rPr>
          <w:rFonts w:hint="default" w:ascii="Times New Roman" w:hAnsi="Times New Roman" w:eastAsia="WenQuanYi Zen Hei" w:cs="Times New Roman"/>
          <w:kern w:val="1"/>
          <w:sz w:val="28"/>
          <w:szCs w:val="28"/>
          <w:lang w:eastAsia="zh-CN" w:bidi="hi-IN"/>
        </w:rPr>
        <w:t>.</w:t>
      </w:r>
    </w:p>
    <w:p w14:paraId="5977F420">
      <w:pPr>
        <w:suppressAutoHyphens w:val="0"/>
        <w:spacing w:before="225" w:after="225" w:line="360" w:lineRule="auto"/>
        <w:jc w:val="both"/>
        <w:rPr>
          <w:rFonts w:hint="default" w:ascii="Times New Roman" w:hAnsi="Times New Roman" w:eastAsia="WenQuanYi Zen Hei" w:cs="Times New Roman"/>
          <w:kern w:val="1"/>
          <w:sz w:val="28"/>
          <w:szCs w:val="28"/>
          <w:lang w:eastAsia="zh-CN" w:bidi="hi-IN"/>
        </w:rPr>
      </w:pPr>
    </w:p>
    <w:p w14:paraId="663F5F4F">
      <w:pPr>
        <w:pStyle w:val="2"/>
        <w:numPr>
          <w:ilvl w:val="0"/>
          <w:numId w:val="0"/>
        </w:numPr>
        <w:tabs>
          <w:tab w:val="left" w:pos="360"/>
          <w:tab w:val="left" w:pos="580"/>
        </w:tabs>
        <w:spacing w:before="121" w:line="360" w:lineRule="auto"/>
        <w:ind w:leftChars="0"/>
        <w:jc w:val="both"/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pt-BR"/>
        </w:rPr>
        <w:t xml:space="preserve">9.0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ADEQUAÇÃO</w:t>
      </w:r>
      <w:r>
        <w:rPr>
          <w:rFonts w:hint="default" w:ascii="Times New Roman" w:hAnsi="Times New Roman" w:cs="Times New Roman"/>
          <w:b/>
          <w:color w:val="auto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>ORÇAMENTÁRIA</w:t>
      </w:r>
    </w:p>
    <w:p w14:paraId="2838436D">
      <w:pPr>
        <w:pStyle w:val="32"/>
        <w:widowControl w:val="0"/>
        <w:numPr>
          <w:ilvl w:val="0"/>
          <w:numId w:val="0"/>
        </w:numPr>
        <w:tabs>
          <w:tab w:val="left" w:pos="654"/>
          <w:tab w:val="left" w:pos="9072"/>
        </w:tabs>
        <w:suppressAutoHyphens w:val="0"/>
        <w:autoSpaceDE w:val="0"/>
        <w:autoSpaceDN w:val="0"/>
        <w:spacing w:before="42" w:line="360" w:lineRule="auto"/>
        <w:ind w:leftChars="0" w:right="-2" w:rightChars="0"/>
        <w:contextualSpacing w:val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9.1 </w:t>
      </w:r>
      <w:r>
        <w:rPr>
          <w:rFonts w:hint="default" w:ascii="Times New Roman" w:hAnsi="Times New Roman" w:cs="Times New Roman"/>
          <w:sz w:val="28"/>
          <w:szCs w:val="28"/>
        </w:rPr>
        <w:t>As despesas decorrentes da presente contratação correrão à conta de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recursos específicos consignados no Orçamento Municipal, segundo a LOA 202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</w:t>
      </w:r>
    </w:p>
    <w:p w14:paraId="6047970B">
      <w:pPr>
        <w:pStyle w:val="32"/>
        <w:widowControl w:val="0"/>
        <w:numPr>
          <w:ilvl w:val="0"/>
          <w:numId w:val="0"/>
        </w:numPr>
        <w:tabs>
          <w:tab w:val="left" w:pos="1637"/>
          <w:tab w:val="left" w:pos="9072"/>
        </w:tabs>
        <w:suppressAutoHyphens w:val="0"/>
        <w:autoSpaceDE w:val="0"/>
        <w:autoSpaceDN w:val="0"/>
        <w:spacing w:line="360" w:lineRule="auto"/>
        <w:ind w:leftChars="0" w:right="-2" w:rightChars="0"/>
        <w:contextualSpacing w:val="0"/>
        <w:jc w:val="both"/>
        <w:rPr>
          <w:rFonts w:hint="default" w:ascii="Times New Roman" w:hAnsi="Times New Roman" w:cs="Times New Roman"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9.2 </w:t>
      </w:r>
      <w:r>
        <w:rPr>
          <w:rFonts w:hint="default" w:ascii="Times New Roman" w:hAnsi="Times New Roman" w:cs="Times New Roman"/>
          <w:sz w:val="28"/>
          <w:szCs w:val="28"/>
        </w:rPr>
        <w:t>A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contratação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será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atendida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pela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seguinte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dotação:</w:t>
      </w:r>
    </w:p>
    <w:p w14:paraId="357A7848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9.2.1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Hospedagem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/Transporte</w:t>
      </w:r>
    </w:p>
    <w:p w14:paraId="7242EFFC">
      <w:pPr>
        <w:tabs>
          <w:tab w:val="left" w:pos="9072"/>
        </w:tabs>
        <w:spacing w:line="360" w:lineRule="auto"/>
        <w:ind w:right="-2"/>
        <w:jc w:val="both"/>
        <w:rPr>
          <w:rFonts w:hint="default" w:ascii="Arial" w:hAnsi="Arial"/>
          <w:sz w:val="10"/>
          <w:szCs w:val="24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9.2.2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. Ficha: </w:t>
      </w:r>
      <w:r>
        <w:rPr>
          <w:rFonts w:hint="default" w:ascii="Times New Roman" w:hAnsi="Times New Roman" w:cs="Times New Roman"/>
          <w:sz w:val="24"/>
          <w:szCs w:val="24"/>
        </w:rPr>
        <w:t>719</w:t>
      </w:r>
    </w:p>
    <w:p w14:paraId="65B86BED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9.2.3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 Gestão/Unidade Orçamentária: 31.10.00 – Administração Geral do IPREM.</w:t>
      </w:r>
    </w:p>
    <w:p w14:paraId="6F115177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9.2.4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Programa de Trabalho: 2002 – Manutenção do RPPS.</w:t>
      </w:r>
    </w:p>
    <w:p w14:paraId="066F316E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9.2.5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Ação: 2510 – Apoio a Gestão Previdenciária.</w:t>
      </w:r>
    </w:p>
    <w:p w14:paraId="72C7EB5A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9.2.6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Fonte de Recurso: 04.110.0000 – Geral.</w:t>
      </w:r>
    </w:p>
    <w:p w14:paraId="077A59BC">
      <w:pPr>
        <w:tabs>
          <w:tab w:val="left" w:pos="9072"/>
        </w:tabs>
        <w:spacing w:line="360" w:lineRule="auto"/>
        <w:ind w:right="-2"/>
        <w:jc w:val="both"/>
        <w:rPr>
          <w:rFonts w:hint="default" w:ascii="Times New Roman" w:hAnsi="Times New Roman" w:cs="Times New Roman"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>9.2.7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 Categoria Econômica: 3.3.90.39.00 – Outros Serviços de Terceiros – Pessoa Jurídica.</w:t>
      </w:r>
    </w:p>
    <w:p w14:paraId="4AAC002D">
      <w:pPr>
        <w:rPr>
          <w:rFonts w:hint="default"/>
          <w:lang w:val="pt-BR"/>
        </w:rPr>
      </w:pPr>
    </w:p>
    <w:p w14:paraId="7BD13C30">
      <w:pPr>
        <w:pStyle w:val="3"/>
        <w:spacing w:before="1" w:line="360" w:lineRule="auto"/>
        <w:ind w:firstLine="0"/>
        <w:rPr>
          <w:rFonts w:hint="default" w:ascii="Times New Roman" w:hAnsi="Times New Roman" w:cs="Times New Roman"/>
          <w:sz w:val="28"/>
          <w:szCs w:val="28"/>
          <w:highlight w:val="green"/>
          <w:lang w:val="pt-BR"/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 xml:space="preserve">                                  </w:t>
      </w:r>
      <w:r>
        <w:rPr>
          <w:rFonts w:hint="default" w:ascii="Times New Roman" w:hAnsi="Times New Roman" w:cs="Times New Roman"/>
          <w:sz w:val="28"/>
          <w:szCs w:val="28"/>
        </w:rPr>
        <w:t>Mogi das Cruzes,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pt-BR"/>
        </w:rPr>
        <w:t>1</w:t>
      </w:r>
      <w:r>
        <w:rPr>
          <w:rFonts w:hint="default" w:cs="Times New Roman"/>
          <w:spacing w:val="-4"/>
          <w:sz w:val="28"/>
          <w:szCs w:val="28"/>
          <w:lang w:val="pt-BR"/>
        </w:rPr>
        <w:t>5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pt-BR"/>
        </w:rPr>
        <w:t xml:space="preserve"> de Janeiro de 2026</w:t>
      </w:r>
    </w:p>
    <w:p w14:paraId="678876DE">
      <w:pPr>
        <w:pStyle w:val="13"/>
        <w:spacing w:before="213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</w:p>
    <w:p w14:paraId="794509D2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5A3B5D9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3702CE6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>Luiz Fernando Prado De Miranda</w:t>
      </w:r>
    </w:p>
    <w:p w14:paraId="3E90718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pt-BR"/>
        </w:rPr>
      </w:pPr>
      <w:r>
        <w:rPr>
          <w:rFonts w:hint="default" w:ascii="Times New Roman" w:hAnsi="Times New Roman" w:cs="Times New Roman"/>
          <w:sz w:val="28"/>
          <w:szCs w:val="28"/>
          <w:lang w:val="pt-BR"/>
        </w:rPr>
        <w:t>DIRETOR SUPERINTENDENTE</w:t>
      </w:r>
    </w:p>
    <w:sectPr>
      <w:headerReference r:id="rId4" w:type="default"/>
      <w:footerReference r:id="rId5" w:type="default"/>
      <w:pgSz w:w="11906" w:h="16838"/>
      <w:pgMar w:top="1819" w:right="851" w:bottom="851" w:left="1701" w:header="0" w:footer="283" w:gutter="0"/>
      <w:pgNumType w:start="2"/>
      <w:cols w:space="720" w:num="1"/>
      <w:formProt w:val="0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iberation Sans">
    <w:altName w:val="Segoe Print"/>
    <w:panose1 w:val="00000000000000000000"/>
    <w:charset w:val="00"/>
    <w:family w:val="swiss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enQuanYi Zen Hei">
    <w:altName w:val="Yu Gothic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Helvetica-Black">
    <w:altName w:val="Arial Black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Helvetica-Light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Times-Roman">
    <w:altName w:val="Times New Roman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46D843">
    <w:pPr>
      <w:jc w:val="center"/>
      <w:rPr>
        <w:rFonts w:ascii="Times-Roman" w:hAnsi="Times-Roman" w:cs="Times-Roman"/>
        <w:i/>
        <w:sz w:val="16"/>
        <w:szCs w:val="16"/>
      </w:rPr>
    </w:pPr>
  </w:p>
  <w:p w14:paraId="1FE34D32">
    <w:pPr>
      <w:jc w:val="center"/>
      <w:rPr>
        <w:rFonts w:ascii="Times-Roman" w:hAnsi="Times-Roman" w:cs="Times-Roman"/>
        <w:i/>
        <w:sz w:val="16"/>
        <w:szCs w:val="16"/>
      </w:rPr>
    </w:pPr>
    <w:r>
      <w:rPr>
        <w:rFonts w:ascii="Times-Roman" w:hAnsi="Times-Roman" w:cs="Times-Roman"/>
        <w:i/>
        <w:sz w:val="16"/>
        <w:szCs w:val="16"/>
      </w:rPr>
      <w:t>Instituto de Previdência Municipal – IPREM - Mogi das Cruzes - SP</w:t>
    </w:r>
  </w:p>
  <w:p w14:paraId="6E153C3F">
    <w:pPr>
      <w:jc w:val="center"/>
      <w:rPr>
        <w:rFonts w:ascii="Times-Roman" w:hAnsi="Times-Roman" w:cs="Times-Roman"/>
        <w:sz w:val="16"/>
        <w:szCs w:val="16"/>
      </w:rPr>
    </w:pPr>
    <w:r>
      <w:rPr>
        <w:rFonts w:ascii="Times-Roman" w:hAnsi="Times-Roman" w:cs="Times-Roman"/>
        <w:sz w:val="16"/>
        <w:szCs w:val="16"/>
      </w:rPr>
      <w:t>Av. Vereador Narciso Yague Guimarães, nº 277 – Centro Cívico – Mogi das Cruzes – S.Paulo – CEP 08780-900</w:t>
    </w:r>
  </w:p>
  <w:p w14:paraId="3FB528DC">
    <w:pPr>
      <w:jc w:val="center"/>
      <w:rPr>
        <w:rFonts w:ascii="Times-Roman" w:hAnsi="Times-Roman" w:cs="Times-Roman"/>
        <w:sz w:val="16"/>
        <w:szCs w:val="16"/>
      </w:rPr>
    </w:pPr>
    <w:r>
      <w:rPr>
        <w:rFonts w:ascii="Times-Roman" w:hAnsi="Times-Roman" w:cs="Times-Roman"/>
        <w:sz w:val="16"/>
        <w:szCs w:val="16"/>
      </w:rPr>
      <w:t>Fone: (11) 4798 5076 – http://www.iprem.pmmc.com.br.</w:t>
    </w:r>
  </w:p>
  <w:p w14:paraId="23ED5006">
    <w:pPr>
      <w:jc w:val="center"/>
    </w:pPr>
    <w:r>
      <w:rPr>
        <w:rFonts w:ascii="Times-Roman" w:hAnsi="Times-Roman" w:cs="Times-Roman"/>
        <w:sz w:val="16"/>
        <w:szCs w:val="16"/>
      </w:rPr>
      <w:t>e-mail: iprem@pmmc.com.br</w:t>
    </w:r>
  </w:p>
  <w:p w14:paraId="6223B053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0CB78828">
      <w:pPr>
        <w:rPr>
          <w:rFonts w:ascii="Arial" w:hAnsi="Arial" w:cs="Arial"/>
        </w:rPr>
      </w:pPr>
      <w:r>
        <w:rPr>
          <w:rStyle w:val="9"/>
          <w:rFonts w:ascii="Arial" w:hAnsi="Arial" w:cs="Arial"/>
          <w:sz w:val="20"/>
        </w:rPr>
        <w:footnoteRef/>
      </w:r>
      <w:r>
        <w:rPr>
          <w:rFonts w:ascii="Arial" w:hAnsi="Arial" w:cs="Arial"/>
          <w:sz w:val="20"/>
        </w:rPr>
        <w:t xml:space="preserve"> A verificação pode ser feita pela Internet nos </w:t>
      </w:r>
      <w:r>
        <w:rPr>
          <w:rFonts w:ascii="Arial" w:hAnsi="Arial" w:cs="Arial"/>
          <w:i/>
          <w:sz w:val="20"/>
        </w:rPr>
        <w:t>sites</w:t>
      </w:r>
      <w:r>
        <w:rPr>
          <w:rFonts w:ascii="Arial" w:hAnsi="Arial" w:cs="Arial"/>
          <w:sz w:val="20"/>
        </w:rPr>
        <w:t xml:space="preserve"> do Governo do Estado de SP (</w:t>
      </w:r>
      <w:r>
        <w:fldChar w:fldCharType="begin"/>
      </w:r>
      <w:r>
        <w:instrText xml:space="preserve"> HYPERLINK "http://www.sancoes.sp.gov.br/" </w:instrText>
      </w:r>
      <w:r>
        <w:fldChar w:fldCharType="separate"/>
      </w:r>
      <w:r>
        <w:rPr>
          <w:rStyle w:val="10"/>
          <w:rFonts w:ascii="Arial" w:hAnsi="Arial" w:cs="Arial"/>
          <w:sz w:val="20"/>
        </w:rPr>
        <w:t>http://www.sancoes.sp.gov.br/</w:t>
      </w:r>
      <w:r>
        <w:rPr>
          <w:rStyle w:val="10"/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), do TCE-SP ( </w:t>
      </w:r>
      <w:r>
        <w:fldChar w:fldCharType="begin"/>
      </w:r>
      <w:r>
        <w:instrText xml:space="preserve"> HYPERLINK "http://www2.tce.sp.gov.br/ConsultaApenados/" </w:instrText>
      </w:r>
      <w:r>
        <w:fldChar w:fldCharType="separate"/>
      </w:r>
      <w:r>
        <w:rPr>
          <w:rStyle w:val="10"/>
          <w:rFonts w:ascii="Arial" w:hAnsi="Arial" w:cs="Arial"/>
          <w:sz w:val="20"/>
        </w:rPr>
        <w:t>http://www2.tce.sp.gov.br/ConsultaApenados/</w:t>
      </w:r>
      <w:r>
        <w:rPr>
          <w:rStyle w:val="10"/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) e no site do TCU: (</w:t>
      </w:r>
      <w:r>
        <w:fldChar w:fldCharType="begin"/>
      </w:r>
      <w:r>
        <w:instrText xml:space="preserve"> HYPERLINK "http://portal2.tcu.gov.br/portal/page/portal/TCU/comunidades/responsabilizacao/inidoneos" </w:instrText>
      </w:r>
      <w:r>
        <w:fldChar w:fldCharType="separate"/>
      </w:r>
      <w:r>
        <w:rPr>
          <w:rStyle w:val="10"/>
          <w:rFonts w:ascii="Arial" w:hAnsi="Arial" w:cs="Arial"/>
          <w:sz w:val="20"/>
        </w:rPr>
        <w:t>http://portal2.tcu.gov.br/portal/page/portal/TCU/comunidades/responsabilizacao/inidoneos</w:t>
      </w:r>
      <w:r>
        <w:rPr>
          <w:rStyle w:val="10"/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FB34B7">
    <w:pPr>
      <w:pStyle w:val="17"/>
      <w:jc w:val="center"/>
      <w:rPr>
        <w:rFonts w:ascii="Verdana" w:hAnsi="Verdana"/>
        <w:sz w:val="16"/>
        <w:szCs w:val="16"/>
      </w:rPr>
    </w:pPr>
  </w:p>
  <w:p w14:paraId="6122041B">
    <w:pPr>
      <w:pStyle w:val="17"/>
      <w:jc w:val="center"/>
      <w:rPr>
        <w:rFonts w:ascii="Verdana" w:hAnsi="Verdana"/>
        <w:sz w:val="16"/>
        <w:szCs w:val="16"/>
      </w:rPr>
    </w:pPr>
  </w:p>
  <w:p w14:paraId="71045F6A">
    <w:pPr>
      <w:pStyle w:val="17"/>
      <w:jc w:val="center"/>
      <w:rPr>
        <w:rFonts w:ascii="Verdana" w:hAnsi="Verdana"/>
        <w:sz w:val="16"/>
        <w:szCs w:val="16"/>
      </w:rPr>
    </w:pPr>
  </w:p>
  <w:tbl>
    <w:tblPr>
      <w:tblStyle w:val="6"/>
      <w:tblW w:w="9030" w:type="dxa"/>
      <w:tblInd w:w="87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25"/>
      <w:gridCol w:w="2580"/>
      <w:gridCol w:w="5025"/>
    </w:tblGrid>
    <w:tr w14:paraId="25334CB8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25" w:type="dxa"/>
        </w:tcPr>
        <w:p w14:paraId="4FCD5D05">
          <w:pPr>
            <w:keepNext w:val="0"/>
            <w:keepLines w:val="0"/>
            <w:widowControl/>
            <w:suppressLineNumbers w:val="0"/>
            <w:snapToGrid w:val="0"/>
            <w:spacing w:before="0" w:beforeAutospacing="0" w:after="0" w:afterAutospacing="0"/>
            <w:ind w:left="0" w:right="0"/>
            <w:rPr>
              <w:rFonts w:hint="default" w:ascii="Helvetica-Black" w:hAnsi="Helvetica-Black"/>
              <w:color w:val="002060"/>
              <w:sz w:val="64"/>
              <w:szCs w:val="64"/>
              <w:lang w:eastAsia="ar-SA"/>
            </w:rPr>
          </w:pPr>
          <w:r>
            <w:rPr>
              <w:rFonts w:hint="default" w:ascii="Helvetica-Black" w:hAnsi="Helvetica-Black"/>
              <w:color w:val="002060"/>
              <w:sz w:val="64"/>
              <w:szCs w:val="64"/>
            </w:rPr>
            <w:drawing>
              <wp:inline distT="0" distB="0" distL="114300" distR="114300">
                <wp:extent cx="5939155" cy="725170"/>
                <wp:effectExtent l="0" t="0" r="4445" b="1778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155" cy="72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</w:tcPr>
        <w:p w14:paraId="147657DE">
          <w:pPr>
            <w:keepNext w:val="0"/>
            <w:keepLines w:val="0"/>
            <w:widowControl/>
            <w:suppressLineNumbers w:val="0"/>
            <w:snapToGrid w:val="0"/>
            <w:spacing w:before="0" w:beforeAutospacing="0" w:after="0" w:afterAutospacing="0"/>
            <w:ind w:left="0" w:right="0"/>
            <w:rPr>
              <w:rFonts w:hint="default" w:ascii="Helvetica-Black" w:hAnsi="Helvetica-Black"/>
              <w:color w:val="002060"/>
              <w:sz w:val="64"/>
              <w:szCs w:val="64"/>
              <w:lang w:eastAsia="ar-SA"/>
            </w:rPr>
          </w:pPr>
          <w:r>
            <w:rPr>
              <w:rFonts w:hint="default" w:ascii="Helvetica-Black" w:hAnsi="Helvetica-Black"/>
              <w:color w:val="002060"/>
              <w:sz w:val="64"/>
              <w:szCs w:val="64"/>
            </w:rPr>
            <w:t>IPREM</w:t>
          </w:r>
        </w:p>
      </w:tc>
      <w:tc>
        <w:tcPr>
          <w:tcW w:w="5025" w:type="dxa"/>
        </w:tcPr>
        <w:p w14:paraId="1B15AB54">
          <w:pPr>
            <w:keepNext w:val="0"/>
            <w:keepLines w:val="0"/>
            <w:widowControl/>
            <w:suppressLineNumbers w:val="0"/>
            <w:snapToGrid w:val="0"/>
            <w:spacing w:before="0" w:beforeAutospacing="0" w:after="0" w:afterAutospacing="0"/>
            <w:ind w:left="0" w:right="0"/>
            <w:jc w:val="center"/>
            <w:rPr>
              <w:rFonts w:hint="default" w:ascii="Helvetica-Light" w:hAnsi="Helvetica-Light"/>
              <w:i/>
              <w:color w:val="002060"/>
              <w:sz w:val="10"/>
              <w:szCs w:val="10"/>
            </w:rPr>
          </w:pPr>
        </w:p>
        <w:p w14:paraId="295A7A87"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hint="default" w:ascii="Helvetica-Light" w:hAnsi="Helvetica-Light"/>
              <w:i/>
              <w:color w:val="002060"/>
              <w:sz w:val="32"/>
              <w:szCs w:val="32"/>
            </w:rPr>
          </w:pPr>
          <w:r>
            <w:rPr>
              <w:rFonts w:hint="default" w:ascii="Helvetica-Light" w:hAnsi="Helvetica-Light"/>
              <w:i/>
              <w:color w:val="002060"/>
              <w:sz w:val="32"/>
              <w:szCs w:val="32"/>
            </w:rPr>
            <w:t>Instituto de Previdência Municipal</w:t>
          </w:r>
        </w:p>
        <w:p w14:paraId="0F1B4BB0"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hint="default" w:ascii="Helvetica-Light" w:hAnsi="Helvetica-Light"/>
              <w:i/>
              <w:color w:val="002060"/>
              <w:sz w:val="28"/>
              <w:szCs w:val="28"/>
              <w:lang w:eastAsia="ar-SA"/>
            </w:rPr>
          </w:pPr>
          <w:r>
            <w:rPr>
              <w:rFonts w:hint="default" w:ascii="Helvetica-Light" w:hAnsi="Helvetica-Light"/>
              <w:i/>
              <w:color w:val="002060"/>
              <w:sz w:val="28"/>
              <w:szCs w:val="28"/>
            </w:rPr>
            <w:t>Mogi das Cruzes - SP</w:t>
          </w:r>
        </w:p>
      </w:tc>
    </w:tr>
  </w:tbl>
  <w:p w14:paraId="3C130802">
    <w:pPr>
      <w:pStyle w:val="17"/>
      <w:jc w:val="center"/>
      <w:rPr>
        <w:rFonts w:ascii="Verdana" w:hAnsi="Verdana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2FA7C6"/>
    <w:multiLevelType w:val="singleLevel"/>
    <w:tmpl w:val="0C2FA7C6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51184001"/>
    <w:multiLevelType w:val="multilevel"/>
    <w:tmpl w:val="5118400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."/>
      <w:lvlJc w:val="left"/>
      <w:pPr>
        <w:ind w:left="432" w:hanging="432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entative="0">
      <w:start w:val="1"/>
      <w:numFmt w:val="decimal"/>
      <w:lvlText w:val="%1.%2.%3."/>
      <w:lvlJc w:val="left"/>
      <w:pPr>
        <w:ind w:left="932" w:hanging="989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419" w:hanging="98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39" w:hanging="98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939" w:hanging="98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1419" w:hanging="98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3390" w:hanging="98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5362" w:hanging="98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9"/>
  <w:autoHyphenation/>
  <w:hyphenationZone w:val="425"/>
  <w:displayHorizontalDrawingGridEvery w:val="1"/>
  <w:displayVerticalDrawingGridEvery w:val="1"/>
  <w:noPunctuationKerning w:val="1"/>
  <w:characterSpacingControl w:val="doNotCompress"/>
  <w:footnotePr>
    <w:footnote w:id="2"/>
    <w:footnote w:id="3"/>
  </w:footnotePr>
  <w:compat>
    <w:balanceSingleByteDoubleByteWidth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4313E"/>
    <w:rsid w:val="00046CAD"/>
    <w:rsid w:val="00087C40"/>
    <w:rsid w:val="000D7457"/>
    <w:rsid w:val="000F5C67"/>
    <w:rsid w:val="00114DBD"/>
    <w:rsid w:val="0015255E"/>
    <w:rsid w:val="00177B2D"/>
    <w:rsid w:val="001C0212"/>
    <w:rsid w:val="00284B31"/>
    <w:rsid w:val="0039434A"/>
    <w:rsid w:val="003B0D30"/>
    <w:rsid w:val="003E72B9"/>
    <w:rsid w:val="003F1BC9"/>
    <w:rsid w:val="004663FF"/>
    <w:rsid w:val="004B3616"/>
    <w:rsid w:val="004B75C7"/>
    <w:rsid w:val="004C1CE0"/>
    <w:rsid w:val="005734FD"/>
    <w:rsid w:val="005D0D1A"/>
    <w:rsid w:val="005D6904"/>
    <w:rsid w:val="005F79EF"/>
    <w:rsid w:val="006556B2"/>
    <w:rsid w:val="00667BAE"/>
    <w:rsid w:val="00686460"/>
    <w:rsid w:val="006F4620"/>
    <w:rsid w:val="00702BC1"/>
    <w:rsid w:val="007200E2"/>
    <w:rsid w:val="007C1151"/>
    <w:rsid w:val="007C2947"/>
    <w:rsid w:val="007F2FDB"/>
    <w:rsid w:val="00810162"/>
    <w:rsid w:val="008175D9"/>
    <w:rsid w:val="00870DFE"/>
    <w:rsid w:val="008E0805"/>
    <w:rsid w:val="00900940"/>
    <w:rsid w:val="00932939"/>
    <w:rsid w:val="0096460C"/>
    <w:rsid w:val="009C4253"/>
    <w:rsid w:val="009F0669"/>
    <w:rsid w:val="009F5928"/>
    <w:rsid w:val="00A37684"/>
    <w:rsid w:val="00A427DF"/>
    <w:rsid w:val="00A8328C"/>
    <w:rsid w:val="00AA148B"/>
    <w:rsid w:val="00AD1F7A"/>
    <w:rsid w:val="00B4212F"/>
    <w:rsid w:val="00B44B8F"/>
    <w:rsid w:val="00B459D3"/>
    <w:rsid w:val="00B83F66"/>
    <w:rsid w:val="00BD0CE0"/>
    <w:rsid w:val="00C43EDC"/>
    <w:rsid w:val="00C5581A"/>
    <w:rsid w:val="00C91A0C"/>
    <w:rsid w:val="00CB4EFA"/>
    <w:rsid w:val="00CD6218"/>
    <w:rsid w:val="00CE0245"/>
    <w:rsid w:val="00D9161B"/>
    <w:rsid w:val="00DC4D0F"/>
    <w:rsid w:val="00DD29B5"/>
    <w:rsid w:val="00E0673C"/>
    <w:rsid w:val="00E60597"/>
    <w:rsid w:val="00F20FEB"/>
    <w:rsid w:val="00F424EE"/>
    <w:rsid w:val="00F427AD"/>
    <w:rsid w:val="00FF3F7E"/>
    <w:rsid w:val="01DE2051"/>
    <w:rsid w:val="02EA5359"/>
    <w:rsid w:val="042A1E07"/>
    <w:rsid w:val="04885534"/>
    <w:rsid w:val="063D35B8"/>
    <w:rsid w:val="07FD57B5"/>
    <w:rsid w:val="0DB23EA4"/>
    <w:rsid w:val="0EB01B25"/>
    <w:rsid w:val="10260A75"/>
    <w:rsid w:val="14A85492"/>
    <w:rsid w:val="19F65970"/>
    <w:rsid w:val="1E582298"/>
    <w:rsid w:val="1EA86CBE"/>
    <w:rsid w:val="1EAF2DA2"/>
    <w:rsid w:val="1EEE4470"/>
    <w:rsid w:val="1FF63810"/>
    <w:rsid w:val="26913463"/>
    <w:rsid w:val="2F3F11B5"/>
    <w:rsid w:val="35E102C8"/>
    <w:rsid w:val="363F37BC"/>
    <w:rsid w:val="399D7D96"/>
    <w:rsid w:val="3A44018A"/>
    <w:rsid w:val="3C267A71"/>
    <w:rsid w:val="40110AC8"/>
    <w:rsid w:val="416F7C1B"/>
    <w:rsid w:val="43C137FB"/>
    <w:rsid w:val="44AA40B9"/>
    <w:rsid w:val="4549322D"/>
    <w:rsid w:val="458521FA"/>
    <w:rsid w:val="45E67F06"/>
    <w:rsid w:val="465267D0"/>
    <w:rsid w:val="46CF25DC"/>
    <w:rsid w:val="49A209F2"/>
    <w:rsid w:val="4B0E5460"/>
    <w:rsid w:val="4BF11585"/>
    <w:rsid w:val="4DE4315E"/>
    <w:rsid w:val="51B82A9B"/>
    <w:rsid w:val="56EC41CD"/>
    <w:rsid w:val="56F069F1"/>
    <w:rsid w:val="59C0604D"/>
    <w:rsid w:val="623A722A"/>
    <w:rsid w:val="63D20E6C"/>
    <w:rsid w:val="66B3371F"/>
    <w:rsid w:val="67364CAE"/>
    <w:rsid w:val="67E96EEE"/>
    <w:rsid w:val="6811458F"/>
    <w:rsid w:val="69002145"/>
    <w:rsid w:val="6C254418"/>
    <w:rsid w:val="6C8C1437"/>
    <w:rsid w:val="6CB716E9"/>
    <w:rsid w:val="6D343FFB"/>
    <w:rsid w:val="6E6B10B6"/>
    <w:rsid w:val="6F416B95"/>
    <w:rsid w:val="72C123A3"/>
    <w:rsid w:val="735E24D7"/>
    <w:rsid w:val="739C22F6"/>
    <w:rsid w:val="752D274F"/>
    <w:rsid w:val="75C05299"/>
    <w:rsid w:val="763E0C8B"/>
    <w:rsid w:val="7CE53B5D"/>
    <w:rsid w:val="7E21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lang w:val="pt-BR" w:eastAsia="pt-BR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2"/>
    <w:basedOn w:val="1"/>
    <w:next w:val="1"/>
    <w:link w:val="22"/>
    <w:qFormat/>
    <w:uiPriority w:val="0"/>
    <w:pPr>
      <w:keepNext/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ind w:firstLine="1418"/>
      <w:jc w:val="both"/>
      <w:outlineLvl w:val="1"/>
    </w:pPr>
    <w:rPr>
      <w:lang w:val="zh-CN"/>
    </w:rPr>
  </w:style>
  <w:style w:type="paragraph" w:styleId="4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Emphasis"/>
    <w:qFormat/>
    <w:uiPriority w:val="0"/>
    <w:rPr>
      <w:i/>
      <w:iCs/>
    </w:rPr>
  </w:style>
  <w:style w:type="character" w:styleId="9">
    <w:name w:val="footnote reference"/>
    <w:qFormat/>
    <w:uiPriority w:val="0"/>
    <w:rPr>
      <w:vertAlign w:val="superscript"/>
    </w:rPr>
  </w:style>
  <w:style w:type="character" w:styleId="10">
    <w:name w:val="Hyperlink"/>
    <w:basedOn w:val="5"/>
    <w:unhideWhenUsed/>
    <w:qFormat/>
    <w:uiPriority w:val="99"/>
    <w:rPr>
      <w:color w:val="0000FF"/>
      <w:u w:val="single"/>
    </w:rPr>
  </w:style>
  <w:style w:type="character" w:styleId="11">
    <w:name w:val="page number"/>
    <w:basedOn w:val="5"/>
    <w:qFormat/>
    <w:uiPriority w:val="0"/>
  </w:style>
  <w:style w:type="paragraph" w:styleId="12">
    <w:name w:val="List"/>
    <w:basedOn w:val="13"/>
    <w:qFormat/>
    <w:uiPriority w:val="0"/>
    <w:rPr>
      <w:rFonts w:cs="Arial"/>
    </w:rPr>
  </w:style>
  <w:style w:type="paragraph" w:styleId="13">
    <w:name w:val="Body Text"/>
    <w:basedOn w:val="1"/>
    <w:qFormat/>
    <w:uiPriority w:val="0"/>
    <w:pPr>
      <w:spacing w:after="140" w:line="276" w:lineRule="auto"/>
    </w:pPr>
  </w:style>
  <w:style w:type="paragraph" w:styleId="14">
    <w:name w:val="Title"/>
    <w:basedOn w:val="1"/>
    <w:next w:val="13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5">
    <w:name w:val="Normal (Web)"/>
    <w:basedOn w:val="1"/>
    <w:semiHidden/>
    <w:unhideWhenUsed/>
    <w:qFormat/>
    <w:uiPriority w:val="99"/>
    <w:pPr>
      <w:suppressAutoHyphens w:val="0"/>
      <w:spacing w:beforeAutospacing="1" w:afterAutospacing="1"/>
    </w:pPr>
    <w:rPr>
      <w:szCs w:val="24"/>
    </w:rPr>
  </w:style>
  <w:style w:type="paragraph" w:styleId="16">
    <w:name w:val="Body Text 2"/>
    <w:basedOn w:val="1"/>
    <w:link w:val="27"/>
    <w:qFormat/>
    <w:uiPriority w:val="0"/>
    <w:pPr>
      <w:suppressAutoHyphens w:val="0"/>
      <w:spacing w:beforeAutospacing="1" w:afterAutospacing="1"/>
      <w:jc w:val="both"/>
    </w:pPr>
    <w:rPr>
      <w:szCs w:val="24"/>
    </w:rPr>
  </w:style>
  <w:style w:type="paragraph" w:styleId="17">
    <w:name w:val="header"/>
    <w:basedOn w:val="1"/>
    <w:link w:val="23"/>
    <w:qFormat/>
    <w:uiPriority w:val="99"/>
    <w:pPr>
      <w:tabs>
        <w:tab w:val="center" w:pos="4419"/>
        <w:tab w:val="right" w:pos="8838"/>
      </w:tabs>
    </w:pPr>
    <w:rPr>
      <w:lang w:val="zh-CN"/>
    </w:rPr>
  </w:style>
  <w:style w:type="paragraph" w:styleId="18">
    <w:name w:val="footer"/>
    <w:basedOn w:val="1"/>
    <w:link w:val="24"/>
    <w:qFormat/>
    <w:uiPriority w:val="99"/>
    <w:pPr>
      <w:tabs>
        <w:tab w:val="center" w:pos="4419"/>
        <w:tab w:val="right" w:pos="8838"/>
      </w:tabs>
    </w:pPr>
    <w:rPr>
      <w:lang w:val="zh-CN"/>
    </w:rPr>
  </w:style>
  <w:style w:type="paragraph" w:styleId="1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Cs w:val="24"/>
    </w:rPr>
  </w:style>
  <w:style w:type="paragraph" w:styleId="20">
    <w:name w:val="Balloon Text"/>
    <w:basedOn w:val="1"/>
    <w:link w:val="26"/>
    <w:semiHidden/>
    <w:unhideWhenUsed/>
    <w:qFormat/>
    <w:uiPriority w:val="99"/>
    <w:rPr>
      <w:rFonts w:ascii="Segoe UI" w:hAnsi="Segoe UI"/>
      <w:sz w:val="18"/>
      <w:szCs w:val="18"/>
      <w:lang w:val="zh-CN" w:eastAsia="zh-CN"/>
    </w:rPr>
  </w:style>
  <w:style w:type="table" w:styleId="21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2">
    <w:name w:val="Título 2 Char"/>
    <w:link w:val="3"/>
    <w:qFormat/>
    <w:uiPriority w:val="0"/>
    <w:rPr>
      <w:rFonts w:ascii="Times New Roman" w:hAnsi="Times New Roman" w:eastAsia="Times New Roman"/>
      <w:sz w:val="24"/>
      <w:lang w:val="zh-CN"/>
    </w:rPr>
  </w:style>
  <w:style w:type="character" w:customStyle="1" w:styleId="23">
    <w:name w:val="Cabeçalho Char"/>
    <w:link w:val="17"/>
    <w:qFormat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4">
    <w:name w:val="Rodapé Char"/>
    <w:link w:val="18"/>
    <w:qFormat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5">
    <w:name w:val="apple-style-span"/>
    <w:basedOn w:val="5"/>
    <w:qFormat/>
    <w:uiPriority w:val="0"/>
  </w:style>
  <w:style w:type="character" w:customStyle="1" w:styleId="26">
    <w:name w:val="Texto de balão Char"/>
    <w:link w:val="20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character" w:customStyle="1" w:styleId="27">
    <w:name w:val="Corpo de texto 2 Char"/>
    <w:link w:val="16"/>
    <w:qFormat/>
    <w:uiPriority w:val="0"/>
    <w:rPr>
      <w:rFonts w:ascii="Times New Roman" w:hAnsi="Times New Roman" w:eastAsia="Times New Roman"/>
      <w:sz w:val="24"/>
      <w:szCs w:val="24"/>
    </w:rPr>
  </w:style>
  <w:style w:type="character" w:customStyle="1" w:styleId="28">
    <w:name w:val="Título 1 Char"/>
    <w:link w:val="2"/>
    <w:qFormat/>
    <w:uiPriority w:val="9"/>
    <w:rPr>
      <w:rFonts w:ascii="Cambria" w:hAnsi="Cambria" w:eastAsia="Times New Roman" w:cs="Times New Roman"/>
      <w:color w:val="365F91"/>
      <w:sz w:val="32"/>
      <w:szCs w:val="32"/>
    </w:rPr>
  </w:style>
  <w:style w:type="paragraph" w:customStyle="1" w:styleId="29">
    <w:name w:val="Índice"/>
    <w:basedOn w:val="1"/>
    <w:qFormat/>
    <w:uiPriority w:val="0"/>
    <w:pPr>
      <w:suppressLineNumbers/>
    </w:pPr>
    <w:rPr>
      <w:rFonts w:cs="Arial"/>
    </w:rPr>
  </w:style>
  <w:style w:type="paragraph" w:customStyle="1" w:styleId="30">
    <w:name w:val="Cabeçalho e Rodapé"/>
    <w:basedOn w:val="1"/>
    <w:qFormat/>
    <w:uiPriority w:val="0"/>
  </w:style>
  <w:style w:type="paragraph" w:customStyle="1" w:styleId="31">
    <w:name w:val="Default"/>
    <w:qFormat/>
    <w:uiPriority w:val="0"/>
    <w:pPr>
      <w:suppressAutoHyphens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32">
    <w:name w:val="List Paragraph"/>
    <w:basedOn w:val="1"/>
    <w:qFormat/>
    <w:uiPriority w:val="1"/>
    <w:pPr>
      <w:ind w:left="720"/>
      <w:contextualSpacing/>
    </w:pPr>
  </w:style>
  <w:style w:type="table" w:customStyle="1" w:styleId="33">
    <w:name w:val="Table Normal1"/>
    <w:semiHidden/>
    <w:unhideWhenUsed/>
    <w:qFormat/>
    <w:uiPriority w:val="2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4">
    <w:name w:val="Table Paragraph"/>
    <w:basedOn w:val="1"/>
    <w:qFormat/>
    <w:uiPriority w:val="1"/>
    <w:pPr>
      <w:widowControl w:val="0"/>
      <w:suppressAutoHyphens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/>
    </w:rPr>
  </w:style>
  <w:style w:type="character" w:customStyle="1" w:styleId="35">
    <w:name w:val="Menção Pendente1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A13A0-E374-40F7-AF50-B516E5A1A4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UFSC</Company>
  <Pages>8</Pages>
  <Words>1376</Words>
  <Characters>7435</Characters>
  <Lines>1</Lines>
  <Paragraphs>1</Paragraphs>
  <TotalTime>119</TotalTime>
  <ScaleCrop>false</ScaleCrop>
  <LinksUpToDate>false</LinksUpToDate>
  <CharactersWithSpaces>8794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2025-09-05T01:14:00Z</dcterms:created>
  <dc:creator>Zulma</dc:creator>
  <cp:lastModifiedBy>36</cp:lastModifiedBy>
  <cp:lastPrinted>2026-01-14T18:20:00Z</cp:lastPrinted>
  <dcterms:modified xsi:type="dcterms:W3CDTF">2026-01-22T13:08:40Z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B847B5ED9B414274A6769EFB2CF919A2_13</vt:lpwstr>
  </property>
</Properties>
</file>