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4F087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DOCUMENTO DE FORMAÇÃO DE DEMANDA</w:t>
      </w:r>
    </w:p>
    <w:p w14:paraId="52AC2569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Consórcio Intermunicipal CISCAI</w:t>
      </w:r>
      <w:r w:rsidRPr="00E51E7B">
        <w:rPr>
          <w:rFonts w:ascii="Times New Roman" w:hAnsi="Times New Roman" w:cs="Times New Roman"/>
          <w:sz w:val="24"/>
          <w:szCs w:val="24"/>
        </w:rPr>
        <w:br/>
      </w:r>
      <w:r w:rsidRPr="00E51E7B">
        <w:rPr>
          <w:rFonts w:ascii="Times New Roman" w:hAnsi="Times New Roman" w:cs="Times New Roman"/>
          <w:b/>
          <w:bCs/>
          <w:sz w:val="24"/>
          <w:szCs w:val="24"/>
        </w:rPr>
        <w:t xml:space="preserve">Data: </w:t>
      </w:r>
      <w:proofErr w:type="gramStart"/>
      <w:r w:rsidRPr="00E51E7B">
        <w:rPr>
          <w:rFonts w:ascii="Times New Roman" w:hAnsi="Times New Roman" w:cs="Times New Roman"/>
          <w:b/>
          <w:bCs/>
          <w:sz w:val="24"/>
          <w:szCs w:val="24"/>
        </w:rPr>
        <w:t>Maio</w:t>
      </w:r>
      <w:proofErr w:type="gramEnd"/>
      <w:r w:rsidRPr="00E51E7B">
        <w:rPr>
          <w:rFonts w:ascii="Times New Roman" w:hAnsi="Times New Roman" w:cs="Times New Roman"/>
          <w:b/>
          <w:bCs/>
          <w:sz w:val="24"/>
          <w:szCs w:val="24"/>
        </w:rPr>
        <w:t>/2026</w:t>
      </w:r>
      <w:r w:rsidRPr="00E51E7B">
        <w:rPr>
          <w:rFonts w:ascii="Times New Roman" w:hAnsi="Times New Roman" w:cs="Times New Roman"/>
          <w:sz w:val="24"/>
          <w:szCs w:val="24"/>
        </w:rPr>
        <w:br/>
      </w:r>
      <w:r w:rsidRPr="00E51E7B">
        <w:rPr>
          <w:rFonts w:ascii="Times New Roman" w:hAnsi="Times New Roman" w:cs="Times New Roman"/>
          <w:b/>
          <w:bCs/>
          <w:sz w:val="24"/>
          <w:szCs w:val="24"/>
        </w:rPr>
        <w:t>Processo: Contratação de materiais elétricos, equipamentos de iluminação pública LED, serviços de instalação, manutenção, software de gestão e georreferenciamento</w:t>
      </w:r>
    </w:p>
    <w:p w14:paraId="31241A18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2A6AF3D3">
          <v:rect id="_x0000_i1025" style="width:0;height:.75pt" o:hralign="center" o:hrstd="t" o:hr="t" fillcolor="#a0a0a0" stroked="f"/>
        </w:pict>
      </w:r>
    </w:p>
    <w:p w14:paraId="5109CDB4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1. IDENTIFICAÇÃO DA DEMANDA</w:t>
      </w:r>
    </w:p>
    <w:p w14:paraId="00255B12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Órgão demandante:</w:t>
      </w:r>
      <w:r w:rsidRPr="00E51E7B">
        <w:rPr>
          <w:rFonts w:ascii="Times New Roman" w:hAnsi="Times New Roman" w:cs="Times New Roman"/>
          <w:sz w:val="24"/>
          <w:szCs w:val="24"/>
        </w:rPr>
        <w:t> Consórcio Intermunicipal CISCAI, em nome dos 32 municípios consorciados.</w:t>
      </w:r>
    </w:p>
    <w:p w14:paraId="34236B80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Objeto da contratação:</w:t>
      </w:r>
      <w:r w:rsidRPr="00E51E7B">
        <w:rPr>
          <w:rFonts w:ascii="Times New Roman" w:hAnsi="Times New Roman" w:cs="Times New Roman"/>
          <w:sz w:val="24"/>
          <w:szCs w:val="24"/>
        </w:rPr>
        <w:t> Fornecimento de luminárias e projetores LED, materiais elétricos, serviços de instalação, manutenção preventiva e corretiva, software de gestão com georreferenciamento e destinação ambientalmente adequada de resíduos, para modernização, manutenção e ampliação do parque de iluminação pública.</w:t>
      </w:r>
    </w:p>
    <w:p w14:paraId="4DDFDC8D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Natureza da demanda:</w:t>
      </w:r>
      <w:r w:rsidRPr="00E51E7B">
        <w:rPr>
          <w:rFonts w:ascii="Times New Roman" w:hAnsi="Times New Roman" w:cs="Times New Roman"/>
          <w:sz w:val="24"/>
          <w:szCs w:val="24"/>
        </w:rPr>
        <w:t> Necessidade permanente e essencial (art. 21, XXII, CF), com impacto direto na segurança viária, prevenção à criminalidade, eficiência energética e sustentabilidade.</w:t>
      </w:r>
    </w:p>
    <w:p w14:paraId="201CE74A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6418A1E5">
          <v:rect id="_x0000_i1026" style="width:0;height:.75pt" o:hralign="center" o:hrstd="t" o:hr="t" fillcolor="#a0a0a0" stroked="f"/>
        </w:pict>
      </w:r>
    </w:p>
    <w:p w14:paraId="0FE1C21A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2. DESCRIÇÃO DA NECESSIDADE</w:t>
      </w:r>
    </w:p>
    <w:p w14:paraId="62E0061B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Os 32 municípios consorciados ao CISCAI possuem atualmente cerca de </w:t>
      </w:r>
      <w:r w:rsidRPr="00E51E7B">
        <w:rPr>
          <w:rFonts w:ascii="Times New Roman" w:hAnsi="Times New Roman" w:cs="Times New Roman"/>
          <w:b/>
          <w:bCs/>
          <w:sz w:val="24"/>
          <w:szCs w:val="24"/>
        </w:rPr>
        <w:t>68.975 pontos de luz</w:t>
      </w:r>
      <w:r w:rsidRPr="00E51E7B">
        <w:rPr>
          <w:rFonts w:ascii="Times New Roman" w:hAnsi="Times New Roman" w:cs="Times New Roman"/>
          <w:sz w:val="24"/>
          <w:szCs w:val="24"/>
        </w:rPr>
        <w:t> (conforme levantamento anexo), majoritariamente compostos por tecnologias obsoletas (vapor de sódio, vapor metálico e fluorescentes). Esses sistemas apresentam:</w:t>
      </w:r>
    </w:p>
    <w:p w14:paraId="47572F85" w14:textId="77777777" w:rsidR="00E51E7B" w:rsidRPr="00E51E7B" w:rsidRDefault="00E51E7B" w:rsidP="00E51E7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Elevado consumo energético e baixa eficiência luminosa;</w:t>
      </w:r>
    </w:p>
    <w:p w14:paraId="76C6E8DD" w14:textId="77777777" w:rsidR="00E51E7B" w:rsidRPr="00E51E7B" w:rsidRDefault="00E51E7B" w:rsidP="00E51E7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Alto custo de manutenção e reposição de peças;</w:t>
      </w:r>
    </w:p>
    <w:p w14:paraId="47E06789" w14:textId="77777777" w:rsidR="00E51E7B" w:rsidRPr="00E51E7B" w:rsidRDefault="00E51E7B" w:rsidP="00E51E7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Risco de descontinuidade de componentes no mercado;</w:t>
      </w:r>
    </w:p>
    <w:p w14:paraId="06F0D95A" w14:textId="77777777" w:rsidR="00E51E7B" w:rsidRPr="00E51E7B" w:rsidRDefault="00E51E7B" w:rsidP="00E51E7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Falta de padronização e gestão descentralizada;</w:t>
      </w:r>
    </w:p>
    <w:p w14:paraId="60CEF85B" w14:textId="77777777" w:rsidR="00E51E7B" w:rsidRPr="00E51E7B" w:rsidRDefault="00E51E7B" w:rsidP="00E51E7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Ausência de indicadores de desempenho e controle de falhas.</w:t>
      </w:r>
    </w:p>
    <w:p w14:paraId="7F1AB0C4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A operação municipal isolada gera ineficiências, desperdício de escala e dificuldade de rastreabilidade. A contratação consorciada é a solução mais adequada para garantir uniformidade tecnológica, redução de custos e ganhos de eficiência.</w:t>
      </w:r>
    </w:p>
    <w:p w14:paraId="3DFC5D1E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2007A988">
          <v:rect id="_x0000_i1027" style="width:0;height:.75pt" o:hralign="center" o:hrstd="t" o:hr="t" fillcolor="#a0a0a0" stroked="f"/>
        </w:pict>
      </w:r>
    </w:p>
    <w:p w14:paraId="158D22F0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3. JUSTIFICATIVA DA CONTRATAÇÃO CONSORCIADA</w:t>
      </w:r>
    </w:p>
    <w:p w14:paraId="62821F43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A formação da demanda conjunta pelos 32 municípios fundamenta-se em:</w:t>
      </w:r>
    </w:p>
    <w:p w14:paraId="34F63185" w14:textId="77777777" w:rsidR="00E51E7B" w:rsidRPr="00E51E7B" w:rsidRDefault="00E51E7B" w:rsidP="00E51E7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Ganhos de escala:</w:t>
      </w:r>
      <w:r w:rsidRPr="00E51E7B">
        <w:rPr>
          <w:rFonts w:ascii="Times New Roman" w:hAnsi="Times New Roman" w:cs="Times New Roman"/>
          <w:sz w:val="24"/>
          <w:szCs w:val="24"/>
        </w:rPr>
        <w:t> redução estimada de 60% no consumo energético e menor preço por unidade;</w:t>
      </w:r>
    </w:p>
    <w:p w14:paraId="63D68F89" w14:textId="77777777" w:rsidR="00E51E7B" w:rsidRPr="00E51E7B" w:rsidRDefault="00E51E7B" w:rsidP="00E51E7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Padronização tecnológica:</w:t>
      </w:r>
      <w:r w:rsidRPr="00E51E7B">
        <w:rPr>
          <w:rFonts w:ascii="Times New Roman" w:hAnsi="Times New Roman" w:cs="Times New Roman"/>
          <w:sz w:val="24"/>
          <w:szCs w:val="24"/>
        </w:rPr>
        <w:t xml:space="preserve"> todas as luminárias LED com eficiência ≥180 </w:t>
      </w:r>
      <w:proofErr w:type="spellStart"/>
      <w:r w:rsidRPr="00E51E7B">
        <w:rPr>
          <w:rFonts w:ascii="Times New Roman" w:hAnsi="Times New Roman" w:cs="Times New Roman"/>
          <w:sz w:val="24"/>
          <w:szCs w:val="24"/>
        </w:rPr>
        <w:t>lm</w:t>
      </w:r>
      <w:proofErr w:type="spellEnd"/>
      <w:r w:rsidRPr="00E51E7B">
        <w:rPr>
          <w:rFonts w:ascii="Times New Roman" w:hAnsi="Times New Roman" w:cs="Times New Roman"/>
          <w:sz w:val="24"/>
          <w:szCs w:val="24"/>
        </w:rPr>
        <w:t>/W, garantia única de 5 anos;</w:t>
      </w:r>
    </w:p>
    <w:p w14:paraId="394D5AE7" w14:textId="77777777" w:rsidR="00E51E7B" w:rsidRPr="00E51E7B" w:rsidRDefault="00E51E7B" w:rsidP="00E51E7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lastRenderedPageBreak/>
        <w:t>Gestão centralizada:</w:t>
      </w:r>
      <w:r w:rsidRPr="00E51E7B">
        <w:rPr>
          <w:rFonts w:ascii="Times New Roman" w:hAnsi="Times New Roman" w:cs="Times New Roman"/>
          <w:sz w:val="24"/>
          <w:szCs w:val="24"/>
        </w:rPr>
        <w:t> software de georreferenciamento único para todos os municípios, com fotos antes/depois, ordens de serviço e medição mensal;</w:t>
      </w:r>
    </w:p>
    <w:p w14:paraId="67A52B7A" w14:textId="77777777" w:rsidR="00E51E7B" w:rsidRPr="00E51E7B" w:rsidRDefault="00E51E7B" w:rsidP="00E51E7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Logística reversa eficiente:</w:t>
      </w:r>
      <w:r w:rsidRPr="00E51E7B">
        <w:rPr>
          <w:rFonts w:ascii="Times New Roman" w:hAnsi="Times New Roman" w:cs="Times New Roman"/>
          <w:sz w:val="24"/>
          <w:szCs w:val="24"/>
        </w:rPr>
        <w:t> destinação ambientalmente correta de resíduos (lâmpadas de descarga, mercúrio);</w:t>
      </w:r>
    </w:p>
    <w:p w14:paraId="4681E62D" w14:textId="77777777" w:rsidR="00E51E7B" w:rsidRPr="00E51E7B" w:rsidRDefault="00E51E7B" w:rsidP="00E51E7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Segurança orçamentária:</w:t>
      </w:r>
      <w:r w:rsidRPr="00E51E7B">
        <w:rPr>
          <w:rFonts w:ascii="Times New Roman" w:hAnsi="Times New Roman" w:cs="Times New Roman"/>
          <w:sz w:val="24"/>
          <w:szCs w:val="24"/>
        </w:rPr>
        <w:t> parcelamento da despesa com base em estimativa conservadora (1º quartil).</w:t>
      </w:r>
    </w:p>
    <w:p w14:paraId="006813AF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60FF89FD">
          <v:rect id="_x0000_i1028" style="width:0;height:.75pt" o:hralign="center" o:hrstd="t" o:hr="t" fillcolor="#a0a0a0" stroked="f"/>
        </w:pict>
      </w:r>
    </w:p>
    <w:p w14:paraId="33C7D10E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4. MUNICÍPIOS ENVOLVIDOS E QUANTITATIVO DE PONTOS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64"/>
        <w:gridCol w:w="5816"/>
      </w:tblGrid>
      <w:tr w:rsidR="00E51E7B" w:rsidRPr="00E51E7B" w14:paraId="57B0E6E9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ABCD92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Município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FA26D7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Pontos de iluminação</w:t>
            </w:r>
          </w:p>
        </w:tc>
      </w:tr>
      <w:tr w:rsidR="00E51E7B" w:rsidRPr="00E51E7B" w14:paraId="5AC5CE2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976C8F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Feliz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2C83B7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2.700</w:t>
            </w:r>
          </w:p>
        </w:tc>
      </w:tr>
      <w:tr w:rsidR="00E51E7B" w:rsidRPr="00E51E7B" w14:paraId="5951555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83BE95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Montenegro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334E57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7.000</w:t>
            </w:r>
          </w:p>
        </w:tc>
      </w:tr>
      <w:tr w:rsidR="00E51E7B" w:rsidRPr="00E51E7B" w14:paraId="057EF64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42EBFB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Alto Feliz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63B0B5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E51E7B" w:rsidRPr="00E51E7B" w14:paraId="6DCF7DF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BA0808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Barão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5D314BD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1.100</w:t>
            </w:r>
          </w:p>
        </w:tc>
      </w:tr>
      <w:tr w:rsidR="00E51E7B" w:rsidRPr="00E51E7B" w14:paraId="164C925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2118E5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Boa Vista do Sul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C4D5D8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1.700</w:t>
            </w:r>
          </w:p>
        </w:tc>
      </w:tr>
      <w:tr w:rsidR="00E51E7B" w:rsidRPr="00E51E7B" w14:paraId="7AD5CF4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96E967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Brochier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84C712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</w:p>
        </w:tc>
      </w:tr>
      <w:tr w:rsidR="00E51E7B" w:rsidRPr="00E51E7B" w14:paraId="7965226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7E03E0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Capela de Santana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6798FE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</w:tr>
      <w:tr w:rsidR="00E51E7B" w:rsidRPr="00E51E7B" w14:paraId="3EEB8EB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E603B1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Colinas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28665C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E51E7B" w:rsidRPr="00E51E7B" w14:paraId="01109C7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CF04A1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Fazenda Vila Nova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F181E2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</w:p>
        </w:tc>
      </w:tr>
      <w:tr w:rsidR="00E51E7B" w:rsidRPr="00E51E7B" w14:paraId="284ECC3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4E2649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Harmonia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1FC82A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1.500</w:t>
            </w:r>
          </w:p>
        </w:tc>
      </w:tr>
      <w:tr w:rsidR="00E51E7B" w:rsidRPr="00E51E7B" w14:paraId="3FFA02B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FC8B4E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Imigrante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7913D2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E51E7B" w:rsidRPr="00E51E7B" w14:paraId="5C317A3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47968D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Linha Nova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6783A0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51E7B" w:rsidRPr="00E51E7B" w14:paraId="1D1A33D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2BBD04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Maratá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FF4581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E51E7B" w:rsidRPr="00E51E7B" w14:paraId="51B79A1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448280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Nova Santa Rita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4F1A7B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7.000</w:t>
            </w:r>
          </w:p>
        </w:tc>
      </w:tr>
      <w:tr w:rsidR="00E51E7B" w:rsidRPr="00E51E7B" w14:paraId="68DAE86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9ED05A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Pareci Novo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ABD36D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1.200</w:t>
            </w:r>
          </w:p>
        </w:tc>
      </w:tr>
      <w:tr w:rsidR="00E51E7B" w:rsidRPr="00E51E7B" w14:paraId="6FD61C7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133953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Paverama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8AE092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1.900</w:t>
            </w:r>
          </w:p>
        </w:tc>
      </w:tr>
      <w:tr w:rsidR="00E51E7B" w:rsidRPr="00E51E7B" w14:paraId="4313FE2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0E58B3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Portão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6D7450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6.500</w:t>
            </w:r>
          </w:p>
        </w:tc>
      </w:tr>
      <w:tr w:rsidR="00E51E7B" w:rsidRPr="00E51E7B" w14:paraId="6FCC12D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08DC07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Rosário do Sul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EDE08A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6.200</w:t>
            </w:r>
          </w:p>
        </w:tc>
      </w:tr>
      <w:tr w:rsidR="00E51E7B" w:rsidRPr="00E51E7B" w14:paraId="7D6AC93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FB433C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Salvador do Sul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4EFDC8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955</w:t>
            </w:r>
          </w:p>
        </w:tc>
      </w:tr>
      <w:tr w:rsidR="00E51E7B" w:rsidRPr="00E51E7B" w14:paraId="31B2B86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B5E839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São José do Hortêncio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9A90D2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51E7B" w:rsidRPr="00E51E7B" w14:paraId="5E103A7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585740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São José do Sul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180F50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51E7B" w:rsidRPr="00E51E7B" w14:paraId="7C379B5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9FCF3B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São Pedro da Serra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DDE8C5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1.500</w:t>
            </w:r>
          </w:p>
        </w:tc>
      </w:tr>
      <w:tr w:rsidR="00E51E7B" w:rsidRPr="00E51E7B" w14:paraId="05C92FE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4F4745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São Sebastião do Caí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6E2D36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5.000</w:t>
            </w:r>
          </w:p>
        </w:tc>
      </w:tr>
      <w:tr w:rsidR="00E51E7B" w:rsidRPr="00E51E7B" w14:paraId="002F301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40A9F6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São Vendelino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C4F671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1.100</w:t>
            </w:r>
          </w:p>
        </w:tc>
      </w:tr>
      <w:tr w:rsidR="00E51E7B" w:rsidRPr="00E51E7B" w14:paraId="0111B56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555A98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Tabaí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E814A71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1.700</w:t>
            </w:r>
          </w:p>
        </w:tc>
      </w:tr>
      <w:tr w:rsidR="00E51E7B" w:rsidRPr="00E51E7B" w14:paraId="00AF99F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682C66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Taquari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7BF695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4.050</w:t>
            </w:r>
          </w:p>
        </w:tc>
      </w:tr>
      <w:tr w:rsidR="00E51E7B" w:rsidRPr="00E51E7B" w14:paraId="5A9865B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B192AE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Triunfo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551F24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6.000</w:t>
            </w:r>
          </w:p>
        </w:tc>
      </w:tr>
      <w:tr w:rsidR="00E51E7B" w:rsidRPr="00E51E7B" w14:paraId="014290F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8416AC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Vale Real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668680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1.800</w:t>
            </w:r>
          </w:p>
        </w:tc>
      </w:tr>
      <w:tr w:rsidR="00E51E7B" w:rsidRPr="00E51E7B" w14:paraId="6AE379A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BF99CF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Westfália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7C8ABE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sz w:val="24"/>
                <w:szCs w:val="24"/>
              </w:rPr>
              <w:t>1.200</w:t>
            </w:r>
          </w:p>
        </w:tc>
      </w:tr>
      <w:tr w:rsidR="00E51E7B" w:rsidRPr="00E51E7B" w14:paraId="212BF8A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BF0BAE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geral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2FF08C" w14:textId="77777777" w:rsidR="00E51E7B" w:rsidRPr="00E51E7B" w:rsidRDefault="00E51E7B" w:rsidP="00E51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E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68.975</w:t>
            </w:r>
          </w:p>
        </w:tc>
      </w:tr>
    </w:tbl>
    <w:p w14:paraId="2EEE4D86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465DA8F8">
          <v:rect id="_x0000_i1029" style="width:0;height:.75pt" o:hralign="center" o:hrstd="t" o:hr="t" fillcolor="#a0a0a0" stroked="f"/>
        </w:pict>
      </w:r>
    </w:p>
    <w:p w14:paraId="0720CC06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lastRenderedPageBreak/>
        <w:t>5. ESTIMATIVA DE RECURSOS E FONTES</w:t>
      </w:r>
    </w:p>
    <w:p w14:paraId="103FBA74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Com base no Estudo Técnico Preliminar (ETP) e pesquisa de preços (IN 65/2021, 1º quartil):</w:t>
      </w:r>
    </w:p>
    <w:p w14:paraId="77E0B76C" w14:textId="77777777" w:rsidR="00E51E7B" w:rsidRPr="00E51E7B" w:rsidRDefault="00E51E7B" w:rsidP="00E51E7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Valor estimado total – LOTE 02 (itens principais):</w:t>
      </w:r>
      <w:r w:rsidRPr="00E51E7B">
        <w:rPr>
          <w:rFonts w:ascii="Times New Roman" w:hAnsi="Times New Roman" w:cs="Times New Roman"/>
          <w:sz w:val="24"/>
          <w:szCs w:val="24"/>
        </w:rPr>
        <w:t> R$ 76.729.421,00</w:t>
      </w:r>
    </w:p>
    <w:p w14:paraId="02E9AEC9" w14:textId="77777777" w:rsidR="00E51E7B" w:rsidRPr="00E51E7B" w:rsidRDefault="00E51E7B" w:rsidP="00E51E7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LOTE 01 (materiais diversos):</w:t>
      </w:r>
      <w:r w:rsidRPr="00E51E7B">
        <w:rPr>
          <w:rFonts w:ascii="Times New Roman" w:hAnsi="Times New Roman" w:cs="Times New Roman"/>
          <w:sz w:val="24"/>
          <w:szCs w:val="24"/>
        </w:rPr>
        <w:t> estimativa complementar a ser detalhada no Termo de Referência.</w:t>
      </w:r>
    </w:p>
    <w:p w14:paraId="59E314EF" w14:textId="77777777" w:rsidR="00E51E7B" w:rsidRPr="00E51E7B" w:rsidRDefault="00E51E7B" w:rsidP="00E51E7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BDI aplicável:</w:t>
      </w:r>
      <w:r w:rsidRPr="00E51E7B">
        <w:rPr>
          <w:rFonts w:ascii="Times New Roman" w:hAnsi="Times New Roman" w:cs="Times New Roman"/>
          <w:sz w:val="24"/>
          <w:szCs w:val="24"/>
        </w:rPr>
        <w:t> 25,84% (já incluso)</w:t>
      </w:r>
    </w:p>
    <w:p w14:paraId="77A6EC57" w14:textId="77777777" w:rsidR="00E51E7B" w:rsidRPr="00E51E7B" w:rsidRDefault="00E51E7B" w:rsidP="00E51E7B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Fontes de recurso:</w:t>
      </w:r>
      <w:r w:rsidRPr="00E51E7B">
        <w:rPr>
          <w:rFonts w:ascii="Times New Roman" w:hAnsi="Times New Roman" w:cs="Times New Roman"/>
          <w:sz w:val="24"/>
          <w:szCs w:val="24"/>
        </w:rPr>
        <w:t> dotações orçamentárias próprias de cada município, podendo incluir convênios estaduais/federais (ex.: Programa de Eficiência Energética da Aneel).</w:t>
      </w:r>
    </w:p>
    <w:p w14:paraId="59C5BC71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122807D1">
          <v:rect id="_x0000_i1030" style="width:0;height:.75pt" o:hralign="center" o:hrstd="t" o:hr="t" fillcolor="#a0a0a0" stroked="f"/>
        </w:pict>
      </w:r>
    </w:p>
    <w:p w14:paraId="11DB1831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6. REQUISITOS ESSENCIAIS DA CONTRATAÇÃO</w:t>
      </w:r>
    </w:p>
    <w:p w14:paraId="1D3BBAD0" w14:textId="77777777" w:rsidR="00E51E7B" w:rsidRPr="00E51E7B" w:rsidRDefault="00E51E7B" w:rsidP="00E51E7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Luminárias LED:</w:t>
      </w:r>
      <w:r w:rsidRPr="00E51E7B">
        <w:rPr>
          <w:rFonts w:ascii="Times New Roman" w:hAnsi="Times New Roman" w:cs="Times New Roman"/>
          <w:sz w:val="24"/>
          <w:szCs w:val="24"/>
        </w:rPr>
        <w:t xml:space="preserve"> eficiência ≥180 </w:t>
      </w:r>
      <w:proofErr w:type="spellStart"/>
      <w:r w:rsidRPr="00E51E7B">
        <w:rPr>
          <w:rFonts w:ascii="Times New Roman" w:hAnsi="Times New Roman" w:cs="Times New Roman"/>
          <w:sz w:val="24"/>
          <w:szCs w:val="24"/>
        </w:rPr>
        <w:t>lm</w:t>
      </w:r>
      <w:proofErr w:type="spellEnd"/>
      <w:r w:rsidRPr="00E51E7B">
        <w:rPr>
          <w:rFonts w:ascii="Times New Roman" w:hAnsi="Times New Roman" w:cs="Times New Roman"/>
          <w:sz w:val="24"/>
          <w:szCs w:val="24"/>
        </w:rPr>
        <w:t>/W, vida útil L70 ≥100.000 h, garantia mínima 5 anos, conformidade com ABNT NBR 5101 e Portaria INMETRO nº 62.</w:t>
      </w:r>
    </w:p>
    <w:p w14:paraId="177A7B15" w14:textId="77777777" w:rsidR="00E51E7B" w:rsidRPr="00E51E7B" w:rsidRDefault="00E51E7B" w:rsidP="00E51E7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Fabricação nacional e assistência técnica no Brasil</w:t>
      </w:r>
      <w:r w:rsidRPr="00E51E7B">
        <w:rPr>
          <w:rFonts w:ascii="Times New Roman" w:hAnsi="Times New Roman" w:cs="Times New Roman"/>
          <w:sz w:val="24"/>
          <w:szCs w:val="24"/>
        </w:rPr>
        <w:t> (justificada no ETP com base no art. 40, §1º, III e §4º da Lei 14.133/2021 e Decreto 11.890/2024).</w:t>
      </w:r>
    </w:p>
    <w:p w14:paraId="50D08CF9" w14:textId="77777777" w:rsidR="00E51E7B" w:rsidRPr="00E51E7B" w:rsidRDefault="00E51E7B" w:rsidP="00E51E7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Software de georreferenciamento:</w:t>
      </w:r>
      <w:r w:rsidRPr="00E51E7B">
        <w:rPr>
          <w:rFonts w:ascii="Times New Roman" w:hAnsi="Times New Roman" w:cs="Times New Roman"/>
          <w:sz w:val="24"/>
          <w:szCs w:val="24"/>
        </w:rPr>
        <w:t> captura de coordenadas, fotos antes/depois, emissão de planilhas de medição para pagamento.</w:t>
      </w:r>
    </w:p>
    <w:p w14:paraId="6BBD1D12" w14:textId="77777777" w:rsidR="00E51E7B" w:rsidRPr="00E51E7B" w:rsidRDefault="00E51E7B" w:rsidP="00E51E7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SLA máximo:</w:t>
      </w:r>
      <w:r w:rsidRPr="00E51E7B">
        <w:rPr>
          <w:rFonts w:ascii="Times New Roman" w:hAnsi="Times New Roman" w:cs="Times New Roman"/>
          <w:sz w:val="24"/>
          <w:szCs w:val="24"/>
        </w:rPr>
        <w:t> 72 horas para análise de defeitos e substituição.</w:t>
      </w:r>
    </w:p>
    <w:p w14:paraId="51113BF7" w14:textId="77777777" w:rsidR="00E51E7B" w:rsidRPr="00E51E7B" w:rsidRDefault="00E51E7B" w:rsidP="00E51E7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Gestão de resíduos:</w:t>
      </w:r>
      <w:r w:rsidRPr="00E51E7B">
        <w:rPr>
          <w:rFonts w:ascii="Times New Roman" w:hAnsi="Times New Roman" w:cs="Times New Roman"/>
          <w:sz w:val="24"/>
          <w:szCs w:val="24"/>
        </w:rPr>
        <w:t> logística reversa conforme Lei 12.305/2010.</w:t>
      </w:r>
    </w:p>
    <w:p w14:paraId="1D365976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24C0889C">
          <v:rect id="_x0000_i1031" style="width:0;height:.75pt" o:hralign="center" o:hrstd="t" o:hr="t" fillcolor="#a0a0a0" stroked="f"/>
        </w:pict>
      </w:r>
    </w:p>
    <w:p w14:paraId="4912B877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7. ALINHAMENTO COM O PLANEJAMENTO</w:t>
      </w:r>
    </w:p>
    <w:p w14:paraId="6E3B9AB3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A demanda está prevista no PPA e LOA de cada município consorciado, alinhando-se à Lei 14.133/2021 (desenvolvimento sustentável), aos ODS 7, 9, 11 e 13, e à Política Nacional de Resíduos Sólidos.</w:t>
      </w:r>
    </w:p>
    <w:p w14:paraId="7FAAAD53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09459E8B">
          <v:rect id="_x0000_i1032" style="width:0;height:.75pt" o:hralign="center" o:hrstd="t" o:hr="t" fillcolor="#a0a0a0" stroked="f"/>
        </w:pict>
      </w:r>
    </w:p>
    <w:p w14:paraId="51C8435C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8. PROVIDÊNCIAS NECESSÁRIAS PARA ATENDIMENTO</w:t>
      </w:r>
    </w:p>
    <w:p w14:paraId="0ACD0428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Antes da licitação, os municípios e o CISCAI deverão:</w:t>
      </w:r>
    </w:p>
    <w:p w14:paraId="76251CF0" w14:textId="77777777" w:rsidR="00E51E7B" w:rsidRPr="00E51E7B" w:rsidRDefault="00E51E7B" w:rsidP="00E51E7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Designar fiscais de contrato (no mínimo um por município) e treiná-los no software;</w:t>
      </w:r>
    </w:p>
    <w:p w14:paraId="08D41C0D" w14:textId="77777777" w:rsidR="00E51E7B" w:rsidRPr="00E51E7B" w:rsidRDefault="00E51E7B" w:rsidP="00E51E7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Disponibilizar infraestrutura de TI para acesso ao sistema de gestão;</w:t>
      </w:r>
    </w:p>
    <w:p w14:paraId="4C44D1C0" w14:textId="77777777" w:rsidR="00E51E7B" w:rsidRPr="00E51E7B" w:rsidRDefault="00E51E7B" w:rsidP="00E51E7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Padronizar ordens de serviço via sistema;</w:t>
      </w:r>
    </w:p>
    <w:p w14:paraId="072F80FB" w14:textId="77777777" w:rsidR="00E51E7B" w:rsidRPr="00E51E7B" w:rsidRDefault="00E51E7B" w:rsidP="00E51E7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Elaborar plano de comunicação com a população;</w:t>
      </w:r>
    </w:p>
    <w:p w14:paraId="4473C293" w14:textId="77777777" w:rsidR="00E51E7B" w:rsidRPr="00E51E7B" w:rsidRDefault="00E51E7B" w:rsidP="00E51E7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t>Compatibilizar as dotações orçamentárias para as parcelas mensais.</w:t>
      </w:r>
    </w:p>
    <w:p w14:paraId="27FC4D62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pict w14:anchorId="4EDFF41E">
          <v:rect id="_x0000_i1033" style="width:0;height:.75pt" o:hralign="center" o:hrstd="t" o:hr="t" fillcolor="#a0a0a0" stroked="f"/>
        </w:pict>
      </w:r>
    </w:p>
    <w:p w14:paraId="15316320" w14:textId="77777777" w:rsidR="00E51E7B" w:rsidRPr="00E51E7B" w:rsidRDefault="00E51E7B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9. APROVAÇÃO DA DEMANDA</w:t>
      </w:r>
    </w:p>
    <w:p w14:paraId="22B470C8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sz w:val="24"/>
          <w:szCs w:val="24"/>
        </w:rPr>
        <w:lastRenderedPageBreak/>
        <w:t>Com base nos elementos apresentados, declara-se </w:t>
      </w:r>
      <w:r w:rsidRPr="00E51E7B">
        <w:rPr>
          <w:rFonts w:ascii="Times New Roman" w:hAnsi="Times New Roman" w:cs="Times New Roman"/>
          <w:b/>
          <w:bCs/>
          <w:sz w:val="24"/>
          <w:szCs w:val="24"/>
        </w:rPr>
        <w:t>formalmente constituída a demanda</w:t>
      </w:r>
      <w:r w:rsidRPr="00E51E7B">
        <w:rPr>
          <w:rFonts w:ascii="Times New Roman" w:hAnsi="Times New Roman" w:cs="Times New Roman"/>
          <w:sz w:val="24"/>
          <w:szCs w:val="24"/>
        </w:rPr>
        <w:t> pela contratação consorciada dos 32 municípios do CISCAI, nos termos do Estudo Técnico Preliminar anexo, recomendando-se a imediata abertura do procedimento licitatório na modalidade </w:t>
      </w:r>
      <w:r w:rsidRPr="00E51E7B">
        <w:rPr>
          <w:rFonts w:ascii="Times New Roman" w:hAnsi="Times New Roman" w:cs="Times New Roman"/>
          <w:b/>
          <w:bCs/>
          <w:sz w:val="24"/>
          <w:szCs w:val="24"/>
        </w:rPr>
        <w:t>Pregão Eletrônico, tipo menor preço por lote</w:t>
      </w:r>
      <w:r w:rsidRPr="00E51E7B">
        <w:rPr>
          <w:rFonts w:ascii="Times New Roman" w:hAnsi="Times New Roman" w:cs="Times New Roman"/>
          <w:sz w:val="24"/>
          <w:szCs w:val="24"/>
        </w:rPr>
        <w:t>.</w:t>
      </w:r>
    </w:p>
    <w:p w14:paraId="4F13F6EB" w14:textId="77777777" w:rsidR="00133DD7" w:rsidRPr="00133DD7" w:rsidRDefault="00133DD7" w:rsidP="00E51E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577E4C" w14:textId="3015CADB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b/>
          <w:bCs/>
          <w:sz w:val="24"/>
          <w:szCs w:val="24"/>
        </w:rPr>
        <w:t>Responsável pela formação da demanda</w:t>
      </w:r>
    </w:p>
    <w:p w14:paraId="5A951B0D" w14:textId="77777777" w:rsidR="00E51E7B" w:rsidRPr="00E51E7B" w:rsidRDefault="00E51E7B" w:rsidP="00E51E7B">
      <w:pPr>
        <w:rPr>
          <w:rFonts w:ascii="Times New Roman" w:hAnsi="Times New Roman" w:cs="Times New Roman"/>
          <w:sz w:val="24"/>
          <w:szCs w:val="24"/>
        </w:rPr>
      </w:pPr>
      <w:r w:rsidRPr="00E51E7B">
        <w:rPr>
          <w:rFonts w:ascii="Times New Roman" w:hAnsi="Times New Roman" w:cs="Times New Roman"/>
          <w:i/>
          <w:iCs/>
          <w:sz w:val="24"/>
          <w:szCs w:val="24"/>
        </w:rPr>
        <w:t>Claiton Jair Muller</w:t>
      </w:r>
    </w:p>
    <w:p w14:paraId="198DA610" w14:textId="77777777" w:rsidR="006262C6" w:rsidRPr="00133DD7" w:rsidRDefault="006262C6">
      <w:pPr>
        <w:rPr>
          <w:rFonts w:ascii="Times New Roman" w:hAnsi="Times New Roman" w:cs="Times New Roman"/>
          <w:sz w:val="24"/>
          <w:szCs w:val="24"/>
        </w:rPr>
      </w:pPr>
    </w:p>
    <w:sectPr w:rsidR="006262C6" w:rsidRPr="00133DD7" w:rsidSect="00611E8D">
      <w:pgSz w:w="11906" w:h="16838" w:code="9"/>
      <w:pgMar w:top="1418" w:right="1133" w:bottom="141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40D"/>
    <w:multiLevelType w:val="multilevel"/>
    <w:tmpl w:val="D892F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BF52A0"/>
    <w:multiLevelType w:val="multilevel"/>
    <w:tmpl w:val="0F605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F741EF"/>
    <w:multiLevelType w:val="multilevel"/>
    <w:tmpl w:val="62BC4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4D0210"/>
    <w:multiLevelType w:val="multilevel"/>
    <w:tmpl w:val="7F52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A67987"/>
    <w:multiLevelType w:val="multilevel"/>
    <w:tmpl w:val="28F0E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9048955">
    <w:abstractNumId w:val="3"/>
  </w:num>
  <w:num w:numId="2" w16cid:durableId="7490903">
    <w:abstractNumId w:val="4"/>
  </w:num>
  <w:num w:numId="3" w16cid:durableId="1917128778">
    <w:abstractNumId w:val="1"/>
  </w:num>
  <w:num w:numId="4" w16cid:durableId="1532642710">
    <w:abstractNumId w:val="0"/>
  </w:num>
  <w:num w:numId="5" w16cid:durableId="166480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E7B"/>
    <w:rsid w:val="00133DD7"/>
    <w:rsid w:val="001421CD"/>
    <w:rsid w:val="001769DB"/>
    <w:rsid w:val="0023098A"/>
    <w:rsid w:val="002451A0"/>
    <w:rsid w:val="00343606"/>
    <w:rsid w:val="00382A1F"/>
    <w:rsid w:val="004436F1"/>
    <w:rsid w:val="0045561B"/>
    <w:rsid w:val="004729E5"/>
    <w:rsid w:val="00473BDF"/>
    <w:rsid w:val="004C048E"/>
    <w:rsid w:val="005120FC"/>
    <w:rsid w:val="00560970"/>
    <w:rsid w:val="00611E8D"/>
    <w:rsid w:val="006262C6"/>
    <w:rsid w:val="0064487D"/>
    <w:rsid w:val="006813AB"/>
    <w:rsid w:val="00712D17"/>
    <w:rsid w:val="007C34C4"/>
    <w:rsid w:val="008613B5"/>
    <w:rsid w:val="009A0C34"/>
    <w:rsid w:val="009D3FC4"/>
    <w:rsid w:val="00CF4561"/>
    <w:rsid w:val="00E51E7B"/>
    <w:rsid w:val="00EC1D45"/>
    <w:rsid w:val="00F36F3A"/>
    <w:rsid w:val="00FF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BC8C0"/>
  <w15:chartTrackingRefBased/>
  <w15:docId w15:val="{8D9A1ECC-6083-4EB8-8EC1-4756A6FAA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1E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1E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1E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1E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1E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1E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1E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1E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1E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1E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1E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1E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1E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1E7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1E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1E7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1E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1E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1E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1E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1E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1E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1E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1E7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1E7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1E7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1E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1E7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1E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791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LICITACAO</cp:lastModifiedBy>
  <cp:revision>1</cp:revision>
  <dcterms:created xsi:type="dcterms:W3CDTF">2026-05-27T11:18:00Z</dcterms:created>
  <dcterms:modified xsi:type="dcterms:W3CDTF">2026-05-27T11:36:00Z</dcterms:modified>
</cp:coreProperties>
</file>