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12" w:before="0" w:after="288"/>
        <w:jc w:val="center"/>
        <w:rPr>
          <w:rFonts w:ascii="Arial" w:hAnsi="Arial"/>
          <w:sz w:val="20"/>
          <w:szCs w:val="20"/>
        </w:rPr>
      </w:pPr>
      <w:r>
        <w:rPr>
          <w:rFonts w:eastAsia="Calibri" w:cs="Times New Roman" w:ascii="Arial" w:hAnsi="Arial"/>
          <w:b/>
          <w:color w:val="000000"/>
          <w:sz w:val="20"/>
          <w:szCs w:val="20"/>
          <w:shd w:fill="auto" w:val="clear"/>
          <w:lang w:eastAsia="en-US"/>
        </w:rPr>
        <w:t>ATA DE REGISTRO DE PREÇOS</w:t>
      </w:r>
      <w:r>
        <w:rPr>
          <w:rFonts w:eastAsia="Calibri" w:cs="Arial" w:ascii="Arial" w:hAnsi="Arial"/>
          <w:b/>
          <w:bCs/>
          <w:color w:val="000000"/>
          <w:sz w:val="20"/>
          <w:szCs w:val="20"/>
          <w:shd w:fill="auto" w:val="clear"/>
          <w:lang w:eastAsia="en-US"/>
        </w:rPr>
        <w:t xml:space="preserve"> </w:t>
        <w:br/>
      </w:r>
      <w:r>
        <w:rPr>
          <w:rFonts w:eastAsia="Calibri" w:cs="Times New Roman" w:ascii="Arial" w:hAnsi="Arial"/>
          <w:b/>
          <w:color w:val="000000"/>
          <w:sz w:val="20"/>
          <w:szCs w:val="20"/>
          <w:shd w:fill="auto" w:val="clear"/>
          <w:lang w:eastAsia="en-US"/>
        </w:rPr>
        <w:t>Lei nº 14.133, de 1º de abril de 2021</w:t>
      </w:r>
    </w:p>
    <w:p>
      <w:pPr>
        <w:pStyle w:val="Normal"/>
        <w:spacing w:lineRule="auto" w:line="312" w:before="360" w:after="288"/>
        <w:jc w:val="center"/>
        <w:rPr>
          <w:rFonts w:ascii="Arial" w:hAnsi="Arial"/>
          <w:sz w:val="20"/>
          <w:szCs w:val="2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paragraph">
              <wp:posOffset>64135</wp:posOffset>
            </wp:positionV>
            <wp:extent cx="737870" cy="806450"/>
            <wp:effectExtent l="0" t="0" r="0" b="0"/>
            <wp:wrapTopAndBottom/>
            <wp:docPr id="1" name="Imagem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Calibri" w:cs="Arial" w:ascii="Arial" w:hAnsi="Arial"/>
          <w:b/>
          <w:i/>
          <w:color w:val="000000"/>
          <w:sz w:val="20"/>
          <w:szCs w:val="20"/>
          <w:shd w:fill="auto" w:val="clear"/>
          <w:lang w:eastAsia="en-US"/>
        </w:rPr>
        <w:t>FUNDAÇÃO UNIVERSIDADE FEDERAL DA GRANDE DOURADOS</w:t>
      </w:r>
    </w:p>
    <w:p>
      <w:pPr>
        <w:pStyle w:val="Normal"/>
        <w:spacing w:lineRule="auto" w:line="312" w:before="120" w:after="0"/>
        <w:jc w:val="center"/>
        <w:rPr>
          <w:rFonts w:ascii="Arial" w:hAnsi="Arial"/>
          <w:sz w:val="20"/>
          <w:szCs w:val="20"/>
        </w:rPr>
      </w:pPr>
      <w:r>
        <w:rPr>
          <w:rFonts w:eastAsia="Calibri" w:cs="Times New Roman" w:ascii="Arial" w:hAnsi="Arial"/>
          <w:color w:val="000000"/>
          <w:sz w:val="20"/>
          <w:szCs w:val="20"/>
          <w:shd w:fill="auto" w:val="clear"/>
          <w:lang w:eastAsia="en-US"/>
        </w:rPr>
        <w:t xml:space="preserve">Processo </w:t>
      </w:r>
      <w:r>
        <w:rPr>
          <w:rFonts w:eastAsia="Calibri" w:cs="Arial" w:ascii="Arial" w:hAnsi="Arial"/>
          <w:color w:val="000000"/>
          <w:sz w:val="20"/>
          <w:szCs w:val="20"/>
          <w:shd w:fill="auto" w:val="clear"/>
          <w:lang w:eastAsia="en-US"/>
        </w:rPr>
        <w:t>Administrativo n</w:t>
      </w:r>
      <w:r>
        <w:rPr>
          <w:rFonts w:eastAsia="Calibri" w:cs="Arial" w:ascii="Arial" w:hAnsi="Arial"/>
          <w:bCs/>
          <w:color w:val="000000"/>
          <w:sz w:val="20"/>
          <w:szCs w:val="20"/>
          <w:shd w:fill="auto" w:val="clear"/>
          <w:lang w:eastAsia="en-US"/>
        </w:rPr>
        <w:t xml:space="preserve">° </w:t>
      </w:r>
      <w:r>
        <w:rPr>
          <w:rFonts w:eastAsia="Calibri" w:cs="Arial" w:ascii="Arial" w:hAnsi="Arial"/>
          <w:bCs/>
          <w:i/>
          <w:iCs/>
          <w:color w:val="000000"/>
          <w:sz w:val="20"/>
          <w:szCs w:val="20"/>
          <w:shd w:fill="auto" w:val="clear"/>
          <w:lang w:eastAsia="en-US"/>
        </w:rPr>
        <w:t>23005.0</w:t>
      </w:r>
      <w:r>
        <w:rPr>
          <w:rFonts w:eastAsia="Calibri" w:cs="Arial" w:ascii="Arial" w:hAnsi="Arial"/>
          <w:bCs/>
          <w:i/>
          <w:iCs/>
          <w:color w:val="000000"/>
          <w:sz w:val="20"/>
          <w:szCs w:val="20"/>
          <w:shd w:fill="auto" w:val="clear"/>
          <w:lang w:eastAsia="en-US"/>
        </w:rPr>
        <w:t>12148</w:t>
      </w:r>
      <w:r>
        <w:rPr>
          <w:rFonts w:eastAsia="Calibri" w:cs="Arial" w:ascii="Arial" w:hAnsi="Arial"/>
          <w:bCs/>
          <w:i/>
          <w:iCs/>
          <w:color w:val="000000"/>
          <w:sz w:val="20"/>
          <w:szCs w:val="20"/>
          <w:shd w:fill="auto" w:val="clear"/>
          <w:lang w:eastAsia="en-US"/>
        </w:rPr>
        <w:t>/2025-</w:t>
      </w:r>
      <w:r>
        <w:rPr>
          <w:rFonts w:eastAsia="Calibri" w:cs="Arial" w:ascii="Arial" w:hAnsi="Arial"/>
          <w:bCs/>
          <w:i/>
          <w:iCs/>
          <w:color w:val="000000"/>
          <w:sz w:val="20"/>
          <w:szCs w:val="20"/>
          <w:shd w:fill="auto" w:val="clear"/>
          <w:lang w:eastAsia="en-US"/>
        </w:rPr>
        <w:t>17</w:t>
      </w:r>
      <w:r>
        <w:rPr>
          <w:rFonts w:eastAsia="Calibri" w:cs="Arial" w:ascii="Arial" w:hAnsi="Arial"/>
          <w:bCs/>
          <w:i/>
          <w:iCs/>
          <w:color w:val="000000"/>
          <w:sz w:val="20"/>
          <w:szCs w:val="20"/>
          <w:shd w:fill="auto" w:val="clear"/>
          <w:lang w:eastAsia="en-US"/>
        </w:rPr>
        <w:t xml:space="preserve"> </w:t>
      </w:r>
    </w:p>
    <w:p>
      <w:pPr>
        <w:pStyle w:val="Normal"/>
        <w:spacing w:lineRule="auto" w:line="312" w:before="0" w:after="288"/>
        <w:jc w:val="center"/>
        <w:rPr>
          <w:rFonts w:ascii="Arial" w:hAnsi="Arial"/>
          <w:sz w:val="20"/>
          <w:szCs w:val="20"/>
        </w:rPr>
      </w:pPr>
      <w:r>
        <w:rPr>
          <w:rFonts w:eastAsia="Calibri" w:cs="Arial" w:ascii="Arial" w:hAnsi="Arial"/>
          <w:color w:val="000000"/>
          <w:sz w:val="20"/>
          <w:szCs w:val="20"/>
          <w:shd w:fill="auto" w:val="clear"/>
          <w:lang w:eastAsia="en-US"/>
        </w:rPr>
        <w:t xml:space="preserve">Ata de Registro de Preços </w:t>
      </w:r>
      <w:r>
        <w:rPr>
          <w:rFonts w:eastAsia="Calibri" w:cs="Times New Roman" w:ascii="Arial" w:hAnsi="Arial"/>
          <w:color w:val="000000"/>
          <w:sz w:val="20"/>
          <w:szCs w:val="20"/>
          <w:shd w:fill="auto" w:val="clear"/>
          <w:lang w:eastAsia="en-US"/>
        </w:rPr>
        <w:t>nº</w:t>
      </w:r>
      <w:r>
        <w:rPr>
          <w:rFonts w:eastAsia="Calibri" w:cs="Arial" w:ascii="Arial" w:hAnsi="Arial"/>
          <w:color w:val="000000"/>
          <w:sz w:val="20"/>
          <w:szCs w:val="20"/>
          <w:shd w:fill="auto" w:val="clear"/>
          <w:lang w:eastAsia="en-US"/>
        </w:rPr>
        <w:t xml:space="preserve"> 0</w:t>
      </w:r>
      <w:r>
        <w:rPr>
          <w:rFonts w:eastAsia="Calibri" w:cs="Arial" w:ascii="Arial" w:hAnsi="Arial"/>
          <w:color w:val="000000"/>
          <w:sz w:val="20"/>
          <w:szCs w:val="20"/>
          <w:shd w:fill="auto" w:val="clear"/>
          <w:lang w:eastAsia="en-US"/>
        </w:rPr>
        <w:t>4</w:t>
      </w:r>
      <w:r>
        <w:rPr>
          <w:rFonts w:eastAsia="Calibri" w:cs="Arial" w:ascii="Arial" w:hAnsi="Arial"/>
          <w:i/>
          <w:iCs/>
          <w:color w:val="000000"/>
          <w:sz w:val="20"/>
          <w:szCs w:val="20"/>
          <w:shd w:fill="auto" w:val="clear"/>
          <w:lang w:eastAsia="en-US"/>
        </w:rPr>
        <w:t>01/2026</w:t>
      </w:r>
    </w:p>
    <w:p>
      <w:pPr>
        <w:pStyle w:val="Normal"/>
        <w:widowControl w:val="false"/>
        <w:tabs>
          <w:tab w:val="clear" w:pos="708"/>
          <w:tab w:val="center" w:pos="4779" w:leader="none"/>
          <w:tab w:val="right" w:pos="9198" w:leader="none"/>
        </w:tabs>
        <w:spacing w:lineRule="auto" w:line="276" w:before="120" w:after="120"/>
        <w:ind w:firstLine="1418" w:right="-28"/>
        <w:jc w:val="both"/>
        <w:rPr>
          <w:rFonts w:ascii="Arial" w:hAnsi="Arial"/>
          <w:i w:val="false"/>
          <w:i w:val="false"/>
          <w:iCs w:val="false"/>
          <w:sz w:val="22"/>
          <w:szCs w:val="22"/>
        </w:rPr>
      </w:pPr>
      <w:r>
        <w:rPr>
          <w:rFonts w:eastAsia="Arial" w:cs="Arial" w:ascii="Arial" w:hAnsi="Arial"/>
          <w:i w:val="false"/>
          <w:iCs w:val="false"/>
          <w:color w:val="000000"/>
          <w:sz w:val="22"/>
          <w:szCs w:val="22"/>
          <w:shd w:fill="auto" w:val="clear"/>
        </w:rPr>
        <w:t xml:space="preserve">A Fundação Universidade Federal da Grande Dourados, com sede a </w:t>
      </w:r>
      <w:r>
        <w:rPr>
          <w:rFonts w:ascii="Arial" w:hAnsi="Arial"/>
          <w:i w:val="false"/>
          <w:iCs w:val="false"/>
          <w:sz w:val="22"/>
          <w:szCs w:val="22"/>
        </w:rPr>
        <w:t>rodovia João Totó da Câmara, 420 - Cidade Universitária - CEP 79.820-600 em Dourados/MS</w:t>
      </w:r>
      <w:r>
        <w:rPr>
          <w:rFonts w:eastAsia="Arial" w:cs="Arial" w:ascii="Arial" w:hAnsi="Arial"/>
          <w:i w:val="false"/>
          <w:iCs w:val="false"/>
          <w:color w:val="000000"/>
          <w:sz w:val="22"/>
          <w:szCs w:val="22"/>
          <w:shd w:fill="auto" w:val="clear"/>
        </w:rPr>
        <w:t>, inscrito (a) no CNPJ/MF sob o nº 07.775.847/0001-97, neste ato representada pelo Coordenador de Compras, nomeado pela Portaria N° 739, DE 9 DE OUTUBRO DE 2023, publicada no D.O.U de 10 de OUTUBRO de 2023, portador da matrícula funcional nº 1228520 ,</w:t>
      </w:r>
      <w:r>
        <w:rPr>
          <w:rFonts w:cs="Arial" w:ascii="Arial" w:hAnsi="Arial"/>
          <w:i w:val="false"/>
          <w:iCs w:val="false"/>
          <w:color w:val="000000"/>
          <w:sz w:val="22"/>
          <w:szCs w:val="22"/>
          <w:shd w:fill="auto" w:val="clear"/>
        </w:rPr>
        <w:t xml:space="preserve"> considerando o julgamento da licitação na modalidade de pregão, na forma eletrônica], para REGISTRO DE PREÇOS nº 9000</w:t>
      </w:r>
      <w:r>
        <w:rPr>
          <w:rFonts w:cs="Arial" w:ascii="Arial" w:hAnsi="Arial"/>
          <w:i w:val="false"/>
          <w:iCs w:val="false"/>
          <w:color w:val="000000"/>
          <w:sz w:val="22"/>
          <w:szCs w:val="22"/>
          <w:shd w:fill="auto" w:val="clear"/>
        </w:rPr>
        <w:t>4</w:t>
      </w:r>
      <w:r>
        <w:rPr>
          <w:rFonts w:cs="Arial" w:ascii="Arial" w:hAnsi="Arial"/>
          <w:i w:val="false"/>
          <w:iCs w:val="false"/>
          <w:color w:val="000000"/>
          <w:sz w:val="22"/>
          <w:szCs w:val="22"/>
          <w:shd w:fill="auto" w:val="clear"/>
        </w:rPr>
        <w:t xml:space="preserve">/2026, processo administrativo n.º </w:t>
      </w:r>
      <w:r>
        <w:rPr>
          <w:rFonts w:eastAsia="Calibri" w:cs="Arial" w:ascii="Arial" w:hAnsi="Arial"/>
          <w:bCs/>
          <w:i w:val="false"/>
          <w:iCs w:val="false"/>
          <w:color w:val="000000"/>
          <w:sz w:val="22"/>
          <w:szCs w:val="22"/>
          <w:shd w:fill="auto" w:val="clear"/>
          <w:lang w:eastAsia="en-US"/>
        </w:rPr>
        <w:t>23005.0</w:t>
      </w:r>
      <w:r>
        <w:rPr>
          <w:rFonts w:eastAsia="Calibri" w:cs="Arial" w:ascii="Arial" w:hAnsi="Arial"/>
          <w:bCs/>
          <w:i w:val="false"/>
          <w:iCs w:val="false"/>
          <w:color w:val="000000"/>
          <w:sz w:val="22"/>
          <w:szCs w:val="22"/>
          <w:shd w:fill="auto" w:val="clear"/>
          <w:lang w:eastAsia="en-US"/>
        </w:rPr>
        <w:t>12148</w:t>
      </w:r>
      <w:r>
        <w:rPr>
          <w:rFonts w:eastAsia="Calibri" w:cs="Arial" w:ascii="Arial" w:hAnsi="Arial"/>
          <w:bCs/>
          <w:i w:val="false"/>
          <w:iCs w:val="false"/>
          <w:color w:val="000000"/>
          <w:sz w:val="22"/>
          <w:szCs w:val="22"/>
          <w:shd w:fill="auto" w:val="clear"/>
          <w:lang w:eastAsia="en-US"/>
        </w:rPr>
        <w:t>/2025-</w:t>
      </w:r>
      <w:r>
        <w:rPr>
          <w:rFonts w:eastAsia="Calibri" w:cs="Arial" w:ascii="Arial" w:hAnsi="Arial"/>
          <w:bCs/>
          <w:i w:val="false"/>
          <w:iCs w:val="false"/>
          <w:color w:val="000000"/>
          <w:sz w:val="22"/>
          <w:szCs w:val="22"/>
          <w:shd w:fill="auto" w:val="clear"/>
          <w:lang w:eastAsia="en-US"/>
        </w:rPr>
        <w:t>17</w:t>
      </w:r>
      <w:r>
        <w:rPr>
          <w:rFonts w:cs="Arial" w:ascii="Arial" w:hAnsi="Arial"/>
          <w:i w:val="false"/>
          <w:iCs w:val="false"/>
          <w:color w:val="000000"/>
          <w:sz w:val="22"/>
          <w:szCs w:val="22"/>
          <w:shd w:fill="auto" w:val="clear"/>
        </w:rPr>
        <w:t>, RESOLVE registrar os preços da(s) empresa(s) indicada(s) e qualificada(s) nesta ATA, de acordo com a classificação por ela(s) alcançada(s) e na(s) quantidade(s) cotada(s), atendendo as condições previstas no Edital de licitação, sujeitando-se as partes às normas constantes na Lei nº 14.133, de 1º de abril de 2021, no Decreto n.º 11.462, de 31 de março de 2023, e em conformidade com as disposições a seguir: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DO OBJETO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A presente Ata tem por objeto o registro de preços para a eventual contratação de </w:t>
      </w:r>
      <w:r>
        <w:rPr>
          <w:rFonts w:eastAsia="Arial"/>
          <w:i/>
          <w:iCs/>
          <w:color w:val="000000"/>
          <w:sz w:val="20"/>
          <w:szCs w:val="20"/>
          <w:shd w:fill="auto" w:val="clear"/>
        </w:rPr>
        <w:t>Aquisição de materiais de laboratório</w:t>
      </w:r>
      <w:r>
        <w:rPr>
          <w:color w:val="000000"/>
          <w:sz w:val="20"/>
          <w:szCs w:val="20"/>
          <w:shd w:fill="auto" w:val="clear"/>
        </w:rPr>
        <w:t>, especificado(s) no(s) item(ns) 1.1</w:t>
      </w:r>
      <w:r>
        <w:rPr>
          <w:i/>
          <w:iCs/>
          <w:color w:val="000000"/>
          <w:sz w:val="20"/>
          <w:szCs w:val="20"/>
          <w:shd w:fill="auto" w:val="clear"/>
        </w:rPr>
        <w:t xml:space="preserve"> </w:t>
      </w:r>
      <w:r>
        <w:rPr>
          <w:color w:val="000000"/>
          <w:sz w:val="20"/>
          <w:szCs w:val="20"/>
          <w:shd w:fill="auto" w:val="clear"/>
        </w:rPr>
        <w:t>do Termo de Referência, anexo I</w:t>
      </w:r>
      <w:r>
        <w:rPr>
          <w:i/>
          <w:iCs/>
          <w:color w:val="000000"/>
          <w:sz w:val="20"/>
          <w:szCs w:val="20"/>
          <w:shd w:fill="auto" w:val="clear"/>
        </w:rPr>
        <w:t xml:space="preserve"> </w:t>
      </w:r>
      <w:r>
        <w:rPr>
          <w:iCs/>
          <w:color w:val="000000"/>
          <w:sz w:val="20"/>
          <w:szCs w:val="20"/>
          <w:shd w:fill="auto" w:val="clear"/>
        </w:rPr>
        <w:t>do</w:t>
      </w:r>
      <w:r>
        <w:rPr>
          <w:i/>
          <w:color w:val="000000"/>
          <w:sz w:val="20"/>
          <w:szCs w:val="20"/>
          <w:shd w:fill="auto" w:val="clear"/>
        </w:rPr>
        <w:t xml:space="preserve"> edital de licitação </w:t>
      </w:r>
      <w:r>
        <w:rPr>
          <w:color w:val="000000"/>
          <w:sz w:val="20"/>
          <w:szCs w:val="20"/>
          <w:shd w:fill="auto" w:val="clear"/>
        </w:rPr>
        <w:t xml:space="preserve">n.º </w:t>
      </w:r>
      <w:r>
        <w:rPr>
          <w:bCs/>
          <w:i/>
          <w:iCs/>
          <w:color w:val="000000"/>
          <w:sz w:val="20"/>
          <w:szCs w:val="20"/>
          <w:shd w:fill="auto" w:val="clear"/>
        </w:rPr>
        <w:t>90008/2026</w:t>
      </w:r>
      <w:r>
        <w:rPr>
          <w:color w:val="000000"/>
          <w:sz w:val="20"/>
          <w:szCs w:val="20"/>
          <w:shd w:fill="auto" w:val="clear"/>
        </w:rPr>
        <w:t>, que é parte integrante desta Ata, assim como as propostas cujos preços tenham sido registrados, independentemente de transcrição.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DOS PREÇOS, ESPECIFICAÇÕES E QUANTITATIVOS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O preço registrado, as especificações do objeto, as quantidades mínimas e máximas de cada item, fornecedor(es) e as demais condições ofertadas na(s) proposta(s) são as que seguem: </w:t>
      </w:r>
    </w:p>
    <w:tbl>
      <w:tblPr>
        <w:tblW w:w="9390" w:type="dxa"/>
        <w:jc w:val="left"/>
        <w:tblInd w:w="10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494"/>
        <w:gridCol w:w="4209"/>
        <w:gridCol w:w="1475"/>
        <w:gridCol w:w="978"/>
        <w:gridCol w:w="1171"/>
        <w:gridCol w:w="1062"/>
      </w:tblGrid>
      <w:tr>
        <w:trPr>
          <w:trHeight w:val="511" w:hRule="atLeast"/>
        </w:trPr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Item</w:t>
            </w:r>
          </w:p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do</w:t>
            </w:r>
          </w:p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TR</w:t>
            </w:r>
          </w:p>
        </w:tc>
        <w:tc>
          <w:tcPr>
            <w:tcW w:w="889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Fornecedor</w:t>
            </w:r>
          </w:p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i/>
                <w:color w:val="000000"/>
                <w:sz w:val="20"/>
                <w:szCs w:val="20"/>
                <w:shd w:fill="auto" w:val="clear"/>
              </w:rPr>
              <w:t>CNPJ</w:t>
            </w:r>
          </w:p>
        </w:tc>
      </w:tr>
      <w:tr>
        <w:trPr>
          <w:trHeight w:val="674" w:hRule="atLeast"/>
        </w:trPr>
        <w:tc>
          <w:tcPr>
            <w:tcW w:w="49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X</w:t>
            </w:r>
          </w:p>
        </w:tc>
        <w:tc>
          <w:tcPr>
            <w:tcW w:w="42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Especificação</w:t>
            </w:r>
          </w:p>
        </w:tc>
        <w:tc>
          <w:tcPr>
            <w:tcW w:w="14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Marca / Modelo</w:t>
            </w:r>
          </w:p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i/>
                <w:i/>
                <w:iCs/>
                <w:color w:val="000000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20"/>
                <w:szCs w:val="20"/>
                <w:shd w:fill="auto" w:val="clear"/>
              </w:rPr>
            </w:r>
          </w:p>
        </w:tc>
        <w:tc>
          <w:tcPr>
            <w:tcW w:w="9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Unidade</w:t>
            </w:r>
          </w:p>
        </w:tc>
        <w:tc>
          <w:tcPr>
            <w:tcW w:w="11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Quantidade</w:t>
              <w:br/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hanging="0" w:right="-28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Valor</w:t>
              <w:br/>
              <w:t>Unitário</w:t>
            </w:r>
          </w:p>
        </w:tc>
      </w:tr>
      <w:tr>
        <w:trPr>
          <w:trHeight w:val="174" w:hRule="atLeast"/>
        </w:trPr>
        <w:tc>
          <w:tcPr>
            <w:tcW w:w="49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hanging="0" w:right="-30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420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hanging="0" w:right="-30"/>
              <w:jc w:val="both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</w:r>
          </w:p>
        </w:tc>
        <w:tc>
          <w:tcPr>
            <w:tcW w:w="14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hanging="0" w:right="-30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</w:r>
          </w:p>
        </w:tc>
        <w:tc>
          <w:tcPr>
            <w:tcW w:w="97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hanging="0" w:right="-30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</w:r>
          </w:p>
        </w:tc>
        <w:tc>
          <w:tcPr>
            <w:tcW w:w="11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hanging="0" w:right="-30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</w:r>
          </w:p>
        </w:tc>
        <w:tc>
          <w:tcPr>
            <w:tcW w:w="10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hanging="0" w:right="-30"/>
              <w:jc w:val="center"/>
              <w:rPr>
                <w:rFonts w:ascii="Arial" w:hAnsi="Arial" w:cs="Arial"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  <w:shd w:fill="auto" w:val="clear"/>
              </w:rPr>
            </w:r>
          </w:p>
        </w:tc>
      </w:tr>
    </w:tbl>
    <w:p>
      <w:pPr>
        <w:pStyle w:val="Normal"/>
        <w:spacing w:lineRule="auto" w:line="360"/>
        <w:rPr>
          <w:rFonts w:ascii="Arial" w:hAnsi="Arial" w:cs="Arial"/>
          <w:color w:val="000000"/>
          <w:sz w:val="20"/>
          <w:szCs w:val="20"/>
          <w:highlight w:val="none"/>
          <w:shd w:fill="auto" w:val="clear"/>
          <w:lang w:eastAsia="en-US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  <w:lang w:eastAsia="en-US"/>
        </w:rPr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  <w:lang w:eastAsia="en-US"/>
        </w:rPr>
        <w:t>A listagem do cadastro de reserva referente ao presente registro de preços consta como anexo a esta Ata.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ÓRGÃO(S) GERENCIADOR E PARTICIPANTE(S)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O órgão gerenciador será o(a) </w:t>
      </w:r>
      <w:r>
        <w:rPr>
          <w:i/>
          <w:iCs/>
          <w:color w:val="000000"/>
          <w:sz w:val="20"/>
          <w:szCs w:val="20"/>
          <w:shd w:fill="auto" w:val="clear"/>
        </w:rPr>
        <w:t>[</w:t>
      </w:r>
      <w:r>
        <w:rPr>
          <w:i w:val="false"/>
          <w:iCs w:val="false"/>
          <w:color w:val="000000"/>
          <w:sz w:val="20"/>
          <w:szCs w:val="20"/>
          <w:shd w:fill="auto" w:val="clear"/>
          <w:lang w:eastAsia="en-US"/>
        </w:rPr>
        <w:t>Fundação Universidade Federal da Grande Dourados.</w:t>
      </w:r>
    </w:p>
    <w:p>
      <w:pPr>
        <w:pStyle w:val="Nvel2-Red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Além do gerenciador, não há órgãos e entidades públicas participantes do registro de preços.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DA ADESÃO À ATA DE REGISTRO DE PREÇOS</w:t>
      </w:r>
    </w:p>
    <w:p>
      <w:pPr>
        <w:pStyle w:val="Nvel2-Red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  <w:lang w:eastAsia="en-US"/>
        </w:rPr>
        <w:t xml:space="preserve"> </w:t>
      </w:r>
      <w:r>
        <w:rPr>
          <w:color w:val="000000"/>
          <w:sz w:val="20"/>
          <w:szCs w:val="20"/>
          <w:shd w:fill="auto" w:val="clear"/>
          <w:lang w:eastAsia="en-US"/>
        </w:rPr>
        <w:t>Não será admitida a adesão à ata de registro de preços decorrente desta licitação ou desta contratação direta, conforme justificativa apresentada nos estudos técnicos preliminares.</w:t>
      </w:r>
    </w:p>
    <w:p>
      <w:pPr>
        <w:pStyle w:val="SubTitNN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Vedação a acréscimo de quantitativos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É vedado efetuar acréscimos nos quantitativos fixados na ata de registro de preços.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VALIDADE, FORMALIZAÇÃO DA ATA DE REGISTRO DE PREÇOS E CADASTRO RESERVA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 validade da Ata de Registro de Preços será de 1 (um) ano, contado a partir do primeiro dia útil subsequente à data de divulgação no PNCP, podendo ser prorrogada por igual período, mediante a anuência do fornecedor, desde que comprovado o preço vantajoso.</w:t>
      </w:r>
    </w:p>
    <w:p>
      <w:pPr>
        <w:pStyle w:val="Nvel3-R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  <w:shd w:fill="auto" w:val="clear"/>
        </w:rPr>
        <w:t xml:space="preserve">Em caso de prorrogação da ata, </w:t>
      </w:r>
      <w:r>
        <w:rPr>
          <w:color w:val="000000"/>
          <w:sz w:val="20"/>
          <w:szCs w:val="20"/>
          <w:shd w:fill="auto" w:val="clear"/>
        </w:rPr>
        <w:t>poderá</w:t>
      </w:r>
      <w:r>
        <w:rPr>
          <w:i w:val="false"/>
          <w:iCs w:val="false"/>
          <w:color w:val="000000"/>
          <w:sz w:val="20"/>
          <w:szCs w:val="20"/>
          <w:shd w:fill="auto" w:val="clear"/>
        </w:rPr>
        <w:t xml:space="preserve"> ser renovado o quantitativo originalmente registrado.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 contrato decorrente da ata de registro de preços terá sua vigência estabelecida no próprio instrumento contratual e observará no momento da contratação e a cada exercício financeiro a disponibilidade de créditos orçamentários, bem como a previsão no plano plurianual, quando ultrapassar 1 (um) exercício financeiro.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formalização do contrato ou do instrumento substituto deverá haver a indicação da disponibilidade dos créditos orçamentários respectivos.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 contratação com os fornecedores registrados na ata será formalizada pelo órgão ou pela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interessada por intermédio de instrumento contratual, emissão de nota de empenho de despesa, autorização de compra ou outro instrumento hábil, conforme o art. 95 da Lei nº 14.133, de 2021.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 </w:t>
      </w:r>
      <w:r>
        <w:rPr>
          <w:color w:val="000000"/>
          <w:sz w:val="20"/>
          <w:szCs w:val="20"/>
          <w:shd w:fill="auto" w:val="clear"/>
        </w:rPr>
        <w:t>O instrumento contratual de que trata o item 5.2. deverá ser assinado no prazo de validade da ata de registro de preços.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Os contratos decorrentes do sistema de registro de preços poderão ser alterados, observado o art. 124 da Lei nº 14.133, de 2021.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Após a homologação da licitação ou da contratação direta, deverão ser observadas as seguintes condições para formalização da ata de registro de preços: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Serão registrados na ata os preços e os quantita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vos do adjudicatário, devendo ser observada a possibilidade de o licitante oferecer ou não proposta em quantitativo inferior ao máximo previsto no</w:t>
      </w:r>
      <w:r>
        <w:rPr>
          <w:i/>
          <w:iCs/>
          <w:color w:val="000000"/>
          <w:sz w:val="20"/>
          <w:szCs w:val="20"/>
          <w:shd w:fill="auto" w:val="clear"/>
        </w:rPr>
        <w:t xml:space="preserve"> </w:t>
      </w:r>
      <w:r>
        <w:rPr>
          <w:i/>
          <w:color w:val="000000"/>
          <w:sz w:val="20"/>
          <w:szCs w:val="20"/>
          <w:shd w:fill="auto" w:val="clear"/>
        </w:rPr>
        <w:t xml:space="preserve">edital </w:t>
      </w:r>
      <w:r>
        <w:rPr>
          <w:color w:val="000000"/>
          <w:sz w:val="20"/>
          <w:szCs w:val="20"/>
          <w:shd w:fill="auto" w:val="clear"/>
        </w:rPr>
        <w:t>e se obrigar nos limites dela;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Será incluído na ata, na forma de anexo, o registro dos licitantes ou dos fornecedores que:</w:t>
      </w:r>
    </w:p>
    <w:p>
      <w:pPr>
        <w:pStyle w:val="Nvel4"/>
        <w:numPr>
          <w:ilvl w:val="3"/>
          <w:numId w:val="1"/>
        </w:numPr>
        <w:ind w:hanging="0" w:left="567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Aceitarem cotar os bens, as obras ou os serviços com preços iguais aos do adjudicatário, observada a classificação da licitação; e </w:t>
      </w:r>
    </w:p>
    <w:p>
      <w:pPr>
        <w:pStyle w:val="Nvel4"/>
        <w:numPr>
          <w:ilvl w:val="3"/>
          <w:numId w:val="1"/>
        </w:numPr>
        <w:ind w:hanging="0" w:left="567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Mantiverem sua proposta original. </w:t>
      </w:r>
      <w:bookmarkStart w:id="0" w:name="cadastro_reserva"/>
      <w:bookmarkEnd w:id="0"/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Será respeitada, nas contratações, a ordem de classificação dos licitantes ou dos fornecedores registrados na ata.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 registro a que se refere o item 5.4.2</w:t>
      </w:r>
      <w:r>
        <w:rPr>
          <w:b/>
          <w:bCs/>
          <w:color w:val="000000"/>
          <w:sz w:val="20"/>
          <w:szCs w:val="20"/>
          <w:shd w:fill="auto" w:val="clear"/>
        </w:rPr>
        <w:t xml:space="preserve"> </w:t>
      </w:r>
      <w:r>
        <w:rPr>
          <w:color w:val="000000"/>
          <w:sz w:val="20"/>
          <w:szCs w:val="20"/>
          <w:shd w:fill="auto" w:val="clear"/>
        </w:rPr>
        <w:t>tem por obje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vo a formação de cadastro de reserva para o caso de impossibilidade de atendimento pelo signatário da ata.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Para fins da ordem de classificação, os licitantes ou fornecedores que aceitarem reduzir suas propostas para o preço do adjudicatário antecederão aqueles que mantiverem sua proposta original.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A habilitação dos licitantes que comporão o cadastro de reserva a que se refere o item </w:t>
      </w:r>
      <w:r>
        <w:rPr>
          <w:color w:val="000000"/>
          <w:sz w:val="20"/>
          <w:szCs w:val="20"/>
          <w:shd w:fill="auto" w:val="clear"/>
        </w:rPr>
        <w:fldChar w:fldCharType="begin"/>
      </w:r>
      <w:r>
        <w:rPr>
          <w:sz w:val="20"/>
          <w:shd w:fill="auto" w:val="clear"/>
          <w:szCs w:val="20"/>
          <w:color w:val="000000"/>
        </w:rPr>
        <w:instrText xml:space="preserve"> REF cadastro_reserva \r \r \h </w:instrText>
      </w:r>
      <w:r>
        <w:rPr>
          <w:sz w:val="20"/>
          <w:shd w:fill="auto" w:val="clear"/>
          <w:szCs w:val="20"/>
          <w:color w:val="000000"/>
        </w:rPr>
        <w:fldChar w:fldCharType="separate"/>
      </w:r>
      <w:r>
        <w:rPr>
          <w:sz w:val="20"/>
          <w:shd w:fill="auto" w:val="clear"/>
          <w:szCs w:val="20"/>
          <w:color w:val="000000"/>
        </w:rPr>
        <w:t>5.4.2.2</w:t>
      </w:r>
      <w:r>
        <w:rPr>
          <w:sz w:val="20"/>
          <w:shd w:fill="auto" w:val="clear"/>
          <w:szCs w:val="20"/>
          <w:color w:val="000000"/>
        </w:rPr>
        <w:fldChar w:fldCharType="end"/>
      </w:r>
      <w:r>
        <w:rPr>
          <w:color w:val="000000"/>
          <w:sz w:val="20"/>
          <w:szCs w:val="20"/>
          <w:shd w:fill="auto" w:val="clear"/>
        </w:rPr>
        <w:t xml:space="preserve"> somente será efetuada quando houver necessidade de contratação dos licitantes remanescentes, nas seguintes hipóteses: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Quando o licitante vencedor não assinar a ata de registro de preços, no prazo e nas condições estabelecidos no</w:t>
      </w:r>
      <w:r>
        <w:rPr>
          <w:i/>
          <w:iCs/>
          <w:color w:val="000000"/>
          <w:sz w:val="20"/>
          <w:szCs w:val="20"/>
          <w:shd w:fill="auto" w:val="clear"/>
        </w:rPr>
        <w:t xml:space="preserve"> </w:t>
      </w:r>
      <w:r>
        <w:rPr>
          <w:i/>
          <w:color w:val="000000"/>
          <w:sz w:val="20"/>
          <w:szCs w:val="20"/>
          <w:shd w:fill="auto" w:val="clear"/>
        </w:rPr>
        <w:t>edital</w:t>
      </w:r>
      <w:r>
        <w:rPr>
          <w:i/>
          <w:iCs/>
          <w:color w:val="000000"/>
          <w:sz w:val="20"/>
          <w:szCs w:val="20"/>
          <w:shd w:fill="auto" w:val="clear"/>
        </w:rPr>
        <w:t>;</w:t>
      </w:r>
      <w:r>
        <w:rPr>
          <w:color w:val="000000"/>
          <w:sz w:val="20"/>
          <w:szCs w:val="20"/>
          <w:shd w:fill="auto" w:val="clear"/>
        </w:rPr>
        <w:t xml:space="preserve"> e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Quando houver o cancelamento do registro do licitante ou do registro de preços nas hipóteses previstas no item </w:t>
      </w:r>
      <w:r>
        <w:rPr>
          <w:color w:val="000000"/>
          <w:sz w:val="20"/>
          <w:szCs w:val="20"/>
          <w:shd w:fill="auto" w:val="clear"/>
        </w:rPr>
        <w:fldChar w:fldCharType="begin"/>
      </w:r>
      <w:r>
        <w:rPr>
          <w:sz w:val="20"/>
          <w:shd w:fill="auto" w:val="clear"/>
          <w:szCs w:val="20"/>
          <w:color w:val="000000"/>
        </w:rPr>
        <w:instrText xml:space="preserve"> REF cancelamento \r \r \h </w:instrText>
      </w:r>
      <w:r>
        <w:rPr>
          <w:sz w:val="20"/>
          <w:shd w:fill="auto" w:val="clear"/>
          <w:szCs w:val="20"/>
          <w:color w:val="000000"/>
        </w:rPr>
        <w:fldChar w:fldCharType="separate"/>
      </w:r>
      <w:r>
        <w:rPr>
          <w:sz w:val="20"/>
          <w:shd w:fill="auto" w:val="clear"/>
          <w:szCs w:val="20"/>
          <w:color w:val="000000"/>
        </w:rPr>
        <w:t>9</w:t>
      </w:r>
      <w:r>
        <w:rPr>
          <w:sz w:val="20"/>
          <w:shd w:fill="auto" w:val="clear"/>
          <w:szCs w:val="20"/>
          <w:color w:val="000000"/>
        </w:rPr>
        <w:fldChar w:fldCharType="end"/>
      </w:r>
      <w:r>
        <w:rPr>
          <w:color w:val="000000"/>
          <w:sz w:val="20"/>
          <w:szCs w:val="20"/>
          <w:shd w:fill="auto" w:val="clear"/>
        </w:rPr>
        <w:t>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 preço registrado com indicação dos licitantes e fornecedores será divulgado no PNCP e ficará disponibilizado durante a vigência da ata de registro de preços.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 prazo de convocação poderá ser prorrogado 1 (uma) vez, por igual período, mediante solicitação do licitante ou fornecedor convocado, desde que apresentada dentro do prazo, devidamente justificada, e que a justificativa seja aceita pela Administração.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 ata de registro de preços será assinada por meio de assinatura digital e disponibilizada no Sistema de Registro de Preços.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Quando o convocado não assinar a ata de registro de preços no prazo e nas condições estabelecidos no edital ou no aviso de contratação, observando o termo de referência, fica facultado à Administração convocar os licitantes remanescentes do cadastro de reserva, na ordem de classificação, para fazê-lo em igual prazo e nas condições propostas pelo primeiro classificado.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nenhum dos licitantes que trata o item 5.4.2.1, aceitar a contratação nos termos do item anterior, a Administração, observados o valor es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 xml:space="preserve">mado e sua eventual atualização nos termos do </w:t>
      </w:r>
      <w:r>
        <w:rPr>
          <w:i/>
          <w:color w:val="000000"/>
          <w:sz w:val="20"/>
          <w:szCs w:val="20"/>
          <w:shd w:fill="auto" w:val="clear"/>
        </w:rPr>
        <w:t>edital</w:t>
      </w:r>
      <w:r>
        <w:rPr>
          <w:color w:val="000000"/>
          <w:sz w:val="20"/>
          <w:szCs w:val="20"/>
          <w:shd w:fill="auto" w:val="clear"/>
        </w:rPr>
        <w:t>, poderá: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Convocar para negociação os demais licitantes ou fornecedores remanescentes cujos preços foram registrados sem redução, observada a ordem de classificação, com vistas à obtenção de preço melhor, mesmo que acima do preço do adjudicatário; ou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Adjudicar e firmar o contrato nas condições ofertadas pelos licitantes ou fornecedores remanescentes, atendida a ordem classificatória, quando frustrada a negociação de melhor condição.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 existência de preços registrados implicará compromisso de fornecimento nas condições estabelecidas, mas não obrigará a Administração a contratar, facultada a realização de licitação específica para a aquisição pretendida, desde que devidamente justificada.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ALTERAÇÃO OU ATUALIZAÇÃO DOS PREÇOS REGISTRADOS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Os preços registrados poderão ser alterados ou atualizados em decorrência de eventual redução dos preços pra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cados no mercado ou de fato que eleve o custo dos bens, das obras ou dos serviços registrados, nas seguintes situações: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Em caso de força maior, caso fortuito ou fato do príncipe ou em decorrência de fatos imprevisíveis ou previsíveis de consequências incalculáveis, que inviabilizem a execução da ata tal como pactuada, nos termos da alínea “d” do inciso II do caput do art. 124 da Lei nº 14.133, de 2021;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Em caso de criação, alteração ou ex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 xml:space="preserve">nção de quaisquer tributos ou encargos legais ou a superveniência de disposições legais, com comprovada repercussão sobre os preços registrados; 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previsão no edital ou no aviso de contratação direta de cláusula de reajustamento ou repactuação sobre os preços registrados, nos termos da Lei nº 14.133, de 2021.</w:t>
      </w:r>
    </w:p>
    <w:p>
      <w:pPr>
        <w:pStyle w:val="Nvel4"/>
        <w:numPr>
          <w:ilvl w:val="3"/>
          <w:numId w:val="1"/>
        </w:numPr>
        <w:ind w:hanging="0" w:left="567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No caso do reajustamento, deverá ser respeitada a contagem da anualidade e o índice previstos para a contratação;  </w:t>
      </w:r>
    </w:p>
    <w:p>
      <w:pPr>
        <w:pStyle w:val="Nvel4"/>
        <w:numPr>
          <w:ilvl w:val="3"/>
          <w:numId w:val="1"/>
        </w:numPr>
        <w:ind w:hanging="0" w:left="567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No caso da repactuação, poderá ser a pedido do interessado, conforme critérios definidos para a contratação.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NEGOCIAÇÃO DE PREÇOS REGISTRADOS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o preço registrado tornar-se superior ao preço pra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cado no mercado por mo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vo superveniente, o órgão ou en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gerenciadora convocará o fornecedor para negociar a redução do preço registrado.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Caso não aceite reduzir seu preço aos valores pra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cados pelo mercado, o fornecedor será liberado do compromisso assumido quanto ao item registrado, sem aplicação de penalidades administrativas.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Na hipótese prevista no item anterior, o gerenciador convocará os fornecedores do cadastro de reserva, na ordem de classificação, para verificar se aceitam reduzir seus preços aos valores de mercado e não convocará os licitantes ou fornecedores que tiveram seu registro cancelado. 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Se não obtiver êxito nas negociações, o órgão ou en</w:t>
      </w:r>
      <w:r>
        <w:rPr>
          <w:rFonts w:eastAsia="Calibri"/>
          <w:color w:val="000000"/>
          <w:sz w:val="20"/>
          <w:szCs w:val="20"/>
          <w:shd w:fill="auto" w:val="clear"/>
        </w:rPr>
        <w:t>tid</w:t>
      </w:r>
      <w:r>
        <w:rPr>
          <w:color w:val="000000"/>
          <w:sz w:val="20"/>
          <w:szCs w:val="20"/>
          <w:shd w:fill="auto" w:val="clear"/>
        </w:rPr>
        <w:t>ade gerenciadora procederá ao cancelamento da ata de registro de preços, adotando as medidas cabíveis para obtenção de contratação mais vantajosa.</w:t>
      </w:r>
      <w:bookmarkStart w:id="1" w:name="reducao_preco_mercado_negociacao_frustra"/>
      <w:bookmarkEnd w:id="1"/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rFonts w:cs="Calibri"/>
          <w:color w:val="000000"/>
          <w:sz w:val="20"/>
          <w:szCs w:val="20"/>
          <w:shd w:fill="auto" w:val="clear"/>
        </w:rPr>
        <w:t>Na hipótese de</w:t>
      </w:r>
      <w:r>
        <w:rPr>
          <w:color w:val="000000"/>
          <w:sz w:val="20"/>
          <w:szCs w:val="20"/>
          <w:shd w:fill="auto" w:val="clear"/>
        </w:rPr>
        <w:t xml:space="preserve"> redução do preço registrado, o gerenciador comunicará aos órgãos e às en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 xml:space="preserve">dades que 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verem firmado contratos decorrentes da ata de registro de preços para que avaliem a conveniência e a oportunidade de diligenciarem negociação com vistas à alteração contratual, observado o disposto no art. 124 da Lei nº 14.133, de 2021.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o preço de mercado tornar-se superior ao preço registrado e o fornecedor não poder cumprir as obrigações estabelecidas na ata, será facultado ao fornecedor requerer ao gerenciador a alteração do preço registrado, mediante comprovação de fato superveniente que supostamente o impossibilite de cumprir o compromisso.</w:t>
      </w:r>
      <w:bookmarkStart w:id="2" w:name="hipotese_preco_mercado_maior"/>
      <w:bookmarkEnd w:id="2"/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Neste caso, o fornecedor encaminhará, juntamente com o pedido de alteração, a documentação comprobatória ou a planilha de custos que demonstre a inviabilidade do preço registrado em relação às condições inicialmente pactuadas.</w:t>
      </w:r>
      <w:bookmarkStart w:id="3" w:name="prova_preco_mercado_maior"/>
      <w:bookmarkEnd w:id="3"/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não comprovação da existência de fato superveniente que inviabilize o preço registrado, o pedido será indeferido pelo órgão ou en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 xml:space="preserve">dade gerenciadora e o fornecedor deverá cumprir as obrigações estabelecidas na ata, sob pena de cancelamento do seu registro, nos termos do item </w:t>
      </w:r>
      <w:r>
        <w:rPr>
          <w:color w:val="000000"/>
          <w:sz w:val="20"/>
          <w:szCs w:val="20"/>
          <w:shd w:fill="auto" w:val="clear"/>
        </w:rPr>
        <w:fldChar w:fldCharType="begin"/>
      </w:r>
      <w:r>
        <w:rPr>
          <w:sz w:val="20"/>
          <w:shd w:fill="auto" w:val="clear"/>
          <w:szCs w:val="20"/>
          <w:color w:val="000000"/>
        </w:rPr>
        <w:instrText xml:space="preserve"> REF cancelamento_do_fornecedor \r \r \h </w:instrText>
      </w:r>
      <w:r>
        <w:rPr>
          <w:sz w:val="20"/>
          <w:shd w:fill="auto" w:val="clear"/>
          <w:szCs w:val="20"/>
          <w:color w:val="000000"/>
        </w:rPr>
        <w:fldChar w:fldCharType="separate"/>
      </w:r>
      <w:r>
        <w:rPr>
          <w:sz w:val="20"/>
          <w:shd w:fill="auto" w:val="clear"/>
          <w:szCs w:val="20"/>
          <w:color w:val="000000"/>
        </w:rPr>
        <w:t>9.1</w:t>
      </w:r>
      <w:r>
        <w:rPr>
          <w:sz w:val="20"/>
          <w:shd w:fill="auto" w:val="clear"/>
          <w:szCs w:val="20"/>
          <w:color w:val="000000"/>
        </w:rPr>
        <w:fldChar w:fldCharType="end"/>
      </w:r>
      <w:r>
        <w:rPr>
          <w:color w:val="000000"/>
          <w:sz w:val="20"/>
          <w:szCs w:val="20"/>
          <w:shd w:fill="auto" w:val="clear"/>
        </w:rPr>
        <w:t>, sem prejuízo das sanções previstas na Lei nº 14.133, de 2021, e na legislação aplicável.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cancelamento do registro do fornecedor, nos termos do item anterior, o gerenciador convocará os fornecedores do cadastro de reserva, na ordem de classificação, para verificar se aceitam manter seus preços registrados, observado o disposto no item 5.7.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Se não obtiver êxito nas negociações, o órgão ou entidade gerenciadora procederá ao cancelamento da ata de registro de preços, nos termos do item </w:t>
      </w:r>
      <w:r>
        <w:rPr>
          <w:color w:val="000000"/>
          <w:sz w:val="20"/>
          <w:szCs w:val="20"/>
          <w:shd w:fill="auto" w:val="clear"/>
        </w:rPr>
        <w:fldChar w:fldCharType="begin"/>
      </w:r>
      <w:r>
        <w:rPr>
          <w:sz w:val="20"/>
          <w:shd w:fill="auto" w:val="clear"/>
          <w:szCs w:val="20"/>
          <w:color w:val="000000"/>
        </w:rPr>
        <w:instrText xml:space="preserve"> REF cancelamento_da_ata \r \r \h </w:instrText>
      </w:r>
      <w:r>
        <w:rPr>
          <w:sz w:val="20"/>
          <w:shd w:fill="auto" w:val="clear"/>
          <w:szCs w:val="20"/>
          <w:color w:val="000000"/>
        </w:rPr>
        <w:fldChar w:fldCharType="separate"/>
      </w:r>
      <w:r>
        <w:rPr>
          <w:sz w:val="20"/>
          <w:shd w:fill="auto" w:val="clear"/>
          <w:szCs w:val="20"/>
          <w:color w:val="000000"/>
        </w:rPr>
        <w:t>9.4</w:t>
      </w:r>
      <w:r>
        <w:rPr>
          <w:sz w:val="20"/>
          <w:shd w:fill="auto" w:val="clear"/>
          <w:szCs w:val="20"/>
          <w:color w:val="000000"/>
        </w:rPr>
        <w:fldChar w:fldCharType="end"/>
      </w:r>
      <w:r>
        <w:rPr>
          <w:color w:val="000000"/>
          <w:sz w:val="20"/>
          <w:szCs w:val="20"/>
          <w:shd w:fill="auto" w:val="clear"/>
        </w:rPr>
        <w:t>, e adotará as medidas cabíveis para a obtenção da contratação mais vantajosa.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Na hipótese de comprovação da majoração do preço de mercado que inviabilize o preço registrado, conforme previsto no item </w:t>
      </w:r>
      <w:r>
        <w:rPr>
          <w:color w:val="000000"/>
          <w:sz w:val="20"/>
          <w:szCs w:val="20"/>
          <w:shd w:fill="auto" w:val="clear"/>
        </w:rPr>
        <w:fldChar w:fldCharType="begin"/>
      </w:r>
      <w:r>
        <w:rPr>
          <w:sz w:val="20"/>
          <w:shd w:fill="auto" w:val="clear"/>
          <w:szCs w:val="20"/>
          <w:color w:val="000000"/>
        </w:rPr>
        <w:instrText xml:space="preserve"> REF hipotese_preco_mercado_maior \r \r \h </w:instrText>
      </w:r>
      <w:r>
        <w:rPr>
          <w:sz w:val="20"/>
          <w:shd w:fill="auto" w:val="clear"/>
          <w:szCs w:val="20"/>
          <w:color w:val="000000"/>
        </w:rPr>
        <w:fldChar w:fldCharType="separate"/>
      </w:r>
      <w:r>
        <w:rPr>
          <w:sz w:val="20"/>
          <w:shd w:fill="auto" w:val="clear"/>
          <w:szCs w:val="20"/>
          <w:color w:val="000000"/>
        </w:rPr>
        <w:t>7.2</w:t>
      </w:r>
      <w:r>
        <w:rPr>
          <w:sz w:val="20"/>
          <w:shd w:fill="auto" w:val="clear"/>
          <w:szCs w:val="20"/>
          <w:color w:val="000000"/>
        </w:rPr>
        <w:fldChar w:fldCharType="end"/>
      </w:r>
      <w:r>
        <w:rPr>
          <w:color w:val="000000"/>
          <w:sz w:val="20"/>
          <w:szCs w:val="20"/>
          <w:shd w:fill="auto" w:val="clear"/>
        </w:rPr>
        <w:t xml:space="preserve"> e no item </w:t>
      </w:r>
      <w:r>
        <w:rPr>
          <w:color w:val="000000"/>
          <w:sz w:val="20"/>
          <w:szCs w:val="20"/>
          <w:shd w:fill="auto" w:val="clear"/>
        </w:rPr>
        <w:fldChar w:fldCharType="begin"/>
      </w:r>
      <w:r>
        <w:rPr>
          <w:sz w:val="20"/>
          <w:shd w:fill="auto" w:val="clear"/>
          <w:szCs w:val="20"/>
          <w:color w:val="000000"/>
        </w:rPr>
        <w:instrText xml:space="preserve"> REF prova_preco_mercado_maior \r \r \h </w:instrText>
      </w:r>
      <w:r>
        <w:rPr>
          <w:sz w:val="20"/>
          <w:shd w:fill="auto" w:val="clear"/>
          <w:szCs w:val="20"/>
          <w:color w:val="000000"/>
        </w:rPr>
        <w:fldChar w:fldCharType="separate"/>
      </w:r>
      <w:r>
        <w:rPr>
          <w:sz w:val="20"/>
          <w:shd w:fill="auto" w:val="clear"/>
          <w:szCs w:val="20"/>
          <w:color w:val="000000"/>
        </w:rPr>
        <w:t>7.2.1</w:t>
      </w:r>
      <w:r>
        <w:rPr>
          <w:sz w:val="20"/>
          <w:shd w:fill="auto" w:val="clear"/>
          <w:szCs w:val="20"/>
          <w:color w:val="000000"/>
        </w:rPr>
        <w:fldChar w:fldCharType="end"/>
      </w:r>
      <w:r>
        <w:rPr>
          <w:color w:val="000000"/>
          <w:sz w:val="20"/>
          <w:szCs w:val="20"/>
          <w:shd w:fill="auto" w:val="clear"/>
        </w:rPr>
        <w:t>, o órgão ou en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gerenciadora atualizará o preço registrado, de acordo com a realidade dos valores praticados pelo mercado.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 </w:t>
      </w:r>
      <w:r>
        <w:rPr>
          <w:color w:val="000000"/>
          <w:sz w:val="20"/>
          <w:szCs w:val="20"/>
          <w:shd w:fill="auto" w:val="clear"/>
        </w:rPr>
        <w:t>O órgão ou en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gerenciadora comunicará aos órgãos e às en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 xml:space="preserve">dades que 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verem firmado contratos decorrentes da ata de registro de preços sobre a efe</w:t>
      </w:r>
      <w:r>
        <w:rPr>
          <w:rFonts w:eastAsia="Calibri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va alteração do preço registrado, para que avaliem a necessidade de alteração contratual, observado o disposto no art. 124 da Lei nº 14.133, de 2021.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REMANEJAMENTO DAS QUANTIDADES REGISTRADAS NA ATA DE REGISTRO DE PREÇOS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 </w:t>
      </w:r>
      <w:r>
        <w:rPr>
          <w:color w:val="000000"/>
          <w:sz w:val="20"/>
          <w:szCs w:val="20"/>
          <w:shd w:fill="auto" w:val="clear"/>
        </w:rPr>
        <w:t>As quan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dades previstas para os itens com preços registrados nas atas de registro de preços poderão ser remanejadas pelo órgão ou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gerenciadora entre os órgãos ou as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dades par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cipantes e não par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cipantes do registro de preços.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 </w:t>
      </w:r>
      <w:r>
        <w:rPr>
          <w:color w:val="000000"/>
          <w:sz w:val="20"/>
          <w:szCs w:val="20"/>
          <w:shd w:fill="auto" w:val="clear"/>
        </w:rPr>
        <w:t>O remanejamento somente poderá ser feito: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De órgão ou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par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cipante para órgão ou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par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cipante; ou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De órgão ou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par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cipante para órgão ou entidade não participante.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 órgão ou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gerenciadora que tiver es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mado as quan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dades que pretende contratar será considerado participante para efeito do remanejamento.</w:t>
      </w:r>
      <w:bookmarkStart w:id="4" w:name="gerenciador_estimador_é_partic_em_remane"/>
      <w:bookmarkEnd w:id="4"/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remanejamento de órgão ou entidade par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cipante para órgão ou entidade não participante, serão observados os limites previstos no art. 32 do Decreto nº 11.462, de 2023.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Competirá ao órgão ou à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gerenciadora autorizar o remanejamento solicitado, com a redução do quan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ta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vo inicialmente informado pelo órgão ou pela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par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cipante, desde que haja prévia anuência do órgão ou da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que sofrer redução dos quantitativos informados.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Caso o remanejamento seja feito entre órgãos ou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dades dos Estados, do Distrito Federal ou de Municípios dis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ntos, caberá ao fornecedor beneficiário da ata de registro de preços, observadas as condições nela estabelecidas, optar pela aceitação ou não do fornecimento decorrente do remanejamento dos itens.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da compra centralizada, não havendo indicação pelo órgão ou pela en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dade gerenciadora, dos quan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ta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vos dos par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 xml:space="preserve">cipantes da compra centralizada, nos termos do item </w:t>
      </w:r>
      <w:r>
        <w:rPr>
          <w:color w:val="000000"/>
          <w:sz w:val="20"/>
          <w:szCs w:val="20"/>
          <w:shd w:fill="auto" w:val="clear"/>
        </w:rPr>
        <w:fldChar w:fldCharType="begin"/>
      </w:r>
      <w:r>
        <w:rPr>
          <w:sz w:val="20"/>
          <w:shd w:fill="auto" w:val="clear"/>
          <w:szCs w:val="20"/>
          <w:color w:val="000000"/>
        </w:rPr>
        <w:instrText xml:space="preserve"> REF gerenciador_estimador_é_partic_em_remane \r \r \h </w:instrText>
      </w:r>
      <w:r>
        <w:rPr>
          <w:sz w:val="20"/>
          <w:shd w:fill="auto" w:val="clear"/>
          <w:szCs w:val="20"/>
          <w:color w:val="000000"/>
        </w:rPr>
        <w:fldChar w:fldCharType="separate"/>
      </w:r>
      <w:r>
        <w:rPr>
          <w:sz w:val="20"/>
          <w:shd w:fill="auto" w:val="clear"/>
          <w:szCs w:val="20"/>
          <w:color w:val="000000"/>
        </w:rPr>
        <w:t>8.3</w:t>
      </w:r>
      <w:r>
        <w:rPr>
          <w:sz w:val="20"/>
          <w:shd w:fill="auto" w:val="clear"/>
          <w:szCs w:val="20"/>
          <w:color w:val="000000"/>
        </w:rPr>
        <w:fldChar w:fldCharType="end"/>
      </w:r>
      <w:r>
        <w:rPr>
          <w:color w:val="000000"/>
          <w:sz w:val="20"/>
          <w:szCs w:val="20"/>
          <w:shd w:fill="auto" w:val="clear"/>
        </w:rPr>
        <w:t>, a distribuição das quantidades para a execução descentralizada será por meio do remanejamento.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CANCELAMENTO DO REGISTRO DO LICITANTE VENCEDOR E DOS PREÇOS REGISTRADOS</w:t>
      </w:r>
      <w:bookmarkStart w:id="5" w:name="cancelamento"/>
      <w:bookmarkEnd w:id="5"/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 registro do fornecedor será cancelado pelo gerenciador, quando o fornecedor:</w:t>
      </w:r>
      <w:bookmarkStart w:id="6" w:name="cancelamento_do_fornecedor"/>
      <w:bookmarkEnd w:id="6"/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Descumprir as condições da ata de registro de preços, sem motivo justificado;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Não re</w:t>
      </w:r>
      <w:r>
        <w:rPr>
          <w:rFonts w:eastAsia="Arial"/>
          <w:color w:val="000000"/>
          <w:sz w:val="20"/>
          <w:szCs w:val="20"/>
          <w:shd w:fill="auto" w:val="clear"/>
        </w:rPr>
        <w:t>ti</w:t>
      </w:r>
      <w:r>
        <w:rPr>
          <w:color w:val="000000"/>
          <w:sz w:val="20"/>
          <w:szCs w:val="20"/>
          <w:shd w:fill="auto" w:val="clear"/>
        </w:rPr>
        <w:t>rar a nota de empenho, ou instrumento equivalente, no prazo estabelecido pela Administração sem justificativa razoável;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Não aceitar manter seu preço registrado, na hipótese prevista no artigo 27, § 2º, do Decreto nº 11.462, de 2023; ou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 </w:t>
      </w:r>
      <w:r>
        <w:rPr>
          <w:color w:val="000000"/>
          <w:sz w:val="20"/>
          <w:szCs w:val="20"/>
          <w:shd w:fill="auto" w:val="clear"/>
        </w:rPr>
        <w:t>Sofrer sanção prevista nos incisos III ou IV do caput do art. 156 da Lei nº 14.133, de 2021.</w:t>
      </w:r>
    </w:p>
    <w:p>
      <w:pPr>
        <w:pStyle w:val="Nvel4"/>
        <w:numPr>
          <w:ilvl w:val="3"/>
          <w:numId w:val="1"/>
        </w:numPr>
        <w:ind w:hanging="0" w:left="567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aplicação de sanção prevista nos incisos III ou IV do caput do art. 156 da Lei nº 14.133, de 2021, caso a penalidade aplicada ao fornecedor não ultrapasse o prazo de vigência da ata de registro de preços, poderá o órgão ou a entidade gerenciadora, mediante decisão fundamentada, decidir pela manutenção do registro de preços, vedadas contratações derivadas da ata enquanto perdurarem os efeitos da sanção.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 </w:t>
      </w:r>
      <w:r>
        <w:rPr>
          <w:color w:val="000000"/>
          <w:sz w:val="20"/>
          <w:szCs w:val="20"/>
          <w:shd w:fill="auto" w:val="clear"/>
        </w:rPr>
        <w:t xml:space="preserve">O cancelamento de registros nas hipóteses previstas no item </w:t>
      </w:r>
      <w:r>
        <w:rPr>
          <w:color w:val="000000"/>
          <w:sz w:val="20"/>
          <w:szCs w:val="20"/>
          <w:shd w:fill="auto" w:val="clear"/>
        </w:rPr>
        <w:fldChar w:fldCharType="begin"/>
      </w:r>
      <w:r>
        <w:rPr>
          <w:sz w:val="20"/>
          <w:shd w:fill="auto" w:val="clear"/>
          <w:szCs w:val="20"/>
          <w:color w:val="000000"/>
        </w:rPr>
        <w:instrText xml:space="preserve"> REF cancelamento_do_fornecedor \r \r \h </w:instrText>
      </w:r>
      <w:r>
        <w:rPr>
          <w:sz w:val="20"/>
          <w:shd w:fill="auto" w:val="clear"/>
          <w:szCs w:val="20"/>
          <w:color w:val="000000"/>
        </w:rPr>
        <w:fldChar w:fldCharType="separate"/>
      </w:r>
      <w:r>
        <w:rPr>
          <w:sz w:val="20"/>
          <w:shd w:fill="auto" w:val="clear"/>
          <w:szCs w:val="20"/>
          <w:color w:val="000000"/>
        </w:rPr>
        <w:t>9.1</w:t>
      </w:r>
      <w:r>
        <w:rPr>
          <w:sz w:val="20"/>
          <w:shd w:fill="auto" w:val="clear"/>
          <w:szCs w:val="20"/>
          <w:color w:val="000000"/>
        </w:rPr>
        <w:fldChar w:fldCharType="end"/>
      </w:r>
      <w:r>
        <w:rPr>
          <w:color w:val="000000"/>
          <w:sz w:val="20"/>
          <w:szCs w:val="20"/>
          <w:shd w:fill="auto" w:val="clear"/>
        </w:rPr>
        <w:t xml:space="preserve"> será formalizado por despacho do órgão ou da entidade gerenciadora, garantidos os princípios do contraditório e da ampla defesa.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Na hipótese de cancelamento do registro do fornecedor, o órgão ou a entidade gerenciadora poderá convocar os licitantes que compõem o cadastro de reserva, observada a ordem de classificação.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 cancelamento dos preços registrados poderá ser realizado pelo gerenciador, em determinada ata de registro de preços, total ou parcialmente, nas seguintes hipóteses, desde que devidamente comprovadas e justificadas:</w:t>
      </w:r>
      <w:bookmarkStart w:id="7" w:name="cancelamento_da_ata"/>
      <w:bookmarkEnd w:id="7"/>
      <w:r>
        <w:rPr>
          <w:color w:val="000000"/>
          <w:sz w:val="20"/>
          <w:szCs w:val="20"/>
          <w:shd w:fill="auto" w:val="clear"/>
        </w:rPr>
        <w:t xml:space="preserve"> 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Por razão de interesse público;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 pedido do fornecedor, decorrente de caso fortuito ou força maior; ou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Se não houver êxito nas negociações, nas hipóteses em que o preço de mercado tornar-se superior ou inferior ao preço registrado, nos termos do artigos 26, § 3º e  27, § 4º, ambos do Decreto nº 11.462, de 2023. 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DAS PENALIDADES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O descumprimento da Ata de Registro de Preços ensejará aplicação das penalidades estabelecidas </w:t>
      </w:r>
      <w:r>
        <w:rPr>
          <w:iCs/>
          <w:color w:val="000000"/>
          <w:sz w:val="20"/>
          <w:szCs w:val="20"/>
          <w:shd w:fill="auto" w:val="clear"/>
        </w:rPr>
        <w:t>no</w:t>
      </w:r>
      <w:r>
        <w:rPr>
          <w:i/>
          <w:color w:val="000000"/>
          <w:sz w:val="20"/>
          <w:szCs w:val="20"/>
          <w:shd w:fill="auto" w:val="clear"/>
        </w:rPr>
        <w:t xml:space="preserve"> edital</w:t>
      </w:r>
      <w:r>
        <w:rPr>
          <w:color w:val="000000"/>
          <w:sz w:val="20"/>
          <w:szCs w:val="20"/>
          <w:shd w:fill="auto" w:val="clear"/>
        </w:rPr>
        <w:t>.</w:t>
      </w:r>
    </w:p>
    <w:p>
      <w:pPr>
        <w:pStyle w:val="Nvel3"/>
        <w:numPr>
          <w:ilvl w:val="2"/>
          <w:numId w:val="1"/>
        </w:numPr>
        <w:ind w:hanging="0" w:left="284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 xml:space="preserve">As sanções também se aplicam aos integrantes do cadastro de reserva no registro de preços que, convocados, não honrarem o compromisso assumido injustificadamente após terem assinado a ata. 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É da competência do gerenciador a aplicação das penalidades decorrentes do descumprimento do pactuado nesta ata de registro de preço (art. 7º, XIV, do Decreto nº 11.462, de 2023), exceto nas hipóteses em que o descumprimento disser respeito às contratações dos órgãos ou entidade participante, caso no qual caberá ao respectivo órgão participante a aplicação da penalidade (art. 8º, IX, do Decreto nº 11.462, de 2023).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O órgão ou entidade participante deverá comunicar ao órgão gerenciador qualquer das ocorrências previstas no item 9.1, dada a necessidade de instauração de procedimento para cancelamento do registro do fornecedor.</w:t>
      </w:r>
    </w:p>
    <w:p>
      <w:pPr>
        <w:pStyle w:val="Nivel01"/>
        <w:numPr>
          <w:ilvl w:val="0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CONDIÇÕES GERAIS</w:t>
      </w:r>
    </w:p>
    <w:p>
      <w:pPr>
        <w:pStyle w:val="Nivel2"/>
        <w:numPr>
          <w:ilvl w:val="1"/>
          <w:numId w:val="1"/>
        </w:numPr>
        <w:ind w:hanging="0" w:left="0"/>
        <w:rPr>
          <w:rFonts w:ascii="Arial" w:hAnsi="Arial"/>
          <w:sz w:val="20"/>
          <w:szCs w:val="20"/>
        </w:rPr>
      </w:pPr>
      <w:r>
        <w:rPr>
          <w:color w:val="000000"/>
          <w:sz w:val="20"/>
          <w:szCs w:val="20"/>
          <w:shd w:fill="auto" w:val="clear"/>
        </w:rPr>
        <w:t>As condições gerais de execução do objeto, tais como os prazos para entrega e recebimento, as obrigações da Administração e do fornecedor registrado, penalidades e demais condições do ajuste, encontram-se definidos no Termo de Referência, anexo ao</w:t>
      </w:r>
      <w:r>
        <w:rPr>
          <w:i/>
          <w:color w:val="000000"/>
          <w:sz w:val="20"/>
          <w:szCs w:val="20"/>
          <w:shd w:fill="auto" w:val="clear"/>
        </w:rPr>
        <w:t xml:space="preserve"> edital.</w:t>
      </w:r>
    </w:p>
    <w:p>
      <w:pPr>
        <w:pStyle w:val="Normal"/>
        <w:widowControl w:val="false"/>
        <w:spacing w:lineRule="auto" w:line="276" w:before="120" w:after="120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  <w:t>Para firmeza e validade do pactuado, a presente Ata foi lavrada em via digital, que, depois de lida e achada em ordem, vai assinada pelas partes.</w:t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  <w:t>Dourados,03 de junho de 2026</w:t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  <w:t>Assinaturas</w:t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 w:cs="Arial"/>
          <w:color w:val="000000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 w:cs="Arial"/>
          <w:color w:val="000000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 w:cs="Arial"/>
          <w:color w:val="000000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 w:cs="Arial"/>
          <w:color w:val="000000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 w:cs="Arial"/>
          <w:color w:val="000000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 w:cs="Arial"/>
          <w:color w:val="000000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 w:cs="Arial"/>
          <w:color w:val="000000"/>
          <w:sz w:val="20"/>
          <w:szCs w:val="20"/>
          <w:highlight w:val="none"/>
          <w:shd w:fill="auto" w:val="clear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  <w:t xml:space="preserve">Representante legal do órgão gerenciador </w:t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color w:val="000000"/>
          <w:sz w:val="20"/>
          <w:szCs w:val="20"/>
          <w:highlight w:val="none"/>
          <w:shd w:fill="auto" w:val="clear"/>
        </w:rPr>
      </w:pPr>
      <w:r>
        <w:rPr>
          <w:rFonts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uto" w:line="360"/>
        <w:ind w:hanging="0" w:right="-30"/>
        <w:jc w:val="center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  <w:shd w:fill="auto" w:val="clear"/>
        </w:rPr>
        <w:t>Representante legal do fornecedor registrado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701" w:right="1134" w:gutter="0" w:header="0" w:top="1418" w:footer="708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cofont_Spranq_eco_Sans">
    <w:charset w:val="00"/>
    <w:family w:val="roman"/>
    <w:pitch w:val="variable"/>
  </w:font>
  <w:font w:name="Cambria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color w:val="8496B0"/>
        <w:spacing w:val="60"/>
        <w:sz w:val="16"/>
        <w:szCs w:val="16"/>
      </w:rPr>
    </w:pPr>
    <w:r>
      <w:rPr>
        <w:color w:val="8496B0"/>
        <w:spacing w:val="60"/>
      </w:rPr>
      <w:tab/>
      <w:tab/>
    </w:r>
  </w:p>
  <w:p>
    <w:pPr>
      <w:pStyle w:val="Footer"/>
      <w:rPr>
        <w:rFonts w:ascii="Arial" w:hAnsi="Arial" w:cs="Arial"/>
        <w:color w:val="7F7F7F"/>
        <w:sz w:val="18"/>
        <w:szCs w:val="18"/>
      </w:rPr>
    </w:pPr>
    <w:r>
      <w:rPr>
        <w:color w:val="7F7F7F"/>
        <w:spacing w:val="60"/>
      </w:rPr>
      <w:tab/>
      <w:tab/>
    </w:r>
    <w:r>
      <w:rPr>
        <w:rFonts w:cs="Arial" w:ascii="Arial" w:hAnsi="Arial"/>
        <w:color w:val="595959"/>
        <w:spacing w:val="60"/>
        <w:sz w:val="18"/>
        <w:szCs w:val="18"/>
      </w:rPr>
      <w:t>Página</w:t>
    </w:r>
    <w:r>
      <w:rPr>
        <w:rFonts w:cs="Arial" w:ascii="Arial" w:hAnsi="Arial"/>
        <w:color w:val="595959"/>
        <w:sz w:val="18"/>
        <w:szCs w:val="18"/>
      </w:rPr>
      <w:t xml:space="preserve"> </w:t>
    </w:r>
    <w:r>
      <w:rPr>
        <w:rFonts w:cs="Arial" w:ascii="Arial" w:hAnsi="Arial"/>
        <w:color w:val="595959"/>
        <w:sz w:val="18"/>
        <w:szCs w:val="18"/>
      </w:rPr>
      <w:fldChar w:fldCharType="begin"/>
    </w:r>
    <w:r>
      <w:rPr>
        <w:sz w:val="18"/>
        <w:szCs w:val="18"/>
        <w:rFonts w:cs="Arial" w:ascii="Arial" w:hAnsi="Arial"/>
        <w:color w:val="595959"/>
      </w:rPr>
      <w:instrText xml:space="preserve"> PAGE </w:instrText>
    </w:r>
    <w:r>
      <w:rPr>
        <w:sz w:val="18"/>
        <w:szCs w:val="18"/>
        <w:rFonts w:cs="Arial" w:ascii="Arial" w:hAnsi="Arial"/>
        <w:color w:val="595959"/>
      </w:rPr>
      <w:fldChar w:fldCharType="separate"/>
    </w:r>
    <w:r>
      <w:rPr>
        <w:sz w:val="18"/>
        <w:szCs w:val="18"/>
        <w:rFonts w:cs="Arial" w:ascii="Arial" w:hAnsi="Arial"/>
        <w:color w:val="595959"/>
      </w:rPr>
      <w:t>7</w:t>
    </w:r>
    <w:r>
      <w:rPr>
        <w:sz w:val="18"/>
        <w:szCs w:val="18"/>
        <w:rFonts w:cs="Arial" w:ascii="Arial" w:hAnsi="Arial"/>
        <w:color w:val="595959"/>
      </w:rPr>
      <w:fldChar w:fldCharType="end"/>
    </w:r>
    <w:r>
      <w:rPr>
        <w:rFonts w:cs="Arial" w:ascii="Arial" w:hAnsi="Arial"/>
        <w:color w:val="595959"/>
        <w:sz w:val="18"/>
        <w:szCs w:val="18"/>
      </w:rPr>
      <w:t xml:space="preserve"> | </w:t>
    </w:r>
    <w:r>
      <w:rPr>
        <w:rFonts w:cs="Arial" w:ascii="Arial" w:hAnsi="Arial"/>
        <w:color w:val="595959"/>
        <w:sz w:val="18"/>
        <w:szCs w:val="18"/>
      </w:rPr>
      <w:fldChar w:fldCharType="begin"/>
    </w:r>
    <w:r>
      <w:rPr>
        <w:sz w:val="18"/>
        <w:szCs w:val="18"/>
        <w:rFonts w:cs="Arial" w:ascii="Arial" w:hAnsi="Arial"/>
        <w:color w:val="595959"/>
      </w:rPr>
      <w:instrText xml:space="preserve"> NUMPAGES </w:instrText>
    </w:r>
    <w:r>
      <w:rPr>
        <w:sz w:val="18"/>
        <w:szCs w:val="18"/>
        <w:rFonts w:cs="Arial" w:ascii="Arial" w:hAnsi="Arial"/>
        <w:color w:val="595959"/>
      </w:rPr>
      <w:fldChar w:fldCharType="separate"/>
    </w:r>
    <w:r>
      <w:rPr>
        <w:sz w:val="18"/>
        <w:szCs w:val="18"/>
        <w:rFonts w:cs="Arial" w:ascii="Arial" w:hAnsi="Arial"/>
        <w:color w:val="595959"/>
      </w:rPr>
      <w:t>7</w:t>
    </w:r>
    <w:r>
      <w:rPr>
        <w:sz w:val="18"/>
        <w:szCs w:val="18"/>
        <w:rFonts w:cs="Arial" w:ascii="Arial" w:hAnsi="Arial"/>
        <w:color w:val="595959"/>
      </w:rPr>
      <w:fldChar w:fldCharType="end"/>
    </w:r>
  </w:p>
  <w:p>
    <w:pPr>
      <w:pStyle w:val="Footer"/>
      <w:rPr>
        <w:rFonts w:ascii="Arial" w:hAnsi="Arial"/>
        <w:sz w:val="14"/>
      </w:rPr>
    </w:pPr>
    <w:r>
      <w:rPr>
        <w:rFonts w:ascii="Arial" w:hAnsi="Arial"/>
        <w:sz w:val="14"/>
      </w:rPr>
      <w:t>Câmara Nacional de Modelos de Licitações e Contratos da Consultoria-Geral da União</w:t>
    </w:r>
  </w:p>
  <w:p>
    <w:pPr>
      <w:pStyle w:val="Footer"/>
      <w:rPr>
        <w:rFonts w:ascii="Arial" w:hAnsi="Arial"/>
        <w:color w:val="222A35"/>
        <w:sz w:val="14"/>
      </w:rPr>
    </w:pPr>
    <w:r>
      <w:rPr>
        <w:rFonts w:cs="Arial" w:ascii="Arial" w:hAnsi="Arial"/>
        <w:sz w:val="14"/>
        <w:szCs w:val="14"/>
      </w:rPr>
      <w:t xml:space="preserve">Modelo de </w:t>
    </w:r>
    <w:r>
      <w:rPr>
        <w:rFonts w:ascii="Arial" w:hAnsi="Arial"/>
        <w:sz w:val="14"/>
      </w:rPr>
      <w:t>Modelo Ata de Registro de Preços - Lei nº 14.133, de 2021</w:t>
    </w:r>
  </w:p>
  <w:p>
    <w:pPr>
      <w:pStyle w:val="Footer"/>
      <w:rPr>
        <w:rFonts w:ascii="Arial" w:hAnsi="Arial"/>
        <w:sz w:val="14"/>
      </w:rPr>
    </w:pPr>
    <w:r>
      <w:rPr>
        <w:rFonts w:ascii="Arial" w:hAnsi="Arial"/>
        <w:sz w:val="14"/>
      </w:rPr>
      <w:t>Aprovado pela Secretaria de Gestão e Inovação</w:t>
    </w:r>
  </w:p>
  <w:p>
    <w:pPr>
      <w:pStyle w:val="Footer"/>
      <w:rPr>
        <w:rFonts w:ascii="Arial" w:hAnsi="Arial"/>
        <w:sz w:val="14"/>
      </w:rPr>
    </w:pPr>
    <w:r>
      <w:rPr>
        <w:rFonts w:ascii="Arial" w:hAnsi="Arial"/>
        <w:sz w:val="14"/>
      </w:rPr>
      <w:t>Identidade visual pela Secretaria de Gestão e Inovação</w:t>
    </w:r>
  </w:p>
  <w:p>
    <w:pPr>
      <w:pStyle w:val="Footer"/>
      <w:rPr>
        <w:rFonts w:ascii="Arial" w:hAnsi="Arial"/>
        <w:sz w:val="14"/>
      </w:rPr>
    </w:pPr>
    <w:r>
      <w:rPr>
        <w:rFonts w:cs="Arial" w:ascii="Arial" w:hAnsi="Arial"/>
        <w:sz w:val="14"/>
        <w:szCs w:val="14"/>
      </w:rPr>
      <w:t>Atualização: NOV/2025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color w:val="8496B0"/>
        <w:spacing w:val="60"/>
        <w:sz w:val="16"/>
        <w:szCs w:val="16"/>
      </w:rPr>
    </w:pPr>
    <w:r>
      <w:rPr>
        <w:color w:val="8496B0"/>
        <w:spacing w:val="60"/>
      </w:rPr>
      <w:tab/>
      <w:tab/>
    </w:r>
  </w:p>
  <w:p>
    <w:pPr>
      <w:pStyle w:val="Footer"/>
      <w:rPr>
        <w:rFonts w:ascii="Arial" w:hAnsi="Arial" w:cs="Arial"/>
        <w:color w:val="7F7F7F"/>
        <w:sz w:val="18"/>
        <w:szCs w:val="18"/>
      </w:rPr>
    </w:pPr>
    <w:r>
      <w:rPr>
        <w:color w:val="7F7F7F"/>
        <w:spacing w:val="60"/>
      </w:rPr>
      <w:tab/>
      <w:tab/>
    </w:r>
    <w:r>
      <w:rPr>
        <w:rFonts w:cs="Arial" w:ascii="Arial" w:hAnsi="Arial"/>
        <w:color w:val="595959"/>
        <w:spacing w:val="60"/>
        <w:sz w:val="18"/>
        <w:szCs w:val="18"/>
      </w:rPr>
      <w:t>Página</w:t>
    </w:r>
    <w:r>
      <w:rPr>
        <w:rFonts w:cs="Arial" w:ascii="Arial" w:hAnsi="Arial"/>
        <w:color w:val="595959"/>
        <w:sz w:val="18"/>
        <w:szCs w:val="18"/>
      </w:rPr>
      <w:t xml:space="preserve"> </w:t>
    </w:r>
    <w:r>
      <w:rPr>
        <w:rFonts w:cs="Arial" w:ascii="Arial" w:hAnsi="Arial"/>
        <w:color w:val="595959"/>
        <w:sz w:val="18"/>
        <w:szCs w:val="18"/>
      </w:rPr>
      <w:fldChar w:fldCharType="begin"/>
    </w:r>
    <w:r>
      <w:rPr>
        <w:sz w:val="18"/>
        <w:szCs w:val="18"/>
        <w:rFonts w:cs="Arial" w:ascii="Arial" w:hAnsi="Arial"/>
        <w:color w:val="595959"/>
      </w:rPr>
      <w:instrText xml:space="preserve"> PAGE </w:instrText>
    </w:r>
    <w:r>
      <w:rPr>
        <w:sz w:val="18"/>
        <w:szCs w:val="18"/>
        <w:rFonts w:cs="Arial" w:ascii="Arial" w:hAnsi="Arial"/>
        <w:color w:val="595959"/>
      </w:rPr>
      <w:fldChar w:fldCharType="separate"/>
    </w:r>
    <w:r>
      <w:rPr>
        <w:sz w:val="18"/>
        <w:szCs w:val="18"/>
        <w:rFonts w:cs="Arial" w:ascii="Arial" w:hAnsi="Arial"/>
        <w:color w:val="595959"/>
      </w:rPr>
      <w:t>7</w:t>
    </w:r>
    <w:r>
      <w:rPr>
        <w:sz w:val="18"/>
        <w:szCs w:val="18"/>
        <w:rFonts w:cs="Arial" w:ascii="Arial" w:hAnsi="Arial"/>
        <w:color w:val="595959"/>
      </w:rPr>
      <w:fldChar w:fldCharType="end"/>
    </w:r>
    <w:r>
      <w:rPr>
        <w:rFonts w:cs="Arial" w:ascii="Arial" w:hAnsi="Arial"/>
        <w:color w:val="595959"/>
        <w:sz w:val="18"/>
        <w:szCs w:val="18"/>
      </w:rPr>
      <w:t xml:space="preserve"> | </w:t>
    </w:r>
    <w:r>
      <w:rPr>
        <w:rFonts w:cs="Arial" w:ascii="Arial" w:hAnsi="Arial"/>
        <w:color w:val="595959"/>
        <w:sz w:val="18"/>
        <w:szCs w:val="18"/>
      </w:rPr>
      <w:fldChar w:fldCharType="begin"/>
    </w:r>
    <w:r>
      <w:rPr>
        <w:sz w:val="18"/>
        <w:szCs w:val="18"/>
        <w:rFonts w:cs="Arial" w:ascii="Arial" w:hAnsi="Arial"/>
        <w:color w:val="595959"/>
      </w:rPr>
      <w:instrText xml:space="preserve"> NUMPAGES </w:instrText>
    </w:r>
    <w:r>
      <w:rPr>
        <w:sz w:val="18"/>
        <w:szCs w:val="18"/>
        <w:rFonts w:cs="Arial" w:ascii="Arial" w:hAnsi="Arial"/>
        <w:color w:val="595959"/>
      </w:rPr>
      <w:fldChar w:fldCharType="separate"/>
    </w:r>
    <w:r>
      <w:rPr>
        <w:sz w:val="18"/>
        <w:szCs w:val="18"/>
        <w:rFonts w:cs="Arial" w:ascii="Arial" w:hAnsi="Arial"/>
        <w:color w:val="595959"/>
      </w:rPr>
      <w:t>7</w:t>
    </w:r>
    <w:r>
      <w:rPr>
        <w:sz w:val="18"/>
        <w:szCs w:val="18"/>
        <w:rFonts w:cs="Arial" w:ascii="Arial" w:hAnsi="Arial"/>
        <w:color w:val="595959"/>
      </w:rPr>
      <w:fldChar w:fldCharType="end"/>
    </w:r>
  </w:p>
  <w:p>
    <w:pPr>
      <w:pStyle w:val="Footer"/>
      <w:rPr>
        <w:rFonts w:ascii="Arial" w:hAnsi="Arial"/>
        <w:sz w:val="14"/>
      </w:rPr>
    </w:pPr>
    <w:r>
      <w:rPr>
        <w:rFonts w:ascii="Arial" w:hAnsi="Arial"/>
        <w:sz w:val="14"/>
      </w:rPr>
      <w:t>Câmara Nacional de Modelos de Licitações e Contratos da Consultoria-Geral da União</w:t>
    </w:r>
  </w:p>
  <w:p>
    <w:pPr>
      <w:pStyle w:val="Footer"/>
      <w:rPr>
        <w:rFonts w:ascii="Arial" w:hAnsi="Arial"/>
        <w:color w:val="222A35"/>
        <w:sz w:val="14"/>
      </w:rPr>
    </w:pPr>
    <w:r>
      <w:rPr>
        <w:rFonts w:cs="Arial" w:ascii="Arial" w:hAnsi="Arial"/>
        <w:sz w:val="14"/>
        <w:szCs w:val="14"/>
      </w:rPr>
      <w:t xml:space="preserve">Modelo de </w:t>
    </w:r>
    <w:r>
      <w:rPr>
        <w:rFonts w:ascii="Arial" w:hAnsi="Arial"/>
        <w:sz w:val="14"/>
      </w:rPr>
      <w:t>Modelo Ata de Registro de Preços - Lei nº 14.133, de 2021</w:t>
    </w:r>
  </w:p>
  <w:p>
    <w:pPr>
      <w:pStyle w:val="Footer"/>
      <w:rPr>
        <w:rFonts w:ascii="Arial" w:hAnsi="Arial"/>
        <w:sz w:val="14"/>
      </w:rPr>
    </w:pPr>
    <w:r>
      <w:rPr>
        <w:rFonts w:ascii="Arial" w:hAnsi="Arial"/>
        <w:sz w:val="14"/>
      </w:rPr>
      <w:t>Aprovado pela Secretaria de Gestão e Inovação</w:t>
    </w:r>
  </w:p>
  <w:p>
    <w:pPr>
      <w:pStyle w:val="Footer"/>
      <w:rPr>
        <w:rFonts w:ascii="Arial" w:hAnsi="Arial"/>
        <w:sz w:val="14"/>
      </w:rPr>
    </w:pPr>
    <w:r>
      <w:rPr>
        <w:rFonts w:ascii="Arial" w:hAnsi="Arial"/>
        <w:sz w:val="14"/>
      </w:rPr>
      <w:t>Identidade visual pela Secretaria de Gestão e Inovação</w:t>
    </w:r>
  </w:p>
  <w:p>
    <w:pPr>
      <w:pStyle w:val="Footer"/>
      <w:rPr>
        <w:rFonts w:ascii="Arial" w:hAnsi="Arial"/>
        <w:sz w:val="14"/>
      </w:rPr>
    </w:pPr>
    <w:r>
      <w:rPr>
        <w:rFonts w:cs="Arial" w:ascii="Arial" w:hAnsi="Arial"/>
        <w:sz w:val="14"/>
        <w:szCs w:val="14"/>
      </w:rPr>
      <w:t>Atualização: NOV/2025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b/>
        <w:rFonts w:ascii="Arial" w:hAnsi="Arial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4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99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cb46fc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6362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GradeColorida-nfase1Char" w:customStyle="1">
    <w:name w:val="Grade Colorida - Ênfase 1 Char"/>
    <w:qFormat/>
    <w:rsid w:val="00cb46fc"/>
    <w:rPr>
      <w:rFonts w:ascii="Ecofont_Spranq_eco_Sans" w:hAnsi="Ecofont_Spranq_eco_Sans" w:eastAsia="Calibri" w:cs="Tahoma"/>
      <w:i/>
      <w:iCs/>
      <w:color w:val="000000"/>
      <w:szCs w:val="24"/>
      <w:lang w:val="pt-BR" w:eastAsia="en-US" w:bidi="ar-SA"/>
    </w:rPr>
  </w:style>
  <w:style w:type="character" w:styleId="CorpodetextoChar" w:customStyle="1">
    <w:name w:val="Corpo de texto Char"/>
    <w:uiPriority w:val="99"/>
    <w:qFormat/>
    <w:rsid w:val="002f4c05"/>
    <w:rPr>
      <w:sz w:val="24"/>
      <w:szCs w:val="24"/>
    </w:rPr>
  </w:style>
  <w:style w:type="character" w:styleId="Hyperlink">
    <w:name w:val="Hyperlink"/>
    <w:uiPriority w:val="99"/>
    <w:unhideWhenUsed/>
    <w:qFormat/>
    <w:rsid w:val="00520e7a"/>
    <w:rPr>
      <w:color w:val="0000FF"/>
      <w:u w:val="single"/>
    </w:rPr>
  </w:style>
  <w:style w:type="character" w:styleId="CabealhoChar" w:customStyle="1">
    <w:name w:val="Cabeçalho Char"/>
    <w:basedOn w:val="DefaultParagraphFont"/>
    <w:qFormat/>
    <w:rsid w:val="00bb5309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character" w:styleId="citao2Char" w:customStyle="1">
    <w:name w:val="citação 2 Char"/>
    <w:basedOn w:val="CitaoChar"/>
    <w:qFormat/>
    <w:rsid w:val="002038c8"/>
    <w:rPr>
      <w:rFonts w:ascii="Ecofont_Spranq_eco_Sans" w:hAnsi="Ecofont_Spranq_eco_Sans" w:eastAsia="Calibri" w:cs="Tahoma"/>
      <w:i/>
      <w:iCs/>
      <w:color w:val="000000"/>
      <w:sz w:val="24"/>
      <w:szCs w:val="24"/>
      <w:shd w:fill="FFFFCC" w:val="clear"/>
      <w:lang w:eastAsia="en-US"/>
    </w:rPr>
  </w:style>
  <w:style w:type="character" w:styleId="CitaoChar" w:customStyle="1">
    <w:name w:val="Citação Char"/>
    <w:basedOn w:val="DefaultParagraphFont"/>
    <w:uiPriority w:val="29"/>
    <w:qFormat/>
    <w:rsid w:val="002038c8"/>
    <w:rPr>
      <w:rFonts w:ascii="Ecofont_Spranq_eco_Sans" w:hAnsi="Ecofont_Spranq_eco_Sans" w:cs="Tahoma"/>
      <w:i/>
      <w:iCs/>
      <w:color w:themeColor="text1" w:val="000000"/>
      <w:sz w:val="24"/>
      <w:szCs w:val="24"/>
    </w:rPr>
  </w:style>
  <w:style w:type="character" w:styleId="Ttulo1Char" w:customStyle="1">
    <w:name w:val="Título 1 Char"/>
    <w:basedOn w:val="DefaultParagraphFont"/>
    <w:qFormat/>
    <w:rsid w:val="006362ae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Nivel1Char" w:customStyle="1">
    <w:name w:val="Nivel1 Char"/>
    <w:basedOn w:val="Ttulo1Char"/>
    <w:link w:val="Nivel1"/>
    <w:qFormat/>
    <w:rsid w:val="006362ae"/>
    <w:rPr>
      <w:rFonts w:ascii="Arial" w:hAnsi="Arial" w:eastAsia="" w:cs="Arial" w:eastAsiaTheme="majorEastAsia"/>
      <w:b/>
      <w:bCs/>
      <w:color w:themeColor="accent1" w:themeShade="bf" w:val="365F91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qFormat/>
    <w:rsid w:val="006a7a1a"/>
    <w:rPr>
      <w:sz w:val="16"/>
      <w:szCs w:val="16"/>
    </w:rPr>
  </w:style>
  <w:style w:type="character" w:styleId="TextodecomentrioChar" w:customStyle="1">
    <w:name w:val="Texto de comentário Char"/>
    <w:basedOn w:val="DefaultParagraphFont"/>
    <w:qFormat/>
    <w:rsid w:val="006a7a1a"/>
    <w:rPr>
      <w:rFonts w:ascii="Ecofont_Spranq_eco_Sans" w:hAnsi="Ecofont_Spranq_eco_Sans" w:cs="Tahoma"/>
    </w:rPr>
  </w:style>
  <w:style w:type="character" w:styleId="AssuntodocomentrioChar" w:customStyle="1">
    <w:name w:val="Assunto do comentário Char"/>
    <w:basedOn w:val="TextodecomentrioChar"/>
    <w:semiHidden/>
    <w:qFormat/>
    <w:rsid w:val="006a7a1a"/>
    <w:rPr>
      <w:rFonts w:ascii="Ecofont_Spranq_eco_Sans" w:hAnsi="Ecofont_Spranq_eco_Sans" w:cs="Tahoma"/>
      <w:b/>
      <w:bCs/>
    </w:rPr>
  </w:style>
  <w:style w:type="character" w:styleId="TextodebaloChar" w:customStyle="1">
    <w:name w:val="Texto de balão Char"/>
    <w:basedOn w:val="DefaultParagraphFont"/>
    <w:semiHidden/>
    <w:qFormat/>
    <w:rsid w:val="006a7a1a"/>
    <w:rPr>
      <w:rFonts w:ascii="Segoe UI" w:hAnsi="Segoe UI" w:cs="Segoe UI"/>
      <w:sz w:val="18"/>
      <w:szCs w:val="18"/>
    </w:rPr>
  </w:style>
  <w:style w:type="character" w:styleId="Nivel01Char" w:customStyle="1">
    <w:name w:val="Nivel 01 Char"/>
    <w:basedOn w:val="DefaultParagraphFont"/>
    <w:link w:val="Nivel01"/>
    <w:qFormat/>
    <w:rsid w:val="00636001"/>
    <w:rPr>
      <w:rFonts w:ascii="Arial" w:hAnsi="Arial" w:eastAsia="" w:cs="Arial" w:eastAsiaTheme="majorEastAsia"/>
      <w:b/>
      <w:bCs/>
      <w:lang w:eastAsia="en-US"/>
    </w:rPr>
  </w:style>
  <w:style w:type="character" w:styleId="Nivel2Char" w:customStyle="1">
    <w:name w:val="Nivel 2 Char"/>
    <w:basedOn w:val="DefaultParagraphFont"/>
    <w:link w:val="Nivel2"/>
    <w:qFormat/>
    <w:locked/>
    <w:rsid w:val="00d8054f"/>
    <w:rPr>
      <w:rFonts w:ascii="Arial" w:hAnsi="Arial" w:cs="Arial"/>
    </w:rPr>
  </w:style>
  <w:style w:type="character" w:styleId="Nvel2-RedChar" w:customStyle="1">
    <w:name w:val="Nível 2 -Red Char"/>
    <w:basedOn w:val="Nivel2Char"/>
    <w:qFormat/>
    <w:rsid w:val="00be6ea8"/>
    <w:rPr>
      <w:rFonts w:ascii="Arial" w:hAnsi="Arial" w:cs="Arial"/>
      <w:i/>
      <w:iCs/>
      <w:color w:val="FF0000"/>
    </w:rPr>
  </w:style>
  <w:style w:type="character" w:styleId="ouChar" w:customStyle="1">
    <w:name w:val="ou Char"/>
    <w:basedOn w:val="DefaultParagraphFont"/>
    <w:qFormat/>
    <w:rsid w:val="009d6ccc"/>
    <w:rPr>
      <w:rFonts w:ascii="Arial" w:hAnsi="Arial" w:eastAsia="Calibri" w:cs="Arial" w:eastAsiaTheme="minorHAnsi"/>
      <w:b/>
      <w:bCs/>
      <w:i/>
      <w:iCs/>
      <w:color w:val="FF0000"/>
      <w:szCs w:val="24"/>
      <w:u w:val="single"/>
    </w:rPr>
  </w:style>
  <w:style w:type="character" w:styleId="Nvel3-RChar" w:customStyle="1">
    <w:name w:val="Nível 3-R Char"/>
    <w:basedOn w:val="DefaultParagraphFont"/>
    <w:qFormat/>
    <w:rsid w:val="00b73e47"/>
    <w:rPr>
      <w:rFonts w:ascii="Arial" w:hAnsi="Arial" w:eastAsia="" w:cs="Arial" w:eastAsiaTheme="minorEastAsia"/>
      <w:i/>
      <w:iCs/>
      <w:color w:val="FF0000"/>
    </w:rPr>
  </w:style>
  <w:style w:type="character" w:styleId="Nvel3Char" w:customStyle="1">
    <w:name w:val="Nível 3 Char"/>
    <w:basedOn w:val="Nvel3-RChar"/>
    <w:link w:val="Nvel3"/>
    <w:qFormat/>
    <w:rsid w:val="009d6ccc"/>
    <w:rPr>
      <w:rFonts w:ascii="Arial" w:hAnsi="Arial" w:eastAsia="" w:cs="Arial" w:eastAsiaTheme="minorEastAsia"/>
      <w:i w:val="false"/>
      <w:iCs w:val="false"/>
      <w:color w:val="FF0000"/>
    </w:rPr>
  </w:style>
  <w:style w:type="character" w:styleId="Nvel4Char" w:customStyle="1">
    <w:name w:val="Nível 4 Char"/>
    <w:basedOn w:val="Nvel3Char"/>
    <w:link w:val="Nvel4"/>
    <w:qFormat/>
    <w:rsid w:val="009d6ccc"/>
    <w:rPr>
      <w:rFonts w:ascii="Arial" w:hAnsi="Arial" w:eastAsia="" w:cs="Arial" w:eastAsiaTheme="minorEastAsia"/>
      <w:i w:val="false"/>
      <w:iCs w:val="false"/>
      <w:color w:val="FF0000"/>
    </w:rPr>
  </w:style>
  <w:style w:type="character" w:styleId="SubTitNNChar" w:customStyle="1">
    <w:name w:val="SubTitNN Char"/>
    <w:basedOn w:val="DefaultParagraphFont"/>
    <w:link w:val="SubTitNN"/>
    <w:qFormat/>
    <w:rsid w:val="009d6ccc"/>
    <w:rPr>
      <w:rFonts w:ascii="Arial" w:hAnsi="Arial" w:cs="Arial"/>
      <w:b/>
      <w:bCs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99"/>
    <w:unhideWhenUsed/>
    <w:rsid w:val="002f4c05"/>
    <w:pPr>
      <w:spacing w:beforeAutospacing="1" w:afterAutospacing="1"/>
    </w:pPr>
    <w:rPr>
      <w:rFonts w:ascii="Times New Roman" w:hAnsi="Times New Roman" w:cs="Times New Roman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GradeColorida-nfase11" w:customStyle="1">
    <w:name w:val="Grade Colorida - Ênfase 11"/>
    <w:basedOn w:val="Normal"/>
    <w:next w:val="Normal"/>
    <w:qFormat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sz w:val="20"/>
      <w:lang w:eastAsia="en-US"/>
    </w:rPr>
  </w:style>
  <w:style w:type="paragraph" w:styleId="ListParagraph">
    <w:name w:val="List Paragraph"/>
    <w:basedOn w:val="Normal"/>
    <w:uiPriority w:val="34"/>
    <w:qFormat/>
    <w:rsid w:val="003f48df"/>
    <w:pPr>
      <w:spacing w:before="0" w:after="0"/>
      <w:ind w:hanging="0" w:left="72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bb530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b5309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itao2" w:customStyle="1">
    <w:name w:val="citação 2"/>
    <w:basedOn w:val="Quote"/>
    <w:qFormat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color w:val="000000"/>
      <w:lang w:eastAsia="en-US"/>
    </w:rPr>
  </w:style>
  <w:style w:type="paragraph" w:styleId="Quote">
    <w:name w:val="Quote"/>
    <w:basedOn w:val="Normal"/>
    <w:next w:val="Normal"/>
    <w:link w:val="CitaoChar"/>
    <w:uiPriority w:val="29"/>
    <w:qFormat/>
    <w:rsid w:val="002038c8"/>
    <w:pPr/>
    <w:rPr>
      <w:i/>
      <w:iCs/>
      <w:color w:themeColor="text1" w:val="000000"/>
    </w:rPr>
  </w:style>
  <w:style w:type="paragraph" w:styleId="Nivel1" w:customStyle="1">
    <w:name w:val="Nivel1"/>
    <w:basedOn w:val="Heading1"/>
    <w:next w:val="Normal"/>
    <w:link w:val="Nivel1Char"/>
    <w:qFormat/>
    <w:rsid w:val="006362ae"/>
    <w:pPr>
      <w:widowControl w:val="false"/>
      <w:spacing w:lineRule="auto" w:line="276" w:before="480" w:after="120"/>
      <w:ind w:hanging="360" w:left="360"/>
      <w:jc w:val="both"/>
      <w:outlineLvl w:val="9"/>
    </w:pPr>
    <w:rPr>
      <w:rFonts w:ascii="Arial" w:hAnsi="Arial" w:cs="Arial"/>
      <w:color w:themeColor="accent1" w:themeShade="bf" w:val="auto"/>
      <w:sz w:val="20"/>
      <w:szCs w:val="20"/>
    </w:rPr>
  </w:style>
  <w:style w:type="paragraph" w:styleId="Nivel01" w:customStyle="1">
    <w:name w:val="Nivel 01"/>
    <w:basedOn w:val="Heading1"/>
    <w:next w:val="Normal"/>
    <w:link w:val="Nivel01Char"/>
    <w:qFormat/>
    <w:rsid w:val="00636001"/>
    <w:pPr>
      <w:tabs>
        <w:tab w:val="clear" w:pos="708"/>
        <w:tab w:val="left" w:pos="567" w:leader="none"/>
      </w:tabs>
      <w:spacing w:lineRule="auto" w:line="276" w:before="120" w:after="120"/>
      <w:ind w:hanging="0" w:left="0"/>
      <w:jc w:val="both"/>
      <w:outlineLvl w:val="9"/>
    </w:pPr>
    <w:rPr>
      <w:rFonts w:ascii="Arial" w:hAnsi="Arial" w:cs="Arial"/>
      <w:color w:themeColor="accent1" w:themeShade="bf" w:val="auto"/>
      <w:sz w:val="20"/>
      <w:szCs w:val="20"/>
      <w:lang w:eastAsia="en-US"/>
    </w:rPr>
  </w:style>
  <w:style w:type="paragraph" w:styleId="CommentText">
    <w:name w:val="annotation text"/>
    <w:basedOn w:val="Normal"/>
    <w:link w:val="TextodecomentrioChar"/>
    <w:unhideWhenUsed/>
    <w:qFormat/>
    <w:rsid w:val="006a7a1a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AssuntodocomentrioChar"/>
    <w:semiHidden/>
    <w:unhideWhenUsed/>
    <w:qFormat/>
    <w:rsid w:val="006a7a1a"/>
    <w:pPr/>
    <w:rPr>
      <w:b/>
      <w:bCs/>
    </w:rPr>
  </w:style>
  <w:style w:type="paragraph" w:styleId="BalloonText">
    <w:name w:val="Balloon Text"/>
    <w:basedOn w:val="Normal"/>
    <w:link w:val="TextodebaloChar"/>
    <w:semiHidden/>
    <w:unhideWhenUsed/>
    <w:qFormat/>
    <w:rsid w:val="006a7a1a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586901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val="pt-BR" w:eastAsia="pt-BR" w:bidi="ar-SA"/>
    </w:rPr>
  </w:style>
  <w:style w:type="paragraph" w:styleId="Nivel2" w:customStyle="1">
    <w:name w:val="Nivel 2"/>
    <w:basedOn w:val="Normal"/>
    <w:link w:val="Nivel2Char"/>
    <w:qFormat/>
    <w:rsid w:val="00d8054f"/>
    <w:pPr>
      <w:numPr>
        <w:ilvl w:val="0"/>
        <w:numId w:val="1"/>
      </w:numPr>
      <w:spacing w:lineRule="auto" w:line="276" w:before="120" w:after="120"/>
      <w:ind w:hanging="0" w:left="0"/>
      <w:jc w:val="both"/>
    </w:pPr>
    <w:rPr>
      <w:rFonts w:ascii="Arial" w:hAnsi="Arial" w:cs="Arial"/>
      <w:sz w:val="20"/>
      <w:szCs w:val="20"/>
    </w:rPr>
  </w:style>
  <w:style w:type="paragraph" w:styleId="Nvel2-Red" w:customStyle="1">
    <w:name w:val="Nível 2 -Red"/>
    <w:basedOn w:val="Nivel2"/>
    <w:qFormat/>
    <w:rsid w:val="00be6ea8"/>
    <w:pPr/>
    <w:rPr>
      <w:i/>
      <w:iCs/>
      <w:color w:val="FF0000"/>
    </w:rPr>
  </w:style>
  <w:style w:type="paragraph" w:styleId="ou" w:customStyle="1">
    <w:name w:val="ou"/>
    <w:basedOn w:val="ListParagraph"/>
    <w:qFormat/>
    <w:rsid w:val="009d6ccc"/>
    <w:pPr>
      <w:spacing w:lineRule="auto" w:line="259" w:before="60" w:after="60"/>
      <w:ind w:hanging="0" w:left="0"/>
      <w:contextualSpacing w:val="false"/>
      <w:jc w:val="center"/>
    </w:pPr>
    <w:rPr>
      <w:rFonts w:ascii="Arial" w:hAnsi="Arial" w:eastAsia="Calibri" w:cs="Arial" w:eastAsiaTheme="minorHAnsi"/>
      <w:b/>
      <w:bCs/>
      <w:i/>
      <w:iCs/>
      <w:color w:val="FF0000"/>
      <w:sz w:val="20"/>
      <w:u w:val="single"/>
    </w:rPr>
  </w:style>
  <w:style w:type="paragraph" w:styleId="Nvel3-R" w:customStyle="1">
    <w:name w:val="Nível 3-R"/>
    <w:basedOn w:val="Normal"/>
    <w:qFormat/>
    <w:rsid w:val="00b73e47"/>
    <w:pPr>
      <w:numPr>
        <w:ilvl w:val="0"/>
        <w:numId w:val="1"/>
      </w:numPr>
      <w:spacing w:lineRule="auto" w:line="276" w:before="120" w:after="120"/>
      <w:ind w:hanging="0" w:left="284"/>
      <w:jc w:val="both"/>
    </w:pPr>
    <w:rPr>
      <w:rFonts w:ascii="Arial" w:hAnsi="Arial" w:eastAsia="" w:cs="Arial" w:eastAsiaTheme="minorEastAsia"/>
      <w:i/>
      <w:iCs/>
      <w:color w:val="FF0000"/>
      <w:sz w:val="20"/>
      <w:szCs w:val="20"/>
    </w:rPr>
  </w:style>
  <w:style w:type="paragraph" w:styleId="Nvel3" w:customStyle="1">
    <w:name w:val="Nível 3"/>
    <w:basedOn w:val="Nvel3-R"/>
    <w:link w:val="Nvel3Char"/>
    <w:qFormat/>
    <w:rsid w:val="009d6ccc"/>
    <w:pPr/>
    <w:rPr>
      <w:rFonts w:eastAsia="Times New Roman"/>
      <w:i w:val="false"/>
      <w:iCs w:val="false"/>
      <w:color w:val="auto"/>
    </w:rPr>
  </w:style>
  <w:style w:type="paragraph" w:styleId="Nvel4" w:customStyle="1">
    <w:name w:val="Nível 4"/>
    <w:basedOn w:val="Nvel3"/>
    <w:link w:val="Nvel4Char"/>
    <w:qFormat/>
    <w:rsid w:val="009d6ccc"/>
    <w:pPr>
      <w:ind w:hanging="0" w:left="567"/>
    </w:pPr>
    <w:rPr/>
  </w:style>
  <w:style w:type="paragraph" w:styleId="SubTitNN" w:customStyle="1">
    <w:name w:val="SubTitNN"/>
    <w:basedOn w:val="Normal"/>
    <w:link w:val="SubTitNNChar"/>
    <w:qFormat/>
    <w:rsid w:val="009d6ccc"/>
    <w:pPr>
      <w:spacing w:lineRule="auto" w:line="276" w:before="240" w:after="120"/>
      <w:jc w:val="both"/>
    </w:pPr>
    <w:rPr>
      <w:rFonts w:ascii="Arial" w:hAnsi="Arial" w:cs="Arial"/>
      <w:b/>
      <w:bCs/>
      <w:iCs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LibreOffice/25.2.7.2$Windows_X86_64 LibreOffice_project/5cbfd1ab6520636bb5f7b99185aa69bd7456825d</Application>
  <AppVersion>15.0000</AppVersion>
  <Pages>7</Pages>
  <Words>2816</Words>
  <Characters>15503</Characters>
  <CharactersWithSpaces>18136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2025-11-18T13:38:00Z</dcterms:created>
  <dc:creator/>
  <dc:description/>
  <dc:language>pt-BR</dc:language>
  <cp:lastModifiedBy/>
  <cp:lastPrinted>2026-06-08T10:07:09Z</cp:lastPrinted>
  <dcterms:modified xsi:type="dcterms:W3CDTF">2026-06-23T09:40:12Z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