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header+xml" PartName="/word/header.xml"/>
  <Override ContentType="image/png" PartName="/word/media/header_image_rId1.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body>
    <w:p>
      <w:pPr>
        <w:spacing w:after="0"/>
        <w:ind w:left="0"/>
        <w:jc w:val="center"/>
      </w:pPr>
      <w:r>
        <w:rPr>
          <w:rFonts w:hint="default" w:ascii="Arial" w:hAnsi="Arial"/>
          <w:b w:val="false"/>
          <w:i w:val="false"/>
          <w:color w:val="000000"/>
          <w:sz w:val="20"/>
        </w:rPr>
        <w:t xml:space="preserve"> 
     </w:t>
      </w:r>
      <w:r>
        <w:rPr>
          <w:rFonts w:hint="default" w:ascii="Arial" w:hAnsi="Arial"/>
          <w:b/>
          <w:i w:val="false"/>
          <w:color w:val="000000"/>
          <w:sz w:val="20"/>
        </w:rPr>
        <w:t xml:space="preserve">TERMO DE REFERÊNCIA Nº </w:t>
      </w:r>
      <w:r>
        <w:rPr>
          <w:rFonts w:hint="default" w:ascii="Arial" w:hAnsi="Arial"/>
          <w:b/>
          <w:i w:val="false"/>
          <w:color w:val="000000"/>
          <w:sz w:val="24"/>
        </w:rPr>
        <w:t>TR/00007/2022/CBMTO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1. DO OBJETO</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O presente Termo de Referência tem por objeto a </w:t>
      </w:r>
      <w:r>
        <w:rPr>
          <w:rFonts w:hint="default" w:ascii="Arial" w:hAnsi="Arial"/>
          <w:b w:val="false"/>
          <w:i w:val="false"/>
          <w:color w:val="000000"/>
          <w:sz w:val="24"/>
        </w:rPr>
        <w:t>Contratação de empresa especializada para prestação de Serviço para Manutenção Preventiva e Corretiva de Compressores de Ar Respirável.</w:t>
      </w:r>
      <w:r>
        <w:rPr>
          <w:rFonts w:hint="default" w:ascii="Arial" w:hAnsi="Arial"/>
          <w:b w:val="false"/>
          <w:i w:val="false"/>
          <w:color w:val="000000"/>
          <w:sz w:val="24"/>
        </w:rPr>
        <w:t xml:space="preserve"> para atender as necessidades do </w:t>
      </w:r>
      <w:r>
        <w:rPr>
          <w:rFonts w:hint="default" w:ascii="Arial" w:hAnsi="Arial"/>
          <w:b w:val="false"/>
          <w:i w:val="false"/>
          <w:color w:val="000000"/>
          <w:sz w:val="24"/>
        </w:rPr>
        <w:t>Corpo de Bombeiros Militar do Estado do Tocantins</w:t>
      </w:r>
      <w:r>
        <w:rPr>
          <w:rFonts w:hint="default" w:ascii="Arial" w:hAnsi="Arial"/>
          <w:b w:val="false"/>
          <w:i w:val="false"/>
          <w:color w:val="000000"/>
          <w:sz w:val="24"/>
        </w:rPr>
        <w:t xml:space="preserve"> - </w:t>
      </w:r>
      <w:r>
        <w:rPr>
          <w:rFonts w:hint="default" w:ascii="Arial" w:hAnsi="Arial"/>
          <w:b w:val="false"/>
          <w:i w:val="false"/>
          <w:color w:val="000000"/>
          <w:sz w:val="24"/>
        </w:rPr>
        <w:t>CBMTO</w:t>
      </w:r>
      <w:r>
        <w:rPr>
          <w:rFonts w:hint="default" w:ascii="Arial" w:hAnsi="Arial"/>
          <w:b w:val="false"/>
          <w:i w:val="false"/>
          <w:color w:val="000000"/>
          <w:sz w:val="24"/>
        </w:rPr>
        <w:t>.</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2. JUSTIFICATIVA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Diante da expansão das atividades do Corpo de Bombeiros Militar do Estado do Tocantins, CBMTO, no território Tocantinense e a amplitude das operações que necessitam cada vez mais de equipamentos modernos capazes de permitir ao bombeiro militar maior eficiência e eficácia no atendimento a população nas ocorrências diárias, com objetivo principal de permitir o salvamento de pessoas e bens. A solicitação descrita, parte ante a necessidade de resposta rápida e eficiente durante ocorrências de Mergulho e Combate à Incêndio, que exija de imediato recarga de cilindros de ar comprimido de alta pressão, utilizados em EPR(Equipamento de Proteção Respiratória) para penetração em ambiente confinado de gases ou fumaça, bem como em Busca Aquática, na recarga de Cilindros de Mergulho, em que devido importância do rápido e eficaz atendimento, no local da ocorrência execute-se tal manobra suprimental. O Sistema de Fornecimento de Ar Respirável a Alta Pressão, conhecido comumente como compressor de ar, modalidade móvel de reboque, atende a perspectiva emergencial, sem que haja a necessidade de interrupções no atendimento de ocorrência em andamento, evitando a recarrega de cilindros portáteis de pressão hiperbárica em uma base distante (Posto de Bombeiros para Reabastecimento), diminuindo o tempo resposta conclusivo, no atendimento das ocorrências de Combate à Incêndio e Busca Aquática. A requisição do objeto deste Termo de Referência (TR) justifica-se pela necessidade de promover manutenção preventiva e corretiva em compressores de ar do CBMTO, visando dar condições a esta corporação, em realizar com segurança e efetividade, o atendimento zeloso, do chamado emergencial em resposta à população Tocantinense dos serviços prestados pelo CBMTO.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3. FUNDAMENTAÇÃO LEGAL</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3.1. Lei nº 14.133/2021;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3.2. N nº 1/2010 – SLTI/MPOG, que dispõe sobre os critérios de sustentabilidade ambiental na aquisição de bens, contratação de serviços ou obras pela Administração Pública Federal direta;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3.3. IN nº 05/2014 - SLTI/MPOG e suas alterações dispõem sobre o procedimento administrativo para a realização de pesquisa de preços para a aquisição de bens e contratação de serviços em geral;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3.4. Nos preceitos do Direito Público;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3.5. A Licitação será por meio de dispensa.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3.6. LEI COMPLEMENTAR Nº 123/2006 - Institui o Estatuto Nacional da Microempresa e da Empresa de Pequeno Porte.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3.7. DECRETO 6.084, DE 14 DE ABRIL DE 2020 - Institui o Sistema Integrado de Gestão Administrativa do Estado do Tocantins - SIGA-TO, e adota outras providências.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3.8. PORTARIA SEFAZ Nº 507/2020/GABSEC de 03/06/2020 - Institui o CATÁLOGO DE MATERIAIS E SERVIÇOS a ser utilizado pelos órgãos da Administração Pública Direta e Indireta do Poder Executivo do Estado do Tocantins e dá outras providências.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3.9. PORTARIA SEFAZ Nº 235/2021/GABSEC de 09/04/2021 - Define normas e procedimentos para aquisições através do SISTEMA DE COMPRA DIRETA através da Cotação Eletrônica nos limites de licitação dispensável e dá outras providências.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4. DAS ESPECIFICAÇÕES TÉCNICAS E DOS QUANTITATIVOS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tbl>
      <w:tblPr>
        <w:tblW w:w="0" w:type="auto"/>
        <w:tblCellSpacing w:w="0" w:type="auto"/>
        <w:tblBorders>
          <w:top w:val="none"/>
          <w:left w:val="none"/>
          <w:bottom w:val="none"/>
          <w:right w:val="none"/>
          <w:insideH w:val="none"/>
          <w:insideV w:val="none"/>
        </w:tblBorders>
      </w:tblPr>
      <w:tblGrid>
        <w:gridCol w:w="700"/>
        <w:gridCol w:w="700"/>
        <w:gridCol w:w="740"/>
        <w:gridCol w:w="10045"/>
        <w:gridCol w:w="749"/>
        <w:gridCol w:w="700"/>
      </w:tblGrid>
      <w:tr>
        <w:tc>
          <w:tcPr>
            <w:tcW w:w="0" w:type="auto"/>
            <w:gridSpan w:val="6"/>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Itens</w:t>
            </w:r>
          </w:p>
        </w:tc>
      </w:tr>
      <w:tr>
        <w:tc>
          <w:tcPr>
            <w:tcW w:w="700"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Tipo</w:t>
            </w:r>
          </w:p>
        </w:tc>
        <w:tc>
          <w:tcPr>
            <w:tcW w:w="700"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Item</w:t>
            </w:r>
          </w:p>
        </w:tc>
        <w:tc>
          <w:tcPr>
            <w:tcW w:w="740"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Código</w:t>
            </w:r>
          </w:p>
        </w:tc>
        <w:tc>
          <w:tcPr>
            <w:tcW w:w="10045"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Descrição</w:t>
            </w:r>
          </w:p>
        </w:tc>
        <w:tc>
          <w:tcPr>
            <w:tcW w:w="749"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Un. Aquisição</w:t>
            </w:r>
          </w:p>
        </w:tc>
        <w:tc>
          <w:tcPr>
            <w:tcW w:w="700"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Qtd.</w:t>
            </w:r>
          </w:p>
        </w:tc>
      </w:tr>
      <w:tr>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Item 001</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w:t>
            </w:r>
          </w:p>
        </w:tc>
        <w:tc>
          <w:tcPr>
            <w:tcW w:w="7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00023180</w:t>
            </w:r>
          </w:p>
        </w:tc>
        <w:tc>
          <w:tcPr>
            <w:tcW w:w="1004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Manutenção preventiva e corretiva em compressor de ar, marca nardi, modelo E270 pacific, incluindo substituição de peças</w:t>
            </w:r>
          </w:p>
        </w:tc>
        <w:tc>
          <w:tcPr>
            <w:tcW w:w="74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Serviço</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w:t>
            </w:r>
          </w:p>
        </w:tc>
      </w:tr>
      <w:tr>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Item 002</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2</w:t>
            </w:r>
          </w:p>
        </w:tc>
        <w:tc>
          <w:tcPr>
            <w:tcW w:w="7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00023182</w:t>
            </w:r>
          </w:p>
        </w:tc>
        <w:tc>
          <w:tcPr>
            <w:tcW w:w="1004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Manutenção preventiva e corretiva em compressor de ar, marca tecnisub, modelo T13D, diesel, incluindo substituição de peças</w:t>
            </w:r>
          </w:p>
        </w:tc>
        <w:tc>
          <w:tcPr>
            <w:tcW w:w="74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Serviço</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w:t>
            </w:r>
          </w:p>
        </w:tc>
      </w:tr>
      <w:tr>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Item 003</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3</w:t>
            </w:r>
          </w:p>
        </w:tc>
        <w:tc>
          <w:tcPr>
            <w:tcW w:w="7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00023184</w:t>
            </w:r>
          </w:p>
        </w:tc>
        <w:tc>
          <w:tcPr>
            <w:tcW w:w="1004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Manutenção preventiva e corretiva em compressor de ar, marca coltri sub, modelo MCH 16 ET standard, incluindo substituição de peças</w:t>
            </w:r>
          </w:p>
        </w:tc>
        <w:tc>
          <w:tcPr>
            <w:tcW w:w="74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Serviço</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w:t>
            </w:r>
          </w:p>
        </w:tc>
      </w:tr>
      <w:tr>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Item 004</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4</w:t>
            </w:r>
          </w:p>
        </w:tc>
        <w:tc>
          <w:tcPr>
            <w:tcW w:w="7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00023180</w:t>
            </w:r>
          </w:p>
        </w:tc>
        <w:tc>
          <w:tcPr>
            <w:tcW w:w="1004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Manutenção preventiva e corretiva em compressor de ar, marca nardi, modelo E270 pacific, incluindo substituição de peças</w:t>
            </w:r>
          </w:p>
        </w:tc>
        <w:tc>
          <w:tcPr>
            <w:tcW w:w="74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Serviço</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w:t>
            </w:r>
          </w:p>
        </w:tc>
      </w:tr>
      <w:tr>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Item 005</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5</w:t>
            </w:r>
          </w:p>
        </w:tc>
        <w:tc>
          <w:tcPr>
            <w:tcW w:w="7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00023180</w:t>
            </w:r>
          </w:p>
        </w:tc>
        <w:tc>
          <w:tcPr>
            <w:tcW w:w="1004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Manutenção preventiva e corretiva em compressor de ar, marca nardi, modelo E270 pacific, incluindo substituição de peças</w:t>
            </w:r>
          </w:p>
        </w:tc>
        <w:tc>
          <w:tcPr>
            <w:tcW w:w="74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Serviço</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w:t>
            </w:r>
          </w:p>
        </w:tc>
      </w:tr>
      <w:tr>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Item 006</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6</w:t>
            </w:r>
          </w:p>
        </w:tc>
        <w:tc>
          <w:tcPr>
            <w:tcW w:w="7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00023184</w:t>
            </w:r>
          </w:p>
        </w:tc>
        <w:tc>
          <w:tcPr>
            <w:tcW w:w="1004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Manutenção preventiva e corretiva em compressor de ar, marca coltri sub, modelo MCH 16 ET standard, incluindo substituição de peças</w:t>
            </w:r>
          </w:p>
        </w:tc>
        <w:tc>
          <w:tcPr>
            <w:tcW w:w="74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Serviço</w:t>
            </w:r>
          </w:p>
        </w:tc>
        <w:tc>
          <w:tcPr>
            <w:tcW w:w="7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w:t>
            </w:r>
          </w:p>
        </w:tc>
      </w:tr>
    </w:tbl>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5 - LOCAL DE ENTREGA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5.1 - Os bens deverão ser entregues no seguinte endereço: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i w:val="false"/>
          <w:color w:val="000000"/>
          <w:sz w:val="24"/>
        </w:rPr>
        <w:t>(ITENS: 1, 2 e 3):</w:t>
      </w:r>
      <w:r>
        <w:rPr>
          <w:rFonts w:hint="default" w:ascii="Arial" w:hAnsi="Arial"/>
          <w:b w:val="false"/>
          <w:i w:val="false"/>
          <w:color w:val="000000"/>
          <w:sz w:val="24"/>
        </w:rPr>
        <w:t xml:space="preserve"> 1º BATALHÃO DE BOMBEIROS MILITAR Endereço: 403 Sul, Avenida LO-09 com Avenida NS-05 (antigo aeroporto), 
     </w:t>
      </w:r>
      <w:r>
        <w:rPr>
          <w:rFonts w:hint="default" w:ascii="Arial" w:hAnsi="Arial"/>
          <w:b/>
          <w:i w:val="false"/>
          <w:color w:val="000000"/>
          <w:sz w:val="24"/>
        </w:rPr>
        <w:t>PALMAS - TO</w:t>
      </w:r>
      <w:r>
        <w:rPr>
          <w:rFonts w:hint="default" w:ascii="Arial" w:hAnsi="Arial"/>
          <w:b w:val="false"/>
          <w:i w:val="false"/>
          <w:color w:val="000000"/>
          <w:sz w:val="24"/>
        </w:rPr>
        <w:t xml:space="preserve">. CEP: 77.015-560, Telefone/Fax: (63) 3218-2715;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(ITEM 4):</w:t>
      </w:r>
      <w:r>
        <w:rPr>
          <w:rFonts w:hint="default" w:ascii="Arial" w:hAnsi="Arial"/>
          <w:b w:val="false"/>
          <w:i w:val="false"/>
          <w:color w:val="000000"/>
          <w:sz w:val="24"/>
        </w:rPr>
        <w:t xml:space="preserve"> 3º BATALHÃO DE BOMBEIROS MILITAR Endereço: Avenida Marechal Castelo Branco, S/Nº - Setor Sol Nascente - </w:t>
      </w:r>
      <w:r>
        <w:rPr>
          <w:rFonts w:hint="default" w:ascii="Arial" w:hAnsi="Arial"/>
          <w:b w:val="false"/>
          <w:i w:val="false"/>
          <w:color w:val="000000"/>
          <w:sz w:val="24"/>
        </w:rPr>
        <w:t xml:space="preserve"> </w:t>
      </w:r>
      <w:r>
        <w:rPr>
          <w:rFonts w:hint="default" w:ascii="Arial" w:hAnsi="Arial"/>
          <w:b/>
          <w:i w:val="false"/>
          <w:color w:val="000000"/>
          <w:sz w:val="24"/>
        </w:rPr>
        <w:t>GURUPI - TO</w:t>
      </w:r>
      <w:r>
        <w:rPr>
          <w:rFonts w:hint="default" w:ascii="Arial" w:hAnsi="Arial"/>
          <w:b w:val="false"/>
          <w:i w:val="false"/>
          <w:color w:val="000000"/>
          <w:sz w:val="24"/>
        </w:rPr>
        <w:t xml:space="preserve"> </w:t>
      </w:r>
      <w:r>
        <w:rPr>
          <w:rFonts w:hint="default" w:ascii="Arial" w:hAnsi="Arial"/>
          <w:b w:val="false"/>
          <w:i w:val="false"/>
          <w:color w:val="000000"/>
          <w:sz w:val="24"/>
        </w:rPr>
        <w:t>. CEP: 77.425-010 Telefax: (63) 3313-3322 e (63) 3313-2604;</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(ITEM 5):</w:t>
      </w:r>
      <w:r>
        <w:rPr>
          <w:rFonts w:hint="default" w:ascii="Arial" w:hAnsi="Arial"/>
          <w:b w:val="false"/>
          <w:i w:val="false"/>
          <w:color w:val="000000"/>
          <w:sz w:val="24"/>
        </w:rPr>
        <w:t xml:space="preserve"> 2° BATALHÃO DE BOMBEIROS MILITAR Endereço: Rua Deusarina Ayres, s/n° - Setor Jardim Filadélfia - </w:t>
      </w:r>
      <w:r>
        <w:rPr>
          <w:rFonts w:hint="default" w:ascii="Arial" w:hAnsi="Arial"/>
          <w:b/>
          <w:i w:val="false"/>
          <w:color w:val="000000"/>
          <w:sz w:val="24"/>
        </w:rPr>
        <w:t>ARAGUAÍNA - TO</w:t>
      </w:r>
      <w:r>
        <w:rPr>
          <w:rFonts w:hint="default" w:ascii="Arial" w:hAnsi="Arial"/>
          <w:b w:val="false"/>
          <w:i w:val="false"/>
          <w:color w:val="000000"/>
          <w:sz w:val="24"/>
        </w:rPr>
        <w:t>. CEP: 77.813-390 Telefax: (63) 3414-4384;</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(ITEM 6):</w:t>
      </w:r>
      <w:r>
        <w:rPr>
          <w:rFonts w:hint="default" w:ascii="Arial" w:hAnsi="Arial"/>
          <w:b w:val="false"/>
          <w:i w:val="false"/>
          <w:color w:val="000000"/>
          <w:sz w:val="24"/>
        </w:rPr>
        <w:t xml:space="preserve"> 3ª COMPANHIA DE BOMBEIRO MILITAR / ARAGUATINS-TO. Endereço: Rua Castelo Branco s/n°, Bairro Vila Cidinha, </w:t>
      </w:r>
      <w:r>
        <w:rPr>
          <w:rFonts w:hint="default" w:ascii="Arial" w:hAnsi="Arial"/>
          <w:b/>
          <w:i w:val="false"/>
          <w:color w:val="000000"/>
          <w:sz w:val="24"/>
        </w:rPr>
        <w:t>ARAGUATINS - TO</w:t>
      </w:r>
      <w:r>
        <w:rPr>
          <w:rFonts w:hint="default" w:ascii="Arial" w:hAnsi="Arial"/>
          <w:b w:val="false"/>
          <w:i w:val="false"/>
          <w:color w:val="000000"/>
          <w:sz w:val="24"/>
        </w:rPr>
        <w:t>. CEP 77950-000. E-mail: 3ciaaraguatins@bombeiros.to.gov.br. Telefone: (63) 3474-2928.</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6 - PRAZO DE ENTREGA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6.1 - A REALIZAÇÃO DO SERVIÇO SERÁ SOB DEMANDA. O INÍCIO DA REALIZAÇÃO DO SERVIÇO DEVERÁ SER EM ATÉ 48H CONTADOS A PARTIR DA EMISSÃO DA NOTA DE EMPENHO.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7. CONDIÇÕES DE RECEBIMENTO DO OBJETO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7.1 - A entrega do bem/prestação do serviço deverá ser atestada pelo Órgão Contratante, que aferirá a sua conformidade com as especificações constantes do Pedido de Cotação Eletrônica de Preços e neste TdR.</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7.2 - O servidor designado para acompanhar a entrega do objeto/serviço formalizará o seu recebimento na própria nota fiscal e/ou fatura correspondente, no prazo máximo de dois dias úteis contados da data da entrega do objeto, pela Contratada.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7.3 - A Contratada se obriga a efetuar, a qualquer tempo, a substituição de material rejeitado, se este apresentar defeito de fabricação ou divergências relativas às especificações constantes do Pedido de Cotação Eletrônica de Preços, independentemente da quantidade rejeitada.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8 - CONTRATAÇÃO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8.1 - As contratações oriundas das cotações eletrônicas serão formalizadas pela emissão de Nota de Empenho que será comunicada ao adjudicatário;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8.2 - As obrigações recíprocas entre a Contratada e o Órgão Contratante correspondem ao estabelecido nas Condições Gerais e neste Termo de Referência;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4"/>
        </w:rPr>
        <w:t xml:space="preserve">
     8.3 - Em caso de manifestação de desistência do fornecedor, fica caracterizado o descumprimento total da obrigação assumida, consoante o estabelecido no Art. 90 § 5° da Lei nº 14.133/2021, sujeitando-o às penalidades legalmente estabelecidas;
    </w:t>
      </w:r>
    </w:p>
    <w:p>
      <w:pPr>
        <w:spacing w:after="0"/>
        <w:ind w:left="0"/>
        <w:jc w:val="both"/>
      </w:pPr>
      <w:r>
        <w:rPr>
          <w:rFonts w:hint="default" w:ascii="Arial" w:hAnsi="Arial"/>
          <w:b w:val="false"/>
          <w:i w:val="false"/>
          <w:color w:val="000000"/>
          <w:sz w:val="24"/>
        </w:rPr>
        <w:t xml:space="preserve">
      8.4 - A eventual rescisão do ajuste se dará nas hipóteses previstas na Lei nº 14.133/2021 , não cabendo, à Contratada, direito a qualquer indenização.
    </w:t>
      </w:r>
    </w:p>
    <w:p>
      <w:pPr>
        <w:spacing w:after="0"/>
        <w:ind w:left="0"/>
        <w:jc w:val="both"/>
      </w:pP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9 - DO PAGAMENTO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9.1 - O pagamento do objeto ocorrerá em </w:t>
      </w:r>
      <w:r>
        <w:rPr>
          <w:rFonts w:hint="default" w:ascii="Arial" w:hAnsi="Arial"/>
          <w:b/>
          <w:i w:val="false"/>
          <w:color w:val="000000"/>
          <w:sz w:val="24"/>
        </w:rPr>
        <w:t>até 30 (trinta) dias</w:t>
      </w:r>
      <w:r>
        <w:rPr>
          <w:rFonts w:hint="default" w:ascii="Arial" w:hAnsi="Arial"/>
          <w:b w:val="false"/>
          <w:i w:val="false"/>
          <w:color w:val="000000"/>
          <w:sz w:val="24"/>
        </w:rPr>
        <w:t xml:space="preserve"> úteis contados da entrega da nota fiscal ou fatura.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9.2. O pagamento referente á MANUTENÇAO CORRETIVA será mediante a apresentação da Nota Fiscal/Fatura, juntamente com o relatório dos serviços efetivamente executados.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9.3. O pagamento será efetivado após verificação da regularidade fiscal com a apresentação das certidões necessárias para esse fim.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9.4. O CNPJ constante na Nota Fiscal deverá ser o mesmo indicado na proposta e Nota de Empenho.</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10. DA DOTAÇÃO ORÇAMENTÁRIA</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10.1 As despesas decorrentes da aquisição do objeto deste Contrato correrão por conta da seguinte classificação orçamentária:</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tbl>
      <w:tblPr>
        <w:tblW w:w="0" w:type="auto"/>
        <w:tblCellSpacing w:w="0" w:type="auto"/>
        <w:tblBorders>
          <w:top w:val="none"/>
          <w:left w:val="none"/>
          <w:bottom w:val="none"/>
          <w:right w:val="none"/>
          <w:insideH w:val="none"/>
          <w:insideV w:val="none"/>
        </w:tblBorders>
      </w:tblPr>
      <w:tblGrid>
        <w:gridCol w:w="4182"/>
        <w:gridCol w:w="3282"/>
        <w:gridCol w:w="3085"/>
        <w:gridCol w:w="3085"/>
      </w:tblGrid>
      <w:tr>
        <w:tc>
          <w:tcPr>
            <w:tcW w:w="0" w:type="auto"/>
            <w:gridSpan w:val="4"/>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Dotação</w:t>
            </w:r>
          </w:p>
        </w:tc>
      </w:tr>
      <w:tr>
        <w:tc>
          <w:tcPr>
            <w:tcW w:w="4182"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Funcional Programática</w:t>
            </w:r>
          </w:p>
        </w:tc>
        <w:tc>
          <w:tcPr>
            <w:tcW w:w="3282"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Natureza de Despesa</w:t>
            </w:r>
          </w:p>
        </w:tc>
        <w:tc>
          <w:tcPr>
            <w:tcW w:w="3085"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Fonte de Recurso</w:t>
            </w:r>
          </w:p>
        </w:tc>
        <w:tc>
          <w:tcPr>
            <w:tcW w:w="3085"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Exercício.</w:t>
            </w:r>
          </w:p>
        </w:tc>
      </w:tr>
      <w:tr>
        <w:tc>
          <w:tcPr>
            <w:tcW w:w="4182"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090900 09090 0618211601147</w:t>
            </w:r>
          </w:p>
        </w:tc>
        <w:tc>
          <w:tcPr>
            <w:tcW w:w="3282"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33903917</w:t>
            </w:r>
          </w:p>
        </w:tc>
        <w:tc>
          <w:tcPr>
            <w:tcW w:w="308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7002002710</w:t>
            </w:r>
          </w:p>
        </w:tc>
        <w:tc>
          <w:tcPr>
            <w:tcW w:w="308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2022</w:t>
            </w:r>
          </w:p>
        </w:tc>
      </w:tr>
    </w:tbl>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11 - SANÇÕES PARA O CASO DE INADIMPLEMENTO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11.1. A CONTRATADA ficará sujeita às sanções administrativas previstas na Lei n.º 14.133/20 21, a ser aplicada pela autoridade competente do Corpo de Bombeiros conforme a gravidade do caso, assegurado o direito à ampla defesa, sem prejuízo do ressarcimento dos danos ou prejuízos porventura causados à Administração e das cabíveis cominações legais;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11.2. Pela inadimplência total ou parcial do objeto contratado, a CONTRATANTE poderá aplicar à CONTRATADA as seguintes penalidades, garantida ampla e prévia defesa em processo administrativo: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4"/>
        </w:rPr>
        <w:t>11.2.1. Advertência por escrito por faltas leves, assim entendidas aquelas que não acarretem prejuízos significativos para a CONTRATANTE;</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11.2.2. Na hipótese de atraso no cumprimento de quaisquer obrigações assumidas pela Contratada, a esta será aplicada multa moratória de 0,5% (zero vírgula cinco por cento) sobre o valor do contrato ou instrumento equivalente por dia de atraso, limitada a 10% (dez por cento) do valor inadimplido;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11.2.3. Multa de 20% (vinte por cento) sobre o valor estimado do contrato em caso de descumprimento total ou parcial das obrigações dispostas neste Termo de Referência;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4"/>
        </w:rPr>
        <w:t>11.2.4. Suspensão temporária de participação em licitação e impedimento de contratar com o Corpo de Bombeiros, por prazo não superior a 2 (dois) anos;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11.2.5. Impedimento de licitar e contratar com a União, Estados, Distrito Federal e Municípios, descredenciamento do sistema de cadastramento de fornecedores do Estado do Tocantins a que se refere o inciso XIV do art. 4º da Lei nº 10.520/2002, pelo prazo de até 5 (cinco) anos, nos termos do art. 7º da mesma Lei.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11.3. As sanções serão aplicadas cumulativamente, de acordo com a gravidade da infração, sem prejuízo das demais penalidades previstas nos Arts. 155, 156, 162 e 163 da Lei Federal nº 14.133/2021, em todos os casos, garantindo-se a ampla defesa à CONTRATADA, no prazo de 5 (cinco) dias úteis a contar da intimação do ato, e ainda: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a) Multa à razão de 0,1% (um décimo por cento) sobre o valor total do contrato, por dia de atraso;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4"/>
        </w:rPr>
        <w:t>b) O valor máximo das multas não poderá exceder, cumulativamente, a 10% (dez por cento) do valor do contrato.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11.4. Nenhuma parte será responsável perante a outra pelos atrasos ocasionados por motivo de força maior ou caso fortuito;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11.5. Após a aplicação das sanções previstas no item acima, deverá ser remetido para a Superintendência de Compras e Central de Licitação da SECRETARIA DA FAZENDA E PLANEJAMENTO o extrato de publicação no Diário Oficial do Estado do ato de aplicação das penalidades, de modo a possibilitar a formalização da extensão dos seus efeitos;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11.6. As penalidades impostas aos licitantes serão registradas pela SUPERINTENDÊNCIA DE COMPRAS E CENTRAL DE LICITAÇÕES, no EFORNECEDOR da SECRETARIA DA FAZENDA E PLANEJAMENTO;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11.7. Considerar-se-á descumprido totalmente o contrato quando, injustificadamente, o atraso para o cumprimento das obrigações estabelecidas neste Termo de Referência for superior a 5 (cinco) dias corridos, ensejando a aplicação das penalidades previstas.</w:t>
      </w: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12. DA VIGÊNCIA CONTRATUAL</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12.1 O contrato terá vigência de 12 (doze) meses a partir da sua assinatura, persistindo as obrigações decorrentes da garantia.</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13. DA QUALIFICAÇÃO TÉCNICA</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13.1 A qualificação técnica deverá ser comprovada mediante apresentação pela licitante de Atestado (ou declaração) de capacidade técnica, expedido por pessoa jurídica de direito público ou privado, que comprove aptidão para desempenho de atividade pertinente e compatível em características, quantidades e prazos com o objeto deste Termo de Referência.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14. DA SUBCONTRATAÇÃO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14.1 Não será admitida a subcontratação do objeto contratado, salvo por autorização previa e escrita do CBMTO.</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15. DEVERES DA CONTRATANTE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15.1 Exigir o cumprimento de todas as obrigações assumidas pela Contratada, de acordo com as cláusulas contratuais e os termos de sua proposta;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15.2 Exercer o acompanhamento e a fiscalização do objeto, por servidor ou comissão, especialmente designado;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15.3 Notificar a Contratada por escrito da ocorrência de eventuais imperfeições no curso da execução do objeto, fixando prazo para a sua correção;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15.4 Designar um servidor especialmente para acompanhar e fiscalizar a execução do contrato, anotando em registro próprio todas as ocorrências, determinando o que for necessário à regularização das faltas ou defeitos observados, sendo que as decisões e providências que ultrapassarem sua competência deverão ser solicitadas em tempo hábil para adoção das medidas convenientes;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15.5 Verificar a manutenção pelo fornecedor das condições de habilitação, com relação à regularidade fiscal;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15.6 Aplicar penalidades ao fornecedor, por descumprimento contratual;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15.7 Prestar as informações e os esclarecimentos que venham a ser solicitados pelos funcionários da CONTRATADA;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15.8 Rejeitar qualquer fornecimento considerado insatisfatório, determinando que seja refeito no prazo a ser estipulado pela fiscalização do contrato;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15.9 Efetuar o pagamento do fornecimento executado, conforme condições estabelecidas no contrato ou nota de empenho, e conferir as notas fiscais, atestando-as.</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16. DEVERES DO CONTRATADO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16.1 Deverá informar em sua proposta, sob pena de desclassificação, o fabricante/marca, modelo e referência do produto ofertado;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16.2 Disponibilizar catálogos, folders e demais documentos que possibilite uma análise bem criteriosa das especificações técnicas dos produtos ofertados no certame, o CBMTO se reserva o direito de fazer verificações online se assim julgar necessário;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16.3 Fornecer o objeto, atendido os requisitos e observadas as normas constantes deste instrumento;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16.4 Assumir os ônus e responsabilidades pelo recolhimento de todos os tributos federais, estaduais e municipais que incidam ou venham incidir sobre o objeto deste termo;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16.5 Arcar com todas as despesas, diretas ou indiretas, decorrente do cumprimento das obrigações assumidas, inclusive aquelas com deslocamentos, enquanto perdurar a vigência da garantia oferecida pela contratada ou fabricante, a que for maior, e ainda, com a disponibilização de materiais/peças de reposição no mercado nacional por prazo não inferior a 12 (doze) meses contados da entrega do produto, quando couber;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16.6 Responsabilizar-se por qualquer acidente que venham a serem vítimas os seus empregados ou prepostos quando em serviço, por tudo quanto as leis trabalhistas e previdenciárias lhe assegurem e demais exigências legais para o exercício das atividades;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16.7 Os produtos deverão estar de acordo com as exigências do Código de Defesa do Consumidor, especialmente no tocante aos vícios de qualidade e quantidade que os tornem impróprios e inadequados ao consumo ao que se destinam ou lhe diminuam o valor, conforme o art. 18 do referido diploma legal;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16.8 Reparar, corrigir, remover, substituir, desfazer e refazer, prioritária e exclusivamente, à custa e risco, no prazo de no máximo 02 (dois) dias úteis da notificação que lhe for entregue oficialmente, quaisquer vícios, defeitos e incorreções, erros, falhas e imperfeições nos produtos, decorrente de culpa da empresa fornecedora e dentro das especificações do fabricante;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16.9 Na ocorrência de avaria ou defeitos percebidos, decorrente do serviço prestado e coberto por garantia com prazo de validade de vigência, os custos de transporte do material para a fábrica, oficina ou qualquer outro local, determinado pelo fornecedor, também serão cobertos pela contratada;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16.10 Todas as peças, quando for necessária a substituição, deverão ser fornecidos pela CONTRATADA, não sendo aceito peças usadas ou recondicionadas, ou seja, deverão ser novas e genuína.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17. CONDIÇÕES DE GARANTIA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17.1 Após o recebimento definitivo, os serviços terão garantia mínima de 03 (três) meses;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17.2 As peças terão garantia mínima de 03 (três) meses. Caso o fabricante ofereça garantia maior esta deverá permanecer;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17.3 Sempre que solicitado pela Corpo de Bombeiros Militar do Tocantins, deverá a empresa contratada demonstrar o prazo de garantia dado pelo fabricante.</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18. DA REALIZAÇÃO DOS SERVIÇOS</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18.1 O custo dos serviços deverá ser de acordo com os preços fixados em contrato;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18.2 Todos os serviços a serem realizados pela empresa contratada deverão ser precedidos de orçamento o qual deverá ser encaminhado pela empresa contratada ao Corpo de Bombeiros Militar do Estado do Tocantins, podendo o mesmo aprová-lo ou não;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18.3 Deverá ser emitido um orçamento para cada equipamento, devendo constar neste: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a) Marca e tipo de equipamento;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b) Quantidade e preço das peças de reposição e materiais de consumo;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c) Resumo dos serviços a serem realizados;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d) Tempo de garantia das peças e serviços;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18.4 Caso seja aprovado o orçamento, a empresa contratada receberá o orçamento original devidamente autorizado;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18.5 Caso seja rejeitado o orçamento do equipamento será retirado da empresa contratada;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18.6 Sem que seja cobrado qualquer custo pelo orçamento ou pela estadia do equipamento em seu estabelecimento;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18.7 Os serviços deverão ser realizados nas cidades de: Palmas-TO, Araguaína-TO, Gurupi-TO e Araguatins-TO.</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19. DESCRIÇÃO DOS SERVIÇOS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19.1 Os serviços de manutenção deverão ser realizados por técnicos especializados, com empregado de técnica aperfeiçoada, ferramentas adequadas para o tipo de equipamento, e deverá, obrigatoriamente, obedecer os preceitos da NBR 12543;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19.2 Os serviços de manutenção preventiva e corretiva ocorrerão sob demanda.</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ITEM 01: </w:t>
      </w:r>
      <w:r>
        <w:rPr>
          <w:rFonts w:hint="default" w:ascii="Arial" w:hAnsi="Arial"/>
          <w:b w:val="false"/>
          <w:i w:val="false"/>
          <w:color w:val="000000"/>
          <w:sz w:val="20"/>
        </w:rPr>
        <w:t xml:space="preserve"> 
     </w:t>
      </w:r>
      <w:r>
        <w:rPr>
          <w:rFonts w:hint="default" w:ascii="Arial" w:hAnsi="Arial"/>
          <w:b w:val="false"/>
          <w:i w:val="false"/>
          <w:color w:val="000000"/>
          <w:sz w:val="24"/>
        </w:rPr>
        <w:t>Serviço de revisão/manutenção preventiva e corretiva em compressor de ar respirável;</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Local dos equipamentos: PALMAS – TO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Marca: Nardi Compressores Modelo: E270 Pacific Trifásico Elétrico. Italiano;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2"/>
        </w:rPr>
        <w:t xml:space="preserve">
      Horas de uso: 64.8 h de trabalho; 
     </w:t>
      </w:r>
    </w:p>
    <w:p>
      <w:pPr>
        <w:spacing w:after="0"/>
        <w:ind w:left="600"/>
        <w:jc w:val="both"/>
      </w:pPr>
      <w:r>
        <w:rPr>
          <w:rFonts w:hint="default" w:ascii="Arial" w:hAnsi="Arial"/>
          <w:b w:val="false"/>
          <w:i w:val="false"/>
          <w:color w:val="000000"/>
          <w:sz w:val="22"/>
        </w:rPr>
        <w:t xml:space="preserve">
      Tempo de uso: Aproximadamente 02 anos; 
     </w:t>
      </w:r>
    </w:p>
    <w:p>
      <w:pPr>
        <w:spacing w:after="0"/>
        <w:ind w:left="600"/>
        <w:jc w:val="both"/>
      </w:pPr>
      <w:r>
        <w:rPr>
          <w:rFonts w:hint="default" w:ascii="Arial" w:hAnsi="Arial"/>
          <w:b w:val="false"/>
          <w:i w:val="false"/>
          <w:color w:val="000000"/>
          <w:sz w:val="22"/>
        </w:rPr>
        <w:t xml:space="preserve">
      Situação: Parado para manutenção preventiva e corretiva; 
     </w:t>
      </w:r>
    </w:p>
    <w:p>
      <w:pPr>
        <w:spacing w:after="0"/>
        <w:ind w:left="600"/>
        <w:jc w:val="both"/>
      </w:pPr>
      <w:r>
        <w:rPr>
          <w:rFonts w:hint="default" w:ascii="Arial" w:hAnsi="Arial"/>
          <w:b w:val="false"/>
          <w:i w:val="false"/>
          <w:color w:val="000000"/>
          <w:sz w:val="22"/>
        </w:rPr>
        <w:t xml:space="preserve">
      Manutenção preventiva: Sem manutenções realizadas desde o início de sua operação. Não foi feita a troca de óleo; 
     </w:t>
      </w:r>
    </w:p>
    <w:p>
      <w:pPr>
        <w:spacing w:after="0"/>
        <w:ind w:left="600"/>
        <w:jc w:val="both"/>
      </w:pPr>
      <w:r>
        <w:rPr>
          <w:rFonts w:hint="default" w:ascii="Arial" w:hAnsi="Arial"/>
          <w:b w:val="false"/>
          <w:i w:val="false"/>
          <w:color w:val="000000"/>
          <w:sz w:val="22"/>
        </w:rPr>
        <w:t xml:space="preserve">
      Defeito apresentado: a mangueira azul que conecta o sistema automatizado de purga ao 1º estágio desconecta após cerca de 5minutos de uso. A válvula fica com temperatura alta que impossibilita o toque;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2"/>
        </w:rPr>
        <w:t>Necessidades do equipamento: Dois (02) adaptadores DIN para YOKE; Necessita de atualização de todas as manutenções, preditiva, preventiva e corretiva.</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ITEM 02:</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Serviço de revisão/manutenção preventiva e corretiva em compressor de ar respirável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Marca: Tecnisub Compressores </w:t>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Modelo: T13D a Diesel. Nacional. </w:t>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Situação: Parado para manutenção preventiva e corretiva; Horas de uso: Aproximadamente 60 horas de trabalho, horímetro por vibração com defeito, pouco efetivo; </w:t>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Tempo de uso: Aproximadamente 02 anos; Manutenção preventiva: Nenhuma manutenção realizada desde o início de sua operação; </w:t>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Defeito apresentado: Apresenta contaminação por óleo nos filtros de purificação de ar; base da serpentina direita com rachadura; cabeçote com óleo em volta. </w:t>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Necessidades do equipamento: Dois (02) adaptadores DIN para YOKE; Instalação de Kit de partida elétrica para motor (BRANCO 10.0 G2)estacionário à diesel; Necessita de atualização de todas as manutenções, preditiva, preventiva e corretiva.</w:t>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p>
    <w:p>
      <w:pPr>
        <w:spacing w:after="0"/>
        <w:ind w:left="600"/>
        <w:jc w:val="both"/>
      </w:pPr>
    </w:p>
    <w:p>
      <w:pPr>
        <w:spacing w:after="0"/>
        <w:ind w:left="0"/>
        <w:jc w:val="both"/>
      </w:pPr>
      <w:r>
        <w:rPr>
          <w:rFonts w:hint="default" w:ascii="Arial" w:hAnsi="Arial"/>
          <w:b w:val="false"/>
          <w:i w:val="false"/>
          <w:color w:val="000000"/>
          <w:sz w:val="22"/>
        </w:rPr>
        <w:t xml:space="preserve"> </w:t>
      </w:r>
      <w:r>
        <w:rPr>
          <w:rFonts w:hint="default" w:ascii="Arial" w:hAnsi="Arial"/>
          <w:b w:val="false"/>
          <w:i w:val="false"/>
          <w:color w:val="000000"/>
          <w:sz w:val="22"/>
        </w:rPr>
        <w:t xml:space="preserve">ITEM 03: </w:t>
      </w:r>
      <w:r>
        <w:rPr>
          <w:rFonts w:hint="default" w:ascii="Arial" w:hAnsi="Arial"/>
          <w:b w:val="false"/>
          <w:i w:val="false"/>
          <w:color w:val="000000"/>
          <w:sz w:val="22"/>
        </w:rPr>
        <w:t xml:space="preserve">Serviço de revisão/manutenção preventiva e corretiva em compressor de ar respirável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0"/>
        </w:rPr>
        <w:t xml:space="preserve"> 
     </w:t>
      </w:r>
    </w:p>
    <w:p>
      <w:pPr>
        <w:spacing w:after="0"/>
        <w:ind w:left="60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60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Marca: Coltri Sub compressores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Modelo: MCH 16 ET Standard Elétrico trifásico. Italiano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Situação: Em funcionamento atualmente;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Horas de uso: horímetro mostra 460 horas, porém não há certeza do funcionamento preciso do horímetro deste equipamento;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Tempo de uso: Aproximadamente 10 anos;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Manutenção preventiva: Manutenção de filtros de purificação (peneira molecular e carvão ativado) feita aproximadamente há 01ano; troca de óleo do compressor feita há 02 anos;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Defeito apresentado: tempo de recarga dos cilindros de ar da cascata (dois cilindros 7m³ 50 L) está maior que o normal, duas válvulas de enchimento quebradas;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Outras necessidades do equipamento: Três (03) adaptadores DIN para YOKE; Substituir as válvulas de enchimento. Colocar válvulas de enchimento de 200 bar, com manômetro e conector DIN/YOKE; Trocar todas as mangueiras de alta pressão; Trocar os manômetros do compressor e da cascata; Necessita de atualização de todas as manutenções, preditiva, preventiva e corretiva.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ITEM 04: Serviço de revisão/manutenção preventiva e corretiva em compressor de ar respirável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Local dos equipamentos: GURUPI – TO;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Marca: Nardi Compressores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Modelo: E270 Pacific Trifásico Elétrico. Italiano;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Horas de uso: 7 h de trabalho;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Tempo de uso: Aproximadamente 02 anos;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Situação: Em funcionamento; Manutenção preventiva: Sem manutenções realizadas desde o início de sua operação;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Defeito apresentado: Nenhum, porém, necessita de atualização das manutenções necessárias;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Outras necessidades do equipamento: Necessita de atualização de todas as manutenções, preditiva, preventiva e corretiva.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ITEM 05: Serviço de revisão/manutenção preventiva e corretiva em compressor de ar respirável </w:t>
      </w: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p>
    <w:p>
      <w:pPr>
        <w:spacing w:after="0"/>
        <w:ind w:left="600"/>
        <w:jc w:val="both"/>
      </w:pPr>
    </w:p>
    <w:p>
      <w:pPr>
        <w:spacing w:after="0"/>
        <w:ind w:left="0"/>
        <w:jc w:val="both"/>
      </w:pPr>
      <w:r>
        <w:rPr>
          <w:rFonts w:hint="default" w:ascii="Arial" w:hAnsi="Arial"/>
          <w:b w:val="false"/>
          <w:i w:val="false"/>
          <w:color w:val="000000"/>
          <w:sz w:val="22"/>
        </w:rPr>
        <w:t xml:space="preserve"> </w:t>
      </w: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Local dos equipamentos: ARAGUAÍNA – TO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Marca: Nardi Compressores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Modelo: E270 Pacific Trifásico Elétrico. Italiano;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Horas de uso: 30 h de trabalho;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Tempo de uso: Aproximadamente 02 anos;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Situação: Em funcionamento;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Manutenção preventiva: Sem manutenções realizadas desde o início de sua operação;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Defeito apresentado: Mesmo defeito do compressor E270 Pacific de Palmas (a mangueira azul que conecta o sistema automatizado de purga ao 1º estágio desconecta após cerca de 5 minutos de uso. A válvula fica com temperatura alta que impossibilita o toque). A frequência com que a mangueira sai durante o funcionamento é menor, porém acontece de ela sacar durante o enchimento de cilindros. Necessidades do equipamento: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Necessita de atualização de todas as manutenções, preditiva, preventiva e corretiva.
         </w:t>
      </w:r>
    </w:p>
    <w:p>
      <w:pPr>
        <w:spacing w:after="0"/>
        <w:ind w:left="0"/>
        <w:jc w:val="both"/>
      </w:pPr>
      <w:r>
        <w:rPr>
          <w:rFonts w:hint="default" w:ascii="Arial" w:hAnsi="Arial"/>
          <w:b w:val="false"/>
          <w:i w:val="false"/>
          <w:color w:val="000000"/>
          <w:sz w:val="24"/>
        </w:rPr>
        <w:t xml:space="preserve">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4"/>
        </w:rPr>
        <w:t xml:space="preserve">ITEM 06: Serviço de revisão/manutenção preventiva e corretiva em compressor de ar respirável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4"/>
        </w:rPr>
        <w:t xml:space="preserve"> 
         </w:t>
      </w:r>
    </w:p>
    <w:p>
      <w:pPr>
        <w:spacing w:after="0"/>
        <w:ind w:left="600"/>
        <w:jc w:val="both"/>
      </w:pP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p>
    <w:p>
      <w:pPr>
        <w:spacing w:after="0"/>
        <w:ind w:left="600"/>
        <w:jc w:val="both"/>
      </w:pPr>
      <w:r>
        <w:rPr>
          <w:rFonts w:hint="default" w:ascii="Arial" w:hAnsi="Arial"/>
          <w:b w:val="false"/>
          <w:i w:val="false"/>
          <w:color w:val="000000"/>
          <w:sz w:val="22"/>
        </w:rPr>
        <w:t xml:space="preserve">
              Local dos equipamentos: ARAGUATINS – TO 
             </w:t>
      </w:r>
    </w:p>
    <w:p>
      <w:pPr>
        <w:spacing w:after="0"/>
        <w:ind w:left="0"/>
        <w:jc w:val="both"/>
      </w:pPr>
      <w:r>
        <w:rPr>
          <w:rFonts w:hint="default" w:ascii="Arial" w:hAnsi="Arial"/>
          <w:b w:val="false"/>
          <w:i w:val="false"/>
          <w:color w:val="000000"/>
          <w:sz w:val="22"/>
        </w:rPr>
        <w:t xml:space="preserve">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2"/>
        </w:rPr>
        <w:t xml:space="preserve"> 
             </w:t>
      </w:r>
    </w:p>
    <w:p>
      <w:pPr>
        <w:spacing w:after="0"/>
        <w:ind w:left="600"/>
        <w:jc w:val="both"/>
      </w:pPr>
      <w:r>
        <w:rPr>
          <w:rFonts w:hint="default" w:ascii="Arial" w:hAnsi="Arial"/>
          <w:b w:val="false"/>
          <w:i w:val="false"/>
          <w:color w:val="000000"/>
          <w:sz w:val="22"/>
        </w:rPr>
        <w:t xml:space="preserve">
              Marca: Coltri Sub compressores 
             </w:t>
      </w:r>
    </w:p>
    <w:p>
      <w:pPr>
        <w:spacing w:after="0"/>
        <w:ind w:left="0"/>
        <w:jc w:val="both"/>
      </w:pPr>
      <w:r>
        <w:rPr>
          <w:rFonts w:hint="default" w:ascii="Arial" w:hAnsi="Arial"/>
          <w:b w:val="false"/>
          <w:i w:val="false"/>
          <w:color w:val="000000"/>
          <w:sz w:val="22"/>
        </w:rPr>
        <w:t xml:space="preserve">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2"/>
        </w:rPr>
        <w:t xml:space="preserve"> 
             </w:t>
      </w:r>
    </w:p>
    <w:p>
      <w:pPr>
        <w:spacing w:after="0"/>
        <w:ind w:left="600"/>
        <w:jc w:val="both"/>
      </w:pPr>
      <w:r>
        <w:rPr>
          <w:rFonts w:hint="default" w:ascii="Arial" w:hAnsi="Arial"/>
          <w:b w:val="false"/>
          <w:i w:val="false"/>
          <w:color w:val="000000"/>
          <w:sz w:val="22"/>
        </w:rPr>
        <w:t xml:space="preserve">
              Modelo: MCH 16 ET Standard Elétrico trifásico. Italiano. 
             </w:t>
      </w:r>
    </w:p>
    <w:p>
      <w:pPr>
        <w:spacing w:after="0"/>
        <w:ind w:left="0"/>
        <w:jc w:val="both"/>
      </w:pPr>
      <w:r>
        <w:rPr>
          <w:rFonts w:hint="default" w:ascii="Arial" w:hAnsi="Arial"/>
          <w:b w:val="false"/>
          <w:i w:val="false"/>
          <w:color w:val="000000"/>
          <w:sz w:val="22"/>
        </w:rPr>
        <w:t xml:space="preserve">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2"/>
        </w:rPr>
        <w:t xml:space="preserve"> 
             </w:t>
      </w:r>
    </w:p>
    <w:p>
      <w:pPr>
        <w:spacing w:after="0"/>
        <w:ind w:left="600"/>
        <w:jc w:val="both"/>
      </w:pPr>
      <w:r>
        <w:rPr>
          <w:rFonts w:hint="default" w:ascii="Arial" w:hAnsi="Arial"/>
          <w:b w:val="false"/>
          <w:i w:val="false"/>
          <w:color w:val="000000"/>
          <w:sz w:val="22"/>
        </w:rPr>
        <w:t xml:space="preserve">
              Situação: Em funcionamento atualmente; 
             </w:t>
      </w:r>
    </w:p>
    <w:p>
      <w:pPr>
        <w:spacing w:after="0"/>
        <w:ind w:left="0"/>
        <w:jc w:val="both"/>
      </w:pPr>
      <w:r>
        <w:rPr>
          <w:rFonts w:hint="default" w:ascii="Arial" w:hAnsi="Arial"/>
          <w:b w:val="false"/>
          <w:i w:val="false"/>
          <w:color w:val="000000"/>
          <w:sz w:val="22"/>
        </w:rPr>
        <w:t xml:space="preserve">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2"/>
        </w:rPr>
        <w:t xml:space="preserve"> 
             </w:t>
      </w:r>
    </w:p>
    <w:p>
      <w:pPr>
        <w:spacing w:after="0"/>
        <w:ind w:left="600"/>
        <w:jc w:val="both"/>
      </w:pPr>
      <w:r>
        <w:rPr>
          <w:rFonts w:hint="default" w:ascii="Arial" w:hAnsi="Arial"/>
          <w:b w:val="false"/>
          <w:i w:val="false"/>
          <w:color w:val="000000"/>
          <w:sz w:val="22"/>
        </w:rPr>
        <w:t xml:space="preserve">
              Horas de uso: horímetro mostra 130 horas, porém não há certeza do funcionamento preciso do horímetro deste equipamento; 
             </w:t>
      </w:r>
    </w:p>
    <w:p>
      <w:pPr>
        <w:spacing w:after="0"/>
        <w:ind w:left="0"/>
        <w:jc w:val="both"/>
      </w:pPr>
      <w:r>
        <w:rPr>
          <w:rFonts w:hint="default" w:ascii="Arial" w:hAnsi="Arial"/>
          <w:b w:val="false"/>
          <w:i w:val="false"/>
          <w:color w:val="000000"/>
          <w:sz w:val="22"/>
        </w:rPr>
        <w:t xml:space="preserve">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2"/>
        </w:rPr>
        <w:t xml:space="preserve"> 
             </w:t>
      </w:r>
    </w:p>
    <w:p>
      <w:pPr>
        <w:spacing w:after="0"/>
        <w:ind w:left="600"/>
        <w:jc w:val="both"/>
      </w:pPr>
      <w:r>
        <w:rPr>
          <w:rFonts w:hint="default" w:ascii="Arial" w:hAnsi="Arial"/>
          <w:b w:val="false"/>
          <w:i w:val="false"/>
          <w:color w:val="000000"/>
          <w:sz w:val="22"/>
        </w:rPr>
        <w:t xml:space="preserve">
              Tempo de uso: Aproximadamente 10 anos; 
             </w:t>
      </w:r>
    </w:p>
    <w:p>
      <w:pPr>
        <w:spacing w:after="0"/>
        <w:ind w:left="0"/>
        <w:jc w:val="both"/>
      </w:pPr>
      <w:r>
        <w:rPr>
          <w:rFonts w:hint="default" w:ascii="Arial" w:hAnsi="Arial"/>
          <w:b w:val="false"/>
          <w:i w:val="false"/>
          <w:color w:val="000000"/>
          <w:sz w:val="22"/>
        </w:rPr>
        <w:t xml:space="preserve">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2"/>
        </w:rPr>
        <w:t xml:space="preserve"> 
             </w:t>
      </w:r>
    </w:p>
    <w:p>
      <w:pPr>
        <w:spacing w:after="0"/>
        <w:ind w:left="600"/>
        <w:jc w:val="both"/>
      </w:pPr>
      <w:r>
        <w:rPr>
          <w:rFonts w:hint="default" w:ascii="Arial" w:hAnsi="Arial"/>
          <w:b w:val="false"/>
          <w:i w:val="false"/>
          <w:color w:val="000000"/>
          <w:sz w:val="22"/>
        </w:rPr>
        <w:t xml:space="preserve">
              Manutenção preventiva: Manutenção de filtros de purificação (peneira molecular e carvão ativado) feita aproximadamente há 01ano; troca de óleo do compressor feita há 02 anos; 
             </w:t>
      </w:r>
    </w:p>
    <w:p>
      <w:pPr>
        <w:spacing w:after="0"/>
        <w:ind w:left="0"/>
        <w:jc w:val="both"/>
      </w:pPr>
      <w:r>
        <w:rPr>
          <w:rFonts w:hint="default" w:ascii="Arial" w:hAnsi="Arial"/>
          <w:b w:val="false"/>
          <w:i w:val="false"/>
          <w:color w:val="000000"/>
          <w:sz w:val="22"/>
        </w:rPr>
        <w:t xml:space="preserve">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2"/>
        </w:rPr>
        <w:t xml:space="preserve"> 
             </w:t>
      </w:r>
    </w:p>
    <w:p>
      <w:pPr>
        <w:spacing w:after="0"/>
        <w:ind w:left="600"/>
        <w:jc w:val="both"/>
      </w:pPr>
      <w:r>
        <w:rPr>
          <w:rFonts w:hint="default" w:ascii="Arial" w:hAnsi="Arial"/>
          <w:b w:val="false"/>
          <w:i w:val="false"/>
          <w:color w:val="000000"/>
          <w:sz w:val="22"/>
        </w:rPr>
        <w:t xml:space="preserve">
              Defeito apresentado: Defeito na válvula de purga do cilindro de purificação, travada. 
             </w:t>
      </w:r>
    </w:p>
    <w:p>
      <w:pPr>
        <w:spacing w:after="0"/>
        <w:ind w:left="0"/>
        <w:jc w:val="both"/>
      </w:pPr>
      <w:r>
        <w:rPr>
          <w:rFonts w:hint="default" w:ascii="Arial" w:hAnsi="Arial"/>
          <w:b w:val="false"/>
          <w:i w:val="false"/>
          <w:color w:val="000000"/>
          <w:sz w:val="22"/>
        </w:rPr>
        <w:t xml:space="preserve"> 
             </w:t>
      </w:r>
    </w:p>
    <w:p>
      <w:pPr>
        <w:spacing w:after="0"/>
        <w:ind w:left="600"/>
        <w:jc w:val="both"/>
      </w:pPr>
      <w:r>
        <w:rPr>
          <w:rFonts w:hint="default" w:ascii="Arial" w:hAnsi="Arial"/>
          <w:b w:val="false"/>
          <w:i w:val="false"/>
          <w:color w:val="000000"/>
          <w:sz w:val="22"/>
        </w:rPr>
        <w:t xml:space="preserve"> 
              </w:t>
      </w:r>
      <w:r>
        <w:br/>
      </w:r>
      <w:r>
        <w:rPr>
          <w:rFonts w:hint="default" w:ascii="Arial" w:hAnsi="Arial"/>
          <w:b w:val="false"/>
          <w:i w:val="false"/>
          <w:color w:val="000000"/>
          <w:sz w:val="22"/>
        </w:rPr>
        <w:t xml:space="preserve"> 
             </w:t>
      </w:r>
    </w:p>
    <w:p>
      <w:pPr>
        <w:spacing w:after="0"/>
        <w:ind w:left="0"/>
        <w:jc w:val="both"/>
      </w:pPr>
      <w:r>
        <w:rPr>
          <w:rFonts w:hint="default" w:ascii="Arial" w:hAnsi="Arial"/>
          <w:b w:val="false"/>
          <w:i w:val="false"/>
          <w:color w:val="000000"/>
          <w:sz w:val="22"/>
        </w:rPr>
        <w:t xml:space="preserve"> 
             </w:t>
      </w:r>
    </w:p>
    <w:p>
      <w:pPr>
        <w:spacing w:after="0"/>
        <w:ind w:left="600"/>
        <w:jc w:val="both"/>
      </w:pPr>
      <w:r>
        <w:rPr>
          <w:rFonts w:hint="default" w:ascii="Arial" w:hAnsi="Arial"/>
          <w:b w:val="false"/>
          <w:i w:val="false"/>
          <w:color w:val="000000"/>
          <w:sz w:val="22"/>
        </w:rPr>
        <w:t xml:space="preserve">
              Necessidades do equipamento: Substituição de mangueiras e válvulas de enchimento. Colocar válvulas de enchimento de 200 bar, com manômetro e conector DIN/YOKE; Troca dos medidores de pressão; Necessita de atualização de todas as manutenções, preditiva, preventiva e corretiva.
             </w:t>
      </w:r>
    </w:p>
    <w:p>
      <w:pPr>
        <w:spacing w:after="0"/>
        <w:ind w:left="0"/>
        <w:jc w:val="both"/>
      </w:pP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4"/>
        </w:rPr>
        <w:t xml:space="preserve"> 
         </w:t>
      </w:r>
    </w:p>
    <w:p>
      <w:pPr>
        <w:spacing w:after="0"/>
        <w:ind w:left="600"/>
        <w:jc w:val="both"/>
      </w:pP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2"/>
        </w:rPr>
        <w:t xml:space="preserve"> 
        </w:t>
      </w:r>
    </w:p>
    <w:p>
      <w:pPr>
        <w:spacing w:after="0"/>
        <w:ind w:left="600"/>
        <w:jc w:val="both"/>
      </w:pPr>
    </w:p>
    <w:p>
      <w:pPr>
        <w:spacing w:after="0"/>
        <w:ind w:left="0"/>
        <w:jc w:val="both"/>
      </w:pPr>
      <w:r>
        <w:rPr>
          <w:rFonts w:hint="default" w:ascii="Arial" w:hAnsi="Arial"/>
          <w:b w:val="false"/>
          <w:i w:val="false"/>
          <w:color w:val="000000"/>
          <w:sz w:val="22"/>
        </w:rPr>
        <w:t xml:space="preserve"> </w:t>
      </w:r>
      <w:r>
        <w:rPr>
          <w:rFonts w:hint="default" w:ascii="Arial" w:hAnsi="Arial"/>
          <w:b w:val="false"/>
          <w:i w:val="false"/>
          <w:color w:val="000000"/>
          <w:sz w:val="22"/>
        </w:rPr>
        <w:t xml:space="preserve"> </w:t>
      </w:r>
      <w:r>
        <w:rPr>
          <w:rFonts w:hint="default" w:ascii="Arial" w:hAnsi="Arial"/>
          <w:b w:val="false"/>
          <w:i w:val="false"/>
          <w:color w:val="000000"/>
          <w:sz w:val="24"/>
        </w:rPr>
        <w:t xml:space="preserve"> 
      </w:t>
      </w:r>
    </w:p>
    <w:p>
      <w:pPr>
        <w:spacing w:after="0"/>
        <w:ind w:left="600"/>
        <w:jc w:val="both"/>
      </w:pP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600"/>
        <w:jc w:val="both"/>
      </w:pPr>
    </w:p>
    <w:p>
      <w:pPr>
        <w:spacing w:after="0"/>
        <w:ind w:left="0"/>
        <w:jc w:val="right"/>
      </w:pPr>
      <w:r>
        <w:rPr>
          <w:rFonts w:hint="default" w:ascii="Arial" w:hAnsi="Arial"/>
          <w:b w:val="false"/>
          <w:i w:val="false"/>
          <w:color w:val="000000"/>
          <w:sz w:val="20"/>
        </w:rPr>
        <w:t xml:space="preserve"> 
     </w:t>
      </w:r>
      <w:r>
        <w:rPr>
          <w:rFonts w:hint="default" w:ascii="Arial" w:hAnsi="Arial"/>
          <w:b w:val="false"/>
          <w:i w:val="false"/>
          <w:color w:val="000000"/>
          <w:sz w:val="24"/>
        </w:rPr>
        <w:t xml:space="preserve">Palmas - TO,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02</w:t>
      </w:r>
      <w:r>
        <w:rPr>
          <w:rFonts w:hint="default" w:ascii="Arial" w:hAnsi="Arial"/>
          <w:b w:val="false"/>
          <w:i w:val="false"/>
          <w:color w:val="000000"/>
          <w:sz w:val="24"/>
        </w:rPr>
        <w:t xml:space="preserve"> de</w:t>
      </w:r>
      <w:r>
        <w:rPr>
          <w:rFonts w:hint="default" w:ascii="Arial" w:hAnsi="Arial"/>
          <w:b w:val="false"/>
          <w:i w:val="false"/>
          <w:color w:val="000000"/>
          <w:sz w:val="24"/>
        </w:rPr>
        <w:t xml:space="preserve"> maio</w:t>
      </w:r>
      <w:r>
        <w:rPr>
          <w:rFonts w:hint="default" w:ascii="Arial" w:hAnsi="Arial"/>
          <w:b w:val="false"/>
          <w:i w:val="false"/>
          <w:color w:val="000000"/>
          <w:sz w:val="24"/>
        </w:rPr>
        <w:t xml:space="preserve"> de 2022.</w:t>
      </w: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BRUNO CÉZAR DA SILVA RIBEIRO - CABO QPBM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SETOR DE COMPRAS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CARLOS EDUARDO DE SOUZA FARIAS - CEL QOBM</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COMANDANTE GERAL - SECRETÁRIO DE ESTADO - ORDENADOR DE DESPESA</w:t>
      </w:r>
      <w:r>
        <w:rPr>
          <w:rFonts w:hint="default" w:ascii="Arial" w:hAnsi="Arial"/>
          <w:b w:val="false"/>
          <w:i w:val="false"/>
          <w:color w:val="000000"/>
          <w:sz w:val="20"/>
        </w:rPr>
        <w:t xml:space="preserve"> 
    </w:t>
      </w:r>
    </w:p>
    <w:p>
      <w:pPr>
        <w:spacing w:after="0"/>
        <w:ind w:left="0"/>
        <w:jc w:val="both"/>
      </w:pPr>
    </w:p>
    <w:p>
      <w:pPr>
        <w:spacing w:after="0"/>
        <w:ind w:left="0"/>
        <w:jc w:val="center"/>
      </w:pPr>
      <w:r>
        <w:rPr>
          <w:rFonts w:hint="default" w:ascii="Arial" w:hAnsi="Arial"/>
          <w:b w:val="false"/>
          <w:i w:val="false"/>
          <w:color w:val="000000"/>
          <w:sz w:val="21"/>
        </w:rPr>
        <w:t>Palmas/TO, 02 de Maio de 2022</w:t>
      </w:r>
    </w:p>
    <w:p>
      <w:pPr>
        <w:spacing w:after="0"/>
        <w:ind w:left="0"/>
        <w:jc w:val="center"/>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1"/>
        </w:rPr>
        <w:t>Termo de referência conferido.</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i w:val="false"/>
          <w:color w:val="000000"/>
          <w:sz w:val="21"/>
        </w:rPr>
        <w:t>BRUNO CÉZAR DA SILVA RIBEIRO</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1"/>
        </w:rPr>
        <w:t>CABO QPBM</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1"/>
        </w:rPr>
        <w:t>Autorizo</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i w:val="false"/>
          <w:color w:val="000000"/>
          <w:sz w:val="21"/>
        </w:rPr>
        <w:t>CARLOS EDUARDO DE SOUZA FARIAS</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1"/>
        </w:rPr>
        <w:t>Comandante Geral/Secretário de Estado/ Coordenador Estadual de Defesa Civil</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left"/>
      </w:pPr>
    </w:p>
    <w:sectPr>
      <w:headerReference w:type="default" r:id="rId4"/>
      <w:footerReference w:type="default" r:id="rId5"/>
      <w:pgSz w:w="11907" w:h="16839" w:code="9"/>
      <w:pgMar w:top="3118" w:right="1417" w:bottom="2268" w:left="1701"/>
    </w:sectPr>
  </w:body>
</w:document>
</file>

<file path=word/footer.xml><?xml version="1.0" encoding="utf-8"?>
<w:ft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120"/>
      <w:ind w:left="120"/>
      <w:jc w:val="left"/>
    </w:pPr>
  </w:p>
  <w:tbl>
    <w:tblPr>
      <w:tblW w:w="0" w:type="auto"/>
      <w:tblCellSpacing w:w="20" w:type="dxa"/>
      <w:tblBorders>
        <w:top w:val="none"/>
        <w:left w:val="none"/>
        <w:bottom w:val="none"/>
        <w:right w:val="none"/>
        <w:insideH w:val="none"/>
        <w:insideV w:val="none"/>
      </w:tblBorders>
    </w:tblPr>
    <w:tblGrid>
      <w:gridCol w:w="9367"/>
      <w:gridCol w:w="4227"/>
    </w:tblGrid>
    <w:tr>
      <w:tc>
        <w:tcPr>
          <w:tcW w:w="9367" w:type="dxa"/>
          <w:tcBorders/>
        </w:tcPr>
        <w:p>
          <w:pPr>
            <w:spacing w:after="0"/>
            <w:ind w:left="0"/>
            <w:jc w:val="left"/>
          </w:pPr>
          <w:r>
            <w:rPr>
              <w:rFonts w:hint="default" w:ascii="Arial" w:hAnsi="Arial"/>
              <w:b w:val="false"/>
              <w:i w:val="false"/>
              <w:color w:val="000000"/>
              <w:sz w:val="16"/>
            </w:rPr>
            <w:t>Governo do Estado do Tocantins</w:t>
          </w:r>
        </w:p>
      </w:tc>
      <w:tc>
        <w:tcPr>
          <w:tcW w:w="4227" w:type="dxa"/>
          <w:tcBorders/>
        </w:tcPr>
        <w:p>
          <w:pPr>
            <w:spacing w:after="0"/>
            <w:ind w:left="0"/>
            <w:jc w:val="left"/>
          </w:pPr>
          <w:r>
            <w:rPr>
              <w:rFonts w:hint="default" w:ascii="Arial" w:hAnsi="Arial"/>
              <w:b w:val="false"/>
              <w:i w:val="false"/>
              <w:color w:val="000000"/>
              <w:sz w:val="16"/>
            </w:rPr>
            <w:t xml:space="preserve">Pág. </w:t>
            <w:fldChar w:fldCharType="begin"/>
            <w:instrText xml:space="preserve"> PAGE  \\* MERGEFORMAT </w:instrText>
            <w:fldChar w:fldCharType="end"/>
          </w:r>
        </w:p>
      </w:tc>
    </w:tr>
  </w:tbl>
</w:ftr>
</file>

<file path=word/header.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120"/>
      <w:ind w:left="120"/>
      <w:jc w:val="left"/>
    </w:pPr>
  </w:p>
  <w:tbl>
    <w:tblPr>
      <w:tblW w:w="0" w:type="auto"/>
      <w:tblCellSpacing w:w="20" w:type="dxa"/>
      <w:tblBorders>
        <w:top w:val="none"/>
        <w:left w:val="none"/>
        <w:bottom w:val="none"/>
        <w:right w:val="none"/>
        <w:insideH w:val="none"/>
        <w:insideV w:val="none"/>
      </w:tblBorders>
    </w:tblPr>
    <w:tblGrid>
      <w:gridCol w:w="12625"/>
      <w:gridCol w:w="969"/>
    </w:tblGrid>
    <w:tr>
      <w:tc>
        <w:tcPr>
          <w:tcW w:w="12625" w:type="dxa"/>
          <w:tcBorders/>
        </w:tcPr>
        <w:p>
          <w:pPr>
            <w:spacing w:after="0"/>
            <w:ind w:left="0"/>
            <w:jc w:val="right"/>
          </w:pPr>
          <w:r>
            <w:rPr>
              <w:rFonts w:hint="default" w:ascii="Arial" w:hAnsi="Arial"/>
              <w:b/>
              <w:i w:val="false"/>
              <w:color w:val="000000"/>
              <w:sz w:val="18"/>
            </w:rPr>
            <w:t xml:space="preserve">
       Corpo de Bombeiros Militar do Estado do Tocantins
      </w:t>
          </w:r>
        </w:p>
      </w:tc>
      <w:tc>
        <w:tcPr>
          <w:tcW w:w="969" w:type="dxa"/>
          <w:tcBorders/>
        </w:tcPr>
        <w:p>
          <w:r>
            <w:drawing>
              <wp:inline distT="0" distB="0" distL="0" distR="0">
                <wp:extent cx="2149810" cy="8890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
                        <a:stretch>
                          <a:fillRect/>
                        </a:stretch>
                      </pic:blipFill>
                      <pic:spPr>
                        <a:xfrm>
                          <a:off x="0" y="0"/>
                          <a:ext cx="2149810" cy="889000"/>
                        </a:xfrm>
                        <a:prstGeom prst="rect">
                          <a:avLst/>
                        </a:prstGeom>
                      </pic:spPr>
                    </pic:pic>
                  </a:graphicData>
                </a:graphic>
              </wp:inline>
            </w:drawing>
          </w:r>
        </w:p>
      </w:tc>
    </w:tr>
  </w:tbl>
</w:hdr>
</file>

<file path=word/numbering.xml><?xml version="1.0" encoding="utf-8"?>
<w:numbering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header.xml" Type="http://schemas.openxmlformats.org/officeDocument/2006/relationships/header" Id="rId4"/>
    <Relationship Target="footer.xml" Type="http://schemas.openxmlformats.org/officeDocument/2006/relationships/footer" Id="rId5"/>
</Relationships>

</file>

<file path=word/_rels/header.xml.rels><?xml version="1.0" encoding="UTF-8" standalone="yes"?>
<Relationships xmlns="http://schemas.openxmlformats.org/package/2006/relationships">
    <Relationship Target="media/header_image_rId1.png" Type="http://schemas.openxmlformats.org/officeDocument/2006/relationships/image" Id="rId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