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sz w:val="21"/>
          <w:szCs w:val="21"/>
        </w:rPr>
      </w:pPr>
      <w:r>
        <w:rPr>
          <w:rFonts w:ascii="Times New Roman" w:hAnsi="Times New Roman"/>
          <w:sz w:val="21"/>
          <w:szCs w:val="21"/>
        </w:rPr>
      </w:r>
    </w:p>
    <w:tbl>
      <w:tblPr>
        <w:tblW w:w="9638" w:type="dxa"/>
        <w:jc w:val="left"/>
        <w:tblInd w:w="0" w:type="dxa"/>
        <w:tblLayout w:type="fixed"/>
        <w:tblCellMar>
          <w:top w:w="55" w:type="dxa"/>
          <w:left w:w="55" w:type="dxa"/>
          <w:bottom w:w="55" w:type="dxa"/>
          <w:right w:w="55" w:type="dxa"/>
        </w:tblCellMar>
      </w:tblPr>
      <w:tblGrid>
        <w:gridCol w:w="9638"/>
      </w:tblGrid>
      <w:tr>
        <w:trPr/>
        <w:tc>
          <w:tcPr>
            <w:tcW w:w="9638" w:type="dxa"/>
            <w:tcBorders>
              <w:top w:val="single" w:sz="2" w:space="0" w:color="000000"/>
              <w:left w:val="single" w:sz="2" w:space="0" w:color="000000"/>
              <w:bottom w:val="single" w:sz="2" w:space="0" w:color="000000"/>
              <w:right w:val="single" w:sz="2" w:space="0" w:color="000000"/>
            </w:tcBorders>
            <w:shd w:fill="AFD095" w:val="clear"/>
          </w:tcPr>
          <w:p>
            <w:pPr>
              <w:pStyle w:val="Corpodotexto"/>
              <w:widowControl w:val="false"/>
              <w:spacing w:lineRule="auto" w:line="240" w:before="57" w:after="57"/>
              <w:jc w:val="center"/>
              <w:rPr/>
            </w:pPr>
            <w:r>
              <w:rPr>
                <w:rStyle w:val="Fontepargpadro"/>
                <w:rFonts w:ascii="Arial" w:hAnsi="Arial"/>
                <w:b/>
                <w:bCs/>
                <w:color w:val="000000"/>
                <w:sz w:val="28"/>
                <w:szCs w:val="28"/>
                <w:shd w:fill="AFD095" w:val="clear"/>
              </w:rPr>
              <w:t>ESTUDO TÉCNICO PRELIMINAR – ETP</w:t>
            </w:r>
          </w:p>
        </w:tc>
      </w:tr>
    </w:tbl>
    <w:p>
      <w:pPr>
        <w:pStyle w:val="Corpodotexto"/>
        <w:widowControl/>
        <w:spacing w:lineRule="auto" w:line="240" w:before="57" w:after="57"/>
        <w:jc w:val="center"/>
        <w:rPr>
          <w:rStyle w:val="Fontepargpadro"/>
          <w:rFonts w:ascii="Arial" w:hAnsi="Arial"/>
          <w:b/>
          <w:b/>
          <w:bCs/>
          <w:color w:val="000000"/>
          <w:sz w:val="28"/>
          <w:szCs w:val="28"/>
        </w:rPr>
      </w:pPr>
      <w:r>
        <w:rPr>
          <w:rFonts w:ascii="Arial" w:hAnsi="Arial"/>
          <w:b/>
          <w:bCs/>
          <w:color w:val="000000"/>
          <w:sz w:val="28"/>
          <w:szCs w:val="28"/>
        </w:rPr>
      </w:r>
    </w:p>
    <w:p>
      <w:pPr>
        <w:pStyle w:val="Corpodotexto"/>
        <w:widowControl/>
        <w:spacing w:lineRule="auto" w:line="240" w:before="57" w:after="57"/>
        <w:jc w:val="center"/>
        <w:rPr>
          <w:rFonts w:ascii="Arial" w:hAnsi="Arial"/>
          <w:b/>
          <w:b/>
          <w:bCs/>
          <w:color w:val="000000"/>
          <w:sz w:val="22"/>
          <w:szCs w:val="22"/>
        </w:rPr>
      </w:pPr>
      <w:r>
        <w:rPr>
          <w:rFonts w:ascii="Arial" w:hAnsi="Arial"/>
          <w:b/>
          <w:bCs/>
          <w:color w:val="000000"/>
          <w:sz w:val="22"/>
          <w:szCs w:val="22"/>
        </w:rPr>
      </w:r>
    </w:p>
    <w:tbl>
      <w:tblPr>
        <w:tblW w:w="9643" w:type="dxa"/>
        <w:jc w:val="left"/>
        <w:tblInd w:w="0" w:type="dxa"/>
        <w:tblLayout w:type="fixed"/>
        <w:tblCellMar>
          <w:top w:w="55" w:type="dxa"/>
          <w:left w:w="55" w:type="dxa"/>
          <w:bottom w:w="55" w:type="dxa"/>
          <w:right w:w="55" w:type="dxa"/>
        </w:tblCellMar>
      </w:tblPr>
      <w:tblGrid>
        <w:gridCol w:w="2836"/>
        <w:gridCol w:w="6806"/>
      </w:tblGrid>
      <w:tr>
        <w:trPr/>
        <w:tc>
          <w:tcPr>
            <w:tcW w:w="2836" w:type="dxa"/>
            <w:tcBorders>
              <w:top w:val="single" w:sz="2" w:space="0" w:color="000000"/>
              <w:left w:val="single" w:sz="2" w:space="0" w:color="000000"/>
              <w:bottom w:val="single" w:sz="2" w:space="0" w:color="000000"/>
            </w:tcBorders>
          </w:tcPr>
          <w:p>
            <w:pPr>
              <w:pStyle w:val="Corpodotexto"/>
              <w:widowControl w:val="false"/>
              <w:spacing w:lineRule="auto" w:line="240" w:before="57" w:after="57"/>
              <w:jc w:val="left"/>
              <w:rPr/>
            </w:pPr>
            <w:r>
              <w:rPr>
                <w:rStyle w:val="Fontepargpadro"/>
                <w:rFonts w:ascii="Arial" w:hAnsi="Arial"/>
                <w:b/>
                <w:bCs/>
                <w:color w:val="000000"/>
                <w:sz w:val="22"/>
                <w:szCs w:val="22"/>
              </w:rPr>
              <w:t>UNIDADE REQUISITANTE</w:t>
            </w:r>
          </w:p>
        </w:tc>
        <w:tc>
          <w:tcPr>
            <w:tcW w:w="6806" w:type="dxa"/>
            <w:tcBorders>
              <w:top w:val="single" w:sz="2" w:space="0" w:color="000000"/>
              <w:left w:val="single" w:sz="2" w:space="0" w:color="000000"/>
              <w:bottom w:val="single" w:sz="2" w:space="0" w:color="000000"/>
              <w:right w:val="single" w:sz="2" w:space="0" w:color="000000"/>
            </w:tcBorders>
          </w:tcPr>
          <w:p>
            <w:pPr>
              <w:pStyle w:val="Contedodatabela"/>
              <w:widowControl w:val="false"/>
              <w:rPr/>
            </w:pPr>
            <w:r>
              <w:rPr/>
              <w:t>Coordenadoria de Análises Laboratoriais Forenses</w:t>
            </w:r>
          </w:p>
        </w:tc>
      </w:tr>
    </w:tbl>
    <w:p>
      <w:pPr>
        <w:pStyle w:val="Corpodotexto"/>
        <w:widowControl/>
        <w:spacing w:lineRule="auto" w:line="240" w:before="57" w:after="57"/>
        <w:jc w:val="left"/>
        <w:rPr>
          <w:rStyle w:val="Fontepargpadro"/>
          <w:rFonts w:ascii="Arial" w:hAnsi="Arial"/>
          <w:b/>
          <w:b/>
          <w:bCs/>
          <w:color w:val="000000"/>
          <w:sz w:val="22"/>
          <w:szCs w:val="22"/>
        </w:rPr>
      </w:pPr>
      <w:r>
        <w:rPr>
          <w:rFonts w:ascii="Arial" w:hAnsi="Arial"/>
          <w:b/>
          <w:bCs/>
          <w:color w:val="000000"/>
          <w:sz w:val="22"/>
          <w:szCs w:val="22"/>
        </w:rPr>
      </w:r>
    </w:p>
    <w:p>
      <w:pPr>
        <w:pStyle w:val="Corpodotexto"/>
        <w:widowControl/>
        <w:spacing w:lineRule="auto" w:line="240" w:before="57" w:after="57"/>
        <w:jc w:val="left"/>
        <w:rPr>
          <w:rStyle w:val="Fontepargpadro"/>
          <w:rFonts w:ascii="Arial" w:hAnsi="Arial"/>
          <w:b/>
          <w:b/>
          <w:bCs/>
          <w:color w:val="000000"/>
          <w:sz w:val="22"/>
          <w:szCs w:val="22"/>
        </w:rPr>
      </w:pPr>
      <w:r>
        <w:rPr>
          <w:rFonts w:ascii="Arial" w:hAnsi="Arial"/>
          <w:b/>
          <w:bCs/>
          <w:color w:val="000000"/>
          <w:sz w:val="22"/>
          <w:szCs w:val="22"/>
        </w:rPr>
      </w:r>
    </w:p>
    <w:p>
      <w:pPr>
        <w:pStyle w:val="Corpodotexto"/>
        <w:widowControl/>
        <w:spacing w:lineRule="auto" w:line="240" w:before="57" w:after="57"/>
        <w:jc w:val="both"/>
        <w:rPr/>
      </w:pPr>
      <w:r>
        <w:rPr>
          <w:rStyle w:val="Fontepargpadro"/>
          <w:rFonts w:eastAsia="Montserrat" w:cs="Montserrat" w:ascii="Arial" w:hAnsi="Arial"/>
          <w:b/>
          <w:bCs/>
          <w:color w:val="000000"/>
          <w:sz w:val="24"/>
          <w:szCs w:val="24"/>
        </w:rPr>
        <w:t>1</w:t>
      </w:r>
      <w:r>
        <w:rPr>
          <w:rStyle w:val="Fontepargpadro"/>
          <w:rFonts w:eastAsia="Montserrat" w:cs="Calibri" w:ascii="Arial" w:hAnsi="Arial"/>
          <w:b/>
          <w:bCs/>
          <w:color w:val="000000"/>
          <w:sz w:val="24"/>
          <w:szCs w:val="24"/>
        </w:rPr>
        <w:t xml:space="preserve">. </w:t>
      </w:r>
      <w:r>
        <w:rPr>
          <w:rStyle w:val="Fontepargpadro"/>
          <w:rFonts w:eastAsia="Montserrat" w:cs="Montserrat" w:ascii="Arial" w:hAnsi="Arial"/>
          <w:b/>
          <w:bCs/>
          <w:color w:val="000000"/>
          <w:sz w:val="24"/>
          <w:szCs w:val="24"/>
        </w:rPr>
        <w:t>NECESSIDADE DA CONTRATAÇÃO</w:t>
      </w:r>
    </w:p>
    <w:p>
      <w:pPr>
        <w:pStyle w:val="Corpodotexto"/>
        <w:widowControl/>
        <w:spacing w:lineRule="auto" w:line="240" w:before="57" w:after="57"/>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Normal"/>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0"/>
          <w:szCs w:val="20"/>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0"/>
          <w:szCs w:val="20"/>
          <w:u w:val="none"/>
          <w:lang w:val="pt-BR" w:eastAsia="zh-CN" w:bidi="hi-IN"/>
        </w:rPr>
        <w:tab/>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 polícia técnica – científica é composta de um conjunto de elementos fundamentais na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prevenção e elucidação de casos de infrações penais. Sendo cada vez mais requerida nos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processos judiciários. Como é do conhecimento de todos, a casuística de violência, em nossa</w:t>
      </w:r>
      <w:r>
        <w:rPr>
          <w:rFonts w:eastAsia="NSimSun" w:cs="Mangal" w:ascii="Arial" w:hAnsi="Arial"/>
          <w:b w:val="false"/>
          <w:bCs w:val="false"/>
          <w:i w:val="false"/>
          <w:iCs w:val="false"/>
          <w:strike w:val="false"/>
          <w:dstrike w:val="false"/>
          <w:outline w:val="false"/>
          <w:shadow w:val="false"/>
          <w:color w:val="000000"/>
          <w:spacing w:val="-6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sociedade,</w:t>
      </w:r>
      <w:r>
        <w:rPr>
          <w:rFonts w:eastAsia="NSimSun" w:cs="Mangal" w:ascii="Arial" w:hAnsi="Arial"/>
          <w:b w:val="false"/>
          <w:bCs w:val="false"/>
          <w:i w:val="false"/>
          <w:iCs w:val="false"/>
          <w:strike w:val="false"/>
          <w:dstrike w:val="false"/>
          <w:outline w:val="false"/>
          <w:shadow w:val="false"/>
          <w:color w:val="000000"/>
          <w:spacing w:val="-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vem</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crescendo.</w:t>
      </w:r>
      <w:r>
        <w:rPr>
          <w:rFonts w:eastAsia="NSimSun" w:cs="Mangal" w:ascii="Arial" w:hAnsi="Arial"/>
          <w:b w:val="false"/>
          <w:bCs w:val="false"/>
          <w:i w:val="false"/>
          <w:iCs w:val="false"/>
          <w:strike w:val="false"/>
          <w:dstrike w:val="false"/>
          <w:outline w:val="false"/>
          <w:shadow w:val="false"/>
          <w:color w:val="000000"/>
          <w:spacing w:val="-15"/>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w:t>
      </w:r>
      <w:r>
        <w:rPr>
          <w:rFonts w:eastAsia="NSimSun" w:cs="Mangal" w:ascii="Arial" w:hAnsi="Arial"/>
          <w:b w:val="false"/>
          <w:bCs w:val="false"/>
          <w:i w:val="false"/>
          <w:iCs w:val="false"/>
          <w:strike w:val="false"/>
          <w:dstrike w:val="false"/>
          <w:outline w:val="false"/>
          <w:shadow w:val="false"/>
          <w:color w:val="000000"/>
          <w:spacing w:val="-16"/>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nossa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Carta</w:t>
      </w:r>
      <w:r>
        <w:rPr>
          <w:rFonts w:eastAsia="NSimSun" w:cs="Mangal" w:ascii="Arial" w:hAnsi="Arial"/>
          <w:b w:val="false"/>
          <w:bCs w:val="false"/>
          <w:i w:val="false"/>
          <w:iCs w:val="false"/>
          <w:strike w:val="false"/>
          <w:dstrike w:val="false"/>
          <w:outline w:val="false"/>
          <w:shadow w:val="false"/>
          <w:color w:val="000000"/>
          <w:spacing w:val="-4"/>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Magna</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preconiza</w:t>
      </w:r>
      <w:r>
        <w:rPr>
          <w:rFonts w:eastAsia="NSimSun" w:cs="Mangal" w:ascii="Arial" w:hAnsi="Arial"/>
          <w:b w:val="false"/>
          <w:bCs w:val="false"/>
          <w:i w:val="false"/>
          <w:iCs w:val="false"/>
          <w:strike w:val="false"/>
          <w:dstrike w:val="false"/>
          <w:outline w:val="false"/>
          <w:shadow w:val="false"/>
          <w:color w:val="000000"/>
          <w:spacing w:val="-4"/>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que</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w:t>
      </w:r>
      <w:r>
        <w:rPr>
          <w:rFonts w:eastAsia="NSimSun" w:cs="Mangal" w:ascii="Arial" w:hAnsi="Arial"/>
          <w:b w:val="false"/>
          <w:bCs w:val="false"/>
          <w:i w:val="false"/>
          <w:iCs w:val="false"/>
          <w:strike w:val="false"/>
          <w:dstrike w:val="false"/>
          <w:outline w:val="false"/>
          <w:shadow w:val="false"/>
          <w:color w:val="000000"/>
          <w:spacing w:val="-4"/>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segurança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dos</w:t>
      </w:r>
      <w:r>
        <w:rPr>
          <w:rFonts w:eastAsia="NSimSun" w:cs="Mangal" w:ascii="Arial" w:hAnsi="Arial"/>
          <w:b w:val="false"/>
          <w:bCs w:val="false"/>
          <w:i w:val="false"/>
          <w:iCs w:val="false"/>
          <w:strike w:val="false"/>
          <w:dstrike w:val="false"/>
          <w:outline w:val="false"/>
          <w:shadow w:val="false"/>
          <w:color w:val="000000"/>
          <w:spacing w:val="-6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cidadãos é um dever precípuo do Estado. Nesse cenário, cabe às instituições competentes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coibir,</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veementemente,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violência.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Para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que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isso</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aconteça,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deve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ocorrer</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uma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robusta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atuação</w:t>
      </w:r>
      <w:r>
        <w:rPr>
          <w:rFonts w:eastAsia="NSimSun" w:cs="Mangal" w:ascii="Arial" w:hAnsi="Arial"/>
          <w:b w:val="false"/>
          <w:bCs w:val="false"/>
          <w:i w:val="false"/>
          <w:iCs w:val="false"/>
          <w:strike w:val="false"/>
          <w:dstrike w:val="false"/>
          <w:outline w:val="false"/>
          <w:shadow w:val="false"/>
          <w:color w:val="000000"/>
          <w:spacing w:val="17"/>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das</w:t>
      </w:r>
      <w:r>
        <w:rPr>
          <w:rFonts w:eastAsia="NSimSun" w:cs="Mangal" w:ascii="Arial" w:hAnsi="Arial"/>
          <w:b w:val="false"/>
          <w:bCs w:val="false"/>
          <w:i w:val="false"/>
          <w:iCs w:val="false"/>
          <w:strike w:val="false"/>
          <w:dstrike w:val="false"/>
          <w:outline w:val="false"/>
          <w:shadow w:val="false"/>
          <w:color w:val="000000"/>
          <w:spacing w:val="17"/>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polícias</w:t>
      </w:r>
      <w:r>
        <w:rPr>
          <w:rFonts w:eastAsia="NSimSun" w:cs="Mangal" w:ascii="Arial" w:hAnsi="Arial"/>
          <w:b w:val="false"/>
          <w:bCs w:val="false"/>
          <w:i w:val="false"/>
          <w:iCs w:val="false"/>
          <w:strike w:val="false"/>
          <w:dstrike w:val="false"/>
          <w:outline w:val="false"/>
          <w:shadow w:val="false"/>
          <w:color w:val="000000"/>
          <w:spacing w:val="19"/>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preventiva,</w:t>
      </w:r>
      <w:r>
        <w:rPr>
          <w:rFonts w:eastAsia="NSimSun" w:cs="Mangal" w:ascii="Arial" w:hAnsi="Arial"/>
          <w:b w:val="false"/>
          <w:bCs w:val="false"/>
          <w:i w:val="false"/>
          <w:iCs w:val="false"/>
          <w:strike w:val="false"/>
          <w:dstrike w:val="false"/>
          <w:outline w:val="false"/>
          <w:shadow w:val="false"/>
          <w:color w:val="000000"/>
          <w:spacing w:val="15"/>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repressiva</w:t>
      </w:r>
      <w:r>
        <w:rPr>
          <w:rFonts w:eastAsia="NSimSun" w:cs="Mangal" w:ascii="Arial" w:hAnsi="Arial"/>
          <w:b w:val="false"/>
          <w:bCs w:val="false"/>
          <w:i w:val="false"/>
          <w:iCs w:val="false"/>
          <w:strike w:val="false"/>
          <w:dstrike w:val="false"/>
          <w:outline w:val="false"/>
          <w:shadow w:val="false"/>
          <w:color w:val="000000"/>
          <w:spacing w:val="18"/>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w:t>
      </w:r>
      <w:r>
        <w:rPr>
          <w:rFonts w:eastAsia="NSimSun" w:cs="Mangal" w:ascii="Arial" w:hAnsi="Arial"/>
          <w:b w:val="false"/>
          <w:bCs w:val="false"/>
          <w:i w:val="false"/>
          <w:iCs w:val="false"/>
          <w:strike w:val="false"/>
          <w:dstrike w:val="false"/>
          <w:outline w:val="false"/>
          <w:shadow w:val="false"/>
          <w:color w:val="000000"/>
          <w:spacing w:val="18"/>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judiciária.</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Dessa forma, para que haja acentuada conclusão de casos policiais e judiciários e com</w:t>
      </w:r>
      <w:r>
        <w:rPr>
          <w:rFonts w:eastAsia="NSimSun" w:cs="Mangal" w:ascii="Arial" w:hAnsi="Arial"/>
          <w:b w:val="false"/>
          <w:bCs w:val="false"/>
          <w:i w:val="false"/>
          <w:iCs w:val="false"/>
          <w:strike w:val="false"/>
          <w:dstrike w:val="false"/>
          <w:outline w:val="false"/>
          <w:shadow w:val="false"/>
          <w:color w:val="000000"/>
          <w:spacing w:val="-6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isso uma redução da criminalidade e impunidade, é de fundamental importância, a sociedade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dispor</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uma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perícia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científica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excelência.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O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Núcleo</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Toxicologia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Forense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(NUTOF)</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Coordenadoria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Análises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Laboratoriais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Forenses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CALF</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apresenta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um</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carta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serviços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com</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atividades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desempenhadas na realização de análises para constatação de drogas apreendidas pela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Polícia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Judiciária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e/ou</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coletadas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pelos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Peritos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Criminais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pesquisa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substâncias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entorpecentes e/ou psicotrópicas, de uso proscrito ou controlado regulados pela portaria nº</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344/98</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da</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ANVISA/MS,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ou</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substâncias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que</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possam</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estar</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relacionadas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com</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casos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suspeitos</w:t>
      </w:r>
      <w:r>
        <w:rPr>
          <w:rFonts w:eastAsia="NSimSun" w:cs="Mangal" w:ascii="Arial" w:hAnsi="Arial"/>
          <w:b w:val="false"/>
          <w:bCs w:val="false"/>
          <w:i w:val="false"/>
          <w:iCs w:val="false"/>
          <w:strike w:val="false"/>
          <w:dstrike w:val="false"/>
          <w:outline w:val="false"/>
          <w:shadow w:val="false"/>
          <w:color w:val="000000"/>
          <w:spacing w:val="-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intoxicação,</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acidentes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trânsito, suicídio</w:t>
      </w:r>
      <w:r>
        <w:rPr>
          <w:rFonts w:eastAsia="NSimSun" w:cs="Mangal" w:ascii="Arial" w:hAnsi="Arial"/>
          <w:b w:val="false"/>
          <w:bCs w:val="false"/>
          <w:i w:val="false"/>
          <w:iCs w:val="false"/>
          <w:strike w:val="false"/>
          <w:dstrike w:val="false"/>
          <w:outline w:val="false"/>
          <w:shadow w:val="false"/>
          <w:color w:val="000000"/>
          <w:spacing w:val="-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e</w:t>
      </w:r>
      <w:r>
        <w:rPr>
          <w:rFonts w:eastAsia="NSimSun" w:cs="Mangal" w:ascii="Arial" w:hAnsi="Arial"/>
          <w:b w:val="false"/>
          <w:bCs w:val="false"/>
          <w:i w:val="false"/>
          <w:iCs w:val="false"/>
          <w:strike w:val="false"/>
          <w:dstrike w:val="false"/>
          <w:outline w:val="false"/>
          <w:shadow w:val="false"/>
          <w:color w:val="000000"/>
          <w:spacing w:val="-2"/>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causa</w:t>
      </w:r>
      <w:r>
        <w:rPr>
          <w:rFonts w:eastAsia="NSimSun" w:cs="Mangal" w:ascii="Arial" w:hAnsi="Arial"/>
          <w:b w:val="false"/>
          <w:bCs w:val="false"/>
          <w:i w:val="false"/>
          <w:iCs w:val="false"/>
          <w:strike w:val="false"/>
          <w:dstrike w:val="false"/>
          <w:outline w:val="false"/>
          <w:shadow w:val="false"/>
          <w:color w:val="000000"/>
          <w:spacing w:val="-3"/>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mortis</w:t>
      </w:r>
      <w:r>
        <w:rPr>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desconhecida.</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 xml:space="preserve">Visando resultados mais robustos e céleres, faz-se necessário a aquisição de equipamentos com tecnologias mais avançadas e, consequentemente, um aumento de disponibilidade de variadas técnicas, tais como Cromatografia Gasosa acoplada à Espectrometria de Massas simples e sequencial, Cromatografia Gasosa acoplada à Detector de Ionização de Chama, Cromatografia Líquida de Alta Eficiência com Detector Ultravioleta-Visível (UV-VIS / DAD) e Cromatografia Líquida acoplada à Espectrometria de Massas Sequencial. </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 xml:space="preserve">Para uso da técnica de cromatografia líquida é de suma importância os processos de filtração e desgaseificação dos reagentes que compõe a fase móvel; informação descrita em diversos guias de maximização de performance das análises de Cromatografia Liquida. Considerando, que a qualidade dos resultados das análises depende também da qualidade dos solventes e das soluções químicas utilizadas no processo; que a presença de impurezas nos solventes pode levar à alteração dos resultados e comprometer a precisão das análises é importante a utilização de um equipamento de banho ultrassônico. </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 xml:space="preserve">Esses banhos utilizam ondas sonoras de alta frequência para agitar e limpar soluções químicas. As ondas sonoras geram cavitação nas soluções, ou seja, formam bolhas de ar que se expandem e contraem rapidamente, criando pressão e vazios no líquido. Esse processo remove impurezas e partículas das soluções químicas, garantindo a pureza e a homogeneidade dos solventes e das soluções. </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O processo de banho ultrassônico é rápido e eficiente, permitindo a preparação de grandes volumes de soluções e solventes em um curto espaço de tempo. Além disso, o processo pode ser automatizado, conforme o equipamento, sem intervenção manual, o que aumenta a segurança do processo e reduz a possibilidade de contaminação.</w:t>
      </w:r>
    </w:p>
    <w:p>
      <w:pPr>
        <w:pStyle w:val="Corpodotexto"/>
        <w:spacing w:lineRule="auto" w:line="36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 xml:space="preserve">O processo de desgaseificação das soluções utilizadas nos sistemas cromatográficos </w:t>
      </w:r>
      <w:bookmarkStart w:id="0" w:name="page82R_mcid0"/>
      <w:bookmarkEnd w:id="0"/>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permite uma melhor eficiência dos resultados obtidos por Cromatografia Líquida de Alta Eficiência, não ocorrendo instabilidade no sistema, mudança de tempo de retenção de picos e até surgimentos de picos indesejados, além de evitar desgaste prematuro de peças, acessórios e componentes dos equipamentos.</w:t>
      </w:r>
    </w:p>
    <w:p>
      <w:pPr>
        <w:pStyle w:val="Corpodotexto"/>
        <w:spacing w:lineRule="auto" w:line="360"/>
        <w:jc w:val="both"/>
        <w:rPr/>
      </w:pPr>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 xml:space="preserve">Dentre os equipamentos inseridos no </w:t>
      </w:r>
      <w:hyperlink r:id="rId2">
        <w:r>
          <w:rPr>
            <w:rStyle w:val="LinkdaInternet"/>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Monitoramento de Ações e Projetos Prioritários</w:t>
        </w:r>
      </w:hyperlink>
      <w:r>
        <w:rPr>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 xml:space="preserve"> - MAPP nº 38 deflagrou uma licitação para a aquisição de Banho ultrassônico a serem instalados no Núcleo de Toxicologia Forense – Capital e interior.</w:t>
      </w:r>
    </w:p>
    <w:p>
      <w:pPr>
        <w:pStyle w:val="Normal"/>
        <w:widowControl/>
        <w:spacing w:lineRule="auto" w:line="360" w:before="57" w:after="57"/>
        <w:jc w:val="both"/>
        <w:rPr>
          <w:rFonts w:ascii="Arial" w:hAnsi="Arial" w:eastAsia="NSimSun" w:cs="Mangal"/>
          <w:b w:val="false"/>
          <w:b w:val="false"/>
          <w:bCs w:val="false"/>
          <w:i w:val="false"/>
          <w:i w:val="false"/>
          <w:iCs w:val="false"/>
          <w:strike w:val="false"/>
          <w:dstrike w:val="false"/>
          <w:outline w:val="false"/>
          <w:shadow w:val="false"/>
          <w:color w:val="000000"/>
          <w:kern w:val="2"/>
          <w:sz w:val="20"/>
          <w:szCs w:val="20"/>
          <w:u w:val="none"/>
          <w:lang w:val="pt-BR" w:eastAsia="zh-CN" w:bidi="hi-IN"/>
        </w:rPr>
      </w:pPr>
      <w:r>
        <w:rPr>
          <w:rStyle w:val="Fontepargpadro"/>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ab/>
        <w:t>Com a finalidade de evitar estes problemas que podem refletir diretamente nos resultados das análises do laboratório de Toxicologia Forense e, consequentemente, nos laudos periciais, os gases dissolvidos podem ser retirados pelos processos de sonicação, isto é, utilização de equipamento de ultrassom. Sendo uma decisão técnica acertada para qualquer laboratório que utilize equipamentos de cromatografia HPLC (CLAE) e necessite de soluções químicas e solventes de alta pureza e qualidade. Pleitando-se, assim, a aquisição de</w:t>
      </w:r>
      <w:r>
        <w:rPr>
          <w:rStyle w:val="Fontepargpadro"/>
          <w:rFonts w:eastAsia="NSimSun" w:cs="Mangal" w:ascii="Arial" w:hAnsi="Arial"/>
          <w:b w:val="false"/>
          <w:bCs w:val="false"/>
          <w:i w:val="false"/>
          <w:iCs w:val="false"/>
          <w:strike w:val="false"/>
          <w:dstrike w:val="false"/>
          <w:outline w:val="false"/>
          <w:shadow w:val="false"/>
          <w:color w:val="000000"/>
          <w:spacing w:val="1"/>
          <w:kern w:val="2"/>
          <w:sz w:val="24"/>
          <w:szCs w:val="24"/>
          <w:u w:val="none"/>
          <w:lang w:val="pt-BR" w:eastAsia="zh-CN" w:bidi="hi-IN"/>
        </w:rPr>
        <w:t xml:space="preserve"> </w:t>
      </w:r>
      <w:r>
        <w:rPr>
          <w:rStyle w:val="Fontepargpadro"/>
          <w:rFonts w:eastAsia="NSimSun" w:cs="Mangal" w:ascii="Arial" w:hAnsi="Arial"/>
          <w:b w:val="false"/>
          <w:bCs w:val="false"/>
          <w:i w:val="false"/>
          <w:iCs w:val="false"/>
          <w:strike w:val="false"/>
          <w:dstrike w:val="false"/>
          <w:outline w:val="false"/>
          <w:shadow w:val="false"/>
          <w:color w:val="000000"/>
          <w:kern w:val="2"/>
          <w:sz w:val="24"/>
          <w:szCs w:val="24"/>
          <w:u w:val="none"/>
          <w:lang w:val="pt-BR" w:eastAsia="zh-CN" w:bidi="hi-IN"/>
        </w:rPr>
        <w:t>05 (cinco) Banhos ultrassônicos.</w:t>
      </w:r>
    </w:p>
    <w:p>
      <w:pPr>
        <w:pStyle w:val="Corpodotexto"/>
        <w:widowControl/>
        <w:spacing w:lineRule="auto" w:line="240" w:before="57" w:after="57"/>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both"/>
        <w:rPr/>
      </w:pPr>
      <w:r>
        <w:rPr>
          <w:rStyle w:val="Fontepargpadro"/>
          <w:rFonts w:eastAsia="Montserrat" w:cs="Montserrat" w:ascii="Arial" w:hAnsi="Arial"/>
          <w:b/>
          <w:bCs/>
          <w:color w:val="000000"/>
          <w:sz w:val="24"/>
          <w:szCs w:val="24"/>
        </w:rPr>
        <w:t>1.1 ITENS:</w:t>
      </w:r>
    </w:p>
    <w:p>
      <w:pPr>
        <w:pStyle w:val="Corpodotexto"/>
        <w:widowControl/>
        <w:spacing w:lineRule="auto" w:line="240" w:before="57" w:after="57"/>
        <w:jc w:val="both"/>
        <w:rPr>
          <w:rFonts w:ascii="Arial" w:hAnsi="Arial" w:eastAsia="NSimSun" w:cs="Mangal"/>
          <w:b/>
          <w:b/>
          <w:bCs/>
          <w:color w:val="auto"/>
          <w:kern w:val="2"/>
          <w:sz w:val="20"/>
          <w:szCs w:val="20"/>
          <w:lang w:val="pt-BR" w:eastAsia="zh-CN" w:bidi="hi-IN"/>
        </w:rPr>
      </w:pPr>
      <w:r>
        <w:rPr>
          <w:rFonts w:eastAsia="NSimSun" w:cs="Mangal" w:ascii="Arial" w:hAnsi="Arial"/>
          <w:b/>
          <w:bCs/>
          <w:color w:val="auto"/>
          <w:kern w:val="2"/>
          <w:sz w:val="20"/>
          <w:szCs w:val="20"/>
          <w:lang w:val="pt-BR" w:eastAsia="zh-CN" w:bidi="hi-IN"/>
        </w:rPr>
      </w:r>
    </w:p>
    <w:tbl>
      <w:tblPr>
        <w:tblW w:w="9643" w:type="dxa"/>
        <w:jc w:val="left"/>
        <w:tblInd w:w="0" w:type="dxa"/>
        <w:tblLayout w:type="fixed"/>
        <w:tblCellMar>
          <w:top w:w="55" w:type="dxa"/>
          <w:left w:w="55" w:type="dxa"/>
          <w:bottom w:w="55" w:type="dxa"/>
          <w:right w:w="55" w:type="dxa"/>
        </w:tblCellMar>
      </w:tblPr>
      <w:tblGrid>
        <w:gridCol w:w="963"/>
        <w:gridCol w:w="7479"/>
        <w:gridCol w:w="1201"/>
      </w:tblGrid>
      <w:tr>
        <w:trPr/>
        <w:tc>
          <w:tcPr>
            <w:tcW w:w="963" w:type="dxa"/>
            <w:tcBorders>
              <w:top w:val="single" w:sz="2" w:space="0" w:color="000000"/>
              <w:left w:val="single" w:sz="2" w:space="0" w:color="000000"/>
              <w:bottom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ITEM</w:t>
            </w:r>
          </w:p>
        </w:tc>
        <w:tc>
          <w:tcPr>
            <w:tcW w:w="7479" w:type="dxa"/>
            <w:tcBorders>
              <w:top w:val="single" w:sz="2" w:space="0" w:color="000000"/>
              <w:left w:val="single" w:sz="2" w:space="0" w:color="000000"/>
              <w:bottom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ESPECIFICAÇÃO</w:t>
            </w:r>
          </w:p>
        </w:tc>
        <w:tc>
          <w:tcPr>
            <w:tcW w:w="1201" w:type="dxa"/>
            <w:tcBorders>
              <w:top w:val="single" w:sz="2" w:space="0" w:color="000000"/>
              <w:left w:val="single" w:sz="2" w:space="0" w:color="000000"/>
              <w:bottom w:val="single" w:sz="2" w:space="0" w:color="000000"/>
              <w:right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APRES.</w:t>
            </w:r>
          </w:p>
        </w:tc>
      </w:tr>
      <w:tr>
        <w:trPr/>
        <w:tc>
          <w:tcPr>
            <w:tcW w:w="963" w:type="dxa"/>
            <w:tcBorders>
              <w:left w:val="single" w:sz="2" w:space="0" w:color="000000"/>
              <w:bottom w:val="single" w:sz="2" w:space="0" w:color="000000"/>
            </w:tcBorders>
          </w:tcPr>
          <w:p>
            <w:pPr>
              <w:pStyle w:val="TableParagraph"/>
              <w:widowControl w:val="false"/>
              <w:spacing w:lineRule="auto" w:line="240" w:before="122" w:after="0"/>
              <w:jc w:val="center"/>
              <w:rPr>
                <w:rFonts w:ascii="Arial" w:hAnsi="Arial"/>
                <w:sz w:val="16"/>
                <w:szCs w:val="16"/>
              </w:rPr>
            </w:pPr>
            <w:r>
              <w:rPr>
                <w:rFonts w:eastAsia="Montserrat" w:cs="Arial" w:ascii="Arial" w:hAnsi="Arial"/>
                <w:color w:val="000000"/>
                <w:sz w:val="16"/>
                <w:szCs w:val="16"/>
                <w:lang w:val="pt-BR" w:eastAsia="zh-CN" w:bidi="hi-IN"/>
              </w:rPr>
              <w:t>01</w:t>
            </w:r>
          </w:p>
        </w:tc>
        <w:tc>
          <w:tcPr>
            <w:tcW w:w="7479" w:type="dxa"/>
            <w:tcBorders>
              <w:left w:val="single" w:sz="2" w:space="0" w:color="000000"/>
              <w:bottom w:val="single" w:sz="2" w:space="0" w:color="000000"/>
            </w:tcBorders>
          </w:tcPr>
          <w:p>
            <w:pPr>
              <w:pStyle w:val="Normal"/>
              <w:widowControl w:val="false"/>
              <w:spacing w:lineRule="auto" w:line="240"/>
              <w:ind w:right="210" w:hanging="0"/>
              <w:jc w:val="center"/>
              <w:rPr>
                <w:rFonts w:ascii="Arial" w:hAnsi="Arial" w:eastAsia="Montserrat" w:cs="Arial"/>
                <w:b/>
                <w:b/>
                <w:bCs/>
                <w:sz w:val="16"/>
                <w:szCs w:val="16"/>
              </w:rPr>
            </w:pPr>
            <w:r>
              <w:rPr>
                <w:rFonts w:eastAsia="Montserrat" w:cs="Arial" w:ascii="Arial" w:hAnsi="Arial"/>
                <w:b/>
                <w:bCs/>
                <w:color w:val="000000"/>
                <w:sz w:val="16"/>
                <w:szCs w:val="16"/>
              </w:rPr>
              <w:t>Banho ultrassônico -    2,75 litros</w:t>
            </w:r>
          </w:p>
          <w:p>
            <w:pPr>
              <w:pStyle w:val="Normal"/>
              <w:widowControl w:val="false"/>
              <w:numPr>
                <w:ilvl w:val="0"/>
                <w:numId w:val="1"/>
              </w:numPr>
              <w:spacing w:lineRule="auto" w:line="240"/>
              <w:ind w:left="720" w:right="210" w:hanging="360"/>
              <w:jc w:val="left"/>
              <w:rPr>
                <w:sz w:val="16"/>
                <w:szCs w:val="16"/>
              </w:rPr>
            </w:pPr>
            <w:r>
              <w:rPr>
                <w:rFonts w:eastAsia="Montserrat" w:cs="Arial" w:ascii="Arial" w:hAnsi="Arial"/>
                <w:color w:val="000000"/>
                <w:sz w:val="16"/>
                <w:szCs w:val="16"/>
              </w:rPr>
              <w:t xml:space="preserve">Sistema de transdutor de alta frequência - 37KHz (faixa de controle -2,5 / + 5,5 kHz);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Tanque de limpeza em aço inox resistente a cavitação;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Painel de operação fácil e amigável, e a prova d'agua;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Função de início automático para início de limpeza com temperatura controlada;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Unidade de controle digital com teclado de membrana limpável e display de fácil leitura para exibir todos os estados operacionais;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Feedback óptico e acústico, por ex. no final da limpeza ou quando a temperatura limite for atingida;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Menu de configuração para ajuste individual das funções do dispositivo;</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Desligamento automático de segurança após 8 horas;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Caixa à prova de respingos e tanque de limpeza feito de aço inoxidável;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Pré-seleção do tempo de limpeza: tempo de limpeza ajustável entre 1 minuto e 6 horas;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4 posições de memória para programas de limpeza, disponíveis por meio de seleção rápida;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Deve possuir pelo menos 5 modos ultrassônicos para distribuição de campo sonoro baseada na necessidade no banho ultrassônico: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eco: limpeza suave com operação mais silenciosa, executando o modo de varredura em uma intensidade ligeiramente mais baixa;</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varredura: Limpeza uniforme através da distribuição uniforme do campo sonoro no banho ultrassônico;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pulso: Remoção de contaminação teimosa por meio da distribuição de campo sonoro pulsante;</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dinâmico: Combinação dos modos ultrassônicos de varredura e pulso para aumentar o desempenho de limpeza;</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desgaseificação: Desgaseificação rápida do líquido de limpeza e para aplicações especiais em laboratório.</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Proteção contra aquecimento em corrida seca;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Alças laterais em plástico;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Controle eletrônico de temperatura ajustável em etapas de 5 ° C de 25-80 ° C (pode ser alterado para ° F; tolerância de temperatura -5 / + 8 ° C).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Acessórios inclusos:  Tampa, Manual de operação, Cabo de alimentação com conector de borracha (2 m de comprimento).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Deve acompanhar: Cesto em aço inox com alças revestidas com plástico;</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Especificações Técnicas:</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Volume do tanque - 2,75 litros,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Classe de proteção – IP20,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Frequência ultrassônica – 37KHz,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Potência efetiva ultrassônica – 80W,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Pico ultrassônico máximo – 320W, Tensão - 220-240V 50/60Hz,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Dimensões mínimas para trabalho: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 xml:space="preserve">Dimensões externas (L xP x A) -  300 X 179 X 214 mm,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Dimensões internas (L xP x A) - 240 X 137 X 100 mm,</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Dimensões da cesta (L xP x A) - 198 X 106 X 50 mm</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A garantia de 2 anos (24 meses) do equipamento que inclua a reposição de</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peças que apresentarem defeitos durante este período de mão de obra com</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todos os custos da visita do técnico ao laboratório da PEFOCE, situado: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Capital: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Avenida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Castelo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Branco,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901</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Moura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Brasil</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 xml:space="preserve"> CEP: 60010-000  - Fortaleza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Ceará;</w:t>
            </w:r>
            <w:r>
              <w:rPr>
                <w:rFonts w:eastAsia="Montserrat" w:cs="Arial" w:ascii="Arial" w:hAnsi="Arial"/>
                <w:color w:val="000000"/>
                <w:spacing w:val="1"/>
                <w:sz w:val="16"/>
                <w:szCs w:val="16"/>
                <w:lang w:val="pt-BR" w:eastAsia="zh-CN" w:bidi="hi-IN"/>
              </w:rPr>
              <w:t xml:space="preserve"> </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Interior: </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Sobral </w:t>
            </w:r>
          </w:p>
          <w:p>
            <w:pPr>
              <w:pStyle w:val="ListParagraph"/>
              <w:widowControl w:val="false"/>
              <w:numPr>
                <w:ilvl w:val="2"/>
                <w:numId w:val="2"/>
              </w:numPr>
              <w:spacing w:lineRule="auto" w:line="240"/>
              <w:ind w:left="2160" w:right="210" w:hanging="360"/>
              <w:jc w:val="left"/>
              <w:rPr>
                <w:spacing w:val="1"/>
                <w:sz w:val="16"/>
                <w:szCs w:val="16"/>
              </w:rPr>
            </w:pPr>
            <w:r>
              <w:rPr>
                <w:rFonts w:eastAsia="Montserrat" w:cs="Arial" w:ascii="Arial" w:hAnsi="Arial"/>
                <w:color w:val="000000"/>
                <w:spacing w:val="1"/>
                <w:sz w:val="16"/>
                <w:szCs w:val="16"/>
                <w:lang w:val="pt-BR" w:eastAsia="zh-CN" w:bidi="hi-IN"/>
              </w:rPr>
              <w:t>Av. John Sanford, 2895 – Nossa Senhora de Fátima – CEP: 62.034-001 – Sobral – Ceará;</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pacing w:val="1"/>
                <w:sz w:val="16"/>
                <w:szCs w:val="16"/>
                <w:lang w:val="pt-BR" w:eastAsia="zh-CN" w:bidi="hi-IN"/>
              </w:rPr>
              <w:t>Juazeiro do Norte:</w:t>
            </w:r>
          </w:p>
          <w:p>
            <w:pPr>
              <w:pStyle w:val="ListParagraph"/>
              <w:widowControl w:val="false"/>
              <w:numPr>
                <w:ilvl w:val="2"/>
                <w:numId w:val="2"/>
              </w:numPr>
              <w:spacing w:lineRule="auto" w:line="240"/>
              <w:ind w:left="216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Av. Tenente Raimundo Rocha – s/n-  Planalto – CEP: 60.040-360  -Juazeiro do Norte – Ceará.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Após</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instalação do equipamento, será dado um treinamento operacional de manuseio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do equipamento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sem</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custos adicionais.</w:t>
            </w:r>
          </w:p>
          <w:p>
            <w:pPr>
              <w:pStyle w:val="TableParagraph"/>
              <w:widowControl w:val="false"/>
              <w:tabs>
                <w:tab w:val="clear" w:pos="720"/>
                <w:tab w:val="left" w:pos="190" w:leader="none"/>
              </w:tabs>
              <w:spacing w:lineRule="auto" w:line="240"/>
              <w:ind w:left="189" w:right="210" w:hanging="122"/>
              <w:jc w:val="left"/>
              <w:rPr>
                <w:rFonts w:ascii="Arial" w:hAnsi="Arial" w:eastAsia="Montserrat" w:cs="Arial"/>
                <w:color w:val="000000"/>
                <w:sz w:val="16"/>
                <w:szCs w:val="16"/>
                <w:lang w:val="pt-BR" w:eastAsia="zh-CN" w:bidi="hi-IN"/>
              </w:rPr>
            </w:pPr>
            <w:r>
              <w:rPr>
                <w:rFonts w:eastAsia="Montserrat" w:cs="Arial" w:ascii="Arial" w:hAnsi="Arial"/>
                <w:color w:val="000000"/>
                <w:sz w:val="16"/>
                <w:szCs w:val="16"/>
                <w:lang w:val="pt-BR" w:eastAsia="zh-CN" w:bidi="hi-IN"/>
              </w:rPr>
            </w:r>
          </w:p>
        </w:tc>
        <w:tc>
          <w:tcPr>
            <w:tcW w:w="1201" w:type="dxa"/>
            <w:tcBorders>
              <w:left w:val="single" w:sz="2" w:space="0" w:color="000000"/>
              <w:bottom w:val="single" w:sz="2" w:space="0" w:color="000000"/>
              <w:right w:val="single" w:sz="2" w:space="0" w:color="000000"/>
            </w:tcBorders>
          </w:tcPr>
          <w:p>
            <w:pPr>
              <w:pStyle w:val="Contedodatabela"/>
              <w:widowControl w:val="false"/>
              <w:rPr/>
            </w:pPr>
            <w:r>
              <w:rPr/>
            </w:r>
          </w:p>
        </w:tc>
      </w:tr>
      <w:tr>
        <w:trPr/>
        <w:tc>
          <w:tcPr>
            <w:tcW w:w="963" w:type="dxa"/>
            <w:tcBorders>
              <w:left w:val="single" w:sz="2" w:space="0" w:color="000000"/>
              <w:bottom w:val="single" w:sz="2" w:space="0" w:color="000000"/>
            </w:tcBorders>
          </w:tcPr>
          <w:p>
            <w:pPr>
              <w:pStyle w:val="TableParagraph"/>
              <w:widowControl w:val="false"/>
              <w:spacing w:lineRule="auto" w:line="240" w:before="122" w:after="0"/>
              <w:ind w:left="68" w:hanging="0"/>
              <w:jc w:val="center"/>
              <w:rPr>
                <w:rFonts w:ascii="Arial" w:hAnsi="Arial"/>
                <w:sz w:val="16"/>
                <w:szCs w:val="16"/>
              </w:rPr>
            </w:pPr>
            <w:r>
              <w:rPr>
                <w:rFonts w:eastAsia="Montserrat" w:cs="Arial" w:ascii="Arial" w:hAnsi="Arial"/>
                <w:color w:val="000000"/>
                <w:sz w:val="16"/>
                <w:szCs w:val="16"/>
                <w:lang w:val="pt-BR" w:eastAsia="zh-CN" w:bidi="hi-IN"/>
              </w:rPr>
              <w:t>02</w:t>
            </w:r>
          </w:p>
        </w:tc>
        <w:tc>
          <w:tcPr>
            <w:tcW w:w="7479" w:type="dxa"/>
            <w:tcBorders>
              <w:left w:val="single" w:sz="2" w:space="0" w:color="000000"/>
              <w:bottom w:val="single" w:sz="2" w:space="0" w:color="000000"/>
            </w:tcBorders>
          </w:tcPr>
          <w:p>
            <w:pPr>
              <w:pStyle w:val="Normal"/>
              <w:widowControl w:val="false"/>
              <w:spacing w:lineRule="auto" w:line="240"/>
              <w:ind w:right="210" w:hanging="0"/>
              <w:jc w:val="center"/>
              <w:rPr>
                <w:rFonts w:ascii="Arial" w:hAnsi="Arial" w:eastAsia="Montserrat" w:cs="Arial"/>
                <w:b/>
                <w:b/>
                <w:bCs/>
                <w:sz w:val="16"/>
                <w:szCs w:val="16"/>
              </w:rPr>
            </w:pPr>
            <w:r>
              <w:rPr>
                <w:rFonts w:eastAsia="Montserrat" w:cs="Arial" w:ascii="Arial" w:hAnsi="Arial"/>
                <w:b/>
                <w:bCs/>
                <w:color w:val="000000"/>
                <w:sz w:val="16"/>
                <w:szCs w:val="16"/>
              </w:rPr>
              <w:t>Banho ultrassônico -    5,75 litros</w:t>
            </w:r>
          </w:p>
          <w:p>
            <w:pPr>
              <w:pStyle w:val="Normal"/>
              <w:widowControl w:val="false"/>
              <w:numPr>
                <w:ilvl w:val="0"/>
                <w:numId w:val="1"/>
              </w:numPr>
              <w:spacing w:lineRule="auto" w:line="240"/>
              <w:ind w:left="720" w:right="210" w:hanging="360"/>
              <w:jc w:val="left"/>
              <w:rPr>
                <w:sz w:val="16"/>
                <w:szCs w:val="16"/>
              </w:rPr>
            </w:pPr>
            <w:r>
              <w:rPr>
                <w:rFonts w:eastAsia="Montserrat" w:cs="Arial" w:ascii="Arial" w:hAnsi="Arial"/>
                <w:color w:val="000000"/>
                <w:sz w:val="16"/>
                <w:szCs w:val="16"/>
              </w:rPr>
              <w:t xml:space="preserve">Sistema de transdutor de alta frequência - 37KHz (faixa de controle -2,5 / + 5,5 kHz);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Tanque de limpeza em aço inox resistente a cavitação;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Painel de operação fácil e amigável, e a prova d'agua;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Função de início automático para início de limpeza com temperatura controlada;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Unidade de controle digital com teclado de membrana limpável e display de fácil leitura para exibir todos os estados operacionais;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Feedback óptico e acústico, por ex. no final da limpeza ou quando a temperatura limite for atingida;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Menu de configuração para ajuste individual das funções do dispositivo;</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Desligamento automático de segurança após 8 horas;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Caixa à prova de respingos e tanque de limpeza feito de aço inoxidável;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Pré-seleção do tempo de limpeza: tempo de limpeza ajustável entre 1 minuto e 6 horas;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 xml:space="preserve">4 posições de memória para programas de limpeza, disponíveis por meio de seleção rápida; </w:t>
            </w:r>
          </w:p>
          <w:p>
            <w:pPr>
              <w:pStyle w:val="Normal"/>
              <w:widowControl w:val="false"/>
              <w:numPr>
                <w:ilvl w:val="0"/>
                <w:numId w:val="1"/>
              </w:numPr>
              <w:spacing w:lineRule="auto" w:line="240"/>
              <w:ind w:left="720" w:right="210" w:hanging="360"/>
              <w:jc w:val="left"/>
              <w:rPr>
                <w:rFonts w:ascii="Arial" w:hAnsi="Arial" w:eastAsia="Montserrat" w:cs="Arial"/>
                <w:sz w:val="16"/>
                <w:szCs w:val="16"/>
              </w:rPr>
            </w:pPr>
            <w:r>
              <w:rPr>
                <w:rFonts w:eastAsia="Montserrat" w:cs="Arial" w:ascii="Arial" w:hAnsi="Arial"/>
                <w:color w:val="000000"/>
                <w:sz w:val="16"/>
                <w:szCs w:val="16"/>
              </w:rPr>
              <w:t>Deve possuir pelo menos 5 modos ultrassônicos para distribuição de campo sonoro baseada na necessidade no banho ultrassônico: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eco: limpeza suave com operação mais silenciosa, executando o modo de varredura em uma intensidade ligeiramente mais baixa;</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varredura: Limpeza uniforme através da distribuição uniforme do campo sonoro no banho ultrassônico;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pulso: Remoção de contaminação teimosa por meio da distribuição de campo sonoro pulsante;</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dinâmico: Combinação dos modos ultrassônicos de varredura e pulso para aumentar o desempenho de limpeza;</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Modo de desgaseificação: Desgaseificação rápida do líquido de limpeza e para aplicações especiais em laboratório.</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Proteção contra aquecimento em corrida seca;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Alças laterais em plástico;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Controle eletrônico de temperatura ajustável em etapas de 5 ° C de 25-80 ° C (pode ser alterado para ° F; tolerância de temperatura -5 / + 8 ° C).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 xml:space="preserve">Acessórios inclusos:  Tampa, Manual de operação, Cabo de alimentação com conector de borracha (2 m de comprimento).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Deve acompanhar: Cesto em aço inox com alças revestidas com plástico;</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Especificações Técnicas:</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Volume do tanque - 5,75 litros,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Classe de proteção – IP20,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Frequência ultrassônica – 37KHz,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Potência efetiva ultrassônica – 150W,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Pico ultrassônico máximo – 600W,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Tensão - 220-240V 50/60Hz, </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Dimensões mínimas para trabalho: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 xml:space="preserve">Dimensões externas (L xP x A) -  365 X 186 X 264 mm,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Dimensões internas (L xP x A) - 300 X 151 X 150 mm,</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Dimensões da cesta (L xP x A) - 255 X 115 X 750 mm</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A garantia de 2 anos (24 meses) do equipamento que inclua a reposição de</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peças que apresentarem defeitos durante este período de mão de obra com</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todos os custos da visita do técnico ao laboratório da PEFOCE, situado:</w:t>
            </w:r>
          </w:p>
          <w:p>
            <w:pPr>
              <w:pStyle w:val="ListParagraph"/>
              <w:widowControl w:val="false"/>
              <w:numPr>
                <w:ilvl w:val="1"/>
                <w:numId w:val="2"/>
              </w:numPr>
              <w:spacing w:lineRule="auto" w:line="240"/>
              <w:ind w:left="1440" w:right="210" w:hanging="360"/>
              <w:jc w:val="left"/>
              <w:rPr>
                <w:sz w:val="16"/>
                <w:szCs w:val="16"/>
              </w:rPr>
            </w:pPr>
            <w:r>
              <w:rPr>
                <w:rFonts w:eastAsia="Montserrat" w:cs="Arial" w:ascii="Arial" w:hAnsi="Arial"/>
                <w:color w:val="000000"/>
                <w:sz w:val="16"/>
                <w:szCs w:val="16"/>
                <w:lang w:val="pt-BR" w:eastAsia="zh-CN" w:bidi="hi-IN"/>
              </w:rPr>
              <w:t xml:space="preserve">Capital: </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z w:val="16"/>
                <w:szCs w:val="16"/>
                <w:lang w:val="pt-BR" w:eastAsia="zh-CN" w:bidi="hi-IN"/>
              </w:rPr>
              <w:t>Avenida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Castelo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Branco,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901</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Moura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Brasil</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 xml:space="preserve"> CEP: 60010-000  - Fortaleza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Ceará;</w:t>
            </w:r>
            <w:r>
              <w:rPr>
                <w:rFonts w:eastAsia="Montserrat" w:cs="Arial" w:ascii="Arial" w:hAnsi="Arial"/>
                <w:color w:val="000000"/>
                <w:spacing w:val="1"/>
                <w:sz w:val="16"/>
                <w:szCs w:val="16"/>
                <w:lang w:val="pt-BR" w:eastAsia="zh-CN" w:bidi="hi-IN"/>
              </w:rPr>
              <w:t xml:space="preserve"> </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Interior: </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Sobral </w:t>
            </w:r>
          </w:p>
          <w:p>
            <w:pPr>
              <w:pStyle w:val="ListParagraph"/>
              <w:widowControl w:val="false"/>
              <w:numPr>
                <w:ilvl w:val="2"/>
                <w:numId w:val="2"/>
              </w:numPr>
              <w:spacing w:lineRule="auto" w:line="240"/>
              <w:ind w:left="2160" w:right="210" w:hanging="360"/>
              <w:jc w:val="left"/>
              <w:rPr>
                <w:spacing w:val="1"/>
                <w:sz w:val="16"/>
                <w:szCs w:val="16"/>
              </w:rPr>
            </w:pPr>
            <w:r>
              <w:rPr>
                <w:rFonts w:eastAsia="Montserrat" w:cs="Arial" w:ascii="Arial" w:hAnsi="Arial"/>
                <w:color w:val="000000"/>
                <w:spacing w:val="1"/>
                <w:sz w:val="16"/>
                <w:szCs w:val="16"/>
                <w:lang w:val="pt-BR" w:eastAsia="zh-CN" w:bidi="hi-IN"/>
              </w:rPr>
              <w:t>Av. John Sanford, 2895 – Nossa Senhora de Fátima – CEP: 62.034-001 – Sobral – Ceará;</w:t>
            </w:r>
          </w:p>
          <w:p>
            <w:pPr>
              <w:pStyle w:val="ListParagraph"/>
              <w:widowControl w:val="false"/>
              <w:numPr>
                <w:ilvl w:val="1"/>
                <w:numId w:val="2"/>
              </w:numPr>
              <w:spacing w:lineRule="auto" w:line="240"/>
              <w:ind w:left="1440" w:right="210" w:hanging="360"/>
              <w:jc w:val="left"/>
              <w:rPr>
                <w:spacing w:val="1"/>
                <w:sz w:val="16"/>
                <w:szCs w:val="16"/>
              </w:rPr>
            </w:pP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pacing w:val="1"/>
                <w:sz w:val="16"/>
                <w:szCs w:val="16"/>
                <w:lang w:val="pt-BR" w:eastAsia="zh-CN" w:bidi="hi-IN"/>
              </w:rPr>
              <w:t>Juazeiro do Norte:</w:t>
            </w:r>
          </w:p>
          <w:p>
            <w:pPr>
              <w:pStyle w:val="ListParagraph"/>
              <w:widowControl w:val="false"/>
              <w:numPr>
                <w:ilvl w:val="2"/>
                <w:numId w:val="2"/>
              </w:numPr>
              <w:spacing w:lineRule="auto" w:line="240"/>
              <w:ind w:left="2160" w:right="210" w:hanging="360"/>
              <w:jc w:val="left"/>
              <w:rPr>
                <w:sz w:val="16"/>
                <w:szCs w:val="16"/>
              </w:rPr>
            </w:pPr>
            <w:r>
              <w:rPr>
                <w:rFonts w:eastAsia="Montserrat" w:cs="Arial" w:ascii="Arial" w:hAnsi="Arial"/>
                <w:color w:val="000000"/>
                <w:spacing w:val="1"/>
                <w:sz w:val="16"/>
                <w:szCs w:val="16"/>
                <w:lang w:val="pt-BR" w:eastAsia="zh-CN" w:bidi="hi-IN"/>
              </w:rPr>
              <w:t xml:space="preserve">Av. Tenente Raimundo Rocha – s/n-  Planalto – CEP: 60.040-360  -Juazeiro do Norte – Ceará. </w:t>
            </w:r>
          </w:p>
          <w:p>
            <w:pPr>
              <w:pStyle w:val="ListParagraph"/>
              <w:widowControl w:val="false"/>
              <w:numPr>
                <w:ilvl w:val="0"/>
                <w:numId w:val="2"/>
              </w:numPr>
              <w:spacing w:lineRule="auto" w:line="240"/>
              <w:ind w:left="720" w:right="210" w:hanging="360"/>
              <w:jc w:val="left"/>
              <w:rPr>
                <w:sz w:val="16"/>
                <w:szCs w:val="16"/>
              </w:rPr>
            </w:pPr>
            <w:r>
              <w:rPr>
                <w:rFonts w:eastAsia="Montserrat" w:cs="Arial" w:ascii="Arial" w:hAnsi="Arial"/>
                <w:color w:val="000000"/>
                <w:sz w:val="16"/>
                <w:szCs w:val="16"/>
                <w:lang w:val="pt-BR" w:eastAsia="zh-CN" w:bidi="hi-IN"/>
              </w:rPr>
              <w:t>Após</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a</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instalação do equipamento, será dado um treinamento operacional de manuseio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do equipamento</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sem</w:t>
            </w:r>
            <w:r>
              <w:rPr>
                <w:rFonts w:eastAsia="Montserrat" w:cs="Arial" w:ascii="Arial" w:hAnsi="Arial"/>
                <w:color w:val="000000"/>
                <w:spacing w:val="-1"/>
                <w:sz w:val="16"/>
                <w:szCs w:val="16"/>
                <w:lang w:val="pt-BR" w:eastAsia="zh-CN" w:bidi="hi-IN"/>
              </w:rPr>
              <w:t xml:space="preserve"> </w:t>
            </w:r>
            <w:r>
              <w:rPr>
                <w:rFonts w:eastAsia="Montserrat" w:cs="Arial" w:ascii="Arial" w:hAnsi="Arial"/>
                <w:color w:val="000000"/>
                <w:sz w:val="16"/>
                <w:szCs w:val="16"/>
                <w:lang w:val="pt-BR" w:eastAsia="zh-CN" w:bidi="hi-IN"/>
              </w:rPr>
              <w:t>custos adicionais.</w:t>
            </w:r>
          </w:p>
          <w:p>
            <w:pPr>
              <w:pStyle w:val="TableParagraph"/>
              <w:widowControl w:val="false"/>
              <w:tabs>
                <w:tab w:val="clear" w:pos="720"/>
                <w:tab w:val="left" w:pos="190" w:leader="none"/>
              </w:tabs>
              <w:spacing w:lineRule="auto" w:line="240"/>
              <w:ind w:left="189" w:right="210" w:hanging="122"/>
              <w:jc w:val="left"/>
              <w:rPr>
                <w:rFonts w:ascii="Arial" w:hAnsi="Arial" w:eastAsia="Montserrat" w:cs="Arial"/>
                <w:color w:val="000000"/>
                <w:sz w:val="16"/>
                <w:szCs w:val="16"/>
                <w:lang w:val="pt-BR" w:eastAsia="zh-CN" w:bidi="hi-IN"/>
              </w:rPr>
            </w:pPr>
            <w:r>
              <w:rPr>
                <w:rFonts w:eastAsia="Montserrat" w:cs="Arial" w:ascii="Arial" w:hAnsi="Arial"/>
                <w:color w:val="000000"/>
                <w:sz w:val="16"/>
                <w:szCs w:val="16"/>
                <w:lang w:val="pt-BR" w:eastAsia="zh-CN" w:bidi="hi-IN"/>
              </w:rPr>
            </w:r>
          </w:p>
        </w:tc>
        <w:tc>
          <w:tcPr>
            <w:tcW w:w="1201" w:type="dxa"/>
            <w:tcBorders>
              <w:left w:val="single" w:sz="2" w:space="0" w:color="000000"/>
              <w:bottom w:val="single" w:sz="2" w:space="0" w:color="000000"/>
              <w:right w:val="single" w:sz="2" w:space="0" w:color="000000"/>
            </w:tcBorders>
          </w:tcPr>
          <w:p>
            <w:pPr>
              <w:pStyle w:val="Contedodatabela"/>
              <w:widowControl w:val="false"/>
              <w:rPr/>
            </w:pPr>
            <w:r>
              <w:rPr/>
            </w:r>
          </w:p>
        </w:tc>
      </w:tr>
    </w:tbl>
    <w:p>
      <w:pPr>
        <w:pStyle w:val="Corpodotexto"/>
        <w:widowControl/>
        <w:spacing w:lineRule="auto" w:line="240" w:before="57" w:after="57"/>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val="false"/>
          <w:bCs w:val="false"/>
          <w:color w:val="000000"/>
          <w:sz w:val="24"/>
          <w:szCs w:val="24"/>
        </w:rPr>
        <w:t>Obs.: Havendo divergências entre as especificações deste Anexo e as dos sistemas, prevalecerão as deste Anexo.</w:t>
      </w:r>
    </w:p>
    <w:p>
      <w:pPr>
        <w:pStyle w:val="Corpodotexto"/>
        <w:widowControl/>
        <w:spacing w:lineRule="auto" w:line="240" w:before="57" w:after="57"/>
        <w:jc w:val="left"/>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pacing w:lineRule="auto" w:line="240" w:before="57" w:after="57"/>
        <w:jc w:val="left"/>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bCs/>
          <w:color w:val="000000"/>
          <w:sz w:val="24"/>
          <w:szCs w:val="24"/>
        </w:rPr>
        <w:t>2. REQUISITOS DA CONTRATAÇÃO</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spacing w:lineRule="auto" w:line="240" w:before="57" w:after="57"/>
        <w:jc w:val="both"/>
        <w:rPr/>
      </w:pPr>
      <w:r>
        <w:rPr>
          <w:rStyle w:val="Fontepargpadro"/>
          <w:rFonts w:eastAsia="Montserrat" w:cs="Arial" w:ascii="Arial" w:hAnsi="Arial"/>
          <w:b w:val="false"/>
          <w:bCs w:val="false"/>
          <w:color w:val="000000"/>
          <w:sz w:val="24"/>
          <w:szCs w:val="24"/>
        </w:rPr>
        <w:tab/>
        <w:t>Respeitar a legislação relativa à disposição final ambientalmente adequada dos resíduos</w:t>
      </w:r>
      <w:r>
        <w:rPr>
          <w:rStyle w:val="Fontepargpadro"/>
          <w:rFonts w:eastAsia="Montserrat" w:cs="Arial" w:ascii="Arial" w:hAnsi="Arial"/>
          <w:b w:val="false"/>
          <w:bCs w:val="false"/>
          <w:color w:val="000000"/>
          <w:spacing w:val="-61"/>
          <w:sz w:val="24"/>
          <w:szCs w:val="24"/>
        </w:rPr>
        <w:t xml:space="preserve"> </w:t>
      </w:r>
      <w:r>
        <w:rPr>
          <w:rStyle w:val="Fontepargpadro"/>
          <w:rFonts w:eastAsia="Montserrat" w:cs="Arial" w:ascii="Arial" w:hAnsi="Arial"/>
          <w:b w:val="false"/>
          <w:bCs w:val="false"/>
          <w:color w:val="000000"/>
          <w:sz w:val="24"/>
          <w:szCs w:val="24"/>
        </w:rPr>
        <w:t>gerados,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mitigação</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dos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danos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ambientais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por</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meio</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medidas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condicionantes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compensação</w:t>
      </w:r>
      <w:r>
        <w:rPr>
          <w:rStyle w:val="Fontepargpadro"/>
          <w:rFonts w:eastAsia="Montserrat" w:cs="Arial" w:ascii="Arial" w:hAnsi="Arial"/>
          <w:b w:val="false"/>
          <w:bCs w:val="false"/>
          <w:color w:val="000000"/>
          <w:spacing w:val="-2"/>
          <w:sz w:val="24"/>
          <w:szCs w:val="24"/>
        </w:rPr>
        <w:t xml:space="preserve"> </w:t>
      </w:r>
      <w:r>
        <w:rPr>
          <w:rStyle w:val="Fontepargpadro"/>
          <w:rFonts w:eastAsia="Montserrat" w:cs="Arial" w:ascii="Arial" w:hAnsi="Arial"/>
          <w:b w:val="false"/>
          <w:bCs w:val="false"/>
          <w:color w:val="000000"/>
          <w:sz w:val="24"/>
          <w:szCs w:val="24"/>
        </w:rPr>
        <w:t>ambiental</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outros,</w:t>
      </w:r>
      <w:r>
        <w:rPr>
          <w:rStyle w:val="Fontepargpadro"/>
          <w:rFonts w:eastAsia="Montserrat" w:cs="Arial" w:ascii="Arial" w:hAnsi="Arial"/>
          <w:b w:val="false"/>
          <w:bCs w:val="false"/>
          <w:color w:val="000000"/>
          <w:spacing w:val="-2"/>
          <w:sz w:val="24"/>
          <w:szCs w:val="24"/>
        </w:rPr>
        <w:t xml:space="preserve"> </w:t>
      </w:r>
      <w:r>
        <w:rPr>
          <w:rStyle w:val="Fontepargpadro"/>
          <w:rFonts w:eastAsia="Montserrat" w:cs="Arial" w:ascii="Arial" w:hAnsi="Arial"/>
          <w:b w:val="false"/>
          <w:bCs w:val="false"/>
          <w:color w:val="000000"/>
          <w:sz w:val="24"/>
          <w:szCs w:val="24"/>
        </w:rPr>
        <w:t>conforme</w:t>
      </w:r>
      <w:r>
        <w:rPr>
          <w:rStyle w:val="Fontepargpadro"/>
          <w:rFonts w:eastAsia="Montserrat" w:cs="Arial" w:ascii="Arial" w:hAnsi="Arial"/>
          <w:b w:val="false"/>
          <w:bCs w:val="false"/>
          <w:color w:val="000000"/>
          <w:spacing w:val="-2"/>
          <w:sz w:val="24"/>
          <w:szCs w:val="24"/>
        </w:rPr>
        <w:t xml:space="preserve"> </w:t>
      </w:r>
      <w:r>
        <w:rPr>
          <w:rStyle w:val="Fontepargpadro"/>
          <w:rFonts w:eastAsia="Montserrat" w:cs="Arial" w:ascii="Arial" w:hAnsi="Arial"/>
          <w:b w:val="false"/>
          <w:bCs w:val="false"/>
          <w:color w:val="000000"/>
          <w:sz w:val="24"/>
          <w:szCs w:val="24"/>
        </w:rPr>
        <w:t>previsto</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em</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lei.</w:t>
      </w:r>
    </w:p>
    <w:p>
      <w:pPr>
        <w:pStyle w:val="Corpodotexto"/>
        <w:spacing w:lineRule="auto" w:line="240" w:before="57" w:after="57"/>
        <w:jc w:val="both"/>
        <w:rPr/>
      </w:pPr>
      <w:r>
        <w:rPr>
          <w:rStyle w:val="Fontepargpadro"/>
          <w:rFonts w:eastAsia="Montserrat" w:cs="Arial" w:ascii="Arial" w:hAnsi="Arial"/>
          <w:b w:val="false"/>
          <w:bCs w:val="false"/>
          <w:color w:val="000000"/>
          <w:sz w:val="24"/>
          <w:szCs w:val="24"/>
        </w:rPr>
        <w:tab/>
        <w:t>Comprometer-se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com</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os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critérios</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z w:val="24"/>
          <w:szCs w:val="24"/>
        </w:rPr>
        <w:t>sustentabilidade ambiental</w:t>
      </w:r>
      <w:r>
        <w:rPr>
          <w:rStyle w:val="Fontepargpadro"/>
          <w:rFonts w:eastAsia="Montserrat" w:cs="Arial" w:ascii="Arial" w:hAnsi="Arial"/>
          <w:b w:val="false"/>
          <w:bCs w:val="false"/>
          <w:color w:val="000000"/>
          <w:spacing w:val="1"/>
          <w:sz w:val="24"/>
          <w:szCs w:val="24"/>
        </w:rPr>
        <w:t xml:space="preserve"> </w:t>
      </w:r>
      <w:r>
        <w:rPr>
          <w:rStyle w:val="Fontepargpadro"/>
          <w:rFonts w:eastAsia="Montserrat" w:cs="Arial" w:ascii="Arial" w:hAnsi="Arial"/>
          <w:b w:val="false"/>
          <w:bCs w:val="false"/>
          <w:color w:val="000000"/>
          <w:spacing w:val="-1"/>
          <w:sz w:val="24"/>
          <w:szCs w:val="24"/>
        </w:rPr>
        <w:t>dispostos</w:t>
      </w:r>
      <w:r>
        <w:rPr>
          <w:rStyle w:val="Fontepargpadro"/>
          <w:rFonts w:eastAsia="Montserrat" w:cs="Arial" w:ascii="Arial" w:hAnsi="Arial"/>
          <w:b w:val="false"/>
          <w:bCs w:val="false"/>
          <w:color w:val="000000"/>
          <w:spacing w:val="-4"/>
          <w:sz w:val="24"/>
          <w:szCs w:val="24"/>
        </w:rPr>
        <w:t xml:space="preserve"> </w:t>
      </w:r>
      <w:r>
        <w:rPr>
          <w:rStyle w:val="Fontepargpadro"/>
          <w:rFonts w:eastAsia="Montserrat" w:cs="Arial" w:ascii="Arial" w:hAnsi="Arial"/>
          <w:b w:val="false"/>
          <w:bCs w:val="false"/>
          <w:color w:val="000000"/>
          <w:spacing w:val="-1"/>
          <w:sz w:val="24"/>
          <w:szCs w:val="24"/>
        </w:rPr>
        <w:t>nos</w:t>
      </w:r>
      <w:r>
        <w:rPr>
          <w:rStyle w:val="Fontepargpadro"/>
          <w:rFonts w:eastAsia="Montserrat" w:cs="Arial" w:ascii="Arial" w:hAnsi="Arial"/>
          <w:b w:val="false"/>
          <w:bCs w:val="false"/>
          <w:color w:val="000000"/>
          <w:spacing w:val="-13"/>
          <w:sz w:val="24"/>
          <w:szCs w:val="24"/>
        </w:rPr>
        <w:t xml:space="preserve"> </w:t>
      </w:r>
      <w:r>
        <w:rPr>
          <w:rStyle w:val="Fontepargpadro"/>
          <w:rFonts w:eastAsia="Montserrat" w:cs="Arial" w:ascii="Arial" w:hAnsi="Arial"/>
          <w:b w:val="false"/>
          <w:bCs w:val="false"/>
          <w:color w:val="000000"/>
          <w:spacing w:val="-1"/>
          <w:sz w:val="24"/>
          <w:szCs w:val="24"/>
        </w:rPr>
        <w:t>artigos</w:t>
      </w:r>
      <w:r>
        <w:rPr>
          <w:rStyle w:val="Fontepargpadro"/>
          <w:rFonts w:eastAsia="Montserrat" w:cs="Arial" w:ascii="Arial" w:hAnsi="Arial"/>
          <w:b w:val="false"/>
          <w:bCs w:val="false"/>
          <w:color w:val="000000"/>
          <w:spacing w:val="-4"/>
          <w:sz w:val="24"/>
          <w:szCs w:val="24"/>
        </w:rPr>
        <w:t xml:space="preserve"> </w:t>
      </w:r>
      <w:r>
        <w:rPr>
          <w:rStyle w:val="Fontepargpadro"/>
          <w:rFonts w:eastAsia="Montserrat" w:cs="Arial" w:ascii="Arial" w:hAnsi="Arial"/>
          <w:b w:val="false"/>
          <w:bCs w:val="false"/>
          <w:color w:val="000000"/>
          <w:spacing w:val="-1"/>
          <w:sz w:val="24"/>
          <w:szCs w:val="24"/>
        </w:rPr>
        <w:t>2º</w:t>
      </w:r>
      <w:r>
        <w:rPr>
          <w:rStyle w:val="Fontepargpadro"/>
          <w:rFonts w:eastAsia="Montserrat" w:cs="Arial" w:ascii="Arial" w:hAnsi="Arial"/>
          <w:b w:val="false"/>
          <w:bCs w:val="false"/>
          <w:color w:val="000000"/>
          <w:spacing w:val="-14"/>
          <w:sz w:val="24"/>
          <w:szCs w:val="24"/>
        </w:rPr>
        <w:t xml:space="preserve"> </w:t>
      </w:r>
      <w:r>
        <w:rPr>
          <w:rStyle w:val="Fontepargpadro"/>
          <w:rFonts w:eastAsia="Montserrat" w:cs="Arial" w:ascii="Arial" w:hAnsi="Arial"/>
          <w:b w:val="false"/>
          <w:bCs w:val="false"/>
          <w:color w:val="000000"/>
          <w:spacing w:val="-1"/>
          <w:sz w:val="24"/>
          <w:szCs w:val="24"/>
        </w:rPr>
        <w:t>a</w:t>
      </w:r>
      <w:r>
        <w:rPr>
          <w:rStyle w:val="Fontepargpadro"/>
          <w:rFonts w:eastAsia="Montserrat" w:cs="Arial" w:ascii="Arial" w:hAnsi="Arial"/>
          <w:b w:val="false"/>
          <w:bCs w:val="false"/>
          <w:color w:val="000000"/>
          <w:spacing w:val="-15"/>
          <w:sz w:val="24"/>
          <w:szCs w:val="24"/>
        </w:rPr>
        <w:t xml:space="preserve"> </w:t>
      </w:r>
      <w:r>
        <w:rPr>
          <w:rStyle w:val="Fontepargpadro"/>
          <w:rFonts w:eastAsia="Montserrat" w:cs="Arial" w:ascii="Arial" w:hAnsi="Arial"/>
          <w:b w:val="false"/>
          <w:bCs w:val="false"/>
          <w:color w:val="000000"/>
          <w:spacing w:val="-1"/>
          <w:sz w:val="24"/>
          <w:szCs w:val="24"/>
        </w:rPr>
        <w:t>6º</w:t>
      </w:r>
      <w:r>
        <w:rPr>
          <w:rStyle w:val="Fontepargpadro"/>
          <w:rFonts w:eastAsia="Montserrat" w:cs="Arial" w:ascii="Arial" w:hAnsi="Arial"/>
          <w:b w:val="false"/>
          <w:bCs w:val="false"/>
          <w:color w:val="000000"/>
          <w:spacing w:val="-5"/>
          <w:sz w:val="24"/>
          <w:szCs w:val="24"/>
        </w:rPr>
        <w:t xml:space="preserve"> </w:t>
      </w:r>
      <w:r>
        <w:rPr>
          <w:rStyle w:val="Fontepargpadro"/>
          <w:rFonts w:eastAsia="Montserrat" w:cs="Arial" w:ascii="Arial" w:hAnsi="Arial"/>
          <w:b w:val="false"/>
          <w:bCs w:val="false"/>
          <w:color w:val="000000"/>
          <w:spacing w:val="-1"/>
          <w:sz w:val="24"/>
          <w:szCs w:val="24"/>
        </w:rPr>
        <w:t>da</w:t>
      </w:r>
      <w:r>
        <w:rPr>
          <w:rStyle w:val="Fontepargpadro"/>
          <w:rFonts w:eastAsia="Montserrat" w:cs="Arial" w:ascii="Arial" w:hAnsi="Arial"/>
          <w:b w:val="false"/>
          <w:bCs w:val="false"/>
          <w:color w:val="000000"/>
          <w:spacing w:val="-15"/>
          <w:sz w:val="24"/>
          <w:szCs w:val="24"/>
        </w:rPr>
        <w:t xml:space="preserve"> </w:t>
      </w:r>
      <w:r>
        <w:rPr>
          <w:rStyle w:val="Fontepargpadro"/>
          <w:rFonts w:eastAsia="Montserrat" w:cs="Arial" w:ascii="Arial" w:hAnsi="Arial"/>
          <w:b w:val="false"/>
          <w:bCs w:val="false"/>
          <w:color w:val="000000"/>
          <w:spacing w:val="-1"/>
          <w:sz w:val="24"/>
          <w:szCs w:val="24"/>
        </w:rPr>
        <w:t>instrução</w:t>
      </w:r>
      <w:r>
        <w:rPr>
          <w:rStyle w:val="Fontepargpadro"/>
          <w:rFonts w:eastAsia="Montserrat" w:cs="Arial" w:ascii="Arial" w:hAnsi="Arial"/>
          <w:b w:val="false"/>
          <w:bCs w:val="false"/>
          <w:color w:val="000000"/>
          <w:spacing w:val="-3"/>
          <w:sz w:val="24"/>
          <w:szCs w:val="24"/>
        </w:rPr>
        <w:t xml:space="preserve"> </w:t>
      </w:r>
      <w:r>
        <w:rPr>
          <w:rStyle w:val="Fontepargpadro"/>
          <w:rFonts w:eastAsia="Montserrat" w:cs="Arial" w:ascii="Arial" w:hAnsi="Arial"/>
          <w:b w:val="false"/>
          <w:bCs w:val="false"/>
          <w:color w:val="000000"/>
          <w:spacing w:val="-1"/>
          <w:sz w:val="24"/>
          <w:szCs w:val="24"/>
        </w:rPr>
        <w:t>normativa</w:t>
      </w:r>
      <w:r>
        <w:rPr>
          <w:rStyle w:val="Fontepargpadro"/>
          <w:rFonts w:eastAsia="Montserrat" w:cs="Arial" w:ascii="Arial" w:hAnsi="Arial"/>
          <w:b w:val="false"/>
          <w:bCs w:val="false"/>
          <w:color w:val="000000"/>
          <w:spacing w:val="-15"/>
          <w:sz w:val="24"/>
          <w:szCs w:val="24"/>
        </w:rPr>
        <w:t xml:space="preserve"> </w:t>
      </w:r>
      <w:r>
        <w:rPr>
          <w:rStyle w:val="Fontepargpadro"/>
          <w:rFonts w:eastAsia="Montserrat" w:cs="Arial" w:ascii="Arial" w:hAnsi="Arial"/>
          <w:b w:val="false"/>
          <w:bCs w:val="false"/>
          <w:color w:val="000000"/>
          <w:spacing w:val="-1"/>
          <w:sz w:val="24"/>
          <w:szCs w:val="24"/>
        </w:rPr>
        <w:t>SLTI/MP</w:t>
      </w:r>
      <w:r>
        <w:rPr>
          <w:rStyle w:val="Fontepargpadro"/>
          <w:rFonts w:eastAsia="Montserrat" w:cs="Arial" w:ascii="Arial" w:hAnsi="Arial"/>
          <w:b w:val="false"/>
          <w:bCs w:val="false"/>
          <w:color w:val="000000"/>
          <w:spacing w:val="-5"/>
          <w:sz w:val="24"/>
          <w:szCs w:val="24"/>
        </w:rPr>
        <w:t xml:space="preserve"> </w:t>
      </w:r>
      <w:r>
        <w:rPr>
          <w:rStyle w:val="Fontepargpadro"/>
          <w:rFonts w:eastAsia="Montserrat" w:cs="Arial" w:ascii="Arial" w:hAnsi="Arial"/>
          <w:b w:val="false"/>
          <w:bCs w:val="false"/>
          <w:color w:val="000000"/>
          <w:sz w:val="24"/>
          <w:szCs w:val="24"/>
        </w:rPr>
        <w:t>nº</w:t>
      </w:r>
      <w:r>
        <w:rPr>
          <w:rStyle w:val="Fontepargpadro"/>
          <w:rFonts w:eastAsia="Montserrat" w:cs="Arial" w:ascii="Arial" w:hAnsi="Arial"/>
          <w:b w:val="false"/>
          <w:bCs w:val="false"/>
          <w:color w:val="000000"/>
          <w:spacing w:val="-5"/>
          <w:sz w:val="24"/>
          <w:szCs w:val="24"/>
        </w:rPr>
        <w:t xml:space="preserve"> </w:t>
      </w:r>
      <w:r>
        <w:rPr>
          <w:rStyle w:val="Fontepargpadro"/>
          <w:rFonts w:eastAsia="Montserrat" w:cs="Arial" w:ascii="Arial" w:hAnsi="Arial"/>
          <w:b w:val="false"/>
          <w:bCs w:val="false"/>
          <w:color w:val="000000"/>
          <w:sz w:val="24"/>
          <w:szCs w:val="24"/>
        </w:rPr>
        <w:t>01,</w:t>
      </w:r>
      <w:r>
        <w:rPr>
          <w:rStyle w:val="Fontepargpadro"/>
          <w:rFonts w:eastAsia="Montserrat" w:cs="Arial" w:ascii="Arial" w:hAnsi="Arial"/>
          <w:b w:val="false"/>
          <w:bCs w:val="false"/>
          <w:color w:val="000000"/>
          <w:spacing w:val="-4"/>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2"/>
          <w:sz w:val="24"/>
          <w:szCs w:val="24"/>
        </w:rPr>
        <w:t xml:space="preserve"> </w:t>
      </w:r>
      <w:r>
        <w:rPr>
          <w:rStyle w:val="Fontepargpadro"/>
          <w:rFonts w:eastAsia="Montserrat" w:cs="Arial" w:ascii="Arial" w:hAnsi="Arial"/>
          <w:b w:val="false"/>
          <w:bCs w:val="false"/>
          <w:color w:val="000000"/>
          <w:sz w:val="24"/>
          <w:szCs w:val="24"/>
        </w:rPr>
        <w:t>19</w:t>
      </w:r>
      <w:r>
        <w:rPr>
          <w:rStyle w:val="Fontepargpadro"/>
          <w:rFonts w:eastAsia="Montserrat" w:cs="Arial" w:ascii="Arial" w:hAnsi="Arial"/>
          <w:b w:val="false"/>
          <w:bCs w:val="false"/>
          <w:color w:val="000000"/>
          <w:spacing w:val="-3"/>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61"/>
          <w:sz w:val="24"/>
          <w:szCs w:val="24"/>
        </w:rPr>
        <w:t xml:space="preserve"> </w:t>
      </w:r>
      <w:r>
        <w:rPr>
          <w:rStyle w:val="Fontepargpadro"/>
          <w:rFonts w:eastAsia="Montserrat" w:cs="Arial" w:ascii="Arial" w:hAnsi="Arial"/>
          <w:b w:val="false"/>
          <w:bCs w:val="false"/>
          <w:color w:val="000000"/>
          <w:sz w:val="24"/>
          <w:szCs w:val="24"/>
        </w:rPr>
        <w:t>janeiro</w:t>
      </w:r>
      <w:r>
        <w:rPr>
          <w:rStyle w:val="Fontepargpadro"/>
          <w:rFonts w:eastAsia="Montserrat" w:cs="Arial" w:ascii="Arial" w:hAnsi="Arial"/>
          <w:b w:val="false"/>
          <w:bCs w:val="false"/>
          <w:color w:val="000000"/>
          <w:spacing w:val="51"/>
          <w:sz w:val="24"/>
          <w:szCs w:val="24"/>
        </w:rPr>
        <w:t xml:space="preserve"> </w:t>
      </w:r>
      <w:r>
        <w:rPr>
          <w:rStyle w:val="Fontepargpadro"/>
          <w:rFonts w:eastAsia="Montserrat" w:cs="Arial" w:ascii="Arial" w:hAnsi="Arial"/>
          <w:b w:val="false"/>
          <w:bCs w:val="false"/>
          <w:color w:val="000000"/>
          <w:sz w:val="24"/>
          <w:szCs w:val="24"/>
        </w:rPr>
        <w:t>de</w:t>
      </w:r>
      <w:r>
        <w:rPr>
          <w:rStyle w:val="Fontepargpadro"/>
          <w:rFonts w:eastAsia="Montserrat" w:cs="Arial" w:ascii="Arial" w:hAnsi="Arial"/>
          <w:b w:val="false"/>
          <w:bCs w:val="false"/>
          <w:color w:val="000000"/>
          <w:spacing w:val="50"/>
          <w:sz w:val="24"/>
          <w:szCs w:val="24"/>
        </w:rPr>
        <w:t xml:space="preserve"> </w:t>
      </w:r>
      <w:r>
        <w:rPr>
          <w:rStyle w:val="Fontepargpadro"/>
          <w:rFonts w:eastAsia="Montserrat" w:cs="Arial" w:ascii="Arial" w:hAnsi="Arial"/>
          <w:b w:val="false"/>
          <w:bCs w:val="false"/>
          <w:color w:val="000000"/>
          <w:sz w:val="24"/>
          <w:szCs w:val="24"/>
        </w:rPr>
        <w:t>2010,</w:t>
      </w:r>
      <w:r>
        <w:rPr>
          <w:rStyle w:val="Fontepargpadro"/>
          <w:rFonts w:eastAsia="Montserrat" w:cs="Arial" w:ascii="Arial" w:hAnsi="Arial"/>
          <w:b w:val="false"/>
          <w:bCs w:val="false"/>
          <w:color w:val="000000"/>
          <w:spacing w:val="37"/>
          <w:sz w:val="24"/>
          <w:szCs w:val="24"/>
        </w:rPr>
        <w:t xml:space="preserve"> </w:t>
      </w:r>
      <w:r>
        <w:rPr>
          <w:rStyle w:val="Fontepargpadro"/>
          <w:rFonts w:eastAsia="Montserrat" w:cs="Arial" w:ascii="Arial" w:hAnsi="Arial"/>
          <w:b w:val="false"/>
          <w:bCs w:val="false"/>
          <w:color w:val="000000"/>
          <w:sz w:val="24"/>
          <w:szCs w:val="24"/>
        </w:rPr>
        <w:t>adotando</w:t>
      </w:r>
      <w:r>
        <w:rPr>
          <w:rStyle w:val="Fontepargpadro"/>
          <w:rFonts w:eastAsia="Montserrat" w:cs="Arial" w:ascii="Arial" w:hAnsi="Arial"/>
          <w:b w:val="false"/>
          <w:bCs w:val="false"/>
          <w:color w:val="000000"/>
          <w:spacing w:val="38"/>
          <w:sz w:val="24"/>
          <w:szCs w:val="24"/>
        </w:rPr>
        <w:t xml:space="preserve"> </w:t>
      </w:r>
      <w:r>
        <w:rPr>
          <w:rStyle w:val="Fontepargpadro"/>
          <w:rFonts w:eastAsia="Montserrat" w:cs="Arial" w:ascii="Arial" w:hAnsi="Arial"/>
          <w:b w:val="false"/>
          <w:bCs w:val="false"/>
          <w:color w:val="000000"/>
          <w:sz w:val="24"/>
          <w:szCs w:val="24"/>
        </w:rPr>
        <w:t>as</w:t>
      </w:r>
      <w:r>
        <w:rPr>
          <w:rStyle w:val="Fontepargpadro"/>
          <w:rFonts w:eastAsia="Montserrat" w:cs="Arial" w:ascii="Arial" w:hAnsi="Arial"/>
          <w:b w:val="false"/>
          <w:bCs w:val="false"/>
          <w:color w:val="000000"/>
          <w:spacing w:val="48"/>
          <w:sz w:val="24"/>
          <w:szCs w:val="24"/>
        </w:rPr>
        <w:t xml:space="preserve"> </w:t>
      </w:r>
      <w:r>
        <w:rPr>
          <w:rStyle w:val="Fontepargpadro"/>
          <w:rFonts w:eastAsia="Montserrat" w:cs="Arial" w:ascii="Arial" w:hAnsi="Arial"/>
          <w:b w:val="false"/>
          <w:bCs w:val="false"/>
          <w:color w:val="000000"/>
          <w:sz w:val="24"/>
          <w:szCs w:val="24"/>
        </w:rPr>
        <w:t>seguintes</w:t>
      </w:r>
      <w:r>
        <w:rPr>
          <w:rStyle w:val="Fontepargpadro"/>
          <w:rFonts w:eastAsia="Montserrat" w:cs="Arial" w:ascii="Arial" w:hAnsi="Arial"/>
          <w:b w:val="false"/>
          <w:bCs w:val="false"/>
          <w:color w:val="000000"/>
          <w:spacing w:val="50"/>
          <w:sz w:val="24"/>
          <w:szCs w:val="24"/>
        </w:rPr>
        <w:t xml:space="preserve"> </w:t>
      </w:r>
      <w:r>
        <w:rPr>
          <w:rStyle w:val="Fontepargpadro"/>
          <w:rFonts w:eastAsia="Montserrat" w:cs="Arial" w:ascii="Arial" w:hAnsi="Arial"/>
          <w:b w:val="false"/>
          <w:bCs w:val="false"/>
          <w:color w:val="000000"/>
          <w:sz w:val="24"/>
          <w:szCs w:val="24"/>
        </w:rPr>
        <w:t>práticas,</w:t>
      </w:r>
      <w:r>
        <w:rPr>
          <w:rStyle w:val="Fontepargpadro"/>
          <w:rFonts w:eastAsia="Montserrat" w:cs="Arial" w:ascii="Arial" w:hAnsi="Arial"/>
          <w:b w:val="false"/>
          <w:bCs w:val="false"/>
          <w:color w:val="000000"/>
          <w:spacing w:val="49"/>
          <w:sz w:val="24"/>
          <w:szCs w:val="24"/>
        </w:rPr>
        <w:t xml:space="preserve"> </w:t>
      </w:r>
      <w:r>
        <w:rPr>
          <w:rStyle w:val="Fontepargpadro"/>
          <w:rFonts w:eastAsia="Montserrat" w:cs="Arial" w:ascii="Arial" w:hAnsi="Arial"/>
          <w:b w:val="false"/>
          <w:bCs w:val="false"/>
          <w:color w:val="000000"/>
          <w:sz w:val="24"/>
          <w:szCs w:val="24"/>
        </w:rPr>
        <w:t>no</w:t>
      </w:r>
      <w:r>
        <w:rPr>
          <w:rStyle w:val="Fontepargpadro"/>
          <w:rFonts w:eastAsia="Montserrat" w:cs="Arial" w:ascii="Arial" w:hAnsi="Arial"/>
          <w:b w:val="false"/>
          <w:bCs w:val="false"/>
          <w:color w:val="000000"/>
          <w:spacing w:val="50"/>
          <w:sz w:val="24"/>
          <w:szCs w:val="24"/>
        </w:rPr>
        <w:t xml:space="preserve"> </w:t>
      </w:r>
      <w:r>
        <w:rPr>
          <w:rStyle w:val="Fontepargpadro"/>
          <w:rFonts w:eastAsia="Montserrat" w:cs="Arial" w:ascii="Arial" w:hAnsi="Arial"/>
          <w:b w:val="false"/>
          <w:bCs w:val="false"/>
          <w:color w:val="000000"/>
          <w:sz w:val="24"/>
          <w:szCs w:val="24"/>
        </w:rPr>
        <w:t>que</w:t>
      </w:r>
      <w:r>
        <w:rPr>
          <w:rStyle w:val="Fontepargpadro"/>
          <w:rFonts w:eastAsia="Montserrat" w:cs="Arial" w:ascii="Arial" w:hAnsi="Arial"/>
          <w:b w:val="false"/>
          <w:bCs w:val="false"/>
          <w:color w:val="000000"/>
          <w:spacing w:val="50"/>
          <w:sz w:val="24"/>
          <w:szCs w:val="24"/>
        </w:rPr>
        <w:t xml:space="preserve"> </w:t>
      </w:r>
      <w:r>
        <w:rPr>
          <w:rStyle w:val="Fontepargpadro"/>
          <w:rFonts w:eastAsia="Montserrat" w:cs="Arial" w:ascii="Arial" w:hAnsi="Arial"/>
          <w:b w:val="false"/>
          <w:bCs w:val="false"/>
          <w:color w:val="000000"/>
          <w:sz w:val="24"/>
          <w:szCs w:val="24"/>
        </w:rPr>
        <w:t>couber:</w:t>
      </w:r>
    </w:p>
    <w:p>
      <w:pPr>
        <w:pStyle w:val="ListParagraph"/>
        <w:widowControl/>
        <w:numPr>
          <w:ilvl w:val="0"/>
          <w:numId w:val="3"/>
        </w:numPr>
        <w:tabs>
          <w:tab w:val="clear" w:pos="720"/>
          <w:tab w:val="left" w:pos="442" w:leader="none"/>
        </w:tabs>
        <w:suppressAutoHyphens w:val="true"/>
        <w:overflowPunct w:val="false"/>
        <w:bidi w:val="0"/>
        <w:spacing w:lineRule="auto" w:line="240" w:before="2" w:after="0"/>
        <w:jc w:val="both"/>
        <w:rPr/>
      </w:pP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Que, no que couber, o bem ofertado e seus componentes deverá ser</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constituído, no todo ou em parte, por material reciclado, atóxico, biodegradável, conforme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ABNT</w:t>
      </w:r>
      <w:r>
        <w:rPr>
          <w:rStyle w:val="Fontepargpadro"/>
          <w:rFonts w:eastAsia="Montserrat" w:cs="Arial" w:ascii="Arial" w:hAnsi="Arial"/>
          <w:b w:val="false"/>
          <w:bCs w:val="false"/>
          <w:i w:val="false"/>
          <w:iCs w:val="false"/>
          <w:strike w:val="false"/>
          <w:dstrike w:val="false"/>
          <w:color w:val="000000"/>
          <w:spacing w:val="-6"/>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NBR</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w:t>
      </w:r>
      <w:r>
        <w:rPr>
          <w:rStyle w:val="Fontepargpadro"/>
          <w:rFonts w:eastAsia="Montserrat" w:cs="Arial" w:ascii="Arial" w:hAnsi="Arial"/>
          <w:b w:val="false"/>
          <w:bCs w:val="false"/>
          <w:i w:val="false"/>
          <w:iCs w:val="false"/>
          <w:strike w:val="false"/>
          <w:dstrike w:val="false"/>
          <w:color w:val="000000"/>
          <w:spacing w:val="-3"/>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15448-1</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15448-2.</w:t>
      </w:r>
    </w:p>
    <w:p>
      <w:pPr>
        <w:pStyle w:val="ListParagraph"/>
        <w:widowControl/>
        <w:numPr>
          <w:ilvl w:val="0"/>
          <w:numId w:val="3"/>
        </w:numPr>
        <w:tabs>
          <w:tab w:val="clear" w:pos="720"/>
          <w:tab w:val="left" w:pos="420" w:leader="none"/>
        </w:tabs>
        <w:suppressAutoHyphens w:val="true"/>
        <w:overflowPunct w:val="false"/>
        <w:bidi w:val="0"/>
        <w:spacing w:lineRule="auto" w:line="240" w:before="142" w:after="0"/>
        <w:jc w:val="both"/>
        <w:rPr>
          <w:rFonts w:ascii="Arial" w:hAnsi="Arial"/>
          <w:sz w:val="24"/>
          <w:szCs w:val="24"/>
        </w:rPr>
      </w:pPr>
      <w:r>
        <w:rPr>
          <w:rFonts w:cs="Arial" w:ascii="Arial" w:hAnsi="Arial"/>
          <w:sz w:val="24"/>
          <w:szCs w:val="24"/>
        </w:rPr>
        <w:t>Observar os requisitos ambientais para a obtenção de certificado do Instituto Nacional</w:t>
      </w:r>
      <w:r>
        <w:rPr>
          <w:rFonts w:cs="Arial" w:ascii="Arial" w:hAnsi="Arial"/>
          <w:spacing w:val="1"/>
          <w:sz w:val="24"/>
          <w:szCs w:val="24"/>
        </w:rPr>
        <w:t xml:space="preserve"> </w:t>
      </w:r>
      <w:r>
        <w:rPr>
          <w:rFonts w:cs="Arial" w:ascii="Arial" w:hAnsi="Arial"/>
          <w:sz w:val="24"/>
          <w:szCs w:val="24"/>
        </w:rPr>
        <w:t>de Metrologia, Normalização e Qualidade Industrial – INMETRO, como produtos sustentáveis</w:t>
      </w:r>
      <w:r>
        <w:rPr>
          <w:rFonts w:cs="Arial" w:ascii="Arial" w:hAnsi="Arial"/>
          <w:spacing w:val="1"/>
          <w:sz w:val="24"/>
          <w:szCs w:val="24"/>
        </w:rPr>
        <w:t xml:space="preserve"> </w:t>
      </w:r>
      <w:r>
        <w:rPr>
          <w:rFonts w:cs="Arial" w:ascii="Arial" w:hAnsi="Arial"/>
          <w:sz w:val="24"/>
          <w:szCs w:val="24"/>
        </w:rPr>
        <w:t>ou</w:t>
      </w:r>
      <w:r>
        <w:rPr>
          <w:rFonts w:cs="Arial" w:ascii="Arial" w:hAnsi="Arial"/>
          <w:spacing w:val="32"/>
          <w:sz w:val="24"/>
          <w:szCs w:val="24"/>
        </w:rPr>
        <w:t xml:space="preserve"> </w:t>
      </w:r>
      <w:r>
        <w:rPr>
          <w:rFonts w:cs="Arial" w:ascii="Arial" w:hAnsi="Arial"/>
          <w:sz w:val="24"/>
          <w:szCs w:val="24"/>
        </w:rPr>
        <w:t>de</w:t>
      </w:r>
      <w:r>
        <w:rPr>
          <w:rFonts w:cs="Arial" w:ascii="Arial" w:hAnsi="Arial"/>
          <w:spacing w:val="32"/>
          <w:sz w:val="24"/>
          <w:szCs w:val="24"/>
        </w:rPr>
        <w:t xml:space="preserve"> </w:t>
      </w:r>
      <w:r>
        <w:rPr>
          <w:rFonts w:cs="Arial" w:ascii="Arial" w:hAnsi="Arial"/>
          <w:sz w:val="24"/>
          <w:szCs w:val="24"/>
        </w:rPr>
        <w:t>menor</w:t>
      </w:r>
      <w:r>
        <w:rPr>
          <w:rFonts w:cs="Arial" w:ascii="Arial" w:hAnsi="Arial"/>
          <w:spacing w:val="31"/>
          <w:sz w:val="24"/>
          <w:szCs w:val="24"/>
        </w:rPr>
        <w:t xml:space="preserve"> </w:t>
      </w:r>
      <w:r>
        <w:rPr>
          <w:rFonts w:cs="Arial" w:ascii="Arial" w:hAnsi="Arial"/>
          <w:sz w:val="24"/>
          <w:szCs w:val="24"/>
        </w:rPr>
        <w:t>impacto</w:t>
      </w:r>
      <w:r>
        <w:rPr>
          <w:rFonts w:cs="Arial" w:ascii="Arial" w:hAnsi="Arial"/>
          <w:spacing w:val="30"/>
          <w:sz w:val="24"/>
          <w:szCs w:val="24"/>
        </w:rPr>
        <w:t xml:space="preserve"> </w:t>
      </w:r>
      <w:r>
        <w:rPr>
          <w:rFonts w:cs="Arial" w:ascii="Arial" w:hAnsi="Arial"/>
          <w:sz w:val="24"/>
          <w:szCs w:val="24"/>
        </w:rPr>
        <w:t>ambiental</w:t>
      </w:r>
      <w:r>
        <w:rPr>
          <w:rFonts w:cs="Arial" w:ascii="Arial" w:hAnsi="Arial"/>
          <w:spacing w:val="31"/>
          <w:sz w:val="24"/>
          <w:szCs w:val="24"/>
        </w:rPr>
        <w:t xml:space="preserve"> </w:t>
      </w:r>
      <w:r>
        <w:rPr>
          <w:rFonts w:cs="Arial" w:ascii="Arial" w:hAnsi="Arial"/>
          <w:sz w:val="24"/>
          <w:szCs w:val="24"/>
        </w:rPr>
        <w:t>em</w:t>
      </w:r>
      <w:r>
        <w:rPr>
          <w:rFonts w:cs="Arial" w:ascii="Arial" w:hAnsi="Arial"/>
          <w:spacing w:val="30"/>
          <w:sz w:val="24"/>
          <w:szCs w:val="24"/>
        </w:rPr>
        <w:t xml:space="preserve"> </w:t>
      </w:r>
      <w:r>
        <w:rPr>
          <w:rFonts w:cs="Arial" w:ascii="Arial" w:hAnsi="Arial"/>
          <w:sz w:val="24"/>
          <w:szCs w:val="24"/>
        </w:rPr>
        <w:t>relação</w:t>
      </w:r>
      <w:r>
        <w:rPr>
          <w:rFonts w:cs="Arial" w:ascii="Arial" w:hAnsi="Arial"/>
          <w:spacing w:val="32"/>
          <w:sz w:val="24"/>
          <w:szCs w:val="24"/>
        </w:rPr>
        <w:t xml:space="preserve"> </w:t>
      </w:r>
      <w:r>
        <w:rPr>
          <w:rFonts w:cs="Arial" w:ascii="Arial" w:hAnsi="Arial"/>
          <w:sz w:val="24"/>
          <w:szCs w:val="24"/>
        </w:rPr>
        <w:t>aos</w:t>
      </w:r>
      <w:r>
        <w:rPr>
          <w:rFonts w:cs="Arial" w:ascii="Arial" w:hAnsi="Arial"/>
          <w:spacing w:val="31"/>
          <w:sz w:val="24"/>
          <w:szCs w:val="24"/>
        </w:rPr>
        <w:t xml:space="preserve"> </w:t>
      </w:r>
      <w:r>
        <w:rPr>
          <w:rFonts w:cs="Arial" w:ascii="Arial" w:hAnsi="Arial"/>
          <w:sz w:val="24"/>
          <w:szCs w:val="24"/>
        </w:rPr>
        <w:t>seus</w:t>
      </w:r>
      <w:r>
        <w:rPr>
          <w:rFonts w:cs="Arial" w:ascii="Arial" w:hAnsi="Arial"/>
          <w:spacing w:val="33"/>
          <w:sz w:val="24"/>
          <w:szCs w:val="24"/>
        </w:rPr>
        <w:t xml:space="preserve"> </w:t>
      </w:r>
      <w:r>
        <w:rPr>
          <w:rFonts w:cs="Arial" w:ascii="Arial" w:hAnsi="Arial"/>
          <w:sz w:val="24"/>
          <w:szCs w:val="24"/>
        </w:rPr>
        <w:t>similares.</w:t>
      </w:r>
    </w:p>
    <w:p>
      <w:pPr>
        <w:pStyle w:val="ListParagraph"/>
        <w:widowControl/>
        <w:numPr>
          <w:ilvl w:val="0"/>
          <w:numId w:val="3"/>
        </w:numPr>
        <w:tabs>
          <w:tab w:val="clear" w:pos="720"/>
          <w:tab w:val="left" w:pos="420" w:leader="none"/>
        </w:tabs>
        <w:suppressAutoHyphens w:val="true"/>
        <w:overflowPunct w:val="false"/>
        <w:bidi w:val="0"/>
        <w:spacing w:lineRule="auto" w:line="240" w:before="142" w:after="0"/>
        <w:jc w:val="both"/>
        <w:rPr>
          <w:rFonts w:ascii="Arial" w:hAnsi="Arial"/>
        </w:rPr>
      </w:pP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Garantir</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que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bem</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ofertado</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seus</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componentes</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estejam</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livres</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de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substâncias perigosas em concentração acima da recomendada na diretiva RoHS (Restriction</w:t>
      </w:r>
      <w:r>
        <w:rPr>
          <w:rStyle w:val="Fontepargpadro"/>
          <w:rFonts w:eastAsia="Montserrat" w:cs="Arial" w:ascii="Arial" w:hAnsi="Arial"/>
          <w:b w:val="false"/>
          <w:bCs w:val="false"/>
          <w:i w:val="false"/>
          <w:iCs w:val="false"/>
          <w:strike w:val="false"/>
          <w:dstrike w:val="false"/>
          <w:color w:val="000000"/>
          <w:spacing w:val="-6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of Certain Hazardous Substances, tais como mercúrio (Hg), chumbo (Pb), cromo hexavalente</w:t>
      </w:r>
      <w:r>
        <w:rPr>
          <w:rStyle w:val="Fontepargpadro"/>
          <w:rFonts w:eastAsia="Montserrat" w:cs="Arial" w:ascii="Arial" w:hAnsi="Arial"/>
          <w:b w:val="false"/>
          <w:bCs w:val="false"/>
          <w:i w:val="false"/>
          <w:iCs w:val="false"/>
          <w:strike w:val="false"/>
          <w:dstrike w:val="false"/>
          <w:color w:val="000000"/>
          <w:spacing w:val="1"/>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(Cr(VI)),</w:t>
      </w:r>
      <w:r>
        <w:rPr>
          <w:rStyle w:val="Fontepargpadro"/>
          <w:rFonts w:eastAsia="Montserrat" w:cs="Arial" w:ascii="Arial" w:hAnsi="Arial"/>
          <w:b w:val="false"/>
          <w:bCs w:val="false"/>
          <w:i w:val="false"/>
          <w:iCs w:val="false"/>
          <w:strike w:val="false"/>
          <w:dstrike w:val="false"/>
          <w:color w:val="000000"/>
          <w:spacing w:val="13"/>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cádimo</w:t>
      </w:r>
      <w:r>
        <w:rPr>
          <w:rStyle w:val="Fontepargpadro"/>
          <w:rFonts w:eastAsia="Montserrat" w:cs="Arial" w:ascii="Arial" w:hAnsi="Arial"/>
          <w:b w:val="false"/>
          <w:bCs w:val="false"/>
          <w:i w:val="false"/>
          <w:iCs w:val="false"/>
          <w:strike w:val="false"/>
          <w:dstrike w:val="false"/>
          <w:color w:val="000000"/>
          <w:spacing w:val="13"/>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(Cd),</w:t>
      </w:r>
      <w:r>
        <w:rPr>
          <w:rStyle w:val="Fontepargpadro"/>
          <w:rFonts w:eastAsia="Montserrat" w:cs="Arial" w:ascii="Arial" w:hAnsi="Arial"/>
          <w:b w:val="false"/>
          <w:bCs w:val="false"/>
          <w:i w:val="false"/>
          <w:iCs w:val="false"/>
          <w:strike w:val="false"/>
          <w:dstrike w:val="false"/>
          <w:color w:val="000000"/>
          <w:spacing w:val="16"/>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bifenil-polibromados</w:t>
      </w:r>
      <w:r>
        <w:rPr>
          <w:rStyle w:val="Fontepargpadro"/>
          <w:rFonts w:eastAsia="Montserrat" w:cs="Arial" w:ascii="Arial" w:hAnsi="Arial"/>
          <w:b w:val="false"/>
          <w:bCs w:val="false"/>
          <w:i w:val="false"/>
          <w:iCs w:val="false"/>
          <w:strike w:val="false"/>
          <w:dstrike w:val="false"/>
          <w:color w:val="000000"/>
          <w:spacing w:val="12"/>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(PBBs),</w:t>
      </w:r>
      <w:r>
        <w:rPr>
          <w:rStyle w:val="Fontepargpadro"/>
          <w:rFonts w:eastAsia="Montserrat" w:cs="Arial" w:ascii="Arial" w:hAnsi="Arial"/>
          <w:b w:val="false"/>
          <w:bCs w:val="false"/>
          <w:i w:val="false"/>
          <w:iCs w:val="false"/>
          <w:strike w:val="false"/>
          <w:dstrike w:val="false"/>
          <w:color w:val="000000"/>
          <w:spacing w:val="13"/>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éteres</w:t>
      </w:r>
      <w:r>
        <w:rPr>
          <w:rStyle w:val="Fontepargpadro"/>
          <w:rFonts w:eastAsia="Montserrat" w:cs="Arial" w:ascii="Arial" w:hAnsi="Arial"/>
          <w:b w:val="false"/>
          <w:bCs w:val="false"/>
          <w:i w:val="false"/>
          <w:iCs w:val="false"/>
          <w:strike w:val="false"/>
          <w:dstrike w:val="false"/>
          <w:color w:val="000000"/>
          <w:spacing w:val="14"/>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difenil-polibromados</w:t>
      </w:r>
      <w:r>
        <w:rPr>
          <w:rStyle w:val="Fontepargpadro"/>
          <w:rFonts w:eastAsia="Montserrat" w:cs="Arial" w:ascii="Arial" w:hAnsi="Arial"/>
          <w:b w:val="false"/>
          <w:bCs w:val="false"/>
          <w:i w:val="false"/>
          <w:iCs w:val="false"/>
          <w:strike w:val="false"/>
          <w:dstrike w:val="false"/>
          <w:color w:val="000000"/>
          <w:spacing w:val="14"/>
          <w:kern w:val="2"/>
          <w:sz w:val="24"/>
          <w:szCs w:val="24"/>
          <w:shd w:fill="auto" w:val="clear"/>
          <w:lang w:val="pt-BR" w:eastAsia="zh-CN" w:bidi="hi-IN"/>
        </w:rPr>
        <w:t xml:space="preserve">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(PBDEs).</w:t>
      </w:r>
    </w:p>
    <w:p>
      <w:pPr>
        <w:pStyle w:val="Corpodotexto"/>
        <w:widowControl/>
        <w:spacing w:lineRule="auto" w:line="240" w:before="57" w:after="57"/>
        <w:jc w:val="left"/>
        <w:rPr>
          <w:rFonts w:ascii="Arial" w:hAnsi="Arial" w:eastAsia="Montserrat" w:cs="Montserrat"/>
          <w:b/>
          <w:b/>
          <w:bCs/>
          <w:color w:val="auto"/>
          <w:sz w:val="24"/>
          <w:szCs w:val="24"/>
        </w:rPr>
      </w:pPr>
      <w:r>
        <w:rPr>
          <w:rFonts w:eastAsia="Montserrat" w:cs="Montserrat" w:ascii="Arial" w:hAnsi="Arial"/>
          <w:b/>
          <w:bCs/>
          <w:color w:val="auto"/>
          <w:sz w:val="24"/>
          <w:szCs w:val="24"/>
        </w:rPr>
      </w:r>
    </w:p>
    <w:p>
      <w:pPr>
        <w:pStyle w:val="Corpodotexto"/>
        <w:widowControl/>
        <w:spacing w:lineRule="auto" w:line="240" w:before="57" w:after="57"/>
        <w:jc w:val="left"/>
        <w:rPr>
          <w:rStyle w:val="Fontepargpadro"/>
          <w:rFonts w:ascii="Arial" w:hAnsi="Arial" w:eastAsia="Montserrat" w:cs="Montserrat"/>
          <w:b/>
          <w:b/>
          <w:bCs/>
          <w:color w:val="auto"/>
          <w:sz w:val="24"/>
          <w:szCs w:val="24"/>
        </w:rPr>
      </w:pPr>
      <w:r>
        <w:rPr>
          <w:rFonts w:eastAsia="Montserrat" w:cs="Montserrat" w:ascii="Arial" w:hAnsi="Arial"/>
          <w:b/>
          <w:bCs/>
          <w:color w:val="auto"/>
          <w:sz w:val="24"/>
          <w:szCs w:val="24"/>
        </w:rPr>
      </w:r>
    </w:p>
    <w:p>
      <w:pPr>
        <w:pStyle w:val="Corpodotexto"/>
        <w:widowControl/>
        <w:spacing w:lineRule="auto" w:line="240" w:before="57" w:after="57"/>
        <w:jc w:val="left"/>
        <w:rPr/>
      </w:pPr>
      <w:r>
        <w:rPr>
          <w:rStyle w:val="Fontepargpadro"/>
          <w:rFonts w:eastAsia="Montserrat" w:cs="Montserrat" w:ascii="Arial" w:hAnsi="Arial"/>
          <w:b/>
          <w:bCs/>
          <w:color w:val="auto"/>
          <w:sz w:val="24"/>
          <w:szCs w:val="24"/>
        </w:rPr>
        <w:t>2.1. CONDIÇÕES QUE DEVERÃO CONSTAR NO EDITAL:</w:t>
      </w:r>
    </w:p>
    <w:p>
      <w:pPr>
        <w:pStyle w:val="Corpodotexto"/>
        <w:widowControl/>
        <w:spacing w:lineRule="auto" w:line="240" w:before="57" w:after="57"/>
        <w:jc w:val="left"/>
        <w:rPr>
          <w:rFonts w:ascii="Arial" w:hAnsi="Arial" w:eastAsia="Montserrat" w:cs="Montserrat"/>
          <w:b/>
          <w:b/>
          <w:bCs/>
          <w:color w:val="FF4000"/>
          <w:sz w:val="24"/>
          <w:szCs w:val="24"/>
        </w:rPr>
      </w:pPr>
      <w:r>
        <w:rPr>
          <w:rFonts w:eastAsia="Montserrat" w:cs="Montserrat" w:ascii="Arial" w:hAnsi="Arial"/>
          <w:b/>
          <w:bCs/>
          <w:color w:val="FF4000"/>
          <w:sz w:val="24"/>
          <w:szCs w:val="24"/>
        </w:rPr>
      </w:r>
    </w:p>
    <w:p>
      <w:pPr>
        <w:pStyle w:val="Normal"/>
        <w:spacing w:lineRule="auto" w:line="240" w:before="57" w:after="57"/>
        <w:jc w:val="both"/>
        <w:rPr/>
      </w:pPr>
      <w:r>
        <w:rPr>
          <w:rStyle w:val="Fontepargpadro"/>
          <w:rFonts w:eastAsia="Montserrat" w:cs="Montserrat" w:ascii="Arial" w:hAnsi="Arial"/>
          <w:b w:val="false"/>
          <w:bCs w:val="false"/>
          <w:color w:val="000000"/>
          <w:kern w:val="2"/>
          <w:sz w:val="24"/>
          <w:szCs w:val="24"/>
          <w:shd w:fill="auto" w:val="clear"/>
          <w:lang w:val="pt-PT" w:eastAsia="en-US" w:bidi="ar-SA"/>
        </w:rPr>
        <w:tab/>
        <w:t xml:space="preserve">Não se </w:t>
      </w:r>
      <w:r>
        <w:rPr>
          <w:rStyle w:val="Fontepargpadro"/>
          <w:rFonts w:eastAsia="Montserrat" w:cs="Montserrat" w:ascii="Arial" w:hAnsi="Arial"/>
          <w:b w:val="false"/>
          <w:bCs w:val="false"/>
          <w:color w:val="000000"/>
          <w:kern w:val="2"/>
          <w:sz w:val="24"/>
          <w:szCs w:val="24"/>
          <w:shd w:fill="auto" w:val="clear"/>
          <w:lang w:val="pt-BR" w:eastAsia="zh-CN" w:bidi="hi-IN"/>
        </w:rPr>
        <w:t>aplica</w:t>
      </w:r>
      <w:r>
        <w:rPr>
          <w:rStyle w:val="Fontepargpadro"/>
          <w:rFonts w:eastAsia="Montserrat" w:cs="Montserrat" w:ascii="Arial" w:hAnsi="Arial"/>
          <w:b w:val="false"/>
          <w:bCs w:val="false"/>
          <w:color w:val="000000"/>
          <w:kern w:val="2"/>
          <w:sz w:val="24"/>
          <w:szCs w:val="24"/>
          <w:shd w:fill="auto" w:val="clear"/>
          <w:lang w:val="pt-PT" w:eastAsia="en-US" w:bidi="ar-SA"/>
        </w:rPr>
        <w:t xml:space="preserve"> a este caso.</w:t>
      </w:r>
      <w:r>
        <w:rPr>
          <w:rStyle w:val="Fontepargpadro"/>
          <w:rFonts w:eastAsia="Montserrat" w:cs="Arial" w:ascii="Arial" w:hAnsi="Arial"/>
          <w:b w:val="false"/>
          <w:bCs w:val="false"/>
          <w:color w:val="000000"/>
          <w:kern w:val="2"/>
          <w:sz w:val="24"/>
          <w:szCs w:val="24"/>
          <w:shd w:fill="auto" w:val="clear"/>
          <w:lang w:val="pt-PT" w:eastAsia="en-US" w:bidi="ar-SA"/>
        </w:rPr>
        <w:tab/>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bCs/>
          <w:color w:val="000000"/>
          <w:sz w:val="24"/>
          <w:szCs w:val="24"/>
        </w:rPr>
        <w:t>2.2. QUALIFICAÇÃO TÉCNICA:</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val="false"/>
          <w:bCs w:val="false"/>
          <w:color w:val="000000"/>
          <w:sz w:val="24"/>
          <w:szCs w:val="24"/>
        </w:rPr>
        <w:tab/>
        <w:t xml:space="preserve">Não se </w:t>
      </w:r>
      <w:r>
        <w:rPr>
          <w:rStyle w:val="Fontepargpadro"/>
          <w:rFonts w:eastAsia="Montserrat" w:cs="Montserrat" w:ascii="Arial" w:hAnsi="Arial"/>
          <w:b w:val="false"/>
          <w:bCs w:val="false"/>
          <w:color w:val="000000"/>
          <w:kern w:val="2"/>
          <w:sz w:val="24"/>
          <w:szCs w:val="24"/>
          <w:lang w:val="pt-BR" w:eastAsia="zh-CN" w:bidi="hi-IN"/>
        </w:rPr>
        <w:t>aplica</w:t>
      </w:r>
      <w:r>
        <w:rPr>
          <w:rStyle w:val="Fontepargpadro"/>
          <w:rFonts w:eastAsia="Montserrat" w:cs="Montserrat" w:ascii="Arial" w:hAnsi="Arial"/>
          <w:b w:val="false"/>
          <w:bCs w:val="false"/>
          <w:color w:val="000000"/>
          <w:sz w:val="24"/>
          <w:szCs w:val="24"/>
        </w:rPr>
        <w:t xml:space="preserve"> a este caso.</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bCs/>
          <w:color w:val="000000"/>
          <w:sz w:val="24"/>
          <w:szCs w:val="24"/>
        </w:rPr>
        <w:t>2.3. ENTREGA DO OBJETO:</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both"/>
        <w:rPr/>
      </w:pP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PT" w:eastAsia="en-US" w:bidi="ar-SA"/>
        </w:rPr>
        <w:tab/>
        <w:t xml:space="preserve">A entrega será </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BR" w:eastAsia="zh-CN" w:bidi="hi-IN"/>
        </w:rPr>
        <w:t>integral</w:t>
      </w: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PT" w:eastAsia="en-US" w:bidi="ar-SA"/>
        </w:rPr>
        <w:t>, uma vez que o quantitativo solicitado será destinado a diferentes locais e sua utilização junto ao equipamento de HPLC é de extrema relevância.</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bCs/>
          <w:color w:val="auto"/>
          <w:sz w:val="24"/>
          <w:szCs w:val="24"/>
        </w:rPr>
        <w:t>2.4. OBRIGAÇÕES DA CONTRATADA</w:t>
      </w:r>
    </w:p>
    <w:p>
      <w:pPr>
        <w:pStyle w:val="Corpodotexto"/>
        <w:widowControl/>
        <w:spacing w:lineRule="auto" w:line="240" w:before="57" w:after="57"/>
        <w:jc w:val="left"/>
        <w:rPr>
          <w:rFonts w:ascii="Arial" w:hAnsi="Arial" w:eastAsia="Montserrat" w:cs="Montserrat"/>
          <w:b/>
          <w:b/>
          <w:bCs/>
          <w:color w:val="auto"/>
          <w:sz w:val="24"/>
          <w:szCs w:val="24"/>
        </w:rPr>
      </w:pPr>
      <w:r>
        <w:rPr>
          <w:rFonts w:eastAsia="Montserrat" w:cs="Montserrat" w:ascii="Arial" w:hAnsi="Arial"/>
          <w:b/>
          <w:bCs/>
          <w:color w:val="auto"/>
          <w:sz w:val="24"/>
          <w:szCs w:val="24"/>
        </w:rPr>
      </w:r>
    </w:p>
    <w:p>
      <w:pPr>
        <w:pStyle w:val="Normal"/>
        <w:spacing w:lineRule="auto" w:line="240" w:before="57" w:after="57"/>
        <w:jc w:val="both"/>
        <w:rPr/>
      </w:pPr>
      <w:r>
        <w:rPr>
          <w:rStyle w:val="Fontepargpadro"/>
          <w:rFonts w:eastAsia="Montserrat" w:cs="Arial" w:ascii="Arial" w:hAnsi="Arial"/>
          <w:b w:val="false"/>
          <w:bCs w:val="false"/>
          <w:color w:val="000000"/>
          <w:kern w:val="2"/>
          <w:sz w:val="24"/>
          <w:szCs w:val="24"/>
          <w:shd w:fill="auto" w:val="clear"/>
          <w:lang w:val="pt-PT" w:eastAsia="en-US" w:bidi="ar-SA"/>
        </w:rPr>
        <w:tab/>
        <w:t>A empresa fica responsável pela instalação dos equipamentos na instituição (PEFOCE), capital e interior; caso necessário, os custos de viagem e hospedagem deverá ser por CONTA DA CONTRATADA.</w:t>
      </w:r>
    </w:p>
    <w:p>
      <w:pPr>
        <w:pStyle w:val="Normal"/>
        <w:spacing w:lineRule="auto" w:line="240" w:before="57" w:after="57"/>
        <w:jc w:val="both"/>
        <w:rPr/>
      </w:pPr>
      <w:r>
        <w:rPr>
          <w:rStyle w:val="Fontepargpadro"/>
          <w:rFonts w:eastAsia="Montserrat" w:cs="Arial" w:ascii="Arial" w:hAnsi="Arial"/>
          <w:b w:val="false"/>
          <w:bCs w:val="false"/>
          <w:color w:val="000000"/>
          <w:kern w:val="2"/>
          <w:sz w:val="24"/>
          <w:szCs w:val="24"/>
          <w:shd w:fill="auto" w:val="clear"/>
          <w:lang w:val="pt-PT" w:eastAsia="en-US" w:bidi="ar-SA"/>
        </w:rPr>
        <w:tab/>
        <w:t>Durante o período de garantia, quaisquer peças, componentes ou outros materiais que apresentarem vício ou defeitos de fabricação ou danos não decorrentes de uso em condições normais, incluso os sofridos durante o transporte até as dependências da PEFOCE, deverão ser substituídos por originais e novos, sem qualquer ônus adicional à Instituição.</w:t>
      </w:r>
    </w:p>
    <w:p>
      <w:pPr>
        <w:pStyle w:val="Normal"/>
        <w:spacing w:lineRule="auto" w:line="240" w:before="57" w:after="57"/>
        <w:jc w:val="both"/>
        <w:rPr>
          <w:rFonts w:ascii="Arial" w:hAnsi="Arial"/>
        </w:rPr>
      </w:pP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PT" w:eastAsia="en-US" w:bidi="ar-SA"/>
        </w:rPr>
        <w:tab/>
        <w:t>As despesas tais como, frete, impostos, tarifas e seguros dos equipamentos e/ou componentes substituídos serão de inteira responsabilidade da Contratada/fornecedora.</w:t>
      </w:r>
    </w:p>
    <w:p>
      <w:pPr>
        <w:pStyle w:val="Corpodotexto"/>
        <w:widowControl/>
        <w:spacing w:lineRule="auto" w:line="240" w:before="57" w:after="57"/>
        <w:jc w:val="left"/>
        <w:rPr/>
      </w:pPr>
      <w:r>
        <w:rPr>
          <w:rStyle w:val="Fontepargpadro"/>
          <w:rFonts w:eastAsia="Montserrat" w:cs="Arial" w:ascii="Arial" w:hAnsi="Arial"/>
          <w:b w:val="false"/>
          <w:bCs w:val="false"/>
          <w:i w:val="false"/>
          <w:iCs w:val="false"/>
          <w:strike w:val="false"/>
          <w:dstrike w:val="false"/>
          <w:color w:val="000000"/>
          <w:kern w:val="2"/>
          <w:sz w:val="24"/>
          <w:szCs w:val="24"/>
          <w:shd w:fill="auto" w:val="clear"/>
          <w:lang w:val="pt-PT" w:eastAsia="en-US" w:bidi="ar-SA"/>
        </w:rPr>
        <w:tab/>
        <w:t>O Treinamento Operacional será ofertado durante a instalação dos equipamentos e deverá ocorrer na instituição (PEFOCE), capital e interior; caso necessário, os custos de viagem e hospedagem deverá ser por CONTA DA CONTRATADA.</w:t>
      </w:r>
    </w:p>
    <w:p>
      <w:pPr>
        <w:pStyle w:val="Corpodotexto"/>
        <w:widowControl/>
        <w:spacing w:lineRule="auto" w:line="240" w:before="57" w:after="57"/>
        <w:jc w:val="left"/>
        <w:rPr>
          <w:rFonts w:ascii="Arial" w:hAnsi="Arial" w:eastAsia="Montserrat" w:cs="Montserrat"/>
          <w:b/>
          <w:b/>
          <w:bCs/>
          <w:color w:val="C9211E"/>
          <w:sz w:val="24"/>
          <w:szCs w:val="24"/>
        </w:rPr>
      </w:pPr>
      <w:r>
        <w:rPr>
          <w:rFonts w:eastAsia="Montserrat" w:cs="Montserrat" w:ascii="Arial" w:hAnsi="Arial"/>
          <w:b/>
          <w:bCs/>
          <w:color w:val="C9211E"/>
          <w:sz w:val="24"/>
          <w:szCs w:val="24"/>
        </w:rPr>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pacing w:lineRule="auto" w:line="240" w:before="57" w:after="57"/>
        <w:jc w:val="left"/>
        <w:rPr/>
      </w:pPr>
      <w:r>
        <w:rPr>
          <w:rStyle w:val="Fontepargpadro"/>
          <w:rFonts w:eastAsia="Montserrat" w:cs="Montserrat" w:ascii="Arial" w:hAnsi="Arial"/>
          <w:b/>
          <w:bCs/>
          <w:color w:val="000000"/>
          <w:sz w:val="24"/>
          <w:szCs w:val="24"/>
        </w:rPr>
        <w:t>3. LEVANTAMENTO DE MERCADO</w:t>
      </w:r>
    </w:p>
    <w:p>
      <w:pPr>
        <w:pStyle w:val="Corpodotexto"/>
        <w:widowControl/>
        <w:spacing w:lineRule="auto" w:line="240" w:before="57" w:after="57"/>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Normal"/>
        <w:spacing w:lineRule="auto" w:line="240" w:before="57" w:after="57"/>
        <w:jc w:val="both"/>
        <w:rPr/>
      </w:pPr>
      <w:r>
        <w:rPr>
          <w:rStyle w:val="Fontepargpadro"/>
          <w:rFonts w:eastAsia="Montserrat" w:cs="Arial" w:ascii="Arial" w:hAnsi="Arial"/>
          <w:b w:val="false"/>
          <w:bCs w:val="false"/>
          <w:i w:val="false"/>
          <w:iCs w:val="false"/>
          <w:strike w:val="false"/>
          <w:dstrike w:val="false"/>
          <w:outline w:val="false"/>
          <w:shadow w:val="false"/>
          <w:color w:val="000000"/>
          <w:kern w:val="2"/>
          <w:sz w:val="24"/>
          <w:szCs w:val="24"/>
          <w:u w:val="none"/>
          <w:shd w:fill="auto" w:val="clear"/>
          <w:em w:val="none"/>
          <w:lang w:val="pt-BR" w:eastAsia="zh-CN" w:bidi="hi-IN"/>
        </w:rPr>
        <w:tab/>
        <w:t>Pesquisa de preço realizada em conformidade c</w:t>
      </w:r>
      <w:r>
        <w:rPr>
          <w:rStyle w:val="Fontepargpadro"/>
          <w:rFonts w:eastAsia="Montserrat" w:cs="Arial" w:ascii="Arial" w:hAnsi="Arial"/>
          <w:b w:val="false"/>
          <w:bCs w:val="false"/>
          <w:i w:val="false"/>
          <w:iCs w:val="false"/>
          <w:strike w:val="false"/>
          <w:dstrike w:val="false"/>
          <w:outline w:val="false"/>
          <w:shadow w:val="false"/>
          <w:color w:val="000000"/>
          <w:kern w:val="2"/>
          <w:sz w:val="24"/>
          <w:szCs w:val="24"/>
          <w:u w:val="none"/>
          <w:em w:val="none"/>
          <w:lang w:val="pt-BR" w:eastAsia="zh-CN" w:bidi="hi-IN"/>
        </w:rPr>
        <w:t>om o Decreto 35.322/23,segu</w:t>
      </w:r>
      <w:r>
        <w:rPr>
          <w:rStyle w:val="Fontepargpadro"/>
          <w:rFonts w:eastAsia="Montserrat" w:cs="Arial" w:ascii="Arial" w:hAnsi="Arial"/>
          <w:b w:val="false"/>
          <w:bCs w:val="false"/>
          <w:i w:val="false"/>
          <w:iCs w:val="false"/>
          <w:strike w:val="false"/>
          <w:dstrike w:val="false"/>
          <w:outline w:val="false"/>
          <w:shadow w:val="false"/>
          <w:color w:val="000000"/>
          <w:kern w:val="2"/>
          <w:sz w:val="24"/>
          <w:szCs w:val="24"/>
          <w:u w:val="none"/>
          <w:shd w:fill="auto" w:val="clear"/>
          <w:em w:val="none"/>
          <w:lang w:val="pt-BR" w:eastAsia="zh-CN" w:bidi="hi-IN"/>
        </w:rPr>
        <w:t>indo a ordem de prioridades, foram apresentadas cotações das empresas referenciadas, informamos que serão acatados os orçamentos para cálculo do valor médio estimado do TR.</w:t>
      </w:r>
    </w:p>
    <w:p>
      <w:pPr>
        <w:pStyle w:val="Corpodotexto"/>
        <w:spacing w:lineRule="auto" w:line="240" w:before="57" w:after="57"/>
        <w:jc w:val="both"/>
        <w:rPr>
          <w:rStyle w:val="Fontepargpadro"/>
          <w:rFonts w:ascii="Arial" w:hAnsi="Arial" w:eastAsia="Montserrat" w:cs="Arial"/>
          <w:b w:val="false"/>
          <w:b w:val="false"/>
          <w:bCs w:val="false"/>
          <w:color w:val="000000"/>
          <w:kern w:val="2"/>
          <w:sz w:val="24"/>
          <w:szCs w:val="24"/>
          <w:shd w:fill="auto" w:val="clear"/>
          <w:lang w:val="pt-PT" w:eastAsia="en-US" w:bidi="ar-SA"/>
        </w:rPr>
      </w:pPr>
      <w:r>
        <w:rPr>
          <w:rFonts w:eastAsia="Montserrat" w:cs="Arial" w:ascii="Arial" w:hAnsi="Arial"/>
          <w:b w:val="false"/>
          <w:bCs w:val="false"/>
          <w:color w:val="000000"/>
          <w:kern w:val="2"/>
          <w:sz w:val="24"/>
          <w:szCs w:val="24"/>
          <w:shd w:fill="auto" w:val="clear"/>
          <w:lang w:val="pt-PT" w:eastAsia="en-US" w:bidi="ar-SA"/>
        </w:rPr>
      </w:r>
    </w:p>
    <w:p>
      <w:pPr>
        <w:pStyle w:val="Corpodotexto"/>
        <w:widowControl/>
        <w:spacing w:lineRule="auto" w:line="240" w:before="57" w:after="57"/>
        <w:jc w:val="left"/>
        <w:rPr/>
      </w:pPr>
      <w:r>
        <w:rPr>
          <w:rStyle w:val="Fontepargpadro"/>
          <w:rFonts w:eastAsia="Montserrat" w:cs="Montserrat" w:ascii="Arial" w:hAnsi="Arial"/>
          <w:b/>
          <w:bCs/>
          <w:color w:val="auto"/>
          <w:sz w:val="24"/>
          <w:szCs w:val="24"/>
        </w:rPr>
        <w:t>4. DESCRIÇÃO DA SOLUÇÃO</w:t>
      </w:r>
    </w:p>
    <w:p>
      <w:pPr>
        <w:pStyle w:val="Corpodotexto"/>
        <w:widowControl/>
        <w:suppressAutoHyphens w:val="true"/>
        <w:overflowPunct w:val="false"/>
        <w:bidi w:val="0"/>
        <w:spacing w:lineRule="auto" w:line="240" w:before="57" w:after="57"/>
        <w:ind w:left="0" w:right="0" w:hanging="0"/>
        <w:jc w:val="center"/>
        <w:rPr>
          <w:rFonts w:ascii="Arial" w:hAnsi="Arial" w:eastAsia="Montserrat" w:cs="Montserrat"/>
          <w:b w:val="false"/>
          <w:b w:val="false"/>
          <w:bCs w:val="false"/>
          <w:color w:val="auto"/>
          <w:sz w:val="24"/>
          <w:szCs w:val="24"/>
          <w:highlight w:val="yellow"/>
        </w:rPr>
      </w:pPr>
      <w:r>
        <w:rPr>
          <w:rFonts w:eastAsia="Montserrat" w:cs="Montserrat" w:ascii="Arial" w:hAnsi="Arial"/>
          <w:b w:val="false"/>
          <w:bCs w:val="false"/>
          <w:color w:val="auto"/>
          <w:sz w:val="24"/>
          <w:szCs w:val="24"/>
          <w:highlight w:val="yellow"/>
        </w:rPr>
      </w:r>
    </w:p>
    <w:p>
      <w:pPr>
        <w:pStyle w:val="Normal"/>
        <w:spacing w:lineRule="auto" w:line="240" w:before="57" w:after="57"/>
        <w:jc w:val="both"/>
        <w:rPr/>
      </w:pPr>
      <w:r>
        <w:rPr>
          <w:rStyle w:val="Fontepargpadro"/>
          <w:rFonts w:eastAsia="Montserrat" w:cs="Arial" w:ascii="Arial" w:hAnsi="Arial"/>
          <w:b w:val="false"/>
          <w:bCs w:val="false"/>
          <w:color w:val="000000"/>
          <w:kern w:val="2"/>
          <w:sz w:val="24"/>
          <w:szCs w:val="24"/>
          <w:shd w:fill="auto" w:val="clear"/>
          <w:lang w:val="pt-PT" w:eastAsia="en-US" w:bidi="ar-SA"/>
        </w:rPr>
        <w:tab/>
        <w:t>Foi optado pela</w:t>
      </w:r>
      <w:r>
        <w:rPr>
          <w:rStyle w:val="Fontepargpadro"/>
          <w:rFonts w:eastAsia="Montserrat" w:cs="Arial" w:ascii="Arial" w:hAnsi="Arial"/>
          <w:b w:val="false"/>
          <w:bCs w:val="false"/>
          <w:i w:val="false"/>
          <w:iCs w:val="false"/>
          <w:color w:val="000000"/>
          <w:kern w:val="2"/>
          <w:sz w:val="24"/>
          <w:szCs w:val="24"/>
          <w:shd w:fill="auto" w:val="clear"/>
          <w:lang w:val="pt-PT" w:eastAsia="en-US" w:bidi="ar-SA"/>
        </w:rPr>
        <w:t xml:space="preserve"> compra do equipamento, uma vez que era mais vantajoso, já que esse equipamento é de uso permanente.</w:t>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Arial" w:ascii="Arial" w:hAnsi="Arial"/>
          <w:b w:val="false"/>
          <w:bCs w:val="false"/>
          <w:color w:val="000000"/>
          <w:kern w:val="2"/>
          <w:sz w:val="24"/>
          <w:szCs w:val="24"/>
          <w:shd w:fill="auto" w:val="clear"/>
          <w:lang w:val="pt-PT" w:eastAsia="en-US" w:bidi="ar-SA"/>
        </w:rPr>
        <w:tab/>
        <w:t>Os bens objeto desta contratação são caracterizados como comuns nos termos do inciso XIII do art. 6º c/c o art. 20 ambos da Lei nº 14.133/2021 e e o Decreto nº. 5.450/05, por possuir padrões de desempenho e qualidade podem ser objetivamente definidos pelo edital, por meio de especificações usuais de mercado.</w:t>
      </w:r>
    </w:p>
    <w:p>
      <w:pPr>
        <w:pStyle w:val="Corpodotexto"/>
        <w:widowControl/>
        <w:suppressAutoHyphens w:val="true"/>
        <w:overflowPunct w:val="false"/>
        <w:bidi w:val="0"/>
        <w:spacing w:lineRule="auto" w:line="240" w:before="57" w:after="57"/>
        <w:ind w:left="0" w:right="0" w:firstLine="907"/>
        <w:jc w:val="both"/>
        <w:rPr>
          <w:rFonts w:ascii="Arial" w:hAnsi="Arial" w:eastAsia="Montserrat" w:cs="Montserrat"/>
          <w:b w:val="false"/>
          <w:b w:val="false"/>
          <w:bCs w:val="false"/>
          <w:color w:val="C9211E"/>
          <w:sz w:val="24"/>
          <w:szCs w:val="24"/>
        </w:rPr>
      </w:pPr>
      <w:r>
        <w:rPr>
          <w:rFonts w:eastAsia="Montserrat" w:cs="Montserrat" w:ascii="Arial" w:hAnsi="Arial"/>
          <w:b w:val="false"/>
          <w:bCs w:val="false"/>
          <w:color w:val="C9211E"/>
          <w:sz w:val="24"/>
          <w:szCs w:val="24"/>
        </w:rPr>
      </w:r>
    </w:p>
    <w:p>
      <w:pPr>
        <w:pStyle w:val="Corpodotexto"/>
        <w:widowControl/>
        <w:suppressAutoHyphens w:val="true"/>
        <w:overflowPunct w:val="false"/>
        <w:bidi w:val="0"/>
        <w:spacing w:lineRule="auto" w:line="240" w:before="57" w:after="57"/>
        <w:ind w:left="0" w:right="0" w:firstLine="907"/>
        <w:jc w:val="both"/>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5. ESTIMATIVA DAS QUANTIDADES</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tbl>
      <w:tblPr>
        <w:tblW w:w="9643" w:type="dxa"/>
        <w:jc w:val="left"/>
        <w:tblInd w:w="0" w:type="dxa"/>
        <w:tblLayout w:type="fixed"/>
        <w:tblCellMar>
          <w:top w:w="55" w:type="dxa"/>
          <w:left w:w="55" w:type="dxa"/>
          <w:bottom w:w="55" w:type="dxa"/>
          <w:right w:w="55" w:type="dxa"/>
        </w:tblCellMar>
      </w:tblPr>
      <w:tblGrid>
        <w:gridCol w:w="737"/>
        <w:gridCol w:w="6912"/>
        <w:gridCol w:w="1082"/>
        <w:gridCol w:w="911"/>
      </w:tblGrid>
      <w:tr>
        <w:trPr/>
        <w:tc>
          <w:tcPr>
            <w:tcW w:w="737" w:type="dxa"/>
            <w:tcBorders>
              <w:top w:val="single" w:sz="2" w:space="0" w:color="000000"/>
              <w:left w:val="single" w:sz="2" w:space="0" w:color="000000"/>
              <w:bottom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ITEM</w:t>
            </w:r>
          </w:p>
        </w:tc>
        <w:tc>
          <w:tcPr>
            <w:tcW w:w="6912" w:type="dxa"/>
            <w:tcBorders>
              <w:top w:val="single" w:sz="2" w:space="0" w:color="000000"/>
              <w:left w:val="single" w:sz="2" w:space="0" w:color="000000"/>
              <w:bottom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ESPECIFICAÇÃO</w:t>
            </w:r>
          </w:p>
        </w:tc>
        <w:tc>
          <w:tcPr>
            <w:tcW w:w="1082" w:type="dxa"/>
            <w:tcBorders>
              <w:top w:val="single" w:sz="2" w:space="0" w:color="000000"/>
              <w:left w:val="single" w:sz="2" w:space="0" w:color="000000"/>
              <w:bottom w:val="single" w:sz="2" w:space="0" w:color="000000"/>
            </w:tcBorders>
            <w:shd w:fill="DDE8CB" w:val="clear"/>
          </w:tcPr>
          <w:p>
            <w:pPr>
              <w:pStyle w:val="Contedodatabela"/>
              <w:widowControl w:val="false"/>
              <w:jc w:val="center"/>
              <w:rPr>
                <w:rFonts w:ascii="Arial" w:hAnsi="Arial"/>
                <w:b/>
                <w:b/>
                <w:bCs/>
                <w:sz w:val="20"/>
                <w:szCs w:val="20"/>
              </w:rPr>
            </w:pPr>
            <w:r>
              <w:rPr>
                <w:rFonts w:ascii="Arial" w:hAnsi="Arial"/>
                <w:b/>
                <w:bCs/>
                <w:sz w:val="20"/>
                <w:szCs w:val="20"/>
              </w:rPr>
              <w:t>UNIDADE</w:t>
            </w:r>
          </w:p>
        </w:tc>
        <w:tc>
          <w:tcPr>
            <w:tcW w:w="911" w:type="dxa"/>
            <w:tcBorders>
              <w:top w:val="single" w:sz="2" w:space="0" w:color="000000"/>
              <w:left w:val="single" w:sz="2" w:space="0" w:color="000000"/>
              <w:bottom w:val="single" w:sz="2" w:space="0" w:color="000000"/>
              <w:right w:val="single" w:sz="2" w:space="0" w:color="000000"/>
            </w:tcBorders>
            <w:shd w:fill="DDE8CB" w:val="clear"/>
          </w:tcPr>
          <w:p>
            <w:pPr>
              <w:pStyle w:val="Contedodatabela"/>
              <w:widowControl w:val="false"/>
              <w:jc w:val="center"/>
              <w:rPr>
                <w:rFonts w:ascii="Arial" w:hAnsi="Arial" w:eastAsia="NSimSun" w:cs="Mangal"/>
                <w:b/>
                <w:b/>
                <w:bCs/>
                <w:color w:val="auto"/>
                <w:kern w:val="2"/>
                <w:sz w:val="20"/>
                <w:szCs w:val="20"/>
                <w:lang w:val="pt-BR" w:eastAsia="zh-CN" w:bidi="hi-IN"/>
              </w:rPr>
            </w:pPr>
            <w:r>
              <w:rPr>
                <w:rFonts w:eastAsia="NSimSun" w:cs="Mangal" w:ascii="Arial" w:hAnsi="Arial"/>
                <w:b/>
                <w:bCs/>
                <w:color w:val="auto"/>
                <w:kern w:val="2"/>
                <w:sz w:val="20"/>
                <w:szCs w:val="20"/>
                <w:lang w:val="pt-BR" w:eastAsia="zh-CN" w:bidi="hi-IN"/>
              </w:rPr>
              <w:t>QUANT.</w:t>
            </w:r>
          </w:p>
        </w:tc>
      </w:tr>
      <w:tr>
        <w:trPr/>
        <w:tc>
          <w:tcPr>
            <w:tcW w:w="737" w:type="dxa"/>
            <w:tcBorders>
              <w:left w:val="single" w:sz="2" w:space="0" w:color="000000"/>
              <w:bottom w:val="single" w:sz="2" w:space="0" w:color="000000"/>
            </w:tcBorders>
          </w:tcPr>
          <w:p>
            <w:pPr>
              <w:pStyle w:val="TableParagraph"/>
              <w:widowControl w:val="false"/>
              <w:spacing w:lineRule="auto" w:line="240" w:before="122" w:after="0"/>
              <w:ind w:left="68" w:right="0" w:hanging="0"/>
              <w:jc w:val="both"/>
              <w:rPr>
                <w:rFonts w:ascii="Arial" w:hAnsi="Arial" w:eastAsia="Arial MT" w:cs="Arial MT"/>
                <w:color w:val="auto"/>
                <w:kern w:val="2"/>
                <w:sz w:val="20"/>
                <w:szCs w:val="20"/>
                <w:lang w:val="pt-PT" w:eastAsia="en-US" w:bidi="ar-SA"/>
              </w:rPr>
            </w:pPr>
            <w:r>
              <w:rPr>
                <w:rFonts w:eastAsia="Arial MT" w:cs="Arial MT" w:ascii="Arial" w:hAnsi="Arial"/>
                <w:color w:val="auto"/>
                <w:kern w:val="2"/>
                <w:sz w:val="20"/>
                <w:szCs w:val="20"/>
                <w:lang w:val="pt-PT" w:eastAsia="en-US" w:bidi="ar-SA"/>
              </w:rPr>
              <w:t>01</w:t>
            </w:r>
          </w:p>
        </w:tc>
        <w:tc>
          <w:tcPr>
            <w:tcW w:w="6912" w:type="dxa"/>
            <w:tcBorders>
              <w:left w:val="single" w:sz="2" w:space="0" w:color="000000"/>
              <w:bottom w:val="single" w:sz="2" w:space="0" w:color="000000"/>
            </w:tcBorders>
          </w:tcPr>
          <w:p>
            <w:pPr>
              <w:pStyle w:val="Normal"/>
              <w:widowControl w:val="false"/>
              <w:spacing w:lineRule="auto" w:line="240"/>
              <w:jc w:val="center"/>
              <w:rPr>
                <w:rFonts w:ascii="Arial" w:hAnsi="Arial" w:eastAsia="Arial MT" w:cs="Arial MT"/>
                <w:b/>
                <w:b/>
                <w:bCs/>
                <w:sz w:val="20"/>
                <w:szCs w:val="20"/>
                <w:shd w:fill="auto" w:val="clear"/>
                <w:lang w:val="pt-PT" w:eastAsia="en-US" w:bidi="ar-SA"/>
              </w:rPr>
            </w:pPr>
            <w:r>
              <w:rPr>
                <w:rFonts w:eastAsia="Arial MT" w:cs="Arial MT" w:ascii="Arial" w:hAnsi="Arial"/>
                <w:b/>
                <w:bCs/>
                <w:sz w:val="20"/>
                <w:szCs w:val="20"/>
                <w:shd w:fill="auto" w:val="clear"/>
                <w:lang w:val="pt-PT" w:eastAsia="en-US" w:bidi="ar-SA"/>
              </w:rPr>
              <w:t>Banho ultrassônico -    2,75 litros</w:t>
            </w:r>
          </w:p>
          <w:p>
            <w:pPr>
              <w:pStyle w:val="Normal"/>
              <w:widowControl w:val="false"/>
              <w:numPr>
                <w:ilvl w:val="0"/>
                <w:numId w:val="4"/>
              </w:numPr>
              <w:spacing w:lineRule="auto" w:line="240"/>
              <w:jc w:val="both"/>
              <w:rPr>
                <w:rFonts w:ascii="Arial" w:hAnsi="Arial"/>
                <w:sz w:val="20"/>
                <w:szCs w:val="20"/>
              </w:rPr>
            </w:pPr>
            <w:r>
              <w:rPr>
                <w:rFonts w:ascii="Arial" w:hAnsi="Arial"/>
                <w:sz w:val="20"/>
                <w:szCs w:val="20"/>
              </w:rPr>
              <w:t>S</w:t>
            </w:r>
            <w:r>
              <w:rPr>
                <w:rFonts w:eastAsia="Arial MT" w:cs="Arial MT" w:ascii="Arial" w:hAnsi="Arial"/>
                <w:sz w:val="20"/>
                <w:szCs w:val="20"/>
                <w:lang w:val="pt-PT" w:eastAsia="en-US" w:bidi="ar-SA"/>
              </w:rPr>
              <w:t xml:space="preserve">istema de transdutor de alta frequência - 37KHz (faixa de controle -2,5 / + 5,5 kHz);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Tanque de limpeza em aço inox resistente a cavitação;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Painel de operação fácil e amigável, e a prova d'agua;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Função de início automático para início de limpeza com temperatura controlada;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Unidade de controle digital com teclado de membrana limpável e display de fácil leitura para exibir todos os estados operacionais;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Feedback óptico e acústico, por ex. no final da limpeza ou quando a temperatura limite for atingida;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Menu de configuração para ajuste individual das funções do dispositivo;</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Desligamento automático de segurança após 8 horas;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Caixa à prova de respingos e tanque de limpeza feito de aço inoxidável;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Pré-seleção do tempo de limpeza: tempo de limpeza ajustável entre 1 minuto e 6 horas;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4 posições de memória para programas de limpeza, disponíveis por meio de seleção rápida;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Deve possuir pelo menos 5 modos ultrassônicos para distribuição de campo sonoro baseada na necessidade no banho ultrassônico: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eco: limpeza suave com operação mais silenciosa, executando o modo de varredura em uma intensidade ligeiramente mais baixa;</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varredura: Limpeza uniforme através da distribuição uniforme do campo sonoro no banho ultrassônico;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pulso: Remoção de contaminação teimosa por meio da distribuição de campo sonoro pulsante;</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dinâmico: Combinação dos modos ultrassônicos de varredura e pulso para aumentar o desempenho de limpeza;</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desgaseificação: Desgaseificação rápida do líquido de limpeza e para aplicações especiais em laboratório.</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Proteção contra aquecimento em corrida seca;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Alças laterais em plástico;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Controle eletrônico de temperatura ajustável em etapas de 5 ° C de 25-80 ° C (pode ser alterado para ° F; tolerância de temperatura -5 / + 8 ° C).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Acessórios inclusos:  Tampa, Manual de operação, Cabo de alimentação com conector de borracha (2 m de comprimento).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Deve acompanhar: Cesto em aço inox com alças revestidas com plástico;</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Especificações Técnicas:</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Volume do tanque - </w:t>
            </w:r>
            <w:r>
              <w:rPr>
                <w:rFonts w:eastAsia="Arial MT" w:cs="Arial MT" w:ascii="Arial" w:hAnsi="Arial"/>
                <w:sz w:val="20"/>
                <w:szCs w:val="20"/>
                <w:shd w:fill="auto" w:val="clear"/>
                <w:lang w:val="pt-PT" w:eastAsia="en-US" w:bidi="ar-SA"/>
              </w:rPr>
              <w:t xml:space="preserve">2,75 litros, </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Classe de proteção – IP20, </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Frequência ultrassônica – 37KHz, </w:t>
            </w:r>
          </w:p>
          <w:p>
            <w:pPr>
              <w:pStyle w:val="ListParagraph"/>
              <w:widowControl w:val="false"/>
              <w:numPr>
                <w:ilvl w:val="1"/>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Potência efetiva ultrassônica – 80W, </w:t>
            </w:r>
          </w:p>
          <w:p>
            <w:pPr>
              <w:pStyle w:val="ListParagraph"/>
              <w:widowControl w:val="false"/>
              <w:numPr>
                <w:ilvl w:val="1"/>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Pico ultrassônico máximo – 320W, Tensão - 220-240V 50/60Hz, </w:t>
            </w:r>
          </w:p>
          <w:p>
            <w:pPr>
              <w:pStyle w:val="ListParagraph"/>
              <w:widowControl w:val="false"/>
              <w:numPr>
                <w:ilvl w:val="1"/>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Dimensões mínimas para trabalho: </w:t>
            </w:r>
          </w:p>
          <w:p>
            <w:pPr>
              <w:pStyle w:val="ListParagraph"/>
              <w:widowControl w:val="false"/>
              <w:numPr>
                <w:ilvl w:val="2"/>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Dimensões externas (L xP x A) -  300 X 179 X 214 mm, </w:t>
            </w:r>
          </w:p>
          <w:p>
            <w:pPr>
              <w:pStyle w:val="ListParagraph"/>
              <w:widowControl w:val="false"/>
              <w:numPr>
                <w:ilvl w:val="2"/>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Dimensões internas (L xP x A) - 240 X 137 X 100 mm,</w:t>
            </w:r>
          </w:p>
          <w:p>
            <w:pPr>
              <w:pStyle w:val="ListParagraph"/>
              <w:widowControl w:val="false"/>
              <w:numPr>
                <w:ilvl w:val="2"/>
                <w:numId w:val="1"/>
              </w:numPr>
              <w:spacing w:lineRule="auto" w:line="240"/>
              <w:jc w:val="both"/>
              <w:rPr>
                <w:rFonts w:ascii="Arial" w:hAnsi="Arial" w:eastAsia="Arial MT" w:cs="Arial MT"/>
                <w:b w:val="false"/>
                <w:b w:val="false"/>
                <w:bCs w:val="false"/>
                <w:sz w:val="20"/>
                <w:szCs w:val="20"/>
                <w:u w:val="none"/>
                <w:shd w:fill="auto" w:val="clear"/>
                <w:lang w:val="pt-PT" w:eastAsia="en-US" w:bidi="ar-SA"/>
              </w:rPr>
            </w:pPr>
            <w:r>
              <w:rPr>
                <w:rFonts w:eastAsia="Arial MT" w:cs="Arial MT" w:ascii="Arial" w:hAnsi="Arial"/>
                <w:b w:val="false"/>
                <w:bCs w:val="false"/>
                <w:sz w:val="20"/>
                <w:szCs w:val="20"/>
                <w:u w:val="none"/>
                <w:shd w:fill="auto" w:val="clear"/>
                <w:lang w:val="pt-PT" w:eastAsia="en-US" w:bidi="ar-SA"/>
              </w:rPr>
              <w:t>Dimensões da cesta (L xP x A) - 198 X 106 X 50 mm</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shd w:fill="auto" w:val="clear"/>
                <w:lang w:val="pt-PT" w:eastAsia="en-US" w:bidi="ar-SA"/>
              </w:rPr>
              <w:t>A garantia de 2 anos (24 meses) do equipamento que inclua a reposiçã</w:t>
            </w:r>
            <w:r>
              <w:rPr>
                <w:rFonts w:eastAsia="Arial MT" w:cs="Arial MT" w:ascii="Arial" w:hAnsi="Arial"/>
                <w:sz w:val="20"/>
                <w:szCs w:val="20"/>
                <w:lang w:val="pt-PT" w:eastAsia="en-US" w:bidi="ar-SA"/>
              </w:rPr>
              <w:t>o de</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peças que apresentarem defeitos durante este período de mão de obra com</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todos os custos da visita do técnico ao laboratório da PEFOCE, situado: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Capital: </w:t>
            </w:r>
          </w:p>
          <w:p>
            <w:pPr>
              <w:pStyle w:val="ListParagraph"/>
              <w:widowControl w:val="false"/>
              <w:numPr>
                <w:ilvl w:val="2"/>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Avenida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Castelo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Branco,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901</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Moura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Brasil</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 xml:space="preserve"> CEP: 60010-000  - Fortaleza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Ceará;</w:t>
            </w:r>
            <w:r>
              <w:rPr>
                <w:rFonts w:eastAsia="Arial MT" w:cs="Arial MT" w:ascii="Arial" w:hAnsi="Arial"/>
                <w:spacing w:val="1"/>
                <w:sz w:val="20"/>
                <w:szCs w:val="20"/>
                <w:lang w:val="pt-PT" w:eastAsia="en-US" w:bidi="ar-SA"/>
              </w:rPr>
              <w:t xml:space="preserve"> </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Interior: </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Sobral </w:t>
            </w:r>
          </w:p>
          <w:p>
            <w:pPr>
              <w:pStyle w:val="ListParagraph"/>
              <w:widowControl w:val="false"/>
              <w:numPr>
                <w:ilvl w:val="2"/>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Av. John Sanford, 2895 – Nossa Senhora de Fátima – CEP: 62.034-001 – Sobral – Ceará;</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 </w:t>
            </w:r>
            <w:r>
              <w:rPr>
                <w:rFonts w:eastAsia="Arial MT" w:cs="Arial MT" w:ascii="Arial" w:hAnsi="Arial"/>
                <w:spacing w:val="1"/>
                <w:sz w:val="20"/>
                <w:szCs w:val="20"/>
                <w:lang w:val="pt-PT" w:eastAsia="en-US" w:bidi="ar-SA"/>
              </w:rPr>
              <w:t>Juazeiro do Norte:</w:t>
            </w:r>
          </w:p>
          <w:p>
            <w:pPr>
              <w:pStyle w:val="ListParagraph"/>
              <w:widowControl w:val="false"/>
              <w:numPr>
                <w:ilvl w:val="2"/>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Av. Tenente Raimundo Rocha – s/n-  Planalto – CEP: 60.040-360  -Juazeiro do Norte – Ceará.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Após</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instalação do equipamento, será dado um treinamento operacional de manuseio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do equipamento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sem</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custos adicionais.</w:t>
            </w:r>
          </w:p>
          <w:p>
            <w:pPr>
              <w:pStyle w:val="TableParagraph"/>
              <w:widowControl w:val="false"/>
              <w:tabs>
                <w:tab w:val="clear" w:pos="720"/>
                <w:tab w:val="left" w:pos="190" w:leader="none"/>
              </w:tabs>
              <w:spacing w:lineRule="auto" w:line="240" w:before="0" w:after="0"/>
              <w:ind w:left="189" w:right="0" w:hanging="122"/>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r>
          </w:p>
        </w:tc>
        <w:tc>
          <w:tcPr>
            <w:tcW w:w="1082" w:type="dxa"/>
            <w:tcBorders>
              <w:left w:val="single" w:sz="2" w:space="0" w:color="000000"/>
              <w:bottom w:val="single" w:sz="2" w:space="0" w:color="000000"/>
            </w:tcBorders>
          </w:tcPr>
          <w:p>
            <w:pPr>
              <w:pStyle w:val="TableParagraph"/>
              <w:widowControl w:val="false"/>
              <w:spacing w:lineRule="auto" w:line="240" w:before="122" w:after="0"/>
              <w:ind w:left="66" w:right="0" w:hanging="0"/>
              <w:jc w:val="both"/>
              <w:rPr>
                <w:rFonts w:ascii="Arial" w:hAnsi="Arial"/>
                <w:sz w:val="20"/>
                <w:szCs w:val="20"/>
              </w:rPr>
            </w:pPr>
            <w:r>
              <w:rPr>
                <w:rFonts w:ascii="Arial" w:hAnsi="Arial"/>
                <w:sz w:val="20"/>
                <w:szCs w:val="20"/>
              </w:rPr>
              <w:t>UND</w:t>
            </w:r>
          </w:p>
        </w:tc>
        <w:tc>
          <w:tcPr>
            <w:tcW w:w="911" w:type="dxa"/>
            <w:tcBorders>
              <w:left w:val="single" w:sz="2" w:space="0" w:color="000000"/>
              <w:bottom w:val="single" w:sz="2" w:space="0" w:color="000000"/>
              <w:right w:val="single" w:sz="2" w:space="0" w:color="000000"/>
            </w:tcBorders>
          </w:tcPr>
          <w:p>
            <w:pPr>
              <w:pStyle w:val="TableParagraph"/>
              <w:widowControl w:val="false"/>
              <w:spacing w:lineRule="auto" w:line="240" w:before="122" w:after="0"/>
              <w:ind w:left="166" w:right="141" w:hanging="0"/>
              <w:jc w:val="both"/>
              <w:rPr>
                <w:rFonts w:ascii="Arial" w:hAnsi="Arial" w:eastAsia="Arial MT" w:cs="Arial MT"/>
                <w:color w:val="auto"/>
                <w:sz w:val="20"/>
                <w:szCs w:val="20"/>
                <w:shd w:fill="auto" w:val="clear"/>
                <w:lang w:val="pt-PT" w:eastAsia="en-US" w:bidi="ar-SA"/>
              </w:rPr>
            </w:pPr>
            <w:r>
              <w:rPr>
                <w:rFonts w:eastAsia="Arial MT" w:cs="Arial MT" w:ascii="Arial" w:hAnsi="Arial"/>
                <w:color w:val="000000"/>
                <w:sz w:val="20"/>
                <w:szCs w:val="20"/>
                <w:shd w:fill="auto" w:val="clear"/>
                <w:lang w:val="pt-PT" w:eastAsia="en-US" w:bidi="ar-SA"/>
              </w:rPr>
              <w:t>04</w:t>
            </w:r>
          </w:p>
        </w:tc>
      </w:tr>
      <w:tr>
        <w:trPr/>
        <w:tc>
          <w:tcPr>
            <w:tcW w:w="737" w:type="dxa"/>
            <w:tcBorders>
              <w:left w:val="single" w:sz="2" w:space="0" w:color="000000"/>
              <w:bottom w:val="single" w:sz="2" w:space="0" w:color="000000"/>
            </w:tcBorders>
          </w:tcPr>
          <w:p>
            <w:pPr>
              <w:pStyle w:val="TableParagraph"/>
              <w:widowControl w:val="false"/>
              <w:spacing w:lineRule="auto" w:line="240" w:before="122" w:after="0"/>
              <w:ind w:left="68" w:right="0" w:hanging="0"/>
              <w:jc w:val="both"/>
              <w:rPr>
                <w:rFonts w:ascii="Arial" w:hAnsi="Arial"/>
                <w:sz w:val="20"/>
                <w:szCs w:val="20"/>
              </w:rPr>
            </w:pPr>
            <w:r>
              <w:rPr>
                <w:rFonts w:ascii="Arial" w:hAnsi="Arial"/>
                <w:sz w:val="20"/>
                <w:szCs w:val="20"/>
              </w:rPr>
              <w:t>02</w:t>
            </w:r>
          </w:p>
        </w:tc>
        <w:tc>
          <w:tcPr>
            <w:tcW w:w="6912" w:type="dxa"/>
            <w:tcBorders>
              <w:left w:val="single" w:sz="2" w:space="0" w:color="000000"/>
              <w:bottom w:val="single" w:sz="2" w:space="0" w:color="000000"/>
            </w:tcBorders>
          </w:tcPr>
          <w:p>
            <w:pPr>
              <w:pStyle w:val="Normal"/>
              <w:widowControl w:val="false"/>
              <w:spacing w:lineRule="auto" w:line="240"/>
              <w:jc w:val="center"/>
              <w:rPr>
                <w:rFonts w:ascii="Arial" w:hAnsi="Arial" w:eastAsia="Arial MT" w:cs="Arial MT"/>
                <w:b/>
                <w:b/>
                <w:bCs/>
                <w:sz w:val="20"/>
                <w:szCs w:val="20"/>
                <w:shd w:fill="auto" w:val="clear"/>
                <w:lang w:val="pt-PT" w:eastAsia="en-US" w:bidi="ar-SA"/>
              </w:rPr>
            </w:pPr>
            <w:r>
              <w:rPr>
                <w:rFonts w:eastAsia="Arial MT" w:cs="Arial MT" w:ascii="Arial" w:hAnsi="Arial"/>
                <w:b/>
                <w:bCs/>
                <w:sz w:val="20"/>
                <w:szCs w:val="20"/>
                <w:shd w:fill="auto" w:val="clear"/>
                <w:lang w:val="pt-PT" w:eastAsia="en-US" w:bidi="ar-SA"/>
              </w:rPr>
              <w:t>Banho ultrassônico -    5,75 litros</w:t>
            </w:r>
          </w:p>
          <w:p>
            <w:pPr>
              <w:pStyle w:val="Normal"/>
              <w:widowControl w:val="false"/>
              <w:numPr>
                <w:ilvl w:val="0"/>
                <w:numId w:val="4"/>
              </w:numPr>
              <w:spacing w:lineRule="auto" w:line="240"/>
              <w:jc w:val="both"/>
              <w:rPr>
                <w:rFonts w:ascii="Arial" w:hAnsi="Arial"/>
                <w:sz w:val="20"/>
                <w:szCs w:val="20"/>
              </w:rPr>
            </w:pPr>
            <w:r>
              <w:rPr>
                <w:rFonts w:ascii="Arial" w:hAnsi="Arial"/>
                <w:sz w:val="20"/>
                <w:szCs w:val="20"/>
              </w:rPr>
              <w:t>S</w:t>
            </w:r>
            <w:r>
              <w:rPr>
                <w:rFonts w:eastAsia="Arial MT" w:cs="Arial MT" w:ascii="Arial" w:hAnsi="Arial"/>
                <w:sz w:val="20"/>
                <w:szCs w:val="20"/>
                <w:lang w:val="pt-PT" w:eastAsia="en-US" w:bidi="ar-SA"/>
              </w:rPr>
              <w:t xml:space="preserve">istema de transdutor de alta frequência - 37KHz (faixa de controle -2,5 / + 5,5 kHz);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Tanque de limpeza em aço inox resistente a cavitação;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Painel de operação fácil e amigável, e a prova d'agua;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Função de início automático para início de limpeza com temperatura controlada;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Unidade de controle digital com teclado de membrana limpável e display de fácil leitura para exibir todos os estados operacionais;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Feedback óptico e acústico, por ex. no final da limpeza ou quando a temperatura limite for atingida;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Menu de configuração para ajuste individual das funções do dispositivo;</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Desligamento automático de segurança após 8 horas;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Caixa à prova de respingos e tanque de limpeza feito de aço inoxidável;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Pré-seleção do tempo de limpeza: tempo de limpeza ajustável entre 1 minuto e 6 horas;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4 posições de memória para programas de limpeza, disponíveis por meio de seleção rápida; </w:t>
            </w:r>
          </w:p>
          <w:p>
            <w:pPr>
              <w:pStyle w:val="Normal"/>
              <w:widowControl w:val="false"/>
              <w:numPr>
                <w:ilvl w:val="0"/>
                <w:numId w:val="4"/>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Deve possuir pelo menos 5 modos ultrassônicos para distribuição de campo sonoro baseada na necessidade no banho ultrassônico: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eco: limpeza suave com operação mais silenciosa, executando o modo de varredura em uma intensidade ligeiramente mais baixa;</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varredura: Limpeza uniforme através da distribuição uniforme do campo sonoro no banho ultrassônico;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pulso: Remoção de contaminação teimosa por meio da distribuição de campo sonoro pulsante;</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dinâmico: Combinação dos modos ultrassônicos de varredura e pulso para aumentar o desempenho de limpeza;</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Modo de desgaseificação: Desgaseificação rápida do líquido de limpeza e para aplicações especiais em laboratório.</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Proteção contra aquecimento em corrida seca;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Alças laterais em plástico;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Controle eletrônico de temperatura ajustável em etapas de 5 ° C de 25-80 ° C (pode ser alterado para ° F; tolerância de temperatura -5 / + 8 ° C).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Acessórios inclusos:  Tampa, Manual de operação, Cabo de alimentação com conector de borracha (2 m de comprimento). </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Deve acompanhar: Cesto em aço inox com alças revestidas com plástico;</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Especificações Técnicas:</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Volume do tanque -</w:t>
            </w:r>
            <w:r>
              <w:rPr>
                <w:rFonts w:eastAsia="Arial MT" w:cs="Arial MT" w:ascii="Arial" w:hAnsi="Arial"/>
                <w:sz w:val="20"/>
                <w:szCs w:val="20"/>
                <w:shd w:fill="auto" w:val="clear"/>
                <w:lang w:val="pt-PT" w:eastAsia="en-US" w:bidi="ar-SA"/>
              </w:rPr>
              <w:t xml:space="preserve"> 5,75 litros, </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Classe de proteção – IP20, </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Frequência ultrassônica – 37KHz, </w:t>
            </w:r>
          </w:p>
          <w:p>
            <w:pPr>
              <w:pStyle w:val="ListParagraph"/>
              <w:widowControl w:val="false"/>
              <w:numPr>
                <w:ilvl w:val="1"/>
                <w:numId w:val="1"/>
              </w:numPr>
              <w:spacing w:lineRule="auto" w:line="240"/>
              <w:jc w:val="both"/>
              <w:rPr>
                <w:rFonts w:ascii="Arial" w:hAnsi="Arial"/>
                <w:sz w:val="20"/>
                <w:szCs w:val="20"/>
              </w:rPr>
            </w:pPr>
            <w:r>
              <w:rPr>
                <w:rFonts w:eastAsia="Arial MT" w:cs="Arial MT" w:ascii="Arial" w:hAnsi="Arial"/>
                <w:sz w:val="20"/>
                <w:szCs w:val="20"/>
                <w:shd w:fill="auto" w:val="clear"/>
                <w:lang w:val="pt-PT" w:eastAsia="en-US" w:bidi="ar-SA"/>
              </w:rPr>
              <w:t xml:space="preserve">Potência efetiva ultrassônica – 150W, </w:t>
            </w:r>
          </w:p>
          <w:p>
            <w:pPr>
              <w:pStyle w:val="ListParagraph"/>
              <w:widowControl w:val="false"/>
              <w:numPr>
                <w:ilvl w:val="1"/>
                <w:numId w:val="1"/>
              </w:numPr>
              <w:spacing w:lineRule="auto" w:line="240"/>
              <w:jc w:val="both"/>
              <w:rPr>
                <w:rFonts w:ascii="Arial" w:hAnsi="Arial"/>
                <w:sz w:val="20"/>
                <w:szCs w:val="20"/>
              </w:rPr>
            </w:pPr>
            <w:r>
              <w:rPr>
                <w:rFonts w:eastAsia="Arial MT" w:cs="Arial MT" w:ascii="Arial" w:hAnsi="Arial"/>
                <w:sz w:val="20"/>
                <w:szCs w:val="20"/>
                <w:shd w:fill="auto" w:val="clear"/>
                <w:lang w:val="pt-PT" w:eastAsia="en-US" w:bidi="ar-SA"/>
              </w:rPr>
              <w:t xml:space="preserve">Pico ultrassônico máximo – 600W, </w:t>
            </w:r>
          </w:p>
          <w:p>
            <w:pPr>
              <w:pStyle w:val="ListParagraph"/>
              <w:widowControl w:val="false"/>
              <w:numPr>
                <w:ilvl w:val="1"/>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Tensão - 220-240V 50/60Hz, </w:t>
            </w:r>
          </w:p>
          <w:p>
            <w:pPr>
              <w:pStyle w:val="ListParagraph"/>
              <w:widowControl w:val="false"/>
              <w:numPr>
                <w:ilvl w:val="1"/>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Dimensões mínimas para trabalho: </w:t>
            </w:r>
          </w:p>
          <w:p>
            <w:pPr>
              <w:pStyle w:val="ListParagraph"/>
              <w:widowControl w:val="false"/>
              <w:numPr>
                <w:ilvl w:val="2"/>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 xml:space="preserve">Dimensões externas (L xP x A) -  365 X 186 X 264 mm, </w:t>
            </w:r>
          </w:p>
          <w:p>
            <w:pPr>
              <w:pStyle w:val="ListParagraph"/>
              <w:widowControl w:val="false"/>
              <w:numPr>
                <w:ilvl w:val="2"/>
                <w:numId w:val="1"/>
              </w:numPr>
              <w:spacing w:lineRule="auto" w:line="240"/>
              <w:jc w:val="both"/>
              <w:rPr>
                <w:rFonts w:ascii="Arial" w:hAnsi="Arial" w:eastAsia="Arial MT" w:cs="Arial MT"/>
                <w:sz w:val="20"/>
                <w:szCs w:val="20"/>
                <w:shd w:fill="auto" w:val="clear"/>
                <w:lang w:val="pt-PT" w:eastAsia="en-US" w:bidi="ar-SA"/>
              </w:rPr>
            </w:pPr>
            <w:r>
              <w:rPr>
                <w:rFonts w:eastAsia="Arial MT" w:cs="Arial MT" w:ascii="Arial" w:hAnsi="Arial"/>
                <w:sz w:val="20"/>
                <w:szCs w:val="20"/>
                <w:shd w:fill="auto" w:val="clear"/>
                <w:lang w:val="pt-PT" w:eastAsia="en-US" w:bidi="ar-SA"/>
              </w:rPr>
              <w:t>Dimensões internas (L xP x A) - 300 X 151 X 150 mm,</w:t>
            </w:r>
          </w:p>
          <w:p>
            <w:pPr>
              <w:pStyle w:val="ListParagraph"/>
              <w:widowControl w:val="false"/>
              <w:numPr>
                <w:ilvl w:val="2"/>
                <w:numId w:val="1"/>
              </w:numPr>
              <w:spacing w:lineRule="auto" w:line="240"/>
              <w:jc w:val="both"/>
              <w:rPr>
                <w:rFonts w:ascii="Arial" w:hAnsi="Arial" w:eastAsia="Arial MT" w:cs="Arial MT"/>
                <w:b w:val="false"/>
                <w:b w:val="false"/>
                <w:bCs w:val="false"/>
                <w:sz w:val="20"/>
                <w:szCs w:val="20"/>
                <w:u w:val="none"/>
                <w:shd w:fill="auto" w:val="clear"/>
                <w:lang w:val="pt-PT" w:eastAsia="en-US" w:bidi="ar-SA"/>
              </w:rPr>
            </w:pPr>
            <w:r>
              <w:rPr>
                <w:rFonts w:eastAsia="Arial MT" w:cs="Arial MT" w:ascii="Arial" w:hAnsi="Arial"/>
                <w:b w:val="false"/>
                <w:bCs w:val="false"/>
                <w:sz w:val="20"/>
                <w:szCs w:val="20"/>
                <w:u w:val="none"/>
                <w:shd w:fill="auto" w:val="clear"/>
                <w:lang w:val="pt-PT" w:eastAsia="en-US" w:bidi="ar-SA"/>
              </w:rPr>
              <w:t>Dimensões da cesta (L xP x A) - 255 X 115 X 750 mm</w:t>
            </w:r>
          </w:p>
          <w:p>
            <w:pPr>
              <w:pStyle w:val="ListParagraph"/>
              <w:widowControl w:val="false"/>
              <w:numPr>
                <w:ilvl w:val="0"/>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shd w:fill="auto" w:val="clear"/>
                <w:lang w:val="pt-PT" w:eastAsia="en-US" w:bidi="ar-SA"/>
              </w:rPr>
              <w:t>A garantia de 2 anos (24 meses) do equipamento que inclua a reposiçã</w:t>
            </w:r>
            <w:r>
              <w:rPr>
                <w:rFonts w:eastAsia="Arial MT" w:cs="Arial MT" w:ascii="Arial" w:hAnsi="Arial"/>
                <w:sz w:val="20"/>
                <w:szCs w:val="20"/>
                <w:lang w:val="pt-PT" w:eastAsia="en-US" w:bidi="ar-SA"/>
              </w:rPr>
              <w:t>o de</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peças que apresentarem defeitos durante este período de mão de obra com</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todos os custos da visita do técnico ao laboratório da PEFOCE, situado:</w:t>
            </w:r>
          </w:p>
          <w:p>
            <w:pPr>
              <w:pStyle w:val="ListParagraph"/>
              <w:widowControl w:val="false"/>
              <w:numPr>
                <w:ilvl w:val="1"/>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 xml:space="preserve">Capital: </w:t>
            </w:r>
          </w:p>
          <w:p>
            <w:pPr>
              <w:pStyle w:val="ListParagraph"/>
              <w:widowControl w:val="false"/>
              <w:numPr>
                <w:ilvl w:val="2"/>
                <w:numId w:val="1"/>
              </w:numPr>
              <w:spacing w:lineRule="auto" w:line="240"/>
              <w:jc w:val="both"/>
              <w:rPr>
                <w:rFonts w:ascii="Arial" w:hAnsi="Arial" w:eastAsia="Arial MT" w:cs="Arial MT"/>
                <w:sz w:val="20"/>
                <w:szCs w:val="20"/>
                <w:lang w:val="pt-PT" w:eastAsia="en-US" w:bidi="ar-SA"/>
              </w:rPr>
            </w:pPr>
            <w:r>
              <w:rPr>
                <w:rFonts w:eastAsia="Arial MT" w:cs="Arial MT" w:ascii="Arial" w:hAnsi="Arial"/>
                <w:sz w:val="20"/>
                <w:szCs w:val="20"/>
                <w:lang w:val="pt-PT" w:eastAsia="en-US" w:bidi="ar-SA"/>
              </w:rPr>
              <w:t>Avenida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Castelo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Branco,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901</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Moura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Brasil</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 xml:space="preserve"> CEP: 60010-000  - Fortaleza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Ceará;</w:t>
            </w:r>
            <w:r>
              <w:rPr>
                <w:rFonts w:eastAsia="Arial MT" w:cs="Arial MT" w:ascii="Arial" w:hAnsi="Arial"/>
                <w:spacing w:val="1"/>
                <w:sz w:val="20"/>
                <w:szCs w:val="20"/>
                <w:lang w:val="pt-PT" w:eastAsia="en-US" w:bidi="ar-SA"/>
              </w:rPr>
              <w:t xml:space="preserve"> </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Interior: </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Sobral </w:t>
            </w:r>
          </w:p>
          <w:p>
            <w:pPr>
              <w:pStyle w:val="ListParagraph"/>
              <w:widowControl w:val="false"/>
              <w:numPr>
                <w:ilvl w:val="2"/>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Av. John Sanford, 2895 – Nossa Senhora de Fátima – CEP: 62.034-001 – Sobral – Ceará;</w:t>
            </w:r>
          </w:p>
          <w:p>
            <w:pPr>
              <w:pStyle w:val="ListParagraph"/>
              <w:widowControl w:val="false"/>
              <w:numPr>
                <w:ilvl w:val="1"/>
                <w:numId w:val="1"/>
              </w:numPr>
              <w:spacing w:lineRule="auto" w:line="240"/>
              <w:jc w:val="both"/>
              <w:rPr>
                <w:rFonts w:ascii="Arial" w:hAnsi="Arial" w:eastAsia="Arial MT" w:cs="Arial MT"/>
                <w:spacing w:val="1"/>
                <w:sz w:val="20"/>
                <w:szCs w:val="20"/>
                <w:lang w:val="pt-PT" w:eastAsia="en-US" w:bidi="ar-SA"/>
              </w:rPr>
            </w:pPr>
            <w:r>
              <w:rPr>
                <w:rFonts w:eastAsia="Arial MT" w:cs="Arial MT" w:ascii="Arial" w:hAnsi="Arial"/>
                <w:spacing w:val="1"/>
                <w:sz w:val="20"/>
                <w:szCs w:val="20"/>
                <w:lang w:val="pt-PT" w:eastAsia="en-US" w:bidi="ar-SA"/>
              </w:rPr>
              <w:t xml:space="preserve"> </w:t>
            </w:r>
            <w:r>
              <w:rPr>
                <w:rFonts w:eastAsia="Arial MT" w:cs="Arial MT" w:ascii="Arial" w:hAnsi="Arial"/>
                <w:spacing w:val="1"/>
                <w:sz w:val="20"/>
                <w:szCs w:val="20"/>
                <w:lang w:val="pt-PT" w:eastAsia="en-US" w:bidi="ar-SA"/>
              </w:rPr>
              <w:t>Juazeiro do Norte:</w:t>
            </w:r>
          </w:p>
          <w:p>
            <w:pPr>
              <w:pStyle w:val="ListParagraph"/>
              <w:widowControl w:val="false"/>
              <w:numPr>
                <w:ilvl w:val="2"/>
                <w:numId w:val="1"/>
              </w:numPr>
              <w:spacing w:lineRule="auto" w:line="240"/>
              <w:jc w:val="both"/>
              <w:rPr>
                <w:rFonts w:ascii="Arial" w:hAnsi="Arial"/>
                <w:sz w:val="20"/>
                <w:szCs w:val="20"/>
              </w:rPr>
            </w:pPr>
            <w:r>
              <w:rPr>
                <w:rFonts w:eastAsia="Arial MT" w:cs="Arial MT" w:ascii="Arial" w:hAnsi="Arial"/>
                <w:spacing w:val="1"/>
                <w:sz w:val="20"/>
                <w:szCs w:val="20"/>
                <w:lang w:val="pt-PT" w:eastAsia="en-US" w:bidi="ar-SA"/>
              </w:rPr>
              <w:t xml:space="preserve">Av. Tenente Raimundo Rocha – s/n-  Planalto – CEP: 60.040-360  -Juazeiro do Norte – Ceará. </w:t>
            </w:r>
          </w:p>
          <w:p>
            <w:pPr>
              <w:pStyle w:val="ListParagraph"/>
              <w:widowControl w:val="false"/>
              <w:numPr>
                <w:ilvl w:val="0"/>
                <w:numId w:val="1"/>
              </w:numPr>
              <w:spacing w:lineRule="auto" w:line="240"/>
              <w:jc w:val="both"/>
              <w:rPr>
                <w:rFonts w:ascii="Arial" w:hAnsi="Arial"/>
                <w:sz w:val="20"/>
                <w:szCs w:val="20"/>
              </w:rPr>
            </w:pPr>
            <w:r>
              <w:rPr>
                <w:rFonts w:eastAsia="Arial MT" w:cs="Arial MT" w:ascii="Arial" w:hAnsi="Arial"/>
                <w:sz w:val="20"/>
                <w:szCs w:val="20"/>
                <w:lang w:val="pt-PT" w:eastAsia="en-US" w:bidi="ar-SA"/>
              </w:rPr>
              <w:t>Após</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a</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instalação do equipamento, será dado um treinamento operacional de manuseio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do equipamento</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sem</w:t>
            </w:r>
            <w:r>
              <w:rPr>
                <w:rFonts w:eastAsia="Arial MT" w:cs="Arial MT" w:ascii="Arial" w:hAnsi="Arial"/>
                <w:spacing w:val="-1"/>
                <w:sz w:val="20"/>
                <w:szCs w:val="20"/>
                <w:lang w:val="pt-PT" w:eastAsia="en-US" w:bidi="ar-SA"/>
              </w:rPr>
              <w:t xml:space="preserve"> </w:t>
            </w:r>
            <w:r>
              <w:rPr>
                <w:rFonts w:eastAsia="Arial MT" w:cs="Arial MT" w:ascii="Arial" w:hAnsi="Arial"/>
                <w:sz w:val="20"/>
                <w:szCs w:val="20"/>
                <w:lang w:val="pt-PT" w:eastAsia="en-US" w:bidi="ar-SA"/>
              </w:rPr>
              <w:t>custos adicionais.</w:t>
            </w:r>
          </w:p>
          <w:p>
            <w:pPr>
              <w:pStyle w:val="TableParagraph"/>
              <w:widowControl w:val="false"/>
              <w:tabs>
                <w:tab w:val="clear" w:pos="720"/>
                <w:tab w:val="left" w:pos="190" w:leader="none"/>
              </w:tabs>
              <w:spacing w:lineRule="auto" w:line="240" w:before="0" w:after="0"/>
              <w:ind w:left="189" w:right="0" w:hanging="122"/>
              <w:jc w:val="both"/>
              <w:rPr>
                <w:rFonts w:ascii="Arial" w:hAnsi="Arial" w:eastAsia="Arial MT" w:cs="Arial MT"/>
                <w:sz w:val="20"/>
                <w:szCs w:val="20"/>
                <w:shd w:fill="FFFF00" w:val="clear"/>
                <w:lang w:val="pt-PT" w:eastAsia="en-US" w:bidi="ar-SA"/>
              </w:rPr>
            </w:pPr>
            <w:r>
              <w:rPr>
                <w:rFonts w:eastAsia="Arial MT" w:cs="Arial MT" w:ascii="Arial" w:hAnsi="Arial"/>
                <w:sz w:val="20"/>
                <w:szCs w:val="20"/>
                <w:shd w:fill="FFFF00" w:val="clear"/>
                <w:lang w:val="pt-PT" w:eastAsia="en-US" w:bidi="ar-SA"/>
              </w:rPr>
            </w:r>
          </w:p>
        </w:tc>
        <w:tc>
          <w:tcPr>
            <w:tcW w:w="1082" w:type="dxa"/>
            <w:tcBorders>
              <w:left w:val="single" w:sz="2" w:space="0" w:color="000000"/>
              <w:bottom w:val="single" w:sz="2" w:space="0" w:color="000000"/>
            </w:tcBorders>
          </w:tcPr>
          <w:p>
            <w:pPr>
              <w:pStyle w:val="TableParagraph"/>
              <w:widowControl w:val="false"/>
              <w:spacing w:lineRule="auto" w:line="240" w:before="122" w:after="0"/>
              <w:ind w:left="66" w:right="0" w:hanging="0"/>
              <w:jc w:val="both"/>
              <w:rPr>
                <w:rFonts w:ascii="Arial" w:hAnsi="Arial"/>
                <w:sz w:val="20"/>
                <w:szCs w:val="20"/>
              </w:rPr>
            </w:pPr>
            <w:r>
              <w:rPr>
                <w:rFonts w:ascii="Arial" w:hAnsi="Arial"/>
                <w:sz w:val="20"/>
                <w:szCs w:val="20"/>
              </w:rPr>
              <w:t>UND</w:t>
            </w:r>
          </w:p>
        </w:tc>
        <w:tc>
          <w:tcPr>
            <w:tcW w:w="911" w:type="dxa"/>
            <w:tcBorders>
              <w:left w:val="single" w:sz="2" w:space="0" w:color="000000"/>
              <w:bottom w:val="single" w:sz="2" w:space="0" w:color="000000"/>
              <w:right w:val="single" w:sz="2" w:space="0" w:color="000000"/>
            </w:tcBorders>
          </w:tcPr>
          <w:p>
            <w:pPr>
              <w:pStyle w:val="TableParagraph"/>
              <w:widowControl w:val="false"/>
              <w:spacing w:lineRule="auto" w:line="240" w:before="122" w:after="0"/>
              <w:ind w:left="166" w:right="141" w:hanging="0"/>
              <w:jc w:val="both"/>
              <w:rPr>
                <w:rFonts w:ascii="Arial" w:hAnsi="Arial" w:eastAsia="Arial MT" w:cs="Arial MT"/>
                <w:color w:val="auto"/>
                <w:sz w:val="20"/>
                <w:szCs w:val="20"/>
                <w:lang w:val="pt-PT" w:eastAsia="en-US" w:bidi="ar-SA"/>
              </w:rPr>
            </w:pPr>
            <w:r>
              <w:rPr>
                <w:rFonts w:eastAsia="Arial MT" w:cs="Arial MT" w:ascii="Arial" w:hAnsi="Arial"/>
                <w:color w:val="auto"/>
                <w:sz w:val="20"/>
                <w:szCs w:val="20"/>
                <w:lang w:val="pt-PT" w:eastAsia="en-US" w:bidi="ar-SA"/>
              </w:rPr>
              <w:t>01</w:t>
            </w:r>
          </w:p>
        </w:tc>
      </w:tr>
    </w:tbl>
    <w:p>
      <w:pPr>
        <w:pStyle w:val="Normal"/>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Normal"/>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6. ESTIMATIVA DO VALOR DA CONTRATAÇÃO</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firstLine="964"/>
        <w:jc w:val="both"/>
        <w:rPr/>
      </w:pPr>
      <w:r>
        <w:rPr>
          <w:rStyle w:val="Fontepargpadro"/>
          <w:rFonts w:eastAsia="Montserrat" w:cs="Montserrat" w:ascii="Arial" w:hAnsi="Arial"/>
          <w:b w:val="false"/>
          <w:bCs w:val="false"/>
          <w:color w:val="000000"/>
          <w:sz w:val="24"/>
          <w:szCs w:val="24"/>
        </w:rPr>
        <w:t xml:space="preserve">Considerando que para o caso em análise não há variedade de soluções disponíveis, visto que a única opção é a aquisição dos itens descritos no tópico “1 - NECESSIDADE DA CONTRATAÇÃO”, informamos que o Mapa de Preços a ser elaborado, após a pesquisa de mercado, será vinculado a este instrumento para fins de estimativa de valor da contratação. </w:t>
      </w:r>
    </w:p>
    <w:p>
      <w:pPr>
        <w:pStyle w:val="Corpodotexto"/>
        <w:widowControl/>
        <w:suppressAutoHyphens w:val="true"/>
        <w:overflowPunct w:val="false"/>
        <w:bidi w:val="0"/>
        <w:spacing w:lineRule="auto" w:line="240" w:before="57" w:after="57"/>
        <w:ind w:left="0" w:right="0" w:firstLine="964"/>
        <w:jc w:val="both"/>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uppressAutoHyphens w:val="true"/>
        <w:overflowPunct w:val="false"/>
        <w:bidi w:val="0"/>
        <w:spacing w:lineRule="auto" w:line="240" w:before="57" w:after="57"/>
        <w:ind w:left="0" w:right="0" w:firstLine="964"/>
        <w:jc w:val="both"/>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7. JUSTIFICATIVAS PARA O PARCELAMENTO OU NÃO DA SOLUÇÃO</w:t>
      </w:r>
    </w:p>
    <w:p>
      <w:pPr>
        <w:pStyle w:val="Corpodotexto"/>
        <w:widowControl/>
        <w:suppressAutoHyphens w:val="true"/>
        <w:overflowPunct w:val="false"/>
        <w:bidi w:val="0"/>
        <w:spacing w:lineRule="auto" w:line="240" w:before="57" w:after="57"/>
        <w:ind w:left="0" w:right="0" w:firstLine="964"/>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firstLine="964"/>
        <w:jc w:val="both"/>
        <w:rPr/>
      </w:pPr>
      <w:r>
        <w:rPr>
          <w:rStyle w:val="Fontepargpadro"/>
          <w:rFonts w:eastAsia="Montserrat" w:cs="Montserrat" w:ascii="Arial" w:hAnsi="Arial"/>
          <w:b w:val="false"/>
          <w:bCs w:val="false"/>
          <w:color w:val="000000"/>
          <w:sz w:val="24"/>
          <w:szCs w:val="24"/>
          <w:shd w:fill="auto" w:val="clear"/>
        </w:rPr>
        <w:t xml:space="preserve">Informamos que os equipamentos englobados neste processo possuem compatibilidade entre si, </w:t>
      </w:r>
      <w:r>
        <w:rPr>
          <w:rStyle w:val="Fontepargpadro"/>
          <w:rFonts w:eastAsia="Montserrat" w:cs="Montserrat" w:ascii="Arial" w:hAnsi="Arial"/>
          <w:b w:val="false"/>
          <w:bCs w:val="false"/>
          <w:color w:val="000000"/>
          <w:kern w:val="2"/>
          <w:sz w:val="24"/>
          <w:szCs w:val="24"/>
          <w:shd w:fill="auto" w:val="clear"/>
          <w:lang w:val="pt-BR" w:eastAsia="zh-CN" w:bidi="hi-IN"/>
        </w:rPr>
        <w:t>e que será mais vantajoso para a instituição a aquisição de forma agrupada.</w:t>
      </w:r>
    </w:p>
    <w:p>
      <w:pPr>
        <w:pStyle w:val="Corpodotexto"/>
        <w:widowControl/>
        <w:suppressAutoHyphens w:val="true"/>
        <w:overflowPunct w:val="false"/>
        <w:bidi w:val="0"/>
        <w:spacing w:lineRule="auto" w:line="240" w:before="57" w:after="57"/>
        <w:ind w:left="0" w:right="0" w:firstLine="964"/>
        <w:jc w:val="both"/>
        <w:rPr/>
      </w:pPr>
      <w:r>
        <w:rPr>
          <w:rStyle w:val="Fontepargpadro"/>
          <w:rFonts w:eastAsia="Montserrat" w:cs="Montserrat" w:ascii="Arial" w:hAnsi="Arial"/>
          <w:b w:val="false"/>
          <w:bCs w:val="false"/>
          <w:color w:val="000000"/>
          <w:sz w:val="24"/>
          <w:szCs w:val="24"/>
          <w:shd w:fill="auto" w:val="clear"/>
        </w:rPr>
        <w:t xml:space="preserve">Desta forma, haverá a necessidade de agrupamento dos mesmos. </w:t>
      </w:r>
    </w:p>
    <w:p>
      <w:pPr>
        <w:pStyle w:val="Corpodotexto"/>
        <w:widowControl/>
        <w:suppressAutoHyphens w:val="true"/>
        <w:overflowPunct w:val="false"/>
        <w:bidi w:val="0"/>
        <w:spacing w:lineRule="auto" w:line="240" w:before="57" w:after="57"/>
        <w:ind w:left="0" w:right="0" w:firstLine="964"/>
        <w:jc w:val="both"/>
        <w:rPr>
          <w:rFonts w:ascii="Arial" w:hAnsi="Arial" w:eastAsia="Montserrat" w:cs="Montserrat"/>
          <w:b/>
          <w:b/>
          <w:bCs/>
          <w:color w:val="auto"/>
          <w:sz w:val="24"/>
          <w:szCs w:val="24"/>
        </w:rPr>
      </w:pPr>
      <w:r>
        <w:rPr>
          <w:rFonts w:eastAsia="Montserrat" w:cs="Montserrat" w:ascii="Arial" w:hAnsi="Arial"/>
          <w:b/>
          <w:bCs/>
          <w:color w:val="auto"/>
          <w:sz w:val="24"/>
          <w:szCs w:val="24"/>
        </w:rPr>
      </w:r>
    </w:p>
    <w:p>
      <w:pPr>
        <w:pStyle w:val="Corpodotexto"/>
        <w:widowControl/>
        <w:suppressAutoHyphens w:val="true"/>
        <w:overflowPunct w:val="false"/>
        <w:bidi w:val="0"/>
        <w:spacing w:lineRule="auto" w:line="240" w:before="57" w:after="57"/>
        <w:ind w:left="0" w:right="0" w:firstLine="964"/>
        <w:jc w:val="both"/>
        <w:rPr>
          <w:rFonts w:ascii="Arial" w:hAnsi="Arial" w:eastAsia="Montserrat" w:cs="Montserrat"/>
          <w:b/>
          <w:b/>
          <w:bCs/>
          <w:color w:val="auto"/>
          <w:sz w:val="24"/>
          <w:szCs w:val="24"/>
        </w:rPr>
      </w:pPr>
      <w:r>
        <w:rPr>
          <w:rFonts w:eastAsia="Montserrat" w:cs="Montserrat" w:ascii="Arial" w:hAnsi="Arial"/>
          <w:b/>
          <w:bCs/>
          <w:color w:val="auto"/>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8. CONTRATAÇÕES CORRELATAS E/OU INTERDEPENDENTES</w:t>
      </w:r>
    </w:p>
    <w:p>
      <w:pPr>
        <w:pStyle w:val="Corpodotexto"/>
        <w:widowControl/>
        <w:suppressAutoHyphens w:val="true"/>
        <w:overflowPunct w:val="false"/>
        <w:bidi w:val="0"/>
        <w:spacing w:lineRule="auto" w:line="240" w:before="57" w:after="57"/>
        <w:ind w:left="0" w:right="0" w:hanging="0"/>
        <w:jc w:val="left"/>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left"/>
        <w:rPr>
          <w:rStyle w:val="Fontepargpadro"/>
          <w:rFonts w:ascii="Arial" w:hAnsi="Arial" w:eastAsia="Montserrat" w:cs="Montserrat"/>
          <w:b/>
          <w:b/>
          <w:bCs/>
          <w:color w:val="000000"/>
          <w:sz w:val="24"/>
          <w:szCs w:val="24"/>
        </w:rPr>
      </w:pPr>
      <w:r>
        <w:rPr>
          <w:rStyle w:val="Fontepargpadro"/>
          <w:rFonts w:eastAsia="Montserrat" w:cs="Montserrat" w:ascii="Arial" w:hAnsi="Arial"/>
          <w:b w:val="false"/>
          <w:bCs w:val="false"/>
          <w:color w:val="000000"/>
          <w:sz w:val="24"/>
          <w:szCs w:val="24"/>
        </w:rPr>
        <w:tab/>
        <w:t xml:space="preserve">Não se </w:t>
      </w:r>
      <w:r>
        <w:rPr>
          <w:rStyle w:val="Fontepargpadro"/>
          <w:rFonts w:eastAsia="Montserrat" w:cs="Montserrat" w:ascii="Arial" w:hAnsi="Arial"/>
          <w:b w:val="false"/>
          <w:bCs w:val="false"/>
          <w:color w:val="000000"/>
          <w:kern w:val="2"/>
          <w:sz w:val="24"/>
          <w:szCs w:val="24"/>
          <w:lang w:val="pt-BR" w:eastAsia="zh-CN" w:bidi="hi-IN"/>
        </w:rPr>
        <w:t>aplica</w:t>
      </w:r>
      <w:r>
        <w:rPr>
          <w:rStyle w:val="Fontepargpadro"/>
          <w:rFonts w:eastAsia="Montserrat" w:cs="Montserrat" w:ascii="Arial" w:hAnsi="Arial"/>
          <w:b w:val="false"/>
          <w:bCs w:val="false"/>
          <w:color w:val="000000"/>
          <w:sz w:val="24"/>
          <w:szCs w:val="24"/>
        </w:rPr>
        <w:t xml:space="preserve"> a este caso.</w:t>
      </w:r>
    </w:p>
    <w:p>
      <w:pPr>
        <w:pStyle w:val="Corpodotexto"/>
        <w:widowControl/>
        <w:suppressAutoHyphens w:val="true"/>
        <w:overflowPunct w:val="false"/>
        <w:bidi w:val="0"/>
        <w:spacing w:lineRule="auto" w:line="240" w:before="57" w:after="57"/>
        <w:ind w:left="0" w:right="0" w:hanging="0"/>
        <w:jc w:val="center"/>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9. DEMONSTRATIVO DA PREVISÃO DA CONTRATAÇÃO NO PLANO DE CONTRATAÇÕES ANUAL</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Corpodotexto"/>
        <w:widowControl/>
        <w:suppressAutoHyphens w:val="true"/>
        <w:overflowPunct w:val="false"/>
        <w:bidi w:val="0"/>
        <w:spacing w:lineRule="auto" w:line="240" w:before="57" w:after="57"/>
        <w:ind w:left="0" w:right="0" w:hanging="0"/>
        <w:jc w:val="both"/>
        <w:rPr>
          <w:rFonts w:ascii="Arial" w:hAnsi="Arial" w:eastAsia="Montserrat" w:cs="Montserrat"/>
          <w:b w:val="false"/>
          <w:b w:val="false"/>
          <w:bCs w:val="false"/>
          <w:color w:val="000000"/>
          <w:sz w:val="24"/>
          <w:szCs w:val="24"/>
        </w:rPr>
      </w:pPr>
      <w:r>
        <w:rPr>
          <w:rStyle w:val="Fontepargpadro"/>
          <w:rFonts w:eastAsia="NSimSun" w:cs="Mangal" w:ascii="Arial" w:hAnsi="Arial"/>
          <w:b w:val="false"/>
          <w:bCs w:val="false"/>
          <w:i w:val="false"/>
          <w:iCs w:val="false"/>
          <w:strike w:val="false"/>
          <w:dstrike w:val="false"/>
          <w:outline w:val="false"/>
          <w:shadow w:val="false"/>
          <w:color w:val="000000"/>
          <w:kern w:val="2"/>
          <w:sz w:val="24"/>
          <w:szCs w:val="24"/>
          <w:u w:val="none"/>
          <w:shd w:fill="auto" w:val="clear"/>
          <w:lang w:val="pt-BR" w:eastAsia="zh-CN" w:bidi="hi-IN"/>
        </w:rPr>
        <w:tab/>
        <w:t>A contratação proposta está em conformidade e encontra apoio no MAPP 38. Esse recursos de investimento foram destinados a PEFOCE, e aprovado para utilização no ano de 2023.</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sz w:val="24"/>
          <w:szCs w:val="24"/>
        </w:rPr>
      </w:pPr>
      <w:r>
        <w:rPr>
          <w:rFonts w:eastAsia="Montserrat" w:cs="Montserrat" w:ascii="Arial" w:hAnsi="Arial"/>
          <w:b w:val="false"/>
          <w:bCs w:val="false"/>
          <w:color w:val="000000"/>
          <w:sz w:val="24"/>
          <w:szCs w:val="24"/>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sz w:val="24"/>
          <w:szCs w:val="24"/>
        </w:rPr>
        <w:t>10. DEMONSTRATIVO DOS RESULTADOS PRETENDIDOS</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sz w:val="24"/>
          <w:szCs w:val="24"/>
        </w:rPr>
      </w:pPr>
      <w:r>
        <w:rPr>
          <w:rFonts w:eastAsia="Montserrat" w:cs="Montserrat" w:ascii="Arial" w:hAnsi="Arial"/>
          <w:b/>
          <w:bCs/>
          <w:color w:val="000000"/>
          <w:sz w:val="24"/>
          <w:szCs w:val="24"/>
        </w:rPr>
      </w:r>
    </w:p>
    <w:p>
      <w:pPr>
        <w:pStyle w:val="Normal"/>
        <w:spacing w:lineRule="auto" w:line="360"/>
        <w:ind w:hanging="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shd w:fill="auto" w:val="clear"/>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shd w:fill="auto" w:val="clear"/>
          <w:lang w:val="pt-BR" w:eastAsia="zh-CN" w:bidi="hi-IN"/>
        </w:rPr>
        <w:tab/>
        <w:t xml:space="preserve">A aquisição dos banhos ultrassônicos terá a finalidade de evitar problemas, como instabilidade no sistema cromatográfico, mudança de tempo de retenção de picos, surgimentos de picos indesejados, que podem refletir diretamente nos resultados das análises do laboratório de Toxicologia Forense e, consequentemente, nos laudos periciais. </w:t>
      </w:r>
    </w:p>
    <w:p>
      <w:pPr>
        <w:pStyle w:val="Corpodotexto"/>
        <w:spacing w:lineRule="auto" w:line="360"/>
        <w:ind w:hanging="0"/>
        <w:jc w:val="both"/>
        <w:rPr>
          <w:rFonts w:ascii="Arial" w:hAnsi="Arial" w:eastAsia="NSimSun" w:cs="Mangal"/>
          <w:b w:val="false"/>
          <w:b w:val="false"/>
          <w:bCs w:val="false"/>
          <w:i w:val="false"/>
          <w:i w:val="false"/>
          <w:iCs w:val="false"/>
          <w:strike w:val="false"/>
          <w:dstrike w:val="false"/>
          <w:outline w:val="false"/>
          <w:shadow w:val="false"/>
          <w:color w:val="000000"/>
          <w:kern w:val="2"/>
          <w:sz w:val="24"/>
          <w:szCs w:val="24"/>
          <w:u w:val="none"/>
          <w:shd w:fill="auto" w:val="clear"/>
          <w:lang w:val="pt-BR" w:eastAsia="zh-CN" w:bidi="hi-IN"/>
        </w:rPr>
      </w:pPr>
      <w:r>
        <w:rPr>
          <w:rFonts w:eastAsia="NSimSun" w:cs="Mangal" w:ascii="Arial" w:hAnsi="Arial"/>
          <w:b w:val="false"/>
          <w:bCs w:val="false"/>
          <w:i w:val="false"/>
          <w:iCs w:val="false"/>
          <w:strike w:val="false"/>
          <w:dstrike w:val="false"/>
          <w:outline w:val="false"/>
          <w:shadow w:val="false"/>
          <w:color w:val="000000"/>
          <w:kern w:val="2"/>
          <w:sz w:val="24"/>
          <w:szCs w:val="24"/>
          <w:u w:val="none"/>
          <w:shd w:fill="auto" w:val="clear"/>
          <w:lang w:val="pt-BR" w:eastAsia="zh-CN" w:bidi="hi-IN"/>
        </w:rPr>
        <w:tab/>
        <w:t>Além disso, esse equipamento permite aumentar a vida útil dos HPLC, pois evita desgaste prematuro de peças, acessórios e componentes dos equipamentos.</w:t>
      </w:r>
    </w:p>
    <w:p>
      <w:pPr>
        <w:pStyle w:val="Corpodotexto"/>
        <w:widowControl/>
        <w:suppressAutoHyphens w:val="true"/>
        <w:overflowPunct w:val="false"/>
        <w:bidi w:val="0"/>
        <w:spacing w:lineRule="auto" w:line="360" w:before="57" w:after="57"/>
        <w:ind w:hanging="0"/>
        <w:jc w:val="both"/>
        <w:rPr>
          <w:rFonts w:ascii="Arial" w:hAnsi="Arial" w:eastAsia="NSimSun" w:cs="Mangal"/>
          <w:b w:val="false"/>
          <w:b w:val="false"/>
          <w:bCs w:val="false"/>
          <w:i w:val="false"/>
          <w:i w:val="false"/>
          <w:iCs w:val="false"/>
          <w:strike w:val="false"/>
          <w:dstrike w:val="false"/>
          <w:outline w:val="false"/>
          <w:shadow w:val="false"/>
          <w:color w:val="000000"/>
          <w:kern w:val="2"/>
          <w:sz w:val="20"/>
          <w:szCs w:val="20"/>
          <w:u w:val="none"/>
          <w:lang w:val="pt-BR" w:eastAsia="zh-CN" w:bidi="hi-IN"/>
        </w:rPr>
      </w:pPr>
      <w:r>
        <w:rPr>
          <w:rStyle w:val="Fontepargpadro"/>
          <w:rFonts w:eastAsia="NSimSun" w:cs="Mangal" w:ascii="Arial" w:hAnsi="Arial"/>
          <w:b w:val="false"/>
          <w:bCs w:val="false"/>
          <w:i w:val="false"/>
          <w:iCs w:val="false"/>
          <w:strike w:val="false"/>
          <w:dstrike w:val="false"/>
          <w:outline w:val="false"/>
          <w:shadow w:val="false"/>
          <w:color w:val="000000"/>
          <w:kern w:val="2"/>
          <w:sz w:val="24"/>
          <w:szCs w:val="24"/>
          <w:u w:val="none"/>
          <w:shd w:fill="auto" w:val="clear"/>
          <w:lang w:val="pt-BR" w:eastAsia="zh-CN" w:bidi="hi-IN"/>
        </w:rPr>
        <w:tab/>
        <w:t>Por fim, é importante destacar que a aquisição de um equipamento de banho ultrassônico representa um investimento a longo prazo. O equipamento tem uma vida útil longa e pode ser utilizado em diversos processos químicos, além de garantir a qualidade e a precisão das análises químicas.</w:t>
      </w:r>
    </w:p>
    <w:p>
      <w:pPr>
        <w:pStyle w:val="Corpodotexto"/>
        <w:widowControl/>
        <w:suppressAutoHyphens w:val="true"/>
        <w:overflowPunct w:val="false"/>
        <w:bidi w:val="0"/>
        <w:spacing w:lineRule="auto" w:line="240" w:before="57" w:after="57"/>
        <w:ind w:left="0" w:right="0" w:firstLine="85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kern w:val="2"/>
          <w:sz w:val="24"/>
          <w:szCs w:val="24"/>
          <w:lang w:val="pt-BR" w:eastAsia="zh-CN" w:bidi="hi-IN"/>
        </w:rPr>
        <w:t>11. PROVIDÊNCIAS A SEREM ADOTADAS PELO ÓRGÃO OU ENTIDADE PROMOTORA DA LICITAÇÃO PREVIAMENTE À CELEBRAÇÃO DO CONTRATO</w:t>
      </w:r>
    </w:p>
    <w:p>
      <w:pPr>
        <w:pStyle w:val="Corpodotexto"/>
        <w:widowControl/>
        <w:suppressAutoHyphens w:val="true"/>
        <w:overflowPunct w:val="false"/>
        <w:bidi w:val="0"/>
        <w:spacing w:lineRule="auto" w:line="240" w:before="57" w:after="57"/>
        <w:ind w:left="0" w:right="0" w:hanging="0"/>
        <w:jc w:val="both"/>
        <w:rPr>
          <w:rFonts w:ascii="Arial" w:hAnsi="Arial" w:eastAsia="Montserrat" w:cs="Montserrat"/>
          <w:b/>
          <w:b/>
          <w:bCs/>
          <w:color w:val="000000"/>
          <w:kern w:val="2"/>
          <w:sz w:val="24"/>
          <w:szCs w:val="24"/>
          <w:lang w:val="pt-BR" w:eastAsia="zh-CN" w:bidi="hi-IN"/>
        </w:rPr>
      </w:pPr>
      <w:r>
        <w:rPr>
          <w:rFonts w:eastAsia="Montserrat" w:cs="Montserrat" w:ascii="Arial" w:hAnsi="Arial"/>
          <w:b/>
          <w:bCs/>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firstLine="850"/>
        <w:jc w:val="both"/>
        <w:rPr/>
      </w:pPr>
      <w:r>
        <w:rPr>
          <w:rStyle w:val="Fontepargpadro"/>
          <w:rFonts w:eastAsia="Montserrat" w:cs="Arial" w:ascii="Arial" w:hAnsi="Arial"/>
          <w:b w:val="false"/>
          <w:bCs w:val="false"/>
          <w:color w:val="000000"/>
          <w:kern w:val="2"/>
          <w:sz w:val="24"/>
          <w:szCs w:val="24"/>
          <w:lang w:val="pt-BR" w:eastAsia="zh-CN" w:bidi="hi-IN"/>
        </w:rPr>
        <w:t>Não há necessidade a adaptação do ambiente para recebimento do equipamento supracitado.</w:t>
      </w:r>
    </w:p>
    <w:p>
      <w:pPr>
        <w:pStyle w:val="Corpodotexto"/>
        <w:widowControl/>
        <w:suppressAutoHyphens w:val="true"/>
        <w:overflowPunct w:val="false"/>
        <w:bidi w:val="0"/>
        <w:spacing w:lineRule="auto" w:line="240" w:before="57" w:after="57"/>
        <w:ind w:left="0" w:right="0" w:firstLine="850"/>
        <w:jc w:val="both"/>
        <w:rPr>
          <w:rStyle w:val="Fontepargpadro"/>
          <w:rFonts w:ascii="Arial" w:hAnsi="Arial" w:eastAsia="Montserrat" w:cs="Montserrat"/>
          <w:b/>
          <w:b/>
          <w:bCs/>
          <w:color w:val="000000"/>
          <w:kern w:val="2"/>
          <w:sz w:val="24"/>
          <w:szCs w:val="24"/>
          <w:lang w:val="pt-BR" w:eastAsia="zh-CN" w:bidi="hi-IN"/>
        </w:rPr>
      </w:pPr>
      <w:r>
        <w:rPr>
          <w:rFonts w:eastAsia="Montserrat" w:cs="Montserrat" w:ascii="Arial" w:hAnsi="Arial"/>
          <w:b/>
          <w:bCs/>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b/>
          <w:bCs/>
          <w:color w:val="000000"/>
          <w:kern w:val="2"/>
          <w:sz w:val="24"/>
          <w:szCs w:val="24"/>
          <w:lang w:val="pt-BR" w:eastAsia="zh-CN" w:bidi="hi-IN"/>
        </w:rPr>
      </w:pPr>
      <w:r>
        <w:rPr>
          <w:rFonts w:eastAsia="Montserrat" w:cs="Montserrat" w:ascii="Arial" w:hAnsi="Arial"/>
          <w:b/>
          <w:bCs/>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kern w:val="2"/>
          <w:sz w:val="24"/>
          <w:szCs w:val="24"/>
          <w:lang w:val="pt-BR" w:eastAsia="zh-CN" w:bidi="hi-IN"/>
        </w:rPr>
        <w:t>12. DESCRIÇÃO DE POSSÍVEIS IMPACTOS AMBIENTAIS E RESPECTIVAS MEDIDAS MITIGADORAS</w:t>
      </w:r>
    </w:p>
    <w:p>
      <w:pPr>
        <w:pStyle w:val="Corpodotexto"/>
        <w:widowControl/>
        <w:suppressAutoHyphens w:val="true"/>
        <w:overflowPunct w:val="false"/>
        <w:bidi w:val="0"/>
        <w:spacing w:lineRule="auto" w:line="240" w:before="57" w:after="57"/>
        <w:ind w:left="0" w:right="0" w:hanging="0"/>
        <w:jc w:val="center"/>
        <w:rPr>
          <w:rStyle w:val="Fontepargpadro"/>
          <w:rFonts w:ascii="Arial" w:hAnsi="Arial" w:eastAsia="Montserrat" w:cs="Montserrat"/>
          <w:b w:val="false"/>
          <w:b w:val="false"/>
          <w:bCs w:val="false"/>
          <w:color w:val="000000"/>
          <w:kern w:val="2"/>
          <w:sz w:val="24"/>
          <w:szCs w:val="24"/>
          <w:highlight w:val="yellow"/>
          <w:lang w:val="pt-BR" w:eastAsia="zh-CN" w:bidi="hi-IN"/>
        </w:rPr>
      </w:pPr>
      <w:r>
        <w:rPr>
          <w:rFonts w:eastAsia="Montserrat" w:cs="Montserrat" w:ascii="Arial" w:hAnsi="Arial"/>
          <w:b w:val="false"/>
          <w:bCs w:val="false"/>
          <w:color w:val="000000"/>
          <w:kern w:val="2"/>
          <w:sz w:val="24"/>
          <w:szCs w:val="24"/>
          <w:highlight w:val="yellow"/>
          <w:lang w:val="pt-BR" w:eastAsia="zh-CN" w:bidi="hi-IN"/>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kern w:val="2"/>
          <w:sz w:val="24"/>
          <w:szCs w:val="24"/>
          <w:highlight w:val="yellow"/>
          <w:lang w:val="pt-BR" w:eastAsia="zh-CN" w:bidi="hi-IN"/>
        </w:rPr>
      </w:pPr>
      <w:r>
        <w:rPr>
          <w:rStyle w:val="Fontepargpadro"/>
          <w:rFonts w:eastAsia="Montserrat" w:cs="Arial" w:ascii="Arial" w:hAnsi="Arial"/>
          <w:b w:val="false"/>
          <w:bCs w:val="false"/>
          <w:color w:val="000000"/>
          <w:kern w:val="2"/>
          <w:sz w:val="22"/>
          <w:szCs w:val="22"/>
          <w:shd w:fill="auto" w:val="clear"/>
          <w:lang w:val="pt-BR" w:eastAsia="zh-CN" w:bidi="hi-IN"/>
        </w:rPr>
        <w:tab/>
      </w:r>
      <w:r>
        <w:rPr>
          <w:rStyle w:val="Fontepargpadro"/>
          <w:rFonts w:eastAsia="Montserrat" w:cs="Arial" w:ascii="Arial" w:hAnsi="Arial"/>
          <w:b w:val="false"/>
          <w:bCs w:val="false"/>
          <w:color w:val="000000"/>
          <w:kern w:val="2"/>
          <w:sz w:val="24"/>
          <w:szCs w:val="24"/>
          <w:shd w:fill="auto" w:val="clear"/>
          <w:lang w:val="pt-BR" w:eastAsia="zh-CN" w:bidi="hi-IN"/>
        </w:rPr>
        <w:t>Sem impacto Ambiental significativo.</w:t>
      </w:r>
    </w:p>
    <w:p>
      <w:pPr>
        <w:pStyle w:val="Corpodotexto"/>
        <w:widowControl/>
        <w:suppressAutoHyphens w:val="true"/>
        <w:overflowPunct w:val="false"/>
        <w:bidi w:val="0"/>
        <w:spacing w:lineRule="auto" w:line="240" w:before="57" w:after="57"/>
        <w:ind w:left="0" w:right="0" w:hanging="0"/>
        <w:jc w:val="center"/>
        <w:rPr>
          <w:rStyle w:val="Fontepargpadro"/>
          <w:rFonts w:ascii="Arial" w:hAnsi="Arial" w:eastAsia="Montserrat" w:cs="Montserrat"/>
          <w:b w:val="false"/>
          <w:b w:val="false"/>
          <w:bCs w:val="false"/>
          <w:color w:val="000000"/>
          <w:kern w:val="2"/>
          <w:sz w:val="24"/>
          <w:szCs w:val="24"/>
          <w:highlight w:val="yellow"/>
          <w:lang w:val="pt-BR" w:eastAsia="zh-CN" w:bidi="hi-IN"/>
        </w:rPr>
      </w:pPr>
      <w:r>
        <w:rPr>
          <w:rFonts w:eastAsia="Montserrat" w:cs="Montserrat" w:ascii="Arial" w:hAnsi="Arial"/>
          <w:b w:val="false"/>
          <w:bCs w:val="false"/>
          <w:color w:val="000000"/>
          <w:kern w:val="2"/>
          <w:sz w:val="24"/>
          <w:szCs w:val="24"/>
          <w:highlight w:val="yellow"/>
          <w:lang w:val="pt-BR" w:eastAsia="zh-CN" w:bidi="hi-IN"/>
        </w:rPr>
      </w:r>
    </w:p>
    <w:p>
      <w:pPr>
        <w:pStyle w:val="Corpodotexto"/>
        <w:widowControl/>
        <w:suppressAutoHyphens w:val="true"/>
        <w:overflowPunct w:val="false"/>
        <w:bidi w:val="0"/>
        <w:spacing w:lineRule="auto" w:line="240" w:before="57" w:after="57"/>
        <w:ind w:left="0" w:right="0" w:hanging="0"/>
        <w:jc w:val="center"/>
        <w:rPr>
          <w:rStyle w:val="Fontepargpadro"/>
          <w:rFonts w:ascii="Arial" w:hAnsi="Arial" w:eastAsia="Montserrat" w:cs="Montserrat"/>
          <w:b w:val="false"/>
          <w:b w:val="false"/>
          <w:bCs w:val="false"/>
          <w:color w:val="000000"/>
          <w:kern w:val="2"/>
          <w:sz w:val="24"/>
          <w:szCs w:val="24"/>
          <w:shd w:fill="FFFF00" w:val="clear"/>
          <w:lang w:val="pt-BR" w:eastAsia="zh-CN" w:bidi="hi-IN"/>
        </w:rPr>
      </w:pPr>
      <w:r>
        <w:rPr>
          <w:rFonts w:eastAsia="Montserrat" w:cs="Montserrat" w:ascii="Arial" w:hAnsi="Arial"/>
          <w:b w:val="false"/>
          <w:bCs w:val="false"/>
          <w:color w:val="000000"/>
          <w:kern w:val="2"/>
          <w:sz w:val="24"/>
          <w:szCs w:val="24"/>
          <w:shd w:fill="FFFF00" w:val="clear"/>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bCs/>
          <w:color w:val="000000"/>
          <w:kern w:val="2"/>
          <w:sz w:val="24"/>
          <w:szCs w:val="24"/>
          <w:lang w:val="pt-BR" w:eastAsia="zh-CN" w:bidi="hi-IN"/>
        </w:rPr>
        <w:t>13. POSICIONAMENTO CONCLUSIVO</w:t>
      </w:r>
    </w:p>
    <w:p>
      <w:pPr>
        <w:pStyle w:val="Corpodotexto"/>
        <w:widowControl/>
        <w:suppressAutoHyphens w:val="true"/>
        <w:overflowPunct w:val="false"/>
        <w:bidi w:val="0"/>
        <w:spacing w:lineRule="auto" w:line="240" w:before="57" w:after="57"/>
        <w:ind w:left="0" w:right="0" w:hanging="0"/>
        <w:jc w:val="both"/>
        <w:rPr>
          <w:rFonts w:ascii="Arial" w:hAnsi="Arial" w:eastAsia="Montserrat" w:cs="Montserrat"/>
          <w:b/>
          <w:b/>
          <w:bCs/>
          <w:color w:val="000000"/>
          <w:kern w:val="2"/>
          <w:sz w:val="24"/>
          <w:szCs w:val="24"/>
          <w:lang w:val="pt-BR" w:eastAsia="zh-CN" w:bidi="hi-IN"/>
        </w:rPr>
      </w:pPr>
      <w:r>
        <w:rPr>
          <w:rFonts w:eastAsia="Montserrat" w:cs="Montserrat" w:ascii="Arial" w:hAnsi="Arial"/>
          <w:b/>
          <w:bCs/>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Arial" w:ascii="Arial" w:hAnsi="Arial"/>
          <w:b w:val="false"/>
          <w:bCs w:val="false"/>
          <w:color w:val="000000"/>
          <w:kern w:val="2"/>
          <w:sz w:val="24"/>
          <w:szCs w:val="24"/>
          <w:shd w:fill="auto" w:val="clear"/>
          <w:lang w:val="pt-BR" w:eastAsia="zh-CN" w:bidi="hi-IN"/>
        </w:rPr>
        <w:tab/>
        <w:t xml:space="preserve">Garantir com a aquisição desses itens o aumento na vida útil dos equipamentos de HPLC presente na PEFOCE, assim como possibilitar que os resultados neles obtidos, apresentem melhor qualidade, permitindo a reprodutibilidade, o aumentando da sensibilidade e a diminuição de sinais ruídos. </w:t>
      </w:r>
    </w:p>
    <w:p>
      <w:pPr>
        <w:pStyle w:val="Corpodotexto"/>
        <w:widowControl/>
        <w:suppressAutoHyphens w:val="true"/>
        <w:overflowPunct w:val="false"/>
        <w:bidi w:val="0"/>
        <w:spacing w:lineRule="auto" w:line="240" w:before="57" w:after="57"/>
        <w:ind w:left="0" w:right="0" w:firstLine="85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firstLine="85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val="false"/>
          <w:bCs w:val="false"/>
          <w:color w:val="000000"/>
          <w:kern w:val="2"/>
          <w:sz w:val="24"/>
          <w:szCs w:val="24"/>
          <w:lang w:val="pt-BR" w:eastAsia="zh-CN" w:bidi="hi-IN"/>
        </w:rPr>
        <w:t>Fortaleza, ________ de _____________ de 2023.</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pPr>
      <w:r>
        <w:rPr>
          <w:rStyle w:val="Fontepargpadro"/>
          <w:rFonts w:eastAsia="Montserrat" w:cs="Montserrat" w:ascii="Arial" w:hAnsi="Arial"/>
          <w:b w:val="false"/>
          <w:bCs w:val="false"/>
          <w:color w:val="000000"/>
          <w:kern w:val="2"/>
          <w:sz w:val="24"/>
          <w:szCs w:val="24"/>
          <w:lang w:val="pt-BR" w:eastAsia="zh-CN" w:bidi="hi-IN"/>
        </w:rPr>
        <w:t>Elaborado por:</w:t>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p>
      <w:pPr>
        <w:pStyle w:val="Corpodotexto"/>
        <w:widowControl/>
        <w:suppressAutoHyphens w:val="true"/>
        <w:overflowPunct w:val="false"/>
        <w:bidi w:val="0"/>
        <w:spacing w:lineRule="auto" w:line="240" w:before="57" w:after="57"/>
        <w:ind w:left="0" w:right="0" w:hanging="0"/>
        <w:jc w:val="both"/>
        <w:rPr>
          <w:rStyle w:val="Fontepargpadro"/>
          <w:rFonts w:ascii="Arial" w:hAnsi="Arial" w:eastAsia="Montserrat" w:cs="Montserrat"/>
          <w:b w:val="false"/>
          <w:b w:val="false"/>
          <w:bCs w:val="false"/>
          <w:color w:val="000000"/>
          <w:kern w:val="2"/>
          <w:sz w:val="24"/>
          <w:szCs w:val="24"/>
          <w:lang w:val="pt-BR" w:eastAsia="zh-CN" w:bidi="hi-IN"/>
        </w:rPr>
      </w:pPr>
      <w:r>
        <w:rPr>
          <w:rFonts w:eastAsia="Montserrat" w:cs="Montserrat" w:ascii="Arial" w:hAnsi="Arial"/>
          <w:b w:val="false"/>
          <w:bCs w:val="false"/>
          <w:color w:val="000000"/>
          <w:kern w:val="2"/>
          <w:sz w:val="24"/>
          <w:szCs w:val="24"/>
          <w:lang w:val="pt-BR" w:eastAsia="zh-CN" w:bidi="hi-IN"/>
        </w:rPr>
      </w:r>
    </w:p>
    <w:tbl>
      <w:tblPr>
        <w:tblW w:w="10106" w:type="dxa"/>
        <w:jc w:val="left"/>
        <w:tblInd w:w="0" w:type="dxa"/>
        <w:tblLayout w:type="fixed"/>
        <w:tblCellMar>
          <w:top w:w="55" w:type="dxa"/>
          <w:left w:w="55" w:type="dxa"/>
          <w:bottom w:w="55" w:type="dxa"/>
          <w:right w:w="55" w:type="dxa"/>
        </w:tblCellMar>
      </w:tblPr>
      <w:tblGrid>
        <w:gridCol w:w="5053"/>
        <w:gridCol w:w="5052"/>
      </w:tblGrid>
      <w:tr>
        <w:trPr/>
        <w:tc>
          <w:tcPr>
            <w:tcW w:w="5053" w:type="dxa"/>
            <w:tcBorders/>
          </w:tcPr>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Fonts w:cs="Times New Roman" w:ascii="Times New Roman" w:hAnsi="Times New Roman"/>
                <w:b w:val="false"/>
                <w:szCs w:val="24"/>
              </w:rPr>
              <w:t>________________________</w:t>
            </w:r>
          </w:p>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Style w:val="Fontepargpadro"/>
                <w:rFonts w:eastAsia="Arial" w:cs="Arial" w:ascii="Arial" w:hAnsi="Arial"/>
                <w:b w:val="false"/>
                <w:bCs w:val="false"/>
                <w:i w:val="false"/>
                <w:iCs w:val="false"/>
                <w:color w:val="000000"/>
                <w:kern w:val="0"/>
                <w:sz w:val="22"/>
                <w:szCs w:val="22"/>
                <w:u w:val="none"/>
                <w:shd w:fill="auto" w:val="clear"/>
                <w:lang w:val="pt-PT" w:eastAsia="en-US" w:bidi="ar-SA"/>
              </w:rPr>
              <w:t>Allyne Ferreira Gama</w:t>
            </w:r>
          </w:p>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Style w:val="Fontepargpadro"/>
                <w:rFonts w:eastAsia="Arial" w:cs="Arial" w:ascii="Arial" w:hAnsi="Arial"/>
                <w:b/>
                <w:bCs/>
                <w:i w:val="false"/>
                <w:iCs w:val="false"/>
                <w:color w:val="000000"/>
                <w:kern w:val="0"/>
                <w:sz w:val="22"/>
                <w:szCs w:val="22"/>
                <w:u w:val="none"/>
                <w:shd w:fill="auto" w:val="clear"/>
                <w:lang w:val="pt-PT" w:eastAsia="en-US" w:bidi="ar-SA"/>
              </w:rPr>
              <w:t>Assessora Técnica</w:t>
            </w:r>
          </w:p>
          <w:p>
            <w:pPr>
              <w:pStyle w:val="Normal"/>
              <w:widowControl w:val="false"/>
              <w:numPr>
                <w:ilvl w:val="0"/>
                <w:numId w:val="0"/>
              </w:numPr>
              <w:tabs>
                <w:tab w:val="clear" w:pos="720"/>
                <w:tab w:val="left" w:pos="-2184" w:leader="none"/>
                <w:tab w:val="left" w:pos="1077" w:leader="none"/>
              </w:tabs>
              <w:suppressAutoHyphens w:val="true"/>
              <w:bidi w:val="0"/>
              <w:snapToGrid w:val="false"/>
              <w:spacing w:lineRule="auto" w:line="240" w:before="57" w:after="57"/>
              <w:ind w:left="0" w:right="0" w:hanging="0"/>
              <w:jc w:val="center"/>
              <w:rPr>
                <w:rFonts w:ascii="Arial" w:hAnsi="Arial" w:eastAsia="Arial" w:cs="Arial"/>
                <w:b w:val="false"/>
                <w:b w:val="false"/>
                <w:bCs w:val="false"/>
                <w:i w:val="false"/>
                <w:i w:val="false"/>
                <w:iCs w:val="false"/>
                <w:color w:val="000000"/>
                <w:kern w:val="0"/>
                <w:sz w:val="22"/>
                <w:szCs w:val="22"/>
                <w:u w:val="none"/>
                <w:shd w:fill="auto" w:val="clear"/>
                <w:lang w:val="pt-PT" w:eastAsia="en-US" w:bidi="ar-SA"/>
              </w:rPr>
            </w:pPr>
            <w:r>
              <w:rPr>
                <w:rStyle w:val="Fontepargpadro"/>
                <w:rFonts w:eastAsia="Arial" w:cs="Times New Roman" w:ascii="Times New Roman" w:hAnsi="Times New Roman"/>
                <w:b w:val="false"/>
                <w:bCs w:val="false"/>
                <w:i w:val="false"/>
                <w:iCs w:val="false"/>
                <w:color w:val="000000"/>
                <w:kern w:val="0"/>
                <w:sz w:val="22"/>
                <w:szCs w:val="24"/>
                <w:u w:val="none"/>
                <w:shd w:fill="auto" w:val="clear"/>
                <w:lang w:val="pt-PT" w:eastAsia="en-US" w:bidi="ar-SA"/>
              </w:rPr>
              <w:t>Matrícula: 300.003 - 2 - 3</w:t>
            </w:r>
          </w:p>
        </w:tc>
        <w:tc>
          <w:tcPr>
            <w:tcW w:w="5052" w:type="dxa"/>
            <w:tcBorders/>
          </w:tcPr>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Fonts w:cs="Times New Roman" w:ascii="Times New Roman" w:hAnsi="Times New Roman"/>
                <w:b w:val="false"/>
                <w:szCs w:val="24"/>
              </w:rPr>
              <w:t>________________________</w:t>
            </w:r>
          </w:p>
          <w:p>
            <w:pPr>
              <w:pStyle w:val="Normal"/>
              <w:widowControl w:val="false"/>
              <w:numPr>
                <w:ilvl w:val="0"/>
                <w:numId w:val="0"/>
              </w:numPr>
              <w:tabs>
                <w:tab w:val="clear" w:pos="720"/>
                <w:tab w:val="left" w:pos="0" w:leader="none"/>
                <w:tab w:val="left" w:pos="567" w:leader="none"/>
                <w:tab w:val="left" w:pos="5103" w:leader="none"/>
              </w:tabs>
              <w:suppressAutoHyphens w:val="true"/>
              <w:bidi w:val="0"/>
              <w:spacing w:lineRule="auto" w:line="276" w:before="120" w:after="0"/>
              <w:ind w:left="0" w:right="0" w:hanging="0"/>
              <w:jc w:val="center"/>
              <w:rPr>
                <w:rFonts w:ascii="Arial" w:hAnsi="Arial" w:cs="Arial"/>
                <w:sz w:val="22"/>
                <w:szCs w:val="22"/>
              </w:rPr>
            </w:pPr>
            <w:r>
              <w:rPr>
                <w:rStyle w:val="Fontepargpadro"/>
                <w:rFonts w:eastAsia="Arial" w:cs="Arial" w:ascii="Arial" w:hAnsi="Arial"/>
                <w:b w:val="false"/>
                <w:bCs w:val="false"/>
                <w:i w:val="false"/>
                <w:iCs w:val="false"/>
                <w:color w:val="000000"/>
                <w:kern w:val="0"/>
                <w:sz w:val="22"/>
                <w:szCs w:val="22"/>
                <w:u w:val="none"/>
                <w:shd w:fill="auto" w:val="clear"/>
                <w:lang w:val="pt-PT" w:eastAsia="en-US" w:bidi="ar-SA"/>
              </w:rPr>
              <w:t>Danielle de Paula Magalhães</w:t>
            </w:r>
          </w:p>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Style w:val="Fontepargpadro"/>
                <w:rFonts w:eastAsia="Arial" w:cs="Arial" w:ascii="Arial" w:hAnsi="Arial"/>
                <w:b/>
                <w:bCs/>
                <w:i w:val="false"/>
                <w:iCs w:val="false"/>
                <w:color w:val="000000"/>
                <w:kern w:val="0"/>
                <w:sz w:val="22"/>
                <w:szCs w:val="22"/>
                <w:u w:val="none"/>
                <w:shd w:fill="auto" w:val="clear"/>
                <w:lang w:val="pt-PT" w:eastAsia="en-US" w:bidi="ar-SA"/>
              </w:rPr>
              <w:t>Supervisora do Núcleo de Tóxicologia Forense</w:t>
            </w:r>
          </w:p>
          <w:p>
            <w:pPr>
              <w:pStyle w:val="Normal"/>
              <w:widowControl w:val="false"/>
              <w:numPr>
                <w:ilvl w:val="0"/>
                <w:numId w:val="0"/>
              </w:numPr>
              <w:tabs>
                <w:tab w:val="clear" w:pos="720"/>
                <w:tab w:val="left" w:pos="-2184" w:leader="none"/>
                <w:tab w:val="left" w:pos="1077" w:leader="none"/>
              </w:tabs>
              <w:suppressAutoHyphens w:val="true"/>
              <w:bidi w:val="0"/>
              <w:snapToGrid w:val="false"/>
              <w:spacing w:lineRule="auto" w:line="240" w:before="57" w:after="57"/>
              <w:ind w:left="0" w:right="0" w:hanging="0"/>
              <w:jc w:val="center"/>
              <w:rPr>
                <w:rFonts w:ascii="Arial" w:hAnsi="Arial" w:eastAsia="Arial" w:cs="Arial"/>
                <w:b w:val="false"/>
                <w:b w:val="false"/>
                <w:bCs w:val="false"/>
                <w:i w:val="false"/>
                <w:i w:val="false"/>
                <w:iCs w:val="false"/>
                <w:color w:val="000000"/>
                <w:kern w:val="0"/>
                <w:sz w:val="22"/>
                <w:szCs w:val="22"/>
                <w:u w:val="none"/>
                <w:shd w:fill="auto" w:val="clear"/>
                <w:lang w:val="pt-PT" w:eastAsia="en-US" w:bidi="ar-SA"/>
              </w:rPr>
            </w:pPr>
            <w:r>
              <w:rPr>
                <w:rStyle w:val="Fontepargpadro"/>
                <w:rFonts w:eastAsia="Arial" w:cs="Times New Roman" w:ascii="Times New Roman" w:hAnsi="Times New Roman"/>
                <w:b w:val="false"/>
                <w:bCs w:val="false"/>
                <w:i w:val="false"/>
                <w:iCs w:val="false"/>
                <w:color w:val="000000"/>
                <w:kern w:val="0"/>
                <w:sz w:val="22"/>
                <w:szCs w:val="24"/>
                <w:u w:val="none"/>
                <w:shd w:fill="auto" w:val="clear"/>
                <w:lang w:val="pt-PT" w:eastAsia="en-US" w:bidi="ar-SA"/>
              </w:rPr>
              <w:t xml:space="preserve">Matrícula:  </w:t>
            </w:r>
            <w:r>
              <w:rPr>
                <w:rStyle w:val="Fontepargpadro"/>
                <w:rFonts w:eastAsia="Arial" w:cs="Arial" w:ascii="Arial" w:hAnsi="Arial"/>
                <w:b w:val="false"/>
                <w:bCs w:val="false"/>
                <w:i w:val="false"/>
                <w:iCs w:val="false"/>
                <w:color w:val="000000"/>
                <w:kern w:val="0"/>
                <w:sz w:val="22"/>
                <w:szCs w:val="22"/>
                <w:u w:val="none"/>
                <w:shd w:fill="auto" w:val="clear"/>
                <w:lang w:val="pt-PT" w:eastAsia="en-US" w:bidi="ar-SA"/>
              </w:rPr>
              <w:t>300.122-1-6</w:t>
            </w:r>
          </w:p>
        </w:tc>
      </w:tr>
      <w:tr>
        <w:trPr/>
        <w:tc>
          <w:tcPr>
            <w:tcW w:w="5053" w:type="dxa"/>
            <w:tcBorders/>
          </w:tcPr>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pPr>
            <w:r>
              <w:rPr>
                <w:rFonts w:cs="Times New Roman" w:ascii="Times New Roman" w:hAnsi="Times New Roman"/>
                <w:b w:val="false"/>
                <w:szCs w:val="24"/>
              </w:rPr>
              <w:t>________________________</w:t>
            </w:r>
          </w:p>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rFonts w:ascii="Arial" w:hAnsi="Arial" w:eastAsia="Arial" w:cs="Arial"/>
                <w:b w:val="false"/>
                <w:b w:val="false"/>
                <w:bCs w:val="false"/>
                <w:i w:val="false"/>
                <w:i w:val="false"/>
                <w:iCs w:val="false"/>
                <w:color w:val="000000"/>
                <w:kern w:val="0"/>
                <w:sz w:val="22"/>
                <w:szCs w:val="22"/>
                <w:u w:val="none"/>
                <w:shd w:fill="auto" w:val="clear"/>
                <w:lang w:val="pt-PT" w:eastAsia="en-US" w:bidi="ar-SA"/>
              </w:rPr>
            </w:pPr>
            <w:r>
              <w:rPr>
                <w:rStyle w:val="Fontepargpadro"/>
                <w:rFonts w:eastAsia="Arial" w:cs="Arial" w:ascii="Arial" w:hAnsi="Arial"/>
                <w:b w:val="false"/>
                <w:bCs w:val="false"/>
                <w:i w:val="false"/>
                <w:iCs w:val="false"/>
                <w:color w:val="000000"/>
                <w:kern w:val="0"/>
                <w:sz w:val="22"/>
                <w:szCs w:val="22"/>
                <w:u w:val="none"/>
                <w:shd w:fill="auto" w:val="clear"/>
                <w:lang w:val="pt-PT" w:eastAsia="en-US" w:bidi="ar-SA"/>
              </w:rPr>
              <w:t>Túlio Ítalo  da Silva Oliveira</w:t>
            </w:r>
          </w:p>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rFonts w:ascii="Arial" w:hAnsi="Arial" w:eastAsia="Arial" w:cs="Arial"/>
                <w:b/>
                <w:b/>
                <w:bCs/>
                <w:i w:val="false"/>
                <w:i w:val="false"/>
                <w:iCs w:val="false"/>
                <w:color w:val="000000"/>
                <w:kern w:val="0"/>
                <w:sz w:val="22"/>
                <w:szCs w:val="22"/>
                <w:u w:val="none"/>
                <w:shd w:fill="auto" w:val="clear"/>
                <w:lang w:val="pt-BR" w:eastAsia="en-US" w:bidi="ar-SA"/>
              </w:rPr>
            </w:pPr>
            <w:r>
              <w:rPr>
                <w:rStyle w:val="Fontepargpadro"/>
                <w:rFonts w:eastAsia="Arial" w:cs="Arial" w:ascii="Arial" w:hAnsi="Arial"/>
                <w:b/>
                <w:bCs/>
                <w:i w:val="false"/>
                <w:iCs w:val="false"/>
                <w:color w:val="000000"/>
                <w:kern w:val="0"/>
                <w:sz w:val="22"/>
                <w:szCs w:val="22"/>
                <w:u w:val="none"/>
                <w:shd w:fill="auto" w:val="clear"/>
                <w:lang w:val="pt-BR" w:eastAsia="en-US" w:bidi="ar-SA"/>
              </w:rPr>
              <w:t>Coordenador da Coordenadoria de Análises Laboratoriais Forenses</w:t>
            </w:r>
          </w:p>
          <w:p>
            <w:pPr>
              <w:pStyle w:val="Normal"/>
              <w:widowControl w:val="false"/>
              <w:numPr>
                <w:ilvl w:val="0"/>
                <w:numId w:val="0"/>
              </w:numPr>
              <w:tabs>
                <w:tab w:val="clear" w:pos="720"/>
                <w:tab w:val="left" w:pos="-2184" w:leader="none"/>
                <w:tab w:val="left" w:pos="1077" w:leader="none"/>
              </w:tabs>
              <w:suppressAutoHyphens w:val="true"/>
              <w:bidi w:val="0"/>
              <w:snapToGrid w:val="false"/>
              <w:spacing w:lineRule="auto" w:line="240" w:before="57" w:after="57"/>
              <w:ind w:left="0" w:right="0" w:hanging="0"/>
              <w:jc w:val="center"/>
              <w:rPr>
                <w:rFonts w:ascii="Arial" w:hAnsi="Arial" w:eastAsia="Arial" w:cs="Arial"/>
                <w:b w:val="false"/>
                <w:b w:val="false"/>
                <w:bCs w:val="false"/>
                <w:i w:val="false"/>
                <w:i w:val="false"/>
                <w:iCs w:val="false"/>
                <w:color w:val="000000"/>
                <w:kern w:val="0"/>
                <w:sz w:val="22"/>
                <w:szCs w:val="22"/>
                <w:u w:val="none"/>
                <w:shd w:fill="auto" w:val="clear"/>
                <w:lang w:val="pt-PT" w:eastAsia="en-US" w:bidi="ar-SA"/>
              </w:rPr>
            </w:pPr>
            <w:r>
              <w:rPr>
                <w:rStyle w:val="Fontepargpadro"/>
                <w:rFonts w:eastAsia="Arial" w:cs="Times New Roman" w:ascii="Times New Roman" w:hAnsi="Times New Roman"/>
                <w:b w:val="false"/>
                <w:bCs w:val="false"/>
                <w:i w:val="false"/>
                <w:iCs w:val="false"/>
                <w:color w:val="000000"/>
                <w:kern w:val="0"/>
                <w:sz w:val="22"/>
                <w:szCs w:val="24"/>
                <w:u w:val="none"/>
                <w:shd w:fill="auto" w:val="clear"/>
                <w:lang w:val="pt-PT" w:eastAsia="en-US" w:bidi="ar-SA"/>
              </w:rPr>
              <w:t xml:space="preserve">Matrícula: </w:t>
            </w:r>
            <w:r>
              <w:rPr>
                <w:rStyle w:val="Fontepargpadro"/>
                <w:rFonts w:eastAsia="Montserrat" w:cs="Arial" w:ascii="Arial" w:hAnsi="Arial"/>
                <w:b w:val="false"/>
                <w:bCs w:val="false"/>
                <w:i w:val="false"/>
                <w:iCs w:val="false"/>
                <w:color w:val="000000"/>
                <w:kern w:val="0"/>
                <w:sz w:val="20"/>
                <w:szCs w:val="20"/>
                <w:u w:val="none"/>
                <w:shd w:fill="auto" w:val="clear"/>
                <w:lang w:val="pt-PT" w:eastAsia="en-US" w:bidi="ar-SA"/>
              </w:rPr>
              <w:t>300.291-2-7</w:t>
            </w:r>
          </w:p>
        </w:tc>
        <w:tc>
          <w:tcPr>
            <w:tcW w:w="5052" w:type="dxa"/>
            <w:tcBorders/>
          </w:tcPr>
          <w:p>
            <w:pPr>
              <w:pStyle w:val="PM1"/>
              <w:widowControl w:val="false"/>
              <w:numPr>
                <w:ilvl w:val="0"/>
                <w:numId w:val="0"/>
              </w:numPr>
              <w:tabs>
                <w:tab w:val="clear" w:pos="720"/>
                <w:tab w:val="left" w:pos="0" w:leader="none"/>
                <w:tab w:val="left" w:pos="567" w:leader="none"/>
                <w:tab w:val="left" w:pos="5103" w:leader="none"/>
              </w:tabs>
              <w:suppressAutoHyphens w:val="true"/>
              <w:bidi w:val="0"/>
              <w:spacing w:lineRule="auto" w:line="240" w:before="120" w:after="0"/>
              <w:ind w:left="0" w:right="0" w:hanging="0"/>
              <w:jc w:val="center"/>
              <w:rPr>
                <w:rStyle w:val="Fontepargpadro"/>
                <w:rFonts w:ascii="Arial" w:hAnsi="Arial" w:eastAsia="Arial" w:cs="Arial"/>
                <w:b/>
                <w:b/>
                <w:bCs/>
                <w:i w:val="false"/>
                <w:i w:val="false"/>
                <w:iCs w:val="false"/>
                <w:color w:val="000000"/>
                <w:sz w:val="22"/>
                <w:szCs w:val="22"/>
                <w:u w:val="none"/>
                <w:shd w:fill="auto" w:val="clear"/>
                <w:lang w:val="pt-PT" w:eastAsia="en-US"/>
              </w:rPr>
            </w:pPr>
            <w:r>
              <w:rPr>
                <w:rFonts w:eastAsia="Arial" w:cs="Arial" w:ascii="Arial" w:hAnsi="Arial"/>
                <w:b/>
                <w:bCs/>
                <w:i w:val="false"/>
                <w:iCs w:val="false"/>
                <w:color w:val="000000"/>
                <w:sz w:val="22"/>
                <w:szCs w:val="22"/>
                <w:u w:val="none"/>
                <w:shd w:fill="auto" w:val="clear"/>
                <w:lang w:val="pt-PT" w:eastAsia="en-US"/>
              </w:rPr>
            </w:r>
          </w:p>
        </w:tc>
      </w:tr>
    </w:tbl>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Style w:val="Fontepargpadro"/>
          <w:rFonts w:eastAsia="Times New Roman"/>
          <w:color w:val="000000"/>
          <w:sz w:val="24"/>
          <w:szCs w:val="24"/>
          <w:lang w:eastAsia="ar-SA"/>
        </w:rPr>
      </w:pPr>
      <w:r>
        <w:rPr>
          <w:rFonts w:eastAsia="Times New Roman"/>
          <w:color w:val="000000"/>
          <w:sz w:val="24"/>
          <w:szCs w:val="24"/>
          <w:lang w:eastAsia="ar-SA"/>
        </w:rPr>
      </w:r>
    </w:p>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Style w:val="Fontepargpadro"/>
          <w:rFonts w:eastAsia="Times New Roman"/>
          <w:color w:val="000000"/>
          <w:sz w:val="24"/>
          <w:szCs w:val="24"/>
          <w:lang w:eastAsia="ar-SA"/>
        </w:rPr>
      </w:pPr>
      <w:r>
        <w:rPr>
          <w:rFonts w:eastAsia="Times New Roman"/>
          <w:color w:val="000000"/>
          <w:sz w:val="24"/>
          <w:szCs w:val="24"/>
          <w:lang w:eastAsia="ar-SA"/>
        </w:rPr>
      </w:r>
    </w:p>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Style w:val="Fontepargpadro"/>
          <w:rFonts w:eastAsia="Times New Roman"/>
          <w:color w:val="000000"/>
          <w:sz w:val="24"/>
          <w:szCs w:val="24"/>
          <w:lang w:eastAsia="ar-SA"/>
        </w:rPr>
      </w:pPr>
      <w:r>
        <w:rPr>
          <w:rFonts w:eastAsia="Times New Roman"/>
          <w:color w:val="000000"/>
          <w:sz w:val="24"/>
          <w:szCs w:val="24"/>
          <w:lang w:eastAsia="ar-SA"/>
        </w:rPr>
      </w:r>
    </w:p>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Fonts w:ascii="Arial" w:hAnsi="Arial" w:cs="Arial"/>
          <w:b w:val="false"/>
          <w:b w:val="false"/>
          <w:bCs w:val="false"/>
          <w:sz w:val="22"/>
          <w:szCs w:val="22"/>
        </w:rPr>
      </w:pPr>
      <w:r>
        <w:rPr>
          <w:rStyle w:val="Fontepargpadro"/>
          <w:rFonts w:eastAsia="Times New Roman" w:cs="Arial" w:ascii="Arial" w:hAnsi="Arial"/>
          <w:b w:val="false"/>
          <w:bCs w:val="false"/>
          <w:color w:val="000000"/>
          <w:sz w:val="24"/>
          <w:szCs w:val="24"/>
          <w:lang w:eastAsia="ar-SA"/>
        </w:rPr>
        <w:t>Aprovado:</w:t>
      </w:r>
    </w:p>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Style w:val="Fontepargpadro"/>
          <w:rFonts w:eastAsia="Times New Roman"/>
          <w:color w:val="000000"/>
          <w:sz w:val="24"/>
          <w:szCs w:val="24"/>
          <w:lang w:eastAsia="ar-SA"/>
        </w:rPr>
      </w:pPr>
      <w:r>
        <w:rPr>
          <w:rFonts w:eastAsia="Times New Roman"/>
          <w:color w:val="000000"/>
          <w:sz w:val="24"/>
          <w:szCs w:val="24"/>
          <w:lang w:eastAsia="ar-SA"/>
        </w:rPr>
      </w:r>
    </w:p>
    <w:p>
      <w:pPr>
        <w:pStyle w:val="Normal"/>
        <w:widowControl/>
        <w:tabs>
          <w:tab w:val="clear" w:pos="720"/>
          <w:tab w:val="left" w:pos="-2268" w:leader="none"/>
          <w:tab w:val="left" w:pos="993" w:leader="none"/>
        </w:tabs>
        <w:suppressAutoHyphens w:val="true"/>
        <w:overflowPunct w:val="false"/>
        <w:bidi w:val="0"/>
        <w:spacing w:lineRule="auto" w:line="240" w:before="57" w:after="57"/>
        <w:ind w:left="0" w:right="0" w:hanging="0"/>
        <w:jc w:val="both"/>
        <w:rPr>
          <w:rFonts w:ascii="Arial" w:hAnsi="Arial" w:eastAsia="N117" w:cs="Arial"/>
          <w:b w:val="false"/>
          <w:b w:val="false"/>
          <w:bCs w:val="false"/>
          <w:i/>
          <w:i/>
          <w:iCs/>
          <w:color w:val="000000"/>
          <w:kern w:val="2"/>
          <w:sz w:val="24"/>
          <w:szCs w:val="24"/>
          <w:u w:val="none"/>
          <w:lang w:val="pt-BR" w:eastAsia="zxx" w:bidi="ar-SA"/>
        </w:rPr>
      </w:pPr>
      <w:r>
        <w:rPr>
          <w:rStyle w:val="Fontepargpadro"/>
          <w:rFonts w:eastAsia="Times New Roman" w:cs="Arial" w:ascii="Arial" w:hAnsi="Arial"/>
          <w:b w:val="false"/>
          <w:bCs w:val="false"/>
          <w:i w:val="false"/>
          <w:iCs w:val="false"/>
          <w:strike w:val="false"/>
          <w:dstrike w:val="false"/>
          <w:color w:val="000000"/>
          <w:kern w:val="0"/>
          <w:sz w:val="24"/>
          <w:szCs w:val="24"/>
          <w:u w:val="none"/>
          <w:shd w:fill="FFFFFF" w:val="clear"/>
          <w:lang w:val="pt-BR" w:eastAsia="ar-SA" w:bidi="ar-SA"/>
        </w:rPr>
        <w:t>________________________________________________</w:t>
      </w:r>
    </w:p>
    <w:p>
      <w:pPr>
        <w:pStyle w:val="Normal"/>
        <w:widowControl/>
        <w:tabs>
          <w:tab w:val="clear" w:pos="720"/>
          <w:tab w:val="left" w:pos="-2268" w:leader="none"/>
          <w:tab w:val="left" w:pos="993" w:leader="none"/>
        </w:tabs>
        <w:suppressAutoHyphens w:val="true"/>
        <w:overflowPunct w:val="false"/>
        <w:bidi w:val="0"/>
        <w:spacing w:lineRule="auto" w:line="240" w:before="57" w:after="57"/>
        <w:ind w:left="0" w:right="0" w:hanging="0"/>
        <w:jc w:val="both"/>
        <w:rPr>
          <w:rFonts w:ascii="Arial" w:hAnsi="Arial" w:eastAsia="N117" w:cs="Arial"/>
          <w:b w:val="false"/>
          <w:b w:val="false"/>
          <w:bCs w:val="false"/>
          <w:i/>
          <w:i/>
          <w:iCs/>
          <w:color w:val="000000"/>
          <w:kern w:val="2"/>
          <w:sz w:val="24"/>
          <w:szCs w:val="24"/>
          <w:u w:val="none"/>
          <w:lang w:val="pt-BR" w:eastAsia="zxx" w:bidi="ar-SA"/>
        </w:rPr>
      </w:pPr>
      <w:r>
        <w:rPr>
          <w:rStyle w:val="Fontepargpadro"/>
          <w:rFonts w:eastAsia="Times New Roman" w:cs="Arial" w:ascii="Arial" w:hAnsi="Arial"/>
          <w:b w:val="false"/>
          <w:bCs w:val="false"/>
          <w:i w:val="false"/>
          <w:iCs w:val="false"/>
          <w:strike w:val="false"/>
          <w:dstrike w:val="false"/>
          <w:color w:val="000000"/>
          <w:kern w:val="0"/>
          <w:sz w:val="24"/>
          <w:szCs w:val="24"/>
          <w:u w:val="none"/>
          <w:shd w:fill="FFFFFF" w:val="clear"/>
          <w:lang w:val="pt-BR" w:eastAsia="ar-SA" w:bidi="ar-SA"/>
        </w:rPr>
        <w:t>Manuela Chaves Loureiro Cândido</w:t>
      </w:r>
    </w:p>
    <w:p>
      <w:pPr>
        <w:pStyle w:val="Normal"/>
        <w:widowControl/>
        <w:tabs>
          <w:tab w:val="clear" w:pos="720"/>
          <w:tab w:val="left" w:pos="-2268" w:leader="none"/>
          <w:tab w:val="left" w:pos="993" w:leader="none"/>
        </w:tabs>
        <w:suppressAutoHyphens w:val="true"/>
        <w:overflowPunct w:val="false"/>
        <w:bidi w:val="0"/>
        <w:spacing w:lineRule="auto" w:line="240" w:before="57" w:after="57"/>
        <w:ind w:left="0" w:right="0" w:hanging="0"/>
        <w:jc w:val="both"/>
        <w:rPr>
          <w:rFonts w:ascii="Arial" w:hAnsi="Arial" w:eastAsia="N117" w:cs="Arial"/>
          <w:b w:val="false"/>
          <w:b w:val="false"/>
          <w:bCs w:val="false"/>
          <w:i/>
          <w:i/>
          <w:iCs/>
          <w:color w:val="000000"/>
          <w:kern w:val="2"/>
          <w:sz w:val="24"/>
          <w:szCs w:val="24"/>
          <w:u w:val="none"/>
          <w:lang w:val="pt-BR" w:eastAsia="zxx" w:bidi="ar-SA"/>
        </w:rPr>
      </w:pPr>
      <w:r>
        <w:rPr>
          <w:rStyle w:val="Fontepargpadro"/>
          <w:rFonts w:eastAsia="Times New Roman" w:cs="Arial" w:ascii="Arial" w:hAnsi="Arial"/>
          <w:b w:val="false"/>
          <w:bCs w:val="false"/>
          <w:i w:val="false"/>
          <w:iCs w:val="false"/>
          <w:strike w:val="false"/>
          <w:dstrike w:val="false"/>
          <w:color w:val="000000"/>
          <w:kern w:val="0"/>
          <w:sz w:val="24"/>
          <w:szCs w:val="24"/>
          <w:u w:val="none"/>
          <w:shd w:fill="FFFFFF" w:val="clear"/>
          <w:lang w:val="pt-BR" w:eastAsia="ar-SA" w:bidi="ar-SA"/>
        </w:rPr>
        <w:t xml:space="preserve">Diretora de Planejamento e Gestão Interna – DPGI/PEFOCE </w:t>
      </w:r>
    </w:p>
    <w:p>
      <w:pPr>
        <w:pStyle w:val="Normal"/>
        <w:widowControl/>
        <w:tabs>
          <w:tab w:val="clear" w:pos="720"/>
          <w:tab w:val="left" w:pos="4826" w:leader="none"/>
          <w:tab w:val="left" w:pos="10028" w:leader="none"/>
          <w:tab w:val="left" w:pos="10158" w:leader="none"/>
          <w:tab w:val="left" w:pos="10288" w:leader="none"/>
          <w:tab w:val="left" w:pos="10326" w:leader="none"/>
        </w:tabs>
        <w:suppressAutoHyphens w:val="true"/>
        <w:overflowPunct w:val="false"/>
        <w:bidi w:val="0"/>
        <w:spacing w:lineRule="auto" w:line="240" w:before="113" w:after="113"/>
        <w:ind w:left="0" w:right="0" w:hanging="0"/>
        <w:jc w:val="both"/>
        <w:rPr>
          <w:rStyle w:val="Fontepargpadro"/>
          <w:rFonts w:eastAsia="Times New Roman"/>
          <w:color w:val="000000"/>
          <w:sz w:val="24"/>
          <w:szCs w:val="24"/>
          <w:lang w:eastAsia="ar-SA"/>
        </w:rPr>
      </w:pPr>
      <w:r>
        <w:rPr/>
      </w:r>
    </w:p>
    <w:sectPr>
      <w:headerReference w:type="default" r:id="rId3"/>
      <w:type w:val="nextPage"/>
      <w:pgSz w:w="11906" w:h="16838"/>
      <w:pgMar w:left="1134" w:right="1134" w:header="1134" w:top="1693"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Arial">
    <w:charset w:val="00"/>
    <w:family w:val="roman"/>
    <w:pitch w:val="variable"/>
  </w:font>
  <w:font w:name="Symbol">
    <w:charset w:val="00"/>
    <w:family w:val="roman"/>
    <w:pitch w:val="variable"/>
  </w:font>
  <w:font w:name="Liberation Sans">
    <w:altName w:val="Arial"/>
    <w:charset w:val="00"/>
    <w:family w:val="roman"/>
    <w:pitch w:val="variable"/>
  </w:font>
  <w:font w:name="Calibri">
    <w:charset w:val="00"/>
    <w:family w:val="roman"/>
    <w:pitch w:val="variable"/>
  </w:font>
  <w:font w:name="Arial MT">
    <w:charset w:val="00"/>
    <w:family w:val="roman"/>
    <w:pitch w:val="variable"/>
  </w:font>
  <w:font w:name="Verdana">
    <w:charset w:val="00"/>
    <w:family w:val="roman"/>
    <w:pitch w:val="variable"/>
  </w:font>
  <w:font w:name="Soleto-Regular">
    <w:charset w:val="00"/>
    <w:family w:val="roman"/>
    <w:pitch w:val="variable"/>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mc:AlternateContent>
        <mc:Choice Requires="wps">
          <w:drawing>
            <wp:anchor behindDoc="1" distT="0" distB="0" distL="0" distR="0" simplePos="0" locked="0" layoutInCell="0" allowOverlap="1" relativeHeight="13">
              <wp:simplePos x="0" y="0"/>
              <wp:positionH relativeFrom="column">
                <wp:posOffset>-578485</wp:posOffset>
              </wp:positionH>
              <wp:positionV relativeFrom="paragraph">
                <wp:posOffset>-562610</wp:posOffset>
              </wp:positionV>
              <wp:extent cx="2568575" cy="838200"/>
              <wp:effectExtent l="0" t="0" r="0" b="0"/>
              <wp:wrapNone/>
              <wp:docPr id="1" name="Forma1_0"/>
              <a:graphic xmlns:a="http://schemas.openxmlformats.org/drawingml/2006/main">
                <a:graphicData uri="http://schemas.microsoft.com/office/word/2010/wordprocessingShape">
                  <wps:wsp>
                    <wps:cNvSpPr/>
                    <wps:spPr>
                      <a:xfrm>
                        <a:off x="0" y="0"/>
                        <a:ext cx="2567880" cy="837720"/>
                      </a:xfrm>
                      <a:prstGeom prst="rect">
                        <a:avLst/>
                      </a:prstGeom>
                      <a:noFill/>
                      <a:ln w="0">
                        <a:noFill/>
                      </a:ln>
                    </wps:spPr>
                    <wps:style>
                      <a:lnRef idx="0"/>
                      <a:fillRef idx="0"/>
                      <a:effectRef idx="0"/>
                      <a:fontRef idx="minor"/>
                    </wps:style>
                    <wps:txbx>
                      <w:txbxContent>
                        <w:p>
                          <w:pPr>
                            <w:pStyle w:val="Contedodoquadro"/>
                            <w:overflowPunct w:val="true"/>
                            <w:ind w:left="0" w:right="0" w:hanging="0"/>
                            <w:jc w:val="right"/>
                            <w:rPr/>
                          </w:pPr>
                          <w:r>
                            <w:rPr>
                              <w:rFonts w:eastAsia="Arial" w:cs="Soleto-Regular" w:ascii="Soleto-Regular" w:hAnsi="Soleto-Regular"/>
                              <w:b/>
                              <w:bCs/>
                              <w:color w:val="57585A"/>
                              <w:kern w:val="0"/>
                              <w:sz w:val="16"/>
                              <w:szCs w:val="16"/>
                              <w:lang w:val="en-US" w:eastAsia="en-US" w:bidi="en-US"/>
                            </w:rPr>
                            <w:t>PERÍCIA FORENSE DO ESTADO DO CEARÁ - PEFOCE</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AV. PRES. CASTELO BRANCO, 901 - MOURA BRASIL</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FORTALEZA, CE</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CEP: 60.010-000</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CNPJ: 10.263.825/0001-52</w:t>
                          </w:r>
                        </w:p>
                      </w:txbxContent>
                    </wps:txbx>
                    <wps:bodyPr lIns="0" rIns="0" tIns="0" bIns="0">
                      <a:noAutofit/>
                    </wps:bodyPr>
                  </wps:wsp>
                </a:graphicData>
              </a:graphic>
            </wp:anchor>
          </w:drawing>
        </mc:Choice>
        <mc:Fallback>
          <w:pict>
            <v:rect id="shape_0" ID="Forma1_0" path="m0,0l-2147483645,0l-2147483645,-2147483646l0,-2147483646xe" stroked="f" style="position:absolute;margin-left:-45.55pt;margin-top:-44.3pt;width:202.15pt;height:65.9pt;mso-wrap-style:square;v-text-anchor:top">
              <v:fill o:detectmouseclick="t" on="false"/>
              <v:stroke color="#3465a4" joinstyle="round" endcap="flat"/>
              <v:textbox>
                <w:txbxContent>
                  <w:p>
                    <w:pPr>
                      <w:pStyle w:val="Contedodoquadro"/>
                      <w:overflowPunct w:val="true"/>
                      <w:ind w:left="0" w:right="0" w:hanging="0"/>
                      <w:jc w:val="right"/>
                      <w:rPr/>
                    </w:pPr>
                    <w:r>
                      <w:rPr>
                        <w:rFonts w:eastAsia="Arial" w:cs="Soleto-Regular" w:ascii="Soleto-Regular" w:hAnsi="Soleto-Regular"/>
                        <w:b/>
                        <w:bCs/>
                        <w:color w:val="57585A"/>
                        <w:kern w:val="0"/>
                        <w:sz w:val="16"/>
                        <w:szCs w:val="16"/>
                        <w:lang w:val="en-US" w:eastAsia="en-US" w:bidi="en-US"/>
                      </w:rPr>
                      <w:t>PERÍCIA FORENSE DO ESTADO DO CEARÁ - PEFOCE</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AV. PRES. CASTELO BRANCO, 901 - MOURA BRASIL</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FORTALEZA, CE</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CEP: 60.010-000</w:t>
                    </w:r>
                  </w:p>
                  <w:p>
                    <w:pPr>
                      <w:pStyle w:val="Contedodoquadro"/>
                      <w:overflowPunct w:val="true"/>
                      <w:ind w:left="0" w:right="0" w:hanging="0"/>
                      <w:jc w:val="right"/>
                      <w:rPr/>
                    </w:pPr>
                    <w:r>
                      <w:rPr>
                        <w:rFonts w:eastAsia="Arial" w:cs="Soleto-Regular" w:ascii="Soleto-Regular" w:hAnsi="Soleto-Regular"/>
                        <w:color w:val="57585A"/>
                        <w:kern w:val="0"/>
                        <w:sz w:val="16"/>
                        <w:szCs w:val="16"/>
                        <w:lang w:val="en-US" w:eastAsia="en-US" w:bidi="en-US"/>
                      </w:rPr>
                      <w:t>CNPJ: 10.263.825/0001-52</w:t>
                    </w:r>
                  </w:p>
                </w:txbxContent>
              </v:textbox>
              <w10:wrap type="none"/>
            </v:rect>
          </w:pict>
        </mc:Fallback>
      </mc:AlternateContent>
      <w:drawing>
        <wp:anchor behindDoc="0" distT="0" distB="0" distL="0" distR="0" simplePos="0" locked="0" layoutInCell="0" allowOverlap="1" relativeHeight="37">
          <wp:simplePos x="0" y="0"/>
          <wp:positionH relativeFrom="column">
            <wp:posOffset>2172335</wp:posOffset>
          </wp:positionH>
          <wp:positionV relativeFrom="paragraph">
            <wp:posOffset>-450215</wp:posOffset>
          </wp:positionV>
          <wp:extent cx="2279650" cy="614045"/>
          <wp:effectExtent l="0" t="0" r="0" b="0"/>
          <wp:wrapSquare wrapText="bothSides"/>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2279650" cy="614045"/>
                  </a:xfrm>
                  <a:prstGeom prst="rect">
                    <a:avLst/>
                  </a:prstGeom>
                </pic:spPr>
              </pic:pic>
            </a:graphicData>
          </a:graphic>
        </wp:anchor>
      </w:drawing>
      <w:drawing>
        <wp:anchor behindDoc="0" distT="0" distB="0" distL="0" distR="0" simplePos="0" locked="0" layoutInCell="0" allowOverlap="1" relativeHeight="49">
          <wp:simplePos x="0" y="0"/>
          <wp:positionH relativeFrom="column">
            <wp:posOffset>4605020</wp:posOffset>
          </wp:positionH>
          <wp:positionV relativeFrom="paragraph">
            <wp:posOffset>-492125</wp:posOffset>
          </wp:positionV>
          <wp:extent cx="1932940" cy="661670"/>
          <wp:effectExtent l="0" t="0" r="0" b="0"/>
          <wp:wrapSquare wrapText="bothSides"/>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2"/>
                  <a:stretch>
                    <a:fillRect/>
                  </a:stretch>
                </pic:blipFill>
                <pic:spPr bwMode="auto">
                  <a:xfrm>
                    <a:off x="0" y="0"/>
                    <a:ext cx="1932940" cy="6616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lowerLetter"/>
      <w:lvlText w:val="%1)"/>
      <w:lvlJc w:val="left"/>
      <w:pPr>
        <w:tabs>
          <w:tab w:val="num" w:pos="1570"/>
        </w:tabs>
        <w:ind w:left="1570" w:hanging="360"/>
      </w:pPr>
    </w:lvl>
    <w:lvl w:ilvl="1">
      <w:start w:val="1"/>
      <w:numFmt w:val="decimal"/>
      <w:lvlText w:val="%2."/>
      <w:lvlJc w:val="left"/>
      <w:pPr>
        <w:tabs>
          <w:tab w:val="num" w:pos="1930"/>
        </w:tabs>
        <w:ind w:left="1930" w:hanging="360"/>
      </w:pPr>
    </w:lvl>
    <w:lvl w:ilvl="2">
      <w:start w:val="1"/>
      <w:numFmt w:val="decimal"/>
      <w:lvlText w:val="%3."/>
      <w:lvlJc w:val="left"/>
      <w:pPr>
        <w:tabs>
          <w:tab w:val="num" w:pos="2290"/>
        </w:tabs>
        <w:ind w:left="2290" w:hanging="360"/>
      </w:pPr>
    </w:lvl>
    <w:lvl w:ilvl="3">
      <w:start w:val="1"/>
      <w:numFmt w:val="decimal"/>
      <w:lvlText w:val="%4."/>
      <w:lvlJc w:val="left"/>
      <w:pPr>
        <w:tabs>
          <w:tab w:val="num" w:pos="2650"/>
        </w:tabs>
        <w:ind w:left="2650" w:hanging="360"/>
      </w:pPr>
    </w:lvl>
    <w:lvl w:ilvl="4">
      <w:start w:val="1"/>
      <w:numFmt w:val="decimal"/>
      <w:lvlText w:val="%5."/>
      <w:lvlJc w:val="left"/>
      <w:pPr>
        <w:tabs>
          <w:tab w:val="num" w:pos="3010"/>
        </w:tabs>
        <w:ind w:left="3010" w:hanging="360"/>
      </w:pPr>
    </w:lvl>
    <w:lvl w:ilvl="5">
      <w:start w:val="1"/>
      <w:numFmt w:val="decimal"/>
      <w:lvlText w:val="%6."/>
      <w:lvlJc w:val="left"/>
      <w:pPr>
        <w:tabs>
          <w:tab w:val="num" w:pos="3370"/>
        </w:tabs>
        <w:ind w:left="3370" w:hanging="360"/>
      </w:pPr>
    </w:lvl>
    <w:lvl w:ilvl="6">
      <w:start w:val="1"/>
      <w:numFmt w:val="decimal"/>
      <w:lvlText w:val="%7."/>
      <w:lvlJc w:val="left"/>
      <w:pPr>
        <w:tabs>
          <w:tab w:val="num" w:pos="3730"/>
        </w:tabs>
        <w:ind w:left="3730" w:hanging="360"/>
      </w:pPr>
    </w:lvl>
    <w:lvl w:ilvl="7">
      <w:start w:val="1"/>
      <w:numFmt w:val="decimal"/>
      <w:lvlText w:val="%8."/>
      <w:lvlJc w:val="left"/>
      <w:pPr>
        <w:tabs>
          <w:tab w:val="num" w:pos="4090"/>
        </w:tabs>
        <w:ind w:left="4090" w:hanging="360"/>
      </w:pPr>
    </w:lvl>
    <w:lvl w:ilvl="8">
      <w:start w:val="1"/>
      <w:numFmt w:val="decimal"/>
      <w:lvlText w:val="%9."/>
      <w:lvlJc w:val="left"/>
      <w:pPr>
        <w:tabs>
          <w:tab w:val="num" w:pos="4450"/>
        </w:tabs>
        <w:ind w:left="4450" w:hanging="360"/>
      </w:p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decimal"/>
      <w:lvlText w:val="%1."/>
      <w:lvlJc w:val="left"/>
      <w:pPr>
        <w:tabs>
          <w:tab w:val="num" w:pos="0"/>
        </w:tabs>
        <w:ind w:left="0" w:hanging="0"/>
      </w:pPr>
      <w:rPr>
        <w:sz w:val="22"/>
        <w:b/>
        <w:szCs w:val="24"/>
        <w:bCs/>
        <w:rFonts w:ascii="Times New Roman" w:hAnsi="Times New Roman" w:cs="Times New Roman"/>
      </w:rPr>
    </w:lvl>
    <w:lvl w:ilvl="1">
      <w:start w:val="1"/>
      <w:numFmt w:val="decimal"/>
      <w:lvlText w:val="%1.%2."/>
      <w:lvlJc w:val="left"/>
      <w:pPr>
        <w:tabs>
          <w:tab w:val="num" w:pos="792"/>
        </w:tabs>
        <w:ind w:left="792" w:hanging="225"/>
      </w:pPr>
      <w:rPr>
        <w:sz w:val="24"/>
        <w:i/>
        <w:b w:val="false"/>
        <w:szCs w:val="24"/>
        <w:iCs w:val="false"/>
        <w:bCs w:val="false"/>
        <w:rFonts w:ascii="Times New Roman" w:hAnsi="Times New Roman" w:cs="Times New Roman"/>
      </w:rPr>
    </w:lvl>
    <w:lvl w:ilvl="2">
      <w:start w:val="1"/>
      <w:numFmt w:val="decimal"/>
      <w:lvlText w:val="%1.%2.%3."/>
      <w:lvlJc w:val="left"/>
      <w:pPr>
        <w:tabs>
          <w:tab w:val="num" w:pos="794"/>
        </w:tabs>
        <w:ind w:left="794" w:hanging="227"/>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8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Mangal"/>
      <w:color w:val="auto"/>
      <w:kern w:val="2"/>
      <w:sz w:val="24"/>
      <w:szCs w:val="24"/>
      <w:lang w:val="pt-BR" w:eastAsia="zh-CN" w:bidi="hi-IN"/>
    </w:rPr>
  </w:style>
  <w:style w:type="character" w:styleId="DefaultParagraphFont">
    <w:name w:val="Default Paragraph Font"/>
    <w:qFormat/>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Fontepargpadro1">
    <w:name w:val="Fonte parág. padrão1"/>
    <w:qFormat/>
    <w:rPr/>
  </w:style>
  <w:style w:type="character" w:styleId="LinkdaInternet">
    <w:name w:val="Link da Internet"/>
    <w:rPr>
      <w:color w:val="000080"/>
      <w:u w:val="single"/>
    </w:rPr>
  </w:style>
  <w:style w:type="character" w:styleId="Smbolosdenumerao">
    <w:name w:val="Símbolos de numeração"/>
    <w:qFormat/>
    <w:rPr/>
  </w:style>
  <w:style w:type="character" w:styleId="WW8Num2z0">
    <w:name w:val="WW8Num2z0"/>
    <w:qFormat/>
    <w:rPr>
      <w:rFonts w:ascii="Arial" w:hAnsi="Arial" w:eastAsia="Arial" w:cs="Arial"/>
      <w:b w:val="false"/>
      <w:bCs w:val="false"/>
      <w:color w:val="000000"/>
      <w:spacing w:val="-1"/>
      <w:w w:val="100"/>
      <w:sz w:val="23"/>
      <w:szCs w:val="23"/>
      <w:lang w:val="pt-PT" w:eastAsia="en-US" w:bidi="ar-SA"/>
    </w:rPr>
  </w:style>
  <w:style w:type="character" w:styleId="WW8Num2z1">
    <w:name w:val="WW8Num2z1"/>
    <w:qFormat/>
    <w:rPr>
      <w:rFonts w:ascii="Symbol" w:hAnsi="Symbol" w:cs="Symbol"/>
      <w:lang w:val="pt-PT" w:eastAsia="en-US" w:bidi="ar-SA"/>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ntedodatabela">
    <w:name w:val="Conteúdo da tabela"/>
    <w:basedOn w:val="Normal"/>
    <w:qFormat/>
    <w:pPr>
      <w:suppressLineNumbers/>
    </w:pPr>
    <w:rPr/>
  </w:style>
  <w:style w:type="paragraph" w:styleId="DocumentMap">
    <w:name w:val="Document Map"/>
    <w:qFormat/>
    <w:pPr>
      <w:widowControl/>
      <w:suppressAutoHyphens w:val="true"/>
      <w:overflowPunct w:val="false"/>
      <w:bidi w:val="0"/>
      <w:spacing w:before="0" w:after="0"/>
      <w:jc w:val="left"/>
      <w:textAlignment w:val="auto"/>
    </w:pPr>
    <w:rPr>
      <w:rFonts w:ascii="Calibri" w:hAnsi="Calibri" w:eastAsia="Times New Roman" w:cs="Calibri"/>
      <w:color w:val="auto"/>
      <w:kern w:val="2"/>
      <w:sz w:val="22"/>
      <w:szCs w:val="22"/>
      <w:lang w:val="pt-BR" w:eastAsia="pt-BR" w:bidi="ar-SA"/>
    </w:rPr>
  </w:style>
  <w:style w:type="paragraph" w:styleId="Ttulodetabela">
    <w:name w:val="Título de tabela"/>
    <w:basedOn w:val="Contedodatabela"/>
    <w:qFormat/>
    <w:pPr>
      <w:suppressLineNumbers/>
      <w:jc w:val="center"/>
    </w:pPr>
    <w:rPr>
      <w:b/>
      <w:bCs/>
    </w:rPr>
  </w:style>
  <w:style w:type="paragraph" w:styleId="Contrato">
    <w:name w:val="contrato"/>
    <w:basedOn w:val="Normal"/>
    <w:qFormat/>
    <w:pPr>
      <w:suppressAutoHyphens w:val="true"/>
      <w:jc w:val="both"/>
    </w:pPr>
    <w:rPr>
      <w:rFonts w:ascii="Arial" w:hAnsi="Arial" w:cs="Arial"/>
      <w:sz w:val="22"/>
      <w:szCs w:val="20"/>
      <w:lang w:val="pt-PT"/>
    </w:rPr>
  </w:style>
  <w:style w:type="paragraph" w:styleId="Western">
    <w:name w:val="western"/>
    <w:basedOn w:val="Normal"/>
    <w:qFormat/>
    <w:pPr>
      <w:spacing w:lineRule="auto" w:line="240" w:before="280" w:after="0"/>
    </w:pPr>
    <w:rPr>
      <w:rFonts w:ascii="Times New Roman" w:hAnsi="Times New Roman" w:eastAsia="Times New Roman" w:cs="Times New Roman"/>
      <w:color w:val="000000"/>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
    <w:name w:val="Header"/>
    <w:basedOn w:val="CabealhoeRodap"/>
    <w:pPr>
      <w:suppressLineNumbers/>
    </w:pPr>
    <w:rPr/>
  </w:style>
  <w:style w:type="paragraph" w:styleId="Contedodoquadro">
    <w:name w:val="Conteúdo do quadro"/>
    <w:basedOn w:val="Normal"/>
    <w:qFormat/>
    <w:pPr/>
    <w:rPr/>
  </w:style>
  <w:style w:type="paragraph" w:styleId="TableParagraph">
    <w:name w:val="Table Paragraph"/>
    <w:basedOn w:val="Normal"/>
    <w:qFormat/>
    <w:pPr/>
    <w:rPr>
      <w:rFonts w:ascii="Arial MT" w:hAnsi="Arial MT" w:eastAsia="Arial MT" w:cs="Arial MT"/>
      <w:lang w:val="pt-PT" w:eastAsia="en-US" w:bidi="ar-SA"/>
    </w:rPr>
  </w:style>
  <w:style w:type="paragraph" w:styleId="ListParagraph">
    <w:name w:val="List Paragraph"/>
    <w:basedOn w:val="Normal"/>
    <w:qFormat/>
    <w:pPr>
      <w:spacing w:before="115" w:after="0"/>
      <w:ind w:left="115" w:hanging="0"/>
      <w:jc w:val="both"/>
    </w:pPr>
    <w:rPr>
      <w:rFonts w:ascii="Arial MT" w:hAnsi="Arial MT" w:eastAsia="Arial MT" w:cs="Arial MT"/>
      <w:lang w:val="pt-PT" w:eastAsia="en-US" w:bidi="ar-SA"/>
    </w:rPr>
  </w:style>
  <w:style w:type="paragraph" w:styleId="PM1">
    <w:name w:val="PM_1"/>
    <w:qFormat/>
    <w:pPr>
      <w:widowControl/>
      <w:numPr>
        <w:ilvl w:val="0"/>
        <w:numId w:val="5"/>
      </w:numPr>
      <w:suppressAutoHyphens w:val="true"/>
      <w:bidi w:val="0"/>
      <w:spacing w:lineRule="auto" w:line="240" w:before="120" w:after="240"/>
      <w:ind w:left="0" w:right="0" w:hanging="0"/>
      <w:jc w:val="left"/>
    </w:pPr>
    <w:rPr>
      <w:rFonts w:ascii="Verdana" w:hAnsi="Verdana" w:eastAsia="Arial" w:cs="Arial"/>
      <w:b/>
      <w:bCs/>
      <w:iCs/>
      <w:color w:val="auto"/>
      <w:kern w:val="0"/>
      <w:sz w:val="24"/>
      <w:szCs w:val="28"/>
      <w:lang w:val="pt-BR" w:eastAsia="zh-CN" w:bidi="ar-SA"/>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aratransparente.ce.gov.br/portal-da-transparencia/paginas/mapp-monitoramento-de-acoes-e-projetos-prioritario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
  <TotalTime>6846</TotalTime>
  <Application>LibreOffice/7.1.2.2$Windows_X86_64 LibreOffice_project/8a45595d069ef5570103caea1b71cc9d82b2aae4</Application>
  <AppVersion>15.0000</AppVersion>
  <Pages>12</Pages>
  <Words>3685</Words>
  <Characters>19842</Characters>
  <CharactersWithSpaces>23337</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2019-01-04T09:27:55Z</dcterms:created>
  <dc:creator/>
  <dc:description/>
  <dc:language>pt-BR</dc:language>
  <cp:lastModifiedBy/>
  <dcterms:modified xsi:type="dcterms:W3CDTF">2023-09-12T10:50:15Z</dcterms:modified>
  <cp:revision>95</cp:revision>
  <dc:subject/>
  <dc:title/>
</cp:coreProperties>
</file>

<file path=docProps/custom.xml><?xml version="1.0" encoding="utf-8"?>
<Properties xmlns="http://schemas.openxmlformats.org/officeDocument/2006/custom-properties" xmlns:vt="http://schemas.openxmlformats.org/officeDocument/2006/docPropsVTypes"/>
</file>