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40" w:before="60" w:after="60"/>
        <w:jc w:val="center"/>
        <w:rPr>
          <w:b/>
          <w:b/>
        </w:rPr>
      </w:pPr>
      <w:r>
        <w:rPr>
          <w:b/>
        </w:rPr>
        <w:t>Pregão Eletrônico nº 20240001 - Secult</w:t>
      </w:r>
    </w:p>
    <w:p>
      <w:pPr>
        <w:pStyle w:val="LOnormal"/>
        <w:spacing w:lineRule="auto" w:line="240" w:before="60" w:after="60"/>
        <w:jc w:val="center"/>
        <w:rPr/>
      </w:pPr>
      <w:r>
        <w:rPr/>
        <w:t>Processo n° 27001.001552/2024-67</w:t>
      </w:r>
    </w:p>
    <w:p>
      <w:pPr>
        <w:pStyle w:val="LOnormal"/>
        <w:spacing w:lineRule="auto" w:line="240" w:before="60" w:after="60"/>
        <w:jc w:val="center"/>
        <w:rPr>
          <w:highlight w:val="white"/>
        </w:rPr>
      </w:pPr>
      <w:r>
        <w:rPr/>
        <w:t>UASG: 94300</w:t>
      </w:r>
      <w:r>
        <w:rPr>
          <w:highlight w:val="white"/>
        </w:rPr>
        <w:t>1</w:t>
      </w:r>
    </w:p>
    <w:p>
      <w:pPr>
        <w:pStyle w:val="LOnormal"/>
        <w:spacing w:lineRule="auto" w:line="240" w:before="60" w:after="60"/>
        <w:jc w:val="center"/>
        <w:rPr>
          <w:highlight w:val="white"/>
        </w:rPr>
      </w:pPr>
      <w:r>
        <w:rPr>
          <w:highlight w:val="white"/>
        </w:rPr>
        <w:t>Número Comprasnet:</w:t>
      </w:r>
    </w:p>
    <w:p>
      <w:pPr>
        <w:pStyle w:val="LOnormal"/>
        <w:spacing w:lineRule="auto" w:line="240" w:before="60" w:after="60"/>
        <w:jc w:val="center"/>
        <w:rPr>
          <w:highlight w:val="white"/>
        </w:rPr>
      </w:pPr>
      <w:r>
        <w:rPr>
          <w:highlight w:val="white"/>
        </w:rPr>
      </w:r>
    </w:p>
    <w:p>
      <w:pPr>
        <w:pStyle w:val="LOnormal"/>
        <w:spacing w:lineRule="auto" w:line="240" w:before="60" w:after="60"/>
        <w:jc w:val="both"/>
        <w:rPr>
          <w:i/>
          <w:i/>
          <w:highlight w:val="yellow"/>
        </w:rPr>
      </w:pPr>
      <w:r>
        <w:rPr/>
        <w:t>A Secretaria da Cultura do Estado do Ceará - Secult</w:t>
      </w:r>
      <w:r>
        <w:rPr>
          <w:i/>
        </w:rPr>
        <w:t>,</w:t>
      </w:r>
      <w:r>
        <w:rPr/>
        <w:t xml:space="preserve"> por intermédio do pregoeiro e do membro da equipe de apoio designados por ato do Governador do Estado, que ora integra os autos, torna público que realizará licitação na modalidade PREGÃO, na forma eletrônica.</w:t>
      </w:r>
      <w:r>
        <w:rPr>
          <w:i/>
          <w:highlight w:val="yellow"/>
        </w:rPr>
        <w:t xml:space="preserve"> </w:t>
      </w:r>
    </w:p>
    <w:p>
      <w:pPr>
        <w:pStyle w:val="LOnormal"/>
        <w:spacing w:lineRule="auto" w:line="240" w:before="60" w:after="60"/>
        <w:jc w:val="both"/>
        <w:rPr>
          <w:b/>
          <w:b/>
        </w:rPr>
      </w:pPr>
      <w:r>
        <w:rPr>
          <w:b/>
        </w:rPr>
        <w:t>1. DO CRITÉRIO DE JULGAMENTO</w:t>
      </w:r>
    </w:p>
    <w:p>
      <w:pPr>
        <w:pStyle w:val="LOnormal"/>
        <w:spacing w:lineRule="auto" w:line="240" w:before="60" w:after="60"/>
        <w:jc w:val="both"/>
        <w:rPr/>
      </w:pPr>
      <w:r>
        <w:rPr/>
        <w:t xml:space="preserve">1.1. O critério de julgamento será o de Menor Preço por grupo. </w:t>
      </w:r>
    </w:p>
    <w:p>
      <w:pPr>
        <w:pStyle w:val="LOnormal"/>
        <w:spacing w:lineRule="auto" w:line="240" w:before="60" w:after="60"/>
        <w:jc w:val="both"/>
        <w:rPr>
          <w:b/>
          <w:b/>
        </w:rPr>
      </w:pPr>
      <w:r>
        <w:rPr>
          <w:b/>
        </w:rPr>
        <w:t>2. DO REGIME DE EXECUÇÃO INDIRETA</w:t>
      </w:r>
    </w:p>
    <w:p>
      <w:pPr>
        <w:pStyle w:val="LOnormal"/>
        <w:spacing w:lineRule="auto" w:line="240" w:before="60" w:after="60"/>
        <w:jc w:val="both"/>
        <w:rPr>
          <w:i/>
          <w:i/>
          <w:highlight w:val="yellow"/>
        </w:rPr>
      </w:pPr>
      <w:r>
        <w:rPr/>
        <w:t xml:space="preserve">2.1. O regime de execução indireta se dará por empreitada por preço global. </w:t>
      </w:r>
    </w:p>
    <w:p>
      <w:pPr>
        <w:pStyle w:val="LOnormal"/>
        <w:spacing w:lineRule="auto" w:line="240" w:before="60" w:after="60"/>
        <w:jc w:val="both"/>
        <w:rPr>
          <w:b/>
          <w:b/>
        </w:rPr>
      </w:pPr>
      <w:r>
        <w:rPr>
          <w:b/>
        </w:rPr>
        <w:t>3. DA BASE LEGAL</w:t>
      </w:r>
    </w:p>
    <w:p>
      <w:pPr>
        <w:pStyle w:val="LOnormal"/>
        <w:spacing w:lineRule="auto" w:line="240" w:before="60" w:after="60"/>
        <w:jc w:val="both"/>
        <w:rPr/>
      </w:pPr>
      <w:r>
        <w:rPr/>
        <w:t>3.1. 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Decreto Estadual nº 35.726, de 30 de outubro de 2023, Portaria PGE/GAB nº 36, de 08 de março de 2024, e demais legislação aplicável e, ainda, de acordo com as condições estabelecidas neste edital e seus anexos.</w:t>
      </w:r>
    </w:p>
    <w:p>
      <w:pPr>
        <w:pStyle w:val="LOnormal"/>
        <w:spacing w:lineRule="auto" w:line="240" w:before="60" w:after="60"/>
        <w:jc w:val="both"/>
        <w:rPr>
          <w:b/>
          <w:b/>
        </w:rPr>
      </w:pPr>
      <w:r>
        <w:rPr>
          <w:b/>
        </w:rPr>
        <w:t>4. DO OBJETO</w:t>
      </w:r>
    </w:p>
    <w:p>
      <w:pPr>
        <w:pStyle w:val="LOnormal"/>
        <w:spacing w:lineRule="auto" w:line="240" w:before="60" w:after="60"/>
        <w:jc w:val="both"/>
        <w:rPr>
          <w:i/>
          <w:i/>
          <w:highlight w:val="yellow"/>
        </w:rPr>
      </w:pPr>
      <w:r>
        <w:rPr/>
        <w:t xml:space="preserve">4.1. O objeto da licitação é a prestação dos serviços de </w:t>
      </w:r>
      <w:r>
        <w:rPr>
          <w:highlight w:val="white"/>
        </w:rPr>
        <w:t>coleta de resíduos sólidos urbanos (lixo comum), gerados nas dependências da SECULT/CE e seus equipamentos culturais, abrangendo as etapas de coleta, transporte, transbordo, tratamento, destinação final ambientalmente adequado</w:t>
      </w:r>
      <w:r>
        <w:rPr/>
        <w:t xml:space="preserve"> pelo período de 12 (doze) meses</w:t>
      </w:r>
      <w:r>
        <w:rPr>
          <w:i/>
        </w:rPr>
        <w:t>,</w:t>
      </w:r>
      <w:r>
        <w:rPr/>
        <w:t xml:space="preserve"> nas condições estabelecidas neste edital e seus anexos.</w:t>
      </w:r>
    </w:p>
    <w:p>
      <w:pPr>
        <w:pStyle w:val="LOnormal"/>
        <w:spacing w:lineRule="auto" w:line="240" w:before="60" w:after="60"/>
        <w:jc w:val="both"/>
        <w:rPr/>
      </w:pPr>
      <w:r>
        <w:rPr/>
        <w:t>4.2. A licitação será realizada por grupo, LOTE ÚNICO, conforme tabela constante do Termo de Referência.</w:t>
      </w:r>
    </w:p>
    <w:p>
      <w:pPr>
        <w:pStyle w:val="LOnormal"/>
        <w:spacing w:lineRule="auto" w:line="240" w:before="60" w:after="60"/>
        <w:jc w:val="both"/>
        <w:rPr>
          <w:i/>
          <w:i/>
          <w:highlight w:val="yellow"/>
        </w:rPr>
      </w:pPr>
      <w:r>
        <w:rPr>
          <w:b/>
        </w:rPr>
        <w:t>5. DO ACESSO AO EDITAL, DO LOCAL DE REALIZAÇÃO E DO PREGOEIRO</w:t>
      </w:r>
    </w:p>
    <w:p>
      <w:pPr>
        <w:pStyle w:val="LOnormal"/>
        <w:spacing w:lineRule="auto" w:line="240" w:before="60" w:after="60"/>
        <w:jc w:val="both"/>
        <w:rPr/>
      </w:pPr>
      <w:r>
        <w:rPr/>
        <w:t>5.1. Este edital está disponível gratuitamente nos sítios www.portalcompras.ce.gov.br e https://www.gov.br/compras/pt-br/acesso-a-informacao/consulta-detalhada.</w:t>
      </w:r>
    </w:p>
    <w:p>
      <w:pPr>
        <w:pStyle w:val="LOnormal"/>
        <w:spacing w:lineRule="auto" w:line="240" w:before="60" w:after="60"/>
        <w:jc w:val="both"/>
        <w:rPr/>
      </w:pPr>
      <w:r>
        <w:rPr/>
        <w:t>5.2. O certame será realizado por meio do sistema do Comprasnet, no endereço eletrônico https://www.comprasnet.gov.br/seguro/loginPortal.asp, pelo(a) pregoeiro(a) ____________________.</w:t>
      </w:r>
    </w:p>
    <w:p>
      <w:pPr>
        <w:pStyle w:val="LOnormal"/>
        <w:spacing w:lineRule="auto" w:line="240" w:before="60" w:after="60"/>
        <w:jc w:val="both"/>
        <w:rPr/>
      </w:pPr>
      <w:r>
        <w:rPr/>
        <w:t>5.3. Em atendimento à Portaria/PGE nº 038/2022, de 17 de março de 2022, a audiência que possa ser requerida por representante de licitante ou interessado em participar de licitação, com o fito de despachar sobre recurso ou impugnação de sua autoria junto à Central de Licitações, da Procuradoria-Geral do Estado, será realizada por meio presencial ou eletrônico e remoto, com o uso de solução tecnológica de videoconferência. Tal formalidade não se aplica no caso de simples instruções, tais como, provocações sobre datas, estágio de tramitação e demais orientações meramente procedimentais, sem qualquer intervenção de mérito, que serão prestadas pela equipe de apoio da Central de Licitações, sob a supervisão de seu responsável.</w:t>
      </w:r>
    </w:p>
    <w:p>
      <w:pPr>
        <w:pStyle w:val="LOnormal"/>
        <w:spacing w:lineRule="auto" w:line="240" w:before="60" w:after="60"/>
        <w:jc w:val="both"/>
        <w:rPr/>
      </w:pPr>
      <w:r>
        <w:rPr/>
        <w:t>5.3.1. A referida audiência realizar-se-á na presença de pelo menos 01 (um) Procurador do Estado, ou pela coordenação da Central de Licitações, de acordo com o caso, e deverá ser registrada em meio hábil à verificação do ato.</w:t>
      </w:r>
    </w:p>
    <w:p>
      <w:pPr>
        <w:pStyle w:val="LOnormal"/>
        <w:spacing w:lineRule="auto" w:line="240" w:before="60" w:after="60"/>
        <w:jc w:val="both"/>
        <w:rPr/>
      </w:pPr>
      <w:r>
        <w:rPr/>
        <w:t>5.3.2. Observa-se que a solicitação de audiência deverá ser previamente encaminhada por e-mail, com indicação expressa do assunto e do processo licitatório a que relaciona. Quando realizada por meio eletrônico e remoto, a audiência deverá ficar registrada por meio de gravação e armazenamento de imagem e vídeo ou por redução a termo do ato.</w:t>
      </w:r>
    </w:p>
    <w:p>
      <w:pPr>
        <w:pStyle w:val="LOnormal"/>
        <w:spacing w:lineRule="auto" w:line="240" w:before="60" w:after="60"/>
        <w:jc w:val="both"/>
        <w:rPr>
          <w:i/>
          <w:i/>
          <w:highlight w:val="yellow"/>
        </w:rPr>
      </w:pPr>
      <w:r>
        <w:rPr/>
        <w:t>5.3.3. A equipe de apoio atende pelo telefone de nº (85) ______________e pelo e-mail: licitacao@pge.ce.gov.br.</w:t>
      </w:r>
    </w:p>
    <w:p>
      <w:pPr>
        <w:pStyle w:val="LOnormal"/>
        <w:spacing w:lineRule="auto" w:line="240" w:before="60" w:after="60"/>
        <w:jc w:val="both"/>
        <w:rPr>
          <w:b/>
          <w:b/>
        </w:rPr>
      </w:pPr>
      <w:r>
        <w:rPr>
          <w:b/>
        </w:rPr>
        <w:t>6. DAS DATAS E HORÁRIOS DO CERTAME</w:t>
      </w:r>
    </w:p>
    <w:p>
      <w:pPr>
        <w:pStyle w:val="LOnormal"/>
        <w:spacing w:lineRule="auto" w:line="240" w:before="60" w:after="60"/>
        <w:jc w:val="both"/>
        <w:rPr/>
      </w:pPr>
      <w:r>
        <w:rPr/>
        <w:t>6.1. INÍCIO DO ACOLHIMENTO DAS PROPOSTAS: _____/______/20___</w:t>
      </w:r>
    </w:p>
    <w:p>
      <w:pPr>
        <w:pStyle w:val="LOnormal"/>
        <w:spacing w:lineRule="auto" w:line="240" w:before="60" w:after="60"/>
        <w:jc w:val="both"/>
        <w:rPr/>
      </w:pPr>
      <w:r>
        <w:rPr/>
        <w:t>6.2. DATA DE ABERTURA DAS PROPOSTAS: _____/______/20___, às ______.</w:t>
      </w:r>
    </w:p>
    <w:p>
      <w:pPr>
        <w:pStyle w:val="LOnormal"/>
        <w:spacing w:lineRule="auto" w:line="240" w:before="60" w:after="60"/>
        <w:jc w:val="both"/>
        <w:rPr/>
      </w:pPr>
      <w:r>
        <w:rPr/>
        <w:t>6.3. INÍCIO DA SESSÃO DE DISPUTA DE PREÇOS: _____/______/20___, às ______.</w:t>
      </w:r>
    </w:p>
    <w:p>
      <w:pPr>
        <w:pStyle w:val="LOnormal"/>
        <w:spacing w:lineRule="auto" w:line="240" w:before="60" w:after="60"/>
        <w:jc w:val="both"/>
        <w:rPr/>
      </w:pPr>
      <w:r>
        <w:rPr/>
        <w:t>6.4. REFERÊNCIA DE TEMPO: Para todas as referências de tempo utilizadas pelo sistema será observado o horário de Brasília/DF.</w:t>
      </w:r>
    </w:p>
    <w:p>
      <w:pPr>
        <w:pStyle w:val="LOnormal"/>
        <w:spacing w:lineRule="auto" w:line="240" w:before="60" w:after="60"/>
        <w:jc w:val="both"/>
        <w:rPr/>
      </w:pPr>
      <w:r>
        <w:rPr/>
        <w:t>6.5. Na hipótese de não haver expediente ou ocorrendo qualquer fato superveniente que impeça a realização do certame na data prevista, a sessão será remarcada, para no mínimo 48h a contar da respectiva data, exceto quando remarcada automaticamente pelo próprio sistema eletrônico.</w:t>
      </w:r>
    </w:p>
    <w:p>
      <w:pPr>
        <w:pStyle w:val="LOnormal"/>
        <w:spacing w:lineRule="auto" w:line="240" w:before="60" w:after="60"/>
        <w:jc w:val="both"/>
        <w:rPr>
          <w:b/>
          <w:b/>
          <w:highlight w:val="white"/>
        </w:rPr>
      </w:pPr>
      <w:r>
        <w:rPr>
          <w:b/>
        </w:rPr>
        <w:t>7. DO ENDE</w:t>
      </w:r>
      <w:r>
        <w:rPr>
          <w:b/>
          <w:highlight w:val="white"/>
        </w:rPr>
        <w:t>REÇO E HORÁRIO DA CENTRAL DE LICITAÇÕES</w:t>
      </w:r>
    </w:p>
    <w:p>
      <w:pPr>
        <w:pStyle w:val="LOnormal"/>
        <w:spacing w:lineRule="auto" w:line="240" w:before="60" w:after="60"/>
        <w:jc w:val="both"/>
        <w:rPr/>
      </w:pPr>
      <w:r>
        <w:rPr/>
        <w:t>7.1. Central de Licitações/PGE, Av. Dr. José Martins Rodrigues, nº 150, Bairro Edson Queiroz, Fortaleza – Ceará, CEP. 60811- 520, CNPJ nº 06.622.070/0001-68.</w:t>
      </w:r>
    </w:p>
    <w:p>
      <w:pPr>
        <w:pStyle w:val="LOnormal"/>
        <w:spacing w:lineRule="auto" w:line="240" w:before="60" w:after="60"/>
        <w:rPr/>
      </w:pPr>
      <w:r>
        <w:rPr/>
        <w:t>7.2. Horário de expediente da Central de Licitações: das 8h às 12h e das 14h às 18h.</w:t>
      </w:r>
    </w:p>
    <w:p>
      <w:pPr>
        <w:pStyle w:val="LOnormal"/>
        <w:spacing w:lineRule="auto" w:line="240" w:before="60" w:after="60"/>
        <w:jc w:val="both"/>
        <w:rPr>
          <w:b/>
          <w:b/>
        </w:rPr>
      </w:pPr>
      <w:r>
        <w:rPr>
          <w:b/>
        </w:rPr>
        <w:t>8. DA ADEQUAÇÃO ORÇAMENTÁRIA</w:t>
      </w:r>
    </w:p>
    <w:p>
      <w:pPr>
        <w:pStyle w:val="LOnormal"/>
        <w:spacing w:lineRule="auto" w:line="240" w:before="60" w:after="60"/>
        <w:jc w:val="both"/>
        <w:rPr/>
      </w:pPr>
      <w:r>
        <w:rPr/>
        <w:t>8.1. As despesas decorrentes da presente contratação correrão à conta de recursos específicos consignados no Orçamento Geral do Estado.</w:t>
      </w:r>
    </w:p>
    <w:p>
      <w:pPr>
        <w:pStyle w:val="LOnormal"/>
        <w:spacing w:lineRule="auto" w:line="240" w:before="60" w:after="60"/>
        <w:jc w:val="both"/>
        <w:rPr/>
      </w:pPr>
      <w:r>
        <w:rPr/>
        <w:t>8.2. A contratação será atendida pelas seguintes dotações:</w:t>
      </w:r>
    </w:p>
    <w:p>
      <w:pPr>
        <w:pStyle w:val="LOnormal"/>
        <w:spacing w:lineRule="auto" w:line="240" w:before="60" w:after="60"/>
        <w:ind w:left="0" w:hanging="0"/>
        <w:jc w:val="both"/>
        <w:rPr/>
      </w:pPr>
      <w:r>
        <w:rPr/>
        <w:t>27100003.13.122.421.</w:t>
      </w:r>
      <w:r>
        <w:rPr>
          <w:b/>
        </w:rPr>
        <w:t>20172</w:t>
      </w:r>
      <w:r>
        <w:rPr/>
        <w:t>.03.339039.1.5009100000.0</w:t>
      </w:r>
    </w:p>
    <w:p>
      <w:pPr>
        <w:pStyle w:val="LOnormal"/>
        <w:spacing w:lineRule="auto" w:line="240" w:before="60" w:after="60"/>
        <w:ind w:left="0" w:hanging="0"/>
        <w:jc w:val="both"/>
        <w:rPr/>
      </w:pPr>
      <w:r>
        <w:rPr/>
        <w:t>27100016.13.392.131.</w:t>
      </w:r>
      <w:r>
        <w:rPr>
          <w:b/>
        </w:rPr>
        <w:t>20694</w:t>
      </w:r>
      <w:r>
        <w:rPr/>
        <w:t>.03.339039.1.5009100000.0</w:t>
      </w:r>
    </w:p>
    <w:p>
      <w:pPr>
        <w:pStyle w:val="LOnormal"/>
        <w:spacing w:lineRule="auto" w:line="240" w:before="60" w:after="60"/>
        <w:ind w:left="0" w:hanging="0"/>
        <w:jc w:val="both"/>
        <w:rPr/>
      </w:pPr>
      <w:r>
        <w:rPr/>
        <w:t>27100016.13.391.131.</w:t>
      </w:r>
      <w:r>
        <w:rPr>
          <w:b/>
        </w:rPr>
        <w:t>20706</w:t>
      </w:r>
      <w:r>
        <w:rPr/>
        <w:t>.03.339039.1.5009100000.0</w:t>
      </w:r>
    </w:p>
    <w:p>
      <w:pPr>
        <w:pStyle w:val="LOnormal"/>
        <w:spacing w:lineRule="auto" w:line="240" w:before="60" w:after="60"/>
        <w:ind w:left="0" w:hanging="0"/>
        <w:jc w:val="both"/>
        <w:rPr/>
      </w:pPr>
      <w:r>
        <w:rPr/>
        <w:t>27100016.13.391.131.</w:t>
      </w:r>
      <w:r>
        <w:rPr>
          <w:b/>
        </w:rPr>
        <w:t>20707</w:t>
      </w:r>
      <w:r>
        <w:rPr/>
        <w:t>.03.339039.1.5009100000.0</w:t>
      </w:r>
    </w:p>
    <w:p>
      <w:pPr>
        <w:pStyle w:val="LOnormal"/>
        <w:spacing w:lineRule="auto" w:line="240" w:before="60" w:after="60"/>
        <w:ind w:left="0" w:hanging="0"/>
        <w:jc w:val="both"/>
        <w:rPr/>
      </w:pPr>
      <w:r>
        <w:rPr/>
        <w:t>27100016.13.391.131.</w:t>
      </w:r>
      <w:r>
        <w:rPr>
          <w:b/>
        </w:rPr>
        <w:t>20710</w:t>
      </w:r>
      <w:r>
        <w:rPr/>
        <w:t>.03.339039.1.5009100000.0</w:t>
      </w:r>
    </w:p>
    <w:p>
      <w:pPr>
        <w:pStyle w:val="LOnormal"/>
        <w:spacing w:lineRule="auto" w:line="240" w:before="60" w:after="60"/>
        <w:ind w:left="0" w:hanging="0"/>
        <w:jc w:val="both"/>
        <w:rPr/>
      </w:pPr>
      <w:r>
        <w:rPr/>
        <w:t>27100016.13.391.131.</w:t>
      </w:r>
      <w:r>
        <w:rPr>
          <w:b/>
        </w:rPr>
        <w:t>20708</w:t>
      </w:r>
      <w:r>
        <w:rPr/>
        <w:t>.03.339039.1.5009100000.0</w:t>
      </w:r>
    </w:p>
    <w:p>
      <w:pPr>
        <w:pStyle w:val="LOnormal"/>
        <w:spacing w:lineRule="auto" w:line="240" w:before="60" w:after="60"/>
        <w:ind w:left="0" w:hanging="0"/>
        <w:jc w:val="both"/>
        <w:rPr/>
      </w:pPr>
      <w:r>
        <w:rPr/>
        <w:t>27100016.13.392.131.</w:t>
      </w:r>
      <w:r>
        <w:rPr>
          <w:b/>
        </w:rPr>
        <w:t>20709</w:t>
      </w:r>
      <w:r>
        <w:rPr/>
        <w:t>.03.339039.1.5009100000.0</w:t>
      </w:r>
    </w:p>
    <w:p>
      <w:pPr>
        <w:pStyle w:val="LOnormal"/>
        <w:spacing w:lineRule="auto" w:line="240" w:before="60" w:after="60"/>
        <w:jc w:val="both"/>
        <w:rPr/>
      </w:pPr>
      <w:r>
        <w:rPr/>
        <w:t>8.2.1.Gestão/Unidade: 27000000 - Secretaria da Cultura;</w:t>
      </w:r>
    </w:p>
    <w:p>
      <w:pPr>
        <w:pStyle w:val="LOnormal"/>
        <w:spacing w:lineRule="auto" w:line="240" w:before="60" w:after="60"/>
        <w:jc w:val="both"/>
        <w:rPr/>
      </w:pPr>
      <w:r>
        <w:rPr/>
        <w:t>8.2.2. Fonte de Recursos: 500 - Recursos Não Vinculados de imposto;</w:t>
      </w:r>
    </w:p>
    <w:p>
      <w:pPr>
        <w:pStyle w:val="LOnormal"/>
        <w:spacing w:lineRule="auto" w:line="240" w:before="60" w:after="60"/>
        <w:jc w:val="both"/>
        <w:rPr/>
      </w:pPr>
      <w:r>
        <w:rPr/>
        <w:t xml:space="preserve">8.2.3. Programa de Trabalho: </w:t>
      </w:r>
      <w:r>
        <w:rPr>
          <w:color w:val="222222"/>
          <w:highlight w:val="white"/>
        </w:rPr>
        <w:t xml:space="preserve">421 - </w:t>
      </w:r>
      <w:r>
        <w:rPr/>
        <w:t>Gestão Administrativa do Ceará e 131 - Promoção e Desenvolvimento da Arte, Diversidade e Cultura Cearense.</w:t>
      </w:r>
    </w:p>
    <w:p>
      <w:pPr>
        <w:pStyle w:val="LOnormal"/>
        <w:spacing w:lineRule="auto" w:line="240" w:before="60" w:after="60"/>
        <w:jc w:val="both"/>
        <w:rPr/>
      </w:pPr>
      <w:r>
        <w:rPr/>
        <w:t xml:space="preserve">8.2.4.Elemento de Despesa: </w:t>
      </w:r>
      <w:r>
        <w:rPr>
          <w:color w:val="222222"/>
          <w:highlight w:val="white"/>
        </w:rPr>
        <w:t>339039 - Outros Serviços de Terceiros - Pessoa Jurídica</w:t>
      </w:r>
      <w:r>
        <w:rPr/>
        <w:t>;</w:t>
      </w:r>
    </w:p>
    <w:p>
      <w:pPr>
        <w:pStyle w:val="LOnormal"/>
        <w:spacing w:lineRule="auto" w:line="240" w:before="60" w:after="60"/>
        <w:rPr>
          <w:b/>
          <w:b/>
        </w:rPr>
      </w:pPr>
      <w:r>
        <w:rPr>
          <w:b/>
        </w:rPr>
        <w:t>9. DA PARTICIPAÇÃO</w:t>
      </w:r>
    </w:p>
    <w:p>
      <w:pPr>
        <w:pStyle w:val="LOnormal"/>
        <w:spacing w:lineRule="auto" w:line="240" w:before="60" w:after="60"/>
        <w:jc w:val="both"/>
        <w:rPr/>
      </w:pPr>
      <w:r>
        <w:rPr/>
        <w:t>9.1. Poderão participar deste certame os interessados que estiverem previamente credenciados no Sistema de Cadastramento Unificado de Fornecedores(SICAF) disponível no Portal Nacional de Contratações Públicas(PNCP) e no Sistema de Compras do Governo Federal (</w:t>
      </w:r>
      <w:hyperlink r:id="rId2">
        <w:r>
          <w:rPr>
            <w:u w:val="single"/>
          </w:rPr>
          <w:t>www.gov.br/compras</w:t>
        </w:r>
      </w:hyperlink>
      <w:r>
        <w:rPr/>
        <w:t>), por meio de Certificado Digital conferido pela Infraestrutura de Chaves Públicas Brasileira- ICP- Brasil.</w:t>
      </w:r>
    </w:p>
    <w:p>
      <w:pPr>
        <w:pStyle w:val="LOnormal"/>
        <w:spacing w:lineRule="auto" w:line="240" w:before="60" w:after="60"/>
        <w:jc w:val="both"/>
        <w:rPr/>
      </w:pPr>
      <w:r>
        <w:rPr/>
        <w:t>9.1.1. A participação implica a aceitação integral dos termos deste edital.</w:t>
      </w:r>
    </w:p>
    <w:p>
      <w:pPr>
        <w:pStyle w:val="LOnormal"/>
        <w:spacing w:lineRule="auto" w:line="240" w:before="60" w:after="60"/>
        <w:jc w:val="both"/>
        <w:rPr/>
      </w:pPr>
      <w:r>
        <w:rPr/>
        <w:t>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pPr>
        <w:pStyle w:val="LOnormal"/>
        <w:spacing w:lineRule="auto" w:line="240" w:before="60" w:after="60"/>
        <w:jc w:val="both"/>
        <w:rPr/>
      </w:pPr>
      <w:r>
        <w:rPr/>
        <w:t>9.3. 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pPr>
        <w:pStyle w:val="LOnormal"/>
        <w:spacing w:lineRule="auto" w:line="240" w:before="60" w:after="60"/>
        <w:jc w:val="both"/>
        <w:rPr/>
      </w:pPr>
      <w:r>
        <w:rPr/>
        <w:t>9.3.1.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Onormal"/>
        <w:spacing w:lineRule="auto" w:line="240" w:before="60" w:after="60"/>
        <w:jc w:val="both"/>
        <w:rPr>
          <w:i/>
          <w:i/>
          <w:shd w:fill="FFF200" w:val="clear"/>
        </w:rPr>
      </w:pPr>
      <w:r>
        <w:rPr/>
        <w:t>9.3.2. O licitante deverá comunicar imediatamente ao provedor do sistema qualquer acontecimento que possa comprometer o sigilo ou a segurança, para imediato bloqueio de acesso.</w:t>
      </w:r>
    </w:p>
    <w:p>
      <w:pPr>
        <w:pStyle w:val="LOnormal"/>
        <w:spacing w:lineRule="auto" w:line="240" w:before="60" w:after="60"/>
        <w:jc w:val="both"/>
        <w:rPr/>
      </w:pPr>
      <w:r>
        <w:rPr/>
        <w:t>9.4. Será concedido tratamento favorecido para as microempresas e empresas de pequeno porte, para as sociedades cooperativas mencionadas no art. 16 da Lei nº 14.133/2021, para o agricultor familiar, o produtor rural pessoa física e para o microempreendedor individual - MEI, nos termos da</w:t>
      </w:r>
      <w:hyperlink r:id="rId3">
        <w:r>
          <w:rPr/>
          <w:t xml:space="preserve"> </w:t>
        </w:r>
      </w:hyperlink>
      <w:hyperlink r:id="rId4">
        <w:r>
          <w:rPr>
            <w:color w:val="1155CC"/>
            <w:u w:val="single"/>
          </w:rPr>
          <w:t>Lei Complementar nº 123/2006</w:t>
        </w:r>
      </w:hyperlink>
      <w:r>
        <w:rPr/>
        <w:t>.</w:t>
      </w:r>
    </w:p>
    <w:p>
      <w:pPr>
        <w:pStyle w:val="LOnormal"/>
        <w:spacing w:lineRule="auto" w:line="240" w:before="60" w:after="60"/>
        <w:jc w:val="both"/>
        <w:rPr/>
      </w:pPr>
      <w:r>
        <w:rPr/>
        <w:t>9.4.1.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Onormal"/>
        <w:spacing w:lineRule="auto" w:line="240" w:before="60" w:after="60"/>
        <w:jc w:val="both"/>
        <w:rPr>
          <w:b/>
          <w:b/>
        </w:rPr>
      </w:pPr>
      <w:r>
        <w:rPr>
          <w:b/>
        </w:rPr>
        <w:t>9.5. Não poderão disputar esta licitação:</w:t>
      </w:r>
    </w:p>
    <w:p>
      <w:pPr>
        <w:pStyle w:val="LOnormal"/>
        <w:spacing w:lineRule="auto" w:line="240" w:before="60" w:after="60"/>
        <w:jc w:val="both"/>
        <w:rPr>
          <w:highlight w:val="white"/>
        </w:rPr>
      </w:pPr>
      <w:r>
        <w:rPr/>
        <w:t>9.5.1. A</w:t>
      </w:r>
      <w:r>
        <w:rPr>
          <w:highlight w:val="white"/>
        </w:rPr>
        <w:t>quele que não atenda às condições deste edital e seus anexos;</w:t>
      </w:r>
    </w:p>
    <w:p>
      <w:pPr>
        <w:pStyle w:val="LOnormal"/>
        <w:spacing w:lineRule="auto" w:line="240" w:before="60" w:after="60"/>
        <w:jc w:val="both"/>
        <w:rPr/>
      </w:pPr>
      <w:r>
        <w:rPr/>
        <w:t>9.5.2. Empresa em estado de insolvência civil, sob processo de falência, dissolução, fusão, cisão, incorporação e liquidação.</w:t>
      </w:r>
    </w:p>
    <w:p>
      <w:pPr>
        <w:pStyle w:val="LOnormal"/>
        <w:spacing w:lineRule="auto" w:line="240" w:before="60" w:after="60"/>
        <w:jc w:val="both"/>
        <w:rPr>
          <w:highlight w:val="white"/>
        </w:rPr>
      </w:pPr>
      <w:r>
        <w:rPr/>
        <w:t>9.5.3. P</w:t>
      </w:r>
      <w:r>
        <w:rPr>
          <w:highlight w:val="white"/>
        </w:rPr>
        <w:t>essoa física.</w:t>
      </w:r>
    </w:p>
    <w:p>
      <w:pPr>
        <w:pStyle w:val="LOnormal"/>
        <w:spacing w:lineRule="auto" w:line="240" w:before="60" w:after="60"/>
        <w:jc w:val="both"/>
        <w:rPr>
          <w:highlight w:val="white"/>
        </w:rPr>
      </w:pPr>
      <w:r>
        <w:rPr>
          <w:highlight w:val="white"/>
        </w:rPr>
        <w:t>9.5.4. Pessoa Jurídica que se encontre, ao tempo da licitação, impossibilitada de participar da licitação em decorrência de sanção que lhe foi imposta, observado o § 1º do art. 14 da Lei nº 14.133/2021;</w:t>
      </w:r>
    </w:p>
    <w:p>
      <w:pPr>
        <w:pStyle w:val="LOnormal"/>
        <w:spacing w:lineRule="auto" w:line="240" w:before="60" w:after="60"/>
        <w:jc w:val="both"/>
        <w:rPr/>
      </w:pPr>
      <w:r>
        <w:rPr/>
        <w:t>9.5.5. Agente público do órgão ou entidade licitante, devendo ser observadas as situações que possam configurar conflito de interesses no exercício ou após o exercício do cargo ou emprego, nos termos da legislação que disciplina a matéria, conforme §1º do art. 9º da Lei nº 14.133/2021. A vedação é estendida a terceiros que auxilie a condução da contratação na qualidade de integrante de equipe de apoio, profissional especializado ou funcionário ou representante de empresa que preste assessoria técnica.</w:t>
      </w:r>
    </w:p>
    <w:p>
      <w:pPr>
        <w:pStyle w:val="LOnormal"/>
        <w:spacing w:lineRule="auto" w:line="240" w:before="60" w:after="60"/>
        <w:jc w:val="both"/>
        <w:rPr/>
      </w:pPr>
      <w:r>
        <w:rPr/>
        <w:t>9.5.6. Empresa estrangeira não autorizada a comercializar no país;</w:t>
      </w:r>
    </w:p>
    <w:p>
      <w:pPr>
        <w:pStyle w:val="LOnormal"/>
        <w:spacing w:lineRule="auto" w:line="240" w:before="60" w:after="60"/>
        <w:jc w:val="both"/>
        <w:rPr>
          <w:highlight w:val="white"/>
        </w:rPr>
      </w:pPr>
      <w:r>
        <w:rPr>
          <w:highlight w:val="white"/>
        </w:rPr>
        <w:t>9.5.7. Empresa ou sociedade cooperativa cujo estatuto ou contrato social não inclua em seu objetivo social atividade compatível com o objeto do certame, e ainda, que não atendam o art. 16 da Lei nº 14.133/2021;</w:t>
      </w:r>
    </w:p>
    <w:p>
      <w:pPr>
        <w:pStyle w:val="LOnormal"/>
        <w:spacing w:lineRule="auto" w:line="240" w:before="60" w:after="60"/>
        <w:jc w:val="both"/>
        <w:rPr>
          <w:highlight w:val="white"/>
        </w:rPr>
      </w:pPr>
      <w:r>
        <w:rPr>
          <w:highlight w:val="white"/>
        </w:rPr>
        <w:t>9.5.8. Organizações da Sociedade Civil de Interesse Público - OSCIP, atuando nessa condição;</w:t>
      </w:r>
    </w:p>
    <w:p>
      <w:pPr>
        <w:pStyle w:val="LOnormal"/>
        <w:spacing w:lineRule="auto" w:line="240" w:before="60" w:after="60"/>
        <w:jc w:val="both"/>
        <w:rPr>
          <w:highlight w:val="white"/>
        </w:rPr>
      </w:pPr>
      <w:r>
        <w:rPr>
          <w:highlight w:val="white"/>
        </w:rPr>
        <w:t>9.5.9. Empresas controladoras, controladas ou coligadas, nos termos da Lei nº 6.404, de 15 de dezembro de 1976, concorrendo entre si;</w:t>
      </w:r>
    </w:p>
    <w:p>
      <w:pPr>
        <w:pStyle w:val="LOnormal"/>
        <w:spacing w:lineRule="auto" w:line="240" w:before="60" w:after="60"/>
        <w:jc w:val="both"/>
        <w:rPr>
          <w:highlight w:val="white"/>
        </w:rPr>
      </w:pPr>
      <w:r>
        <w:rPr>
          <w:highlight w:val="white"/>
        </w:rPr>
        <w:t>9.5.10.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Onormal"/>
        <w:spacing w:lineRule="auto" w:line="240" w:before="60" w:after="60"/>
        <w:jc w:val="both"/>
        <w:rPr>
          <w:highlight w:val="white"/>
        </w:rPr>
      </w:pPr>
      <w:r>
        <w:rPr>
          <w:highlight w:val="white"/>
        </w:rPr>
        <w:t>9.5.11. Pessoa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Onormal"/>
        <w:spacing w:lineRule="auto" w:line="240" w:before="60" w:after="60"/>
        <w:jc w:val="both"/>
        <w:rPr/>
      </w:pPr>
      <w:r>
        <w:rPr/>
        <w:t>9.5.12. Pessoa jurídica que integre o rol de pessoas sancionadas nas hipóteses do §5º do art.14 da Lei nº 14.133/2021, ou que seja declarada inidônea nos termos da referida Lei.</w:t>
      </w:r>
    </w:p>
    <w:p>
      <w:pPr>
        <w:pStyle w:val="LOnormal"/>
        <w:spacing w:lineRule="auto" w:line="240" w:before="60" w:after="60"/>
        <w:jc w:val="both"/>
        <w:rPr/>
      </w:pPr>
      <w:r>
        <w:rPr/>
        <w:t xml:space="preserve">9.6. </w:t>
      </w:r>
      <w:r>
        <w:rPr>
          <w:highlight w:val="white"/>
        </w:rPr>
        <w:t xml:space="preserve">É permitida a participação </w:t>
      </w:r>
      <w:r>
        <w:rPr/>
        <w:t>de consórcio, desde que observadas as normas contidas nos arts. 78 e 79 do Decreto nº 35.067/2022 e o art. 15 da Lei nº 14.133/2021.</w:t>
      </w:r>
    </w:p>
    <w:p>
      <w:pPr>
        <w:pStyle w:val="LOnormal"/>
        <w:spacing w:lineRule="auto" w:line="240" w:before="60" w:after="60"/>
        <w:rPr>
          <w:b/>
          <w:b/>
        </w:rPr>
      </w:pPr>
      <w:r>
        <w:rPr>
          <w:b/>
        </w:rPr>
        <w:t>10. DA IMPUGNAÇÃO AO EDITAL E DO PEDIDO DE ESCLARECIMENTO</w:t>
      </w:r>
    </w:p>
    <w:p>
      <w:pPr>
        <w:pStyle w:val="LOnormal"/>
        <w:spacing w:lineRule="auto" w:line="240" w:before="60" w:after="60"/>
        <w:jc w:val="both"/>
        <w:rPr>
          <w:highlight w:val="white"/>
        </w:rPr>
      </w:pPr>
      <w:r>
        <w:rPr/>
        <w:t xml:space="preserve">10.1. </w:t>
      </w:r>
      <w:r>
        <w:rPr>
          <w:highlight w:val="white"/>
        </w:rPr>
        <w:t>Qualquer pessoa é parte legítima para impugnar este edital por irregularidade na aplicação da</w:t>
      </w:r>
      <w:hyperlink r:id="rId5">
        <w:r>
          <w:rPr>
            <w:highlight w:val="white"/>
          </w:rPr>
          <w:t xml:space="preserve"> </w:t>
        </w:r>
      </w:hyperlink>
      <w:hyperlink r:id="rId6">
        <w:r>
          <w:rPr>
            <w:color w:val="1155CC"/>
            <w:highlight w:val="white"/>
            <w:u w:val="single"/>
          </w:rPr>
          <w:t>Lei nº 14.133/2021</w:t>
        </w:r>
      </w:hyperlink>
      <w:r>
        <w:rPr>
          <w:highlight w:val="white"/>
        </w:rPr>
        <w:t>, ou para solicitar esclarecimento sobre seus termos, devendo encaminhar o pedido até 3 (três) dias úteis antes da data da abertura do certame, no endereço eletrônico citado no subitem 10.3 abaixo.</w:t>
      </w:r>
    </w:p>
    <w:p>
      <w:pPr>
        <w:pStyle w:val="LOnormal"/>
        <w:spacing w:lineRule="auto" w:line="240" w:before="60" w:after="60"/>
        <w:jc w:val="both"/>
        <w:rPr>
          <w:highlight w:val="white"/>
        </w:rPr>
      </w:pPr>
      <w:r>
        <w:rPr/>
        <w:t xml:space="preserve">10.2. </w:t>
      </w:r>
      <w:r>
        <w:rPr>
          <w:highlight w:val="white"/>
        </w:rPr>
        <w:t>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pPr>
        <w:pStyle w:val="LOnormal"/>
        <w:spacing w:lineRule="auto" w:line="240" w:before="60" w:after="60"/>
        <w:jc w:val="both"/>
        <w:rPr>
          <w:highlight w:val="white"/>
        </w:rPr>
      </w:pPr>
      <w:r>
        <w:rPr>
          <w:highlight w:val="white"/>
        </w:rPr>
        <w:t>10.2.1. As decisões do pregoeiro, se darão com embasamento nos pareceres e laudos emitidos pelas áreas técnicas e jurídicas do órgão e entidade promotora da licitação nos termos dos §§ 1º, 2º e 3º do art. 24 do Decreto nº 35.067/2022.</w:t>
      </w:r>
    </w:p>
    <w:p>
      <w:pPr>
        <w:pStyle w:val="LOnormal"/>
        <w:spacing w:lineRule="auto" w:line="240" w:before="60" w:after="60"/>
        <w:jc w:val="both"/>
        <w:rPr>
          <w:highlight w:val="white"/>
        </w:rPr>
      </w:pPr>
      <w:r>
        <w:rPr>
          <w:highlight w:val="white"/>
        </w:rPr>
        <w:t>10.2.2. Na impossibilidade de resposta à impugnação no prazo citado no subitem 10.2, o pregoeiro poderá adiar a abertura da sessão pública, mediante aviso no sistema utilizado na realização do certame.</w:t>
      </w:r>
    </w:p>
    <w:p>
      <w:pPr>
        <w:pStyle w:val="LOnormal"/>
        <w:spacing w:lineRule="auto" w:line="240" w:before="60" w:after="60"/>
        <w:jc w:val="both"/>
        <w:rPr/>
      </w:pPr>
      <w:r>
        <w:rPr>
          <w:highlight w:val="white"/>
        </w:rPr>
        <w:t xml:space="preserve">10.3. </w:t>
      </w:r>
      <w:r>
        <w:rPr/>
        <w:t>A impugnação e o pedido de esclarecimento deverão ser realizados exclusivamente por meio eletrônico, no endereço licitacao@pge.ce.gov.br, até às 23h59min, com a informação do nº do pregão, o órgão ou entidade promotora da licitação e pregoeiro responsável.</w:t>
      </w:r>
    </w:p>
    <w:p>
      <w:pPr>
        <w:pStyle w:val="LOnormal"/>
        <w:spacing w:lineRule="auto" w:line="240" w:before="60" w:after="60"/>
        <w:jc w:val="both"/>
        <w:rPr/>
      </w:pPr>
      <w:r>
        <w:rPr/>
        <w:t>10.3.1. As impugnações apresentadas deverão ser subscritas por representante legal mediante comprovação, sob pena do seu não conhecimento.</w:t>
      </w:r>
    </w:p>
    <w:p>
      <w:pPr>
        <w:pStyle w:val="LOnormal"/>
        <w:spacing w:lineRule="auto" w:line="240" w:before="60" w:after="60"/>
        <w:jc w:val="both"/>
        <w:rPr>
          <w:highlight w:val="white"/>
        </w:rPr>
      </w:pPr>
      <w:r>
        <w:rPr/>
        <w:t xml:space="preserve">10.4. </w:t>
      </w:r>
      <w:r>
        <w:rPr>
          <w:highlight w:val="white"/>
        </w:rPr>
        <w:t>As impugnações e pedidos de esclarecimentos não suspendem os prazos previstos no certame.</w:t>
      </w:r>
    </w:p>
    <w:p>
      <w:pPr>
        <w:pStyle w:val="LOnormal"/>
        <w:spacing w:lineRule="auto" w:line="240" w:before="60" w:after="60"/>
        <w:jc w:val="both"/>
        <w:rPr>
          <w:highlight w:val="white"/>
        </w:rPr>
      </w:pPr>
      <w:r>
        <w:rPr>
          <w:highlight w:val="white"/>
        </w:rPr>
        <w:t>10.4.1. A concessão de efeito suspensivo à impugnação é medida excepcional e deverá ser motivada pelo pregoeiro, nos autos do processo de licitação.</w:t>
      </w:r>
    </w:p>
    <w:p>
      <w:pPr>
        <w:pStyle w:val="LOnormal"/>
        <w:spacing w:lineRule="auto" w:line="240" w:before="60" w:after="60"/>
        <w:jc w:val="both"/>
        <w:rPr>
          <w:highlight w:val="white"/>
        </w:rPr>
      </w:pPr>
      <w:r>
        <w:rPr>
          <w:highlight w:val="white"/>
        </w:rPr>
        <w:t>10.5. Acolhida a impugnação, será definida e publicada nova data para a realização do certame, exceto quando a alteração não comprometer a formulação das propostas.</w:t>
      </w:r>
    </w:p>
    <w:p>
      <w:pPr>
        <w:pStyle w:val="LOnormal"/>
        <w:spacing w:lineRule="auto" w:line="240" w:before="60" w:after="60"/>
        <w:jc w:val="both"/>
        <w:rPr>
          <w:b/>
          <w:b/>
        </w:rPr>
      </w:pPr>
      <w:r>
        <w:rPr>
          <w:b/>
        </w:rPr>
        <w:t>11. DA HABILITAÇÃO</w:t>
      </w:r>
    </w:p>
    <w:p>
      <w:pPr>
        <w:pStyle w:val="LOnormal"/>
        <w:jc w:val="both"/>
        <w:rPr/>
      </w:pPr>
      <w:r>
        <w:rPr>
          <w:highlight w:val="white"/>
        </w:rPr>
        <w:t>11.1.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p>
    <w:p>
      <w:pPr>
        <w:pStyle w:val="LOnormal"/>
        <w:jc w:val="both"/>
        <w:rPr/>
      </w:pPr>
      <w:r>
        <w:rPr>
          <w:highlight w:val="white"/>
        </w:rPr>
        <w:t>11.1.1. A verificação no Sistema de Cadastramento Unificado de Fornecedores(SICAF) ou a exigência dos documentos nele não contidos, somente será feita em relação ao licitante provisoriamente vencedor.</w:t>
      </w:r>
    </w:p>
    <w:p>
      <w:pPr>
        <w:pStyle w:val="LOnormal"/>
        <w:jc w:val="both"/>
        <w:rPr/>
      </w:pPr>
      <w:r>
        <w:rPr>
          <w:highlight w:val="white"/>
        </w:rPr>
        <w:t xml:space="preserve">11.1.2. </w:t>
      </w:r>
      <w:r>
        <w:rPr/>
        <w:t>A verificação pelo pregoeiro, em sítios eletrônicos oficiais de órgãos e entidades emissores de certidões constitui meio legal de prova, para fins de habilitação.</w:t>
      </w:r>
    </w:p>
    <w:p>
      <w:pPr>
        <w:pStyle w:val="LOnormal"/>
        <w:jc w:val="both"/>
        <w:rPr/>
      </w:pPr>
      <w:r>
        <w:rPr>
          <w:highlight w:val="white"/>
        </w:rPr>
        <w:t xml:space="preserve">11.1.3. Como condição prévia ao exame da documentação de habilitação do licitante detentor da proposta classificada em primeiro lugar, </w:t>
      </w:r>
      <w:r>
        <w:rPr/>
        <w:t>o pregoeiro</w:t>
      </w:r>
      <w:r>
        <w:rPr>
          <w:highlight w:val="white"/>
        </w:rPr>
        <w:t xml:space="preserve"> verificará o eventual descumprimento das condições de participação previstas neste edital.</w:t>
      </w:r>
    </w:p>
    <w:p>
      <w:pPr>
        <w:pStyle w:val="LOnormal"/>
        <w:spacing w:lineRule="auto" w:line="240"/>
        <w:jc w:val="both"/>
        <w:rPr/>
      </w:pPr>
      <w:r>
        <w:rPr>
          <w:highlight w:val="white"/>
        </w:rPr>
        <w:t>11.1.4. Constatada a existência de sanção e/ou eventual descu</w:t>
      </w:r>
      <w:r>
        <w:rPr/>
        <w:t>mprimento das condições de participação, o pregoeiro reputará o licitante inabilitado.</w:t>
      </w:r>
    </w:p>
    <w:p>
      <w:pPr>
        <w:pStyle w:val="LOnormal"/>
        <w:rPr/>
      </w:pPr>
      <w:r>
        <w:rPr>
          <w:b/>
        </w:rPr>
        <w:t>11.2. Habilitação jurídica</w:t>
      </w:r>
    </w:p>
    <w:p>
      <w:pPr>
        <w:pStyle w:val="LOnormal"/>
        <w:spacing w:lineRule="auto" w:line="240"/>
        <w:jc w:val="both"/>
        <w:rPr/>
      </w:pPr>
      <w:r>
        <w:rPr/>
        <w:t>11.2.1. A documentação relativa à habilitação jurídica consistirá em:</w:t>
      </w:r>
    </w:p>
    <w:p>
      <w:pPr>
        <w:pStyle w:val="LOnormal"/>
        <w:spacing w:lineRule="auto" w:line="240" w:before="60" w:after="60"/>
        <w:jc w:val="both"/>
        <w:rPr/>
      </w:pPr>
      <w:r>
        <w:rPr/>
        <w:t>11.2.1.2. Microempreendedor Individual - MEI: Certificado da Condição de Microempreendedor Individual - CCMEI, cuja aceitação ficará condicionada à verificação da autenticidade no sítio</w:t>
      </w:r>
      <w:hyperlink r:id="rId7">
        <w:r>
          <w:rPr/>
          <w:t xml:space="preserve"> https://www.gov.br/empresas-e-negocios/pt-br/empreendedor</w:t>
        </w:r>
      </w:hyperlink>
      <w:r>
        <w:rPr/>
        <w:t>;</w:t>
      </w:r>
    </w:p>
    <w:p>
      <w:pPr>
        <w:pStyle w:val="LOnormal"/>
        <w:keepNext w:val="false"/>
        <w:keepLines w:val="false"/>
        <w:pageBreakBefore w:val="false"/>
        <w:widowControl/>
        <w:shd w:val="clear" w:fill="auto"/>
        <w:spacing w:lineRule="auto" w:line="240" w:before="60" w:after="60"/>
        <w:ind w:left="0" w:right="0" w:hanging="0"/>
        <w:jc w:val="both"/>
        <w:rPr>
          <w:i/>
          <w:i/>
          <w:highlight w:val="yellow"/>
        </w:rPr>
      </w:pPr>
      <w:r>
        <w:rPr/>
        <w:t>11.2.1.3.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LOnormal"/>
        <w:spacing w:lineRule="auto" w:line="240" w:before="60" w:after="60"/>
        <w:jc w:val="both"/>
        <w:rPr/>
      </w:pPr>
      <w:r>
        <w:rPr/>
        <w:t>11.2.1.4. Sociedade simples: inscrição do ato constitutivo no Registro Civil de Pessoas Jurídicas do local de sua sede, acompanhada de documento comprobatório de seus administradores;</w:t>
      </w:r>
    </w:p>
    <w:p>
      <w:pPr>
        <w:pStyle w:val="LOnormal"/>
        <w:spacing w:lineRule="auto" w:line="240" w:before="60" w:after="60"/>
        <w:jc w:val="both"/>
        <w:rPr>
          <w:i/>
          <w:i/>
          <w:highlight w:val="yellow"/>
        </w:rPr>
      </w:pPr>
      <w:r>
        <w:rPr/>
        <w:t>11.2.1.5.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Onormal"/>
        <w:spacing w:lineRule="auto" w:line="240" w:before="60" w:after="60"/>
        <w:jc w:val="both"/>
        <w:rPr/>
      </w:pPr>
      <w:r>
        <w:rPr/>
        <w:t>11.2.1.6. Sociedade cooperativa: ata de fundação e estatuto social, com a ata da assembleia que o aprovou, devidamente arquivado na Junta Comercial ou inscrito no Registro Civil das Pessoas Jurídicas da respectiva sede, além do registro de que trata o art. 107 da Lei nº 5.764/1971;</w:t>
      </w:r>
    </w:p>
    <w:p>
      <w:pPr>
        <w:pStyle w:val="LOnormal"/>
        <w:spacing w:lineRule="auto" w:line="240" w:before="60" w:after="60"/>
        <w:jc w:val="both"/>
        <w:rPr/>
      </w:pPr>
      <w:r>
        <w:rPr/>
        <w:t>11.2.1.7. Ato de autorização para o exercício da atividade de coleta e destinação final de resíduos sólidos, expedido pela Secretaria Municipal de Conservação e Serviços Públicos SCSP/Fortaleza, nos termos da Lei municipal nº 10.340 de 28 de abril de 2015, regulamentada pelo Decreto Municipal nº 13.577/2015.</w:t>
      </w:r>
    </w:p>
    <w:p>
      <w:pPr>
        <w:pStyle w:val="LOnormal"/>
        <w:rPr>
          <w:b/>
          <w:b/>
        </w:rPr>
      </w:pPr>
      <w:r>
        <w:rPr>
          <w:b/>
        </w:rPr>
        <w:t>11.3. Qualificação técnica</w:t>
      </w:r>
    </w:p>
    <w:p>
      <w:pPr>
        <w:pStyle w:val="LOnormal"/>
        <w:jc w:val="both"/>
        <w:rPr/>
      </w:pPr>
      <w:r>
        <w:rPr/>
        <w:t>11.3.1. A documentação relativa à qualificação técnico-operacional, nos termos do art. 67 da Lei Federal nº 14.133/2021, consistirá em:</w:t>
      </w:r>
    </w:p>
    <w:p>
      <w:pPr>
        <w:pStyle w:val="LOnormal"/>
        <w:spacing w:lineRule="auto" w:line="240"/>
        <w:jc w:val="both"/>
        <w:rPr>
          <w:i/>
          <w:i/>
          <w:shd w:fill="FFF200" w:val="clear"/>
        </w:rPr>
      </w:pPr>
      <w:r>
        <w:rPr/>
        <w:t>11.3.1.1. Prova de inscrição ou registro do licitante, junto ao conselho profissional competente, quando for o caso, da localidade da sede do licitante, em plena validade;</w:t>
      </w:r>
    </w:p>
    <w:p>
      <w:pPr>
        <w:pStyle w:val="LOnormal"/>
        <w:jc w:val="both"/>
        <w:rPr/>
      </w:pPr>
      <w:r>
        <w:rPr/>
        <w:t xml:space="preserve">11.3.1.2. Apresentação de profissional, devidamente registrado no conselho profissional competente, quando for o caso, detentor de atestado de responsabilidade técnica </w:t>
      </w:r>
      <w:r>
        <w:rPr>
          <w:b/>
        </w:rPr>
        <w:t>(com registro do atestado)</w:t>
      </w:r>
      <w:r>
        <w:rPr/>
        <w:t xml:space="preserve"> por execução serviço de características semelhantes, para fins de contratação;</w:t>
      </w:r>
    </w:p>
    <w:p>
      <w:pPr>
        <w:pStyle w:val="LOnormal"/>
        <w:jc w:val="both"/>
        <w:rPr/>
      </w:pPr>
      <w:r>
        <w:rPr/>
        <w:t>11.3.1.3. Certidões ou atestados, regularmente emitidos pelo conselho profissional competente, quando for o caso, que demonstrem capacidade operacional na execução de serviços similares ou superior, bem como documentos comprobatórios emitidos na forma do § 3º do art. 88 da Lei nº 14.133/2021</w:t>
      </w:r>
      <w:r>
        <w:fldChar w:fldCharType="begin"/>
      </w:r>
      <w:r>
        <w:rPr/>
        <w:instrText xml:space="preserve"> HYPERLINK "https://www.planalto.gov.br/ccivil_03/_ato2019-2022/2021/lei/l14133.htm" \l "art88§3"</w:instrText>
      </w:r>
      <w:r>
        <w:rPr/>
        <w:fldChar w:fldCharType="separate"/>
      </w:r>
      <w:r>
        <w:rPr/>
        <w:t>;</w:t>
      </w:r>
      <w:r>
        <w:rPr/>
        <w:fldChar w:fldCharType="end"/>
      </w:r>
    </w:p>
    <w:p>
      <w:pPr>
        <w:pStyle w:val="LOnormal"/>
        <w:jc w:val="both"/>
        <w:rPr/>
      </w:pPr>
      <w:r>
        <w:rPr/>
        <w:t>11.3.1.4. Indicação do pessoal técnico, das instalações e do aparelhamento adequados e  disponíveis para a realização do objeto da licitação, bem como da qualificação de cada membro da equipe técnica que se responsabilizará pelos trabalhos;</w:t>
      </w:r>
    </w:p>
    <w:p>
      <w:pPr>
        <w:pStyle w:val="LOnormal"/>
        <w:jc w:val="both"/>
        <w:rPr/>
      </w:pPr>
      <w:r>
        <w:rPr/>
        <w:t>11.3.1.5. Prova do atendimento de requisitos previstos em lei especial, quando for o caso;</w:t>
      </w:r>
    </w:p>
    <w:p>
      <w:pPr>
        <w:pStyle w:val="LOnormal"/>
        <w:jc w:val="both"/>
        <w:rPr/>
      </w:pPr>
      <w:r>
        <w:rPr/>
        <w:t>11.3.2. Não serão admitidos atestados de responsabilidade técnica de profissionais que, na forma de regulamento, tenham dado causa à aplicação das sanções previstas nos incisos III e IV do caput do art. 156 da Lei Federal nº 14.133/2021 em decorrência de orientação proposta, de prescrição técnica ou de qualquer ato profissional de sua responsabilidade.</w:t>
      </w:r>
    </w:p>
    <w:p>
      <w:pPr>
        <w:pStyle w:val="LOnormal"/>
        <w:jc w:val="both"/>
        <w:rPr/>
      </w:pPr>
      <w:r>
        <w:rPr/>
        <w:t>11.3.3. Para fins da comprovação de que tratam os subitens 11.3.1.2 e 11.3.1.3, os atestados deverão dizer respeito a contratos executados com as seguintes características mínimas:</w:t>
      </w:r>
    </w:p>
    <w:p>
      <w:pPr>
        <w:pStyle w:val="LOnormal"/>
        <w:jc w:val="both"/>
        <w:rPr/>
      </w:pPr>
      <w:r>
        <w:rPr/>
        <w:t>11.3.3.1. No caso do profissional não constar da relação de responsável(is) técnico(s) junto ao CREA, o acervo do profissional será aceito, desde que ele comprove vínculo com o licitante, por meio de um dos seguintes documentos:</w:t>
      </w:r>
    </w:p>
    <w:p>
      <w:pPr>
        <w:pStyle w:val="LOnormal"/>
        <w:jc w:val="both"/>
        <w:rPr/>
      </w:pPr>
      <w:r>
        <w:rPr/>
        <w:t>a) Carteira de Trabalho e Previdência Social (CTPS) ou Ficha ou Livro de Registros de Empregados (FRE) que demonstrem a identificação do profissional, ou Guia de Recolhimento do FGTS onde conste o(s) nome(s) do(s) profissional(ais).</w:t>
      </w:r>
    </w:p>
    <w:p>
      <w:pPr>
        <w:pStyle w:val="LOnormal"/>
        <w:jc w:val="both"/>
        <w:rPr/>
      </w:pPr>
      <w:r>
        <w:rPr/>
        <w:t>b) Contrato de Prestação de Serviço celebrado de acordo com a legislação civil comum.</w:t>
      </w:r>
    </w:p>
    <w:p>
      <w:pPr>
        <w:pStyle w:val="LOnormal"/>
        <w:jc w:val="both"/>
        <w:rPr/>
      </w:pPr>
      <w:r>
        <w:rPr/>
        <w:t>c) Contrato Social do licitante em que conste o profissional como sócio.</w:t>
      </w:r>
    </w:p>
    <w:p>
      <w:pPr>
        <w:pStyle w:val="LOnormal"/>
        <w:jc w:val="both"/>
        <w:rPr/>
      </w:pPr>
      <w:r>
        <w:rPr/>
        <w:t>11.3.3.2. Quando a CERTIDÃO DE ACERVO TÉCNICO emitida pelo CREA, não explicitar com clareza os serviços objeto do acervo técnico, esta deverá vir acompanhada do seu respectivo atestado, devidamente registrado e reconhecido pelo Conselho.</w:t>
      </w:r>
    </w:p>
    <w:p>
      <w:pPr>
        <w:pStyle w:val="LOnormal"/>
        <w:spacing w:lineRule="auto" w:line="240"/>
        <w:jc w:val="both"/>
        <w:rPr/>
      </w:pPr>
      <w:r>
        <w:rPr/>
        <w:t>11.3.4. A exigência de atestados será restrita às parcelas de maior relevância ou valor significativo do objeto da licitação, assim consideradas as que tenham valor individual igual ou superior a 4% (quatro por cento) do valor total estimado da contratação.</w:t>
      </w:r>
    </w:p>
    <w:p>
      <w:pPr>
        <w:pStyle w:val="LOnormal"/>
        <w:spacing w:lineRule="auto" w:line="240"/>
        <w:jc w:val="both"/>
        <w:rPr/>
      </w:pPr>
      <w:r>
        <w:rPr/>
        <w:t>11.3.4.1. O licitante disponibilizará todas as informações necessárias à comprovação da legitimidade dos atestados, apresentando, quando solicitado pelo pregoeiro, cópia do contrato que deu suporte à contratação, endereço atual do contratante e local em que foi executado o contrato, dentre outros documentos.</w:t>
      </w:r>
    </w:p>
    <w:p>
      <w:pPr>
        <w:pStyle w:val="LOnormal"/>
        <w:spacing w:lineRule="auto" w:line="240"/>
        <w:jc w:val="both"/>
        <w:rPr/>
      </w:pPr>
      <w:r>
        <w:rPr/>
        <w:t>11.3.4.2. Será admitida, para fins de comprovação de quantitativo mínimo, a apresentação e o somatório de diferentes atestados executados de forma concomitante.</w:t>
      </w:r>
    </w:p>
    <w:p>
      <w:pPr>
        <w:pStyle w:val="LOnormal"/>
        <w:spacing w:lineRule="auto" w:line="240"/>
        <w:jc w:val="both"/>
        <w:rPr/>
      </w:pPr>
      <w:r>
        <w:rPr/>
        <w:t>11.3.5. Será admitida a exigência de atestados com quantidades mínimas de até 50% (cinquenta por cento) da PARCELA DE MAIOR RELEVÂNCIA, vedadas limitações de tempo e de locais específicos relativos aos atestados.</w:t>
      </w:r>
    </w:p>
    <w:p>
      <w:pPr>
        <w:pStyle w:val="LOnormal"/>
        <w:spacing w:lineRule="auto" w:line="240"/>
        <w:jc w:val="both"/>
        <w:rPr>
          <w:i/>
          <w:i/>
          <w:shd w:fill="FFF200" w:val="clear"/>
        </w:rPr>
      </w:pPr>
      <w:r>
        <w:rPr/>
        <w:t>11.3.6. Certidão ou atestado que demonstre que o licitante tenha executado serviços similares ou superiores ao objeto da licitação, em períodos sucessivos ou não, por um prazo mínimo de 03 (três) anos.</w:t>
      </w:r>
    </w:p>
    <w:p>
      <w:pPr>
        <w:pStyle w:val="LOnormal"/>
        <w:spacing w:lineRule="auto" w:line="240" w:before="60" w:after="60"/>
        <w:jc w:val="both"/>
        <w:rPr/>
      </w:pPr>
      <w:r>
        <w:rPr/>
        <w:t>11.3.7. A habilitação técnica do consórcio de empresas, será feita por meio do somatório dos quantitativos de cada consorciado.</w:t>
      </w:r>
    </w:p>
    <w:p>
      <w:pPr>
        <w:pStyle w:val="LOnormal"/>
        <w:spacing w:lineRule="auto" w:line="240" w:before="60" w:after="60"/>
        <w:jc w:val="both"/>
        <w:rPr/>
      </w:pPr>
      <w:r>
        <w:rPr/>
        <w:t>11.3.7.1. Se o consórcio não for formado integralmente por microempresas ou empresas de pequeno porte e forem exigidos requisitos de habilitação econômico-financeira, haverá um acréscimo de 15% (quinze por cento), para o consórcio em relação ao valor exigido para os licitantes individuais.</w:t>
      </w:r>
    </w:p>
    <w:p>
      <w:pPr>
        <w:pStyle w:val="LOnormal"/>
        <w:spacing w:lineRule="auto" w:line="240" w:before="60" w:after="60"/>
        <w:jc w:val="both"/>
        <w:rPr>
          <w:i/>
          <w:i/>
          <w:shd w:fill="FFF200" w:val="clear"/>
        </w:rPr>
      </w:pPr>
      <w:r>
        <w:rPr/>
        <w:t>11.3.8. Para a participação de cooperativas, será exigida a seguinte documentação complementar:</w:t>
      </w:r>
    </w:p>
    <w:p>
      <w:pPr>
        <w:pStyle w:val="LOnormal"/>
        <w:spacing w:lineRule="auto" w:line="240" w:before="60" w:after="60"/>
        <w:jc w:val="both"/>
        <w:rPr/>
      </w:pPr>
      <w:r>
        <w:rPr/>
        <w:t>11.3.8.1.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nº 5.764/1971;</w:t>
      </w:r>
    </w:p>
    <w:p>
      <w:pPr>
        <w:pStyle w:val="LOnormal"/>
        <w:spacing w:lineRule="auto" w:line="240" w:before="60" w:after="60"/>
        <w:jc w:val="both"/>
        <w:rPr>
          <w:i/>
          <w:i/>
          <w:shd w:fill="FFF200" w:val="clear"/>
        </w:rPr>
      </w:pPr>
      <w:r>
        <w:rPr/>
        <w:t>11.3.8.2. A declaração de regularidade de situação do contribuinte individual – DRSCI, para cada um dos cooperados indicados;</w:t>
      </w:r>
    </w:p>
    <w:p>
      <w:pPr>
        <w:pStyle w:val="LOnormal"/>
        <w:spacing w:lineRule="auto" w:line="240" w:before="60" w:after="60"/>
        <w:jc w:val="both"/>
        <w:rPr>
          <w:i/>
          <w:i/>
          <w:shd w:fill="FFF200" w:val="clear"/>
        </w:rPr>
      </w:pPr>
      <w:r>
        <w:rPr/>
        <w:t>11.3.8.3. A comprovação do capital social proporcional ao número de cooperados necessários à execução do contrato;</w:t>
      </w:r>
    </w:p>
    <w:p>
      <w:pPr>
        <w:pStyle w:val="LOnormal"/>
        <w:spacing w:lineRule="auto" w:line="240" w:before="60" w:after="60"/>
        <w:jc w:val="both"/>
        <w:rPr>
          <w:i/>
          <w:i/>
          <w:shd w:fill="FFF200" w:val="clear"/>
        </w:rPr>
      </w:pPr>
      <w:r>
        <w:rPr/>
        <w:t>11.3.8.4. O registro previsto no art. 107 da Lei nº 5.764/1971;</w:t>
      </w:r>
    </w:p>
    <w:p>
      <w:pPr>
        <w:pStyle w:val="LOnormal"/>
        <w:spacing w:lineRule="auto" w:line="240" w:before="60" w:after="60"/>
        <w:jc w:val="both"/>
        <w:rPr>
          <w:i/>
          <w:i/>
          <w:shd w:fill="FFF200" w:val="clear"/>
        </w:rPr>
      </w:pPr>
      <w:r>
        <w:rPr/>
        <w:t>11.3.8.5. A comprovação de integração das respectivas quotas-partes por parte dos cooperados que executarão o contrato;</w:t>
      </w:r>
    </w:p>
    <w:p>
      <w:pPr>
        <w:pStyle w:val="LOnormal"/>
        <w:spacing w:lineRule="auto" w:line="240" w:before="60" w:after="60"/>
        <w:jc w:val="both"/>
        <w:rPr>
          <w:i/>
          <w:i/>
          <w:shd w:fill="FFF200" w:val="clear"/>
        </w:rPr>
      </w:pPr>
      <w:r>
        <w:rPr/>
        <w:t>11.3.8.6.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pPr>
        <w:pStyle w:val="LOnormal"/>
        <w:spacing w:lineRule="auto" w:line="240"/>
        <w:jc w:val="both"/>
        <w:rPr>
          <w:i/>
          <w:i/>
          <w:shd w:fill="FFF200" w:val="clear"/>
        </w:rPr>
      </w:pPr>
      <w:r>
        <w:rPr/>
        <w:t>11.3.8.7. A última auditoria contábil-financeira da cooperativa, conforme dispõe o art. 112 da Lei nº 5.764/1971, ou uma declaração, sob as penas da lei, de que tal auditoria não foi exigida pelo órgão fiscalizador.</w:t>
      </w:r>
    </w:p>
    <w:p>
      <w:pPr>
        <w:pStyle w:val="LOnormal"/>
        <w:spacing w:lineRule="auto" w:line="240" w:before="60" w:after="60"/>
        <w:jc w:val="both"/>
        <w:rPr>
          <w:b/>
          <w:b/>
        </w:rPr>
      </w:pPr>
      <w:r>
        <w:rPr>
          <w:b/>
        </w:rPr>
        <w:t>11.4. Habilitações fiscal, social e trabalhista</w:t>
      </w:r>
    </w:p>
    <w:p>
      <w:pPr>
        <w:pStyle w:val="LOnormal"/>
        <w:jc w:val="both"/>
        <w:rPr/>
      </w:pPr>
      <w:r>
        <w:rPr/>
        <w:t>11.4.1. As habilitações fiscal, social e trabalhista serão aferidas mediante a verificação dos seguintes requisitos:</w:t>
      </w:r>
    </w:p>
    <w:p>
      <w:pPr>
        <w:pStyle w:val="LOnormal"/>
        <w:jc w:val="both"/>
        <w:rPr/>
      </w:pPr>
      <w:r>
        <w:rPr/>
        <w:t>11.4.1.1. A inscrição no Cadastro de Pessoas Físicas (CPF) ou no Cadastro Nacional da Pessoa Jurídica (CNPJ);</w:t>
      </w:r>
    </w:p>
    <w:p>
      <w:pPr>
        <w:pStyle w:val="LOnormal"/>
        <w:jc w:val="both"/>
        <w:rPr/>
      </w:pPr>
      <w:r>
        <w:rPr/>
        <w:t>11.4.1.2. A inscrição no cadastro de contribuintes estadual e/ou municipal, se houver, relativo ao domicílio ou sede do licitante, pertinente ao seu ramo de atividade e compatível com o objeto contratual;</w:t>
      </w:r>
    </w:p>
    <w:p>
      <w:pPr>
        <w:pStyle w:val="LOnormal"/>
        <w:jc w:val="both"/>
        <w:rPr/>
      </w:pPr>
      <w:r>
        <w:rPr/>
        <w:t>11.4.1.3. A regularidade perante a fazenda federal, estadual e/ou municipal do domicílio ou sede do licitante, ou outra equivalente, na forma da lei;</w:t>
      </w:r>
    </w:p>
    <w:p>
      <w:pPr>
        <w:pStyle w:val="LOnormal"/>
        <w:jc w:val="both"/>
        <w:rPr/>
      </w:pPr>
      <w:r>
        <w:rPr/>
        <w:t>11.4.1.4. A regularidade relativa à seguridade social e ao FGTS, que demonstre cumprimento dos encargos sociais instituídos por lei;</w:t>
      </w:r>
    </w:p>
    <w:p>
      <w:pPr>
        <w:pStyle w:val="LOnormal"/>
        <w:spacing w:lineRule="auto" w:line="240"/>
        <w:jc w:val="both"/>
        <w:rPr/>
      </w:pPr>
      <w:r>
        <w:rPr/>
        <w:t>11.4.1.5. A regularidade perante a Justiça do Trabalho, mediante a apresentação de certidão negativa ou positiva com efeito de negativa, nos termos do Título VII-A da Consolidação das Leis do Trabalho, aprovada pelo Decreto-Lei nº 5.452/1943;</w:t>
      </w:r>
    </w:p>
    <w:p>
      <w:pPr>
        <w:pStyle w:val="LOnormal"/>
        <w:spacing w:lineRule="auto" w:line="240" w:before="60" w:after="60"/>
        <w:jc w:val="both"/>
        <w:rPr/>
      </w:pPr>
      <w:r>
        <w:rPr/>
        <w:t>11.4.1.6. O cumprimento do disposto no inciso XXXIII do art. 7º da Constituição Federal.</w:t>
      </w:r>
    </w:p>
    <w:p>
      <w:pPr>
        <w:pStyle w:val="LOnormal"/>
        <w:spacing w:lineRule="auto" w:line="240" w:before="60" w:after="60"/>
        <w:jc w:val="both"/>
        <w:rPr/>
      </w:pPr>
      <w:r>
        <w:rPr/>
        <w:t>11.4.2.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pPr>
        <w:pStyle w:val="LOnormal"/>
        <w:spacing w:lineRule="auto" w:line="240" w:before="60" w:after="60"/>
        <w:jc w:val="both"/>
        <w:rPr/>
      </w:pPr>
      <w:r>
        <w:rPr/>
        <w:t>11.4.3. O licitante enquadrado como microempreendedor individual que pretenda auferir os benefícios do tratamento diferenciado previstos na Lei Complementar nº 123/2020, estará dispensado da prova de inscrição nos cadastros de contribuintes estadual e municipal, uma vez que o certificado de microempreendedor – CCMEI, supre as exigências de inscrição nos cadastros fiscais, na medida em que essas informações constam no próprio certificado.</w:t>
      </w:r>
    </w:p>
    <w:p>
      <w:pPr>
        <w:pStyle w:val="LOnormal"/>
        <w:spacing w:lineRule="auto" w:line="240" w:before="60" w:after="60"/>
        <w:jc w:val="both"/>
        <w:rPr/>
      </w:pPr>
      <w:r>
        <w:rPr/>
        <w:t>11.4.4. Os documentos enumerados no subitem 11.4.1, poderão ser substituídos ou suprimidos, no todo ou em parte, por outros meios hábeis a comprovar a regularidade do licitante, inclusive por meio eletrônico. Quanto à comprovação de atendimento do disposto nos subitens 11.4.1.3, 11.4.1.4 e 11.4.1.5 deverá ser feita na forma da legislação específica.</w:t>
      </w:r>
    </w:p>
    <w:p>
      <w:pPr>
        <w:pStyle w:val="LOnormal"/>
        <w:keepNext w:val="false"/>
        <w:keepLines w:val="false"/>
        <w:pageBreakBefore w:val="false"/>
        <w:widowControl/>
        <w:shd w:val="clear" w:fill="auto"/>
        <w:spacing w:lineRule="auto" w:line="240" w:before="60" w:after="60"/>
        <w:ind w:left="0" w:right="0" w:hanging="0"/>
        <w:jc w:val="both"/>
        <w:rPr/>
      </w:pPr>
      <w:r>
        <w:rPr/>
        <w:t>11.4.5. Para os Estados e Municípios que emitem prova de regularidade fiscal em separado, os proponentes deverão apresentar as respectivas certidões.</w:t>
        <w:tab/>
        <w:t xml:space="preserve"> </w:t>
        <w:tab/>
        <w:tab/>
        <w:br/>
        <w:t xml:space="preserve">11.4.6. </w:t>
        <w:tab/>
        <w:t>As microempresas e Empresas de Pequeno Porte deverão encaminhar a documentação de habilitação, ainda que haja alguma restrição de regularidade fiscal e trabalhista, nos termos do art. 43, § 1º da Lei Complementar nº 123, de 2006.</w:t>
        <w:tab/>
      </w:r>
    </w:p>
    <w:p>
      <w:pPr>
        <w:pStyle w:val="LOnormal"/>
        <w:keepNext w:val="false"/>
        <w:keepLines w:val="false"/>
        <w:pageBreakBefore w:val="false"/>
        <w:widowControl/>
        <w:shd w:val="clear" w:fill="auto"/>
        <w:spacing w:lineRule="auto" w:line="240" w:before="60" w:after="60"/>
        <w:ind w:left="0" w:right="0" w:hanging="0"/>
        <w:jc w:val="both"/>
        <w:rPr/>
      </w:pPr>
      <w:r>
        <w:rPr/>
        <w:t>11.4.6.1.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pPr>
        <w:pStyle w:val="LOnormal"/>
        <w:spacing w:lineRule="auto" w:line="240" w:before="60" w:after="60"/>
        <w:jc w:val="both"/>
        <w:rPr>
          <w:highlight w:val="white"/>
        </w:rPr>
      </w:pPr>
      <w:r>
        <w:rPr>
          <w:highlight w:val="white"/>
        </w:rPr>
        <w:t>11.4.6.2. A não comprovação da regularidade fiscal e trabalhista, até o final do prazo estabelecido, implicará a decadência do direito, sem prejuízo das sanções cabíveis, sendo facultado ao pregoeiro convocar os licitantes remanescentes, por ordem de classificação.</w:t>
      </w:r>
    </w:p>
    <w:p>
      <w:pPr>
        <w:pStyle w:val="LOnormal"/>
        <w:spacing w:lineRule="auto" w:line="240" w:before="60" w:after="60"/>
        <w:jc w:val="both"/>
        <w:rPr/>
      </w:pPr>
      <w:r>
        <w:rPr>
          <w:highlight w:val="white"/>
        </w:rPr>
        <w:t xml:space="preserve">11.4.7. </w:t>
      </w:r>
      <w:r>
        <w:rPr/>
        <w:t>Os documentos relativos à regularidade fiscal somente serão exigidos, em qualquer caso, em momento posterior ao julgamento das propostas, e apenas do licitante melhor classificado.</w:t>
      </w:r>
    </w:p>
    <w:p>
      <w:pPr>
        <w:pStyle w:val="LOnormal"/>
        <w:spacing w:lineRule="auto" w:line="240" w:before="60" w:after="60"/>
        <w:jc w:val="both"/>
        <w:rPr>
          <w:i/>
          <w:i/>
          <w:highlight w:val="yellow"/>
        </w:rPr>
      </w:pPr>
      <w:r>
        <w:rPr/>
        <w:t>11.4.7.1.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LOnormal"/>
        <w:rPr>
          <w:b/>
          <w:b/>
        </w:rPr>
      </w:pPr>
      <w:r>
        <w:rPr>
          <w:b/>
        </w:rPr>
        <w:t>11.5. Habilitação econômico-financeira</w:t>
      </w:r>
    </w:p>
    <w:p>
      <w:pPr>
        <w:pStyle w:val="LOnormal"/>
        <w:jc w:val="both"/>
        <w:rPr/>
      </w:pPr>
      <w:r>
        <w:rPr/>
        <w:t>11.5.1. A habilitação econômica financeira será aferida mediante a apresentação da seguinte documentação, nos termos do art. 69 da Lei nº 14.133/2021:</w:t>
      </w:r>
    </w:p>
    <w:p>
      <w:pPr>
        <w:pStyle w:val="LOnormal"/>
        <w:jc w:val="both"/>
        <w:rPr/>
      </w:pPr>
      <w:r>
        <w:rPr/>
        <w:t>11.5.1.1. Certidão negativa de feitos sobre falência expedida pelo distribuidor da sede do licitante, exceto as sociedades cooperativas, conforme dispõe o art. 4º da Lei nº 5.764/1971. No caso de pessoa física ou de sociedade simples, certidão negativa de insolvência civil expedida pelo distribuidor do domicílio ou sede do licitante.</w:t>
      </w:r>
    </w:p>
    <w:p>
      <w:pPr>
        <w:pStyle w:val="LOnormal"/>
        <w:spacing w:lineRule="auto" w:line="240"/>
        <w:jc w:val="both"/>
        <w:rPr/>
      </w:pPr>
      <w:r>
        <w:rPr/>
        <w:t>11.5.1.1.1.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pPr>
        <w:pStyle w:val="LOnormal"/>
        <w:spacing w:lineRule="auto" w:line="240" w:before="60" w:after="60"/>
        <w:jc w:val="both"/>
        <w:rPr/>
      </w:pPr>
      <w:r>
        <w:rPr/>
        <w:t>11.6. Os documentos deverão ser apresentados ou pela matriz ou pela filial que estiver participando do certame, com exceção dos documentos que são válidos tanto para matriz como para as filiais como é o caso dos atestados de capacidade técnica. O contrato será celebrado com a sede que apresentou a documentação.</w:t>
      </w:r>
    </w:p>
    <w:p>
      <w:pPr>
        <w:pStyle w:val="LOnormal"/>
        <w:spacing w:lineRule="auto" w:line="240" w:before="60" w:after="60"/>
        <w:jc w:val="both"/>
        <w:rPr/>
      </w:pPr>
      <w:r>
        <w:rPr/>
        <w:t xml:space="preserve">11.7. O documento obtido através de </w:t>
      </w:r>
      <w:r>
        <w:rPr>
          <w:i/>
        </w:rPr>
        <w:t>sítios</w:t>
      </w:r>
      <w:r>
        <w:rPr/>
        <w:t xml:space="preserve"> oficiais, que esteja condicionado à aceitação via internet, terá sua autenticidade verificada pelo pregoeiro.</w:t>
      </w:r>
    </w:p>
    <w:p>
      <w:pPr>
        <w:pStyle w:val="LOnormal"/>
        <w:spacing w:lineRule="auto" w:line="240" w:before="60" w:after="60"/>
        <w:jc w:val="both"/>
        <w:rPr/>
      </w:pPr>
      <w:r>
        <w:rPr/>
        <w:t>11.7.1.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pPr>
        <w:pStyle w:val="LOnormal"/>
        <w:spacing w:lineRule="auto" w:line="240" w:before="60" w:after="60"/>
        <w:jc w:val="both"/>
        <w:rPr>
          <w:b/>
          <w:b/>
        </w:rPr>
      </w:pPr>
      <w:r>
        <w:rPr>
          <w:b/>
        </w:rPr>
        <w:t>12. DA APRESENTAÇÃO DA PROPOSTA ELETRÔNICA E DOS DOCUMENTOS DE HABILITAÇÃO</w:t>
      </w:r>
    </w:p>
    <w:p>
      <w:pPr>
        <w:pStyle w:val="LOnormal"/>
        <w:spacing w:lineRule="auto" w:line="240" w:before="60" w:after="60"/>
        <w:jc w:val="both"/>
        <w:rPr>
          <w:highlight w:val="white"/>
        </w:rPr>
      </w:pPr>
      <w:r>
        <w:rPr>
          <w:highlight w:val="white"/>
        </w:rPr>
        <w:t>12.1. Na presente licitação, a fase de habilitação sucederá as fases de apresentação de propostas e lances e de julgamento.</w:t>
      </w:r>
    </w:p>
    <w:p>
      <w:pPr>
        <w:pStyle w:val="LOnormal"/>
        <w:spacing w:lineRule="auto" w:line="240" w:before="60" w:after="60"/>
        <w:jc w:val="both"/>
        <w:rPr>
          <w:highlight w:val="white"/>
        </w:rPr>
      </w:pPr>
      <w:r>
        <w:rPr>
          <w:highlight w:val="white"/>
        </w:rPr>
        <w:t>12.1.1. 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Onormal"/>
        <w:spacing w:lineRule="auto" w:line="240" w:before="60" w:after="60"/>
        <w:jc w:val="both"/>
        <w:rPr>
          <w:highlight w:val="white"/>
        </w:rPr>
      </w:pPr>
      <w:r>
        <w:rPr>
          <w:highlight w:val="white"/>
        </w:rPr>
        <w:t>12.2. Após o julgamento da proposta, o licitante vencedor deverá enviar no prazo de 24 (vinte e quatro) horas contado da convocação do pregoeiro, os documentos de habilitação.</w:t>
      </w:r>
    </w:p>
    <w:p>
      <w:pPr>
        <w:pStyle w:val="LOnormal"/>
        <w:spacing w:lineRule="auto" w:line="240" w:before="60" w:after="60"/>
        <w:jc w:val="both"/>
        <w:rPr>
          <w:highlight w:val="white"/>
        </w:rPr>
      </w:pPr>
      <w:r>
        <w:rPr>
          <w:highlight w:val="white"/>
        </w:rPr>
        <w:t>12.3. Após a entrega dos documentos para habilitação e/ou proposta, não será permitida a substituição ou a apresentação de novos documentos, salvo em sede de diligência conforme art. 64 da Lei nº 14.133/2021. O licitante deverá enviar os documentos complementares via sistema no prazo de 24 (vinte e quatro) horas a contar da solicitação.</w:t>
      </w:r>
    </w:p>
    <w:p>
      <w:pPr>
        <w:pStyle w:val="LOnormal"/>
        <w:spacing w:lineRule="auto" w:line="240" w:before="60" w:after="60"/>
        <w:jc w:val="both"/>
        <w:rPr>
          <w:highlight w:val="white"/>
        </w:rPr>
      </w:pPr>
      <w:r>
        <w:rPr>
          <w:highlight w:val="white"/>
        </w:rPr>
        <w:t>12.3.1. Não se caracterizam documentos novos aqueles que venham a comprovar fatos existentes à época da abertura da sessão, com respaldo no previsto no Acórdão 1211/2021-TCU-Plenário.</w:t>
      </w:r>
    </w:p>
    <w:p>
      <w:pPr>
        <w:pStyle w:val="LOnormal"/>
        <w:spacing w:lineRule="auto" w:line="240" w:before="60" w:after="60"/>
        <w:jc w:val="both"/>
        <w:rPr>
          <w:highlight w:val="white"/>
        </w:rPr>
      </w:pPr>
      <w:r>
        <w:rPr>
          <w:highlight w:val="white"/>
        </w:rPr>
        <w:t>12.3.2. Realizada a diligência, o não envio das informações ou documentos no prazo estabelecido pelo pregoeiro, ensejará a preclusão desse direito, resultando na inabilitação e/ou desclassificação do licitante.</w:t>
      </w:r>
    </w:p>
    <w:p>
      <w:pPr>
        <w:pStyle w:val="LOnormal"/>
        <w:spacing w:lineRule="auto" w:line="240" w:before="60" w:after="60"/>
        <w:jc w:val="both"/>
        <w:rPr>
          <w:highlight w:val="white"/>
        </w:rPr>
      </w:pPr>
      <w:r>
        <w:rPr>
          <w:highlight w:val="white"/>
        </w:rPr>
        <w:t>12.4. A não apresentação de autodeclarações formais e/ou termos de compromissos exigidos, exceto a declaração de que sua proposta compreende a integralidade dos custos para atendimento dos direitos trabalhistas conforme subitem 12.5.1, não implicará na desclassificação ou inabilitação imediata do licitante. Compete à Administração mediante diligência, conceder o mesmo prazo estabelecido no subitem 12.3 para o devido saneamento, em respeito aos princípios do formalismo moderado e da razoabilidade.</w:t>
      </w:r>
    </w:p>
    <w:p>
      <w:pPr>
        <w:pStyle w:val="LOnormal"/>
        <w:spacing w:lineRule="auto" w:line="240" w:before="60" w:after="60"/>
        <w:jc w:val="both"/>
        <w:rPr>
          <w:highlight w:val="white"/>
        </w:rPr>
      </w:pPr>
      <w:r>
        <w:rPr>
          <w:highlight w:val="white"/>
        </w:rPr>
        <w:t>12.5. No cadastramento da proposta inicial, o licitante declarará, em campo próprio do sistema, que:</w:t>
      </w:r>
    </w:p>
    <w:p>
      <w:pPr>
        <w:pStyle w:val="LOnormal"/>
        <w:spacing w:lineRule="auto" w:line="240" w:before="60" w:after="60"/>
        <w:jc w:val="both"/>
        <w:rPr>
          <w:highlight w:val="white"/>
        </w:rPr>
      </w:pPr>
      <w:r>
        <w:rPr>
          <w:highlight w:val="white"/>
        </w:rPr>
        <w:t>12.5.1.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Onormal"/>
        <w:spacing w:lineRule="auto" w:line="240" w:before="60" w:after="60"/>
        <w:jc w:val="both"/>
        <w:rPr>
          <w:highlight w:val="white"/>
        </w:rPr>
      </w:pPr>
      <w:r>
        <w:rPr>
          <w:highlight w:val="white"/>
        </w:rPr>
        <w:t>12.5.2. Não emprega menor de 18 anos em trabalho noturno, perigoso ou insalubre e não emprega menor de 16 anos, salvo menor, a partir de 14 anos, na condição de aprendiz, nos termos do</w:t>
      </w:r>
      <w:r>
        <w:fldChar w:fldCharType="begin"/>
      </w:r>
      <w:r>
        <w:rPr>
          <w:highlight w:val="white"/>
        </w:rPr>
        <w:instrText xml:space="preserve"> HYPERLINK "https://www.planalto.gov.br/ccivil_03/constituicao/constituicaocompilado.htm" \l "art7"</w:instrText>
      </w:r>
      <w:r>
        <w:rPr>
          <w:highlight w:val="white"/>
        </w:rPr>
        <w:fldChar w:fldCharType="separate"/>
      </w:r>
      <w:r>
        <w:rPr>
          <w:highlight w:val="white"/>
        </w:rPr>
        <w:t xml:space="preserve"> </w:t>
      </w:r>
      <w:r>
        <w:rPr>
          <w:highlight w:val="white"/>
        </w:rPr>
        <w:fldChar w:fldCharType="end"/>
      </w:r>
      <w:r>
        <w:fldChar w:fldCharType="begin"/>
      </w:r>
      <w:r>
        <w:rPr>
          <w:u w:val="single"/>
          <w:highlight w:val="white"/>
          <w:color w:val="1155CC"/>
        </w:rPr>
        <w:instrText xml:space="preserve"> HYPERLINK "https://www.planalto.gov.br/ccivil_03/constituicao/constituicaocompilado.htm" \l "art7"</w:instrText>
      </w:r>
      <w:r>
        <w:rPr>
          <w:u w:val="single"/>
          <w:highlight w:val="white"/>
          <w:color w:val="1155CC"/>
        </w:rPr>
        <w:fldChar w:fldCharType="separate"/>
      </w:r>
      <w:r>
        <w:rPr>
          <w:color w:val="1155CC"/>
          <w:highlight w:val="white"/>
          <w:u w:val="single"/>
        </w:rPr>
        <w:t>art. 7°, XXXIII, da Constituição</w:t>
      </w:r>
      <w:r>
        <w:rPr>
          <w:u w:val="single"/>
          <w:highlight w:val="white"/>
          <w:color w:val="1155CC"/>
        </w:rPr>
        <w:fldChar w:fldCharType="end"/>
      </w:r>
      <w:r>
        <w:rPr>
          <w:highlight w:val="white"/>
        </w:rPr>
        <w:t>;</w:t>
      </w:r>
    </w:p>
    <w:p>
      <w:pPr>
        <w:pStyle w:val="LOnormal"/>
        <w:spacing w:lineRule="auto" w:line="240" w:before="60" w:after="60"/>
        <w:jc w:val="both"/>
        <w:rPr>
          <w:highlight w:val="white"/>
        </w:rPr>
      </w:pPr>
      <w:r>
        <w:rPr>
          <w:highlight w:val="white"/>
        </w:rPr>
        <w:t>12.5.3. Não possui, em sua cadeia produtiva, empregados executando trabalho degradante ou forçado, observando o disposto nos</w:t>
      </w:r>
      <w:hyperlink r:id="rId8">
        <w:r>
          <w:rPr>
            <w:highlight w:val="white"/>
          </w:rPr>
          <w:t xml:space="preserve"> </w:t>
        </w:r>
      </w:hyperlink>
      <w:hyperlink r:id="rId9">
        <w:r>
          <w:rPr>
            <w:color w:val="1155CC"/>
            <w:highlight w:val="white"/>
            <w:u w:val="single"/>
          </w:rPr>
          <w:t>incisos III e IV do art. 1º e no inciso III do art. 5º da Constituição Federal</w:t>
        </w:r>
      </w:hyperlink>
      <w:r>
        <w:rPr>
          <w:highlight w:val="white"/>
        </w:rPr>
        <w:t>;</w:t>
      </w:r>
    </w:p>
    <w:p>
      <w:pPr>
        <w:pStyle w:val="LOnormal"/>
        <w:spacing w:lineRule="auto" w:line="240" w:before="60" w:after="60"/>
        <w:jc w:val="both"/>
        <w:rPr>
          <w:color w:val="CE181E"/>
          <w:highlight w:val="white"/>
        </w:rPr>
      </w:pPr>
      <w:r>
        <w:rPr>
          <w:highlight w:val="white"/>
        </w:rPr>
        <w:t>12.5.4. Cumpre as exigências de reserva de cargos para pessoa com deficiência e para reabilitado da previdência social ou para aprendiz, bem como as reservas de cargo previstas em lei e em outras normas específicas, conforme disposto no art. 116 da Lei nº 14.133/2021;</w:t>
      </w:r>
    </w:p>
    <w:p>
      <w:pPr>
        <w:pStyle w:val="LOnormal"/>
        <w:spacing w:lineRule="auto" w:line="240" w:before="60" w:after="60"/>
        <w:jc w:val="both"/>
        <w:rPr/>
      </w:pPr>
      <w:r>
        <w:rPr/>
        <w:t>12.5.5. O licitante enquadrado como microempresa, empresa de pequeno porte ou a sociedade cooperativa que cumpra os requisitos estabelecidos no</w:t>
      </w:r>
      <w:r>
        <w:fldChar w:fldCharType="begin"/>
      </w:r>
      <w:r>
        <w:rPr/>
        <w:instrText xml:space="preserve"> HYPERLINK "http://www.planalto.gov.br/ccivil_03/_ato2019-2022/2021/lei/L14133.htm" \l "art16"</w:instrText>
      </w:r>
      <w:r>
        <w:rPr/>
        <w:fldChar w:fldCharType="separate"/>
      </w:r>
      <w:r>
        <w:rPr/>
        <w:t xml:space="preserve"> </w:t>
      </w:r>
      <w:r>
        <w:rPr/>
        <w:fldChar w:fldCharType="end"/>
      </w:r>
      <w:r>
        <w:fldChar w:fldCharType="begin"/>
      </w:r>
      <w:r>
        <w:rPr>
          <w:u w:val="single"/>
          <w:color w:val="1155CC"/>
        </w:rPr>
        <w:instrText xml:space="preserve"> HYPERLINK "http://www.planalto.gov.br/ccivil_03/_ato2019-2022/2021/lei/L14133.htm" \l "art16"</w:instrText>
      </w:r>
      <w:r>
        <w:rPr>
          <w:u w:val="single"/>
          <w:color w:val="1155CC"/>
        </w:rPr>
        <w:fldChar w:fldCharType="separate"/>
      </w:r>
      <w:r>
        <w:rPr>
          <w:color w:val="1155CC"/>
          <w:u w:val="single"/>
        </w:rPr>
        <w:t>art. 16 da Lei nº 14.133/2021</w:t>
      </w:r>
      <w:r>
        <w:rPr>
          <w:u w:val="single"/>
          <w:color w:val="1155CC"/>
        </w:rPr>
        <w:fldChar w:fldCharType="end"/>
      </w:r>
      <w:r>
        <w:rPr/>
        <w:t>, deverá declarar, ainda, em campo próprio do sistema eletrônico, que cumpre os requisitos estabelecidos no art. 3° da Lei Complementar nº 123/2006, estando apto a usufruir do tratamento favorecido estabelecido em seus arts. 42 a 49, observado o disposto nos §§ 1º ao 3º do art. 4º, da Lei nº 14.133/2021;</w:t>
      </w:r>
    </w:p>
    <w:p>
      <w:pPr>
        <w:pStyle w:val="LOnormal"/>
        <w:spacing w:lineRule="auto" w:line="240" w:before="60" w:after="60"/>
        <w:jc w:val="both"/>
        <w:rPr/>
      </w:pPr>
      <w:r>
        <w:rPr/>
        <w:t xml:space="preserve">12.5.5.1. No item exclusivo para participação de microempresas e empresas de pequeno porte, a assinalação do campo </w:t>
      </w:r>
      <w:r>
        <w:rPr>
          <w:i/>
        </w:rPr>
        <w:t>“não”</w:t>
      </w:r>
      <w:r>
        <w:rPr/>
        <w:t xml:space="preserve"> impedirá o prosseguimento no certame, para aquele item;</w:t>
      </w:r>
    </w:p>
    <w:p>
      <w:pPr>
        <w:pStyle w:val="LOnormal"/>
        <w:spacing w:lineRule="auto" w:line="240" w:before="60" w:after="60"/>
        <w:jc w:val="both"/>
        <w:rPr>
          <w:highlight w:val="white"/>
        </w:rPr>
      </w:pPr>
      <w:r>
        <w:rPr>
          <w:highlight w:val="white"/>
        </w:rPr>
        <w:t xml:space="preserve">12.5.5.2. Nos itens em que a participação não for exclusiva para microempresas e empresas de pequeno porte, a assinalação do campo </w:t>
      </w:r>
      <w:r>
        <w:rPr>
          <w:i/>
          <w:highlight w:val="white"/>
        </w:rPr>
        <w:t>“não”</w:t>
      </w:r>
      <w:r>
        <w:rPr>
          <w:highlight w:val="white"/>
        </w:rPr>
        <w:t xml:space="preserve"> apenas produzirá o efeito de o licitante não ter direito ao tratamento favorecido previsto na</w:t>
      </w:r>
      <w:hyperlink r:id="rId10">
        <w:r>
          <w:rPr>
            <w:highlight w:val="white"/>
          </w:rPr>
          <w:t xml:space="preserve"> </w:t>
        </w:r>
      </w:hyperlink>
      <w:hyperlink r:id="rId11">
        <w:r>
          <w:rPr>
            <w:color w:val="1155CC"/>
            <w:highlight w:val="white"/>
            <w:u w:val="single"/>
          </w:rPr>
          <w:t>Lei Complementar nº 123/2006</w:t>
        </w:r>
      </w:hyperlink>
      <w:r>
        <w:rPr>
          <w:highlight w:val="white"/>
        </w:rPr>
        <w:t>, mesmo que seja microempresa, empresa de pequeno porte ou sociedade cooperativa.</w:t>
      </w:r>
    </w:p>
    <w:p>
      <w:pPr>
        <w:pStyle w:val="LOnormal"/>
        <w:spacing w:lineRule="auto" w:line="240" w:before="60" w:after="60"/>
        <w:jc w:val="both"/>
        <w:rPr>
          <w:highlight w:val="white"/>
        </w:rPr>
      </w:pPr>
      <w:r>
        <w:rPr>
          <w:highlight w:val="white"/>
        </w:rPr>
        <w:t>12.6. A falsidade das declarações de que tratam os subitens 12.5.1 ao 12.5.5, sujeitará o licitante às sanções previstas na</w:t>
      </w:r>
      <w:hyperlink r:id="rId12">
        <w:r>
          <w:rPr>
            <w:highlight w:val="white"/>
          </w:rPr>
          <w:t xml:space="preserve"> </w:t>
        </w:r>
      </w:hyperlink>
      <w:hyperlink r:id="rId13">
        <w:r>
          <w:rPr>
            <w:color w:val="1155CC"/>
            <w:highlight w:val="white"/>
            <w:u w:val="single"/>
          </w:rPr>
          <w:t>Lei</w:t>
        </w:r>
      </w:hyperlink>
      <w:r>
        <w:rPr>
          <w:color w:val="1155CC"/>
          <w:highlight w:val="white"/>
          <w:u w:val="single"/>
        </w:rPr>
        <w:t xml:space="preserve"> </w:t>
      </w:r>
      <w:r>
        <w:rPr>
          <w:highlight w:val="white"/>
        </w:rPr>
        <w:t>Federal</w:t>
      </w:r>
      <w:hyperlink r:id="rId14">
        <w:r>
          <w:rPr>
            <w:highlight w:val="white"/>
          </w:rPr>
          <w:t xml:space="preserve"> </w:t>
        </w:r>
      </w:hyperlink>
      <w:hyperlink r:id="rId15">
        <w:r>
          <w:rPr>
            <w:color w:val="1155CC"/>
            <w:highlight w:val="white"/>
            <w:u w:val="single"/>
          </w:rPr>
          <w:t>nº 14.133/2021</w:t>
        </w:r>
      </w:hyperlink>
      <w:r>
        <w:rPr>
          <w:highlight w:val="white"/>
        </w:rPr>
        <w:t>, e neste edital.</w:t>
      </w:r>
    </w:p>
    <w:p>
      <w:pPr>
        <w:pStyle w:val="LOnormal"/>
        <w:spacing w:lineRule="auto" w:line="240" w:before="60" w:after="60"/>
        <w:jc w:val="both"/>
        <w:rPr>
          <w:highlight w:val="white"/>
        </w:rPr>
      </w:pPr>
      <w:r>
        <w:rPr>
          <w:highlight w:val="white"/>
        </w:rPr>
        <w:t>12.7. Os licitantes poderão retirar ou substituir as propostas no sistema, até a abertura da sessão pública.</w:t>
      </w:r>
    </w:p>
    <w:p>
      <w:pPr>
        <w:pStyle w:val="LOnormal"/>
        <w:spacing w:lineRule="auto" w:line="240" w:before="60" w:after="60"/>
        <w:jc w:val="both"/>
        <w:rPr>
          <w:highlight w:val="white"/>
        </w:rPr>
      </w:pPr>
      <w:r>
        <w:rPr>
          <w:highlight w:val="white"/>
        </w:rPr>
        <w:t>12.8. Não haverá ordem de classificação na etapa de apresentação da proposta e dos documentos de habilitação pelo licitante, o que ocorrerá somente após os procedimentos de abertura da sessão pública e da fase de envio de lances.</w:t>
      </w:r>
    </w:p>
    <w:p>
      <w:pPr>
        <w:pStyle w:val="LOnormal"/>
        <w:spacing w:lineRule="auto" w:line="240" w:before="60" w:after="60"/>
        <w:jc w:val="both"/>
        <w:rPr>
          <w:b/>
          <w:b/>
          <w:highlight w:val="white"/>
        </w:rPr>
      </w:pPr>
      <w:r>
        <w:rPr>
          <w:b/>
          <w:highlight w:val="white"/>
        </w:rPr>
        <w:t>13. DO PREENCHIMENTO DA PROPOSTA</w:t>
      </w:r>
    </w:p>
    <w:p>
      <w:pPr>
        <w:pStyle w:val="LOnormal"/>
        <w:spacing w:lineRule="auto" w:line="240" w:before="60" w:after="60"/>
        <w:jc w:val="both"/>
        <w:rPr>
          <w:highlight w:val="white"/>
        </w:rPr>
      </w:pPr>
      <w:r>
        <w:rPr>
          <w:highlight w:val="white"/>
        </w:rPr>
        <w:t>13.1. O licitante deverá enviar sua proposta eletrônica com o preenchimento obrigatório de todos os campos solicitados no sistema.</w:t>
      </w:r>
    </w:p>
    <w:p>
      <w:pPr>
        <w:pStyle w:val="LOnormal"/>
        <w:spacing w:lineRule="auto" w:line="240" w:before="60" w:after="60"/>
        <w:jc w:val="both"/>
        <w:rPr>
          <w:highlight w:val="white"/>
        </w:rPr>
      </w:pPr>
      <w:r>
        <w:rPr>
          <w:highlight w:val="white"/>
        </w:rPr>
        <w:t>13.1.1. Os preços deverão ser expressos em reais, com até 2 (duas) casas decimais.</w:t>
      </w:r>
    </w:p>
    <w:p>
      <w:pPr>
        <w:pStyle w:val="LOnormal"/>
        <w:spacing w:lineRule="auto" w:line="240" w:before="60" w:after="60"/>
        <w:jc w:val="both"/>
        <w:rPr>
          <w:highlight w:val="white"/>
        </w:rPr>
      </w:pPr>
      <w:r>
        <w:rPr>
          <w:highlight w:val="white"/>
        </w:rPr>
        <w:t>13.2. Todas as especificações do objeto contidas na proposta vinculam o licitante.</w:t>
      </w:r>
    </w:p>
    <w:p>
      <w:pPr>
        <w:pStyle w:val="LOnormal"/>
        <w:spacing w:lineRule="auto" w:line="240" w:before="60" w:after="60"/>
        <w:jc w:val="both"/>
        <w:rPr>
          <w:highlight w:val="white"/>
        </w:rPr>
      </w:pPr>
      <w:r>
        <w:rPr>
          <w:highlight w:val="white"/>
        </w:rPr>
        <w:t>13.3. Nos valores propostos estarão inclusos todos os custos operacionais, encargos previdenciários, trabalhistas, tributários, comerciais e quaisquer outros que incidam direta ou indiretamente na execução do objeto.</w:t>
      </w:r>
    </w:p>
    <w:p>
      <w:pPr>
        <w:pStyle w:val="LOnormal"/>
        <w:spacing w:lineRule="auto" w:line="240" w:before="60" w:after="60"/>
        <w:jc w:val="both"/>
        <w:rPr>
          <w:highlight w:val="white"/>
        </w:rPr>
      </w:pPr>
      <w:r>
        <w:rPr>
          <w:highlight w:val="white"/>
        </w:rPr>
        <w:t>13.4. Os preços ofertados, tanto na proposta eletrônica, quanto na etapa de lances, serão de exclusiva responsabilidade do licitante, não lhe assistindo o direito de pleitear qualquer alteração, sob alegação de erro, omissão ou qualquer outro pretexto.</w:t>
      </w:r>
    </w:p>
    <w:p>
      <w:pPr>
        <w:pStyle w:val="LOnormal"/>
        <w:spacing w:lineRule="auto" w:line="240" w:before="60" w:after="60"/>
        <w:jc w:val="both"/>
        <w:rPr>
          <w:highlight w:val="white"/>
        </w:rPr>
      </w:pPr>
      <w:r>
        <w:rPr>
          <w:highlight w:val="white"/>
        </w:rPr>
        <w:t>13.5. Se o regime tributário da empresa implica o recolhimento de tributos em percentuais variáveis, a cotação adequada será a que corresponde à média dos efetivos recolhimentos da empresa nos últimos doze meses.</w:t>
      </w:r>
    </w:p>
    <w:p>
      <w:pPr>
        <w:pStyle w:val="LOnormal"/>
        <w:spacing w:lineRule="auto" w:line="240" w:before="60" w:after="60"/>
        <w:jc w:val="both"/>
        <w:rPr>
          <w:highlight w:val="white"/>
        </w:rPr>
      </w:pPr>
      <w:r>
        <w:rPr>
          <w:highlight w:val="white"/>
        </w:rPr>
        <w:t>13.6. Independentemente do percentual de tributo inserido na planilha, no pagamento serão retidos na fonte os percentuais estabelecidos na legislação vigente.</w:t>
      </w:r>
    </w:p>
    <w:p>
      <w:pPr>
        <w:pStyle w:val="LOnormal"/>
        <w:spacing w:lineRule="auto" w:line="240" w:before="60" w:after="60"/>
        <w:jc w:val="both"/>
        <w:rPr>
          <w:highlight w:val="white"/>
        </w:rPr>
      </w:pPr>
      <w:r>
        <w:rPr>
          <w:highlight w:val="white"/>
        </w:rPr>
        <w:t>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pPr>
        <w:pStyle w:val="LOnormal"/>
        <w:spacing w:lineRule="auto" w:line="240" w:before="60" w:after="60"/>
        <w:jc w:val="both"/>
        <w:rPr>
          <w:highlight w:val="white"/>
        </w:rPr>
      </w:pPr>
      <w:r>
        <w:rPr>
          <w:highlight w:val="white"/>
        </w:rPr>
        <w:t>13.8. O prazo de validade da proposta não será inferior a 90 (noventa) dias, a contar da data de sua apresentação.</w:t>
      </w:r>
    </w:p>
    <w:p>
      <w:pPr>
        <w:pStyle w:val="LOnormal"/>
        <w:spacing w:lineRule="auto" w:line="240" w:before="60" w:after="60"/>
        <w:jc w:val="both"/>
        <w:rPr>
          <w:highlight w:val="white"/>
        </w:rPr>
      </w:pPr>
      <w:r>
        <w:rPr>
          <w:highlight w:val="white"/>
        </w:rPr>
        <w:t>13.9. Os licitantes devem respeitar os preços máximos estabelecidos pela Administração.</w:t>
      </w:r>
    </w:p>
    <w:p>
      <w:pPr>
        <w:pStyle w:val="LOnormal"/>
        <w:spacing w:lineRule="auto" w:line="240" w:before="60" w:after="60"/>
        <w:jc w:val="both"/>
        <w:rPr>
          <w:highlight w:val="white"/>
        </w:rPr>
      </w:pPr>
      <w:r>
        <w:rPr>
          <w:highlight w:val="white"/>
        </w:rPr>
        <w:t>13.10.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pPr>
        <w:pStyle w:val="LOnormal"/>
        <w:spacing w:lineRule="auto" w:line="240" w:before="60" w:after="60"/>
        <w:jc w:val="both"/>
        <w:rPr>
          <w:b/>
          <w:b/>
          <w:highlight w:val="white"/>
        </w:rPr>
      </w:pPr>
      <w:r>
        <w:rPr>
          <w:b/>
          <w:highlight w:val="white"/>
        </w:rPr>
        <w:t>14. DA ABERTURA DA SESSÃO, CLASSIFICAÇÃO DAS PROPOSTAS E FORMULAÇÃO DE LANCES</w:t>
      </w:r>
    </w:p>
    <w:p>
      <w:pPr>
        <w:pStyle w:val="LOnormal"/>
        <w:spacing w:lineRule="auto" w:line="240" w:before="60" w:after="60"/>
        <w:jc w:val="both"/>
        <w:rPr>
          <w:highlight w:val="white"/>
        </w:rPr>
      </w:pPr>
      <w:r>
        <w:rPr>
          <w:highlight w:val="white"/>
        </w:rPr>
        <w:t>14.1. A abertura da presente licitação dar-se-á automaticamente em sessão pública, por meio de sistema eletrônico, na data, horário e local indicados neste edital, vedada a identificação do licitante, sob pena de desclassificação.</w:t>
      </w:r>
    </w:p>
    <w:p>
      <w:pPr>
        <w:pStyle w:val="LOnormal"/>
        <w:spacing w:lineRule="auto" w:line="240" w:before="60" w:after="60"/>
        <w:jc w:val="both"/>
        <w:rPr>
          <w:highlight w:val="white"/>
        </w:rPr>
      </w:pPr>
      <w:r>
        <w:rPr>
          <w:highlight w:val="white"/>
        </w:rPr>
        <w:t>14.1.1. A desclassificação será sempre fundamentada e registrada no sistema, com acompanhamento em tempo real por todos os participantes.</w:t>
      </w:r>
    </w:p>
    <w:p>
      <w:pPr>
        <w:pStyle w:val="LOnormal"/>
        <w:spacing w:lineRule="auto" w:line="240" w:before="60" w:after="60"/>
        <w:jc w:val="both"/>
        <w:rPr>
          <w:highlight w:val="white"/>
        </w:rPr>
      </w:pPr>
      <w:r>
        <w:rPr>
          <w:highlight w:val="white"/>
        </w:rPr>
        <w:t>14.1.2. A não desclassificação da proposta não impede o seu julgamento definitivo em sentido contrário, levado a efeito na fase de aceitação.</w:t>
      </w:r>
    </w:p>
    <w:p>
      <w:pPr>
        <w:pStyle w:val="LOnormal"/>
        <w:spacing w:lineRule="auto" w:line="240" w:before="60" w:after="60"/>
        <w:jc w:val="both"/>
        <w:rPr>
          <w:highlight w:val="white"/>
        </w:rPr>
      </w:pPr>
      <w:r>
        <w:rPr>
          <w:highlight w:val="white"/>
        </w:rPr>
        <w:t>14.2. O sistema ordenará automaticamente as propostas classificadas, sendo que somente estas participarão da fase de lances.</w:t>
      </w:r>
    </w:p>
    <w:p>
      <w:pPr>
        <w:pStyle w:val="LOnormal"/>
        <w:spacing w:lineRule="auto" w:line="240" w:before="60" w:after="60"/>
        <w:jc w:val="both"/>
        <w:rPr/>
      </w:pPr>
      <w:r>
        <w:rPr/>
        <w:t>14.3. O sistema disponibilizará campo próprio para troca de mensagens entre o pregoeiro e os licitantes.</w:t>
      </w:r>
    </w:p>
    <w:p>
      <w:pPr>
        <w:pStyle w:val="LOnormal"/>
        <w:spacing w:lineRule="auto" w:line="240" w:before="60" w:after="60"/>
        <w:jc w:val="both"/>
        <w:rPr>
          <w:highlight w:val="white"/>
        </w:rPr>
      </w:pPr>
      <w:r>
        <w:rPr>
          <w:highlight w:val="white"/>
        </w:rPr>
        <w:t>14.4. Iniciada a etapa competitiva, os licitantes deverão encaminhar os lances exclusivamente por meio de sistema eletrônico, sendo imediatamente informados do seu recebimento e do valor consignado no registro.</w:t>
      </w:r>
    </w:p>
    <w:p>
      <w:pPr>
        <w:pStyle w:val="LOnormal"/>
        <w:spacing w:lineRule="auto" w:line="240" w:before="60" w:after="60"/>
        <w:jc w:val="both"/>
        <w:rPr>
          <w:highlight w:val="white"/>
        </w:rPr>
      </w:pPr>
      <w:r>
        <w:rPr>
          <w:highlight w:val="white"/>
        </w:rPr>
        <w:t>14.5. O lance deverá ser ofertado pelo valor unitário.</w:t>
      </w:r>
    </w:p>
    <w:p>
      <w:pPr>
        <w:pStyle w:val="LOnormal"/>
        <w:spacing w:lineRule="auto" w:line="240" w:before="60" w:after="60"/>
        <w:jc w:val="both"/>
        <w:rPr>
          <w:highlight w:val="white"/>
        </w:rPr>
      </w:pPr>
      <w:r>
        <w:rPr>
          <w:highlight w:val="white"/>
        </w:rPr>
        <w:t>14.6. Os licitantes poderão oferecer lances sucessivos, observando o horário fixado para abertura da sessão e as regras estabelecidas neste edital.</w:t>
      </w:r>
    </w:p>
    <w:p>
      <w:pPr>
        <w:pStyle w:val="LOnormal"/>
        <w:spacing w:lineRule="auto" w:line="240" w:before="60" w:after="60"/>
        <w:jc w:val="both"/>
        <w:rPr>
          <w:highlight w:val="white"/>
        </w:rPr>
      </w:pPr>
      <w:r>
        <w:rPr>
          <w:highlight w:val="white"/>
        </w:rPr>
        <w:t>14.7. O licitante poderá, uma única vez, excluir seu último lance ofertado, no intervalo de quinze segundos após o registro no sistema, na hipótese de lance inconsistente ou inexequível.</w:t>
      </w:r>
    </w:p>
    <w:p>
      <w:pPr>
        <w:pStyle w:val="LOnormal"/>
        <w:spacing w:lineRule="auto" w:line="240" w:before="60" w:after="60"/>
        <w:jc w:val="both"/>
        <w:rPr>
          <w:highlight w:val="white"/>
        </w:rPr>
      </w:pPr>
      <w:r>
        <w:rPr>
          <w:highlight w:val="white"/>
        </w:rPr>
        <w:t>14.8. Os licitantes somente poderão oferecer lances de valor unitário inferior ao último por eles ofertados e registrados pelo sistema.</w:t>
      </w:r>
    </w:p>
    <w:p>
      <w:pPr>
        <w:pStyle w:val="LOnormal"/>
        <w:spacing w:lineRule="auto" w:line="240" w:before="60" w:after="60"/>
        <w:jc w:val="both"/>
        <w:rPr>
          <w:highlight w:val="white"/>
        </w:rPr>
      </w:pPr>
      <w:r>
        <w:rPr>
          <w:highlight w:val="white"/>
        </w:rPr>
        <w:t>14.9. O intervalo mínimo de diferença de valores entre os lances, que incidirá tanto em relação aos lances intermediários quanto em relação à proposta que cobrir a melhor oferta, deverá ser de fixar o valor,</w:t>
      </w:r>
      <w:r>
        <w:rPr>
          <w:i/>
          <w:highlight w:val="white"/>
        </w:rPr>
        <w:t xml:space="preserve"> </w:t>
      </w:r>
      <w:r>
        <w:rPr>
          <w:highlight w:val="white"/>
        </w:rPr>
        <w:t>utilizando como referência o valor unitário do item.</w:t>
      </w:r>
    </w:p>
    <w:p>
      <w:pPr>
        <w:pStyle w:val="LOnormal"/>
        <w:spacing w:lineRule="auto" w:line="240" w:before="60" w:after="60"/>
        <w:jc w:val="both"/>
        <w:rPr/>
      </w:pPr>
      <w:r>
        <w:rPr>
          <w:highlight w:val="white"/>
        </w:rPr>
        <w:t xml:space="preserve">14.10. </w:t>
      </w:r>
      <w:r>
        <w:rPr/>
        <w:t>Desde que disponibilizada a funcionalidade no sistema, o licitante poderá parametrizar o seu valor final mínimo quando do cadastramento da proposta e obedecerá às seguintes regras:</w:t>
      </w:r>
    </w:p>
    <w:p>
      <w:pPr>
        <w:pStyle w:val="LOnormal"/>
        <w:spacing w:lineRule="auto" w:line="240" w:before="60" w:after="60"/>
        <w:jc w:val="both"/>
        <w:rPr>
          <w:highlight w:val="white"/>
        </w:rPr>
      </w:pPr>
      <w:r>
        <w:rPr>
          <w:highlight w:val="white"/>
        </w:rPr>
        <w:t>14.10.1. A aplicação do intervalo mínimo de diferença de valores entre os lances, que incidirá tanto em relação aos lances intermediários quanto em relação ao lance que cobrir a melhor oferta; e</w:t>
      </w:r>
    </w:p>
    <w:p>
      <w:pPr>
        <w:pStyle w:val="LOnormal"/>
        <w:spacing w:lineRule="auto" w:line="240" w:before="60" w:after="60"/>
        <w:jc w:val="both"/>
        <w:rPr>
          <w:highlight w:val="white"/>
        </w:rPr>
      </w:pPr>
      <w:r>
        <w:rPr>
          <w:highlight w:val="white"/>
        </w:rPr>
        <w:t>14.10.2. Os lances serão de envio automático pelo sistema, respeitado o valor final mínimo estabelecido e o intervalo de que trata o subitem acima.</w:t>
      </w:r>
    </w:p>
    <w:p>
      <w:pPr>
        <w:pStyle w:val="LOnormal"/>
        <w:spacing w:lineRule="auto" w:line="240" w:before="60" w:after="60"/>
        <w:jc w:val="both"/>
        <w:rPr>
          <w:highlight w:val="white"/>
        </w:rPr>
      </w:pPr>
      <w:r>
        <w:rPr>
          <w:highlight w:val="white"/>
        </w:rPr>
        <w:t>14.11. O valor final mínimo parametrizado no sistema poderá ser alterado pelo licitante durante a fase de disputa, sendo vedado:</w:t>
      </w:r>
    </w:p>
    <w:p>
      <w:pPr>
        <w:pStyle w:val="LOnormal"/>
        <w:spacing w:lineRule="auto" w:line="240" w:before="60" w:after="60"/>
        <w:jc w:val="both"/>
        <w:rPr>
          <w:highlight w:val="white"/>
        </w:rPr>
      </w:pPr>
      <w:r>
        <w:rPr>
          <w:highlight w:val="white"/>
        </w:rPr>
        <w:t>14.11.1. Valor superior a lance já registrado por ele mesmo no sistema, quando adotado o critério de julgamento por menor preço; e</w:t>
      </w:r>
    </w:p>
    <w:p>
      <w:pPr>
        <w:pStyle w:val="LOnormal"/>
        <w:spacing w:lineRule="auto" w:line="240" w:before="60" w:after="60"/>
        <w:jc w:val="both"/>
        <w:rPr>
          <w:i/>
          <w:i/>
          <w:shd w:fill="FFF200" w:val="clear"/>
        </w:rPr>
      </w:pPr>
      <w:r>
        <w:rPr>
          <w:highlight w:val="white"/>
        </w:rPr>
        <w:t>14.12. O valor final mínimo parametrizado na forma do subitem 14.11. possuirá caráter sigiloso para os demais licitantes e para o pregoeiro, podendo ser disponibilizado estrita e permanentemente aos órgãos de controle externo e interno.</w:t>
      </w:r>
    </w:p>
    <w:p>
      <w:pPr>
        <w:pStyle w:val="LOnormal"/>
        <w:spacing w:lineRule="auto" w:line="240" w:before="60" w:after="60"/>
        <w:jc w:val="both"/>
        <w:rPr>
          <w:highlight w:val="white"/>
        </w:rPr>
      </w:pPr>
      <w:r>
        <w:rPr>
          <w:highlight w:val="white"/>
        </w:rPr>
        <w:t xml:space="preserve">14.13. No modo de disputa </w:t>
      </w:r>
      <w:r>
        <w:rPr>
          <w:b/>
          <w:highlight w:val="white"/>
        </w:rPr>
        <w:t>“aberto e fechado”</w:t>
      </w:r>
      <w:r>
        <w:rPr>
          <w:highlight w:val="white"/>
        </w:rPr>
        <w:t xml:space="preserve"> os licitantes apresentarão lances públicos e sucessivos, com lance final e fechado.</w:t>
      </w:r>
    </w:p>
    <w:p>
      <w:pPr>
        <w:pStyle w:val="LOnormal"/>
        <w:spacing w:lineRule="auto" w:line="240" w:before="60" w:after="60"/>
        <w:jc w:val="both"/>
        <w:rPr>
          <w:highlight w:val="white"/>
        </w:rPr>
      </w:pPr>
      <w:r>
        <w:rPr>
          <w:highlight w:val="white"/>
        </w:rPr>
        <w:t>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pStyle w:val="LOnormal"/>
        <w:spacing w:lineRule="auto" w:line="240" w:before="60" w:after="60"/>
        <w:jc w:val="both"/>
        <w:rPr>
          <w:highlight w:val="white"/>
        </w:rPr>
      </w:pPr>
      <w:r>
        <w:rPr>
          <w:highlight w:val="white"/>
        </w:rPr>
        <w:t>14.13.2. Encerrado o prazo previsto no subitem anterior, o sistema abrirá oportunidade para que o autor da melhor oferta e os das ofertas com (preços até 10% (dez por cento) superiores) ou (descontos até 10% (dez por cento) inferiores) àquela, possam ofertar um lance final e fechado em até cinco minutos, o qual será sigiloso até o encerramento deste prazo.</w:t>
      </w:r>
    </w:p>
    <w:p>
      <w:pPr>
        <w:pStyle w:val="LOnormal"/>
        <w:spacing w:lineRule="auto" w:line="240" w:before="60" w:after="60"/>
        <w:jc w:val="both"/>
        <w:rPr>
          <w:highlight w:val="white"/>
        </w:rPr>
      </w:pPr>
      <w:r>
        <w:rPr>
          <w:highlight w:val="white"/>
        </w:rPr>
        <w:t>14.13.3. O licitante poderá optar por manter o seu último lance da etapa aberta, ou por ofertar melhor lance.</w:t>
      </w:r>
    </w:p>
    <w:p>
      <w:pPr>
        <w:pStyle w:val="LOnormal"/>
        <w:spacing w:lineRule="auto" w:line="240" w:before="60" w:after="60"/>
        <w:jc w:val="both"/>
        <w:rPr>
          <w:highlight w:val="white"/>
        </w:rPr>
      </w:pPr>
      <w:r>
        <w:rPr>
          <w:highlight w:val="white"/>
        </w:rPr>
        <w:t>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p>
    <w:p>
      <w:pPr>
        <w:pStyle w:val="LOnormal"/>
        <w:spacing w:lineRule="auto" w:line="240" w:before="60" w:after="60"/>
        <w:jc w:val="both"/>
        <w:rPr>
          <w:b/>
          <w:b/>
          <w:i/>
          <w:i/>
          <w:highlight w:val="yellow"/>
        </w:rPr>
      </w:pPr>
      <w:r>
        <w:rPr>
          <w:highlight w:val="white"/>
        </w:rPr>
        <w:t>14.13.5. Poderá o pregoeiro, auxiliado pela equipe de apoio, justificadamente, admitir o reinício da etapa fechada, caso nenhum licitante classificado na etapa de lance fechado atender às exigências de habilitação.</w:t>
      </w:r>
    </w:p>
    <w:p>
      <w:pPr>
        <w:pStyle w:val="LOnormal"/>
        <w:spacing w:lineRule="auto" w:line="240" w:before="60" w:after="60"/>
        <w:jc w:val="both"/>
        <w:rPr>
          <w:highlight w:val="white"/>
        </w:rPr>
      </w:pPr>
      <w:r>
        <w:rPr>
          <w:highlight w:val="white"/>
        </w:rPr>
        <w:t>14.13.6. Após o término dos prazos estabelecidos nos subitens anteriores, o sistema ordenará e divulgará os lances segundo a ordem crescente.</w:t>
      </w:r>
    </w:p>
    <w:p>
      <w:pPr>
        <w:pStyle w:val="LOnormal"/>
        <w:spacing w:lineRule="auto" w:line="240" w:before="60" w:after="60"/>
        <w:jc w:val="both"/>
        <w:rPr>
          <w:highlight w:val="white"/>
        </w:rPr>
      </w:pPr>
      <w:r>
        <w:rPr>
          <w:highlight w:val="white"/>
        </w:rPr>
        <w:t>14.14. Não serão aceitos dois ou mais lances de mesmo valor, prevalecendo aquele que for recebido e registrado em primeiro lugar.</w:t>
      </w:r>
    </w:p>
    <w:p>
      <w:pPr>
        <w:pStyle w:val="LOnormal"/>
        <w:spacing w:lineRule="auto" w:line="240" w:before="60" w:after="60"/>
        <w:jc w:val="both"/>
        <w:rPr>
          <w:highlight w:val="white"/>
        </w:rPr>
      </w:pPr>
      <w:r>
        <w:rPr>
          <w:highlight w:val="white"/>
        </w:rPr>
        <w:t>14.15. Durante o transcurso da sessão pública, os licitantes serão informados, em tempo real, do valor do menor lance registrado. O sistema não identificará o autor dos lances ao pregoeiro nem aos demais participantes.</w:t>
      </w:r>
    </w:p>
    <w:p>
      <w:pPr>
        <w:pStyle w:val="LOnormal"/>
        <w:spacing w:lineRule="auto" w:line="240" w:before="60" w:after="60"/>
        <w:jc w:val="both"/>
        <w:rPr>
          <w:highlight w:val="white"/>
        </w:rPr>
      </w:pPr>
      <w:r>
        <w:rPr>
          <w:highlight w:val="white"/>
        </w:rPr>
        <w:t>14.16. No caso de desconexão com o pregoeiro, no decorrer da etapa competitiva do pregão, o sistema eletrônico poderá permanecer acessível aos licitantes para a recepção dos lances, sem prejuízos dos atos realizados.</w:t>
      </w:r>
    </w:p>
    <w:p>
      <w:pPr>
        <w:pStyle w:val="LOnormal"/>
        <w:spacing w:lineRule="auto" w:line="240" w:before="60" w:after="60"/>
        <w:jc w:val="both"/>
        <w:rPr>
          <w:highlight w:val="white"/>
        </w:rPr>
      </w:pPr>
      <w:r>
        <w:rPr>
          <w:highlight w:val="white"/>
        </w:rPr>
        <w:t xml:space="preserve">14.17. Quando a desconexão do sistema eletrônico para o pregoeiro persistir por tempo superior a dez minutos, a sessão pública será suspensa e reiniciada somente após decorridas </w:t>
      </w:r>
      <w:r>
        <w:rPr/>
        <w:t>24 (vinte e quatro) horas</w:t>
      </w:r>
      <w:r>
        <w:rPr>
          <w:highlight w:val="white"/>
        </w:rPr>
        <w:t xml:space="preserve"> da comunicação do fato pelo pregoeiro aos participantes, no sítio eletrônico utilizado para divulgação.</w:t>
      </w:r>
    </w:p>
    <w:p>
      <w:pPr>
        <w:pStyle w:val="LOnormal"/>
        <w:spacing w:lineRule="auto" w:line="240" w:before="60" w:after="60"/>
        <w:jc w:val="both"/>
        <w:rPr>
          <w:i/>
          <w:i/>
          <w:shd w:fill="FFF200" w:val="clear"/>
        </w:rPr>
      </w:pPr>
      <w:r>
        <w:rPr>
          <w:highlight w:val="white"/>
        </w:rPr>
        <w:t>14.18. Caso o licitante não apresente lances, concorrerá com o valor de sua proposta.</w:t>
      </w:r>
    </w:p>
    <w:p>
      <w:pPr>
        <w:pStyle w:val="LOnormal"/>
        <w:spacing w:lineRule="auto" w:line="240" w:before="60" w:after="60"/>
        <w:jc w:val="both"/>
        <w:rPr>
          <w:highlight w:val="white"/>
        </w:rPr>
      </w:pPr>
      <w:r>
        <w:rPr>
          <w:highlight w:val="white"/>
        </w:rPr>
        <w:t>14.19.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pPr>
        <w:pStyle w:val="LOnormal"/>
        <w:spacing w:lineRule="auto" w:line="240" w:before="60" w:after="60"/>
        <w:jc w:val="both"/>
        <w:rPr>
          <w:highlight w:val="white"/>
        </w:rPr>
      </w:pPr>
      <w:r>
        <w:rPr>
          <w:highlight w:val="white"/>
        </w:rPr>
        <w:t>14.19.1. Nessas condições, as propostas de microempresas e empresas de pequeno porte que se encontrarem na faixa de até 5% (cinco por cento) acima ou 5% (cinco por cento abaixo do percentual) da melhor proposta ou melhor lance serão consideradas empatadas com a primeira colocada.</w:t>
      </w:r>
    </w:p>
    <w:p>
      <w:pPr>
        <w:pStyle w:val="LOnormal"/>
        <w:spacing w:lineRule="auto" w:line="240" w:before="60" w:after="60"/>
        <w:jc w:val="both"/>
        <w:rPr>
          <w:highlight w:val="white"/>
        </w:rPr>
      </w:pPr>
      <w:r>
        <w:rPr>
          <w:highlight w:val="white"/>
        </w:rPr>
        <w:t>14.19.2.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Onormal"/>
        <w:spacing w:lineRule="auto" w:line="240" w:before="60" w:after="60"/>
        <w:jc w:val="both"/>
        <w:rPr>
          <w:highlight w:val="white"/>
        </w:rPr>
      </w:pPr>
      <w:r>
        <w:rPr>
          <w:highlight w:val="white"/>
        </w:rPr>
        <w:t>14.19.3.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Onormal"/>
        <w:spacing w:lineRule="auto" w:line="240" w:before="60" w:after="60"/>
        <w:jc w:val="both"/>
        <w:rPr>
          <w:highlight w:val="white"/>
        </w:rPr>
      </w:pPr>
      <w:r>
        <w:rPr>
          <w:highlight w:val="white"/>
        </w:rPr>
        <w:t>14.19.4.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LOnormal"/>
        <w:spacing w:lineRule="auto" w:line="240" w:before="60" w:after="60"/>
        <w:jc w:val="both"/>
        <w:rPr>
          <w:highlight w:val="white"/>
        </w:rPr>
      </w:pPr>
      <w:r>
        <w:rPr>
          <w:highlight w:val="white"/>
        </w:rPr>
        <w:t>14.20. Só poderá haver empate entre propostas iguais, não seguidas de lances, ou entre lances finais da fase fechada do modo de disputa aberto e fechado.</w:t>
      </w:r>
    </w:p>
    <w:p>
      <w:pPr>
        <w:pStyle w:val="LOnormal"/>
        <w:spacing w:lineRule="auto" w:line="240" w:before="60" w:after="60"/>
        <w:jc w:val="both"/>
        <w:rPr>
          <w:highlight w:val="white"/>
        </w:rPr>
      </w:pPr>
      <w:r>
        <w:rPr>
          <w:highlight w:val="white"/>
        </w:rPr>
        <w:t>14.20.1. Havendo eventual empate entre propostas ou lances, o critério de desempate obedecerá a seguinte ordem:</w:t>
      </w:r>
    </w:p>
    <w:p>
      <w:pPr>
        <w:pStyle w:val="LOnormal"/>
        <w:spacing w:lineRule="auto" w:line="240" w:before="60" w:after="60"/>
        <w:jc w:val="both"/>
        <w:rPr>
          <w:highlight w:val="white"/>
        </w:rPr>
      </w:pPr>
      <w:r>
        <w:rPr>
          <w:highlight w:val="white"/>
        </w:rPr>
        <w:t>14.20.1.1. Disputa final, hipótese em que os licitantes empatados poderão apresentar nova proposta em ato contínuo à classificação;</w:t>
      </w:r>
    </w:p>
    <w:p>
      <w:pPr>
        <w:pStyle w:val="LOnormal"/>
        <w:spacing w:lineRule="auto" w:line="240" w:before="60" w:after="60"/>
        <w:jc w:val="both"/>
        <w:rPr>
          <w:highlight w:val="white"/>
        </w:rPr>
      </w:pPr>
      <w:r>
        <w:rPr>
          <w:highlight w:val="white"/>
        </w:rPr>
        <w:t xml:space="preserve">14.20.1.2. Persistindo o empate será assegurada preferência, sucessivamente aos </w:t>
      </w:r>
      <w:r>
        <w:rPr/>
        <w:t>serviços</w:t>
      </w:r>
      <w:r>
        <w:rPr>
          <w:i/>
          <w:highlight w:val="white"/>
        </w:rPr>
        <w:t xml:space="preserve"> </w:t>
      </w:r>
      <w:r>
        <w:rPr>
          <w:highlight w:val="white"/>
        </w:rPr>
        <w:t>prestados por:</w:t>
      </w:r>
    </w:p>
    <w:p>
      <w:pPr>
        <w:pStyle w:val="LOnormal"/>
        <w:spacing w:lineRule="auto" w:line="240" w:before="60" w:after="60"/>
        <w:jc w:val="both"/>
        <w:rPr>
          <w:highlight w:val="white"/>
        </w:rPr>
      </w:pPr>
      <w:r>
        <w:rPr>
          <w:highlight w:val="white"/>
        </w:rPr>
        <w:t>14.20.1.2.1. Empresas estabelecidas no território do Estado do Ceará;</w:t>
      </w:r>
    </w:p>
    <w:p>
      <w:pPr>
        <w:pStyle w:val="LOnormal"/>
        <w:spacing w:lineRule="auto" w:line="240" w:before="60" w:after="60"/>
        <w:jc w:val="both"/>
        <w:rPr>
          <w:highlight w:val="white"/>
        </w:rPr>
      </w:pPr>
      <w:r>
        <w:rPr>
          <w:highlight w:val="white"/>
        </w:rPr>
        <w:t>14.20.1.2.2. Empresas brasileiras.</w:t>
      </w:r>
    </w:p>
    <w:p>
      <w:pPr>
        <w:pStyle w:val="LOnormal"/>
        <w:spacing w:lineRule="auto" w:line="240" w:before="60" w:after="60"/>
        <w:jc w:val="both"/>
        <w:rPr/>
      </w:pPr>
      <w:r>
        <w:rPr/>
        <w:t>14.21. Encerrada a etapa de envio de lances da sessão pública, o pregoeiro poderá negociar condições mais vantajosas com o primeiro colocado, vedada a negociação em condições diferentes das previstas neste edital.</w:t>
      </w:r>
    </w:p>
    <w:p>
      <w:pPr>
        <w:pStyle w:val="LOnormal"/>
        <w:spacing w:lineRule="auto" w:line="240" w:before="60" w:after="60"/>
        <w:jc w:val="both"/>
        <w:rPr/>
      </w:pPr>
      <w:r>
        <w:rPr/>
        <w:t>14.21.1.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LOnormal"/>
        <w:spacing w:lineRule="auto" w:line="240" w:before="60" w:after="60"/>
        <w:jc w:val="both"/>
        <w:rPr/>
      </w:pPr>
      <w:r>
        <w:rPr/>
        <w:t>14.21.2. A negociação será realizada por meio do sistema, podendo ser acompanhada pelos demais licitantes.</w:t>
      </w:r>
    </w:p>
    <w:p>
      <w:pPr>
        <w:pStyle w:val="LOnormal"/>
        <w:spacing w:lineRule="auto" w:line="240" w:before="60" w:after="60"/>
        <w:jc w:val="both"/>
        <w:rPr/>
      </w:pPr>
      <w:r>
        <w:rPr/>
        <w:t>14.21.3. O resultado da negociação será divulgado a todos os licitantes e anexado aos autos do processo licitatório.</w:t>
      </w:r>
    </w:p>
    <w:p>
      <w:pPr>
        <w:pStyle w:val="LOnormal"/>
        <w:spacing w:lineRule="auto" w:line="240" w:before="60" w:after="60"/>
        <w:jc w:val="both"/>
        <w:rPr>
          <w:i/>
          <w:i/>
          <w:highlight w:val="yellow"/>
        </w:rPr>
      </w:pPr>
      <w:r>
        <w:rPr>
          <w:highlight w:val="white"/>
        </w:rPr>
        <w:t>14.21.4. A proposta deverá conter todas as especificações do objeto em atendimento ao Anexo I – Termo de Referência.</w:t>
      </w:r>
    </w:p>
    <w:p>
      <w:pPr>
        <w:pStyle w:val="LOnormal"/>
        <w:spacing w:lineRule="auto" w:line="240" w:before="60" w:after="60"/>
        <w:jc w:val="both"/>
        <w:rPr>
          <w:i/>
          <w:i/>
          <w:highlight w:val="yellow"/>
        </w:rPr>
      </w:pPr>
      <w:r>
        <w:rPr/>
        <w:t>14.21.5. O pregoeiro solicitará ao licitante mais bem classificado para no prazo de 24 (vinte e quatro) horas, após a negociação realizada, anexar a proposta adequada ao último lance por ele ofertado.</w:t>
      </w:r>
    </w:p>
    <w:p>
      <w:pPr>
        <w:pStyle w:val="LOnormal"/>
        <w:spacing w:lineRule="auto" w:line="240" w:before="60" w:after="60"/>
        <w:jc w:val="both"/>
        <w:rPr>
          <w:b/>
          <w:b/>
          <w:highlight w:val="white"/>
        </w:rPr>
      </w:pPr>
      <w:r>
        <w:rPr>
          <w:b/>
          <w:highlight w:val="white"/>
        </w:rPr>
        <w:t>15. DA FASE DE JULGAMENTO</w:t>
      </w:r>
    </w:p>
    <w:p>
      <w:pPr>
        <w:pStyle w:val="LOnormal"/>
        <w:spacing w:lineRule="auto" w:line="240" w:before="60" w:after="60"/>
        <w:jc w:val="both"/>
        <w:rPr>
          <w:highlight w:val="white"/>
        </w:rPr>
      </w:pPr>
      <w:r>
        <w:rPr>
          <w:highlight w:val="white"/>
        </w:rPr>
        <w:t>15.1. Encerrada a etapa de negociação, o pregoeiro verificará se o licitante provisoriamente classificado em primeiro lugar atende às condições de participação no certame, observado o previsto no</w:t>
      </w:r>
      <w:r>
        <w:fldChar w:fldCharType="begin"/>
      </w:r>
      <w:r>
        <w:rPr>
          <w:highlight w:val="white"/>
        </w:rPr>
        <w:instrText xml:space="preserve"> HYPERLINK "http://www.planalto.gov.br/ccivil_03/_ato2019-2022/2021/lei/L14133.htm" \l "art14"</w:instrText>
      </w:r>
      <w:r>
        <w:rPr>
          <w:highlight w:val="white"/>
        </w:rPr>
        <w:fldChar w:fldCharType="separate"/>
      </w:r>
      <w:r>
        <w:rPr>
          <w:highlight w:val="white"/>
        </w:rPr>
        <w:t xml:space="preserve"> </w:t>
      </w:r>
      <w:r>
        <w:rPr>
          <w:highlight w:val="white"/>
        </w:rPr>
        <w:fldChar w:fldCharType="end"/>
      </w:r>
      <w:r>
        <w:fldChar w:fldCharType="begin"/>
      </w:r>
      <w:r>
        <w:rPr>
          <w:u w:val="single"/>
          <w:highlight w:val="white"/>
          <w:color w:val="1155CC"/>
        </w:rPr>
        <w:instrText xml:space="preserve"> HYPERLINK "http://www.planalto.gov.br/ccivil_03/_ato2019-2022/2021/lei/L14133.htm" \l "art14"</w:instrText>
      </w:r>
      <w:r>
        <w:rPr>
          <w:u w:val="single"/>
          <w:highlight w:val="white"/>
          <w:color w:val="1155CC"/>
        </w:rPr>
        <w:fldChar w:fldCharType="separate"/>
      </w:r>
      <w:r>
        <w:rPr>
          <w:color w:val="1155CC"/>
          <w:highlight w:val="white"/>
          <w:u w:val="single"/>
        </w:rPr>
        <w:t>art. 14 da Lei nº 14.133/2021</w:t>
      </w:r>
      <w:r>
        <w:rPr>
          <w:u w:val="single"/>
          <w:highlight w:val="white"/>
          <w:color w:val="1155CC"/>
        </w:rPr>
        <w:fldChar w:fldCharType="end"/>
      </w:r>
      <w:r>
        <w:rPr>
          <w:highlight w:val="white"/>
        </w:rPr>
        <w:t>, legislação correlata e no subitem 9.1 deste edital, especialmente quanto à existência de sanção que impeça a participação no certame ou a futura contratação, mediante a consulta aos seguintes cadastros:</w:t>
      </w:r>
    </w:p>
    <w:p>
      <w:pPr>
        <w:pStyle w:val="LOnormal"/>
        <w:spacing w:lineRule="auto" w:line="240" w:before="60" w:after="60"/>
        <w:jc w:val="both"/>
        <w:rPr>
          <w:highlight w:val="white"/>
        </w:rPr>
      </w:pPr>
      <w:r>
        <w:rPr>
          <w:highlight w:val="white"/>
        </w:rPr>
        <w:t>I- Sistema de Cadastramento Unificado de Fornecedores(SICAF);</w:t>
      </w:r>
    </w:p>
    <w:p>
      <w:pPr>
        <w:pStyle w:val="LOnormal"/>
        <w:spacing w:lineRule="auto" w:line="240" w:before="60" w:after="60"/>
        <w:jc w:val="both"/>
        <w:rPr/>
      </w:pPr>
      <w:r>
        <w:rPr/>
        <w:t>II- Certificado de Registro Cadastral(CRC)CE.</w:t>
      </w:r>
    </w:p>
    <w:p>
      <w:pPr>
        <w:pStyle w:val="LOnormal"/>
        <w:spacing w:lineRule="auto" w:line="240" w:before="60" w:after="60"/>
        <w:jc w:val="both"/>
        <w:rPr/>
      </w:pPr>
      <w:r>
        <w:rPr/>
        <w:t>III- Cadastro Nacional de Empresas Inidôneas e Suspensas(CEIS), mantido pela Controladoria-Geral da União (</w:t>
      </w:r>
      <w:hyperlink r:id="rId16">
        <w:r>
          <w:rPr>
            <w:u w:val="single"/>
          </w:rPr>
          <w:t>https://www.portaltransparencia.gov.br/sancoes</w:t>
        </w:r>
      </w:hyperlink>
      <w:r>
        <w:rPr/>
        <w:t>); e</w:t>
      </w:r>
    </w:p>
    <w:p>
      <w:pPr>
        <w:pStyle w:val="LOnormal"/>
        <w:spacing w:lineRule="auto" w:line="240" w:before="60" w:after="60"/>
        <w:jc w:val="both"/>
        <w:rPr>
          <w:highlight w:val="white"/>
        </w:rPr>
      </w:pPr>
      <w:r>
        <w:rPr>
          <w:highlight w:val="white"/>
        </w:rPr>
        <w:t>IV- Cadastro Nacional de Empresas Punidas(CNEP), mantido pela Controladoria-Geral da União (</w:t>
      </w:r>
      <w:hyperlink r:id="rId17">
        <w:r>
          <w:rPr>
            <w:highlight w:val="white"/>
          </w:rPr>
          <w:t>https://www.portaltransparencia.gov.br/sancoes</w:t>
        </w:r>
      </w:hyperlink>
      <w:r>
        <w:rPr>
          <w:highlight w:val="white"/>
        </w:rPr>
        <w:t>).</w:t>
      </w:r>
    </w:p>
    <w:p>
      <w:pPr>
        <w:pStyle w:val="LOnormal"/>
        <w:spacing w:lineRule="auto" w:line="240" w:before="60" w:after="60"/>
        <w:jc w:val="both"/>
        <w:rPr>
          <w:highlight w:val="white"/>
        </w:rPr>
      </w:pPr>
      <w:r>
        <w:rPr>
          <w:highlight w:val="white"/>
        </w:rPr>
        <w:t>15.2. A consulta aos cadastros será realizada em nome da empresa licitante.</w:t>
      </w:r>
    </w:p>
    <w:p>
      <w:pPr>
        <w:pStyle w:val="LOnormal"/>
        <w:spacing w:lineRule="auto" w:line="240" w:before="60" w:after="60"/>
        <w:jc w:val="both"/>
        <w:rPr>
          <w:highlight w:val="white"/>
        </w:rPr>
      </w:pPr>
      <w:r>
        <w:rPr>
          <w:highlight w:val="white"/>
        </w:rPr>
        <w:t>15.3. Caso atendidas as condições de participação, será iniciado o procedimento de habilitação.</w:t>
      </w:r>
    </w:p>
    <w:p>
      <w:pPr>
        <w:pStyle w:val="LOnormal"/>
        <w:spacing w:lineRule="auto" w:line="240" w:before="60" w:after="60"/>
        <w:jc w:val="both"/>
        <w:rPr>
          <w:highlight w:val="white"/>
        </w:rPr>
      </w:pPr>
      <w:r>
        <w:rPr>
          <w:highlight w:val="white"/>
        </w:rPr>
        <w:t>15.4. Na hipótese de o licitante não atender às exigências para habilitação, o pregoeiro examinará a proposta subsequente e assim sucessivamente, na ordem de classificação, até a apuração de uma proposta que atenda ao presente edital, observado o prazo disposto no subitem 14.21.5 deste edital.</w:t>
      </w:r>
    </w:p>
    <w:p>
      <w:pPr>
        <w:pStyle w:val="LOnormal"/>
        <w:spacing w:lineRule="auto" w:line="240" w:before="60" w:after="60"/>
        <w:jc w:val="both"/>
        <w:rPr>
          <w:highlight w:val="white"/>
        </w:rPr>
      </w:pPr>
      <w:r>
        <w:rPr>
          <w:highlight w:val="white"/>
        </w:rPr>
        <w:t>15.4.1. As decisões do pregoeiro se darão baseadas nos pareceres e laudos, nos termos previstos no subitem 10.2.1, deste edital.</w:t>
      </w:r>
    </w:p>
    <w:p>
      <w:pPr>
        <w:pStyle w:val="LOnormal"/>
        <w:spacing w:lineRule="auto" w:line="240" w:before="60" w:after="60"/>
        <w:jc w:val="both"/>
        <w:rPr>
          <w:highlight w:val="white"/>
        </w:rPr>
      </w:pPr>
      <w:r>
        <w:rPr>
          <w:highlight w:val="white"/>
        </w:rPr>
        <w:t>15.4.2. Somente serão disponibilizados para acesso público os documentos de habilitação do licitante cuja proposta atenda ao edital de licitação, após concluídos os procedimentos de que trata o subitem anterior.</w:t>
      </w:r>
    </w:p>
    <w:p>
      <w:pPr>
        <w:pStyle w:val="LOnormal"/>
        <w:spacing w:lineRule="auto" w:line="240" w:before="60" w:after="60"/>
        <w:jc w:val="both"/>
        <w:rPr/>
      </w:pPr>
      <w:r>
        <w:rPr/>
        <w:t>15.5. Caso o licitante provisoriamente classificado em primeiro lugar tenha se utilizado de algum tratamento favorecido às ME/EPPs, o pregoeiro verificará se faz jus ao referido benefício.</w:t>
      </w:r>
    </w:p>
    <w:p>
      <w:pPr>
        <w:pStyle w:val="LOnormal"/>
        <w:spacing w:lineRule="auto" w:line="240" w:before="60" w:after="60"/>
        <w:jc w:val="both"/>
        <w:rPr>
          <w:highlight w:val="white"/>
        </w:rPr>
      </w:pPr>
      <w:r>
        <w:rPr>
          <w:highlight w:val="white"/>
        </w:rPr>
        <w:t>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LOnormal"/>
        <w:spacing w:lineRule="auto" w:line="240" w:before="60" w:after="60"/>
        <w:jc w:val="both"/>
        <w:rPr>
          <w:b/>
          <w:b/>
        </w:rPr>
      </w:pPr>
      <w:r>
        <w:rPr>
          <w:b/>
        </w:rPr>
        <w:t>15.7. Será desclassificada a proposta vencedora que:</w:t>
      </w:r>
    </w:p>
    <w:p>
      <w:pPr>
        <w:pStyle w:val="LOnormal"/>
        <w:spacing w:lineRule="auto" w:line="240" w:before="60" w:after="60"/>
        <w:jc w:val="both"/>
        <w:rPr/>
      </w:pPr>
      <w:r>
        <w:rPr/>
        <w:t>15.7.1. Contiver vícios insanáveis;</w:t>
      </w:r>
    </w:p>
    <w:p>
      <w:pPr>
        <w:pStyle w:val="LOnormal"/>
        <w:spacing w:lineRule="auto" w:line="240" w:before="60" w:after="60"/>
        <w:jc w:val="both"/>
        <w:rPr/>
      </w:pPr>
      <w:r>
        <w:rPr/>
        <w:t>15.7.2. Não obedecer às especificações técnicas contidas no termo de referência;</w:t>
      </w:r>
    </w:p>
    <w:p>
      <w:pPr>
        <w:pStyle w:val="LOnormal"/>
        <w:spacing w:lineRule="auto" w:line="240" w:before="60" w:after="60"/>
        <w:jc w:val="both"/>
        <w:rPr/>
      </w:pPr>
      <w:r>
        <w:rPr/>
        <w:t>15.7.3. Apresentar preços inexequíveis ou permanecer acima do preço máximo definido para a contratação;</w:t>
      </w:r>
    </w:p>
    <w:p>
      <w:pPr>
        <w:pStyle w:val="LOnormal"/>
        <w:spacing w:lineRule="auto" w:line="240" w:before="60" w:after="60"/>
        <w:jc w:val="both"/>
        <w:rPr>
          <w:highlight w:val="white"/>
        </w:rPr>
      </w:pPr>
      <w:r>
        <w:rPr>
          <w:highlight w:val="white"/>
        </w:rPr>
        <w:t>15.7.4. Não tiver sua exequibilidade demonstrada, quando exigido pela Administração;</w:t>
      </w:r>
    </w:p>
    <w:p>
      <w:pPr>
        <w:pStyle w:val="LOnormal"/>
        <w:spacing w:lineRule="auto" w:line="240" w:before="60" w:after="60"/>
        <w:jc w:val="both"/>
        <w:rPr>
          <w:highlight w:val="white"/>
        </w:rPr>
      </w:pPr>
      <w:r>
        <w:rPr>
          <w:highlight w:val="white"/>
        </w:rPr>
        <w:t>15.7.5. Apresentar desconformidade com quaisquer outras exigências deste edital ou seus anexos, desde que insanável;</w:t>
      </w:r>
    </w:p>
    <w:p>
      <w:pPr>
        <w:pStyle w:val="LOnormal"/>
        <w:spacing w:lineRule="auto" w:line="240" w:before="60" w:after="60"/>
        <w:jc w:val="both"/>
        <w:rPr>
          <w:highlight w:val="white"/>
        </w:rPr>
      </w:pPr>
      <w:r>
        <w:rPr>
          <w:highlight w:val="white"/>
        </w:rPr>
        <w:t>15.7.6. Deixar de apresentar a declaração de que sua proposta compreende a integralidade dos custos para atendimento dos direitos trabalhistas conforme subitem 12.5.1 deste edital.</w:t>
      </w:r>
    </w:p>
    <w:p>
      <w:pPr>
        <w:pStyle w:val="LOnormal"/>
        <w:spacing w:lineRule="auto" w:line="240" w:before="60" w:after="60"/>
        <w:jc w:val="both"/>
        <w:rPr>
          <w:highlight w:val="white"/>
        </w:rPr>
      </w:pPr>
      <w:r>
        <w:rPr>
          <w:highlight w:val="white"/>
        </w:rPr>
        <w:t>15.8. A ausência de documentos possíveis de serem verificados em sites oficiais, não é motivo de desclassificação.</w:t>
      </w:r>
    </w:p>
    <w:p>
      <w:pPr>
        <w:pStyle w:val="LOnormal"/>
        <w:spacing w:lineRule="auto" w:line="240" w:before="60" w:after="60"/>
        <w:jc w:val="both"/>
        <w:rPr>
          <w:highlight w:val="white"/>
        </w:rPr>
      </w:pPr>
      <w:r>
        <w:rPr>
          <w:highlight w:val="white"/>
        </w:rPr>
        <w:t>15.9. Se houver indícios de inexequibilidade da proposta de preço, ou em caso da necessidade de esclarecimentos complementares, poderão ser efetuadas diligências, para que o licitante comprove a exequibilidade da proposta, conforme disposto no inciso IV do art. 59 da Lei nº 14.133/2021.</w:t>
      </w:r>
    </w:p>
    <w:p>
      <w:pPr>
        <w:pStyle w:val="LOnormal"/>
        <w:spacing w:lineRule="auto" w:line="240" w:before="60" w:after="60"/>
        <w:jc w:val="both"/>
        <w:rPr>
          <w:b/>
          <w:b/>
          <w:highlight w:val="white"/>
        </w:rPr>
      </w:pPr>
      <w:r>
        <w:rPr>
          <w:b/>
          <w:highlight w:val="white"/>
        </w:rPr>
        <w:t>16. DOS RECURSOS</w:t>
      </w:r>
    </w:p>
    <w:p>
      <w:pPr>
        <w:pStyle w:val="LOnormal"/>
        <w:spacing w:lineRule="auto" w:line="240" w:before="60" w:after="60"/>
        <w:jc w:val="both"/>
        <w:rPr>
          <w:highlight w:val="white"/>
        </w:rPr>
      </w:pPr>
      <w:r>
        <w:rPr>
          <w:highlight w:val="white"/>
        </w:rPr>
        <w:t>16.1. A interposição de recurso referente ao julgamento das propostas, à habilitação ou inabilitação de licitantes, à anulação ou revogação da licitação, observará o disposto no</w:t>
      </w:r>
      <w:r>
        <w:fldChar w:fldCharType="begin"/>
      </w:r>
      <w:r>
        <w:rPr>
          <w:highlight w:val="white"/>
        </w:rPr>
        <w:instrText xml:space="preserve"> HYPERLINK "http://www.planalto.gov.br/ccivil_03/_ato2019-2022/2021/lei/L14133.htm" \l "art165"</w:instrText>
      </w:r>
      <w:r>
        <w:rPr>
          <w:highlight w:val="white"/>
        </w:rPr>
        <w:fldChar w:fldCharType="separate"/>
      </w:r>
      <w:r>
        <w:rPr>
          <w:highlight w:val="white"/>
        </w:rPr>
        <w:t xml:space="preserve"> </w:t>
      </w:r>
      <w:r>
        <w:rPr>
          <w:highlight w:val="white"/>
        </w:rPr>
        <w:fldChar w:fldCharType="end"/>
      </w:r>
      <w:r>
        <w:fldChar w:fldCharType="begin"/>
      </w:r>
      <w:r>
        <w:rPr>
          <w:u w:val="single"/>
          <w:highlight w:val="white"/>
          <w:color w:val="1155CC"/>
        </w:rPr>
        <w:instrText xml:space="preserve"> HYPERLINK "http://www.planalto.gov.br/ccivil_03/_ato2019-2022/2021/lei/L14133.htm" \l "art165"</w:instrText>
      </w:r>
      <w:r>
        <w:rPr>
          <w:u w:val="single"/>
          <w:highlight w:val="white"/>
          <w:color w:val="1155CC"/>
        </w:rPr>
        <w:fldChar w:fldCharType="separate"/>
      </w:r>
      <w:r>
        <w:rPr>
          <w:color w:val="1155CC"/>
          <w:highlight w:val="white"/>
          <w:u w:val="single"/>
        </w:rPr>
        <w:t>art. 165 da Lei nº 14.133/2021</w:t>
      </w:r>
      <w:r>
        <w:rPr>
          <w:u w:val="single"/>
          <w:highlight w:val="white"/>
          <w:color w:val="1155CC"/>
        </w:rPr>
        <w:fldChar w:fldCharType="end"/>
      </w:r>
      <w:r>
        <w:rPr>
          <w:highlight w:val="white"/>
        </w:rPr>
        <w:t>.</w:t>
      </w:r>
    </w:p>
    <w:p>
      <w:pPr>
        <w:pStyle w:val="LOnormal"/>
        <w:spacing w:lineRule="auto" w:line="240" w:before="60" w:after="60"/>
        <w:jc w:val="both"/>
        <w:rPr>
          <w:highlight w:val="white"/>
        </w:rPr>
      </w:pPr>
      <w:r>
        <w:rPr>
          <w:highlight w:val="white"/>
        </w:rPr>
        <w:t>16.2. O prazo recursal é de 3 (três) dias úteis, contados da data de intimação ou de lavratura da ata de julgamento da proposta, ou da habilitação ou inabilitação.</w:t>
      </w:r>
    </w:p>
    <w:p>
      <w:pPr>
        <w:pStyle w:val="LOnormal"/>
        <w:spacing w:lineRule="auto" w:line="240" w:before="60" w:after="60"/>
        <w:jc w:val="both"/>
        <w:rPr>
          <w:highlight w:val="white"/>
        </w:rPr>
      </w:pPr>
      <w:r>
        <w:rPr>
          <w:highlight w:val="white"/>
        </w:rPr>
        <w:t>16.3. Quando o recurso apresentado impugnar o julgamento das propostas ou o ato de habilitação ou inabilitação do licitante:</w:t>
      </w:r>
    </w:p>
    <w:p>
      <w:pPr>
        <w:pStyle w:val="LOnormal"/>
        <w:spacing w:lineRule="auto" w:line="240" w:before="60" w:after="60"/>
        <w:jc w:val="both"/>
        <w:rPr>
          <w:highlight w:val="white"/>
        </w:rPr>
      </w:pPr>
      <w:r>
        <w:rPr>
          <w:highlight w:val="white"/>
        </w:rPr>
        <w:t xml:space="preserve">16.3.1. O pregoeiro comunicará, no sistema utilizado para realização do certame, a retomada da sessão pública com no mínimo </w:t>
      </w:r>
      <w:r>
        <w:rPr/>
        <w:t>24 (vinte e quatro) horas</w:t>
      </w:r>
      <w:r>
        <w:rPr>
          <w:highlight w:val="white"/>
        </w:rPr>
        <w:t xml:space="preserve"> de antecedência para aceitar e habilitar a arrematante, quando será concedido aos licitantes um prazo de 10 (dez) minutos para a intenção de recorrer, sob pena de preclusão.</w:t>
      </w:r>
    </w:p>
    <w:p>
      <w:pPr>
        <w:pStyle w:val="LOnormal"/>
        <w:spacing w:lineRule="auto" w:line="240" w:before="60" w:after="60"/>
        <w:jc w:val="both"/>
        <w:rPr/>
      </w:pPr>
      <w:r>
        <w:rPr/>
        <w:t>16.4. Os recursos deverão ser encaminhados em campo próprio do sistema.</w:t>
      </w:r>
    </w:p>
    <w:p>
      <w:pPr>
        <w:pStyle w:val="LOnormal"/>
        <w:spacing w:lineRule="auto" w:line="240" w:before="60" w:after="60"/>
        <w:jc w:val="both"/>
        <w:rPr/>
      </w:pPr>
      <w:r>
        <w:rPr/>
        <w:t>16.5.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LOnormal"/>
        <w:spacing w:lineRule="auto" w:line="240" w:before="60" w:after="60"/>
        <w:jc w:val="both"/>
        <w:rPr/>
      </w:pPr>
      <w:r>
        <w:rPr/>
        <w:t>16.6. Os recursos interpostos fora do prazo não serão conhecidos.</w:t>
      </w:r>
    </w:p>
    <w:p>
      <w:pPr>
        <w:pStyle w:val="LOnormal"/>
        <w:spacing w:lineRule="auto" w:line="240" w:before="60" w:after="60"/>
        <w:jc w:val="both"/>
        <w:rPr/>
      </w:pPr>
      <w:r>
        <w:rPr/>
        <w:t>16.7.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LOnormal"/>
        <w:spacing w:lineRule="auto" w:line="240" w:before="60" w:after="60"/>
        <w:jc w:val="both"/>
        <w:rPr/>
      </w:pPr>
      <w:r>
        <w:rPr/>
        <w:t xml:space="preserve">16.7.1. Caso o licitante entenda ser necessário o envio de documentos complementares para melhor entendimento das suas razões e/ou contrarrazões de recurso, deverá disponibilizar um </w:t>
      </w:r>
      <w:r>
        <w:rPr>
          <w:i/>
        </w:rPr>
        <w:t>link</w:t>
      </w:r>
      <w:r>
        <w:rPr/>
        <w:t xml:space="preserve"> no corpo da peça, de maneira que os referidos documentos sejam de acesso livre ao pregoeiro e demais interessados.</w:t>
      </w:r>
    </w:p>
    <w:p>
      <w:pPr>
        <w:pStyle w:val="LOnormal"/>
        <w:spacing w:lineRule="auto" w:line="240" w:before="60" w:after="60"/>
        <w:jc w:val="both"/>
        <w:rPr/>
      </w:pPr>
      <w:r>
        <w:rPr/>
        <w:t>16.8. O recurso e o pedido de reconsideração terão efeito suspensivo do ato ou da decisão recorrida até que sobrevenha decisão final da autoridade competente.</w:t>
      </w:r>
    </w:p>
    <w:p>
      <w:pPr>
        <w:pStyle w:val="LOnormal"/>
        <w:spacing w:lineRule="auto" w:line="240" w:before="60" w:after="60"/>
        <w:jc w:val="both"/>
        <w:rPr>
          <w:highlight w:val="white"/>
        </w:rPr>
      </w:pPr>
      <w:r>
        <w:rPr>
          <w:highlight w:val="white"/>
        </w:rPr>
        <w:t>16.9. O acolhimento do recurso invalida tão somente os atos insuscetíveis de aproveitamento.</w:t>
      </w:r>
    </w:p>
    <w:p>
      <w:pPr>
        <w:pStyle w:val="LOnormal"/>
        <w:spacing w:lineRule="auto" w:line="240" w:before="60" w:after="60"/>
        <w:jc w:val="both"/>
        <w:rPr>
          <w:highlight w:val="white"/>
        </w:rPr>
      </w:pPr>
      <w:r>
        <w:rPr>
          <w:highlight w:val="white"/>
        </w:rPr>
        <w:t>1</w:t>
      </w:r>
      <w:r>
        <w:rPr/>
        <w:t>6</w:t>
      </w:r>
      <w:r>
        <w:rPr>
          <w:highlight w:val="white"/>
        </w:rPr>
        <w:t>.10. Não serão conhecidos os recursos intempestivos e/ou subscritos por representante não habilitado legalmente ou não identificado no processo licitatório para responder pelo proponente.</w:t>
      </w:r>
    </w:p>
    <w:p>
      <w:pPr>
        <w:pStyle w:val="LOnormal"/>
        <w:spacing w:lineRule="auto" w:line="240" w:before="60" w:after="60"/>
        <w:jc w:val="both"/>
        <w:rPr>
          <w:highlight w:val="white"/>
        </w:rPr>
      </w:pPr>
      <w:r>
        <w:rPr>
          <w:highlight w:val="white"/>
        </w:rPr>
        <w:t>16.11. Os autos do processo permanecerão com vista franqueada aos interessados no Portal Nacional de Contratações Públicas(PNCP), naquilo que lhes couber e na Central de Licitações no endereço constante no subitem 7.1 deste edital.</w:t>
      </w:r>
    </w:p>
    <w:p>
      <w:pPr>
        <w:pStyle w:val="LOnormal"/>
        <w:spacing w:lineRule="auto" w:line="240" w:before="60" w:after="60"/>
        <w:jc w:val="both"/>
        <w:rPr>
          <w:b/>
          <w:b/>
          <w:highlight w:val="white"/>
        </w:rPr>
      </w:pPr>
      <w:r>
        <w:rPr>
          <w:b/>
          <w:highlight w:val="white"/>
        </w:rPr>
        <w:t>17. DAS INFRAÇÕES ADMINISTRATIVAS E SANÇÕES</w:t>
      </w:r>
    </w:p>
    <w:p>
      <w:pPr>
        <w:pStyle w:val="LOnormal"/>
        <w:spacing w:lineRule="auto" w:line="240" w:before="60" w:after="60"/>
        <w:jc w:val="both"/>
        <w:rPr>
          <w:highlight w:val="white"/>
        </w:rPr>
      </w:pPr>
      <w:r>
        <w:rPr>
          <w:highlight w:val="white"/>
        </w:rPr>
        <w:t>17.1. Comete infração administrativa, nos termos do art. 155 da Lei nº 14.133/2021, o licitante que, com dolo ou culpa:</w:t>
      </w:r>
    </w:p>
    <w:p>
      <w:pPr>
        <w:pStyle w:val="LOnormal"/>
        <w:jc w:val="both"/>
        <w:rPr/>
      </w:pPr>
      <w:r>
        <w:rPr>
          <w:highlight w:val="white"/>
        </w:rPr>
        <w:t>17.1.1. Deixar de entregar a documentação exigida para o certame ou não entregar qualquer documento que tenha sido solicitado</w:t>
        <w:tab/>
        <w:t>pelo pregoeiro durante o certame;</w:t>
      </w:r>
      <w:r>
        <w:rPr/>
        <w:t xml:space="preserve"> </w:t>
        <w:tab/>
        <w:tab/>
        <w:t xml:space="preserve"> </w:t>
        <w:tab/>
      </w:r>
    </w:p>
    <w:p>
      <w:pPr>
        <w:pStyle w:val="LOnormal"/>
        <w:spacing w:lineRule="auto" w:line="240" w:before="60" w:after="60"/>
        <w:jc w:val="both"/>
        <w:rPr/>
      </w:pPr>
      <w:r>
        <w:rPr/>
        <w:t>17.1.2. Salvo em decorrência de fato superveniente devidamente justificado, não mantiver a proposta em especial quando:</w:t>
      </w:r>
    </w:p>
    <w:p>
      <w:pPr>
        <w:pStyle w:val="LOnormal"/>
        <w:spacing w:lineRule="auto" w:line="240" w:before="60" w:after="60"/>
        <w:jc w:val="both"/>
        <w:rPr/>
      </w:pPr>
      <w:r>
        <w:rPr/>
        <w:t>17.1.2.1. Não enviar a proposta adequada ao último lance ofertado ou após a negociação;</w:t>
      </w:r>
    </w:p>
    <w:p>
      <w:pPr>
        <w:pStyle w:val="LOnormal"/>
        <w:spacing w:lineRule="auto" w:line="240" w:before="60" w:after="60"/>
        <w:jc w:val="both"/>
        <w:rPr/>
      </w:pPr>
      <w:r>
        <w:rPr/>
        <w:t>17.1.2.2. Recusar-se a enviar o detalhamento da proposta quando exigível;</w:t>
      </w:r>
    </w:p>
    <w:p>
      <w:pPr>
        <w:pStyle w:val="LOnormal"/>
        <w:spacing w:lineRule="auto" w:line="240" w:before="60" w:after="60"/>
        <w:jc w:val="both"/>
        <w:rPr>
          <w:highlight w:val="white"/>
        </w:rPr>
      </w:pPr>
      <w:r>
        <w:rPr>
          <w:highlight w:val="white"/>
        </w:rPr>
        <w:t>17.1.2.3. Pedir para ser desclassificado quando encerrada a etapa competitiva ou;</w:t>
      </w:r>
    </w:p>
    <w:p>
      <w:pPr>
        <w:pStyle w:val="LOnormal"/>
        <w:spacing w:lineRule="auto" w:line="240" w:before="60" w:after="60"/>
        <w:jc w:val="both"/>
        <w:rPr/>
      </w:pPr>
      <w:r>
        <w:rPr/>
        <w:t>17.1.2.4. Apresentar proposta</w:t>
      </w:r>
      <w:r>
        <w:rPr>
          <w:highlight w:val="white"/>
        </w:rPr>
        <w:t xml:space="preserve"> </w:t>
      </w:r>
      <w:r>
        <w:rPr/>
        <w:t>em desacordo com as especificações do edital;</w:t>
      </w:r>
    </w:p>
    <w:p>
      <w:pPr>
        <w:pStyle w:val="LOnormal"/>
        <w:spacing w:lineRule="auto" w:line="240" w:before="60" w:after="60"/>
        <w:jc w:val="both"/>
        <w:rPr>
          <w:highlight w:val="white"/>
        </w:rPr>
      </w:pPr>
      <w:r>
        <w:rPr>
          <w:highlight w:val="white"/>
        </w:rPr>
        <w:t>17.1.3. Não celebrar o contrato ou não entregar a documentação exigida para a contratação, quando convocado dentro do prazo de validade de sua proposta;</w:t>
      </w:r>
    </w:p>
    <w:p>
      <w:pPr>
        <w:pStyle w:val="LOnormal"/>
        <w:spacing w:lineRule="auto" w:line="240" w:before="60" w:after="60"/>
        <w:jc w:val="both"/>
        <w:rPr/>
      </w:pPr>
      <w:r>
        <w:rPr/>
        <w:t>17.1.3.1. Recusar-se, sem justificativa, a assinar o contrato ou a aceitar ou retirar o instrumento equivalente no prazo estabelecido pela Administração;</w:t>
      </w:r>
    </w:p>
    <w:p>
      <w:pPr>
        <w:pStyle w:val="LOnormal"/>
        <w:spacing w:lineRule="auto" w:line="240" w:before="60" w:after="60"/>
        <w:jc w:val="both"/>
        <w:rPr/>
      </w:pPr>
      <w:r>
        <w:rPr/>
        <w:t>17.1.4. Apresentar declaração ou documentação falsa exigida para o certame ou prestar declaração falsa durante a licitação;</w:t>
      </w:r>
    </w:p>
    <w:p>
      <w:pPr>
        <w:pStyle w:val="LOnormal"/>
        <w:spacing w:lineRule="auto" w:line="240" w:before="60" w:after="60"/>
        <w:jc w:val="both"/>
        <w:rPr>
          <w:highlight w:val="white"/>
        </w:rPr>
      </w:pPr>
      <w:r>
        <w:rPr>
          <w:highlight w:val="white"/>
        </w:rPr>
        <w:t>17.1.5. Fraudar a licitação;</w:t>
      </w:r>
    </w:p>
    <w:p>
      <w:pPr>
        <w:pStyle w:val="LOnormal"/>
        <w:spacing w:lineRule="auto" w:line="240" w:before="60" w:after="60"/>
        <w:jc w:val="both"/>
        <w:rPr/>
      </w:pPr>
      <w:r>
        <w:rPr/>
        <w:t>17.1.6. Comportar-se de modo inidôneo ou cometer fraude de qualquer natureza, em especial quando:</w:t>
      </w:r>
    </w:p>
    <w:p>
      <w:pPr>
        <w:pStyle w:val="LOnormal"/>
        <w:spacing w:lineRule="auto" w:line="240" w:before="60" w:after="60"/>
        <w:jc w:val="both"/>
        <w:rPr/>
      </w:pPr>
      <w:r>
        <w:rPr/>
        <w:t>17.1.6.1. Agir em conluio ou em desconformidade com a lei;</w:t>
      </w:r>
    </w:p>
    <w:p>
      <w:pPr>
        <w:pStyle w:val="LOnormal"/>
        <w:spacing w:lineRule="auto" w:line="240" w:before="60" w:after="60"/>
        <w:jc w:val="both"/>
        <w:rPr/>
      </w:pPr>
      <w:r>
        <w:rPr/>
        <w:t>17.1.6.2. Induzir deliberadamente a erro no julgamento;</w:t>
      </w:r>
    </w:p>
    <w:p>
      <w:pPr>
        <w:pStyle w:val="LOnormal"/>
        <w:spacing w:lineRule="auto" w:line="240" w:before="60" w:after="60"/>
        <w:jc w:val="both"/>
        <w:rPr/>
      </w:pPr>
      <w:r>
        <w:rPr/>
        <w:t>17.1.7. Praticar atos ilícitos com vistas a frustrar os objetivos da licitação;</w:t>
      </w:r>
    </w:p>
    <w:p>
      <w:pPr>
        <w:pStyle w:val="LOnormal"/>
        <w:spacing w:lineRule="auto" w:line="240" w:before="60" w:after="60"/>
        <w:jc w:val="both"/>
        <w:rPr/>
      </w:pPr>
      <w:r>
        <w:rPr/>
        <w:t>17.1.8. Praticar ato lesivo previsto no</w:t>
      </w:r>
      <w:r>
        <w:fldChar w:fldCharType="begin"/>
      </w:r>
      <w:r>
        <w:rPr/>
        <w:instrText xml:space="preserve"> HYPERLINK "https://www.planalto.gov.br/ccivil_03/_ato2011-2014/2013/lei/l12846.htm" \l "art5"</w:instrText>
      </w:r>
      <w:r>
        <w:rPr/>
        <w:fldChar w:fldCharType="separate"/>
      </w:r>
      <w:r>
        <w:rPr/>
        <w:t xml:space="preserve"> </w:t>
      </w:r>
      <w:r>
        <w:rPr/>
        <w:fldChar w:fldCharType="end"/>
      </w:r>
      <w:r>
        <w:fldChar w:fldCharType="begin"/>
      </w:r>
      <w:r>
        <w:rPr>
          <w:u w:val="single"/>
          <w:color w:val="1155CC"/>
        </w:rPr>
        <w:instrText xml:space="preserve"> HYPERLINK "https://www.planalto.gov.br/ccivil_03/_ato2011-2014/2013/lei/l12846.htm" \l "art5"</w:instrText>
      </w:r>
      <w:r>
        <w:rPr>
          <w:u w:val="single"/>
          <w:color w:val="1155CC"/>
        </w:rPr>
        <w:fldChar w:fldCharType="separate"/>
      </w:r>
      <w:r>
        <w:rPr>
          <w:color w:val="1155CC"/>
          <w:u w:val="single"/>
        </w:rPr>
        <w:t>art. 5º da Lei nº</w:t>
      </w:r>
      <w:r>
        <w:rPr>
          <w:u w:val="single"/>
          <w:color w:val="1155CC"/>
        </w:rPr>
        <w:fldChar w:fldCharType="end"/>
      </w:r>
      <w:r>
        <w:fldChar w:fldCharType="begin"/>
      </w:r>
      <w:r>
        <w:rPr>
          <w:u w:val="single"/>
          <w:highlight w:val="white"/>
          <w:color w:val="1155CC"/>
        </w:rPr>
        <w:instrText xml:space="preserve"> HYPERLINK "https://www.planalto.gov.br/ccivil_03/_ato2011-2014/2013/lei/l12846.htm" \l "art5"</w:instrText>
      </w:r>
      <w:r>
        <w:rPr>
          <w:u w:val="single"/>
          <w:highlight w:val="white"/>
          <w:color w:val="1155CC"/>
        </w:rPr>
        <w:fldChar w:fldCharType="separate"/>
      </w:r>
      <w:r>
        <w:rPr>
          <w:color w:val="1155CC"/>
          <w:highlight w:val="white"/>
          <w:u w:val="single"/>
        </w:rPr>
        <w:t xml:space="preserve"> 12.846</w:t>
      </w:r>
      <w:r>
        <w:rPr>
          <w:u w:val="single"/>
          <w:highlight w:val="white"/>
          <w:color w:val="1155CC"/>
        </w:rPr>
        <w:fldChar w:fldCharType="end"/>
      </w:r>
      <w:r>
        <w:rPr>
          <w:highlight w:val="white"/>
        </w:rPr>
        <w:t>/</w:t>
      </w:r>
      <w:r>
        <w:fldChar w:fldCharType="begin"/>
      </w:r>
      <w:r>
        <w:rPr>
          <w:u w:val="single"/>
          <w:color w:val="1155CC"/>
        </w:rPr>
        <w:instrText xml:space="preserve"> HYPERLINK "https://www.planalto.gov.br/ccivil_03/_ato2011-2014/2013/lei/l12846.htm" \l "art5"</w:instrText>
      </w:r>
      <w:r>
        <w:rPr>
          <w:u w:val="single"/>
          <w:color w:val="1155CC"/>
        </w:rPr>
        <w:fldChar w:fldCharType="separate"/>
      </w:r>
      <w:r>
        <w:rPr>
          <w:color w:val="1155CC"/>
          <w:u w:val="single"/>
        </w:rPr>
        <w:t>2013</w:t>
      </w:r>
      <w:r>
        <w:rPr>
          <w:u w:val="single"/>
          <w:color w:val="1155CC"/>
        </w:rPr>
        <w:fldChar w:fldCharType="end"/>
      </w:r>
      <w:r>
        <w:rPr/>
        <w:t>.</w:t>
      </w:r>
    </w:p>
    <w:p>
      <w:pPr>
        <w:pStyle w:val="LOnormal"/>
        <w:spacing w:lineRule="auto" w:line="240" w:before="60" w:after="60"/>
        <w:jc w:val="both"/>
        <w:rPr>
          <w:highlight w:val="white"/>
        </w:rPr>
      </w:pPr>
      <w:r>
        <w:rPr>
          <w:highlight w:val="white"/>
        </w:rPr>
        <w:t>17.2. Com fulcro na</w:t>
      </w:r>
      <w:hyperlink r:id="rId18">
        <w:r>
          <w:rPr>
            <w:highlight w:val="white"/>
          </w:rPr>
          <w:t xml:space="preserve"> </w:t>
        </w:r>
      </w:hyperlink>
      <w:hyperlink r:id="rId19">
        <w:r>
          <w:rPr>
            <w:color w:val="1155CC"/>
            <w:highlight w:val="white"/>
            <w:u w:val="single"/>
          </w:rPr>
          <w:t>Lei nº 14.133/2021</w:t>
        </w:r>
      </w:hyperlink>
      <w:r>
        <w:rPr>
          <w:highlight w:val="white"/>
        </w:rPr>
        <w:t>, a Administração poderá, garantida a prévia defesa, aplicar aos licitantes e/ou adjudicatários as seguintes sanções, sem prejuízo das responsabilidades civil e criminal:</w:t>
      </w:r>
    </w:p>
    <w:p>
      <w:pPr>
        <w:pStyle w:val="LOnormal"/>
        <w:spacing w:lineRule="auto" w:line="240" w:before="60" w:after="60"/>
        <w:jc w:val="both"/>
        <w:rPr/>
      </w:pPr>
      <w:r>
        <w:rPr/>
        <w:t>17.2.1. Advertência;</w:t>
      </w:r>
    </w:p>
    <w:p>
      <w:pPr>
        <w:pStyle w:val="LOnormal"/>
        <w:spacing w:lineRule="auto" w:line="240" w:before="60" w:after="60"/>
        <w:jc w:val="both"/>
        <w:rPr/>
      </w:pPr>
      <w:r>
        <w:rPr/>
        <w:t>17.2.2. Multa;</w:t>
      </w:r>
    </w:p>
    <w:p>
      <w:pPr>
        <w:pStyle w:val="LOnormal"/>
        <w:spacing w:lineRule="auto" w:line="240" w:before="60" w:after="60"/>
        <w:jc w:val="both"/>
        <w:rPr>
          <w:highlight w:val="white"/>
        </w:rPr>
      </w:pPr>
      <w:r>
        <w:rPr>
          <w:highlight w:val="white"/>
        </w:rPr>
        <w:t>17.2.3. Impedimento de licitar e contratar e</w:t>
      </w:r>
    </w:p>
    <w:p>
      <w:pPr>
        <w:pStyle w:val="LOnormal"/>
        <w:spacing w:lineRule="auto" w:line="240" w:before="60" w:after="60"/>
        <w:jc w:val="both"/>
        <w:rPr>
          <w:highlight w:val="white"/>
        </w:rPr>
      </w:pPr>
      <w:r>
        <w:rPr>
          <w:highlight w:val="white"/>
        </w:rPr>
        <w:t>17.2.4. Declaração de inidoneidade para licitar ou contratar, enquanto perdurarem os motivos determinantes da punição ou até que seja promovida sua reabilitação perante a própria autoridade que aplicou a penalidade;</w:t>
      </w:r>
    </w:p>
    <w:p>
      <w:pPr>
        <w:pStyle w:val="LOnormal"/>
        <w:spacing w:lineRule="auto" w:line="240" w:before="60" w:after="60"/>
        <w:jc w:val="both"/>
        <w:rPr/>
      </w:pPr>
      <w:r>
        <w:rPr/>
        <w:t>17.3. Na aplicação das sanções serão considerados:</w:t>
      </w:r>
    </w:p>
    <w:p>
      <w:pPr>
        <w:pStyle w:val="LOnormal"/>
        <w:spacing w:lineRule="auto" w:line="240" w:before="60" w:after="60"/>
        <w:jc w:val="both"/>
        <w:rPr/>
      </w:pPr>
      <w:r>
        <w:rPr/>
        <w:t>17.3.1. A natureza e a gravidade da infração cometida;</w:t>
      </w:r>
    </w:p>
    <w:p>
      <w:pPr>
        <w:pStyle w:val="LOnormal"/>
        <w:spacing w:lineRule="auto" w:line="240" w:before="60" w:after="60"/>
        <w:jc w:val="both"/>
        <w:rPr/>
      </w:pPr>
      <w:r>
        <w:rPr/>
        <w:t>17.3.2. As peculiaridades do caso concreto;</w:t>
      </w:r>
    </w:p>
    <w:p>
      <w:pPr>
        <w:pStyle w:val="LOnormal"/>
        <w:spacing w:lineRule="auto" w:line="240" w:before="60" w:after="60"/>
        <w:jc w:val="both"/>
        <w:rPr/>
      </w:pPr>
      <w:r>
        <w:rPr/>
        <w:t>17.3.3. As circunstâncias agravantes ou atenuantes;</w:t>
      </w:r>
    </w:p>
    <w:p>
      <w:pPr>
        <w:pStyle w:val="LOnormal"/>
        <w:spacing w:lineRule="auto" w:line="240" w:before="60" w:after="60"/>
        <w:jc w:val="both"/>
        <w:rPr/>
      </w:pPr>
      <w:r>
        <w:rPr/>
        <w:t>17.3.4. Os danos que dela provierem para a Administração Pública;</w:t>
      </w:r>
    </w:p>
    <w:p>
      <w:pPr>
        <w:pStyle w:val="LOnormal"/>
        <w:spacing w:lineRule="auto" w:line="240" w:before="60" w:after="60"/>
        <w:jc w:val="both"/>
        <w:rPr>
          <w:highlight w:val="white"/>
        </w:rPr>
      </w:pPr>
      <w:r>
        <w:rPr>
          <w:highlight w:val="white"/>
        </w:rPr>
        <w:t>17.3.5. A implantação ou o aperfeiçoamento de programa de integridade, conforme normas e orientações dos órgãos de controle.</w:t>
      </w:r>
    </w:p>
    <w:p>
      <w:pPr>
        <w:pStyle w:val="LOnormal"/>
        <w:spacing w:lineRule="auto" w:line="240" w:before="60" w:after="60"/>
        <w:jc w:val="both"/>
        <w:rPr/>
      </w:pPr>
      <w:r>
        <w:rPr/>
        <w:t>17.4. A sanção de multa não poderá ser inferior a 0,5% (cinco décimos por cento) nem superior a 30% (trinta por cento) do valor do contrato licitado, conforme §3º do art. 156 da Lei nº 14.133/2021.</w:t>
      </w:r>
    </w:p>
    <w:p>
      <w:pPr>
        <w:pStyle w:val="LOnormal"/>
        <w:spacing w:lineRule="auto" w:line="240" w:before="60" w:after="60"/>
        <w:jc w:val="both"/>
        <w:rPr>
          <w:highlight w:val="white"/>
        </w:rPr>
      </w:pPr>
      <w:r>
        <w:rPr>
          <w:highlight w:val="white"/>
        </w:rPr>
        <w:t>17.4.1. A multa será recolhida no prazo máximo de 30 (trinta) dias úteis, a contar da comunicação oficial.</w:t>
      </w:r>
    </w:p>
    <w:p>
      <w:pPr>
        <w:pStyle w:val="LOnormal"/>
        <w:spacing w:lineRule="auto" w:line="240" w:before="60" w:after="60"/>
        <w:jc w:val="both"/>
        <w:rPr/>
      </w:pPr>
      <w:r>
        <w:rPr/>
        <w:t>17.4.1.1. Para as infrações previstas nos subitens 17.1.1, 17.1.2 e 17.1.3, a multa será de 05 % (cinco por cento</w:t>
      </w:r>
      <w:r>
        <w:rPr>
          <w:i/>
        </w:rPr>
        <w:t xml:space="preserve">) </w:t>
      </w:r>
      <w:r>
        <w:rPr/>
        <w:t>do valor do contrato licitado.</w:t>
      </w:r>
    </w:p>
    <w:p>
      <w:pPr>
        <w:pStyle w:val="LOnormal"/>
        <w:spacing w:lineRule="auto" w:line="240" w:before="60" w:after="60"/>
        <w:jc w:val="both"/>
        <w:rPr/>
      </w:pPr>
      <w:r>
        <w:rPr/>
        <w:t>17.4.1.2. Para as infrações previstas nos subitens 17.1.4, 17.1.5, 17.1.6, 17.1.7 e 17.1.8, a multa será de 15 % (quinze por cento) do valor do contrato licitado.</w:t>
      </w:r>
    </w:p>
    <w:p>
      <w:pPr>
        <w:pStyle w:val="LOnormal"/>
        <w:spacing w:lineRule="auto" w:line="240" w:before="60" w:after="60"/>
        <w:jc w:val="both"/>
        <w:rPr/>
      </w:pPr>
      <w:r>
        <w:rPr/>
        <w:t>17.5. As sanções de advertência, impedimento de licitar e contratar e declaração de inidoneidade para licitar ou contratar poderão ser aplicadas, cumulativamente ou não, à penalidade de multa.</w:t>
      </w:r>
    </w:p>
    <w:p>
      <w:pPr>
        <w:pStyle w:val="LOnormal"/>
        <w:spacing w:lineRule="auto" w:line="240" w:before="60" w:after="60"/>
        <w:jc w:val="both"/>
        <w:rPr/>
      </w:pPr>
      <w:r>
        <w:rPr/>
        <w:t>17.6. Na aplicação da sanção de multa será facultada a defesa do interessado no prazo de 15 (quinze) dias úteis, contado da data de sua intimação.</w:t>
      </w:r>
    </w:p>
    <w:p>
      <w:pPr>
        <w:pStyle w:val="LOnormal"/>
        <w:spacing w:lineRule="auto" w:line="240" w:before="60" w:after="60"/>
        <w:jc w:val="both"/>
        <w:rPr/>
      </w:pPr>
      <w:r>
        <w:rPr/>
        <w:t>17.7. A sanção de impedimento de licitar e contratar será aplicada ao responsável em decorrência das infrações administrativas relacionadas nos subitens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LOnormal"/>
        <w:spacing w:lineRule="auto" w:line="240" w:before="60" w:after="60"/>
        <w:jc w:val="both"/>
        <w:rPr/>
      </w:pPr>
      <w:r>
        <w:rPr/>
        <w:t>17.8. Poderá ser aplicada ao responsável a sanção de declaração de inidoneidade para licitar ou contratar, em decorrência da prática das infrações dispostas nos subitens 17.1.4, 17.1.5, 17.1.6, 17.1.7 e 17.1.8, bem como pelas infrações administrativas previstas nos subitens 17.1.1, 17.1.2 e 17.1.3 que justifiquem a imposição de penalidade mais grave que a sanção de impedimento de licitar e contratar, cuja duração observará o prazo previsto no</w:t>
      </w:r>
      <w:r>
        <w:fldChar w:fldCharType="begin"/>
      </w:r>
      <w:r>
        <w:rPr/>
        <w:instrText xml:space="preserve"> HYPERLINK "http://www.planalto.gov.br/ccivil_03/_ato2019-2022/2021/lei/L14133.htm" \l "art156§5"</w:instrText>
      </w:r>
      <w:r>
        <w:rPr/>
        <w:fldChar w:fldCharType="separate"/>
      </w:r>
      <w:r>
        <w:rPr/>
        <w:t xml:space="preserve"> </w:t>
      </w:r>
      <w:r>
        <w:rPr/>
        <w:fldChar w:fldCharType="end"/>
      </w:r>
      <w:r>
        <w:fldChar w:fldCharType="begin"/>
      </w:r>
      <w:r>
        <w:rPr>
          <w:u w:val="single"/>
          <w:color w:val="1155CC"/>
        </w:rPr>
        <w:instrText xml:space="preserve"> HYPERLINK "http://www.planalto.gov.br/ccivil_03/_ato2019-2022/2021/lei/L14133.htm" \l "art156§5"</w:instrText>
      </w:r>
      <w:r>
        <w:rPr>
          <w:u w:val="single"/>
          <w:color w:val="1155CC"/>
        </w:rPr>
        <w:fldChar w:fldCharType="separate"/>
      </w:r>
      <w:r>
        <w:rPr>
          <w:color w:val="1155CC"/>
          <w:u w:val="single"/>
        </w:rPr>
        <w:t>art. 156, §5º, da Lei n.º 14.133/2021</w:t>
      </w:r>
      <w:r>
        <w:rPr>
          <w:u w:val="single"/>
          <w:color w:val="1155CC"/>
        </w:rPr>
        <w:fldChar w:fldCharType="end"/>
      </w:r>
      <w:r>
        <w:rPr/>
        <w:t>.</w:t>
      </w:r>
    </w:p>
    <w:p>
      <w:pPr>
        <w:pStyle w:val="LOnormal"/>
        <w:spacing w:lineRule="auto" w:line="240" w:before="60" w:after="60"/>
        <w:jc w:val="both"/>
        <w:rPr/>
      </w:pPr>
      <w:r>
        <w:rPr/>
        <w:t>17.9. A recusa injustificada do adjudicatário em assinar o contrato, ou em aceitar ou retirar o instrumento equivalente no prazo estabelecido pela Administração, descrita no subitem 17.1.3, caracterizará o descumprimento total da obrigação assumida e o sujeitará às penalidades e à imediata perda da garantia de proposta, se houver, em favor do órgão ou entidade promotora da licitação.</w:t>
      </w:r>
    </w:p>
    <w:p>
      <w:pPr>
        <w:pStyle w:val="LOnormal"/>
        <w:spacing w:lineRule="auto" w:line="240" w:before="60" w:after="60"/>
        <w:jc w:val="both"/>
        <w:rPr/>
      </w:pPr>
      <w:r>
        <w:rPr/>
        <w:t>17.9.1. A exigência da garantia de que trata o subitem anterior, obedecerá o disposto no art. 58 da Lei Federal nº 14.133/2021.</w:t>
      </w:r>
    </w:p>
    <w:p>
      <w:pPr>
        <w:pStyle w:val="LOnormal"/>
        <w:spacing w:lineRule="auto" w:line="240" w:before="60" w:after="60"/>
        <w:jc w:val="both"/>
        <w:rPr>
          <w:highlight w:val="white"/>
        </w:rPr>
      </w:pPr>
      <w:r>
        <w:rPr>
          <w:highlight w:val="white"/>
        </w:rPr>
        <w:t>17.10. O licitante recolherá a multa por meio de Documento de Arrecadação Estadual (DAE), podendo ser substituído por outro instrumento legal, em nome do órgão contratante, se não o fizer, será cobrada em processo de execução.</w:t>
      </w:r>
    </w:p>
    <w:p>
      <w:pPr>
        <w:pStyle w:val="LOnormal"/>
        <w:spacing w:lineRule="auto" w:line="240" w:before="60" w:after="60"/>
        <w:jc w:val="both"/>
        <w:rPr>
          <w:i/>
          <w:i/>
          <w:highlight w:val="yellow"/>
        </w:rPr>
      </w:pPr>
      <w:r>
        <w:rPr>
          <w:b/>
          <w:highlight w:val="white"/>
        </w:rPr>
        <w:t xml:space="preserve">18. DA </w:t>
      </w:r>
      <w:r>
        <w:rPr>
          <w:b/>
        </w:rPr>
        <w:t>ESTIMATIVA DO VALOR DA CONTRATAÇÃO</w:t>
      </w:r>
    </w:p>
    <w:p>
      <w:pPr>
        <w:pStyle w:val="LOnormal"/>
        <w:spacing w:lineRule="auto" w:line="240" w:before="60" w:after="60"/>
        <w:jc w:val="both"/>
        <w:rPr>
          <w:highlight w:val="yellow"/>
        </w:rPr>
      </w:pPr>
      <w:r>
        <w:rPr/>
        <w:t>18.1. O custo estimado total da contratação possui caráter sigiloso e será tornado público apenas e imediatamente após o julgamento das propostas.</w:t>
      </w:r>
    </w:p>
    <w:p>
      <w:pPr>
        <w:pStyle w:val="LOnormal"/>
        <w:spacing w:lineRule="auto" w:line="240" w:before="60" w:after="60"/>
        <w:jc w:val="both"/>
        <w:rPr>
          <w:b/>
          <w:b/>
        </w:rPr>
      </w:pPr>
      <w:r>
        <w:rPr>
          <w:b/>
        </w:rPr>
        <w:t>19. DA ADJUDICAÇÃO E DA HOMOLOGAÇÃO</w:t>
      </w:r>
    </w:p>
    <w:p>
      <w:pPr>
        <w:pStyle w:val="LOnormal"/>
        <w:spacing w:lineRule="auto" w:line="240" w:before="60" w:after="60"/>
        <w:jc w:val="both"/>
        <w:rPr/>
      </w:pPr>
      <w:r>
        <w:rPr/>
        <w:t>19.1. A adjudicação do objeto e a homologação da licitação é de responsabilidade da autoridade superior.</w:t>
      </w:r>
    </w:p>
    <w:p>
      <w:pPr>
        <w:pStyle w:val="LOnormal"/>
        <w:spacing w:lineRule="auto" w:line="240" w:before="60" w:after="60"/>
        <w:jc w:val="both"/>
        <w:rPr>
          <w:highlight w:val="white"/>
        </w:rPr>
      </w:pPr>
      <w:r>
        <w:rPr/>
        <w:t>19.2. O sistema gerará o relatório de disputa e de adjudicação e homologação.</w:t>
      </w:r>
    </w:p>
    <w:p>
      <w:pPr>
        <w:pStyle w:val="LOnormal"/>
        <w:spacing w:lineRule="auto" w:line="240" w:before="60" w:after="60"/>
        <w:jc w:val="both"/>
        <w:rPr>
          <w:b/>
          <w:b/>
          <w:highlight w:val="white"/>
        </w:rPr>
      </w:pPr>
      <w:r>
        <w:rPr>
          <w:b/>
          <w:highlight w:val="white"/>
        </w:rPr>
        <w:t>20. DA CONTRATAÇÃO</w:t>
      </w:r>
    </w:p>
    <w:p>
      <w:pPr>
        <w:pStyle w:val="LOnormal"/>
        <w:spacing w:lineRule="auto" w:line="240" w:before="60" w:after="60"/>
        <w:jc w:val="both"/>
        <w:rPr>
          <w:highlight w:val="white"/>
        </w:rPr>
      </w:pPr>
      <w:r>
        <w:rPr>
          <w:highlight w:val="white"/>
        </w:rPr>
        <w:t>20.1.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pPr>
        <w:pStyle w:val="LOnormal"/>
        <w:spacing w:lineRule="auto" w:line="240" w:before="60" w:after="60"/>
        <w:jc w:val="both"/>
        <w:rPr>
          <w:highlight w:val="white"/>
        </w:rPr>
      </w:pPr>
      <w:r>
        <w:rPr>
          <w:highlight w:val="white"/>
        </w:rPr>
        <w:t>20.1.1. O contrato poderá ser assinado por certificação digital, com autenticidade reconhecida pelo ICP-Brasil.</w:t>
      </w:r>
    </w:p>
    <w:p>
      <w:pPr>
        <w:pStyle w:val="LOnormal"/>
        <w:spacing w:lineRule="auto" w:line="240" w:before="60" w:after="60"/>
        <w:jc w:val="both"/>
        <w:rPr>
          <w:highlight w:val="white"/>
        </w:rPr>
      </w:pPr>
      <w:r>
        <w:rPr>
          <w:highlight w:val="white"/>
        </w:rPr>
        <w:t>20.2. Na assinatura do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w:t>
      </w:r>
    </w:p>
    <w:p>
      <w:pPr>
        <w:pStyle w:val="LOnormal"/>
        <w:spacing w:lineRule="auto" w:line="240" w:before="60" w:after="60"/>
        <w:jc w:val="both"/>
        <w:rPr>
          <w:highlight w:val="white"/>
        </w:rPr>
      </w:pPr>
      <w:r>
        <w:rPr>
          <w:highlight w:val="white"/>
        </w:rPr>
        <w:t>20.3. contrato, poderá ser convidado outro licitante pelo pregoeiro, desde que respeitada a ordem de classificação, para, depois de comprovados os requisitos habilitatórios e feita a negociação, assinar o contrato.</w:t>
      </w:r>
    </w:p>
    <w:p>
      <w:pPr>
        <w:pStyle w:val="LOnormal"/>
        <w:spacing w:lineRule="auto" w:line="240" w:before="60" w:after="60"/>
        <w:jc w:val="both"/>
        <w:rPr>
          <w:highlight w:val="white"/>
        </w:rPr>
      </w:pPr>
      <w:r>
        <w:rPr>
          <w:highlight w:val="white"/>
        </w:rPr>
        <w:t>20.5. A forma de pagamento, prazo contratual, obrigações, reajuste, recebimento e demais condições aplicáveis à contratação estão definidas respectivamente nos Anexos I e III – Termo de Referência e Minuta do Termo de Contrato, parte integrante deste edital.</w:t>
      </w:r>
    </w:p>
    <w:p>
      <w:pPr>
        <w:pStyle w:val="LOnormal"/>
        <w:spacing w:lineRule="auto" w:line="240" w:before="60" w:after="60"/>
        <w:jc w:val="both"/>
        <w:rPr>
          <w:b/>
          <w:b/>
        </w:rPr>
      </w:pPr>
      <w:r>
        <w:rPr>
          <w:b/>
        </w:rPr>
        <w:t>20.6. Da Garantia.</w:t>
      </w:r>
    </w:p>
    <w:p>
      <w:pPr>
        <w:pStyle w:val="LOnormal"/>
        <w:spacing w:lineRule="auto" w:line="240" w:before="60" w:after="60"/>
        <w:jc w:val="both"/>
        <w:rPr/>
      </w:pPr>
      <w:r>
        <w:rPr/>
        <w:t>20.6.1. Não haverá exigência de garantia de execução para a contratação.</w:t>
      </w:r>
    </w:p>
    <w:p>
      <w:pPr>
        <w:pStyle w:val="LOnormal"/>
        <w:spacing w:lineRule="auto" w:line="240" w:before="60" w:after="60"/>
        <w:jc w:val="both"/>
        <w:rPr>
          <w:b/>
          <w:b/>
        </w:rPr>
      </w:pPr>
      <w:r>
        <w:rPr>
          <w:b/>
        </w:rPr>
        <w:t>20.7. Da Subcontratação</w:t>
      </w:r>
    </w:p>
    <w:p>
      <w:pPr>
        <w:pStyle w:val="LOnormal"/>
        <w:spacing w:lineRule="auto" w:line="240" w:before="60" w:after="60"/>
        <w:jc w:val="both"/>
        <w:rPr>
          <w:highlight w:val="white"/>
        </w:rPr>
      </w:pPr>
      <w:r>
        <w:rPr/>
        <w:t>20.7.1. Não será admitida a subcontratação.</w:t>
      </w:r>
    </w:p>
    <w:p>
      <w:pPr>
        <w:pStyle w:val="LOnormal"/>
        <w:spacing w:lineRule="auto" w:line="240" w:before="60" w:after="60"/>
        <w:jc w:val="both"/>
        <w:rPr>
          <w:b/>
          <w:b/>
          <w:highlight w:val="white"/>
        </w:rPr>
      </w:pPr>
      <w:r>
        <w:rPr>
          <w:b/>
        </w:rPr>
        <w:t xml:space="preserve">21. </w:t>
      </w:r>
      <w:r>
        <w:rPr>
          <w:b/>
          <w:highlight w:val="white"/>
        </w:rPr>
        <w:t>DAS DISPOSIÇÕES GERAIS</w:t>
      </w:r>
    </w:p>
    <w:p>
      <w:pPr>
        <w:pStyle w:val="LOnormal"/>
        <w:spacing w:lineRule="auto" w:line="240" w:before="60" w:after="60"/>
        <w:jc w:val="both"/>
        <w:rPr>
          <w:highlight w:val="white"/>
        </w:rPr>
      </w:pPr>
      <w:r>
        <w:rPr>
          <w:highlight w:val="white"/>
        </w:rPr>
        <w:t>21.1. A homologação do resultado desta licitação não implicará direito à contratação.</w:t>
      </w:r>
    </w:p>
    <w:p>
      <w:pPr>
        <w:pStyle w:val="LOnormal"/>
        <w:spacing w:lineRule="auto" w:line="240" w:before="60" w:after="60"/>
        <w:jc w:val="both"/>
        <w:rPr>
          <w:highlight w:val="white"/>
        </w:rPr>
      </w:pPr>
      <w:r>
        <w:rPr>
          <w:highlight w:val="white"/>
        </w:rPr>
        <w:t>21.2.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Onormal"/>
        <w:spacing w:lineRule="auto" w:line="240" w:before="60" w:after="60"/>
        <w:jc w:val="both"/>
        <w:rPr>
          <w:highlight w:val="white"/>
        </w:rPr>
      </w:pPr>
      <w:r>
        <w:rPr>
          <w:highlight w:val="white"/>
        </w:rPr>
        <w:t>21.3. Os licitantes assumem todos os custos de preparação e apresentação de suas propostas e a Administração não será, em nenhum caso, responsável por esses custos, independentemente da condução ou do resultado do processo licitatório.</w:t>
      </w:r>
    </w:p>
    <w:p>
      <w:pPr>
        <w:pStyle w:val="LOnormal"/>
        <w:spacing w:lineRule="auto" w:line="240" w:before="60" w:after="60"/>
        <w:jc w:val="both"/>
        <w:rPr>
          <w:highlight w:val="white"/>
        </w:rPr>
      </w:pPr>
      <w:r>
        <w:rPr>
          <w:highlight w:val="white"/>
        </w:rPr>
        <w:t>21.4. Na contagem dos prazos estabelecidos neste edital, excluir-se-ão os dias de início e incluir-se-ão os dias de vencimento.</w:t>
      </w:r>
      <w:r>
        <w:rPr>
          <w:b/>
          <w:highlight w:val="white"/>
        </w:rPr>
        <w:t xml:space="preserve"> </w:t>
      </w:r>
      <w:r>
        <w:rPr>
          <w:highlight w:val="white"/>
        </w:rPr>
        <w:t>Os prazos estabelecidos neste edital para a fase externa se iniciam e se vencem somente nos dias e horários de expediente da Central de Licitações. Os demais prazos se iniciam e se vencem exclusivamente em dias úteis de expediente da contratante.</w:t>
      </w:r>
    </w:p>
    <w:p>
      <w:pPr>
        <w:pStyle w:val="LOnormal"/>
        <w:spacing w:lineRule="auto" w:line="240" w:before="60" w:after="60"/>
        <w:jc w:val="both"/>
        <w:rPr>
          <w:highlight w:val="white"/>
        </w:rPr>
      </w:pPr>
      <w:r>
        <w:rPr>
          <w:highlight w:val="white"/>
        </w:rPr>
        <w:t>21.5. O desatendimento de exigências formais não essenciais não importará o afastamento do licitante, desde que seja possível o aproveitamento do ato, observados os princípios da isonomia e do interesse público.</w:t>
      </w:r>
    </w:p>
    <w:p>
      <w:pPr>
        <w:pStyle w:val="LOnormal"/>
        <w:spacing w:lineRule="auto" w:line="240" w:before="60" w:after="60"/>
        <w:jc w:val="both"/>
        <w:rPr>
          <w:highlight w:val="white"/>
        </w:rPr>
      </w:pPr>
      <w:r>
        <w:rPr>
          <w:highlight w:val="white"/>
        </w:rPr>
        <w:t>21.6. Em caso de divergência entre disposições deste Edital e de seus anexos ou demais peças que compõem o processo, prevalecerá as deste Edital.</w:t>
      </w:r>
    </w:p>
    <w:p>
      <w:pPr>
        <w:pStyle w:val="LOnormal"/>
        <w:spacing w:lineRule="auto" w:line="240" w:before="60" w:after="60"/>
        <w:jc w:val="both"/>
        <w:rPr>
          <w:highlight w:val="white"/>
        </w:rPr>
      </w:pPr>
      <w:r>
        <w:rPr>
          <w:highlight w:val="white"/>
        </w:rPr>
        <w:t>21.7. É facultada ao pregoeiro ou à autoridade competente, em qualquer fase da licitação, a promoção de diligência destinada a esclarecer ou a complementar a instrução do processo licitatório.</w:t>
      </w:r>
    </w:p>
    <w:p>
      <w:pPr>
        <w:pStyle w:val="LOnormal"/>
        <w:spacing w:lineRule="auto" w:line="240" w:before="60" w:after="60"/>
        <w:jc w:val="both"/>
        <w:rPr>
          <w:highlight w:val="white"/>
        </w:rPr>
      </w:pPr>
      <w:r>
        <w:rPr>
          <w:highlight w:val="white"/>
        </w:rPr>
        <w:t>21.8. O descumprimento de prazos estabelecidos neste edital e/ou pelo pregoeiro ou o não atendimento às solicitações ensejará DESCLASSIFICAÇÃO ou INABILITAÇÃO do licitante.</w:t>
      </w:r>
    </w:p>
    <w:p>
      <w:pPr>
        <w:pStyle w:val="LOnormal"/>
        <w:spacing w:lineRule="auto" w:line="240" w:before="60" w:after="60"/>
        <w:jc w:val="both"/>
        <w:rPr>
          <w:highlight w:val="white"/>
        </w:rPr>
      </w:pPr>
      <w:r>
        <w:rPr>
          <w:highlight w:val="white"/>
        </w:rPr>
        <w:t>21.9. Toda a documentação fará parte dos autos e não será devolvida à licitante, ainda que se trate de originais.</w:t>
      </w:r>
    </w:p>
    <w:p>
      <w:pPr>
        <w:pStyle w:val="LOnormal"/>
        <w:spacing w:lineRule="auto" w:line="240" w:before="60" w:after="60"/>
        <w:jc w:val="both"/>
        <w:rPr>
          <w:highlight w:val="white"/>
        </w:rPr>
      </w:pPr>
      <w:r>
        <w:rPr>
          <w:highlight w:val="white"/>
        </w:rPr>
        <w:t>21.10. Os representantes legais dos licitantes são responsáveis pela fidelidade e legitimidade das informações e dos documentos apresentados em qualquer fase da licitação.</w:t>
      </w:r>
    </w:p>
    <w:p>
      <w:pPr>
        <w:pStyle w:val="LOnormal"/>
        <w:spacing w:lineRule="auto" w:line="240" w:before="60" w:after="60"/>
        <w:jc w:val="both"/>
        <w:rPr>
          <w:highlight w:val="white"/>
        </w:rPr>
      </w:pPr>
      <w:r>
        <w:rPr>
          <w:highlight w:val="white"/>
        </w:rPr>
        <w:t>21.11. Os casos omissos serão resolvidos pelo pregoeiro, nos termos da legislação pertinente.</w:t>
      </w:r>
    </w:p>
    <w:p>
      <w:pPr>
        <w:pStyle w:val="LOnormal"/>
        <w:spacing w:lineRule="auto" w:line="240" w:before="60" w:after="60"/>
        <w:jc w:val="both"/>
        <w:rPr>
          <w:highlight w:val="white"/>
        </w:rPr>
      </w:pPr>
      <w:r>
        <w:rPr>
          <w:highlight w:val="white"/>
        </w:rPr>
        <w:t>21.12. O foro designado para julgamento de quaisquer questões judiciais resultantes deste edital será o da Comarca de Fortaleza, Capital do Estado do Ceará.</w:t>
      </w:r>
    </w:p>
    <w:p>
      <w:pPr>
        <w:pStyle w:val="LOnormal"/>
        <w:spacing w:lineRule="auto" w:line="240" w:before="60" w:after="60"/>
        <w:jc w:val="both"/>
        <w:rPr>
          <w:highlight w:val="white"/>
        </w:rPr>
      </w:pPr>
      <w:r>
        <w:rPr>
          <w:highlight w:val="white"/>
        </w:rPr>
        <w:t>21.13. Integram este Edital, para todos os fins e efeitos, os seguintes anexos:</w:t>
      </w:r>
    </w:p>
    <w:p>
      <w:pPr>
        <w:pStyle w:val="LOnormal"/>
        <w:spacing w:lineRule="auto" w:line="240" w:before="60" w:after="60"/>
        <w:jc w:val="both"/>
        <w:rPr>
          <w:highlight w:val="white"/>
        </w:rPr>
      </w:pPr>
      <w:r>
        <w:rPr>
          <w:highlight w:val="white"/>
        </w:rPr>
        <w:t>ANEXO I – Termo de Referência</w:t>
      </w:r>
    </w:p>
    <w:p>
      <w:pPr>
        <w:pStyle w:val="LOnormal"/>
        <w:spacing w:lineRule="auto" w:line="240" w:before="60" w:after="60"/>
        <w:jc w:val="both"/>
        <w:rPr>
          <w:highlight w:val="white"/>
        </w:rPr>
      </w:pPr>
      <w:r>
        <w:rPr>
          <w:highlight w:val="white"/>
        </w:rPr>
        <w:t>ANEXO II – Carta Proposta</w:t>
      </w:r>
    </w:p>
    <w:p>
      <w:pPr>
        <w:pStyle w:val="LOnormal"/>
        <w:spacing w:lineRule="auto" w:line="240" w:before="60" w:after="60"/>
        <w:jc w:val="both"/>
        <w:rPr>
          <w:highlight w:val="white"/>
        </w:rPr>
      </w:pPr>
      <w:r>
        <w:rPr>
          <w:highlight w:val="white"/>
        </w:rPr>
        <w:t>ANEXO III – Minuta do Termo de Contrato</w:t>
      </w:r>
    </w:p>
    <w:p>
      <w:pPr>
        <w:pStyle w:val="LOnormal"/>
        <w:spacing w:lineRule="auto" w:line="240" w:before="60" w:after="60"/>
        <w:jc w:val="both"/>
        <w:rPr>
          <w:highlight w:val="white"/>
        </w:rPr>
      </w:pPr>
      <w:r>
        <w:rPr>
          <w:highlight w:val="white"/>
        </w:rPr>
        <w:t>ANEXO IV – Modelo do Termo de Atestado de Vistoria/Declaração</w:t>
      </w:r>
    </w:p>
    <w:p>
      <w:pPr>
        <w:pStyle w:val="LOnormal"/>
        <w:spacing w:lineRule="auto" w:line="240" w:before="60" w:after="60"/>
        <w:jc w:val="center"/>
        <w:rPr>
          <w:highlight w:val="white"/>
        </w:rPr>
      </w:pPr>
      <w:r>
        <w:rPr>
          <w:highlight w:val="white"/>
        </w:rPr>
      </w:r>
    </w:p>
    <w:p>
      <w:pPr>
        <w:pStyle w:val="LOnormal"/>
        <w:spacing w:lineRule="auto" w:line="240" w:before="60" w:after="60"/>
        <w:jc w:val="both"/>
        <w:rPr>
          <w:highlight w:val="white"/>
        </w:rPr>
      </w:pPr>
      <w:r>
        <w:rPr>
          <w:highlight w:val="white"/>
        </w:rPr>
        <w:t>Fortaleza/CE, _____ de ________ de 20___</w:t>
      </w:r>
    </w:p>
    <w:p>
      <w:pPr>
        <w:pStyle w:val="LOnormal"/>
        <w:spacing w:lineRule="auto" w:line="240" w:before="60" w:after="60"/>
        <w:jc w:val="center"/>
        <w:rPr>
          <w:highlight w:val="white"/>
        </w:rPr>
      </w:pPr>
      <w:r>
        <w:rPr>
          <w:highlight w:val="white"/>
        </w:rPr>
        <w:br/>
      </w:r>
    </w:p>
    <w:p>
      <w:pPr>
        <w:pStyle w:val="LOnormal"/>
        <w:spacing w:lineRule="auto" w:line="240" w:before="60" w:after="60"/>
        <w:jc w:val="left"/>
        <w:rPr>
          <w:highlight w:val="white"/>
        </w:rPr>
      </w:pPr>
      <w:r>
        <w:rPr>
          <w:highlight w:val="white"/>
        </w:rPr>
      </w:r>
    </w:p>
    <w:p>
      <w:pPr>
        <w:pStyle w:val="LOnormal"/>
        <w:spacing w:lineRule="auto" w:line="240" w:before="240" w:after="0"/>
        <w:jc w:val="center"/>
        <w:rPr>
          <w:b/>
          <w:b/>
          <w:highlight w:val="white"/>
        </w:rPr>
      </w:pPr>
      <w:r>
        <w:rPr>
          <w:b/>
          <w:highlight w:val="white"/>
        </w:rPr>
        <w:t>Luisa  Cela de Arruda Coêlho</w:t>
      </w:r>
    </w:p>
    <w:p>
      <w:pPr>
        <w:pStyle w:val="LOnormal"/>
        <w:spacing w:lineRule="auto" w:line="240" w:before="60" w:after="60"/>
        <w:jc w:val="center"/>
        <w:rPr>
          <w:highlight w:val="white"/>
        </w:rPr>
      </w:pPr>
      <w:r>
        <w:rPr>
          <w:highlight w:val="white"/>
        </w:rPr>
        <w:t xml:space="preserve">Ordenadora de Despesa </w:t>
      </w:r>
    </w:p>
    <w:p>
      <w:pPr>
        <w:pStyle w:val="LOnormal"/>
        <w:spacing w:lineRule="auto" w:line="240" w:before="60" w:after="60"/>
        <w:jc w:val="center"/>
        <w:rPr>
          <w:highlight w:val="white"/>
        </w:rPr>
      </w:pPr>
      <w:r>
        <w:rPr>
          <w:sz w:val="21"/>
          <w:szCs w:val="21"/>
          <w:highlight w:val="white"/>
        </w:rPr>
        <w:t>Secretária da Cultura do Estado do Ceará - Secult</w:t>
      </w:r>
    </w:p>
    <w:p>
      <w:pPr>
        <w:pStyle w:val="LOnormal"/>
        <w:spacing w:lineRule="auto" w:line="240" w:before="60" w:after="60"/>
        <w:jc w:val="center"/>
        <w:rPr>
          <w:highlight w:val="white"/>
        </w:rPr>
      </w:pPr>
      <w:r>
        <w:rPr>
          <w:highlight w:val="white"/>
        </w:rPr>
        <w:br/>
      </w:r>
    </w:p>
    <w:p>
      <w:pPr>
        <w:pStyle w:val="LOnormal"/>
        <w:spacing w:lineRule="auto" w:line="240" w:before="60" w:after="60"/>
        <w:jc w:val="center"/>
        <w:rPr>
          <w:highlight w:val="white"/>
        </w:rPr>
      </w:pPr>
      <w:r>
        <w:rPr>
          <w:highlight w:val="white"/>
        </w:rPr>
        <w:t>Analisado e aprovado o processo da contratação pela assessoria jurídica</w:t>
      </w:r>
    </w:p>
    <w:p>
      <w:pPr>
        <w:pStyle w:val="LOnormal"/>
        <w:spacing w:lineRule="auto" w:line="240" w:before="60" w:after="60"/>
        <w:jc w:val="center"/>
        <w:rPr>
          <w:shd w:fill="FFF200" w:val="clear"/>
        </w:rPr>
      </w:pPr>
      <w:r>
        <w:rPr>
          <w:highlight w:val="white"/>
        </w:rPr>
        <w:br/>
      </w:r>
      <w:r>
        <w:rPr>
          <w:shd w:fill="FFF200" w:val="clear"/>
        </w:rPr>
        <w:br/>
      </w:r>
    </w:p>
    <w:p>
      <w:pPr>
        <w:pStyle w:val="LOnormal"/>
        <w:spacing w:lineRule="auto" w:line="240" w:before="60" w:after="60"/>
        <w:jc w:val="center"/>
        <w:rPr>
          <w:shd w:fill="FFF200" w:val="clear"/>
        </w:rPr>
      </w:pPr>
      <w:r>
        <w:rPr>
          <w:shd w:fill="FFF200" w:val="clear"/>
        </w:rPr>
        <w:b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r>
    </w:p>
    <w:p>
      <w:pPr>
        <w:pStyle w:val="LOnormal"/>
        <w:spacing w:lineRule="auto" w:line="240" w:before="60" w:after="60"/>
        <w:jc w:val="center"/>
        <w:rPr>
          <w:b/>
          <w:b/>
        </w:rPr>
      </w:pPr>
      <w:r>
        <w:rPr/>
      </w:r>
    </w:p>
    <w:p>
      <w:pPr>
        <w:pStyle w:val="LOnormal"/>
        <w:spacing w:lineRule="auto" w:line="240" w:before="60" w:after="60"/>
        <w:jc w:val="center"/>
        <w:rPr>
          <w:b/>
          <w:b/>
        </w:rPr>
      </w:pPr>
      <w:r>
        <w:rPr/>
      </w:r>
    </w:p>
    <w:p>
      <w:pPr>
        <w:pStyle w:val="LOnormal"/>
        <w:spacing w:lineRule="auto" w:line="240" w:before="60" w:after="60"/>
        <w:jc w:val="center"/>
        <w:rPr>
          <w:b/>
          <w:b/>
        </w:rPr>
      </w:pPr>
      <w:r>
        <w:rPr/>
      </w:r>
    </w:p>
    <w:p>
      <w:pPr>
        <w:pStyle w:val="LOnormal"/>
        <w:spacing w:lineRule="auto" w:line="240" w:before="60" w:after="60"/>
        <w:jc w:val="center"/>
        <w:rPr>
          <w:b/>
          <w:b/>
        </w:rPr>
      </w:pPr>
      <w:r>
        <w:rPr/>
      </w:r>
    </w:p>
    <w:p>
      <w:pPr>
        <w:pStyle w:val="LOnormal"/>
        <w:spacing w:lineRule="auto" w:line="240" w:before="60" w:after="60"/>
        <w:jc w:val="center"/>
        <w:rPr>
          <w:b/>
          <w:b/>
        </w:rPr>
      </w:pPr>
      <w:r>
        <w:rPr>
          <w:b/>
        </w:rPr>
        <w:t xml:space="preserve">ANEXO I </w:t>
      </w:r>
      <w:r>
        <w:rPr>
          <w:b/>
          <w:i/>
        </w:rPr>
        <w:t>–</w:t>
      </w:r>
      <w:r>
        <w:rPr>
          <w:b/>
        </w:rPr>
        <w:t xml:space="preserve"> TERMO DE REFERÊNCIA</w:t>
      </w:r>
    </w:p>
    <w:p>
      <w:pPr>
        <w:pStyle w:val="LOnormal"/>
        <w:spacing w:lineRule="auto" w:line="240" w:before="60" w:after="60"/>
        <w:jc w:val="center"/>
        <w:rPr>
          <w:b/>
          <w:b/>
        </w:rPr>
      </w:pPr>
      <w:r>
        <w:rPr/>
      </w:r>
    </w:p>
    <w:p>
      <w:pPr>
        <w:pStyle w:val="LOnormal"/>
        <w:spacing w:lineRule="auto" w:line="240" w:before="60" w:after="60"/>
        <w:jc w:val="center"/>
        <w:rPr/>
      </w:pPr>
      <w:r>
        <w:rPr>
          <w:b/>
        </w:rPr>
        <w:t>Processo n°</w:t>
      </w:r>
      <w:r>
        <w:rPr/>
        <w:t xml:space="preserve"> 27001.001552/2024-67</w:t>
      </w:r>
    </w:p>
    <w:p>
      <w:pPr>
        <w:pStyle w:val="LOnormal"/>
        <w:spacing w:lineRule="auto" w:line="240" w:before="60" w:after="60"/>
        <w:jc w:val="center"/>
        <w:rPr>
          <w:i/>
          <w:i/>
          <w:highlight w:val="yellow"/>
        </w:rPr>
      </w:pPr>
      <w:r>
        <w:rPr>
          <w:b/>
        </w:rPr>
        <w:t>UNIDADE REQUISITANTE:</w:t>
      </w:r>
      <w:r>
        <w:rPr/>
        <w:t xml:space="preserve"> Secretaria da Cultura do Estado do Ceará - Secult/CE</w:t>
      </w:r>
      <w:r>
        <w:rPr>
          <w:i/>
          <w:highlight w:val="yellow"/>
        </w:rPr>
        <w:br/>
      </w:r>
    </w:p>
    <w:p>
      <w:pPr>
        <w:pStyle w:val="LOnormal"/>
        <w:spacing w:lineRule="auto" w:line="240" w:before="60" w:after="60"/>
        <w:jc w:val="both"/>
        <w:rPr>
          <w:b/>
          <w:b/>
        </w:rPr>
      </w:pPr>
      <w:r>
        <w:rPr>
          <w:b/>
        </w:rPr>
        <w:t>1. DO OBJETO</w:t>
      </w:r>
    </w:p>
    <w:p>
      <w:pPr>
        <w:pStyle w:val="LOnormal"/>
        <w:spacing w:lineRule="auto" w:line="240" w:before="60" w:after="60"/>
        <w:jc w:val="both"/>
        <w:rPr>
          <w:i/>
          <w:i/>
          <w:highlight w:val="yellow"/>
        </w:rPr>
      </w:pPr>
      <w:r>
        <w:rPr/>
        <w:t xml:space="preserve">1.1.  Serviços de </w:t>
      </w:r>
      <w:r>
        <w:rPr>
          <w:highlight w:val="white"/>
        </w:rPr>
        <w:t>coleta de resíduos sólidos urbanos (lixo comum), gerados nas dependências da SECULT/CE e seus equipamentos culturais, abrangendo as etapas de coleta, transporte, transbordo, tratamento, destinação final ambientalmente adequado</w:t>
      </w:r>
      <w:r>
        <w:rPr/>
        <w:t xml:space="preserve"> pelo período de 12 (doze) meses, de acordo com as especificações e quantitativos previstos neste Termo.</w:t>
      </w:r>
    </w:p>
    <w:p>
      <w:pPr>
        <w:pStyle w:val="LOnormal"/>
        <w:spacing w:lineRule="auto" w:line="240" w:before="60" w:after="60"/>
        <w:jc w:val="both"/>
        <w:rPr/>
      </w:pPr>
      <w:r>
        <w:rPr/>
        <w:t>1.2. Este objeto será realizado através de licitação na modalidade PREGÃO, na forma ELETRÔNICA, do tipo MENOR PREÇO, sob regime de execução indireta: EMPREITADA POR PREÇO GLOBAL.</w:t>
      </w:r>
    </w:p>
    <w:p>
      <w:pPr>
        <w:pStyle w:val="LOnormal"/>
        <w:spacing w:lineRule="auto" w:line="240" w:before="60" w:after="60"/>
        <w:jc w:val="both"/>
        <w:rPr>
          <w:b/>
          <w:b/>
        </w:rPr>
      </w:pPr>
      <w:r>
        <w:rPr>
          <w:b/>
        </w:rPr>
        <w:t>2. DAS ESPECIFICAÇÕES E QUANTITATIVOS</w:t>
      </w:r>
    </w:p>
    <w:tbl>
      <w:tblPr>
        <w:tblStyle w:val="Table1"/>
        <w:tblW w:w="9584" w:type="dxa"/>
        <w:jc w:val="left"/>
        <w:tblInd w:w="-33" w:type="dxa"/>
        <w:tblLayout w:type="fixed"/>
        <w:tblCellMar>
          <w:top w:w="0" w:type="dxa"/>
          <w:left w:w="108" w:type="dxa"/>
          <w:bottom w:w="0" w:type="dxa"/>
          <w:right w:w="108" w:type="dxa"/>
        </w:tblCellMar>
        <w:tblLook w:val="0000"/>
      </w:tblPr>
      <w:tblGrid>
        <w:gridCol w:w="735"/>
        <w:gridCol w:w="5564"/>
        <w:gridCol w:w="1713"/>
        <w:gridCol w:w="1571"/>
      </w:tblGrid>
      <w:tr>
        <w:trPr/>
        <w:tc>
          <w:tcPr>
            <w:tcW w:w="735" w:type="dxa"/>
            <w:tcBorders>
              <w:top w:val="single" w:sz="8" w:space="0" w:color="000000"/>
              <w:left w:val="single" w:sz="8" w:space="0" w:color="000000"/>
              <w:bottom w:val="single" w:sz="8" w:space="0" w:color="000000"/>
              <w:right w:val="single" w:sz="8" w:space="0" w:color="000000"/>
            </w:tcBorders>
            <w:shd w:fill="BFBFBF" w:val="clear"/>
            <w:vAlign w:val="center"/>
          </w:tcPr>
          <w:p>
            <w:pPr>
              <w:pStyle w:val="LOnormal"/>
              <w:widowControl w:val="false"/>
              <w:spacing w:lineRule="auto" w:line="240" w:before="57" w:after="57"/>
              <w:jc w:val="center"/>
              <w:rPr>
                <w:sz w:val="20"/>
                <w:szCs w:val="20"/>
              </w:rPr>
            </w:pPr>
            <w:r>
              <w:rPr>
                <w:sz w:val="20"/>
                <w:szCs w:val="20"/>
              </w:rPr>
              <w:t>ITEM</w:t>
            </w:r>
          </w:p>
        </w:tc>
        <w:tc>
          <w:tcPr>
            <w:tcW w:w="5564" w:type="dxa"/>
            <w:tcBorders>
              <w:top w:val="single" w:sz="8" w:space="0" w:color="000000"/>
              <w:left w:val="single" w:sz="8" w:space="0" w:color="000000"/>
              <w:bottom w:val="single" w:sz="8" w:space="0" w:color="000000"/>
              <w:right w:val="single" w:sz="8" w:space="0" w:color="000000"/>
            </w:tcBorders>
            <w:shd w:fill="BFBFBF" w:val="clear"/>
            <w:vAlign w:val="center"/>
          </w:tcPr>
          <w:p>
            <w:pPr>
              <w:pStyle w:val="LOnormal"/>
              <w:widowControl w:val="false"/>
              <w:spacing w:lineRule="auto" w:line="240" w:before="57" w:after="57"/>
              <w:jc w:val="center"/>
              <w:rPr>
                <w:sz w:val="20"/>
                <w:szCs w:val="20"/>
              </w:rPr>
            </w:pPr>
            <w:r>
              <w:rPr>
                <w:sz w:val="20"/>
                <w:szCs w:val="20"/>
              </w:rPr>
              <w:t>ESPECIFICAÇÃO</w:t>
            </w:r>
          </w:p>
        </w:tc>
        <w:tc>
          <w:tcPr>
            <w:tcW w:w="1713" w:type="dxa"/>
            <w:tcBorders>
              <w:top w:val="single" w:sz="8" w:space="0" w:color="000000"/>
              <w:left w:val="single" w:sz="8" w:space="0" w:color="000000"/>
              <w:bottom w:val="single" w:sz="8" w:space="0" w:color="000000"/>
              <w:right w:val="single" w:sz="8" w:space="0" w:color="000000"/>
            </w:tcBorders>
            <w:shd w:fill="BFBFBF" w:val="clear"/>
            <w:vAlign w:val="center"/>
          </w:tcPr>
          <w:p>
            <w:pPr>
              <w:pStyle w:val="LOnormal"/>
              <w:widowControl w:val="false"/>
              <w:spacing w:lineRule="auto" w:line="240" w:before="57" w:after="57"/>
              <w:jc w:val="center"/>
              <w:rPr>
                <w:sz w:val="20"/>
                <w:szCs w:val="20"/>
              </w:rPr>
            </w:pPr>
            <w:r>
              <w:rPr>
                <w:sz w:val="20"/>
                <w:szCs w:val="20"/>
              </w:rPr>
              <w:t>UNIDADE DE MEDIDA</w:t>
            </w:r>
          </w:p>
        </w:tc>
        <w:tc>
          <w:tcPr>
            <w:tcW w:w="1571" w:type="dxa"/>
            <w:tcBorders>
              <w:top w:val="single" w:sz="8" w:space="0" w:color="000000"/>
              <w:left w:val="single" w:sz="8" w:space="0" w:color="000000"/>
              <w:bottom w:val="single" w:sz="8" w:space="0" w:color="000000"/>
              <w:right w:val="single" w:sz="8" w:space="0" w:color="000000"/>
            </w:tcBorders>
            <w:shd w:fill="BFBFBF" w:val="clear"/>
            <w:vAlign w:val="center"/>
          </w:tcPr>
          <w:p>
            <w:pPr>
              <w:pStyle w:val="LOnormal"/>
              <w:widowControl w:val="false"/>
              <w:spacing w:lineRule="auto" w:line="240" w:before="57" w:after="57"/>
              <w:jc w:val="center"/>
              <w:rPr>
                <w:sz w:val="20"/>
                <w:szCs w:val="20"/>
              </w:rPr>
            </w:pPr>
            <w:r>
              <w:rPr>
                <w:sz w:val="20"/>
                <w:szCs w:val="20"/>
              </w:rPr>
              <w:t>QUANTIDADE</w:t>
            </w:r>
          </w:p>
        </w:tc>
      </w:tr>
      <w:tr>
        <w:trPr/>
        <w:tc>
          <w:tcPr>
            <w:tcW w:w="735" w:type="dxa"/>
            <w:tcBorders>
              <w:top w:val="single" w:sz="8" w:space="0" w:color="000000"/>
              <w:left w:val="single" w:sz="8" w:space="0" w:color="000000"/>
              <w:bottom w:val="single" w:sz="8" w:space="0" w:color="000000"/>
              <w:right w:val="single" w:sz="8" w:space="0" w:color="000000"/>
            </w:tcBorders>
            <w:shd w:fill="auto" w:val="clear"/>
            <w:vAlign w:val="center"/>
          </w:tcPr>
          <w:p>
            <w:pPr>
              <w:pStyle w:val="LOnormal"/>
              <w:widowControl w:val="false"/>
              <w:spacing w:lineRule="auto" w:line="240" w:before="57" w:after="57"/>
              <w:jc w:val="center"/>
              <w:rPr>
                <w:sz w:val="20"/>
                <w:szCs w:val="20"/>
              </w:rPr>
            </w:pPr>
            <w:r>
              <w:rPr>
                <w:sz w:val="20"/>
                <w:szCs w:val="20"/>
              </w:rPr>
              <w:t>1.</w:t>
            </w:r>
          </w:p>
        </w:tc>
        <w:tc>
          <w:tcPr>
            <w:tcW w:w="5564"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jc w:val="both"/>
              <w:rPr>
                <w:sz w:val="20"/>
                <w:szCs w:val="20"/>
              </w:rPr>
            </w:pPr>
            <w:r>
              <w:rPr>
                <w:sz w:val="20"/>
                <w:szCs w:val="20"/>
                <w:highlight w:val="white"/>
              </w:rPr>
              <w:t>20249 - SERVIÇO DE LIMPEZA - SERVIÇO DE COLETA, TRANSPORTE E DESTINAÇÃO FINAL DE LIXO PELO PERÍODO DE 12 (DOZE) MESES.</w:t>
            </w:r>
          </w:p>
        </w:tc>
        <w:tc>
          <w:tcPr>
            <w:tcW w:w="1713"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57" w:after="57"/>
              <w:jc w:val="center"/>
              <w:rPr>
                <w:sz w:val="20"/>
                <w:szCs w:val="20"/>
                <w:highlight w:val="white"/>
              </w:rPr>
            </w:pPr>
            <w:r>
              <w:rPr>
                <w:sz w:val="20"/>
                <w:szCs w:val="20"/>
                <w:highlight w:val="white"/>
              </w:rPr>
              <w:t>MÊS</w:t>
            </w:r>
          </w:p>
        </w:tc>
        <w:tc>
          <w:tcPr>
            <w:tcW w:w="1571"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57" w:after="57"/>
              <w:jc w:val="center"/>
              <w:rPr>
                <w:sz w:val="20"/>
                <w:szCs w:val="20"/>
                <w:highlight w:val="white"/>
              </w:rPr>
            </w:pPr>
            <w:r>
              <w:rPr>
                <w:sz w:val="20"/>
                <w:szCs w:val="20"/>
                <w:highlight w:val="white"/>
              </w:rPr>
              <w:t>12</w:t>
            </w:r>
          </w:p>
        </w:tc>
      </w:tr>
    </w:tbl>
    <w:p>
      <w:pPr>
        <w:pStyle w:val="LOnormal"/>
        <w:spacing w:lineRule="auto" w:line="240" w:before="60" w:after="60"/>
        <w:rPr/>
      </w:pPr>
      <w:r>
        <w:rPr/>
        <w:t>2.1. Havendo divergências entre as especificações deste anexo e as do sistema, prevalecerão as deste anexo.</w:t>
      </w:r>
    </w:p>
    <w:p>
      <w:pPr>
        <w:pStyle w:val="LOnormal"/>
        <w:spacing w:lineRule="auto" w:line="240" w:before="60" w:after="60"/>
        <w:jc w:val="both"/>
        <w:rPr/>
      </w:pPr>
      <w:r>
        <w:rPr>
          <w:b/>
        </w:rPr>
        <w:t>3. DO PRAZO DE VIGÊNCIA E PRORROGAÇÃO</w:t>
      </w:r>
    </w:p>
    <w:p>
      <w:pPr>
        <w:pStyle w:val="LOnormal"/>
        <w:spacing w:lineRule="auto" w:line="240" w:before="60" w:after="60"/>
        <w:jc w:val="both"/>
        <w:rPr>
          <w:highlight w:val="yellow"/>
        </w:rPr>
      </w:pPr>
      <w:r>
        <w:rPr/>
        <w:t>3.1. O prazo de vigência do contrato é de 12 (doze) meses, contado da sua publicação, prorrogável por até 10 (dez) anos, na forma do art. 106 e 107 c/c o art. 94 tudo da</w:t>
      </w:r>
      <w:r>
        <w:fldChar w:fldCharType="begin"/>
      </w:r>
      <w:r>
        <w:rPr/>
        <w:instrText xml:space="preserve"> HYPERLINK "http://www.planalto.gov.br/ccivil_03/_ato2019-2022/2021/lei/L14133.htm" \l "art106"</w:instrText>
      </w:r>
      <w:r>
        <w:rPr/>
        <w:fldChar w:fldCharType="separate"/>
      </w:r>
      <w:r>
        <w:rPr/>
        <w:t xml:space="preserve"> Lei n° 14.133/2021</w:t>
      </w:r>
      <w:r>
        <w:rPr/>
        <w:fldChar w:fldCharType="end"/>
      </w:r>
      <w:r>
        <w:rPr/>
        <w:t>.</w:t>
      </w:r>
    </w:p>
    <w:p>
      <w:pPr>
        <w:pStyle w:val="LOnormal"/>
        <w:spacing w:lineRule="auto" w:line="240" w:before="60" w:after="60"/>
        <w:jc w:val="both"/>
        <w:rPr>
          <w:highlight w:val="yellow"/>
        </w:rPr>
      </w:pPr>
      <w:r>
        <w:rPr/>
        <w:t>3.1.1. A prorrogação de que trata este subitem é condicionada ao ateste, pela autoridade competente, de que as condições e os preços permanecem vantajosos para a Administração, permitida a negociação com o CONTRATADO.</w:t>
      </w:r>
    </w:p>
    <w:p>
      <w:pPr>
        <w:pStyle w:val="LOnormal"/>
        <w:spacing w:lineRule="auto" w:line="240" w:before="60" w:after="60"/>
        <w:jc w:val="both"/>
        <w:rPr>
          <w:i/>
          <w:i/>
          <w:highlight w:val="yellow"/>
        </w:rPr>
      </w:pPr>
      <w:r>
        <w:rPr/>
        <w:t>3.1.2. O serviço é enquadrado como continuado tendo em vista a necessidade permanente do serviço, uma vez que a sua interrupção pode causar prejuízos administrativos e ambientais ao órgão e a população em geral devido a especificidade do serviço, sendo a vigência plurianual mais vantajosa considerando o dispêndio financeiro com contratações anuais, para realização do procedimento licitatório</w:t>
      </w:r>
    </w:p>
    <w:p>
      <w:pPr>
        <w:pStyle w:val="LOnormal"/>
        <w:spacing w:lineRule="auto" w:line="240" w:before="60" w:after="60"/>
        <w:jc w:val="both"/>
        <w:rPr/>
      </w:pPr>
      <w:r>
        <w:rPr>
          <w:b/>
        </w:rPr>
        <w:t>4. DA DESCRIÇÃO DA NECESSIDADE DA CONTRATAÇÃO</w:t>
      </w:r>
    </w:p>
    <w:p>
      <w:pPr>
        <w:pStyle w:val="LOnormal"/>
        <w:spacing w:lineRule="auto" w:line="240" w:before="60" w:after="60"/>
        <w:jc w:val="both"/>
        <w:rPr>
          <w:highlight w:val="white"/>
        </w:rPr>
      </w:pPr>
      <w:r>
        <w:rPr/>
        <w:t>4.1. Insta consignar, inicialmente, que o Município de Fortaleza instituiu a cobrança da “Taxa do Lixo” (TMRSU), por meio</w:t>
      </w:r>
      <w:r>
        <w:rPr>
          <w:highlight w:val="white"/>
        </w:rPr>
        <w:t xml:space="preserve"> da Lei nº 11.323, de 21 de dezembro de 2022, que se refere ao manejo de resíduos sólidos urbanos. O artigo 3º da referida lei delimita a litragem de resíduos sólidos coletados por dia, conforme segue: </w:t>
      </w:r>
    </w:p>
    <w:p>
      <w:pPr>
        <w:pStyle w:val="LOnormal"/>
        <w:spacing w:lineRule="auto" w:line="240" w:before="0" w:after="0"/>
        <w:ind w:left="2880" w:hanging="0"/>
        <w:jc w:val="both"/>
        <w:rPr>
          <w:highlight w:val="white"/>
        </w:rPr>
      </w:pPr>
      <w:r>
        <w:rPr>
          <w:highlight w:val="white"/>
        </w:rPr>
        <w:t xml:space="preserve">Art. 3º - É fato gerador da Taxa do Serviço Público de Manejo de Resíduos Sólidos Urbanos a utilização efetiva ou potencial do serviço público de manejo de resíduos sólidos urbanos, constituído pelas atividades de coleta, transbordo, transporte, triagem para fins de reutilização ou reciclagem, tratamento, inclusive por compostagem, e destinação final ambientalmente adequada dos resíduos de origem: </w:t>
      </w:r>
    </w:p>
    <w:p>
      <w:pPr>
        <w:pStyle w:val="LOnormal"/>
        <w:spacing w:lineRule="auto" w:line="240" w:before="0" w:after="0"/>
        <w:ind w:left="2880" w:hanging="0"/>
        <w:jc w:val="both"/>
        <w:rPr>
          <w:highlight w:val="white"/>
        </w:rPr>
      </w:pPr>
      <w:r>
        <w:rPr>
          <w:highlight w:val="white"/>
        </w:rPr>
        <w:t>I. residencial; e</w:t>
      </w:r>
    </w:p>
    <w:p>
      <w:pPr>
        <w:pStyle w:val="LOnormal"/>
        <w:spacing w:lineRule="auto" w:line="240" w:before="0" w:after="0"/>
        <w:ind w:left="2880" w:hanging="0"/>
        <w:jc w:val="both"/>
        <w:rPr>
          <w:highlight w:val="white"/>
        </w:rPr>
      </w:pPr>
      <w:r>
        <w:rPr>
          <w:highlight w:val="white"/>
        </w:rPr>
        <w:t>II. não residencial, até o limite de 100 (cem) litros por dia.</w:t>
      </w:r>
    </w:p>
    <w:p>
      <w:pPr>
        <w:pStyle w:val="LOnormal"/>
        <w:spacing w:lineRule="auto" w:line="240" w:before="0" w:after="0"/>
        <w:ind w:left="2880" w:hanging="0"/>
        <w:jc w:val="both"/>
        <w:rPr>
          <w:highlight w:val="white"/>
        </w:rPr>
      </w:pPr>
      <w:r>
        <w:rPr>
          <w:highlight w:val="white"/>
        </w:rPr>
        <w:t>Parágrafo único. Para os efeitos desta Lei, são considerados:</w:t>
      </w:r>
    </w:p>
    <w:p>
      <w:pPr>
        <w:pStyle w:val="LOnormal"/>
        <w:spacing w:lineRule="auto" w:line="240" w:before="0" w:after="0"/>
        <w:ind w:left="2880" w:hanging="0"/>
        <w:jc w:val="both"/>
        <w:rPr>
          <w:highlight w:val="white"/>
        </w:rPr>
      </w:pPr>
      <w:r>
        <w:rPr>
          <w:highlight w:val="white"/>
        </w:rPr>
        <w:t>I. resíduos de origem residencial: os resíduos domiciliares;</w:t>
      </w:r>
    </w:p>
    <w:p>
      <w:pPr>
        <w:pStyle w:val="LOnormal"/>
        <w:spacing w:lineRule="auto" w:line="240" w:before="0" w:after="0"/>
        <w:ind w:left="2880" w:hanging="0"/>
        <w:jc w:val="both"/>
        <w:rPr>
          <w:b/>
          <w:b/>
          <w:sz w:val="20"/>
          <w:szCs w:val="20"/>
          <w:highlight w:val="white"/>
        </w:rPr>
      </w:pPr>
      <w:r>
        <w:rPr>
          <w:b/>
          <w:sz w:val="20"/>
          <w:szCs w:val="20"/>
          <w:highlight w:val="white"/>
        </w:rPr>
        <w:t>II. resíduos de origem não residencial: os resíduos gerados por estabelecimentos industriais, comerciais e de prestação de serviços que não ultrapassem 100 (cem) litros por dia.</w:t>
      </w:r>
    </w:p>
    <w:p>
      <w:pPr>
        <w:pStyle w:val="LOnormal"/>
        <w:spacing w:lineRule="auto" w:line="240" w:before="57" w:after="57"/>
        <w:jc w:val="both"/>
        <w:rPr>
          <w:highlight w:val="white"/>
        </w:rPr>
      </w:pPr>
      <w:r>
        <w:rPr>
          <w:highlight w:val="white"/>
        </w:rPr>
        <w:t xml:space="preserve">4.2. Verifica-se que a litragem permitida para </w:t>
      </w:r>
      <w:r>
        <w:rPr>
          <w:highlight w:val="white"/>
          <w:u w:val="single"/>
        </w:rPr>
        <w:t xml:space="preserve">resíduos de origem não residencial por dia corresponde a 100 litros, entretanto, a Secretaria da Cultura e seus equipamentos culturais geram uma litragem superior, resultando no quantitativo sobressalente indicado na planilha abaixo: </w:t>
      </w:r>
    </w:p>
    <w:tbl>
      <w:tblPr>
        <w:tblStyle w:val="Table2"/>
        <w:tblW w:w="9389" w:type="dxa"/>
        <w:jc w:val="left"/>
        <w:tblInd w:w="-5" w:type="dxa"/>
        <w:tblLayout w:type="fixed"/>
        <w:tblCellMar>
          <w:top w:w="0" w:type="dxa"/>
          <w:left w:w="108" w:type="dxa"/>
          <w:bottom w:w="0" w:type="dxa"/>
          <w:right w:w="108" w:type="dxa"/>
        </w:tblCellMar>
        <w:tblLook w:val="0000"/>
      </w:tblPr>
      <w:tblGrid>
        <w:gridCol w:w="3674"/>
        <w:gridCol w:w="1770"/>
        <w:gridCol w:w="1470"/>
        <w:gridCol w:w="2474"/>
      </w:tblGrid>
      <w:tr>
        <w:trPr>
          <w:trHeight w:val="887" w:hRule="atLeast"/>
        </w:trPr>
        <w:tc>
          <w:tcPr>
            <w:tcW w:w="3674" w:type="dxa"/>
            <w:tcBorders>
              <w:top w:val="single" w:sz="4" w:space="0" w:color="000000"/>
              <w:left w:val="single" w:sz="4" w:space="0" w:color="000000"/>
              <w:bottom w:val="single" w:sz="4" w:space="0" w:color="000000"/>
              <w:right w:val="single" w:sz="4" w:space="0" w:color="000000"/>
            </w:tcBorders>
            <w:shd w:fill="D9D9D9" w:val="clear"/>
          </w:tcPr>
          <w:p>
            <w:pPr>
              <w:pStyle w:val="LOnormal"/>
              <w:widowControl w:val="false"/>
              <w:spacing w:lineRule="auto" w:line="240"/>
              <w:jc w:val="center"/>
              <w:rPr>
                <w:b/>
                <w:b/>
                <w:sz w:val="18"/>
                <w:szCs w:val="18"/>
                <w:shd w:fill="D9D9D9" w:val="clear"/>
              </w:rPr>
            </w:pPr>
            <w:r>
              <w:rPr>
                <w:b/>
                <w:sz w:val="18"/>
                <w:szCs w:val="18"/>
                <w:shd w:fill="D9D9D9" w:val="clear"/>
              </w:rPr>
              <w:t>LOCAL</w:t>
            </w:r>
          </w:p>
        </w:tc>
        <w:tc>
          <w:tcPr>
            <w:tcW w:w="1770" w:type="dxa"/>
            <w:tcBorders>
              <w:top w:val="single" w:sz="4" w:space="0" w:color="000000"/>
              <w:left w:val="single" w:sz="4" w:space="0" w:color="000000"/>
              <w:bottom w:val="single" w:sz="4" w:space="0" w:color="000000"/>
              <w:right w:val="single" w:sz="4" w:space="0" w:color="000000"/>
            </w:tcBorders>
            <w:shd w:fill="D9D9D9" w:val="clear"/>
          </w:tcPr>
          <w:p>
            <w:pPr>
              <w:pStyle w:val="LOnormal"/>
              <w:widowControl w:val="false"/>
              <w:spacing w:lineRule="auto" w:line="240"/>
              <w:jc w:val="center"/>
              <w:rPr>
                <w:b/>
                <w:b/>
                <w:sz w:val="18"/>
                <w:szCs w:val="18"/>
                <w:shd w:fill="D9D9D9" w:val="clear"/>
              </w:rPr>
            </w:pPr>
            <w:r>
              <w:rPr>
                <w:b/>
                <w:sz w:val="18"/>
                <w:szCs w:val="18"/>
                <w:shd w:fill="D9D9D9" w:val="clear"/>
              </w:rPr>
              <w:t>QTDE. DE CONTAINERS - CAPACIDADE DE 240 LITROS</w:t>
            </w:r>
          </w:p>
        </w:tc>
        <w:tc>
          <w:tcPr>
            <w:tcW w:w="1470" w:type="dxa"/>
            <w:tcBorders>
              <w:top w:val="single" w:sz="4" w:space="0" w:color="000000"/>
              <w:left w:val="single" w:sz="4" w:space="0" w:color="000000"/>
              <w:bottom w:val="single" w:sz="4" w:space="0" w:color="000000"/>
              <w:right w:val="single" w:sz="4" w:space="0" w:color="000000"/>
            </w:tcBorders>
            <w:shd w:fill="D9D9D9" w:val="clear"/>
          </w:tcPr>
          <w:p>
            <w:pPr>
              <w:pStyle w:val="LOnormal"/>
              <w:widowControl w:val="false"/>
              <w:spacing w:lineRule="auto" w:line="240"/>
              <w:jc w:val="center"/>
              <w:rPr>
                <w:b/>
                <w:b/>
                <w:sz w:val="18"/>
                <w:szCs w:val="18"/>
                <w:shd w:fill="D9D9D9" w:val="clear"/>
              </w:rPr>
            </w:pPr>
            <w:r>
              <w:rPr>
                <w:b/>
                <w:sz w:val="18"/>
                <w:szCs w:val="18"/>
                <w:shd w:fill="D9D9D9" w:val="clear"/>
              </w:rPr>
              <w:t>DIAS DA SEMANA</w:t>
            </w:r>
          </w:p>
        </w:tc>
        <w:tc>
          <w:tcPr>
            <w:tcW w:w="2474" w:type="dxa"/>
            <w:tcBorders>
              <w:top w:val="single" w:sz="4" w:space="0" w:color="000000"/>
              <w:left w:val="single" w:sz="4" w:space="0" w:color="000000"/>
              <w:bottom w:val="single" w:sz="4" w:space="0" w:color="000000"/>
              <w:right w:val="single" w:sz="4" w:space="0" w:color="000000"/>
            </w:tcBorders>
            <w:shd w:fill="D9D9D9" w:val="clear"/>
          </w:tcPr>
          <w:p>
            <w:pPr>
              <w:pStyle w:val="LOnormal"/>
              <w:widowControl w:val="false"/>
              <w:spacing w:lineRule="auto" w:line="240"/>
              <w:jc w:val="center"/>
              <w:rPr>
                <w:b/>
                <w:b/>
                <w:sz w:val="18"/>
                <w:szCs w:val="18"/>
                <w:shd w:fill="D9D9D9" w:val="clear"/>
              </w:rPr>
            </w:pPr>
            <w:r>
              <w:rPr>
                <w:b/>
                <w:sz w:val="18"/>
                <w:szCs w:val="18"/>
                <w:shd w:fill="D9D9D9" w:val="clear"/>
              </w:rPr>
              <w:t>LITRAGEM REMANESCENTE</w:t>
            </w:r>
          </w:p>
        </w:tc>
      </w:tr>
      <w:tr>
        <w:trPr>
          <w:trHeight w:val="1064" w:hRule="atLeast"/>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Secretaria da Cultura do Estado do Ceará – SECULT - </w:t>
            </w:r>
            <w:r>
              <w:rPr>
                <w:sz w:val="18"/>
                <w:szCs w:val="18"/>
                <w:highlight w:val="white"/>
              </w:rPr>
              <w:t xml:space="preserve">Rua Major Facundo Nº 500 / Edifício Cine São Luiz – Centro CEP.: 60025-100 - Fortaleza / Ceará </w:t>
            </w:r>
          </w:p>
          <w:p>
            <w:pPr>
              <w:pStyle w:val="LOnormal"/>
              <w:widowControl w:val="false"/>
              <w:spacing w:lineRule="auto" w:line="240"/>
              <w:jc w:val="both"/>
              <w:rPr>
                <w:b/>
                <w:b/>
                <w:sz w:val="18"/>
                <w:szCs w:val="18"/>
                <w:highlight w:val="white"/>
              </w:rPr>
            </w:pPr>
            <w:r>
              <w:rPr>
                <w:b/>
                <w:sz w:val="18"/>
                <w:szCs w:val="18"/>
                <w:highlight w:val="white"/>
              </w:rPr>
              <w:t>(ATUAL - SEDE ADMINISTRATIVA)</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02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Segunda-feira</w:t>
              <w:br/>
              <w:t>Quarta-feira</w:t>
              <w:br/>
              <w:t xml:space="preserve">Sexta-feira </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480 (total de contentores)  X 3 (dias de coleta) = </w:t>
            </w:r>
          </w:p>
          <w:p>
            <w:pPr>
              <w:pStyle w:val="LOnormal"/>
              <w:widowControl w:val="false"/>
              <w:spacing w:lineRule="auto" w:line="240"/>
              <w:jc w:val="center"/>
              <w:rPr>
                <w:sz w:val="18"/>
                <w:szCs w:val="18"/>
                <w:highlight w:val="white"/>
              </w:rPr>
            </w:pPr>
            <w:r>
              <w:rPr>
                <w:sz w:val="18"/>
                <w:szCs w:val="18"/>
                <w:highlight w:val="white"/>
              </w:rPr>
              <w:t>1440 litros</w:t>
            </w:r>
          </w:p>
        </w:tc>
      </w:tr>
      <w:tr>
        <w:trPr>
          <w:trHeight w:val="1035" w:hRule="atLeast"/>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18"/>
                <w:szCs w:val="18"/>
                <w:highlight w:val="white"/>
              </w:rPr>
            </w:pPr>
            <w:r>
              <w:rPr>
                <w:b/>
                <w:sz w:val="18"/>
                <w:szCs w:val="18"/>
                <w:highlight w:val="white"/>
              </w:rPr>
              <w:t xml:space="preserve">Secretaria da Cultura do Estado do Ceará – SECULT - </w:t>
            </w:r>
            <w:bookmarkStart w:id="0" w:name="bookmark=id.gjdgxs"/>
            <w:bookmarkEnd w:id="0"/>
            <w:r>
              <w:rPr>
                <w:sz w:val="18"/>
                <w:szCs w:val="18"/>
                <w:highlight w:val="white"/>
              </w:rPr>
              <w:t xml:space="preserve">Avenida Dr. João Moreira Nº 540 / Complexo Cultural Estação das Artes – Centro CEP.: 60030-000 – Fortaleza / Ceará. </w:t>
            </w:r>
            <w:r>
              <w:rPr>
                <w:b/>
                <w:sz w:val="18"/>
                <w:szCs w:val="18"/>
                <w:highlight w:val="white"/>
              </w:rPr>
              <w:t xml:space="preserve">(NOVA - SEDE ADMINISTRATIVA) </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before="0" w:after="140"/>
              <w:jc w:val="center"/>
              <w:rPr>
                <w:sz w:val="18"/>
                <w:szCs w:val="18"/>
                <w:highlight w:val="white"/>
              </w:rPr>
            </w:pPr>
            <w:r>
              <w:rPr>
                <w:sz w:val="18"/>
                <w:szCs w:val="18"/>
                <w:highlight w:val="white"/>
              </w:rPr>
              <w:t xml:space="preserve">06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Segunda-feira</w:t>
              <w:br/>
              <w:t>Quarta-feira</w:t>
              <w:br/>
              <w:t xml:space="preserve">Sexta-feira </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1440 (total de contentores) X 3 (dias de coleta) = </w:t>
            </w:r>
          </w:p>
          <w:p>
            <w:pPr>
              <w:pStyle w:val="LOnormal"/>
              <w:widowControl w:val="false"/>
              <w:spacing w:lineRule="auto" w:line="240"/>
              <w:jc w:val="center"/>
              <w:rPr>
                <w:sz w:val="18"/>
                <w:szCs w:val="18"/>
                <w:highlight w:val="white"/>
              </w:rPr>
            </w:pPr>
            <w:r>
              <w:rPr>
                <w:sz w:val="18"/>
                <w:szCs w:val="18"/>
                <w:highlight w:val="white"/>
              </w:rPr>
              <w:t>4.320 litros</w:t>
            </w:r>
          </w:p>
        </w:tc>
      </w:tr>
      <w:tr>
        <w:trPr>
          <w:trHeight w:val="397" w:hRule="atLeast"/>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Arquivo Intermediário – AINT - </w:t>
            </w:r>
            <w:r>
              <w:rPr>
                <w:sz w:val="18"/>
                <w:szCs w:val="18"/>
                <w:highlight w:val="white"/>
              </w:rPr>
              <w:t>Rua Pinto Madeira nº 166 Centro/Fortaleza – Ceará.</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01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Terça-feira</w:t>
              <w:br/>
              <w:t>Sexta-feira</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240 (total de contentores) X 2 (dias de coleta) = </w:t>
            </w:r>
          </w:p>
          <w:p>
            <w:pPr>
              <w:pStyle w:val="LOnormal"/>
              <w:widowControl w:val="false"/>
              <w:spacing w:lineRule="auto" w:line="240"/>
              <w:jc w:val="center"/>
              <w:rPr>
                <w:sz w:val="18"/>
                <w:szCs w:val="18"/>
                <w:highlight w:val="white"/>
              </w:rPr>
            </w:pPr>
            <w:r>
              <w:rPr>
                <w:sz w:val="18"/>
                <w:szCs w:val="18"/>
                <w:highlight w:val="white"/>
              </w:rPr>
              <w:t>480 litros</w:t>
            </w:r>
          </w:p>
        </w:tc>
      </w:tr>
      <w:tr>
        <w:trPr>
          <w:trHeight w:val="827" w:hRule="atLeast"/>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Arquivo Público do Estado do Ceará – APEC - </w:t>
            </w:r>
            <w:r>
              <w:rPr>
                <w:sz w:val="18"/>
                <w:szCs w:val="18"/>
                <w:highlight w:val="white"/>
              </w:rPr>
              <w:t>Rua Senador Alencar nº 348 Centro/Fortaleza/Ceará.</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01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Terça-feira</w:t>
              <w:br/>
              <w:t>Sexta-feira</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240 (total de contentores) X 2 (dias de coleta) = </w:t>
            </w:r>
          </w:p>
          <w:p>
            <w:pPr>
              <w:pStyle w:val="LOnormal"/>
              <w:widowControl w:val="false"/>
              <w:spacing w:lineRule="auto" w:line="240"/>
              <w:jc w:val="center"/>
              <w:rPr>
                <w:sz w:val="18"/>
                <w:szCs w:val="18"/>
                <w:highlight w:val="white"/>
              </w:rPr>
            </w:pPr>
            <w:r>
              <w:rPr>
                <w:sz w:val="18"/>
                <w:szCs w:val="18"/>
                <w:highlight w:val="white"/>
              </w:rPr>
              <w:t>480  litros</w:t>
            </w:r>
          </w:p>
        </w:tc>
      </w:tr>
      <w:tr>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Casa Juvenal Galeno – CJG - </w:t>
            </w:r>
            <w:r>
              <w:rPr>
                <w:sz w:val="18"/>
                <w:szCs w:val="18"/>
                <w:highlight w:val="white"/>
              </w:rPr>
              <w:t>Rua General Sampaio nº 1128 Centro/Fortaleza/Ceará.</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01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Terça-feira</w:t>
              <w:br/>
              <w:t>Sexta-feira</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240 (total de contentores) X 2 (dias de coleta) = </w:t>
            </w:r>
          </w:p>
          <w:p>
            <w:pPr>
              <w:pStyle w:val="LOnormal"/>
              <w:widowControl w:val="false"/>
              <w:spacing w:lineRule="auto" w:line="240"/>
              <w:jc w:val="center"/>
              <w:rPr>
                <w:sz w:val="18"/>
                <w:szCs w:val="18"/>
                <w:highlight w:val="white"/>
              </w:rPr>
            </w:pPr>
            <w:r>
              <w:rPr>
                <w:sz w:val="18"/>
                <w:szCs w:val="18"/>
                <w:highlight w:val="white"/>
              </w:rPr>
              <w:t>480  litros</w:t>
            </w:r>
            <w:bookmarkStart w:id="1" w:name="bookmark=id.30j0zll"/>
            <w:bookmarkEnd w:id="1"/>
          </w:p>
        </w:tc>
      </w:tr>
      <w:tr>
        <w:trPr>
          <w:trHeight w:val="245" w:hRule="atLeast"/>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Museu do Ceará -  MUSCE - </w:t>
            </w:r>
            <w:r>
              <w:rPr>
                <w:sz w:val="18"/>
                <w:szCs w:val="18"/>
                <w:highlight w:val="white"/>
              </w:rPr>
              <w:t>Rua São Paulo nº 51 Centro/Fortaleza/Ceará.</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01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Terça-feira</w:t>
              <w:br/>
              <w:t>Sexta-feira</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240 (total de contentores) X 2 (dias de coleta) = </w:t>
            </w:r>
          </w:p>
          <w:p>
            <w:pPr>
              <w:pStyle w:val="LOnormal"/>
              <w:widowControl w:val="false"/>
              <w:spacing w:lineRule="auto" w:line="240"/>
              <w:jc w:val="center"/>
              <w:rPr>
                <w:sz w:val="18"/>
                <w:szCs w:val="18"/>
                <w:highlight w:val="white"/>
              </w:rPr>
            </w:pPr>
            <w:r>
              <w:rPr>
                <w:sz w:val="18"/>
                <w:szCs w:val="18"/>
                <w:highlight w:val="white"/>
              </w:rPr>
              <w:t>480 litros</w:t>
            </w:r>
          </w:p>
        </w:tc>
      </w:tr>
      <w:tr>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Anexo do Museu do Ceará – MUSCE - </w:t>
            </w:r>
            <w:r>
              <w:rPr>
                <w:sz w:val="18"/>
                <w:szCs w:val="18"/>
                <w:highlight w:val="white"/>
              </w:rPr>
              <w:t>Rua Major Facundo nº 584 Centro/Fortaleza/Ceará.</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01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Terça-feira</w:t>
              <w:br/>
              <w:t>Sexta-feira</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240 (total de contentores) X 2 (dias de coleta) = </w:t>
            </w:r>
          </w:p>
          <w:p>
            <w:pPr>
              <w:pStyle w:val="LOnormal"/>
              <w:widowControl w:val="false"/>
              <w:spacing w:lineRule="auto" w:line="240"/>
              <w:jc w:val="center"/>
              <w:rPr>
                <w:sz w:val="18"/>
                <w:szCs w:val="18"/>
                <w:highlight w:val="white"/>
              </w:rPr>
            </w:pPr>
            <w:r>
              <w:rPr>
                <w:sz w:val="18"/>
                <w:szCs w:val="18"/>
                <w:highlight w:val="white"/>
              </w:rPr>
              <w:t>480 litros</w:t>
            </w:r>
          </w:p>
        </w:tc>
      </w:tr>
      <w:tr>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Museu Sacro São José de Ribamar - </w:t>
            </w:r>
            <w:r>
              <w:rPr>
                <w:sz w:val="18"/>
                <w:szCs w:val="18"/>
                <w:highlight w:val="white"/>
              </w:rPr>
              <w:t>Praça Cônego Araripe, nº 22 Centro/Aquiráz/Ceará.</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01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Terça-feira</w:t>
              <w:br/>
              <w:t>Sexta-feira</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240 (total de contentores) X 2 (dias de coleta) = </w:t>
            </w:r>
          </w:p>
          <w:p>
            <w:pPr>
              <w:pStyle w:val="LOnormal"/>
              <w:widowControl w:val="false"/>
              <w:spacing w:lineRule="auto" w:line="240"/>
              <w:jc w:val="center"/>
              <w:rPr>
                <w:sz w:val="18"/>
                <w:szCs w:val="18"/>
                <w:highlight w:val="white"/>
              </w:rPr>
            </w:pPr>
            <w:r>
              <w:rPr>
                <w:sz w:val="18"/>
                <w:szCs w:val="18"/>
                <w:highlight w:val="white"/>
              </w:rPr>
              <w:t>480 litros</w:t>
            </w:r>
          </w:p>
        </w:tc>
      </w:tr>
      <w:tr>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Anexo do Museu Sacro São José de Ribamar - </w:t>
            </w:r>
            <w:r>
              <w:rPr>
                <w:sz w:val="18"/>
                <w:szCs w:val="18"/>
                <w:highlight w:val="white"/>
              </w:rPr>
              <w:t>Praça Cônego Araripe, nº 301 Centro/Aquiráz/Ceará.</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01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Terça-feira</w:t>
              <w:br/>
              <w:t>Sexta-feira</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240 (total de contentores) X 2 (dias de coleta) =</w:t>
            </w:r>
          </w:p>
          <w:p>
            <w:pPr>
              <w:pStyle w:val="LOnormal"/>
              <w:widowControl w:val="false"/>
              <w:spacing w:lineRule="auto" w:line="240"/>
              <w:jc w:val="center"/>
              <w:rPr>
                <w:sz w:val="18"/>
                <w:szCs w:val="18"/>
                <w:highlight w:val="white"/>
              </w:rPr>
            </w:pPr>
            <w:r>
              <w:rPr>
                <w:sz w:val="18"/>
                <w:szCs w:val="18"/>
                <w:highlight w:val="white"/>
              </w:rPr>
              <w:t xml:space="preserve"> </w:t>
            </w:r>
            <w:r>
              <w:rPr>
                <w:sz w:val="18"/>
                <w:szCs w:val="18"/>
                <w:highlight w:val="white"/>
              </w:rPr>
              <w:t>480 litros</w:t>
            </w:r>
          </w:p>
        </w:tc>
      </w:tr>
      <w:tr>
        <w:trPr>
          <w:trHeight w:val="769" w:hRule="atLeast"/>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Anexo do Museu Sacro São José de Ribamar  - </w:t>
            </w:r>
            <w:r>
              <w:rPr>
                <w:sz w:val="18"/>
                <w:szCs w:val="18"/>
                <w:highlight w:val="white"/>
              </w:rPr>
              <w:t>Praça Cônego Araripe, nº 09 Centro/Aquiráz/Ceará.</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01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Terça-feira</w:t>
              <w:br/>
              <w:t>Sexta-feira</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240 (total de contentores) X 2 (dias de coleta) = </w:t>
            </w:r>
          </w:p>
          <w:p>
            <w:pPr>
              <w:pStyle w:val="LOnormal"/>
              <w:widowControl w:val="false"/>
              <w:spacing w:lineRule="auto" w:line="240"/>
              <w:jc w:val="center"/>
              <w:rPr>
                <w:sz w:val="18"/>
                <w:szCs w:val="18"/>
                <w:highlight w:val="white"/>
              </w:rPr>
            </w:pPr>
            <w:r>
              <w:rPr>
                <w:sz w:val="18"/>
                <w:szCs w:val="18"/>
                <w:highlight w:val="white"/>
              </w:rPr>
              <w:t>480 litros</w:t>
            </w:r>
          </w:p>
        </w:tc>
      </w:tr>
      <w:tr>
        <w:trPr/>
        <w:tc>
          <w:tcPr>
            <w:tcW w:w="3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18"/>
                <w:szCs w:val="18"/>
                <w:highlight w:val="white"/>
              </w:rPr>
            </w:pPr>
            <w:r>
              <w:rPr>
                <w:b/>
                <w:sz w:val="18"/>
                <w:szCs w:val="18"/>
                <w:highlight w:val="white"/>
              </w:rPr>
              <w:t xml:space="preserve">Teatro Carlos Câmara – TCC - </w:t>
            </w:r>
            <w:r>
              <w:rPr>
                <w:sz w:val="18"/>
                <w:szCs w:val="18"/>
                <w:highlight w:val="white"/>
              </w:rPr>
              <w:t>Rua Senador Pompeu, nº 454 Centro/Fortaleza/Ceará.</w:t>
            </w:r>
          </w:p>
        </w:tc>
        <w:tc>
          <w:tcPr>
            <w:tcW w:w="17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01 </w:t>
            </w:r>
          </w:p>
        </w:tc>
        <w:tc>
          <w:tcPr>
            <w:tcW w:w="147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Terça-feira</w:t>
              <w:br/>
              <w:t>Sexta-feira</w:t>
            </w:r>
          </w:p>
        </w:tc>
        <w:tc>
          <w:tcPr>
            <w:tcW w:w="24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18"/>
                <w:szCs w:val="18"/>
                <w:highlight w:val="white"/>
              </w:rPr>
            </w:pPr>
            <w:r>
              <w:rPr>
                <w:sz w:val="18"/>
                <w:szCs w:val="18"/>
                <w:highlight w:val="white"/>
              </w:rPr>
              <w:t xml:space="preserve">240 (total de contentores) X 2 (dias de coleta) = </w:t>
            </w:r>
          </w:p>
          <w:p>
            <w:pPr>
              <w:pStyle w:val="LOnormal"/>
              <w:widowControl w:val="false"/>
              <w:spacing w:lineRule="auto" w:line="240"/>
              <w:jc w:val="center"/>
              <w:rPr>
                <w:sz w:val="18"/>
                <w:szCs w:val="18"/>
                <w:highlight w:val="white"/>
              </w:rPr>
            </w:pPr>
            <w:r>
              <w:rPr>
                <w:sz w:val="18"/>
                <w:szCs w:val="18"/>
                <w:highlight w:val="white"/>
              </w:rPr>
              <w:t>480 litros</w:t>
            </w:r>
          </w:p>
        </w:tc>
      </w:tr>
    </w:tbl>
    <w:p>
      <w:pPr>
        <w:pStyle w:val="LOnormal"/>
        <w:keepNext w:val="false"/>
        <w:keepLines w:val="false"/>
        <w:pageBreakBefore w:val="false"/>
        <w:widowControl/>
        <w:shd w:val="clear" w:fill="auto"/>
        <w:spacing w:lineRule="auto" w:line="240" w:before="60" w:after="60"/>
        <w:ind w:left="0" w:right="0" w:hanging="0"/>
        <w:jc w:val="both"/>
        <w:rPr/>
      </w:pPr>
      <w:r>
        <w:rPr>
          <w:highlight w:val="white"/>
        </w:rPr>
        <w:t>4.3</w:t>
      </w:r>
      <w:r>
        <w:rPr/>
        <w:t>. Atualmente, a Secretaria da Cultura do Estado do Ceará não possui contrato vigente que atenda a demanda excedente de resíduos sólidos gerados por este Órgão e seus equipamentos culturais mencionados neste ETP.</w:t>
      </w:r>
    </w:p>
    <w:p>
      <w:pPr>
        <w:pStyle w:val="LOnormal"/>
        <w:keepNext w:val="false"/>
        <w:keepLines w:val="false"/>
        <w:pageBreakBefore w:val="false"/>
        <w:widowControl/>
        <w:shd w:val="clear" w:fill="auto"/>
        <w:spacing w:lineRule="auto" w:line="240" w:before="60" w:after="60"/>
        <w:ind w:left="0" w:right="0" w:hanging="0"/>
        <w:jc w:val="both"/>
        <w:rPr/>
      </w:pPr>
      <w:r>
        <w:rPr/>
        <w:t>4.4. Assim, se faz necessária a contratação de empresa especializada para prestar serviços de  coleta, transbordo, transporte, tratamento  e destinação final ambientalmente adequada de resíduos sólidos, incluindo o fornecimento de materiais e mão de obra pertinente para atendimento da demanda ora informada.</w:t>
      </w:r>
    </w:p>
    <w:p>
      <w:pPr>
        <w:pStyle w:val="LOnormal"/>
        <w:keepNext w:val="false"/>
        <w:keepLines w:val="false"/>
        <w:pageBreakBefore w:val="false"/>
        <w:widowControl/>
        <w:shd w:val="clear" w:fill="auto"/>
        <w:spacing w:lineRule="auto" w:line="240" w:before="60" w:after="60"/>
        <w:ind w:left="0" w:right="0" w:hanging="0"/>
        <w:jc w:val="both"/>
        <w:rPr>
          <w:b/>
          <w:b/>
        </w:rPr>
      </w:pPr>
      <w:r>
        <w:rPr/>
        <w:t>4.5. Portanto, a contratação visa atender a demanda dos serviços no tocante à limpeza, bem como, controlar e reduzir ris</w:t>
      </w:r>
      <w:r>
        <w:rPr>
          <w:highlight w:val="white"/>
        </w:rPr>
        <w:t>cos ao meio ambiente e assegurar o correto manuseio e disposição final dos resíduos, de acordo com as disposições regulamentares e condições que serão estabelecidas em termo de referência.</w:t>
      </w:r>
    </w:p>
    <w:p>
      <w:pPr>
        <w:pStyle w:val="LOnormal"/>
        <w:spacing w:lineRule="auto" w:line="240" w:before="60" w:after="60"/>
        <w:jc w:val="both"/>
        <w:rPr>
          <w:b/>
          <w:b/>
        </w:rPr>
      </w:pPr>
      <w:r>
        <w:rPr>
          <w:b/>
        </w:rPr>
        <w:t>5. DESCRIÇÃO DA SOLUÇÃO COMO UM TODO CONSIDERANDO TODO O CICLO DE VIDA DO OBJETO</w:t>
      </w:r>
    </w:p>
    <w:p>
      <w:pPr>
        <w:pStyle w:val="LOnormal"/>
        <w:spacing w:lineRule="auto" w:line="240" w:before="60" w:after="60"/>
        <w:jc w:val="both"/>
        <w:rPr/>
      </w:pPr>
      <w:r>
        <w:rPr/>
        <w:t>5.1. Os resíduos sólidos deverão ser coletados por meio de veículo coletor compactador nos locais  citados no item 6 deste Termo, os quais deverão ser acondicionados em contentores com capacidade para 240 litros (duzentos e quarenta litros), transportados segundo as normas legais existentes, e destinados a aterros sanitários ou outros locais autorizados pelos órgãos ambientais.</w:t>
      </w:r>
    </w:p>
    <w:p>
      <w:pPr>
        <w:pStyle w:val="LOnormal"/>
        <w:spacing w:lineRule="auto" w:line="240" w:before="60" w:after="60"/>
        <w:jc w:val="both"/>
        <w:rPr/>
      </w:pPr>
      <w:r>
        <w:rPr/>
        <w:t>5.2. Caminhões compactadores com carrocerias do tipo especial devidamente adequada ao chassi, para coleta de resíduos sólidos urbanos, fechadas para evitar despejo de resíduos e líquidos nas vias públicas, providas de sistema de descarga automática, sem necessidade de mão-de-obra para o seu esvaziamento e serem dotados de suporte para pá e vassouras que constituem equipamento obrigatório.</w:t>
      </w:r>
    </w:p>
    <w:p>
      <w:pPr>
        <w:pStyle w:val="LOnormal"/>
        <w:spacing w:lineRule="auto" w:line="240" w:before="60" w:after="60"/>
        <w:jc w:val="both"/>
        <w:rPr/>
      </w:pPr>
      <w:r>
        <w:rPr/>
        <w:t>5.3. A CONTRATADA deverá manter os veículos em perfeitas condições de funcionamento e de acordo com a legislação de trânsito vigente.</w:t>
      </w:r>
    </w:p>
    <w:p>
      <w:pPr>
        <w:pStyle w:val="LOnormal"/>
        <w:spacing w:lineRule="auto" w:line="240" w:before="60" w:after="60"/>
        <w:jc w:val="both"/>
        <w:rPr/>
      </w:pPr>
      <w:r>
        <w:rPr/>
        <w:t>5.4. A CONTRATADA deverá fornecer todo e qualquer equipamento necessário para o bom desempenho do serviço, atendendo aos melhores padrões de limpeza.</w:t>
      </w:r>
    </w:p>
    <w:p>
      <w:pPr>
        <w:pStyle w:val="LOnormal"/>
        <w:spacing w:lineRule="auto" w:line="240" w:before="60" w:after="60"/>
        <w:jc w:val="both"/>
        <w:rPr/>
      </w:pPr>
      <w:r>
        <w:rPr/>
        <w:t>5.5. Competirá à CONTRATADA a admissão de motoristas, coletores e demais operários necessários ao desempenho dos serviços, correndo por sua conta também os encargos sociais, seguros, uniformes, capas protetoras em dias de chuva, protetores auriculares e EPIs (Equipamento de Proteção Individual) exigidos pelas normas regulamentadoras específicas e demais exigências das leis trabalhistas.</w:t>
      </w:r>
    </w:p>
    <w:p>
      <w:pPr>
        <w:pStyle w:val="LOnormal"/>
        <w:spacing w:lineRule="auto" w:line="240" w:before="60" w:after="60"/>
        <w:jc w:val="both"/>
        <w:rPr/>
      </w:pPr>
      <w:r>
        <w:rPr/>
        <w:t>5.6. Os contêineres a serem utilizados na coleta deverão preencher os requisitos técnicos exigidos no artigo 7º do Decreto Municipal de Fortaleza nº 10.696, de 02 de fevereiro de 2000, e serão colocados pela empresa contratada nos locais indicados pela SECULT, sendo substituídos por outros de iguais características a cada coleta.</w:t>
      </w:r>
    </w:p>
    <w:p>
      <w:pPr>
        <w:pStyle w:val="LOnormal"/>
        <w:spacing w:lineRule="auto" w:line="240" w:before="60" w:after="60"/>
        <w:jc w:val="both"/>
        <w:rPr/>
      </w:pPr>
      <w:r>
        <w:rPr/>
        <w:t>5.7. Disponibilizar contêineres (depósitos metálicos de armazenagem) em bom estado de conservação, sem vazamento, próprios para reter sólidos e líquidos, tendo que indicar sua capacidade volumétrica, para acondicionamento dos resíduos sólidos (lixo comum) no quantitativo adequado, devendo esses contêineres ser devidamente limpos no momento da coleta.</w:t>
      </w:r>
    </w:p>
    <w:p>
      <w:pPr>
        <w:pStyle w:val="LOnormal"/>
        <w:spacing w:lineRule="auto" w:line="240" w:before="60" w:after="60"/>
        <w:jc w:val="both"/>
        <w:rPr/>
      </w:pPr>
      <w:r>
        <w:rPr/>
        <w:t>5.8. Manter os contêineres em perfeito estado de conservação e higiene.</w:t>
      </w:r>
    </w:p>
    <w:p>
      <w:pPr>
        <w:pStyle w:val="LOnormal"/>
        <w:spacing w:lineRule="auto" w:line="240" w:before="60" w:after="60"/>
        <w:jc w:val="both"/>
        <w:rPr/>
      </w:pPr>
      <w:r>
        <w:rPr/>
        <w:t>5.9. Os resíduos sólidos recolhidos deverão ser acondicionados de acordo com as recomendações exigidas pela NBR 10004, devendo o local ficar limpo.</w:t>
      </w:r>
    </w:p>
    <w:p>
      <w:pPr>
        <w:pStyle w:val="LOnormal"/>
        <w:spacing w:lineRule="auto" w:line="240" w:before="60" w:after="60"/>
        <w:jc w:val="both"/>
        <w:rPr/>
      </w:pPr>
      <w:r>
        <w:rPr/>
        <w:t>5.10. No caso de qualquer dia de coleta coincidir com um feriado, a contratada se obrigará a fazê-la no dia útil imediatamente posterior. No caso da coleta de sexta-feira coincidir com um feriado, esta deverá ser feita na quinta-feira imediatamente anterior.</w:t>
      </w:r>
    </w:p>
    <w:p>
      <w:pPr>
        <w:pStyle w:val="LOnormal"/>
        <w:spacing w:lineRule="auto" w:line="240" w:before="60" w:after="60"/>
        <w:jc w:val="both"/>
        <w:rPr/>
      </w:pPr>
      <w:r>
        <w:rPr/>
        <w:t>5.11. Atender plenamente as normas da Lei Municipal de Fortaleza nº 8408, de 24 de dezembro de 1999, Decreto Municipal Nº 10.696 de 02 de fevereiro de 2000 e Decreto Municipal Nº 10.780 de 05 de junho de 2000.</w:t>
      </w:r>
    </w:p>
    <w:p>
      <w:pPr>
        <w:pStyle w:val="LOnormal"/>
        <w:spacing w:lineRule="auto" w:line="240" w:before="60" w:after="60"/>
        <w:jc w:val="both"/>
        <w:rPr/>
      </w:pPr>
      <w:r>
        <w:rPr/>
        <w:t>5.12. Toda a coleta deverá ser automatizada por meio de veículos apropriados autoportantes, de propriedade da empresa contratada, bem como os contêineres de armazenamento.</w:t>
      </w:r>
    </w:p>
    <w:p>
      <w:pPr>
        <w:pStyle w:val="LOnormal"/>
        <w:spacing w:lineRule="auto" w:line="240" w:before="60" w:after="60"/>
        <w:jc w:val="both"/>
        <w:rPr/>
      </w:pPr>
      <w:r>
        <w:rPr/>
        <w:t>5.13. A contratada deverá apresentar junto à fatura mensal documento que comprove que a descarga dos resíduos sólidos (lixo comum) foi realizada em aterro sanitário regularizado.</w:t>
      </w:r>
    </w:p>
    <w:p>
      <w:pPr>
        <w:pStyle w:val="LOnormal"/>
        <w:spacing w:lineRule="auto" w:line="240" w:before="60" w:after="60"/>
        <w:jc w:val="both"/>
        <w:rPr/>
      </w:pPr>
      <w:r>
        <w:rPr/>
        <w:t>5.14. A proponente deverá observar o cumprimento da legislação ambiental de acordo com as legislações em vigor, resolução RDC nº 306, de 2004, da Agência nacional de Vigilância Sanitária (ANVISA) e a resolução nº 358, de 2005, do Conselho Nacional do meio Ambiente (CONAMA), da Superintendência Estadual do Meio Ambiente (SEMACE) e da Secretaria Municipal de Urbanismo e Meio Ambiente (SEUMA).</w:t>
      </w:r>
    </w:p>
    <w:p>
      <w:pPr>
        <w:pStyle w:val="LOnormal"/>
        <w:spacing w:lineRule="auto" w:line="240" w:before="60" w:after="60"/>
        <w:jc w:val="both"/>
        <w:rPr/>
      </w:pPr>
      <w:r>
        <w:rPr/>
        <w:t>5.15. É de inteira responsabilidade da Contratada o treinamento e qualificação dos recursos de mão-de-obra, material e equipamentos necessários aos trabalhos e serviços contratados.</w:t>
      </w:r>
    </w:p>
    <w:p>
      <w:pPr>
        <w:pStyle w:val="LOnormal"/>
        <w:spacing w:lineRule="auto" w:line="240" w:before="60" w:after="60"/>
        <w:jc w:val="both"/>
        <w:rPr>
          <w:highlight w:val="white"/>
        </w:rPr>
      </w:pPr>
      <w:r>
        <w:rPr/>
        <w:t>5.16. Os Funcionários da Empresa Contratada deverão estar devidamente uniformizados e nec</w:t>
      </w:r>
      <w:r>
        <w:rPr>
          <w:highlight w:val="white"/>
        </w:rPr>
        <w:t>essariamente equipados com materiais de proteção e segurança, ferramentas e demais equipamentos necessários à execução das atividades.</w:t>
      </w:r>
    </w:p>
    <w:p>
      <w:pPr>
        <w:pStyle w:val="LOnormal"/>
        <w:spacing w:lineRule="auto" w:line="240" w:before="60" w:after="60"/>
        <w:jc w:val="both"/>
        <w:rPr/>
      </w:pPr>
      <w:r>
        <w:rPr>
          <w:highlight w:val="white"/>
        </w:rPr>
        <w:t>5.17. A contratação te</w:t>
      </w:r>
      <w:r>
        <w:rPr/>
        <w:t>rá vigência de 12 meses, podendo ser prorrogado por interesse das partes até o limite legalmente permitido, desde que haja autorização formal da autoridade competente e observados os seguintes requisitos:</w:t>
      </w:r>
    </w:p>
    <w:p>
      <w:pPr>
        <w:pStyle w:val="LOnormal"/>
        <w:spacing w:lineRule="auto" w:line="240" w:before="60" w:after="60"/>
        <w:jc w:val="both"/>
        <w:rPr>
          <w:highlight w:val="white"/>
        </w:rPr>
      </w:pPr>
      <w:r>
        <w:rPr/>
        <w:t>5.18.</w:t>
      </w:r>
      <w:r>
        <w:rPr>
          <w:highlight w:val="white"/>
        </w:rPr>
        <w:t xml:space="preserve"> Os serviços tenham sido prestados regularmente;</w:t>
      </w:r>
    </w:p>
    <w:p>
      <w:pPr>
        <w:pStyle w:val="LOnormal"/>
        <w:spacing w:lineRule="auto" w:line="240" w:before="60" w:after="60"/>
        <w:jc w:val="both"/>
        <w:rPr>
          <w:highlight w:val="white"/>
        </w:rPr>
      </w:pPr>
      <w:r>
        <w:rPr>
          <w:highlight w:val="white"/>
        </w:rPr>
        <w:t xml:space="preserve">5.18.1. Seja comprovado, </w:t>
      </w:r>
      <w:r>
        <w:rPr/>
        <w:t>por meio</w:t>
      </w:r>
      <w:r>
        <w:rPr>
          <w:highlight w:val="white"/>
        </w:rPr>
        <w:t xml:space="preserve"> de pesquisa de mercado, que o valor do contrato permaneça economicamente vantajoso para a Administração;</w:t>
      </w:r>
    </w:p>
    <w:p>
      <w:pPr>
        <w:pStyle w:val="LOnormal"/>
        <w:spacing w:lineRule="auto" w:line="240" w:before="60" w:after="60"/>
        <w:jc w:val="both"/>
        <w:rPr>
          <w:highlight w:val="white"/>
        </w:rPr>
      </w:pPr>
      <w:r>
        <w:rPr>
          <w:highlight w:val="white"/>
        </w:rPr>
        <w:t>5.18.2. Haja manifestação expressa da contratada informando o interesse na prorrogação;</w:t>
      </w:r>
    </w:p>
    <w:p>
      <w:pPr>
        <w:pStyle w:val="LOnormal"/>
        <w:spacing w:lineRule="auto" w:line="240" w:before="60" w:after="60"/>
        <w:jc w:val="both"/>
        <w:rPr>
          <w:highlight w:val="white"/>
        </w:rPr>
      </w:pPr>
      <w:r>
        <w:rPr>
          <w:highlight w:val="white"/>
        </w:rPr>
        <w:t>5.18.3. Seja comprovado que o contratado mantém as condições iniciais de habilitação.</w:t>
      </w:r>
    </w:p>
    <w:p>
      <w:pPr>
        <w:pStyle w:val="LOnormal"/>
        <w:spacing w:lineRule="auto" w:line="240" w:before="60" w:after="60"/>
        <w:jc w:val="both"/>
        <w:rPr/>
      </w:pPr>
      <w:r>
        <w:rPr>
          <w:highlight w:val="white"/>
        </w:rPr>
        <w:t>5.19. A compro</w:t>
      </w:r>
      <w:r>
        <w:rPr/>
        <w:t>vação da realização da prestação dos serviços de coleta de lixo se dará por meio de registro do serviço em documento formal (demonstrativo, ticket, comprovante, etc) emitido pela contratada atestando a realização da coleta do dia, devidamente assinada por representante da Contratante.</w:t>
      </w:r>
    </w:p>
    <w:p>
      <w:pPr>
        <w:pStyle w:val="LOnormal"/>
        <w:spacing w:lineRule="auto" w:line="240" w:before="60" w:after="60"/>
        <w:jc w:val="both"/>
        <w:rPr>
          <w:highlight w:val="white"/>
        </w:rPr>
      </w:pPr>
      <w:r>
        <w:rPr>
          <w:highlight w:val="white"/>
        </w:rPr>
        <w:t>5.20.</w:t>
      </w:r>
      <w:r>
        <w:rPr>
          <w:b/>
          <w:color w:val="FF0000"/>
          <w:highlight w:val="white"/>
        </w:rPr>
        <w:t xml:space="preserve"> </w:t>
      </w:r>
      <w:r>
        <w:rPr>
          <w:highlight w:val="white"/>
        </w:rPr>
        <w:t>O serviço objeto desta contratação é caracterizado como comum, conforme prevê inciso XIII, do art. 6º da Lei 14.133, de 2021, pois, seus padrões de desempenho e qualidade foram objetivamente definidos neste instrumento, por meio de especificações usuais de mercado.</w:t>
      </w:r>
    </w:p>
    <w:p>
      <w:pPr>
        <w:pStyle w:val="LOnormal"/>
        <w:spacing w:lineRule="auto" w:line="240" w:before="60" w:after="60"/>
        <w:jc w:val="both"/>
        <w:rPr>
          <w:color w:val="CE181E"/>
        </w:rPr>
      </w:pPr>
      <w:r>
        <w:rPr>
          <w:highlight w:val="white"/>
        </w:rPr>
        <w:t>5.21. O serviço é enquadrado como continuado tendo em vista que se trata de serviço essencial e sua interrupção pode comprometer a saúde da população implicando em sérios transtornos e comprometendo o funcionamento regular da Secretaria da Cultura do Estado do Ceará - SECULT-CE, sendo a vigência plurianual mais vantajosa considerando a disposição do presente Estudo Técnico Preliminar.</w:t>
      </w:r>
    </w:p>
    <w:p>
      <w:pPr>
        <w:pStyle w:val="LOnormal"/>
        <w:spacing w:lineRule="auto" w:line="240" w:before="60" w:after="60"/>
        <w:jc w:val="both"/>
        <w:rPr/>
      </w:pPr>
      <w:r>
        <w:rPr/>
        <w:t>5.2. O objeto da contratação está previsto no Plano de Contratações Anual e com as diretrizes de logística sustentável, além de outros instrumentos de planejamento da Administração, definidos em regulamento do Poder Executivo Estadual, conforme art. 6º do Decreto Estadual nº 35.283/2023.</w:t>
      </w:r>
    </w:p>
    <w:p>
      <w:pPr>
        <w:pStyle w:val="LOnormal"/>
        <w:spacing w:lineRule="auto" w:line="240" w:before="60" w:after="60"/>
        <w:jc w:val="both"/>
        <w:rPr>
          <w:b/>
          <w:b/>
          <w:highlight w:val="white"/>
        </w:rPr>
      </w:pPr>
      <w:r>
        <w:rPr>
          <w:b/>
          <w:highlight w:val="white"/>
        </w:rPr>
        <w:t>6. DA EXECUÇÃO DO OBJETO</w:t>
      </w:r>
    </w:p>
    <w:p>
      <w:pPr>
        <w:pStyle w:val="LOnormal"/>
        <w:spacing w:lineRule="auto" w:line="240" w:before="60" w:after="60"/>
        <w:jc w:val="both"/>
        <w:rPr/>
      </w:pPr>
      <w:r>
        <w:rPr/>
        <w:t>6.1. O prazo de execução do objeto contratual é de 12 (doze) meses, contado a partir do recebimento da primeira ordem de serviço ou instrumento equivalente.</w:t>
      </w:r>
    </w:p>
    <w:p>
      <w:pPr>
        <w:pStyle w:val="LOnormal"/>
        <w:spacing w:lineRule="auto" w:line="240" w:before="60" w:after="60"/>
        <w:ind w:right="5" w:hanging="0"/>
        <w:jc w:val="both"/>
        <w:rPr/>
      </w:pPr>
      <w:r>
        <w:rPr/>
        <w:t>6.1.1. O prazo de execução poderá ser prorrogado, nos termos da Lei n° 14.133/2021.</w:t>
      </w:r>
    </w:p>
    <w:p>
      <w:pPr>
        <w:pStyle w:val="LOnormal"/>
        <w:spacing w:lineRule="auto" w:line="240" w:before="60" w:after="60"/>
        <w:ind w:right="5" w:hanging="0"/>
        <w:jc w:val="both"/>
        <w:rPr>
          <w:b/>
          <w:b/>
          <w:highlight w:val="white"/>
        </w:rPr>
      </w:pPr>
      <w:r>
        <w:rPr>
          <w:b/>
          <w:highlight w:val="white"/>
        </w:rPr>
        <w:t>6.2. Condições de Execução</w:t>
      </w:r>
    </w:p>
    <w:p>
      <w:pPr>
        <w:pStyle w:val="LOnormal"/>
        <w:spacing w:lineRule="auto" w:line="240" w:before="60" w:after="60"/>
        <w:ind w:right="5" w:hanging="0"/>
        <w:jc w:val="both"/>
        <w:rPr/>
      </w:pPr>
      <w:r>
        <w:rPr/>
        <w:t>6.2.1. A descrição detalhada dos métodos, rotinas, etapas, tecnologias, procedimentos, frequência e periodicidade de execução do trabalho, obedecerá o seguinte:</w:t>
      </w:r>
    </w:p>
    <w:p>
      <w:pPr>
        <w:pStyle w:val="LOnormal"/>
        <w:tabs>
          <w:tab w:val="clear" w:pos="720"/>
          <w:tab w:val="center" w:pos="-1260" w:leader="none"/>
        </w:tabs>
        <w:spacing w:lineRule="auto" w:line="240" w:before="57" w:after="57"/>
        <w:ind w:right="5" w:hanging="0"/>
        <w:jc w:val="both"/>
        <w:rPr>
          <w:highlight w:val="white"/>
        </w:rPr>
      </w:pPr>
      <w:r>
        <w:rPr>
          <w:highlight w:val="white"/>
        </w:rPr>
        <w:t xml:space="preserve">6.2.2. O serviço de coleta, transporte  e destinação final adequada dos resíduos sólidos urbano devem ser realizados por equipe disposta da seguinte forma: </w:t>
      </w:r>
    </w:p>
    <w:tbl>
      <w:tblPr>
        <w:tblStyle w:val="Table3"/>
        <w:tblW w:w="9359" w:type="dxa"/>
        <w:jc w:val="left"/>
        <w:tblInd w:w="0" w:type="dxa"/>
        <w:tblLayout w:type="fixed"/>
        <w:tblCellMar>
          <w:top w:w="0" w:type="dxa"/>
          <w:left w:w="108" w:type="dxa"/>
          <w:bottom w:w="0" w:type="dxa"/>
          <w:right w:w="108" w:type="dxa"/>
        </w:tblCellMar>
        <w:tblLook w:val="0600"/>
      </w:tblPr>
      <w:tblGrid>
        <w:gridCol w:w="4680"/>
        <w:gridCol w:w="4678"/>
      </w:tblGrid>
      <w:tr>
        <w:trPr>
          <w:trHeight w:val="420" w:hRule="atLeast"/>
        </w:trPr>
        <w:tc>
          <w:tcPr>
            <w:tcW w:w="9358" w:type="dxa"/>
            <w:gridSpan w:val="2"/>
            <w:tcBorders>
              <w:top w:val="single" w:sz="8" w:space="0" w:color="000000"/>
              <w:left w:val="single" w:sz="8" w:space="0" w:color="000000"/>
              <w:bottom w:val="single" w:sz="8" w:space="0" w:color="000000"/>
              <w:right w:val="single" w:sz="8" w:space="0" w:color="000000"/>
            </w:tcBorders>
            <w:shd w:fill="D9D9D9" w:val="clear"/>
          </w:tcPr>
          <w:p>
            <w:pPr>
              <w:pStyle w:val="LOnormal"/>
              <w:widowControl w:val="false"/>
              <w:spacing w:lineRule="auto" w:line="240"/>
              <w:jc w:val="center"/>
              <w:rPr>
                <w:highlight w:val="white"/>
              </w:rPr>
            </w:pPr>
            <w:r>
              <w:rPr>
                <w:b/>
                <w:sz w:val="20"/>
                <w:szCs w:val="20"/>
                <w:shd w:fill="D9D9D9" w:val="clear"/>
              </w:rPr>
              <w:t>INFORMAÇÕES GERAIS</w:t>
            </w:r>
          </w:p>
        </w:tc>
      </w:tr>
      <w:tr>
        <w:trPr>
          <w:trHeight w:val="252" w:hRule="atLeast"/>
        </w:trPr>
        <w:tc>
          <w:tcPr>
            <w:tcW w:w="46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jc w:val="center"/>
              <w:rPr>
                <w:highlight w:val="white"/>
              </w:rPr>
            </w:pPr>
            <w:r>
              <w:rPr>
                <w:highlight w:val="white"/>
              </w:rPr>
              <w:t>Coletor / Gari</w:t>
            </w:r>
          </w:p>
        </w:tc>
        <w:tc>
          <w:tcPr>
            <w:tcW w:w="467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jc w:val="center"/>
              <w:rPr>
                <w:highlight w:val="white"/>
              </w:rPr>
            </w:pPr>
            <w:r>
              <w:rPr>
                <w:highlight w:val="white"/>
              </w:rPr>
              <w:t>2</w:t>
            </w:r>
          </w:p>
        </w:tc>
      </w:tr>
      <w:tr>
        <w:trPr/>
        <w:tc>
          <w:tcPr>
            <w:tcW w:w="46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jc w:val="center"/>
              <w:rPr>
                <w:highlight w:val="white"/>
              </w:rPr>
            </w:pPr>
            <w:r>
              <w:rPr>
                <w:highlight w:val="white"/>
              </w:rPr>
              <w:t>Motorista</w:t>
            </w:r>
          </w:p>
        </w:tc>
        <w:tc>
          <w:tcPr>
            <w:tcW w:w="467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jc w:val="center"/>
              <w:rPr>
                <w:highlight w:val="white"/>
              </w:rPr>
            </w:pPr>
            <w:r>
              <w:rPr>
                <w:highlight w:val="white"/>
              </w:rPr>
              <w:t>1</w:t>
            </w:r>
          </w:p>
        </w:tc>
      </w:tr>
    </w:tbl>
    <w:p>
      <w:pPr>
        <w:pStyle w:val="LOnormal"/>
        <w:tabs>
          <w:tab w:val="clear" w:pos="720"/>
          <w:tab w:val="center" w:pos="-1260" w:leader="none"/>
        </w:tabs>
        <w:spacing w:lineRule="auto" w:line="240" w:before="57" w:after="57"/>
        <w:jc w:val="both"/>
        <w:rPr>
          <w:color w:val="1C4587"/>
        </w:rPr>
      </w:pPr>
      <w:r>
        <w:rPr>
          <w:highlight w:val="white"/>
        </w:rPr>
        <w:t xml:space="preserve">6.2.3. Executar os serviços nos endereços citados e em perfeitas condições, nas quantidades informadas pela contratante; </w:t>
      </w:r>
    </w:p>
    <w:p>
      <w:pPr>
        <w:pStyle w:val="LOnormal"/>
        <w:tabs>
          <w:tab w:val="clear" w:pos="720"/>
          <w:tab w:val="center" w:pos="-1260" w:leader="none"/>
        </w:tabs>
        <w:spacing w:lineRule="auto" w:line="240" w:before="57" w:after="57"/>
        <w:jc w:val="both"/>
        <w:rPr>
          <w:highlight w:val="white"/>
        </w:rPr>
      </w:pPr>
      <w:r>
        <w:rPr/>
        <w:t xml:space="preserve">6.2.2.1. </w:t>
      </w:r>
      <w:r>
        <w:rPr>
          <w:highlight w:val="white"/>
        </w:rPr>
        <w:t>A execução dos serviços ocorrerá nas dependências da CONTRATANTE, situadas nos seguintes endereços:</w:t>
      </w:r>
    </w:p>
    <w:p>
      <w:pPr>
        <w:pStyle w:val="LOnormal"/>
        <w:tabs>
          <w:tab w:val="clear" w:pos="720"/>
          <w:tab w:val="center" w:pos="-1260" w:leader="none"/>
        </w:tabs>
        <w:spacing w:lineRule="auto" w:line="240" w:before="57" w:after="57"/>
        <w:jc w:val="both"/>
        <w:rPr>
          <w:highlight w:val="white"/>
        </w:rPr>
      </w:pPr>
      <w:r>
        <w:rPr>
          <w:highlight w:val="white"/>
        </w:rPr>
      </w:r>
    </w:p>
    <w:tbl>
      <w:tblPr>
        <w:tblStyle w:val="Table4"/>
        <w:tblW w:w="9405" w:type="dxa"/>
        <w:jc w:val="left"/>
        <w:tblInd w:w="-5" w:type="dxa"/>
        <w:tblLayout w:type="fixed"/>
        <w:tblCellMar>
          <w:top w:w="0" w:type="dxa"/>
          <w:left w:w="108" w:type="dxa"/>
          <w:bottom w:w="0" w:type="dxa"/>
          <w:right w:w="108" w:type="dxa"/>
        </w:tblCellMar>
        <w:tblLook w:val="0000"/>
      </w:tblPr>
      <w:tblGrid>
        <w:gridCol w:w="9405"/>
      </w:tblGrid>
      <w:tr>
        <w:trPr>
          <w:trHeight w:val="310" w:hRule="atLeast"/>
        </w:trPr>
        <w:tc>
          <w:tcPr>
            <w:tcW w:w="9405" w:type="dxa"/>
            <w:tcBorders>
              <w:top w:val="single" w:sz="4" w:space="0" w:color="000000"/>
              <w:left w:val="single" w:sz="4" w:space="0" w:color="000000"/>
              <w:bottom w:val="single" w:sz="4" w:space="0" w:color="000000"/>
              <w:right w:val="single" w:sz="4" w:space="0" w:color="000000"/>
            </w:tcBorders>
            <w:shd w:fill="D9D9D9" w:val="clear"/>
          </w:tcPr>
          <w:p>
            <w:pPr>
              <w:pStyle w:val="LOnormal"/>
              <w:widowControl w:val="false"/>
              <w:spacing w:lineRule="auto" w:line="240"/>
              <w:jc w:val="center"/>
              <w:rPr>
                <w:b/>
                <w:b/>
                <w:sz w:val="20"/>
                <w:szCs w:val="20"/>
                <w:shd w:fill="D9D9D9" w:val="clear"/>
              </w:rPr>
            </w:pPr>
            <w:r>
              <w:rPr>
                <w:b/>
                <w:sz w:val="20"/>
                <w:szCs w:val="20"/>
                <w:shd w:fill="D9D9D9" w:val="clear"/>
              </w:rPr>
              <w:t>LOCAIS:</w:t>
            </w:r>
          </w:p>
        </w:tc>
      </w:tr>
      <w:tr>
        <w:trPr>
          <w:trHeight w:val="310"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20"/>
                <w:szCs w:val="20"/>
                <w:highlight w:val="white"/>
              </w:rPr>
            </w:pPr>
            <w:r>
              <w:rPr>
                <w:b/>
                <w:sz w:val="20"/>
                <w:szCs w:val="20"/>
                <w:highlight w:val="white"/>
              </w:rPr>
              <w:t>Secretaria da Cultura do Estado do Ceará – SECULT</w:t>
            </w:r>
            <w:r>
              <w:rPr>
                <w:sz w:val="20"/>
                <w:szCs w:val="20"/>
                <w:highlight w:val="white"/>
              </w:rPr>
              <w:br/>
              <w:t xml:space="preserve">Rua Major Facundo Nº 500 / Edifício Cine São Luiz – Centro CEP.: 60025-100 - Fortaleza / Ceará. </w:t>
            </w:r>
          </w:p>
          <w:p>
            <w:pPr>
              <w:pStyle w:val="LOnormal"/>
              <w:widowControl w:val="false"/>
              <w:spacing w:lineRule="auto" w:line="240"/>
              <w:jc w:val="both"/>
              <w:rPr>
                <w:b/>
                <w:b/>
                <w:sz w:val="20"/>
                <w:szCs w:val="20"/>
                <w:highlight w:val="white"/>
              </w:rPr>
            </w:pPr>
            <w:r>
              <w:rPr>
                <w:b/>
                <w:sz w:val="20"/>
                <w:szCs w:val="20"/>
                <w:highlight w:val="white"/>
              </w:rPr>
              <w:t>(ATUAL - SEDE ADMINISTRATIVA)</w:t>
            </w:r>
          </w:p>
        </w:tc>
      </w:tr>
      <w:tr>
        <w:trPr>
          <w:trHeight w:val="1035"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20"/>
                <w:szCs w:val="20"/>
                <w:highlight w:val="white"/>
              </w:rPr>
            </w:pPr>
            <w:r>
              <w:rPr>
                <w:b/>
                <w:sz w:val="20"/>
                <w:szCs w:val="20"/>
                <w:highlight w:val="white"/>
              </w:rPr>
              <w:t>Secretaria da Cultura do Estado do Ceará – SECULT</w:t>
            </w:r>
            <w:r>
              <w:rPr>
                <w:sz w:val="20"/>
                <w:szCs w:val="20"/>
                <w:highlight w:val="white"/>
              </w:rPr>
              <w:br/>
            </w:r>
            <w:bookmarkStart w:id="2" w:name="bookmark=id.1fob9te"/>
            <w:bookmarkEnd w:id="2"/>
            <w:r>
              <w:rPr>
                <w:sz w:val="20"/>
                <w:szCs w:val="20"/>
                <w:highlight w:val="white"/>
              </w:rPr>
              <w:t>Avenida Dr. João Moreira Nº 540 / Complexo Cultural Estação das Artes – Centro CEP.: 60030-000 – Fortaleza / Ceará.</w:t>
            </w:r>
          </w:p>
          <w:p>
            <w:pPr>
              <w:pStyle w:val="LOnormal"/>
              <w:widowControl w:val="false"/>
              <w:spacing w:lineRule="auto" w:line="240"/>
              <w:jc w:val="both"/>
              <w:rPr>
                <w:b/>
                <w:b/>
                <w:sz w:val="20"/>
                <w:szCs w:val="20"/>
                <w:highlight w:val="white"/>
              </w:rPr>
            </w:pPr>
            <w:r>
              <w:rPr>
                <w:b/>
                <w:sz w:val="20"/>
                <w:szCs w:val="20"/>
                <w:highlight w:val="white"/>
              </w:rPr>
              <w:t xml:space="preserve">(NOVA - SEDE ADMINISTRATIVA) </w:t>
            </w:r>
          </w:p>
        </w:tc>
      </w:tr>
      <w:tr>
        <w:trPr>
          <w:trHeight w:val="397"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Arquivo Intermediário – AINT - </w:t>
            </w:r>
          </w:p>
          <w:p>
            <w:pPr>
              <w:pStyle w:val="LOnormal"/>
              <w:widowControl w:val="false"/>
              <w:spacing w:lineRule="auto" w:line="240"/>
              <w:jc w:val="both"/>
              <w:rPr>
                <w:sz w:val="20"/>
                <w:szCs w:val="20"/>
                <w:highlight w:val="white"/>
              </w:rPr>
            </w:pPr>
            <w:r>
              <w:rPr>
                <w:sz w:val="20"/>
                <w:szCs w:val="20"/>
                <w:highlight w:val="white"/>
              </w:rPr>
              <w:t>Rua Pinto Madeira nº 166 Centro/Fortaleza – Ceará.</w:t>
            </w:r>
          </w:p>
        </w:tc>
      </w:tr>
      <w:tr>
        <w:trPr>
          <w:trHeight w:val="310"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Arquivo Público do Estado do Ceará – APEC - </w:t>
            </w:r>
          </w:p>
          <w:p>
            <w:pPr>
              <w:pStyle w:val="LOnormal"/>
              <w:widowControl w:val="false"/>
              <w:spacing w:lineRule="auto" w:line="240"/>
              <w:jc w:val="both"/>
              <w:rPr>
                <w:sz w:val="20"/>
                <w:szCs w:val="20"/>
                <w:highlight w:val="white"/>
              </w:rPr>
            </w:pPr>
            <w:r>
              <w:rPr>
                <w:sz w:val="20"/>
                <w:szCs w:val="20"/>
                <w:highlight w:val="white"/>
              </w:rPr>
              <w:t>Rua Senador Alencar nº 348 Centro/Fortaleza/Ceará.</w:t>
            </w:r>
          </w:p>
        </w:tc>
      </w:tr>
      <w:tr>
        <w:trPr>
          <w:trHeight w:val="310"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Casa Juvenal Galeno – CJG </w:t>
            </w:r>
          </w:p>
          <w:p>
            <w:pPr>
              <w:pStyle w:val="LOnormal"/>
              <w:widowControl w:val="false"/>
              <w:spacing w:lineRule="auto" w:line="240"/>
              <w:jc w:val="both"/>
              <w:rPr>
                <w:sz w:val="20"/>
                <w:szCs w:val="20"/>
                <w:highlight w:val="white"/>
              </w:rPr>
            </w:pPr>
            <w:r>
              <w:rPr>
                <w:sz w:val="20"/>
                <w:szCs w:val="20"/>
                <w:highlight w:val="white"/>
              </w:rPr>
              <w:t>Rua General Sampaio nº 1128 Centro/Fortaleza/Ceará.</w:t>
            </w:r>
            <w:bookmarkStart w:id="3" w:name="bookmark=id.3znysh7"/>
            <w:bookmarkEnd w:id="3"/>
          </w:p>
        </w:tc>
      </w:tr>
      <w:tr>
        <w:trPr>
          <w:trHeight w:val="310"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Museu do Ceará -  MUSCE </w:t>
            </w:r>
          </w:p>
          <w:p>
            <w:pPr>
              <w:pStyle w:val="LOnormal"/>
              <w:widowControl w:val="false"/>
              <w:spacing w:lineRule="auto" w:line="240"/>
              <w:jc w:val="both"/>
              <w:rPr>
                <w:sz w:val="20"/>
                <w:szCs w:val="20"/>
                <w:highlight w:val="white"/>
              </w:rPr>
            </w:pPr>
            <w:r>
              <w:rPr>
                <w:sz w:val="20"/>
                <w:szCs w:val="20"/>
                <w:highlight w:val="white"/>
              </w:rPr>
              <w:t>Rua São Paulo nº 51 Centro/Fortaleza/Ceará.</w:t>
            </w:r>
          </w:p>
        </w:tc>
      </w:tr>
      <w:tr>
        <w:trPr>
          <w:trHeight w:val="310"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Anexo do Museu do Ceará – MUSCE </w:t>
            </w:r>
          </w:p>
          <w:p>
            <w:pPr>
              <w:pStyle w:val="LOnormal"/>
              <w:widowControl w:val="false"/>
              <w:spacing w:lineRule="auto" w:line="240"/>
              <w:jc w:val="both"/>
              <w:rPr>
                <w:sz w:val="20"/>
                <w:szCs w:val="20"/>
                <w:highlight w:val="white"/>
              </w:rPr>
            </w:pPr>
            <w:r>
              <w:rPr>
                <w:sz w:val="20"/>
                <w:szCs w:val="20"/>
                <w:highlight w:val="white"/>
              </w:rPr>
              <w:t>Rua Major Facundo nº 584 Centro/Fortaleza/Ceará.</w:t>
            </w:r>
          </w:p>
        </w:tc>
      </w:tr>
      <w:tr>
        <w:trPr>
          <w:trHeight w:val="310"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Museu Sacro São José de Ribamar</w:t>
            </w:r>
          </w:p>
          <w:p>
            <w:pPr>
              <w:pStyle w:val="LOnormal"/>
              <w:widowControl w:val="false"/>
              <w:spacing w:lineRule="auto" w:line="240"/>
              <w:jc w:val="both"/>
              <w:rPr>
                <w:sz w:val="20"/>
                <w:szCs w:val="20"/>
                <w:highlight w:val="white"/>
              </w:rPr>
            </w:pPr>
            <w:r>
              <w:rPr>
                <w:sz w:val="20"/>
                <w:szCs w:val="20"/>
                <w:highlight w:val="white"/>
              </w:rPr>
              <w:t>Praça Cônego Araripe, nº 22 Centro/Aquiraz/Ceará.</w:t>
            </w:r>
          </w:p>
        </w:tc>
      </w:tr>
      <w:tr>
        <w:trPr>
          <w:trHeight w:val="310"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Anexo do Museu Sacro São José de Ribamar </w:t>
            </w:r>
          </w:p>
          <w:p>
            <w:pPr>
              <w:pStyle w:val="LOnormal"/>
              <w:widowControl w:val="false"/>
              <w:spacing w:lineRule="auto" w:line="240"/>
              <w:jc w:val="both"/>
              <w:rPr>
                <w:sz w:val="20"/>
                <w:szCs w:val="20"/>
                <w:highlight w:val="white"/>
              </w:rPr>
            </w:pPr>
            <w:r>
              <w:rPr>
                <w:sz w:val="20"/>
                <w:szCs w:val="20"/>
                <w:highlight w:val="white"/>
              </w:rPr>
              <w:t>Praça Cônego Araripe, nº 301 Centro/Aquiraz/Ceará.</w:t>
            </w:r>
          </w:p>
        </w:tc>
      </w:tr>
      <w:tr>
        <w:trPr>
          <w:trHeight w:val="675"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Anexo do Museu Sacro São José de Ribamar </w:t>
            </w:r>
          </w:p>
          <w:p>
            <w:pPr>
              <w:pStyle w:val="LOnormal"/>
              <w:widowControl w:val="false"/>
              <w:spacing w:lineRule="auto" w:line="240"/>
              <w:jc w:val="both"/>
              <w:rPr>
                <w:sz w:val="20"/>
                <w:szCs w:val="20"/>
                <w:highlight w:val="white"/>
              </w:rPr>
            </w:pPr>
            <w:r>
              <w:rPr>
                <w:sz w:val="20"/>
                <w:szCs w:val="20"/>
                <w:highlight w:val="white"/>
              </w:rPr>
              <w:t>Praça Cônego Araripe, nº 09 Centro/Aquiraz/Ceará.</w:t>
            </w:r>
          </w:p>
        </w:tc>
      </w:tr>
      <w:tr>
        <w:trPr>
          <w:trHeight w:val="310" w:hRule="atLeast"/>
        </w:trPr>
        <w:tc>
          <w:tcPr>
            <w:tcW w:w="940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Teatro Carlos Câmara – TCC </w:t>
            </w:r>
          </w:p>
          <w:p>
            <w:pPr>
              <w:pStyle w:val="LOnormal"/>
              <w:widowControl w:val="false"/>
              <w:spacing w:lineRule="auto" w:line="240"/>
              <w:jc w:val="both"/>
              <w:rPr>
                <w:sz w:val="20"/>
                <w:szCs w:val="20"/>
                <w:highlight w:val="white"/>
              </w:rPr>
            </w:pPr>
            <w:r>
              <w:rPr>
                <w:sz w:val="20"/>
                <w:szCs w:val="20"/>
                <w:highlight w:val="white"/>
              </w:rPr>
              <w:t>Rua Senador Pompeu, nº 454 Centro/Fortaleza/Ceará.</w:t>
            </w:r>
          </w:p>
        </w:tc>
      </w:tr>
    </w:tbl>
    <w:p>
      <w:pPr>
        <w:pStyle w:val="LOnormal"/>
        <w:tabs>
          <w:tab w:val="clear" w:pos="720"/>
          <w:tab w:val="center" w:pos="-1260" w:leader="none"/>
        </w:tabs>
        <w:spacing w:lineRule="auto" w:line="240"/>
        <w:jc w:val="both"/>
        <w:rPr/>
      </w:pPr>
      <w:r>
        <w:rPr/>
      </w:r>
    </w:p>
    <w:p>
      <w:pPr>
        <w:pStyle w:val="LOnormal"/>
        <w:tabs>
          <w:tab w:val="clear" w:pos="720"/>
          <w:tab w:val="center" w:pos="-1260" w:leader="none"/>
        </w:tabs>
        <w:spacing w:lineRule="auto" w:line="240" w:before="57" w:after="57"/>
        <w:jc w:val="both"/>
        <w:rPr/>
      </w:pPr>
      <w:r>
        <w:rPr/>
        <w:t>6.2.3. Para a execução do serviço será obedecido o seguinte Cronograma:</w:t>
      </w:r>
    </w:p>
    <w:p>
      <w:pPr>
        <w:pStyle w:val="LOnormal"/>
        <w:tabs>
          <w:tab w:val="clear" w:pos="720"/>
          <w:tab w:val="center" w:pos="-1260" w:leader="none"/>
        </w:tabs>
        <w:spacing w:lineRule="auto" w:line="240"/>
        <w:jc w:val="both"/>
        <w:rPr/>
      </w:pPr>
      <w:r>
        <w:rPr/>
      </w:r>
    </w:p>
    <w:tbl>
      <w:tblPr>
        <w:tblStyle w:val="Table5"/>
        <w:tblW w:w="9389" w:type="dxa"/>
        <w:jc w:val="left"/>
        <w:tblInd w:w="-5" w:type="dxa"/>
        <w:tblLayout w:type="fixed"/>
        <w:tblCellMar>
          <w:top w:w="0" w:type="dxa"/>
          <w:left w:w="108" w:type="dxa"/>
          <w:bottom w:w="0" w:type="dxa"/>
          <w:right w:w="108" w:type="dxa"/>
        </w:tblCellMar>
        <w:tblLook w:val="0000"/>
      </w:tblPr>
      <w:tblGrid>
        <w:gridCol w:w="4695"/>
        <w:gridCol w:w="1636"/>
        <w:gridCol w:w="1602"/>
        <w:gridCol w:w="1455"/>
      </w:tblGrid>
      <w:tr>
        <w:trPr>
          <w:trHeight w:val="540" w:hRule="atLeast"/>
        </w:trPr>
        <w:tc>
          <w:tcPr>
            <w:tcW w:w="9388" w:type="dxa"/>
            <w:gridSpan w:val="4"/>
            <w:tcBorders>
              <w:top w:val="single" w:sz="4" w:space="0" w:color="000000"/>
              <w:left w:val="single" w:sz="4" w:space="0" w:color="000000"/>
              <w:bottom w:val="single" w:sz="4" w:space="0" w:color="000000"/>
              <w:right w:val="single" w:sz="4" w:space="0" w:color="000000"/>
            </w:tcBorders>
            <w:shd w:fill="D9D9D9" w:val="clear"/>
            <w:vAlign w:val="center"/>
          </w:tcPr>
          <w:p>
            <w:pPr>
              <w:pStyle w:val="LOnormal"/>
              <w:widowControl w:val="false"/>
              <w:spacing w:lineRule="auto" w:line="240"/>
              <w:jc w:val="center"/>
              <w:rPr>
                <w:b/>
                <w:b/>
                <w:sz w:val="20"/>
                <w:szCs w:val="20"/>
                <w:shd w:fill="D9D9D9" w:val="clear"/>
              </w:rPr>
            </w:pPr>
            <w:r>
              <w:rPr>
                <w:b/>
                <w:sz w:val="20"/>
                <w:szCs w:val="20"/>
                <w:shd w:fill="D9D9D9" w:val="clear"/>
              </w:rPr>
              <w:t>COLETA, LIMPEZA DO LOCAL E TRANSPORTES DE RESÍDUOS SÓLIDOS DE LIXO</w:t>
            </w:r>
          </w:p>
        </w:tc>
      </w:tr>
      <w:tr>
        <w:trPr/>
        <w:tc>
          <w:tcPr>
            <w:tcW w:w="4695" w:type="dxa"/>
            <w:tcBorders>
              <w:top w:val="single" w:sz="4" w:space="0" w:color="000000"/>
              <w:left w:val="single" w:sz="4" w:space="0" w:color="000000"/>
              <w:bottom w:val="single" w:sz="4" w:space="0" w:color="000000"/>
              <w:right w:val="single" w:sz="4" w:space="0" w:color="000000"/>
            </w:tcBorders>
            <w:shd w:fill="D9D9D9" w:val="clear"/>
          </w:tcPr>
          <w:p>
            <w:pPr>
              <w:pStyle w:val="LOnormal"/>
              <w:widowControl w:val="false"/>
              <w:spacing w:lineRule="auto" w:line="240"/>
              <w:jc w:val="center"/>
              <w:rPr>
                <w:b/>
                <w:b/>
                <w:sz w:val="20"/>
                <w:szCs w:val="20"/>
                <w:shd w:fill="D9D9D9" w:val="clear"/>
              </w:rPr>
            </w:pPr>
            <w:r>
              <w:rPr>
                <w:b/>
                <w:sz w:val="20"/>
                <w:szCs w:val="20"/>
                <w:shd w:fill="D9D9D9" w:val="clear"/>
              </w:rPr>
              <w:t>LOCAL</w:t>
            </w:r>
          </w:p>
        </w:tc>
        <w:tc>
          <w:tcPr>
            <w:tcW w:w="1636" w:type="dxa"/>
            <w:tcBorders>
              <w:top w:val="single" w:sz="4" w:space="0" w:color="000000"/>
              <w:left w:val="single" w:sz="4" w:space="0" w:color="000000"/>
              <w:bottom w:val="single" w:sz="4" w:space="0" w:color="000000"/>
              <w:right w:val="single" w:sz="4" w:space="0" w:color="000000"/>
            </w:tcBorders>
            <w:shd w:fill="D9D9D9" w:val="clear"/>
          </w:tcPr>
          <w:p>
            <w:pPr>
              <w:pStyle w:val="LOnormal"/>
              <w:widowControl w:val="false"/>
              <w:spacing w:lineRule="auto" w:line="240"/>
              <w:jc w:val="center"/>
              <w:rPr>
                <w:b/>
                <w:b/>
                <w:sz w:val="20"/>
                <w:szCs w:val="20"/>
                <w:shd w:fill="D9D9D9" w:val="clear"/>
              </w:rPr>
            </w:pPr>
            <w:r>
              <w:rPr>
                <w:b/>
                <w:sz w:val="20"/>
                <w:szCs w:val="20"/>
                <w:shd w:fill="D9D9D9" w:val="clear"/>
              </w:rPr>
              <w:t xml:space="preserve">QTDE. </w:t>
            </w:r>
          </w:p>
        </w:tc>
        <w:tc>
          <w:tcPr>
            <w:tcW w:w="1602" w:type="dxa"/>
            <w:tcBorders>
              <w:top w:val="single" w:sz="4" w:space="0" w:color="000000"/>
              <w:left w:val="single" w:sz="4" w:space="0" w:color="000000"/>
              <w:bottom w:val="single" w:sz="4" w:space="0" w:color="000000"/>
              <w:right w:val="single" w:sz="4" w:space="0" w:color="000000"/>
            </w:tcBorders>
            <w:shd w:fill="D9D9D9" w:val="clear"/>
          </w:tcPr>
          <w:p>
            <w:pPr>
              <w:pStyle w:val="LOnormal"/>
              <w:widowControl w:val="false"/>
              <w:spacing w:lineRule="auto" w:line="240"/>
              <w:jc w:val="center"/>
              <w:rPr>
                <w:b/>
                <w:b/>
                <w:sz w:val="20"/>
                <w:szCs w:val="20"/>
                <w:shd w:fill="D9D9D9" w:val="clear"/>
              </w:rPr>
            </w:pPr>
            <w:r>
              <w:rPr>
                <w:b/>
                <w:sz w:val="20"/>
                <w:szCs w:val="20"/>
                <w:shd w:fill="D9D9D9" w:val="clear"/>
              </w:rPr>
              <w:t>DIAS DA SEMANA</w:t>
            </w:r>
          </w:p>
        </w:tc>
        <w:tc>
          <w:tcPr>
            <w:tcW w:w="1455" w:type="dxa"/>
            <w:tcBorders>
              <w:top w:val="single" w:sz="4" w:space="0" w:color="000000"/>
              <w:left w:val="single" w:sz="4" w:space="0" w:color="000000"/>
              <w:bottom w:val="single" w:sz="4" w:space="0" w:color="000000"/>
              <w:right w:val="single" w:sz="4" w:space="0" w:color="000000"/>
            </w:tcBorders>
            <w:shd w:fill="D9D9D9" w:val="clear"/>
          </w:tcPr>
          <w:p>
            <w:pPr>
              <w:pStyle w:val="LOnormal"/>
              <w:widowControl w:val="false"/>
              <w:spacing w:lineRule="auto" w:line="240"/>
              <w:jc w:val="center"/>
              <w:rPr>
                <w:b/>
                <w:b/>
                <w:sz w:val="20"/>
                <w:szCs w:val="20"/>
                <w:shd w:fill="D9D9D9" w:val="clear"/>
              </w:rPr>
            </w:pPr>
            <w:r>
              <w:rPr>
                <w:b/>
                <w:sz w:val="20"/>
                <w:szCs w:val="20"/>
                <w:shd w:fill="D9D9D9" w:val="clear"/>
              </w:rPr>
              <w:t>PAGAMENTO</w:t>
            </w:r>
          </w:p>
        </w:tc>
      </w:tr>
      <w:tr>
        <w:trPr>
          <w:trHeight w:val="310"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20"/>
                <w:szCs w:val="20"/>
                <w:highlight w:val="white"/>
              </w:rPr>
            </w:pPr>
            <w:r>
              <w:rPr>
                <w:b/>
                <w:sz w:val="20"/>
                <w:szCs w:val="20"/>
                <w:highlight w:val="white"/>
              </w:rPr>
              <w:t>Secretaria da Cultura do Estado do Ceará – SECULT</w:t>
            </w:r>
            <w:r>
              <w:rPr>
                <w:sz w:val="20"/>
                <w:szCs w:val="20"/>
                <w:highlight w:val="white"/>
              </w:rPr>
              <w:br/>
              <w:t xml:space="preserve">Rua Major Facundo Nº 500 / Edifício Cine São Luiz – Centro CEP.: 60025-100 - Fortaleza / Ceará. </w:t>
            </w:r>
          </w:p>
          <w:p>
            <w:pPr>
              <w:pStyle w:val="LOnormal"/>
              <w:widowControl w:val="false"/>
              <w:spacing w:lineRule="auto" w:line="240"/>
              <w:jc w:val="both"/>
              <w:rPr>
                <w:b/>
                <w:b/>
                <w:sz w:val="20"/>
                <w:szCs w:val="20"/>
                <w:highlight w:val="white"/>
              </w:rPr>
            </w:pPr>
            <w:r>
              <w:rPr>
                <w:b/>
                <w:sz w:val="20"/>
                <w:szCs w:val="20"/>
                <w:highlight w:val="white"/>
              </w:rPr>
              <w:t>(ATUAL - SEDE ADMINISTRATIVA)</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02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Segunda-feira</w:t>
              <w:br/>
              <w:t>Quarta-feira</w:t>
              <w:br/>
              <w:t xml:space="preserve">Sexta-feira </w:t>
            </w:r>
          </w:p>
        </w:tc>
        <w:tc>
          <w:tcPr>
            <w:tcW w:w="1455"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O pagamento ocorrerá em até 30 (trinta) dias úteis após recebimento definitivo dos serviços por meio do atesto da Nota Fiscal de Serviço.</w:t>
            </w:r>
          </w:p>
        </w:tc>
      </w:tr>
      <w:tr>
        <w:trPr>
          <w:trHeight w:val="1035"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sz w:val="20"/>
                <w:szCs w:val="20"/>
                <w:highlight w:val="white"/>
              </w:rPr>
            </w:pPr>
            <w:r>
              <w:rPr>
                <w:b/>
                <w:sz w:val="20"/>
                <w:szCs w:val="20"/>
                <w:highlight w:val="white"/>
              </w:rPr>
              <w:t>Secretaria da Cultura do Estado do Ceará – SECULT</w:t>
            </w:r>
            <w:r>
              <w:rPr>
                <w:sz w:val="20"/>
                <w:szCs w:val="20"/>
                <w:highlight w:val="white"/>
              </w:rPr>
              <w:br/>
            </w:r>
            <w:bookmarkStart w:id="4" w:name="bookmark=id.2et92p0"/>
            <w:bookmarkEnd w:id="4"/>
            <w:r>
              <w:rPr>
                <w:sz w:val="20"/>
                <w:szCs w:val="20"/>
                <w:highlight w:val="white"/>
              </w:rPr>
              <w:t>Avenida Dr. João Moreira Nº 540 / Complexo Cultural Estação das Artes – Centro CEP.: 60030-000 – Fortaleza / Ceará.</w:t>
            </w:r>
          </w:p>
          <w:p>
            <w:pPr>
              <w:pStyle w:val="LOnormal"/>
              <w:widowControl w:val="false"/>
              <w:spacing w:lineRule="auto" w:line="240"/>
              <w:jc w:val="both"/>
              <w:rPr>
                <w:b/>
                <w:b/>
                <w:sz w:val="20"/>
                <w:szCs w:val="20"/>
                <w:highlight w:val="white"/>
              </w:rPr>
            </w:pPr>
            <w:r>
              <w:rPr>
                <w:b/>
                <w:sz w:val="20"/>
                <w:szCs w:val="20"/>
                <w:highlight w:val="white"/>
              </w:rPr>
              <w:t xml:space="preserve">(NOVA - SEDE ADMINISTRATIVA) </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before="0" w:after="140"/>
              <w:jc w:val="center"/>
              <w:rPr>
                <w:sz w:val="20"/>
                <w:szCs w:val="20"/>
                <w:highlight w:val="white"/>
              </w:rPr>
            </w:pPr>
            <w:r>
              <w:rPr>
                <w:sz w:val="20"/>
                <w:szCs w:val="20"/>
                <w:highlight w:val="white"/>
              </w:rPr>
              <w:t>06 Contentores de 240 litros</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Segunda-feira</w:t>
              <w:br/>
              <w:t>Quarta-feira</w:t>
              <w:br/>
              <w:t xml:space="preserve">Sexta-feira </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p>
        </w:tc>
      </w:tr>
      <w:tr>
        <w:trPr>
          <w:trHeight w:val="397"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Arquivo Intermediário – AINT - </w:t>
            </w:r>
          </w:p>
          <w:p>
            <w:pPr>
              <w:pStyle w:val="LOnormal"/>
              <w:widowControl w:val="false"/>
              <w:spacing w:lineRule="auto" w:line="240"/>
              <w:jc w:val="both"/>
              <w:rPr>
                <w:sz w:val="20"/>
                <w:szCs w:val="20"/>
                <w:highlight w:val="white"/>
              </w:rPr>
            </w:pPr>
            <w:r>
              <w:rPr>
                <w:sz w:val="20"/>
                <w:szCs w:val="20"/>
                <w:highlight w:val="white"/>
              </w:rPr>
              <w:t>Rua Pinto Madeira nº 166 Centro/Fortaleza – Ceará.</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01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Terça-feira</w:t>
              <w:br/>
              <w:t>Sexta-feira</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p>
        </w:tc>
      </w:tr>
      <w:tr>
        <w:trPr>
          <w:trHeight w:val="310"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Arquivo Público do Estado do Ceará – APEC - </w:t>
            </w:r>
          </w:p>
          <w:p>
            <w:pPr>
              <w:pStyle w:val="LOnormal"/>
              <w:widowControl w:val="false"/>
              <w:spacing w:lineRule="auto" w:line="240"/>
              <w:jc w:val="both"/>
              <w:rPr>
                <w:sz w:val="20"/>
                <w:szCs w:val="20"/>
                <w:highlight w:val="white"/>
              </w:rPr>
            </w:pPr>
            <w:r>
              <w:rPr>
                <w:sz w:val="20"/>
                <w:szCs w:val="20"/>
                <w:highlight w:val="white"/>
              </w:rPr>
              <w:t>Rua Senador Alencar nº 348 Centro/Fortaleza/Ceará.</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01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Terça-feira</w:t>
              <w:br/>
              <w:t>Sexta-feira</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p>
        </w:tc>
      </w:tr>
      <w:tr>
        <w:trPr>
          <w:trHeight w:val="310"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Casa Juvenal Galeno – CJG </w:t>
            </w:r>
          </w:p>
          <w:p>
            <w:pPr>
              <w:pStyle w:val="LOnormal"/>
              <w:widowControl w:val="false"/>
              <w:spacing w:lineRule="auto" w:line="240"/>
              <w:jc w:val="both"/>
              <w:rPr>
                <w:sz w:val="20"/>
                <w:szCs w:val="20"/>
                <w:highlight w:val="white"/>
              </w:rPr>
            </w:pPr>
            <w:r>
              <w:rPr>
                <w:sz w:val="20"/>
                <w:szCs w:val="20"/>
                <w:highlight w:val="white"/>
              </w:rPr>
              <w:t>Rua General Sampaio nº 1128 Centro/Fortaleza/Ceará.</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01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Terça-feira</w:t>
              <w:br/>
              <w:t>Sexta-feira</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bookmarkStart w:id="5" w:name="bookmark=id.tyjcwt"/>
            <w:bookmarkStart w:id="6" w:name="bookmark=id.tyjcwt"/>
            <w:bookmarkEnd w:id="6"/>
          </w:p>
        </w:tc>
      </w:tr>
      <w:tr>
        <w:trPr>
          <w:trHeight w:val="310"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bookmarkStart w:id="7" w:name="bookmark=id.tyjcwt1"/>
            <w:bookmarkEnd w:id="7"/>
            <w:r>
              <w:rPr>
                <w:b/>
                <w:sz w:val="20"/>
                <w:szCs w:val="20"/>
                <w:highlight w:val="white"/>
              </w:rPr>
              <w:t xml:space="preserve">Museu do Ceará -  MUSCE </w:t>
            </w:r>
          </w:p>
          <w:p>
            <w:pPr>
              <w:pStyle w:val="LOnormal"/>
              <w:widowControl w:val="false"/>
              <w:spacing w:lineRule="auto" w:line="240"/>
              <w:jc w:val="both"/>
              <w:rPr>
                <w:sz w:val="20"/>
                <w:szCs w:val="20"/>
                <w:highlight w:val="white"/>
              </w:rPr>
            </w:pPr>
            <w:r>
              <w:rPr>
                <w:sz w:val="20"/>
                <w:szCs w:val="20"/>
                <w:highlight w:val="white"/>
              </w:rPr>
              <w:t>Rua São Paulo nº 51 Centro/Fortaleza/Ceará.</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01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Terça-feira</w:t>
              <w:br/>
              <w:t>Sexta-feira</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p>
        </w:tc>
      </w:tr>
      <w:tr>
        <w:trPr>
          <w:trHeight w:val="310"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Anexo do Museu do Ceará – MUSCE </w:t>
            </w:r>
          </w:p>
          <w:p>
            <w:pPr>
              <w:pStyle w:val="LOnormal"/>
              <w:widowControl w:val="false"/>
              <w:spacing w:lineRule="auto" w:line="240"/>
              <w:jc w:val="both"/>
              <w:rPr>
                <w:sz w:val="20"/>
                <w:szCs w:val="20"/>
                <w:highlight w:val="white"/>
              </w:rPr>
            </w:pPr>
            <w:r>
              <w:rPr>
                <w:sz w:val="20"/>
                <w:szCs w:val="20"/>
                <w:highlight w:val="white"/>
              </w:rPr>
              <w:t>Rua Major Facundo nº 584 Centro/Fortaleza/Ceará.</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01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Terça-feira</w:t>
              <w:br/>
              <w:t>Sexta-feira</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p>
        </w:tc>
      </w:tr>
      <w:tr>
        <w:trPr>
          <w:trHeight w:val="310"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Museu Sacro São José de Ribamar</w:t>
            </w:r>
          </w:p>
          <w:p>
            <w:pPr>
              <w:pStyle w:val="LOnormal"/>
              <w:widowControl w:val="false"/>
              <w:spacing w:lineRule="auto" w:line="240"/>
              <w:jc w:val="both"/>
              <w:rPr>
                <w:sz w:val="20"/>
                <w:szCs w:val="20"/>
                <w:highlight w:val="white"/>
              </w:rPr>
            </w:pPr>
            <w:r>
              <w:rPr>
                <w:sz w:val="20"/>
                <w:szCs w:val="20"/>
                <w:highlight w:val="white"/>
              </w:rPr>
              <w:t>Praça Cônego Araripe, nº 22 Centro/Aquiraz/Ceará.</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01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Terça-feira</w:t>
              <w:br/>
              <w:t>Sexta-feira</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p>
        </w:tc>
      </w:tr>
      <w:tr>
        <w:trPr>
          <w:trHeight w:val="310"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Anexo do Museu Sacro São José de Ribamar </w:t>
            </w:r>
          </w:p>
          <w:p>
            <w:pPr>
              <w:pStyle w:val="LOnormal"/>
              <w:widowControl w:val="false"/>
              <w:spacing w:lineRule="auto" w:line="240"/>
              <w:jc w:val="both"/>
              <w:rPr>
                <w:sz w:val="20"/>
                <w:szCs w:val="20"/>
                <w:highlight w:val="white"/>
              </w:rPr>
            </w:pPr>
            <w:r>
              <w:rPr>
                <w:sz w:val="20"/>
                <w:szCs w:val="20"/>
                <w:highlight w:val="white"/>
              </w:rPr>
              <w:t>Praça Cônego Araripe, nº 301 Centro/Aquiraz/Ceará.</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01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Terça-feira</w:t>
              <w:br/>
              <w:t>Sexta-feira</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p>
        </w:tc>
      </w:tr>
      <w:tr>
        <w:trPr>
          <w:trHeight w:val="769"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Anexo do Museu Sacro São José de Ribamar </w:t>
            </w:r>
          </w:p>
          <w:p>
            <w:pPr>
              <w:pStyle w:val="LOnormal"/>
              <w:widowControl w:val="false"/>
              <w:spacing w:lineRule="auto" w:line="240"/>
              <w:jc w:val="both"/>
              <w:rPr>
                <w:sz w:val="20"/>
                <w:szCs w:val="20"/>
                <w:highlight w:val="white"/>
              </w:rPr>
            </w:pPr>
            <w:r>
              <w:rPr>
                <w:sz w:val="20"/>
                <w:szCs w:val="20"/>
                <w:highlight w:val="white"/>
              </w:rPr>
              <w:t>Praça Cônego Araripe, nº 09 Centro/Aquiraz/Ceará.</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01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Terça-feira</w:t>
              <w:br/>
              <w:t>Sexta-feira</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p>
        </w:tc>
      </w:tr>
      <w:tr>
        <w:trPr>
          <w:trHeight w:val="310" w:hRule="atLeast"/>
        </w:trPr>
        <w:tc>
          <w:tcPr>
            <w:tcW w:w="469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both"/>
              <w:rPr>
                <w:b/>
                <w:b/>
                <w:sz w:val="20"/>
                <w:szCs w:val="20"/>
                <w:highlight w:val="white"/>
              </w:rPr>
            </w:pPr>
            <w:r>
              <w:rPr>
                <w:b/>
                <w:sz w:val="20"/>
                <w:szCs w:val="20"/>
                <w:highlight w:val="white"/>
              </w:rPr>
              <w:t xml:space="preserve">Teatro Carlos Câmara – TCC </w:t>
            </w:r>
          </w:p>
          <w:p>
            <w:pPr>
              <w:pStyle w:val="LOnormal"/>
              <w:widowControl w:val="false"/>
              <w:spacing w:lineRule="auto" w:line="240"/>
              <w:jc w:val="both"/>
              <w:rPr>
                <w:sz w:val="20"/>
                <w:szCs w:val="20"/>
                <w:highlight w:val="white"/>
              </w:rPr>
            </w:pPr>
            <w:r>
              <w:rPr>
                <w:sz w:val="20"/>
                <w:szCs w:val="20"/>
                <w:highlight w:val="white"/>
              </w:rPr>
              <w:t>Rua Senador Pompeu, nº 454 Centro/Fortaleza/Ceará.</w:t>
            </w:r>
          </w:p>
        </w:tc>
        <w:tc>
          <w:tcPr>
            <w:tcW w:w="16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01 Contentor de</w:t>
              <w:br/>
              <w:t xml:space="preserve">240 litros </w:t>
            </w:r>
          </w:p>
        </w:tc>
        <w:tc>
          <w:tcPr>
            <w:tcW w:w="1602"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lineRule="auto" w:line="240"/>
              <w:jc w:val="center"/>
              <w:rPr>
                <w:sz w:val="20"/>
                <w:szCs w:val="20"/>
                <w:highlight w:val="white"/>
              </w:rPr>
            </w:pPr>
            <w:r>
              <w:rPr>
                <w:sz w:val="20"/>
                <w:szCs w:val="20"/>
                <w:highlight w:val="white"/>
              </w:rPr>
              <w:t>Terça-feira</w:t>
              <w:br/>
              <w:t>Sexta-feira</w:t>
            </w:r>
          </w:p>
        </w:tc>
        <w:tc>
          <w:tcPr>
            <w:tcW w:w="145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LOnormal"/>
              <w:keepNext w:val="false"/>
              <w:keepLines w:val="false"/>
              <w:widowControl w:val="false"/>
              <w:shd w:val="clear" w:fill="auto"/>
              <w:spacing w:lineRule="auto" w:line="276" w:before="0" w:after="0"/>
              <w:ind w:left="0" w:right="0" w:hanging="0"/>
              <w:jc w:val="left"/>
              <w:rPr>
                <w:sz w:val="20"/>
                <w:szCs w:val="20"/>
                <w:highlight w:val="white"/>
              </w:rPr>
            </w:pPr>
            <w:r>
              <w:rPr>
                <w:sz w:val="20"/>
                <w:szCs w:val="20"/>
                <w:highlight w:val="white"/>
              </w:rPr>
            </w:r>
          </w:p>
        </w:tc>
      </w:tr>
    </w:tbl>
    <w:p>
      <w:pPr>
        <w:pStyle w:val="LOnormal"/>
        <w:tabs>
          <w:tab w:val="clear" w:pos="720"/>
          <w:tab w:val="center" w:pos="-1260" w:leader="none"/>
        </w:tabs>
        <w:spacing w:lineRule="auto" w:line="240" w:before="57" w:after="57"/>
        <w:jc w:val="both"/>
        <w:rPr>
          <w:color w:val="FF0000"/>
        </w:rPr>
      </w:pPr>
      <w:r>
        <w:rPr>
          <w:highlight w:val="white"/>
        </w:rPr>
        <w:t>6.2.3.1. Conforme descrição do cronograma acima, a execução do serviço dar-se-á semanalmente.</w:t>
      </w:r>
    </w:p>
    <w:p>
      <w:pPr>
        <w:pStyle w:val="LOnormal"/>
        <w:tabs>
          <w:tab w:val="clear" w:pos="720"/>
          <w:tab w:val="center" w:pos="-1260" w:leader="none"/>
        </w:tabs>
        <w:spacing w:lineRule="auto" w:line="240" w:before="57" w:after="57"/>
        <w:jc w:val="both"/>
        <w:rPr/>
      </w:pPr>
      <w:r>
        <w:rPr/>
        <w:t>6.2.4. Para a execução dos serviços, o contratado deverá disponibilizar os materiais, equipamentos, ferramentas e utensílios necessários, nas quantidades estimadas e qualidades a seguir estabelecidas, promovendo sua substituição quando necessário:</w:t>
      </w:r>
    </w:p>
    <w:p>
      <w:pPr>
        <w:pStyle w:val="LOnormal"/>
        <w:tabs>
          <w:tab w:val="clear" w:pos="720"/>
          <w:tab w:val="center" w:pos="-1260" w:leader="none"/>
        </w:tabs>
        <w:spacing w:lineRule="auto" w:line="240" w:before="57" w:after="57"/>
        <w:jc w:val="both"/>
        <w:rPr/>
      </w:pPr>
      <w:r>
        <w:rPr/>
        <w:t>6.2.4.1. A contratada deverá disponibilizar caminhão coletor compactador;</w:t>
      </w:r>
    </w:p>
    <w:p>
      <w:pPr>
        <w:pStyle w:val="LOnormal"/>
        <w:tabs>
          <w:tab w:val="clear" w:pos="720"/>
          <w:tab w:val="center" w:pos="-1260" w:leader="none"/>
        </w:tabs>
        <w:spacing w:lineRule="auto" w:line="240" w:before="57" w:after="57"/>
        <w:jc w:val="both"/>
        <w:rPr/>
      </w:pPr>
      <w:r>
        <w:rPr/>
        <w:t>6.2.4.2. A contratada deverá disponibilizar contêineres;</w:t>
      </w:r>
    </w:p>
    <w:p>
      <w:pPr>
        <w:pStyle w:val="LOnormal"/>
        <w:tabs>
          <w:tab w:val="clear" w:pos="720"/>
          <w:tab w:val="center" w:pos="-1260" w:leader="none"/>
        </w:tabs>
        <w:spacing w:lineRule="auto" w:line="240" w:before="57" w:after="57"/>
        <w:jc w:val="both"/>
        <w:rPr/>
      </w:pPr>
      <w:r>
        <w:rPr/>
        <w:t>6.2.4.3. Fornecer aos empregados os equipamentos de segurança que se fizerem necessários para a execução de serviços.</w:t>
      </w:r>
    </w:p>
    <w:p>
      <w:pPr>
        <w:pStyle w:val="LOnormal"/>
        <w:tabs>
          <w:tab w:val="clear" w:pos="720"/>
          <w:tab w:val="left" w:pos="360" w:leader="none"/>
        </w:tabs>
        <w:spacing w:lineRule="auto" w:line="240" w:before="57" w:after="57"/>
        <w:jc w:val="both"/>
        <w:rPr/>
      </w:pPr>
      <w:r>
        <w:rPr/>
        <w:t>6.2.5. O serviço a ser contratado tem como base as seguintes características:</w:t>
      </w:r>
    </w:p>
    <w:p>
      <w:pPr>
        <w:pStyle w:val="LOnormal"/>
        <w:spacing w:lineRule="auto" w:line="240"/>
        <w:jc w:val="both"/>
        <w:rPr/>
      </w:pPr>
      <w:r>
        <w:rPr/>
        <w:t>6.2.5.1. Os resíduos sólidos deverão ser coletados por meio de veículo coletor compactador nos locais  citados no item 5 do Estudo Técnico Preliminar (ETP), os quais deverão ser acondicionados em contentores com capacidade para 240 litros (duzentos e quarenta litros), transportados segundo as normas legais existentes, e destinados a aterros sanitários ou outros locais autorizados pelos órgãos ambientais.</w:t>
      </w:r>
    </w:p>
    <w:p>
      <w:pPr>
        <w:pStyle w:val="LOnormal"/>
        <w:tabs>
          <w:tab w:val="clear" w:pos="720"/>
          <w:tab w:val="center" w:pos="-1260" w:leader="none"/>
        </w:tabs>
        <w:spacing w:lineRule="auto" w:line="240" w:before="57" w:after="57"/>
        <w:jc w:val="both"/>
        <w:rPr/>
      </w:pPr>
      <w:r>
        <w:rPr/>
        <w:t>6.2.5.2. Caminhões compactadores com carrocerias do tipo especial devidamente adequados ao chassi, para coleta de resíduos sólidos urbanos, fechadas para evitar despejo de resíduos e líquidos nas vias públicas, providas de sistema de descarga automática, sem necessidade de mão-de-obra para o seu esvaziamento e serem dotados de suporte para pá e vassouras que constituem equipamento obrigatório.</w:t>
      </w:r>
    </w:p>
    <w:p>
      <w:pPr>
        <w:pStyle w:val="LOnormal"/>
        <w:tabs>
          <w:tab w:val="clear" w:pos="720"/>
          <w:tab w:val="center" w:pos="-1260" w:leader="none"/>
        </w:tabs>
        <w:spacing w:lineRule="auto" w:line="240" w:before="57" w:after="57"/>
        <w:jc w:val="both"/>
        <w:rPr/>
      </w:pPr>
      <w:r>
        <w:rPr/>
        <w:t xml:space="preserve">6.2.5.3. A CONTRATADA deverá manter os veículos em perfeitas condições de funcionamento e de acordo com a legislação de trânsito vigente. </w:t>
      </w:r>
    </w:p>
    <w:p>
      <w:pPr>
        <w:pStyle w:val="LOnormal"/>
        <w:tabs>
          <w:tab w:val="clear" w:pos="720"/>
          <w:tab w:val="center" w:pos="-1260" w:leader="none"/>
        </w:tabs>
        <w:spacing w:lineRule="auto" w:line="240" w:before="57" w:after="57"/>
        <w:jc w:val="both"/>
        <w:rPr/>
      </w:pPr>
      <w:r>
        <w:rPr/>
        <w:t>6.2.5.4. A CONTRATADA deverá fornecer todo e qualquer equipamento necessário para o bom desempenho do serviço, atendendo aos melhores padrões de limpeza.</w:t>
      </w:r>
    </w:p>
    <w:p>
      <w:pPr>
        <w:pStyle w:val="LOnormal"/>
        <w:tabs>
          <w:tab w:val="clear" w:pos="720"/>
          <w:tab w:val="center" w:pos="-1260" w:leader="none"/>
        </w:tabs>
        <w:spacing w:lineRule="auto" w:line="240" w:before="57" w:after="57"/>
        <w:jc w:val="both"/>
        <w:rPr>
          <w:color w:val="1C4587"/>
        </w:rPr>
      </w:pPr>
      <w:r>
        <w:rPr/>
        <w:t>6.2.5.5. Competirá à CONTRATADA a admissão de motoristas, coletores e demais operários necessários ao desempenho dos serviços, correndo por sua conta também os encargos sociais, seguros, uniformes, capas protetoras em dias de chuva, protetores auriculares e EPIs (Equipamento de Proteção Individual) exigidos pelas normas regulamentadoras específicas e demais exigências das leis trabalhistas.</w:t>
      </w:r>
      <w:r>
        <w:rPr>
          <w:color w:val="1C4587"/>
        </w:rPr>
        <w:t xml:space="preserve"> </w:t>
      </w:r>
    </w:p>
    <w:p>
      <w:pPr>
        <w:pStyle w:val="LOnormal"/>
        <w:spacing w:lineRule="auto" w:line="240"/>
        <w:jc w:val="both"/>
        <w:rPr/>
      </w:pPr>
      <w:r>
        <w:rPr/>
        <w:t>6.2.5.6. Os contêineres a serem utilizados na coleta deverão preencher os requisitos técnicos exigidos no artigo 7º do Decreto Municipal de Fortaleza nº 10.696, de 02 de fevereiro de 2000, e serão colocados pela empresa contratada nos locais indicados pela SECULT, sendo substituídos por outros de iguais características a cada coleta.</w:t>
      </w:r>
    </w:p>
    <w:p>
      <w:pPr>
        <w:pStyle w:val="LOnormal"/>
        <w:spacing w:lineRule="auto" w:line="240" w:before="60" w:after="60"/>
        <w:jc w:val="both"/>
        <w:rPr/>
      </w:pPr>
      <w:r>
        <w:rPr/>
        <w:t>6.2.5.7. Disponibilizar contêineres (depósitos metálicos de armazenagem) em bom estado de conservação, sem vazamento, próprios para reter sólidos e líquidos, tendo que indicar sua capacidade volumétrica, para acondicionamento dos resíduos sólidos (lixo comum) no quantitativo adequado, devendo esses contêineres ser devidamente limpos no momento da coleta.</w:t>
      </w:r>
    </w:p>
    <w:p>
      <w:pPr>
        <w:pStyle w:val="LOnormal"/>
        <w:spacing w:lineRule="auto" w:line="240" w:before="60" w:after="60"/>
        <w:jc w:val="both"/>
        <w:rPr/>
      </w:pPr>
      <w:r>
        <w:rPr/>
        <w:t>6.2.5.8. Manter os contêineres em perfeito estado de conservação e higiene.</w:t>
      </w:r>
    </w:p>
    <w:p>
      <w:pPr>
        <w:pStyle w:val="LOnormal"/>
        <w:spacing w:lineRule="auto" w:line="240"/>
        <w:jc w:val="both"/>
        <w:rPr/>
      </w:pPr>
      <w:r>
        <w:rPr/>
        <w:t>6.2.5.9. Os resíduos sólidos recolhidos deverão ser acondicionados de acordo com as recomendações exigidas pela NBR 10004, devendo o local ficar limpo.</w:t>
      </w:r>
    </w:p>
    <w:p>
      <w:pPr>
        <w:pStyle w:val="LOnormal"/>
        <w:spacing w:lineRule="auto" w:line="240"/>
        <w:jc w:val="both"/>
        <w:rPr/>
      </w:pPr>
      <w:r>
        <w:rPr/>
        <w:t>6.2.5.10. No caso de qualquer dia de coleta coincidir com um feriado, a contratada se obrigará a fazê-la no dia útil imediatamente posterior. No caso da coleta de sexta-feira coincidir com um feriado, esta deverá ser feita na quinta-feira imediatamente anterior.</w:t>
      </w:r>
    </w:p>
    <w:p>
      <w:pPr>
        <w:pStyle w:val="LOnormal"/>
        <w:spacing w:lineRule="auto" w:line="240"/>
        <w:jc w:val="both"/>
        <w:rPr>
          <w:color w:val="FF0000"/>
        </w:rPr>
      </w:pPr>
      <w:r>
        <w:rPr/>
        <w:t>6.2.5.11.  Atender plenamente as normas da Lei Municipal de Fortaleza nº 8408, de 24 de dezembro de 1999, Decreto Municipal Nº 10.696 de 02 de fevereiro de 2000 e Decreto Municipal Nº 10.780 de 05 de junho de 2000.</w:t>
      </w:r>
    </w:p>
    <w:p>
      <w:pPr>
        <w:pStyle w:val="LOnormal"/>
        <w:spacing w:lineRule="auto" w:line="240" w:before="60" w:after="60"/>
        <w:jc w:val="both"/>
        <w:rPr/>
      </w:pPr>
      <w:r>
        <w:rPr/>
        <w:t>6.2.5.12. Toda a coleta deverá ser automatizada com veículos apropriados autoportantes, de propriedade da empresa contratada, bem como os contêineres de armazenamento.</w:t>
      </w:r>
    </w:p>
    <w:p>
      <w:pPr>
        <w:pStyle w:val="LOnormal"/>
        <w:spacing w:lineRule="auto" w:line="240" w:before="60" w:after="60"/>
        <w:jc w:val="both"/>
        <w:rPr/>
      </w:pPr>
      <w:r>
        <w:rPr/>
        <w:t>6.2.5.13. A contratada deverá apresentar junto à fatura mensal documento que comprove que a descarga dos resíduos sólidos (lixo comum) foi realizada em aterro sanitário regularizado.</w:t>
      </w:r>
    </w:p>
    <w:p>
      <w:pPr>
        <w:pStyle w:val="LOnormal"/>
        <w:spacing w:lineRule="auto" w:line="240" w:before="60" w:after="60"/>
        <w:jc w:val="both"/>
        <w:rPr/>
      </w:pPr>
      <w:r>
        <w:rPr/>
        <w:t>6.2.5.14. A proponente deverá observar o cumprimento da legislação ambiental de acordo com as legislações em vigor, resolução RDC nº 306, de 2004, da Agência nacional de Vigilância Sanitária (ANVISA) e a resolução nº 358, de 2005, do Conselho Nacional do meio Ambiente (CONAMA), da Superintendência Estadual do Meio Ambiente (SEMACE) e da Secretaria Municipal de Urbanismo e Meio Ambiente (SEUMA).</w:t>
      </w:r>
    </w:p>
    <w:p>
      <w:pPr>
        <w:pStyle w:val="LOnormal"/>
        <w:spacing w:lineRule="auto" w:line="240"/>
        <w:jc w:val="both"/>
        <w:rPr/>
      </w:pPr>
      <w:r>
        <w:rPr/>
        <w:t>6.2.5.15. É de inteira responsabilidade da Contratada o treinamento e qualificação dos recursos de mão-de-obra, material e equipamentos necessários aos trabalhos e serviços contratados.</w:t>
      </w:r>
    </w:p>
    <w:p>
      <w:pPr>
        <w:pStyle w:val="LOnormal"/>
        <w:spacing w:lineRule="auto" w:line="240"/>
        <w:jc w:val="both"/>
        <w:rPr/>
      </w:pPr>
      <w:r>
        <w:rPr/>
        <w:t>6.2.5.16. Os funcionários da empresa Contratada deverão estar devidamente uniformizados e necessariamente equipados com materiais de proteção e segurança, ferramentas e demais equipamentos necessários à execução das atividades.</w:t>
      </w:r>
    </w:p>
    <w:p>
      <w:pPr>
        <w:pStyle w:val="LOnormal"/>
        <w:spacing w:lineRule="auto" w:line="240"/>
        <w:jc w:val="both"/>
        <w:rPr/>
      </w:pPr>
      <w:r>
        <w:rPr/>
        <w:t xml:space="preserve">6.2.5.17. O prazo para iniciar o serviço não poderá ser superior a cinco dias contados da data da assinatura do contrato, sob pena de aplicação das sanções previstas no ato convocatório; </w:t>
      </w:r>
    </w:p>
    <w:p>
      <w:pPr>
        <w:pStyle w:val="LOnormal"/>
        <w:spacing w:lineRule="auto" w:line="240" w:before="60" w:after="60"/>
        <w:jc w:val="both"/>
        <w:rPr>
          <w:b/>
          <w:b/>
        </w:rPr>
      </w:pPr>
      <w:r>
        <w:rPr>
          <w:b/>
        </w:rPr>
        <w:t>7. MODELO DE GESTÃO DO CONTRATO</w:t>
      </w:r>
    </w:p>
    <w:p>
      <w:pPr>
        <w:pStyle w:val="LOnormal"/>
        <w:spacing w:lineRule="auto" w:line="240" w:before="60" w:after="60"/>
        <w:jc w:val="both"/>
        <w:rPr/>
      </w:pPr>
      <w:r>
        <w:rPr/>
        <w:t>7.1. O contrato deverá ser executado fielmente pelas partes, de acordo com as cláusulas avençadas e as normas da Lei nº 14.133/2021, e cada parte responderá pelas consequências de sua inexecução total ou parcial.</w:t>
      </w:r>
    </w:p>
    <w:p>
      <w:pPr>
        <w:pStyle w:val="LOnormal"/>
        <w:spacing w:lineRule="auto" w:line="240" w:before="60" w:after="60"/>
        <w:jc w:val="both"/>
        <w:rPr/>
      </w:pPr>
      <w:r>
        <w:rPr/>
        <w:t>7.2. Em caso de impedimento, ordem de paralisação ou suspensão do contrato, o cronograma de execução será prorrogado automaticamente pelo tempo correspondente, anotadas tais circunstâncias mediante simples apostila.</w:t>
      </w:r>
    </w:p>
    <w:p>
      <w:pPr>
        <w:pStyle w:val="LOnormal"/>
        <w:spacing w:lineRule="auto" w:line="240" w:before="60" w:after="60"/>
        <w:jc w:val="both"/>
        <w:rPr/>
      </w:pPr>
      <w:r>
        <w:rPr/>
        <w:t>7.3. As comunicações entre o órgão ou entidade e o contratado devem ser realizadas por escrito sempre que o ato exigir tal formalidade, admitindo-se o uso de mensagem eletrônica para esse fim.</w:t>
      </w:r>
    </w:p>
    <w:p>
      <w:pPr>
        <w:pStyle w:val="LOnormal"/>
        <w:spacing w:lineRule="auto" w:line="240" w:before="60" w:after="60"/>
        <w:jc w:val="both"/>
        <w:rPr/>
      </w:pPr>
      <w:r>
        <w:rPr/>
        <w:t>7.4. O órgão ou entidade poderá convocar representante do contratado para adoção de providências que devam ser cumpridas de imediato.</w:t>
      </w:r>
    </w:p>
    <w:p>
      <w:pPr>
        <w:pStyle w:val="LOnormal"/>
        <w:spacing w:lineRule="auto" w:line="240" w:before="60" w:after="60"/>
        <w:jc w:val="both"/>
        <w:rPr/>
      </w:pPr>
      <w:r>
        <w:rPr/>
        <w:t>7.5. Após a assinatura do contrato ou instrumento equivalente,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pPr>
        <w:pStyle w:val="LOnormal"/>
        <w:spacing w:lineRule="auto" w:line="240" w:before="60" w:after="60"/>
        <w:jc w:val="both"/>
        <w:rPr/>
      </w:pPr>
      <w:r>
        <w:rPr/>
        <w:t xml:space="preserve">7.6. A execução do contrato deverá ser acompanhada e fiscalizada pelo fiscal do contrato, ou pelo respectivo substituto, nos termos do </w:t>
      </w:r>
      <w:r>
        <w:rPr>
          <w:i/>
        </w:rPr>
        <w:t>caput</w:t>
      </w:r>
      <w:r>
        <w:rPr/>
        <w:t xml:space="preserve"> do art. 117, da Lei nº 14.133/2021.</w:t>
      </w:r>
    </w:p>
    <w:p>
      <w:pPr>
        <w:pStyle w:val="LOnormal"/>
        <w:spacing w:lineRule="auto" w:line="240" w:before="60" w:after="60"/>
        <w:jc w:val="both"/>
        <w:rPr/>
      </w:pPr>
      <w:r>
        <w:rPr/>
        <w:t>7.7. A fiscalização se responsabilizará pelo acompanhamento da execução do objeto contratual, para que sejam cumpridas todas as condições estabelecidas no contrato, de modo a assegurar os melhores resultados para a Administração.</w:t>
      </w:r>
    </w:p>
    <w:p>
      <w:pPr>
        <w:pStyle w:val="LOnormal"/>
        <w:spacing w:lineRule="auto" w:line="240" w:before="60" w:after="60"/>
        <w:jc w:val="both"/>
        <w:rPr/>
      </w:pPr>
      <w:r>
        <w:rPr/>
        <w:t>7.7.1. O fiscal do contrato anotará no histórico de gerenciamento do contrato todas as ocorrências relacionadas à execução do contrato, com a descrição do que for necessário para a regularização das faltas ou dos defeitos observados.</w:t>
      </w:r>
    </w:p>
    <w:p>
      <w:pPr>
        <w:pStyle w:val="LOnormal"/>
        <w:spacing w:lineRule="auto" w:line="240" w:before="60" w:after="60"/>
        <w:jc w:val="both"/>
        <w:rPr/>
      </w:pPr>
      <w:r>
        <w:rPr/>
        <w:t>7.7.2. Identificada qualquer inexatidão ou irregularidade, o fiscal emitirá notificações para a correção da execução do contrato, determinando prazo para a correção.</w:t>
      </w:r>
    </w:p>
    <w:p>
      <w:pPr>
        <w:pStyle w:val="LOnormal"/>
        <w:spacing w:lineRule="auto" w:line="240" w:before="60" w:after="60"/>
        <w:jc w:val="both"/>
        <w:rPr/>
      </w:pPr>
      <w:r>
        <w:rPr/>
        <w:t>7.7.3. O fiscal informará ao gestor do contato, em tempo hábil, a situação que demandar decisão ou adoção de medidas que ultrapassem sua competência, para que adote as medidas necessárias e saneadoras, se for o caso.</w:t>
      </w:r>
    </w:p>
    <w:p>
      <w:pPr>
        <w:pStyle w:val="LOnormal"/>
        <w:spacing w:lineRule="auto" w:line="240" w:before="60" w:after="60"/>
        <w:jc w:val="both"/>
        <w:rPr/>
      </w:pPr>
      <w:r>
        <w:rPr/>
        <w:t>7.7.4 No caso de ocorrências que possam inviabilizar a execução do contrato nas datas aprazadas, o fiscal comunicará o fato imediatamente ao gestor do contrato.</w:t>
      </w:r>
    </w:p>
    <w:p>
      <w:pPr>
        <w:pStyle w:val="LOnormal"/>
        <w:spacing w:lineRule="auto" w:line="240" w:before="60" w:after="60"/>
        <w:jc w:val="both"/>
        <w:rPr/>
      </w:pPr>
      <w:r>
        <w:rPr/>
        <w:t>7.7.5. O fiscal comunicará ao gestor do contrato, em tempo hábil, o término do contrato sob sua responsabilidade, com vistas à renovação tempestiva ou à prorrogação contratual.</w:t>
      </w:r>
    </w:p>
    <w:p>
      <w:pPr>
        <w:pStyle w:val="LOnormal"/>
        <w:spacing w:lineRule="auto" w:line="240" w:before="60" w:after="60"/>
        <w:jc w:val="both"/>
        <w:rPr/>
      </w:pPr>
      <w:r>
        <w:rPr/>
        <w:t>7.8.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LOnormal"/>
        <w:spacing w:lineRule="auto" w:line="240" w:before="60" w:after="60"/>
        <w:jc w:val="both"/>
        <w:rPr/>
      </w:pPr>
      <w:r>
        <w:rPr/>
        <w:t>7.9. O gestor do contrato acompanhará a manutenção das condições de habilitação do contratado, para fins de empenho de despesa e pagamento, e anotará os problemas que obstem o fluxo normal da liquidação e do pagamento da despesa no relatório de riscos eventuais.</w:t>
      </w:r>
    </w:p>
    <w:p>
      <w:pPr>
        <w:pStyle w:val="LOnormal"/>
        <w:spacing w:lineRule="auto" w:line="240" w:before="60" w:after="60"/>
        <w:jc w:val="both"/>
        <w:rPr/>
      </w:pPr>
      <w:r>
        <w:rPr/>
        <w:t>7.10. 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LOnormal"/>
        <w:spacing w:lineRule="auto" w:line="240" w:before="60" w:after="60"/>
        <w:jc w:val="both"/>
        <w:rPr/>
      </w:pPr>
      <w:r>
        <w:rPr/>
        <w:t>7.11. O gestor do contrato emitirá documento comprobatório da avaliação realizada pelo fiscal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pPr>
        <w:pStyle w:val="LOnormal"/>
        <w:spacing w:lineRule="auto" w:line="240" w:before="60" w:after="60"/>
        <w:jc w:val="both"/>
        <w:rPr/>
      </w:pPr>
      <w:r>
        <w:rPr/>
        <w:t>7.12. O gestor do contrato tomará providências para a formalização de processo administrativo de responsabilização para fins de aplicação de sanções, a ser conduzido pela comissão de que trata o art. 158 da Lei nº 14.133/2021.</w:t>
      </w:r>
    </w:p>
    <w:p>
      <w:pPr>
        <w:pStyle w:val="LOnormal"/>
        <w:spacing w:lineRule="auto" w:line="240" w:before="60" w:after="60"/>
        <w:jc w:val="both"/>
        <w:rPr>
          <w:b/>
          <w:b/>
          <w:highlight w:val="white"/>
        </w:rPr>
      </w:pPr>
      <w:r>
        <w:rPr>
          <w:b/>
        </w:rPr>
        <w:t xml:space="preserve">8. CONDIÇÕES DE RECEBIMENTO E DE </w:t>
      </w:r>
      <w:r>
        <w:rPr>
          <w:b/>
          <w:highlight w:val="white"/>
        </w:rPr>
        <w:t>PAGAMENTO</w:t>
      </w:r>
    </w:p>
    <w:p>
      <w:pPr>
        <w:pStyle w:val="LOnormal"/>
        <w:spacing w:lineRule="auto" w:line="240" w:before="60" w:after="60"/>
        <w:jc w:val="both"/>
        <w:rPr/>
      </w:pPr>
      <w:r>
        <w:rPr/>
        <w:t>8.1. Recebimento do Serviço</w:t>
      </w:r>
    </w:p>
    <w:p>
      <w:pPr>
        <w:pStyle w:val="LOnormal"/>
        <w:spacing w:lineRule="auto" w:line="240" w:before="60" w:after="60"/>
        <w:jc w:val="both"/>
        <w:rPr>
          <w:color w:val="1155CC"/>
          <w:u w:val="single"/>
        </w:rPr>
      </w:pPr>
      <w:r>
        <w:rPr/>
        <w:t xml:space="preserve">8.1.1. Os serviços serão recebidos PROVISORIAMENTE, no prazo de </w:t>
      </w:r>
      <w:r>
        <w:rPr>
          <w:highlight w:val="white"/>
        </w:rPr>
        <w:t>10 (dez)</w:t>
      </w:r>
      <w:r>
        <w:rPr/>
        <w:t xml:space="preserve"> dias, pela fiscalização, mediante termos detalhados, quando verificado o cumprimento das exigências de caráter técnico, nos termos do</w:t>
      </w:r>
      <w:r>
        <w:rPr>
          <w:color w:val="1155CC"/>
        </w:rPr>
        <w:t xml:space="preserve"> </w:t>
      </w:r>
      <w:r>
        <w:rPr>
          <w:color w:val="1155CC"/>
          <w:u w:val="single"/>
        </w:rPr>
        <w:t>art. 140</w:t>
      </w:r>
      <w:r>
        <w:fldChar w:fldCharType="begin"/>
      </w:r>
      <w:r>
        <w:rPr>
          <w:u w:val="single"/>
          <w:color w:val="1155CC"/>
        </w:rPr>
        <w:instrText xml:space="preserve"> HYPERLINK "http://www.planalto.gov.br/ccivil_03/_ato2019-2022/2021/lei/L14133.htm" \l "art140"</w:instrText>
      </w:r>
      <w:r>
        <w:rPr>
          <w:u w:val="single"/>
          <w:color w:val="1155CC"/>
        </w:rPr>
        <w:fldChar w:fldCharType="separate"/>
      </w:r>
      <w:r>
        <w:rPr>
          <w:color w:val="1155CC"/>
          <w:u w:val="single"/>
        </w:rPr>
        <w:t>, I, a , da Lei nº 14.133</w:t>
      </w:r>
      <w:r>
        <w:rPr>
          <w:u w:val="single"/>
          <w:color w:val="1155CC"/>
        </w:rPr>
        <w:fldChar w:fldCharType="end"/>
      </w:r>
      <w:r>
        <w:rPr>
          <w:color w:val="1155CC"/>
          <w:u w:val="single"/>
        </w:rPr>
        <w:t>/2021.</w:t>
      </w:r>
    </w:p>
    <w:p>
      <w:pPr>
        <w:pStyle w:val="LOnormal"/>
        <w:spacing w:lineRule="auto" w:line="240" w:before="60" w:after="60"/>
        <w:jc w:val="both"/>
        <w:rPr/>
      </w:pPr>
      <w:r>
        <w:rPr/>
        <w:t>8.1.2. O prazo da disposição acima será contado do recebimento de comunicação de cobrança oriunda do contratado com a comprovação da prestação dos serviços a que se referem a parcela a ser paga.</w:t>
      </w:r>
    </w:p>
    <w:p>
      <w:pPr>
        <w:pStyle w:val="LOnormal"/>
        <w:spacing w:lineRule="auto" w:line="240" w:before="60" w:after="60"/>
        <w:jc w:val="both"/>
        <w:rPr/>
      </w:pPr>
      <w:r>
        <w:rPr/>
        <w:t>8.1.3.O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LOnormal"/>
        <w:spacing w:lineRule="auto" w:line="240" w:before="60" w:after="60"/>
        <w:jc w:val="both"/>
        <w:rPr/>
      </w:pPr>
      <w:r>
        <w:rPr/>
        <w:t xml:space="preserve">8.1.3.1. A fiscalização não efetuará o ateste da última e/ou única medição de serviços até que sejam sanadas todas as eventuais pendências que possam vir a ser apontadas no Recebimento Provisório nos termos do </w:t>
      </w:r>
      <w:r>
        <w:rPr>
          <w:color w:val="1155CC"/>
          <w:u w:val="single"/>
        </w:rPr>
        <w:t>a</w:t>
      </w:r>
      <w:r>
        <w:fldChar w:fldCharType="begin"/>
      </w:r>
      <w:r>
        <w:rPr>
          <w:u w:val="single"/>
          <w:color w:val="1155CC"/>
        </w:rPr>
        <w:instrText xml:space="preserve"> HYPERLINK "http://www.planalto.gov.br/ccivil_03/_ato2019-2022/2021/lei/L14133.htm" \l "art119"</w:instrText>
      </w:r>
      <w:r>
        <w:rPr>
          <w:u w:val="single"/>
          <w:color w:val="1155CC"/>
        </w:rPr>
        <w:fldChar w:fldCharType="separate"/>
      </w:r>
      <w:r>
        <w:rPr>
          <w:color w:val="1155CC"/>
          <w:u w:val="single"/>
        </w:rPr>
        <w:t>rt. 119 c/c art. 140 da Lei nº 14133/2021</w:t>
      </w:r>
      <w:r>
        <w:rPr>
          <w:u w:val="single"/>
          <w:color w:val="1155CC"/>
        </w:rPr>
        <w:fldChar w:fldCharType="end"/>
      </w:r>
      <w:r>
        <w:rPr/>
        <w:t>.</w:t>
        <w:tab/>
        <w:tab/>
        <w:br/>
        <w:t>8.1.3.2. Os serviços poderão ser rejeitados, no todo ou em parte, quando</w:t>
        <w:tab/>
        <w:t xml:space="preserve">em desacordo com as especificações constantes neste Termo de Referência e na proposta, sem prejuízo da aplicação das penalidades. </w:t>
      </w:r>
    </w:p>
    <w:p>
      <w:pPr>
        <w:pStyle w:val="LOnormal"/>
        <w:spacing w:lineRule="auto" w:line="240" w:before="60" w:after="60"/>
        <w:jc w:val="both"/>
        <w:rPr/>
      </w:pPr>
      <w:r>
        <w:rPr/>
        <w:t>8.1.4. Quando a fiscalização for exercida por um único servidor, o termo detalhado deverá conter o registro, a análise e a conclusão</w:t>
        <w:tab/>
        <w:t>acerca das ocorrências na execução do contrato, em relação à</w:t>
        <w:tab/>
        <w:t>fiscalização técnica e administrativa e demais documentos que julgar necessários, devendo encaminhá-los ao gestor do contrato para recebimento definitivo.</w:t>
      </w:r>
    </w:p>
    <w:p>
      <w:pPr>
        <w:pStyle w:val="LOnormal"/>
        <w:spacing w:lineRule="auto" w:line="240" w:before="60" w:after="60"/>
        <w:jc w:val="both"/>
        <w:rPr/>
      </w:pPr>
      <w:r>
        <w:rPr/>
        <w:t xml:space="preserve">8.1.5. 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 </w:t>
      </w:r>
    </w:p>
    <w:p>
      <w:pPr>
        <w:pStyle w:val="LOnormal"/>
        <w:spacing w:lineRule="auto" w:line="240" w:before="60" w:after="60"/>
        <w:jc w:val="both"/>
        <w:rPr/>
      </w:pPr>
      <w:r>
        <w:rPr/>
        <w:t xml:space="preserve">8.1.5.1. Emitir documento comprobatório da avaliação realizada pelo(s) fiscal(is) no cumprimento de obrigações assumidas pelo contratado, com menção ao seu desempenho na execução contratual, baseado em indicadores objetivamente definidos e aferidos, e a eventuais penalidades aplicadas, devendo constar do </w:t>
        <w:tab/>
        <w:t>cadastro de atesto de cumprimento de obrigações, conforme regulamento.</w:t>
        <w:br/>
        <w:t>8.1.5.2.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br/>
        <w:t>8.1.5.3. Emitir Termo Circunstanciado para efeito de recebimento definitivo dos serviços prestados, com base nos relatórios e documentações apresentadas; e</w:t>
        <w:br/>
        <w:t>8.1.5.4. Comunicar ao contratado para que emita a nota fiscal ou fatura, com o valor exato dimensionado pela fiscalização.</w:t>
        <w:br/>
        <w:t>8.1.5.5. Enviar a documentação pertinente ao setor de contratos para a formalização dos procedimentos de liquidação e pagamento, no valor dimensionado pela fiscalização e gestão.</w:t>
        <w:br/>
        <w:t xml:space="preserve">8.1.6.  No caso de controvérsia sobre a execução do objeto, quanto à dimensão, qualidade e quantidade, deverá ser observado o teor do </w:t>
      </w:r>
      <w:r>
        <w:fldChar w:fldCharType="begin"/>
      </w:r>
      <w:r>
        <w:rPr/>
        <w:instrText xml:space="preserve"> HYPERLINK "http://www.planalto.gov.br/ccivil_03/_ato2019-2022/2021/lei/L14133.htm" \l "art143"</w:instrText>
      </w:r>
      <w:r>
        <w:rPr/>
        <w:fldChar w:fldCharType="separate"/>
      </w:r>
      <w:r>
        <w:rPr/>
        <w:t>art.143 da Lei nº 14.133/2021</w:t>
      </w:r>
      <w:r>
        <w:rPr/>
        <w:fldChar w:fldCharType="end"/>
      </w:r>
      <w:r>
        <w:rPr/>
        <w:t xml:space="preserve">, comunicando-se ao contratado para emissão de nota fiscal no que pertine à parcela incontroversa da execução do objeto,para efeito de liquidação e pagamento. </w:t>
        <w:tab/>
        <w:tab/>
        <w:br/>
        <w:t>8.1.7.</w:t>
        <w:tab/>
        <w:t>Nenhum prazo de recebimento ocorrerá enquanto pendente a solução, pelo contratado, de inconsistências verificadas na execução do objeto ou no instrumento de cobrança.</w:t>
      </w:r>
    </w:p>
    <w:p>
      <w:pPr>
        <w:pStyle w:val="LOnormal"/>
        <w:spacing w:lineRule="auto" w:line="240" w:before="60" w:after="60"/>
        <w:jc w:val="both"/>
        <w:rPr/>
      </w:pPr>
      <w:r>
        <w:rPr/>
        <w:t>8.1.8. O recebimento provisório ou definitivo não excluirá a responsabilidade civil pela solidez e pela segurança do serviço nem a responsabilidade ético-profissional pela perfeita execução do contrato.</w:t>
      </w:r>
    </w:p>
    <w:p>
      <w:pPr>
        <w:pStyle w:val="LOnormal"/>
        <w:spacing w:lineRule="auto" w:line="240" w:before="60" w:after="60"/>
        <w:jc w:val="both"/>
        <w:rPr>
          <w:b/>
          <w:b/>
        </w:rPr>
      </w:pPr>
      <w:r>
        <w:rPr>
          <w:b/>
        </w:rPr>
        <w:t>8.2. Liquidação</w:t>
      </w:r>
    </w:p>
    <w:p>
      <w:pPr>
        <w:pStyle w:val="LOnormal"/>
        <w:spacing w:lineRule="auto" w:line="240" w:before="60" w:after="60"/>
        <w:jc w:val="both"/>
        <w:rPr/>
      </w:pPr>
      <w:r>
        <w:rPr/>
        <w:t>8.2.1. Recebida a nota fiscal ou documento de cobrança equivalente, correrá o prazo de 10 (dez) dias úteis para fins de liquidação, prorrogáveis por igual período.</w:t>
      </w:r>
    </w:p>
    <w:p>
      <w:pPr>
        <w:pStyle w:val="LOnormal"/>
        <w:spacing w:lineRule="auto" w:line="240" w:before="60" w:after="60"/>
        <w:jc w:val="both"/>
        <w:rPr/>
      </w:pPr>
      <w:r>
        <w:rPr/>
        <w:t>8.2.1.1. O prazo de que trata o subitem anterior será reduzido à metade, mantendo-se a possibilidade de prorrogação, no caso de contratações decorrentes de despesas cujos valores não ultrapassem o limite de que trata o inciso II do art. 75 da Lei nº 14.133/2021.</w:t>
      </w:r>
    </w:p>
    <w:p>
      <w:pPr>
        <w:pStyle w:val="LOnormal"/>
        <w:spacing w:lineRule="auto" w:line="240" w:before="60" w:after="60"/>
        <w:jc w:val="both"/>
        <w:rPr/>
      </w:pPr>
      <w:r>
        <w:rPr/>
        <w:t>8.2.2. A liquidação da despesa consiste na verificação do direito adquirido pelo credor tendo por base os títulos e documentos comprobatórios do respectivo crédito, observando-se o disposto no art. 63 da Lei nº 4.320, de 17 de março de 1964.</w:t>
      </w:r>
    </w:p>
    <w:p>
      <w:pPr>
        <w:pStyle w:val="LOnormal"/>
        <w:spacing w:lineRule="auto" w:line="240" w:before="60" w:after="60"/>
        <w:jc w:val="both"/>
        <w:rPr/>
      </w:pPr>
      <w:r>
        <w:rPr/>
        <w:t>8.2.3.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LOnormal"/>
        <w:spacing w:lineRule="auto" w:line="240" w:before="60" w:after="60"/>
        <w:jc w:val="both"/>
        <w:rPr/>
      </w:pPr>
      <w:r>
        <w:rPr/>
        <w:t xml:space="preserve">8.2.4. A nota fiscal ou documento de cobrança equivalente deverá ser obrigatoriamente acompanhada da comprovação da regularidade fiscal, constatada por meio de consulta </w:t>
      </w:r>
      <w:r>
        <w:rPr>
          <w:i/>
        </w:rPr>
        <w:t>on-line</w:t>
      </w:r>
      <w:r>
        <w:rPr/>
        <w:t xml:space="preserve"> ao SICAF ou, na impossibilidade de acesso ao referido Sistema, mediante consulta aos sítios eletrônicos oficiais ou à documentação mencionada no subitem 11.4 do edital.</w:t>
      </w:r>
    </w:p>
    <w:p>
      <w:pPr>
        <w:pStyle w:val="LOnormal"/>
        <w:spacing w:lineRule="auto" w:line="240" w:before="60" w:after="60"/>
        <w:jc w:val="both"/>
        <w:rPr/>
      </w:pPr>
      <w:r>
        <w:rPr/>
        <w:t>8.2.5.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pPr>
        <w:pStyle w:val="LOnormal"/>
        <w:spacing w:lineRule="auto" w:line="240" w:before="60" w:after="60"/>
        <w:jc w:val="both"/>
        <w:rPr/>
      </w:pPr>
      <w:r>
        <w:rPr/>
        <w:t>8.2.6.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LOnormal"/>
        <w:spacing w:lineRule="auto" w:line="240" w:before="60" w:after="60"/>
        <w:jc w:val="both"/>
        <w:rPr/>
      </w:pPr>
      <w:r>
        <w:rPr/>
        <w:t>8.2.7.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Onormal"/>
        <w:spacing w:lineRule="auto" w:line="240" w:before="60" w:after="60"/>
        <w:jc w:val="both"/>
        <w:rPr/>
      </w:pPr>
      <w:r>
        <w:rPr/>
        <w:t>8.2.8. Persistindo a irregularidade, o contratante deverá adotar as medidas necessárias à rescisão contratual nos autos do processo administrativo correspondente, assegurada ao contratado a ampla defesa.</w:t>
      </w:r>
    </w:p>
    <w:p>
      <w:pPr>
        <w:pStyle w:val="LOnormal"/>
        <w:spacing w:lineRule="auto" w:line="240" w:before="60" w:after="60"/>
        <w:jc w:val="both"/>
        <w:rPr/>
      </w:pPr>
      <w:r>
        <w:rPr/>
        <w:t>8.2.9. Havendo a efetiva execução do objeto, os pagamentos serão realizados normalmente, até que se decida pela rescisão do contrato, caso o contratado não regularize sua situação.</w:t>
      </w:r>
    </w:p>
    <w:p>
      <w:pPr>
        <w:pStyle w:val="LOnormal"/>
        <w:spacing w:lineRule="auto" w:line="240" w:before="60" w:after="60"/>
        <w:jc w:val="both"/>
        <w:rPr>
          <w:b/>
          <w:b/>
        </w:rPr>
      </w:pPr>
      <w:r>
        <w:rPr>
          <w:b/>
        </w:rPr>
        <w:t>8.3. Prazo de pagamento</w:t>
      </w:r>
    </w:p>
    <w:p>
      <w:pPr>
        <w:pStyle w:val="LOnormal"/>
        <w:spacing w:lineRule="auto" w:line="240" w:before="60" w:after="60"/>
        <w:jc w:val="both"/>
        <w:rPr/>
      </w:pPr>
      <w:r>
        <w:rPr/>
        <w:t>8.3.1. O pagamento será efetuado no prazo de até 15 (quinze) dias úteis, contados da finalização da liquidação da despesa.</w:t>
      </w:r>
    </w:p>
    <w:p>
      <w:pPr>
        <w:pStyle w:val="LOnormal"/>
        <w:spacing w:lineRule="auto" w:line="240" w:before="60" w:after="60"/>
        <w:jc w:val="both"/>
        <w:rPr/>
      </w:pPr>
      <w:r>
        <w:rPr/>
        <w:t>8.3.2. No caso de atraso pelo contratante, os valores devidos ao contratado serão atualizados monetariamente entre o termo final do prazo de pagamento até a data de sua efetiva realização, mediante aplicação do índice IPCA/IBGE</w:t>
      </w:r>
      <w:r>
        <w:rPr>
          <w:i/>
        </w:rPr>
        <w:t xml:space="preserve"> </w:t>
      </w:r>
      <w:r>
        <w:rPr/>
        <w:t>de correção monetária.</w:t>
      </w:r>
    </w:p>
    <w:p>
      <w:pPr>
        <w:pStyle w:val="LOnormal"/>
        <w:spacing w:lineRule="auto" w:line="240" w:before="60" w:after="60"/>
        <w:jc w:val="both"/>
        <w:rPr>
          <w:b/>
          <w:b/>
        </w:rPr>
      </w:pPr>
      <w:r>
        <w:rPr>
          <w:b/>
        </w:rPr>
        <w:t>8.4. Forma de pagamento</w:t>
      </w:r>
    </w:p>
    <w:p>
      <w:pPr>
        <w:pStyle w:val="LOnormal"/>
        <w:spacing w:lineRule="auto" w:line="240" w:before="60" w:after="60"/>
        <w:jc w:val="both"/>
        <w:rPr/>
      </w:pPr>
      <w:r>
        <w:rPr/>
        <w:t>8.4.1. O pagamento será realizado mediante crédito em conta corrente do contratado, exclusivamente no Banco Bradesco S/A, conforme Lei nº 15.241/2012.</w:t>
      </w:r>
    </w:p>
    <w:p>
      <w:pPr>
        <w:pStyle w:val="LOnormal"/>
        <w:spacing w:lineRule="auto" w:line="240" w:before="60" w:after="60"/>
        <w:jc w:val="both"/>
        <w:rPr/>
      </w:pPr>
      <w:r>
        <w:rPr/>
        <w:t>8.4.2. Será considerada data do pagamento o dia em que constar como emitida a ordem bancária para pagamento.</w:t>
      </w:r>
    </w:p>
    <w:p>
      <w:pPr>
        <w:pStyle w:val="LOnormal"/>
        <w:spacing w:lineRule="auto" w:line="240" w:before="60" w:after="60"/>
        <w:jc w:val="both"/>
        <w:rPr/>
      </w:pPr>
      <w:r>
        <w:rPr/>
        <w:t>8.4.3. Quando do pagamento, será efetuada a retenção tributária prevista na legislação aplicável.</w:t>
      </w:r>
    </w:p>
    <w:p>
      <w:pPr>
        <w:pStyle w:val="LOnormal"/>
        <w:spacing w:lineRule="auto" w:line="240" w:before="60" w:after="60"/>
        <w:jc w:val="both"/>
        <w:rPr/>
      </w:pPr>
      <w:r>
        <w:rPr/>
        <w:t>8.4.3.1. Independentemente do percentual de tributo inserido na planilha, quando houver, serão retidos na fonte, quando da realização do pagamento, os percentuais estabelecidos na legislação vigente.</w:t>
      </w:r>
    </w:p>
    <w:p>
      <w:pPr>
        <w:pStyle w:val="LOnormal"/>
        <w:spacing w:lineRule="auto" w:line="240" w:before="60" w:after="60"/>
        <w:jc w:val="both"/>
        <w:rPr/>
      </w:pPr>
      <w:r>
        <w:rPr/>
        <w:t>8.4.4.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
        <w:spacing w:lineRule="auto" w:line="240" w:before="60" w:after="60"/>
        <w:jc w:val="both"/>
        <w:rPr>
          <w:b/>
          <w:b/>
        </w:rPr>
      </w:pPr>
      <w:r>
        <w:rPr>
          <w:b/>
        </w:rPr>
        <w:t>8.5. Antecipação de pagamento</w:t>
      </w:r>
    </w:p>
    <w:p>
      <w:pPr>
        <w:pStyle w:val="LOnormal"/>
        <w:spacing w:lineRule="auto" w:line="240" w:before="60" w:after="60"/>
        <w:jc w:val="both"/>
        <w:rPr>
          <w:highlight w:val="yellow"/>
        </w:rPr>
      </w:pPr>
      <w:r>
        <w:rPr/>
        <w:t>8.5.1. É vedada a realização de pagamento antes da execução do objeto ou se o mesmo não estiver de acordo com as especificações deste instrumento.</w:t>
      </w:r>
    </w:p>
    <w:p>
      <w:pPr>
        <w:pStyle w:val="LOnormal"/>
        <w:spacing w:lineRule="auto" w:line="240" w:before="60" w:after="60"/>
        <w:jc w:val="both"/>
        <w:rPr>
          <w:b/>
          <w:b/>
        </w:rPr>
      </w:pPr>
      <w:r>
        <w:rPr>
          <w:b/>
        </w:rPr>
        <w:t>9. DAS OBRIGAÇÕES DO CONTRATANTE</w:t>
      </w:r>
    </w:p>
    <w:p>
      <w:pPr>
        <w:pStyle w:val="LOnormal"/>
        <w:spacing w:lineRule="auto" w:line="240" w:before="60" w:after="60"/>
        <w:jc w:val="both"/>
        <w:rPr/>
      </w:pPr>
      <w:r>
        <w:rPr/>
        <w:t>9.1. Exigir o cumprimento de todas as obrigações assumidas pelo contratado, de acordo com este instrumento e seus anexos;</w:t>
      </w:r>
    </w:p>
    <w:p>
      <w:pPr>
        <w:pStyle w:val="LOnormal"/>
        <w:spacing w:lineRule="auto" w:line="240" w:before="60" w:after="60"/>
        <w:jc w:val="both"/>
        <w:rPr/>
      </w:pPr>
      <w:r>
        <w:rPr/>
        <w:t>9.2. Receber o objeto no prazo e condições estabelecidas neste Termo;</w:t>
      </w:r>
    </w:p>
    <w:p>
      <w:pPr>
        <w:pStyle w:val="LOnormal"/>
        <w:spacing w:lineRule="auto" w:line="240" w:before="60" w:after="60"/>
        <w:jc w:val="both"/>
        <w:rPr/>
      </w:pPr>
      <w:r>
        <w:rPr/>
        <w:t>9.3. Notificar o contratado, por escrito, sobre vícios, defeitos ou incorreções verificadas no objeto contratado, para que seja por ele substituído, reparado ou corrigido, no total ou em parte, às suas expensas;</w:t>
      </w:r>
    </w:p>
    <w:p>
      <w:pPr>
        <w:pStyle w:val="LOnormal"/>
        <w:spacing w:lineRule="auto" w:line="240" w:before="60" w:after="60"/>
        <w:jc w:val="both"/>
        <w:rPr/>
      </w:pPr>
      <w:r>
        <w:rPr/>
        <w:t>9.4. Acompanhar e fiscalizar a execução do contrato e o cumprimento das obrigações pelo contratado;</w:t>
      </w:r>
    </w:p>
    <w:p>
      <w:pPr>
        <w:pStyle w:val="LOnormal"/>
        <w:spacing w:lineRule="auto" w:line="240" w:before="60" w:after="60"/>
        <w:jc w:val="both"/>
        <w:rPr/>
      </w:pPr>
      <w:r>
        <w:rPr/>
        <w:t>9.5.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pPr>
        <w:pStyle w:val="LOnormal"/>
        <w:spacing w:lineRule="auto" w:line="240" w:before="60" w:after="60"/>
        <w:jc w:val="both"/>
        <w:rPr/>
      </w:pPr>
      <w:r>
        <w:rPr/>
        <w:t>9.6. Efetuar o pagamento ao contratado do valor correspondente a execução do objeto, no prazo, forma e condições estabelecidos neste termo;</w:t>
      </w:r>
    </w:p>
    <w:p>
      <w:pPr>
        <w:pStyle w:val="LOnormal"/>
        <w:spacing w:lineRule="auto" w:line="240" w:before="60" w:after="60"/>
        <w:jc w:val="both"/>
        <w:rPr/>
      </w:pPr>
      <w:r>
        <w:rPr/>
        <w:t>9.7. Aplicar as sanções previstas na lei e edital, quando do descumprimento de obrigações pelo contratado;</w:t>
      </w:r>
    </w:p>
    <w:p>
      <w:pPr>
        <w:pStyle w:val="LOnormal"/>
        <w:spacing w:lineRule="auto" w:line="240" w:before="60" w:after="60"/>
        <w:jc w:val="both"/>
        <w:rPr/>
      </w:pPr>
      <w:r>
        <w:rPr/>
        <w:t>9.8. Emitir explicitamente decisão sobre todas as solicitações e reclamações relacionadas à execução do contrato, ressalvados os requerimentos manifestamente impertinentes, meramente protelatórios ou de nenhum interesse para a boa execução do contrato.</w:t>
      </w:r>
    </w:p>
    <w:p>
      <w:pPr>
        <w:pStyle w:val="LOnormal"/>
        <w:spacing w:lineRule="auto" w:line="240" w:before="60" w:after="60"/>
        <w:jc w:val="both"/>
        <w:rPr/>
      </w:pPr>
      <w:r>
        <w:rPr/>
        <w:t>9.8.1. A Administração terá o prazo de 60 (sessenta) dias, a contar da data do protocolo do requerimento para decidir, admitida a prorrogação motivada, por igual período.</w:t>
      </w:r>
    </w:p>
    <w:p>
      <w:pPr>
        <w:pStyle w:val="LOnormal"/>
        <w:spacing w:lineRule="auto" w:line="240" w:before="60" w:after="60"/>
        <w:jc w:val="both"/>
        <w:rPr/>
      </w:pPr>
      <w:r>
        <w:rPr/>
        <w:t>9.9. Responder eventuais pedidos de restabelecimento do equilíbrio econômico-financeiro feitos pelo contratado no prazo máximo de 60 (sessenta) dias.</w:t>
      </w:r>
    </w:p>
    <w:p>
      <w:pPr>
        <w:pStyle w:val="LOnormal"/>
        <w:spacing w:lineRule="auto" w:line="240" w:before="60" w:after="60"/>
        <w:jc w:val="both"/>
        <w:rPr/>
      </w:pPr>
      <w:r>
        <w:rPr/>
        <w:t>9.10.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
        <w:keepNext w:val="false"/>
        <w:keepLines w:val="false"/>
        <w:pageBreakBefore w:val="false"/>
        <w:widowControl/>
        <w:shd w:val="clear" w:fill="auto"/>
        <w:spacing w:lineRule="auto" w:line="240" w:before="60" w:after="60"/>
        <w:ind w:left="0" w:right="0" w:hanging="0"/>
        <w:jc w:val="both"/>
        <w:rPr>
          <w:b/>
          <w:b/>
        </w:rPr>
      </w:pPr>
      <w:r>
        <w:rPr>
          <w:b/>
        </w:rPr>
        <w:t>10. DAS OBRIGAÇÕES DO CONTRATADO</w:t>
      </w:r>
    </w:p>
    <w:p>
      <w:pPr>
        <w:pStyle w:val="LOnormal"/>
        <w:spacing w:lineRule="auto" w:line="240" w:before="60" w:after="60"/>
        <w:jc w:val="both"/>
        <w:rPr/>
      </w:pPr>
      <w:r>
        <w:rPr/>
        <w:t>10.1. O contratado deve cumprir todas as obrigações constantes do edital e seus anexos, assumindo como exclusivamente seus os riscos e as despesas decorrentes da boa e perfeita execução do objeto, observando, ainda, as obrigações a seguir dispostas:</w:t>
      </w:r>
    </w:p>
    <w:p>
      <w:pPr>
        <w:pStyle w:val="LOnormal"/>
        <w:spacing w:lineRule="auto" w:line="240" w:before="60" w:after="60"/>
        <w:jc w:val="both"/>
        <w:rPr/>
      </w:pPr>
      <w:r>
        <w:rPr/>
        <w:t>10.1.1. Responsabilizar-se pelos vícios e danos decorrentes do objeto, de acordo com o Código de Defesa do Consumidor;</w:t>
      </w:r>
    </w:p>
    <w:p>
      <w:pPr>
        <w:pStyle w:val="LOnormal"/>
        <w:spacing w:lineRule="auto" w:line="240" w:before="60" w:after="60"/>
        <w:jc w:val="both"/>
        <w:rPr/>
      </w:pPr>
      <w:r>
        <w:rPr/>
        <w:t>10.1.2. Comunicar ao contratante, no prazo máximo de 24 (vinte e quatro) horas que antecede a data da conclusão do serviço, os motivos que impossibilitem o cumprimento do prazo previsto, com a devida comprovação;</w:t>
      </w:r>
    </w:p>
    <w:p>
      <w:pPr>
        <w:pStyle w:val="LOnormal"/>
        <w:spacing w:lineRule="auto" w:line="240" w:before="60" w:after="60"/>
        <w:jc w:val="both"/>
        <w:rPr/>
      </w:pPr>
      <w:r>
        <w:rPr/>
        <w:t>10.1.3. Atender às determinações regulares emitidas pelo fiscal ou gestor do contrato ou autoridade superior e prestar todo esclarecimento ou informação por eles solicitados;</w:t>
      </w:r>
    </w:p>
    <w:p>
      <w:pPr>
        <w:pStyle w:val="LOnormal"/>
        <w:spacing w:lineRule="auto" w:line="240" w:before="60" w:after="60"/>
        <w:jc w:val="both"/>
        <w:rPr/>
      </w:pPr>
      <w:r>
        <w:rPr/>
        <w:t>10.1.4.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LOnormal"/>
        <w:spacing w:lineRule="auto" w:line="240" w:before="60" w:after="60"/>
        <w:jc w:val="both"/>
        <w:rPr/>
      </w:pPr>
      <w:r>
        <w:rPr/>
        <w:t>10.1.5.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LOnormal"/>
        <w:spacing w:lineRule="auto" w:line="240" w:before="60" w:after="60"/>
        <w:jc w:val="both"/>
        <w:rPr/>
      </w:pPr>
      <w:r>
        <w:rPr/>
        <w:t>10.1.6. Quando não for possível a verificação da regularidade no Sistema de Cadastramento Unificado de Fornecedores(SICAF),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pPr>
        <w:pStyle w:val="LOnormal"/>
        <w:spacing w:lineRule="auto" w:line="240" w:before="60" w:after="60"/>
        <w:jc w:val="both"/>
        <w:rPr/>
      </w:pPr>
      <w:r>
        <w:rPr/>
        <w:t>10.1.7.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Onormal"/>
        <w:spacing w:lineRule="auto" w:line="240" w:before="60" w:after="60"/>
        <w:jc w:val="both"/>
        <w:rPr/>
      </w:pPr>
      <w:r>
        <w:rPr/>
        <w:t>10.1.8. Atender além dos critérios de sustentabilidade eventualmente inseridos na descrição do objeto, atender ainda os seguintes requisitos de sustentabilidade.</w:t>
      </w:r>
    </w:p>
    <w:p>
      <w:pPr>
        <w:pStyle w:val="LOnormal"/>
        <w:tabs>
          <w:tab w:val="clear" w:pos="720"/>
          <w:tab w:val="left" w:pos="-2184" w:leader="none"/>
          <w:tab w:val="left" w:pos="1077" w:leader="none"/>
        </w:tabs>
        <w:spacing w:lineRule="auto" w:line="240" w:before="57" w:after="57"/>
        <w:jc w:val="both"/>
        <w:rPr/>
      </w:pPr>
      <w:r>
        <w:rPr/>
        <w:t>10.1.8.1. A contratada deverá contribuir para a promoção do desenvolvimento nacional sustentável no cumprimento de diretrizes e critérios de sustentabilidade ambiental, de acordo com o art. 225 da Constituição Federal de 1988, e em conformidade com a Lei 14.133/21. (Critérios e práticas de sustentabilidade).</w:t>
      </w:r>
    </w:p>
    <w:p>
      <w:pPr>
        <w:pStyle w:val="LOnormal"/>
        <w:tabs>
          <w:tab w:val="clear" w:pos="720"/>
          <w:tab w:val="left" w:pos="-2184" w:leader="none"/>
          <w:tab w:val="left" w:pos="1077" w:leader="none"/>
        </w:tabs>
        <w:spacing w:lineRule="auto" w:line="240" w:before="57" w:after="57"/>
        <w:jc w:val="both"/>
        <w:rPr/>
      </w:pPr>
      <w:r>
        <w:rPr/>
        <w:t>10.1.8.2. Identificar a existência de novas metodologias, soluções ou inovações que melhor atendam às necessidades da Administração, com menor impacto ambiental negativo no uso de produtos e serviços, minimizando a poluição e a pressão sobre os recursos naturais.</w:t>
      </w:r>
    </w:p>
    <w:p>
      <w:pPr>
        <w:pStyle w:val="LOnormal"/>
        <w:tabs>
          <w:tab w:val="clear" w:pos="720"/>
          <w:tab w:val="left" w:pos="-2184" w:leader="none"/>
          <w:tab w:val="left" w:pos="1077" w:leader="none"/>
        </w:tabs>
        <w:spacing w:lineRule="auto" w:line="240" w:before="57" w:after="57"/>
        <w:jc w:val="both"/>
        <w:rPr/>
      </w:pPr>
      <w:r>
        <w:rPr/>
        <w:t>10.1.8.3. Demonstrar os resultados pretendidos e alcançados em termos de economicidade e de melhor aproveitamento dos recursos humanos, materiais ou financeiros disponíveis, inclusive com respeito a impactos ambientais positivos, bem como de melhoria da qualidade de produtos/serviços oferecidos à Administração.</w:t>
      </w:r>
    </w:p>
    <w:p>
      <w:pPr>
        <w:pStyle w:val="LOnormal"/>
        <w:tabs>
          <w:tab w:val="clear" w:pos="720"/>
          <w:tab w:val="left" w:pos="-2184" w:leader="none"/>
          <w:tab w:val="left" w:pos="1077" w:leader="none"/>
        </w:tabs>
        <w:spacing w:lineRule="auto" w:line="240" w:before="57" w:after="57"/>
        <w:jc w:val="both"/>
        <w:rPr/>
      </w:pPr>
      <w:r>
        <w:rPr/>
        <w:t>10.1.8.4. Oferecer ao mercado produtos e serviços sustentáveis, como regra geral, tais como uso de veículos flex, elétricos e/ou híbridos.</w:t>
      </w:r>
    </w:p>
    <w:p>
      <w:pPr>
        <w:pStyle w:val="LOnormal"/>
        <w:tabs>
          <w:tab w:val="clear" w:pos="720"/>
          <w:tab w:val="left" w:pos="-2184" w:leader="none"/>
          <w:tab w:val="left" w:pos="1077" w:leader="none"/>
        </w:tabs>
        <w:spacing w:lineRule="auto" w:line="240" w:before="57" w:after="57"/>
        <w:jc w:val="both"/>
        <w:rPr/>
      </w:pPr>
      <w:r>
        <w:rPr/>
        <w:t>10.1.8.5. São considerados critérios e práticas sustentáveis, entre outras:</w:t>
      </w:r>
    </w:p>
    <w:p>
      <w:pPr>
        <w:pStyle w:val="LOnormal"/>
        <w:tabs>
          <w:tab w:val="clear" w:pos="720"/>
          <w:tab w:val="left" w:pos="-2184" w:leader="none"/>
          <w:tab w:val="left" w:pos="1077" w:leader="none"/>
        </w:tabs>
        <w:spacing w:lineRule="auto" w:line="240" w:before="57" w:after="57"/>
        <w:jc w:val="both"/>
        <w:rPr/>
      </w:pPr>
      <w:r>
        <w:rPr/>
        <w:t xml:space="preserve">a) Baixo impacto sobre recursos naturais como flora, fauna, ar, solo e água; </w:t>
      </w:r>
    </w:p>
    <w:p>
      <w:pPr>
        <w:pStyle w:val="LOnormal"/>
        <w:tabs>
          <w:tab w:val="clear" w:pos="720"/>
          <w:tab w:val="left" w:pos="-2184" w:leader="none"/>
          <w:tab w:val="left" w:pos="1077" w:leader="none"/>
        </w:tabs>
        <w:spacing w:lineRule="auto" w:line="240" w:before="57" w:after="57"/>
        <w:jc w:val="both"/>
        <w:rPr/>
      </w:pPr>
      <w:r>
        <w:rPr/>
        <w:t xml:space="preserve">b) Preferência para materiais, tecnologias e matérias-primas de origem local; </w:t>
      </w:r>
    </w:p>
    <w:p>
      <w:pPr>
        <w:pStyle w:val="LOnormal"/>
        <w:tabs>
          <w:tab w:val="clear" w:pos="720"/>
          <w:tab w:val="left" w:pos="-2184" w:leader="none"/>
          <w:tab w:val="left" w:pos="1077" w:leader="none"/>
        </w:tabs>
        <w:spacing w:lineRule="auto" w:line="240" w:before="57" w:after="57"/>
        <w:jc w:val="both"/>
        <w:rPr/>
      </w:pPr>
      <w:r>
        <w:rPr/>
        <w:t>c) Maior eficiência na utilização de recursos naturais como água e energia e outros recursos naturais;</w:t>
      </w:r>
    </w:p>
    <w:p>
      <w:pPr>
        <w:pStyle w:val="LOnormal"/>
        <w:tabs>
          <w:tab w:val="clear" w:pos="720"/>
          <w:tab w:val="left" w:pos="-2184" w:leader="none"/>
          <w:tab w:val="left" w:pos="1077" w:leader="none"/>
        </w:tabs>
        <w:spacing w:lineRule="auto" w:line="240" w:before="57" w:after="57"/>
        <w:jc w:val="both"/>
        <w:rPr/>
      </w:pPr>
      <w:r>
        <w:rPr/>
        <w:t>d) Reduzir o consumo e evitar desperdício de materiais;</w:t>
      </w:r>
    </w:p>
    <w:p>
      <w:pPr>
        <w:pStyle w:val="LOnormal"/>
        <w:tabs>
          <w:tab w:val="clear" w:pos="720"/>
          <w:tab w:val="left" w:pos="-2184" w:leader="none"/>
          <w:tab w:val="left" w:pos="1077" w:leader="none"/>
        </w:tabs>
        <w:spacing w:lineRule="auto" w:line="240" w:before="57" w:after="57"/>
        <w:jc w:val="both"/>
        <w:rPr/>
      </w:pPr>
      <w:r>
        <w:rPr/>
        <w:t xml:space="preserve">e) Maior vida útil e menor custo de manutenção de bens e equipamentos e estímulo de serviços sustentáveis; </w:t>
      </w:r>
    </w:p>
    <w:p>
      <w:pPr>
        <w:pStyle w:val="LOnormal"/>
        <w:tabs>
          <w:tab w:val="clear" w:pos="720"/>
          <w:tab w:val="left" w:pos="-2184" w:leader="none"/>
          <w:tab w:val="left" w:pos="1077" w:leader="none"/>
        </w:tabs>
        <w:spacing w:lineRule="auto" w:line="240" w:before="57" w:after="57"/>
        <w:jc w:val="both"/>
        <w:rPr/>
      </w:pPr>
      <w:r>
        <w:rPr/>
        <w:t xml:space="preserve">f) Uso de inovações que reduzam a pressão sobre recursos naturais; </w:t>
      </w:r>
    </w:p>
    <w:p>
      <w:pPr>
        <w:pStyle w:val="LOnormal"/>
        <w:tabs>
          <w:tab w:val="clear" w:pos="720"/>
          <w:tab w:val="left" w:pos="-2184" w:leader="none"/>
          <w:tab w:val="left" w:pos="1077" w:leader="none"/>
        </w:tabs>
        <w:spacing w:lineRule="auto" w:line="240" w:before="57" w:after="57"/>
        <w:jc w:val="both"/>
        <w:rPr/>
      </w:pPr>
      <w:r>
        <w:rPr/>
        <w:t xml:space="preserve">g) Maior geração de empregos, preferencialmente com mão de obra local; </w:t>
      </w:r>
    </w:p>
    <w:p>
      <w:pPr>
        <w:pStyle w:val="LOnormal"/>
        <w:tabs>
          <w:tab w:val="clear" w:pos="720"/>
          <w:tab w:val="left" w:pos="-2184" w:leader="none"/>
          <w:tab w:val="left" w:pos="1077" w:leader="none"/>
        </w:tabs>
        <w:spacing w:lineRule="auto" w:line="240" w:before="57" w:after="57"/>
        <w:jc w:val="both"/>
        <w:rPr/>
      </w:pPr>
      <w:r>
        <w:rPr/>
        <w:t xml:space="preserve">h) Considerar medidas para minimizar a geração de resíduos e rejeitos e prever sua destinação ambiental adequada; </w:t>
      </w:r>
    </w:p>
    <w:p>
      <w:pPr>
        <w:pStyle w:val="LOnormal"/>
        <w:tabs>
          <w:tab w:val="clear" w:pos="720"/>
          <w:tab w:val="left" w:pos="-2184" w:leader="none"/>
          <w:tab w:val="left" w:pos="1077" w:leader="none"/>
        </w:tabs>
        <w:spacing w:lineRule="auto" w:line="240" w:before="57" w:after="57"/>
        <w:jc w:val="both"/>
        <w:rPr/>
      </w:pPr>
      <w:r>
        <w:rPr/>
        <w:t>i) Adotar normas técnicas, de saúde e de segurança do trabalho adequadas.</w:t>
      </w:r>
    </w:p>
    <w:p>
      <w:pPr>
        <w:pStyle w:val="LOnormal"/>
        <w:tabs>
          <w:tab w:val="clear" w:pos="720"/>
          <w:tab w:val="left" w:pos="-2184" w:leader="none"/>
          <w:tab w:val="left" w:pos="1077" w:leader="none"/>
        </w:tabs>
        <w:spacing w:lineRule="auto" w:line="240" w:before="57" w:after="57"/>
        <w:jc w:val="both"/>
        <w:rPr/>
      </w:pPr>
      <w:r>
        <w:rPr/>
        <w:t>10.1.8.6. Na operação de Aterros Sanitários, para disposição final de resíduos sólidos urbanos, identificam-se os seguintes poluentes:</w:t>
      </w:r>
    </w:p>
    <w:p>
      <w:pPr>
        <w:pStyle w:val="LOnormal"/>
        <w:tabs>
          <w:tab w:val="clear" w:pos="720"/>
          <w:tab w:val="left" w:pos="-2184" w:leader="none"/>
          <w:tab w:val="left" w:pos="1077" w:leader="none"/>
        </w:tabs>
        <w:spacing w:lineRule="auto" w:line="240" w:before="57" w:after="57"/>
        <w:jc w:val="both"/>
        <w:rPr/>
      </w:pPr>
      <w:r>
        <w:rPr/>
        <w:t>a) O chorume, líquido escuro de alto potencial poluidor, gerado pela degradação da matéria orgânica presente nos resíduos sólidos urbanos. Esse chorume, através da infiltração das águas superficiais que precipitam sobre a superfície do Aterro nas épocas de chuva, pode percolar através do solo, causando a contaminação do solo e das águas subterrâneas;</w:t>
      </w:r>
    </w:p>
    <w:p>
      <w:pPr>
        <w:pStyle w:val="LOnormal"/>
        <w:tabs>
          <w:tab w:val="clear" w:pos="720"/>
          <w:tab w:val="left" w:pos="-2184" w:leader="none"/>
          <w:tab w:val="left" w:pos="1077" w:leader="none"/>
        </w:tabs>
        <w:spacing w:lineRule="auto" w:line="240" w:before="57" w:after="57"/>
        <w:jc w:val="both"/>
        <w:rPr/>
      </w:pPr>
      <w:r>
        <w:rPr/>
        <w:t>b) O biogás gerado na decomposição biológica da parcela orgânica contida nos resíduos sólidos urbanos;</w:t>
      </w:r>
    </w:p>
    <w:p>
      <w:pPr>
        <w:pStyle w:val="LOnormal"/>
        <w:tabs>
          <w:tab w:val="clear" w:pos="720"/>
          <w:tab w:val="left" w:pos="-2184" w:leader="none"/>
          <w:tab w:val="left" w:pos="1077" w:leader="none"/>
        </w:tabs>
        <w:spacing w:lineRule="auto" w:line="240" w:before="57" w:after="57"/>
        <w:jc w:val="both"/>
        <w:rPr/>
      </w:pPr>
      <w:r>
        <w:rPr/>
        <w:t>c) O efluente líquido gerado pelas águas superficiais que precipitam sobre o Aterro e escoam ao sistema de drenagem das águas pluviais;</w:t>
      </w:r>
    </w:p>
    <w:p>
      <w:pPr>
        <w:pStyle w:val="LOnormal"/>
        <w:tabs>
          <w:tab w:val="clear" w:pos="720"/>
          <w:tab w:val="left" w:pos="-2184" w:leader="none"/>
          <w:tab w:val="left" w:pos="1077" w:leader="none"/>
        </w:tabs>
        <w:spacing w:lineRule="auto" w:line="240" w:before="57" w:after="57"/>
        <w:jc w:val="both"/>
        <w:rPr/>
      </w:pPr>
      <w:r>
        <w:rPr/>
        <w:t>d) As poeiras que são levantadas pelos veículos que trafegam nos acessos internos do Aterro Sanitário;</w:t>
      </w:r>
    </w:p>
    <w:p>
      <w:pPr>
        <w:pStyle w:val="LOnormal"/>
        <w:tabs>
          <w:tab w:val="clear" w:pos="720"/>
          <w:tab w:val="left" w:pos="-2184" w:leader="none"/>
          <w:tab w:val="left" w:pos="1077" w:leader="none"/>
        </w:tabs>
        <w:spacing w:lineRule="auto" w:line="240" w:before="57" w:after="57"/>
        <w:jc w:val="both"/>
        <w:rPr/>
      </w:pPr>
      <w:r>
        <w:rPr/>
        <w:t>e) Os ruídos gerados pelos tratores que efetuam a compactação dos resíduos sólidos urbanos dispostos nas células do Aterro e pelos caminhões que efetuam o transporte dos resíduos sólidos urbanos ao Aterro.</w:t>
      </w:r>
    </w:p>
    <w:p>
      <w:pPr>
        <w:pStyle w:val="LOnormal"/>
        <w:tabs>
          <w:tab w:val="clear" w:pos="720"/>
          <w:tab w:val="left" w:pos="-2184" w:leader="none"/>
          <w:tab w:val="left" w:pos="1077" w:leader="none"/>
        </w:tabs>
        <w:spacing w:lineRule="auto" w:line="240" w:before="57" w:after="57"/>
        <w:jc w:val="both"/>
        <w:rPr/>
      </w:pPr>
      <w:r>
        <w:rPr/>
        <w:t>10.1.8.7. O monitoramento e os planos de mitigação dos impactos ambientais previstos para o sistema de tratamento devem seguir o projeto de implantação aprovado pelo órgão ambiental e incluir os ensaios necessários, definidos conforme condicionante ambiental.</w:t>
      </w:r>
    </w:p>
    <w:p>
      <w:pPr>
        <w:pStyle w:val="LOnormal"/>
        <w:tabs>
          <w:tab w:val="clear" w:pos="720"/>
          <w:tab w:val="left" w:pos="-2184" w:leader="none"/>
          <w:tab w:val="left" w:pos="1077" w:leader="none"/>
        </w:tabs>
        <w:spacing w:lineRule="auto" w:line="240" w:before="57" w:after="57"/>
        <w:jc w:val="both"/>
        <w:rPr/>
      </w:pPr>
      <w:r>
        <w:rPr/>
        <w:t>10.1.8.8. Todas as análises e adequações que venham a ser exigidas pelo órgão ambiental competente serão de responsabilidade da CONTRATADA.</w:t>
      </w:r>
    </w:p>
    <w:p>
      <w:pPr>
        <w:pStyle w:val="LOnormal"/>
        <w:tabs>
          <w:tab w:val="clear" w:pos="720"/>
          <w:tab w:val="left" w:pos="-2184" w:leader="none"/>
          <w:tab w:val="left" w:pos="1077" w:leader="none"/>
        </w:tabs>
        <w:spacing w:lineRule="auto" w:line="240" w:before="57" w:after="57"/>
        <w:jc w:val="both"/>
        <w:rPr/>
      </w:pPr>
      <w:r>
        <w:rPr/>
        <w:t>10.1.8.9. 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pPr>
        <w:pStyle w:val="LOnormal"/>
        <w:tabs>
          <w:tab w:val="clear" w:pos="720"/>
          <w:tab w:val="left" w:pos="-2184" w:leader="none"/>
          <w:tab w:val="left" w:pos="1077" w:leader="none"/>
        </w:tabs>
        <w:spacing w:lineRule="auto" w:line="240" w:before="57" w:after="57"/>
        <w:jc w:val="both"/>
        <w:rPr/>
      </w:pPr>
      <w:r>
        <w:rPr/>
        <w:t>10.1.8.10. A presente contratação visa também gerar impactos ambientais positivos, uma vez que haverá previsão da responsabilidade ambiental da futura contratada, que todo o material e equipamento a ser fornecido deverá considerar a composição, características ou componentes sustentáveis.</w:t>
      </w:r>
    </w:p>
    <w:p>
      <w:pPr>
        <w:pStyle w:val="LOnormal"/>
        <w:tabs>
          <w:tab w:val="clear" w:pos="720"/>
          <w:tab w:val="left" w:pos="-2184" w:leader="none"/>
          <w:tab w:val="left" w:pos="1077" w:leader="none"/>
        </w:tabs>
        <w:spacing w:lineRule="auto" w:line="240" w:before="57" w:after="57"/>
        <w:jc w:val="both"/>
        <w:rPr/>
      </w:pPr>
      <w:r>
        <w:rPr/>
        <w:t>10.1.8.11. A Contratada deverá atender todas as normas e regulamentações vigentes que disponham sobre o adequado recolhimento, tratamento e destinação dos resíduos para redução dos impactos ambientais.</w:t>
      </w:r>
    </w:p>
    <w:p>
      <w:pPr>
        <w:pStyle w:val="LOnormal"/>
        <w:tabs>
          <w:tab w:val="clear" w:pos="720"/>
          <w:tab w:val="left" w:pos="-2184" w:leader="none"/>
          <w:tab w:val="left" w:pos="1077" w:leader="none"/>
        </w:tabs>
        <w:spacing w:lineRule="auto" w:line="240" w:before="57" w:after="57"/>
        <w:jc w:val="both"/>
        <w:rPr/>
      </w:pPr>
      <w:r>
        <w:rPr/>
        <w:t>10.1.8.12. A contratada deverá, ainda, respeitar as Normas Brasileiras (NBR) publicadas pela ABNT sobre resíduos sólidos.</w:t>
      </w:r>
    </w:p>
    <w:p>
      <w:pPr>
        <w:pStyle w:val="LOnormal"/>
        <w:tabs>
          <w:tab w:val="clear" w:pos="720"/>
          <w:tab w:val="left" w:pos="-2184" w:leader="none"/>
          <w:tab w:val="left" w:pos="1077" w:leader="none"/>
        </w:tabs>
        <w:spacing w:lineRule="auto" w:line="240" w:before="57" w:after="57"/>
        <w:jc w:val="both"/>
        <w:rPr>
          <w:i/>
          <w:i/>
          <w:highlight w:val="yellow"/>
        </w:rPr>
      </w:pPr>
      <w:r>
        <w:rPr/>
        <w:t>10.1.9. Comunicar ao fiscal do contrato, no prazo de 24 (vinte e quatro) horas, qualquer ocorrência anormal ou acidente que se verifique no local da execução do objeto.</w:t>
      </w:r>
    </w:p>
    <w:p>
      <w:pPr>
        <w:pStyle w:val="LOnormal"/>
        <w:tabs>
          <w:tab w:val="clear" w:pos="720"/>
          <w:tab w:val="left" w:pos="-2184" w:leader="none"/>
          <w:tab w:val="left" w:pos="1077" w:leader="none"/>
        </w:tabs>
        <w:spacing w:lineRule="auto" w:line="240" w:before="57" w:after="57"/>
        <w:jc w:val="both"/>
        <w:rPr>
          <w:i/>
          <w:i/>
          <w:highlight w:val="yellow"/>
        </w:rPr>
      </w:pPr>
      <w:r>
        <w:rPr/>
        <w:t>10.1.10. Paralisar, por determinação do contratante, qualquer atividade que não esteja sendo executada de acordo com a boa técnica ou que ponha em risco a segurança de pessoas ou bens de terceiros.</w:t>
      </w:r>
    </w:p>
    <w:p>
      <w:pPr>
        <w:pStyle w:val="LOnormal"/>
        <w:tabs>
          <w:tab w:val="clear" w:pos="720"/>
          <w:tab w:val="left" w:pos="-2184" w:leader="none"/>
          <w:tab w:val="left" w:pos="1077" w:leader="none"/>
        </w:tabs>
        <w:spacing w:lineRule="auto" w:line="240" w:before="57" w:after="57"/>
        <w:jc w:val="both"/>
        <w:rPr>
          <w:i/>
          <w:i/>
          <w:highlight w:val="yellow"/>
        </w:rPr>
      </w:pPr>
      <w:r>
        <w:rPr/>
        <w:t>10.1.11. Manter durante toda a vigência do contrato, em compatibilidade com as obrigações assumidas, todas as condições exigidas para habilitação na licitação.</w:t>
      </w:r>
    </w:p>
    <w:p>
      <w:pPr>
        <w:pStyle w:val="LOnormal"/>
        <w:tabs>
          <w:tab w:val="clear" w:pos="720"/>
          <w:tab w:val="left" w:pos="-2184" w:leader="none"/>
          <w:tab w:val="left" w:pos="1077" w:leader="none"/>
        </w:tabs>
        <w:spacing w:lineRule="auto" w:line="240" w:before="57" w:after="57"/>
        <w:jc w:val="both"/>
        <w:rPr>
          <w:i/>
          <w:i/>
          <w:highlight w:val="yellow"/>
        </w:rPr>
      </w:pPr>
      <w:r>
        <w:rPr/>
        <w:t>10.1.12. Cumprir, durante todo o período de execução do contrato, a reserva de cargos prevista em lei para pessoa com deficiência, para reabilitado da Previdência Social ou para aprendiz, bem como as reservas de cargos previstas em lei e em outras normas específicas.</w:t>
      </w:r>
    </w:p>
    <w:p>
      <w:pPr>
        <w:pStyle w:val="LOnormal"/>
        <w:tabs>
          <w:tab w:val="clear" w:pos="720"/>
          <w:tab w:val="left" w:pos="-2184" w:leader="none"/>
          <w:tab w:val="left" w:pos="1077" w:leader="none"/>
        </w:tabs>
        <w:spacing w:lineRule="auto" w:line="240" w:before="57" w:after="57"/>
        <w:jc w:val="both"/>
        <w:rPr>
          <w:i/>
          <w:i/>
          <w:highlight w:val="yellow"/>
        </w:rPr>
      </w:pPr>
      <w:r>
        <w:rPr/>
        <w:t>10.1.12.1. Comprovar as reservas de cargos e vagas a que se referem o subitem acima, no prazo fixado pelo fiscal do contrato, com a indicação dos empregados que preencheram as referidas vagas conforme disposto no art. 116, parágrafo único da Lei nº 14.133/2021.</w:t>
      </w:r>
    </w:p>
    <w:p>
      <w:pPr>
        <w:pStyle w:val="LOnormal"/>
        <w:tabs>
          <w:tab w:val="clear" w:pos="720"/>
          <w:tab w:val="left" w:pos="-2184" w:leader="none"/>
          <w:tab w:val="left" w:pos="1077" w:leader="none"/>
        </w:tabs>
        <w:spacing w:lineRule="auto" w:line="240" w:before="57" w:after="57"/>
        <w:jc w:val="both"/>
        <w:rPr>
          <w:i/>
          <w:i/>
          <w:highlight w:val="yellow"/>
        </w:rPr>
      </w:pPr>
      <w:r>
        <w:rPr/>
        <w:t>10.1.13. Guardar sigilo sobre todas as informações obtidas em decorrência do cumprimento do contrato.</w:t>
      </w:r>
    </w:p>
    <w:p>
      <w:pPr>
        <w:pStyle w:val="LOnormal"/>
        <w:tabs>
          <w:tab w:val="clear" w:pos="720"/>
          <w:tab w:val="left" w:pos="-2184" w:leader="none"/>
          <w:tab w:val="left" w:pos="1077" w:leader="none"/>
        </w:tabs>
        <w:spacing w:lineRule="auto" w:line="240" w:before="57" w:after="57"/>
        <w:jc w:val="both"/>
        <w:rPr>
          <w:i/>
          <w:i/>
          <w:highlight w:val="yellow"/>
        </w:rPr>
      </w:pPr>
      <w:r>
        <w:rPr/>
        <w:t>10.1.14.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fldChar w:fldCharType="begin"/>
      </w:r>
      <w:r>
        <w:rPr/>
        <w:instrText xml:space="preserve"> HYPERLINK "http://www.planalto.gov.br/ccivil_03/_ato2019-2022/2021/lei/L14133.htm" \l "art124"</w:instrText>
      </w:r>
      <w:r>
        <w:rPr/>
        <w:fldChar w:fldCharType="separate"/>
      </w:r>
      <w:r>
        <w:rPr/>
        <w:t>.</w:t>
      </w:r>
      <w:r>
        <w:rPr/>
        <w:fldChar w:fldCharType="end"/>
      </w:r>
    </w:p>
    <w:p>
      <w:pPr>
        <w:pStyle w:val="LOnormal"/>
        <w:tabs>
          <w:tab w:val="clear" w:pos="720"/>
          <w:tab w:val="left" w:pos="-2184" w:leader="none"/>
          <w:tab w:val="left" w:pos="1077" w:leader="none"/>
        </w:tabs>
        <w:spacing w:lineRule="auto" w:line="240" w:before="57" w:after="57"/>
        <w:jc w:val="both"/>
        <w:rPr>
          <w:i/>
          <w:i/>
          <w:highlight w:val="yellow"/>
        </w:rPr>
      </w:pPr>
      <w:r>
        <w:rPr/>
        <w:t>10.1.15.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pPr>
        <w:pStyle w:val="LOnormal"/>
        <w:tabs>
          <w:tab w:val="clear" w:pos="720"/>
          <w:tab w:val="left" w:pos="-2184" w:leader="none"/>
          <w:tab w:val="left" w:pos="1077" w:leader="none"/>
        </w:tabs>
        <w:spacing w:lineRule="auto" w:line="240" w:before="57" w:after="57"/>
        <w:jc w:val="both"/>
        <w:rPr>
          <w:i/>
          <w:i/>
          <w:highlight w:val="yellow"/>
        </w:rPr>
      </w:pPr>
      <w:r>
        <w:rPr/>
        <w:t>10.1.16. 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Onormal"/>
        <w:tabs>
          <w:tab w:val="clear" w:pos="720"/>
          <w:tab w:val="left" w:pos="-2184" w:leader="none"/>
          <w:tab w:val="left" w:pos="1077" w:leader="none"/>
        </w:tabs>
        <w:spacing w:lineRule="auto" w:line="240" w:before="57" w:after="57"/>
        <w:jc w:val="both"/>
        <w:rPr>
          <w:i/>
          <w:i/>
          <w:highlight w:val="yellow"/>
        </w:rPr>
      </w:pPr>
      <w:r>
        <w:rPr/>
        <w:t>10.1.17. Não permitir a utilização de qualquer trabalho do menor de dezesseis anos, exceto na condição de aprendiz para os maiores de quatorze anos, nem permitir a utilização do trabalho do menor de dezoito anos em trabalho noturno, perigoso ou insalubre.</w:t>
      </w:r>
    </w:p>
    <w:p>
      <w:pPr>
        <w:pStyle w:val="LOnormal"/>
        <w:tabs>
          <w:tab w:val="clear" w:pos="720"/>
          <w:tab w:val="left" w:pos="-2184" w:leader="none"/>
          <w:tab w:val="left" w:pos="1077" w:leader="none"/>
        </w:tabs>
        <w:spacing w:lineRule="auto" w:line="240" w:before="57" w:after="57"/>
        <w:jc w:val="both"/>
        <w:rPr>
          <w:i/>
          <w:i/>
          <w:highlight w:val="yellow"/>
        </w:rPr>
      </w:pPr>
      <w:r>
        <w:rPr/>
        <w:t>10.1.18. Promover, se for o caso, a guarda, manutenção e vigilância de materiais, ferramentas, e tudo o que for necessário à execução do objeto, durante a vigência do contrato.</w:t>
      </w:r>
    </w:p>
    <w:p>
      <w:pPr>
        <w:pStyle w:val="LOnormal"/>
        <w:tabs>
          <w:tab w:val="clear" w:pos="720"/>
          <w:tab w:val="left" w:pos="-2184" w:leader="none"/>
          <w:tab w:val="left" w:pos="1077" w:leader="none"/>
        </w:tabs>
        <w:spacing w:lineRule="auto" w:line="240" w:before="57" w:after="57"/>
        <w:jc w:val="both"/>
        <w:rPr>
          <w:i/>
          <w:i/>
          <w:highlight w:val="yellow"/>
        </w:rPr>
      </w:pPr>
      <w:r>
        <w:rPr/>
        <w:t>10.1.19. Providenciar a substituição de qualquer profissional envolvido na execução do objeto contratual, cuja conduta seja considerada indesejável pela fiscalização do contratante.</w:t>
      </w:r>
    </w:p>
    <w:p>
      <w:pPr>
        <w:pStyle w:val="LOnormal"/>
        <w:tabs>
          <w:tab w:val="clear" w:pos="720"/>
          <w:tab w:val="left" w:pos="-2184" w:leader="none"/>
          <w:tab w:val="left" w:pos="1077" w:leader="none"/>
        </w:tabs>
        <w:spacing w:lineRule="auto" w:line="240" w:before="57" w:after="57"/>
        <w:jc w:val="both"/>
        <w:rPr>
          <w:i/>
          <w:i/>
          <w:highlight w:val="yellow"/>
        </w:rPr>
      </w:pPr>
      <w:r>
        <w:rPr/>
        <w:t>10.1.20. Respeitar os princípios de proteção de dados pessoais elencados na Lei Geral de Proteção de Dados, Lei nº 13.709 de 14 de agosto de 2018 e suas alterações.</w:t>
      </w:r>
    </w:p>
    <w:p>
      <w:pPr>
        <w:pStyle w:val="LOnormal"/>
        <w:widowControl w:val="false"/>
        <w:tabs>
          <w:tab w:val="clear" w:pos="720"/>
          <w:tab w:val="left" w:pos="-2170" w:leader="none"/>
          <w:tab w:val="left" w:pos="1091" w:leader="none"/>
        </w:tabs>
        <w:spacing w:lineRule="auto" w:line="240" w:before="57" w:after="57"/>
        <w:jc w:val="both"/>
        <w:rPr>
          <w:rFonts w:ascii="Liberation Serif" w:hAnsi="Liberation Serif" w:eastAsia="Liberation Serif" w:cs="Liberation Serif"/>
        </w:rPr>
      </w:pPr>
      <w:r>
        <w:rPr/>
        <w:t xml:space="preserve">10.1.21. Disponibilizar a(s) vaga(s) destinada(s) ao cumprimento da Lei nº 15.854/2015, regulamentada pelo Decreto Estadual nº 32.042/2016. </w:t>
      </w:r>
    </w:p>
    <w:p>
      <w:pPr>
        <w:pStyle w:val="LOnormal"/>
        <w:tabs>
          <w:tab w:val="clear" w:pos="720"/>
          <w:tab w:val="left" w:pos="-2170" w:leader="none"/>
          <w:tab w:val="left" w:pos="1091" w:leader="none"/>
        </w:tabs>
        <w:spacing w:lineRule="auto" w:line="240" w:before="57" w:after="57"/>
        <w:jc w:val="both"/>
        <w:rPr>
          <w:highlight w:val="yellow"/>
        </w:rPr>
      </w:pPr>
      <w:r>
        <w:rPr/>
        <w:t>10.1.21.1. Encaminhar mensalmente, respectivamente, à CISPE/SAP e à SPS, a folha de frequência dos presos e egressos e/ou jovens do sistema socioeducativo contemplados com a reserva de vagas.</w:t>
      </w:r>
    </w:p>
    <w:p>
      <w:pPr>
        <w:pStyle w:val="LOnormal"/>
        <w:spacing w:lineRule="auto" w:line="240" w:before="60" w:after="60"/>
        <w:jc w:val="both"/>
        <w:rPr>
          <w:highlight w:val="yellow"/>
        </w:rPr>
      </w:pPr>
      <w:r>
        <w:rPr>
          <w:highlight w:val="yellow"/>
        </w:rPr>
        <w:br/>
        <w:b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60" w:after="60"/>
        <w:jc w:val="both"/>
        <w:rPr>
          <w:highlight w:val="yellow"/>
        </w:rPr>
      </w:pPr>
      <w:r>
        <w:rPr>
          <w:highlight w:val="yellow"/>
        </w:rPr>
      </w:r>
    </w:p>
    <w:p>
      <w:pPr>
        <w:pStyle w:val="LOnormal"/>
        <w:spacing w:lineRule="auto" w:line="240" w:before="0" w:after="0"/>
        <w:ind w:left="20" w:hanging="0"/>
        <w:jc w:val="center"/>
        <w:rPr>
          <w:b/>
          <w:b/>
        </w:rPr>
      </w:pPr>
      <w:r>
        <w:rPr>
          <w:b/>
        </w:rPr>
      </w:r>
    </w:p>
    <w:p>
      <w:pPr>
        <w:pStyle w:val="LOnormal"/>
        <w:spacing w:lineRule="auto" w:line="240" w:before="0" w:after="0"/>
        <w:ind w:left="20" w:hanging="0"/>
        <w:jc w:val="center"/>
        <w:rPr>
          <w:b/>
          <w:b/>
        </w:rPr>
      </w:pPr>
      <w:r>
        <w:rPr>
          <w:b/>
        </w:rPr>
      </w:r>
    </w:p>
    <w:p>
      <w:pPr>
        <w:pStyle w:val="LOnormal"/>
        <w:spacing w:lineRule="auto" w:line="240" w:before="0" w:after="0"/>
        <w:ind w:left="20" w:hanging="0"/>
        <w:jc w:val="center"/>
        <w:rPr>
          <w:b/>
          <w:b/>
        </w:rPr>
      </w:pPr>
      <w:r>
        <w:rPr>
          <w:b/>
        </w:rPr>
      </w:r>
    </w:p>
    <w:p>
      <w:pPr>
        <w:pStyle w:val="LOnormal"/>
        <w:spacing w:lineRule="auto" w:line="240" w:before="0" w:after="0"/>
        <w:ind w:left="20" w:hanging="0"/>
        <w:jc w:val="center"/>
        <w:rPr>
          <w:b/>
          <w:b/>
        </w:rPr>
      </w:pPr>
      <w:r>
        <w:rPr>
          <w:b/>
        </w:rPr>
      </w:r>
    </w:p>
    <w:p>
      <w:pPr>
        <w:pStyle w:val="LOnormal"/>
        <w:spacing w:lineRule="auto" w:line="240" w:before="0" w:after="0"/>
        <w:ind w:left="20" w:hanging="0"/>
        <w:jc w:val="center"/>
        <w:rPr>
          <w:b/>
          <w:b/>
        </w:rPr>
      </w:pPr>
      <w:r>
        <w:rPr>
          <w:b/>
        </w:rPr>
      </w:r>
    </w:p>
    <w:p>
      <w:pPr>
        <w:pStyle w:val="LOnormal"/>
        <w:spacing w:lineRule="auto" w:line="240" w:before="0" w:after="0"/>
        <w:ind w:left="20" w:hanging="0"/>
        <w:jc w:val="center"/>
        <w:rPr>
          <w:b/>
          <w:b/>
        </w:rPr>
      </w:pPr>
      <w:r>
        <w:rPr>
          <w:b/>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r>
    </w:p>
    <w:p>
      <w:pPr>
        <w:pStyle w:val="LOnormal"/>
        <w:spacing w:lineRule="auto" w:line="240" w:before="0" w:after="0"/>
        <w:ind w:left="20" w:hanging="0"/>
        <w:jc w:val="center"/>
        <w:rPr>
          <w:b/>
          <w:b/>
        </w:rPr>
      </w:pPr>
      <w:r>
        <w:rPr>
          <w:b/>
        </w:rPr>
        <w:t>ANEXO II – CARTA PROPOSTA</w:t>
        <w:br/>
      </w:r>
    </w:p>
    <w:p>
      <w:pPr>
        <w:pStyle w:val="LOnormal"/>
        <w:spacing w:lineRule="auto" w:line="240" w:before="60" w:after="60"/>
        <w:ind w:right="420" w:hanging="0"/>
        <w:jc w:val="both"/>
        <w:rPr/>
      </w:pPr>
      <w:r>
        <w:rPr/>
        <w:t>À</w:t>
      </w:r>
    </w:p>
    <w:p>
      <w:pPr>
        <w:pStyle w:val="LOnormal"/>
        <w:spacing w:lineRule="auto" w:line="240" w:before="60" w:after="60"/>
        <w:ind w:right="420" w:hanging="0"/>
        <w:jc w:val="both"/>
        <w:rPr/>
      </w:pPr>
      <w:r>
        <w:rPr/>
        <w:t>Central de Licitações do Estado do Ceará</w:t>
      </w:r>
    </w:p>
    <w:p>
      <w:pPr>
        <w:pStyle w:val="LOnormal"/>
        <w:spacing w:lineRule="auto" w:line="240" w:before="60" w:after="60"/>
        <w:ind w:right="420" w:hanging="0"/>
        <w:jc w:val="both"/>
        <w:rPr/>
      </w:pPr>
      <w:r>
        <w:rPr/>
        <w:t>Ref.: Pregão Eletrônico nº 20240001 - Secult</w:t>
      </w:r>
    </w:p>
    <w:p>
      <w:pPr>
        <w:pStyle w:val="LOnormal"/>
        <w:spacing w:lineRule="auto" w:line="240" w:before="60" w:after="60"/>
        <w:ind w:right="20" w:hanging="0"/>
        <w:jc w:val="both"/>
        <w:rPr/>
      </w:pPr>
      <w:r>
        <w:rPr/>
        <w:t>A proposta encontra-se em conformidade com as informações previstas no edital e seus anexos.</w:t>
      </w:r>
    </w:p>
    <w:p>
      <w:pPr>
        <w:pStyle w:val="LOnormal"/>
        <w:spacing w:lineRule="auto" w:line="240" w:before="0" w:after="0"/>
        <w:jc w:val="both"/>
        <w:rPr/>
      </w:pPr>
      <w:r>
        <w:rPr/>
        <w:t>1. Identificação do licitante:</w:t>
      </w:r>
    </w:p>
    <w:p>
      <w:pPr>
        <w:pStyle w:val="LOnormal"/>
        <w:numPr>
          <w:ilvl w:val="0"/>
          <w:numId w:val="2"/>
        </w:numPr>
        <w:spacing w:lineRule="auto" w:line="240" w:before="240" w:after="0"/>
        <w:ind w:left="720" w:hanging="360"/>
        <w:rPr/>
      </w:pPr>
      <w:r>
        <w:rPr/>
        <w:t xml:space="preserve">Razão </w:t>
        <w:tab/>
        <w:t xml:space="preserve">Social: </w:t>
        <w:tab/>
      </w:r>
    </w:p>
    <w:p>
      <w:pPr>
        <w:pStyle w:val="LOnormal"/>
        <w:numPr>
          <w:ilvl w:val="0"/>
          <w:numId w:val="2"/>
        </w:numPr>
        <w:spacing w:lineRule="auto" w:line="240" w:before="0" w:after="0"/>
        <w:ind w:left="720" w:hanging="360"/>
        <w:rPr/>
      </w:pPr>
      <w:r>
        <w:rPr/>
        <w:t>CPF/CNPJ e Inscrição Estadual:</w:t>
      </w:r>
    </w:p>
    <w:p>
      <w:pPr>
        <w:pStyle w:val="LOnormal"/>
        <w:numPr>
          <w:ilvl w:val="0"/>
          <w:numId w:val="2"/>
        </w:numPr>
        <w:spacing w:lineRule="auto" w:line="240" w:before="0" w:after="0"/>
        <w:ind w:left="720" w:hanging="360"/>
        <w:rPr/>
      </w:pPr>
      <w:r>
        <w:rPr/>
        <w:t xml:space="preserve">Endereço completo: </w:t>
        <w:tab/>
      </w:r>
    </w:p>
    <w:p>
      <w:pPr>
        <w:pStyle w:val="LOnormal"/>
        <w:numPr>
          <w:ilvl w:val="0"/>
          <w:numId w:val="2"/>
        </w:numPr>
        <w:spacing w:lineRule="auto" w:line="240" w:before="0" w:after="0"/>
        <w:ind w:left="720" w:hanging="360"/>
        <w:rPr/>
      </w:pPr>
      <w:r>
        <w:rPr/>
        <w:t xml:space="preserve">Representante Legal (nome, nacionalidade, estado civil, profissão, RG, CPF, </w:t>
        <w:tab/>
        <w:t xml:space="preserve">domicílio): </w:t>
        <w:tab/>
      </w:r>
    </w:p>
    <w:p>
      <w:pPr>
        <w:pStyle w:val="LOnormal"/>
        <w:numPr>
          <w:ilvl w:val="0"/>
          <w:numId w:val="2"/>
        </w:numPr>
        <w:spacing w:lineRule="auto" w:line="240" w:before="0" w:after="240"/>
        <w:ind w:left="720" w:hanging="360"/>
        <w:rPr/>
      </w:pPr>
      <w:r>
        <w:rPr/>
        <w:t>Telefone, celular, fax, e-mail:</w:t>
      </w:r>
    </w:p>
    <w:p>
      <w:pPr>
        <w:pStyle w:val="LOnormal"/>
        <w:spacing w:lineRule="auto" w:line="240" w:before="0" w:after="0"/>
        <w:ind w:left="0" w:hanging="0"/>
        <w:rPr/>
      </w:pPr>
      <w:r>
        <w:rPr/>
        <w:t>2. Condições Gerais da Proposta:</w:t>
      </w:r>
    </w:p>
    <w:p>
      <w:pPr>
        <w:pStyle w:val="LOnormal"/>
        <w:numPr>
          <w:ilvl w:val="0"/>
          <w:numId w:val="1"/>
        </w:numPr>
        <w:spacing w:lineRule="auto" w:line="240" w:before="0" w:after="0"/>
        <w:ind w:left="720" w:hanging="360"/>
        <w:rPr/>
      </w:pPr>
      <w:r>
        <w:rPr/>
        <w:t>A presente proposta é válida por _____ (________) dias, contados da data de sua emissão.</w:t>
      </w:r>
    </w:p>
    <w:p>
      <w:pPr>
        <w:pStyle w:val="LOnormal"/>
        <w:spacing w:lineRule="auto" w:line="240" w:before="60" w:after="60"/>
        <w:jc w:val="both"/>
        <w:rPr>
          <w:i/>
          <w:i/>
          <w:shd w:fill="FFF200" w:val="clear"/>
        </w:rPr>
      </w:pPr>
      <w:r>
        <w:rPr/>
        <w:t>3. Formação do Preço</w:t>
      </w:r>
    </w:p>
    <w:tbl>
      <w:tblPr>
        <w:tblStyle w:val="Table6"/>
        <w:tblW w:w="9674" w:type="dxa"/>
        <w:jc w:val="left"/>
        <w:tblInd w:w="0" w:type="dxa"/>
        <w:tblLayout w:type="fixed"/>
        <w:tblCellMar>
          <w:top w:w="0" w:type="dxa"/>
          <w:left w:w="108" w:type="dxa"/>
          <w:bottom w:w="0" w:type="dxa"/>
          <w:right w:w="108" w:type="dxa"/>
        </w:tblCellMar>
        <w:tblLook w:val="0600"/>
      </w:tblPr>
      <w:tblGrid>
        <w:gridCol w:w="645"/>
        <w:gridCol w:w="2939"/>
        <w:gridCol w:w="1425"/>
        <w:gridCol w:w="1577"/>
        <w:gridCol w:w="1693"/>
        <w:gridCol w:w="1394"/>
      </w:tblGrid>
      <w:tr>
        <w:trPr>
          <w:trHeight w:val="405" w:hRule="atLeast"/>
        </w:trPr>
        <w:tc>
          <w:tcPr>
            <w:tcW w:w="9673" w:type="dxa"/>
            <w:gridSpan w:val="6"/>
            <w:tcBorders>
              <w:top w:val="single" w:sz="4" w:space="0" w:color="000000"/>
              <w:left w:val="single" w:sz="4" w:space="0" w:color="000000"/>
              <w:bottom w:val="single" w:sz="4" w:space="0" w:color="000000"/>
              <w:right w:val="single" w:sz="4" w:space="0" w:color="000000"/>
            </w:tcBorders>
            <w:shd w:fill="auto" w:val="clear"/>
          </w:tcPr>
          <w:p>
            <w:pPr>
              <w:pStyle w:val="Ttulo2"/>
              <w:keepNext w:val="false"/>
              <w:keepLines w:val="false"/>
              <w:widowControl w:val="false"/>
              <w:spacing w:lineRule="auto" w:line="240" w:before="0" w:after="80"/>
              <w:rPr>
                <w:sz w:val="20"/>
                <w:szCs w:val="20"/>
              </w:rPr>
            </w:pPr>
            <w:bookmarkStart w:id="8" w:name="_heading=h.3dy6vkm"/>
            <w:bookmarkEnd w:id="8"/>
            <w:r>
              <w:rPr>
                <w:sz w:val="20"/>
                <w:szCs w:val="20"/>
              </w:rPr>
              <w:t>ITEM  _______</w:t>
            </w:r>
          </w:p>
        </w:tc>
      </w:tr>
      <w:tr>
        <w:trPr>
          <w:trHeight w:val="663" w:hRule="atLeast"/>
        </w:trPr>
        <w:tc>
          <w:tcPr>
            <w:tcW w:w="645" w:type="dxa"/>
            <w:tcBorders>
              <w:left w:val="single" w:sz="4" w:space="0" w:color="000000"/>
              <w:bottom w:val="single" w:sz="4" w:space="0" w:color="000000"/>
            </w:tcBorders>
            <w:shd w:fill="BFBFBF" w:val="clear"/>
          </w:tcPr>
          <w:p>
            <w:pPr>
              <w:pStyle w:val="LOnormal"/>
              <w:widowControl w:val="false"/>
              <w:spacing w:lineRule="auto" w:line="240" w:before="60" w:after="240"/>
              <w:jc w:val="center"/>
              <w:rPr>
                <w:sz w:val="20"/>
                <w:szCs w:val="20"/>
              </w:rPr>
            </w:pPr>
            <w:r>
              <w:rPr>
                <w:sz w:val="20"/>
                <w:szCs w:val="20"/>
              </w:rPr>
              <w:t>ITEM</w:t>
            </w:r>
          </w:p>
        </w:tc>
        <w:tc>
          <w:tcPr>
            <w:tcW w:w="2939" w:type="dxa"/>
            <w:tcBorders>
              <w:left w:val="single" w:sz="4" w:space="0" w:color="000000"/>
              <w:bottom w:val="single" w:sz="4" w:space="0" w:color="000000"/>
            </w:tcBorders>
            <w:shd w:fill="BFBFBF" w:val="clear"/>
          </w:tcPr>
          <w:p>
            <w:pPr>
              <w:pStyle w:val="LOnormal"/>
              <w:widowControl w:val="false"/>
              <w:spacing w:lineRule="auto" w:line="240" w:before="60" w:after="240"/>
              <w:jc w:val="center"/>
              <w:rPr>
                <w:sz w:val="20"/>
                <w:szCs w:val="20"/>
              </w:rPr>
            </w:pPr>
            <w:r>
              <w:rPr>
                <w:sz w:val="20"/>
                <w:szCs w:val="20"/>
              </w:rPr>
              <w:t xml:space="preserve">ESPECIFICAÇÃO </w:t>
            </w:r>
          </w:p>
          <w:p>
            <w:pPr>
              <w:pStyle w:val="LOnormal"/>
              <w:widowControl w:val="false"/>
              <w:jc w:val="center"/>
              <w:rPr>
                <w:sz w:val="20"/>
                <w:szCs w:val="20"/>
              </w:rPr>
            </w:pPr>
            <w:r>
              <w:rPr>
                <w:sz w:val="20"/>
                <w:szCs w:val="20"/>
              </w:rPr>
              <w:tab/>
              <w:tab/>
            </w:r>
          </w:p>
        </w:tc>
        <w:tc>
          <w:tcPr>
            <w:tcW w:w="1425" w:type="dxa"/>
            <w:tcBorders>
              <w:left w:val="single" w:sz="4" w:space="0" w:color="000000"/>
              <w:bottom w:val="single" w:sz="4" w:space="0" w:color="000000"/>
            </w:tcBorders>
            <w:shd w:fill="BFBFBF" w:val="clear"/>
          </w:tcPr>
          <w:p>
            <w:pPr>
              <w:pStyle w:val="LOnormal"/>
              <w:widowControl w:val="false"/>
              <w:spacing w:lineRule="auto" w:line="240" w:before="60" w:after="240"/>
              <w:jc w:val="center"/>
              <w:rPr>
                <w:sz w:val="20"/>
                <w:szCs w:val="20"/>
              </w:rPr>
            </w:pPr>
            <w:r>
              <w:rPr>
                <w:sz w:val="20"/>
                <w:szCs w:val="20"/>
              </w:rPr>
              <w:t>UNIDADE DE MEDIDA</w:t>
            </w:r>
          </w:p>
        </w:tc>
        <w:tc>
          <w:tcPr>
            <w:tcW w:w="1577" w:type="dxa"/>
            <w:tcBorders>
              <w:left w:val="single" w:sz="4" w:space="0" w:color="000000"/>
              <w:bottom w:val="single" w:sz="4" w:space="0" w:color="000000"/>
            </w:tcBorders>
            <w:shd w:fill="BFBFBF" w:val="clear"/>
          </w:tcPr>
          <w:p>
            <w:pPr>
              <w:pStyle w:val="LOnormal"/>
              <w:widowControl w:val="false"/>
              <w:spacing w:lineRule="auto" w:line="240" w:before="60" w:after="240"/>
              <w:jc w:val="center"/>
              <w:rPr>
                <w:sz w:val="20"/>
                <w:szCs w:val="20"/>
              </w:rPr>
            </w:pPr>
            <w:r>
              <w:rPr>
                <w:sz w:val="20"/>
                <w:szCs w:val="20"/>
              </w:rPr>
              <w:t>QUANTIDADE</w:t>
            </w:r>
          </w:p>
        </w:tc>
        <w:tc>
          <w:tcPr>
            <w:tcW w:w="1693" w:type="dxa"/>
            <w:tcBorders>
              <w:left w:val="single" w:sz="4" w:space="0" w:color="000000"/>
              <w:bottom w:val="single" w:sz="4" w:space="0" w:color="000000"/>
            </w:tcBorders>
            <w:shd w:fill="BFBFBF" w:val="clear"/>
          </w:tcPr>
          <w:p>
            <w:pPr>
              <w:pStyle w:val="LOnormal"/>
              <w:widowControl w:val="false"/>
              <w:spacing w:lineRule="auto" w:line="240" w:before="60" w:after="240"/>
              <w:jc w:val="center"/>
              <w:rPr>
                <w:sz w:val="20"/>
                <w:szCs w:val="20"/>
              </w:rPr>
            </w:pPr>
            <w:r>
              <w:rPr>
                <w:sz w:val="20"/>
                <w:szCs w:val="20"/>
              </w:rPr>
              <w:t xml:space="preserve">VALOR </w:t>
              <w:tab/>
              <w:t>UNITÁRIO (R$)</w:t>
            </w:r>
          </w:p>
        </w:tc>
        <w:tc>
          <w:tcPr>
            <w:tcW w:w="1394" w:type="dxa"/>
            <w:tcBorders>
              <w:left w:val="single" w:sz="4" w:space="0" w:color="000000"/>
              <w:bottom w:val="single" w:sz="4" w:space="0" w:color="000000"/>
              <w:right w:val="single" w:sz="4" w:space="0" w:color="000000"/>
            </w:tcBorders>
            <w:shd w:fill="BFBFBF" w:val="clear"/>
          </w:tcPr>
          <w:p>
            <w:pPr>
              <w:pStyle w:val="LOnormal"/>
              <w:widowControl w:val="false"/>
              <w:spacing w:lineRule="auto" w:line="240" w:before="60" w:after="240"/>
              <w:jc w:val="center"/>
              <w:rPr>
                <w:sz w:val="20"/>
                <w:szCs w:val="20"/>
              </w:rPr>
            </w:pPr>
            <w:r>
              <w:rPr>
                <w:sz w:val="20"/>
                <w:szCs w:val="20"/>
              </w:rPr>
              <w:t>VALOR TOTAL (R$)</w:t>
            </w:r>
          </w:p>
        </w:tc>
      </w:tr>
      <w:tr>
        <w:trPr>
          <w:trHeight w:val="660" w:hRule="atLeast"/>
        </w:trPr>
        <w:tc>
          <w:tcPr>
            <w:tcW w:w="645" w:type="dxa"/>
            <w:tcBorders>
              <w:left w:val="single" w:sz="4" w:space="0" w:color="000000"/>
              <w:bottom w:val="single" w:sz="4" w:space="0" w:color="000000"/>
            </w:tcBorders>
            <w:shd w:fill="auto" w:val="clear"/>
          </w:tcPr>
          <w:p>
            <w:pPr>
              <w:pStyle w:val="LOnormal"/>
              <w:widowControl w:val="false"/>
              <w:rPr>
                <w:sz w:val="20"/>
                <w:szCs w:val="20"/>
              </w:rPr>
            </w:pPr>
            <w:r>
              <w:rPr>
                <w:sz w:val="20"/>
                <w:szCs w:val="20"/>
              </w:rPr>
              <w:tab/>
            </w:r>
          </w:p>
        </w:tc>
        <w:tc>
          <w:tcPr>
            <w:tcW w:w="2939" w:type="dxa"/>
            <w:tcBorders>
              <w:left w:val="single" w:sz="4" w:space="0" w:color="000000"/>
              <w:bottom w:val="single" w:sz="4" w:space="0" w:color="000000"/>
            </w:tcBorders>
            <w:shd w:fill="auto" w:val="clear"/>
          </w:tcPr>
          <w:p>
            <w:pPr>
              <w:pStyle w:val="LOnormal"/>
              <w:widowControl w:val="false"/>
              <w:rPr>
                <w:sz w:val="20"/>
                <w:szCs w:val="20"/>
              </w:rPr>
            </w:pPr>
            <w:r>
              <w:rPr>
                <w:sz w:val="20"/>
                <w:szCs w:val="20"/>
              </w:rPr>
            </w:r>
          </w:p>
        </w:tc>
        <w:tc>
          <w:tcPr>
            <w:tcW w:w="1425" w:type="dxa"/>
            <w:tcBorders>
              <w:left w:val="single" w:sz="4" w:space="0" w:color="000000"/>
              <w:bottom w:val="single" w:sz="4" w:space="0" w:color="000000"/>
            </w:tcBorders>
            <w:shd w:fill="auto" w:val="clear"/>
          </w:tcPr>
          <w:p>
            <w:pPr>
              <w:pStyle w:val="LOnormal"/>
              <w:widowControl w:val="false"/>
              <w:rPr>
                <w:sz w:val="20"/>
                <w:szCs w:val="20"/>
              </w:rPr>
            </w:pPr>
            <w:r>
              <w:rPr>
                <w:sz w:val="20"/>
                <w:szCs w:val="20"/>
              </w:rPr>
            </w:r>
          </w:p>
        </w:tc>
        <w:tc>
          <w:tcPr>
            <w:tcW w:w="1577" w:type="dxa"/>
            <w:tcBorders>
              <w:left w:val="single" w:sz="4" w:space="0" w:color="000000"/>
              <w:bottom w:val="single" w:sz="4" w:space="0" w:color="000000"/>
            </w:tcBorders>
            <w:shd w:fill="auto" w:val="clear"/>
          </w:tcPr>
          <w:p>
            <w:pPr>
              <w:pStyle w:val="LOnormal"/>
              <w:widowControl w:val="false"/>
              <w:spacing w:lineRule="auto" w:line="240" w:before="60" w:after="240"/>
              <w:rPr>
                <w:sz w:val="20"/>
                <w:szCs w:val="20"/>
              </w:rPr>
            </w:pPr>
            <w:r>
              <w:rPr>
                <w:sz w:val="20"/>
                <w:szCs w:val="20"/>
              </w:rPr>
              <w:t xml:space="preserve"> </w:t>
            </w:r>
            <w:r>
              <w:rPr>
                <w:sz w:val="20"/>
                <w:szCs w:val="20"/>
              </w:rPr>
              <w:tab/>
              <w:tab/>
            </w:r>
          </w:p>
        </w:tc>
        <w:tc>
          <w:tcPr>
            <w:tcW w:w="1693" w:type="dxa"/>
            <w:tcBorders>
              <w:left w:val="single" w:sz="4" w:space="0" w:color="000000"/>
              <w:bottom w:val="single" w:sz="4" w:space="0" w:color="000000"/>
            </w:tcBorders>
            <w:shd w:fill="auto" w:val="clear"/>
          </w:tcPr>
          <w:p>
            <w:pPr>
              <w:pStyle w:val="LOnormal"/>
              <w:widowControl w:val="false"/>
              <w:rPr>
                <w:sz w:val="20"/>
                <w:szCs w:val="20"/>
              </w:rPr>
            </w:pPr>
            <w:r>
              <w:rPr>
                <w:sz w:val="20"/>
                <w:szCs w:val="20"/>
              </w:rPr>
            </w:r>
          </w:p>
        </w:tc>
        <w:tc>
          <w:tcPr>
            <w:tcW w:w="1394" w:type="dxa"/>
            <w:tcBorders>
              <w:left w:val="single" w:sz="4" w:space="0" w:color="000000"/>
              <w:bottom w:val="single" w:sz="4" w:space="0" w:color="000000"/>
              <w:right w:val="single" w:sz="4" w:space="0" w:color="000000"/>
            </w:tcBorders>
            <w:shd w:fill="auto" w:val="clear"/>
          </w:tcPr>
          <w:p>
            <w:pPr>
              <w:pStyle w:val="LOnormal"/>
              <w:widowControl w:val="false"/>
              <w:rPr>
                <w:sz w:val="20"/>
                <w:szCs w:val="20"/>
              </w:rPr>
            </w:pPr>
            <w:r>
              <w:rPr>
                <w:sz w:val="20"/>
                <w:szCs w:val="20"/>
              </w:rPr>
              <w:tab/>
            </w:r>
          </w:p>
        </w:tc>
      </w:tr>
      <w:tr>
        <w:trPr>
          <w:trHeight w:val="720" w:hRule="atLeast"/>
        </w:trPr>
        <w:tc>
          <w:tcPr>
            <w:tcW w:w="9673" w:type="dxa"/>
            <w:gridSpan w:val="6"/>
            <w:tcBorders>
              <w:left w:val="single" w:sz="4" w:space="0" w:color="000000"/>
              <w:bottom w:val="single" w:sz="4" w:space="0" w:color="000000"/>
              <w:right w:val="single" w:sz="4" w:space="0" w:color="000000"/>
            </w:tcBorders>
            <w:shd w:fill="auto" w:val="clear"/>
          </w:tcPr>
          <w:p>
            <w:pPr>
              <w:pStyle w:val="LOnormal"/>
              <w:widowControl w:val="false"/>
              <w:spacing w:lineRule="auto" w:line="240" w:before="60" w:after="60"/>
              <w:rPr>
                <w:sz w:val="20"/>
                <w:szCs w:val="20"/>
              </w:rPr>
            </w:pPr>
            <w:r>
              <w:rPr>
                <w:sz w:val="20"/>
                <w:szCs w:val="20"/>
              </w:rPr>
              <w:t xml:space="preserve">VALOR GLOBAL R$ </w:t>
            </w:r>
          </w:p>
          <w:p>
            <w:pPr>
              <w:pStyle w:val="LOnormal"/>
              <w:widowControl w:val="false"/>
              <w:spacing w:lineRule="auto" w:line="240" w:before="60" w:after="60"/>
              <w:rPr>
                <w:sz w:val="20"/>
                <w:szCs w:val="20"/>
              </w:rPr>
            </w:pPr>
            <w:r>
              <w:rPr>
                <w:sz w:val="20"/>
                <w:szCs w:val="20"/>
              </w:rPr>
              <w:t>Valor por extenso (________________________)</w:t>
              <w:tab/>
            </w:r>
          </w:p>
        </w:tc>
      </w:tr>
    </w:tbl>
    <w:p>
      <w:pPr>
        <w:pStyle w:val="LOnormal"/>
        <w:spacing w:lineRule="auto" w:line="240" w:before="120" w:after="120"/>
        <w:jc w:val="both"/>
        <w:rPr/>
      </w:pPr>
      <w:r>
        <w:rPr/>
        <w:t>DECLARO, sob as sanções administrativas cabíveis, inclusive as criminais e sob as penas da lei, que toda documentação anexada ao sistema é autêntica.</w:t>
      </w:r>
    </w:p>
    <w:p>
      <w:pPr>
        <w:pStyle w:val="LOnormal"/>
        <w:spacing w:lineRule="auto" w:line="240" w:before="60" w:after="60"/>
        <w:jc w:val="both"/>
        <w:rPr>
          <w:sz w:val="20"/>
          <w:szCs w:val="20"/>
        </w:rPr>
      </w:pPr>
      <w:r>
        <w:rPr/>
        <w:br/>
      </w:r>
      <w:r>
        <w:rPr>
          <w:sz w:val="20"/>
          <w:szCs w:val="20"/>
        </w:rPr>
        <w:t>Local e data</w:t>
        <w:br/>
        <w:t>Assinatura do representante legal</w:t>
      </w:r>
    </w:p>
    <w:p>
      <w:pPr>
        <w:pStyle w:val="LOnormal"/>
        <w:spacing w:lineRule="auto" w:line="240" w:before="60" w:after="60"/>
        <w:jc w:val="both"/>
        <w:rPr>
          <w:sz w:val="20"/>
          <w:szCs w:val="20"/>
          <w:highlight w:val="yellow"/>
        </w:rPr>
      </w:pPr>
      <w:r>
        <w:rPr>
          <w:sz w:val="20"/>
          <w:szCs w:val="20"/>
        </w:rPr>
        <w:t>(Nome e cargo)</w:t>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r>
    </w:p>
    <w:p>
      <w:pPr>
        <w:pStyle w:val="LOnormal"/>
        <w:spacing w:lineRule="auto" w:line="240" w:before="60" w:after="60"/>
        <w:jc w:val="center"/>
        <w:rPr>
          <w:b/>
          <w:b/>
        </w:rPr>
      </w:pPr>
      <w:r>
        <w:rPr>
          <w:b/>
        </w:rPr>
        <w:t xml:space="preserve">ANEXO III </w:t>
      </w:r>
      <w:r>
        <w:rPr>
          <w:b/>
          <w:i/>
        </w:rPr>
        <w:t>–</w:t>
      </w:r>
      <w:r>
        <w:rPr>
          <w:b/>
        </w:rPr>
        <w:t xml:space="preserve"> MINUTA DO TERMO DE CONTRATO</w:t>
      </w:r>
    </w:p>
    <w:p>
      <w:pPr>
        <w:pStyle w:val="LOnormal"/>
        <w:spacing w:lineRule="auto" w:line="240" w:before="60" w:after="60"/>
        <w:jc w:val="center"/>
        <w:rPr>
          <w:b/>
          <w:b/>
        </w:rPr>
      </w:pPr>
      <w:r>
        <w:rPr>
          <w:b/>
        </w:rPr>
      </w:r>
    </w:p>
    <w:p>
      <w:pPr>
        <w:pStyle w:val="LOnormal"/>
        <w:spacing w:lineRule="auto" w:line="240" w:before="60" w:after="60"/>
        <w:jc w:val="left"/>
        <w:rPr/>
      </w:pPr>
      <w:r>
        <w:rPr/>
        <w:t>Contrato nº ___ / 20__ –</w:t>
      </w:r>
    </w:p>
    <w:p>
      <w:pPr>
        <w:pStyle w:val="LOnormal"/>
        <w:spacing w:lineRule="auto" w:line="240" w:before="60" w:after="60"/>
        <w:rPr/>
      </w:pPr>
      <w:r>
        <w:rPr/>
        <w:t>Processo nº 27001.001552/2024-67</w:t>
        <w:br/>
        <w:br/>
      </w:r>
    </w:p>
    <w:p>
      <w:pPr>
        <w:pStyle w:val="LOnormal"/>
        <w:spacing w:lineRule="auto" w:line="240" w:before="60" w:after="60"/>
        <w:ind w:left="3968" w:hanging="0"/>
        <w:jc w:val="both"/>
        <w:rPr/>
      </w:pPr>
      <w:r>
        <w:rPr/>
        <w:t>CONTRATO QUE ENTRE SI CELEBRAM (O)A_____________E (O) A _____________, ABAIXO QUALIFICADOS, PARA O FIM QUE NELE SE DECLARA.</w:t>
      </w:r>
    </w:p>
    <w:p>
      <w:pPr>
        <w:pStyle w:val="LOnormal"/>
        <w:spacing w:lineRule="auto" w:line="240" w:before="60" w:after="60"/>
        <w:jc w:val="both"/>
        <w:rPr/>
      </w:pPr>
      <w:r>
        <w:rPr/>
        <w:br/>
        <w:br/>
      </w:r>
    </w:p>
    <w:p>
      <w:pPr>
        <w:pStyle w:val="LOnormal"/>
        <w:spacing w:lineRule="auto" w:line="240" w:before="60" w:after="60"/>
        <w:jc w:val="both"/>
        <w:rPr/>
      </w:pPr>
      <w:r>
        <w:rPr/>
        <w:t>O(A__________, situada(o) na ___________, inscrita(o) no CNPJ sob o nº ________, doravante denominada(o) CONTRATANTE, neste ato representada(o) pelo ___________, (nacionalidade), portador da Carteira de Identidade nº ________, e do CPF nº __________, residente e domiciliada(o) em (Município - UF), na ___________, e a ____________, com sede na __________, CEP: _________, Fone: _________, inscrita no CPF/CNPJ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contrato, mediante as cláusulas e condições seguintes:</w:t>
      </w:r>
    </w:p>
    <w:p>
      <w:pPr>
        <w:pStyle w:val="LOnormal"/>
        <w:spacing w:lineRule="auto" w:line="240" w:before="60" w:after="60"/>
        <w:jc w:val="both"/>
        <w:rPr>
          <w:b/>
          <w:b/>
        </w:rPr>
      </w:pPr>
      <w:r>
        <w:rPr>
          <w:b/>
        </w:rPr>
        <w:t>CLÁUSULA PRIMEIRA – DA FUNDAMENTAÇÃO</w:t>
      </w:r>
    </w:p>
    <w:p>
      <w:pPr>
        <w:pStyle w:val="LOnormal"/>
        <w:spacing w:lineRule="auto" w:line="240" w:before="60" w:after="60"/>
        <w:jc w:val="both"/>
        <w:rPr/>
      </w:pPr>
      <w:r>
        <w:rPr/>
        <w:t>1.1. O presente contrato tem como fundamento o Pregão Eletrônico n° 20240001 - Secult</w:t>
      </w:r>
      <w:r>
        <w:rPr>
          <w:i/>
        </w:rPr>
        <w:t>,</w:t>
      </w:r>
      <w:r>
        <w:rPr/>
        <w:t xml:space="preserve"> e seus anexos, os preceitos do direito público, Lei Federal nº 14.133, de 1º de abril de 2021, e demais legislação aplicável ao cumprimento de seu objeto.</w:t>
      </w:r>
    </w:p>
    <w:p>
      <w:pPr>
        <w:pStyle w:val="LOnormal"/>
        <w:spacing w:lineRule="auto" w:line="240" w:before="60" w:after="60"/>
        <w:rPr>
          <w:b/>
          <w:b/>
        </w:rPr>
      </w:pPr>
      <w:r>
        <w:rPr>
          <w:b/>
        </w:rPr>
        <w:t>CLÁUSULA SEGUNDA – DA VINCULAÇÃO AO EDITAL E A PROPOSTA</w:t>
      </w:r>
    </w:p>
    <w:p>
      <w:pPr>
        <w:pStyle w:val="LOnormal"/>
        <w:spacing w:lineRule="auto" w:line="240" w:before="60" w:after="60"/>
        <w:jc w:val="both"/>
        <w:rPr/>
      </w:pPr>
      <w:r>
        <w:rPr/>
        <w:t>2.1. O cumprimento deste contrato está vinculado aos termos do Pregão Eletrônico nº 20240001 - Secult</w:t>
      </w:r>
      <w:r>
        <w:rPr>
          <w:i/>
        </w:rPr>
        <w:t xml:space="preserve">, </w:t>
      </w:r>
      <w:r>
        <w:rPr/>
        <w:t>o Termo de Referência, a proposta do contratado e eventuais anexos dos respectivos documentos os quais constituem parte deste instrumento, independente de sua transcrição.</w:t>
      </w:r>
    </w:p>
    <w:p>
      <w:pPr>
        <w:pStyle w:val="LOnormal"/>
        <w:spacing w:lineRule="auto" w:line="240" w:before="60" w:after="60"/>
        <w:rPr>
          <w:b/>
          <w:b/>
        </w:rPr>
      </w:pPr>
      <w:r>
        <w:rPr>
          <w:b/>
        </w:rPr>
        <w:t>CLÁUSULA TERCEIRA – DO OBJETO</w:t>
      </w:r>
    </w:p>
    <w:p>
      <w:pPr>
        <w:pStyle w:val="LOnormal"/>
        <w:spacing w:lineRule="auto" w:line="240" w:before="60" w:after="60"/>
        <w:jc w:val="both"/>
        <w:rPr/>
      </w:pPr>
      <w:r>
        <w:rPr/>
        <w:t>3.1. O objeto do presente instrumento é a prestação dos serviços de ____, nas condições estabelecidas neste contrato e no Termo de Referência do edital e na proposta do CONTRATADO.</w:t>
      </w:r>
    </w:p>
    <w:p>
      <w:pPr>
        <w:pStyle w:val="LOnormal"/>
        <w:spacing w:lineRule="auto" w:line="240" w:before="60" w:after="60"/>
        <w:rPr/>
      </w:pPr>
      <w:r>
        <w:rPr>
          <w:b/>
        </w:rPr>
        <w:t>CLÁUSULA QUARTA – DA VIGÊNCIA E PRORROGAÇÃO</w:t>
      </w:r>
    </w:p>
    <w:p>
      <w:pPr>
        <w:pStyle w:val="LOnormal"/>
        <w:spacing w:lineRule="auto" w:line="240" w:before="60" w:after="60"/>
        <w:jc w:val="both"/>
        <w:rPr/>
      </w:pPr>
      <w:r>
        <w:rPr/>
        <w:t>4.1. O prazo de vigência deste contrato é de 12 (doze) meses, contado da sua publicação, prorrogável por até 10 (dez) anos, na forma do art. 106 e 107 c/c o art. 94 tudo da</w:t>
      </w:r>
      <w:r>
        <w:fldChar w:fldCharType="begin"/>
      </w:r>
      <w:r>
        <w:rPr/>
        <w:instrText xml:space="preserve"> HYPERLINK "http://www.planalto.gov.br/ccivil_03/_ato2019-2022/2021/lei/L14133.htm" \l "art106"</w:instrText>
      </w:r>
      <w:r>
        <w:rPr/>
        <w:fldChar w:fldCharType="separate"/>
      </w:r>
      <w:r>
        <w:rPr/>
        <w:t xml:space="preserve"> Lei n° 14.133/2021</w:t>
      </w:r>
      <w:r>
        <w:rPr/>
        <w:fldChar w:fldCharType="end"/>
      </w:r>
      <w:r>
        <w:rPr/>
        <w:t>.</w:t>
      </w:r>
    </w:p>
    <w:p>
      <w:pPr>
        <w:pStyle w:val="LOnormal"/>
        <w:spacing w:lineRule="auto" w:line="240" w:before="60" w:after="60"/>
        <w:jc w:val="both"/>
        <w:rPr/>
      </w:pPr>
      <w:r>
        <w:rPr/>
        <w:t>4.1.1. A prorrogação de que trata este subitem é condicionada ao ateste, pela autoridade competente, de que as condições e os preços permanecem vantajosos para a Administração, permitida a negociação com o CONTRATADO.</w:t>
      </w:r>
    </w:p>
    <w:p>
      <w:pPr>
        <w:pStyle w:val="LOnormal"/>
        <w:spacing w:lineRule="auto" w:line="240" w:before="60" w:after="60"/>
        <w:jc w:val="both"/>
        <w:rPr/>
      </w:pPr>
      <w:r>
        <w:rPr/>
        <w:t>4.1.2.  O serviço é enquadrado como continuado tendo em vista a necessidade permanente do serviço, uma vez que a sua interrupção pode causar prejuízos administrativos e ambientais ao órgão e a população em geral devido a especificidade do serviço, sendo a vigência plurianual mais vantajosa considerando o dispêndio financeiro com contratações anuais, para realização do procedimento licitatório</w:t>
      </w:r>
    </w:p>
    <w:p>
      <w:pPr>
        <w:pStyle w:val="LOnormal"/>
        <w:spacing w:lineRule="auto" w:line="240" w:before="60" w:after="60"/>
        <w:jc w:val="both"/>
        <w:rPr>
          <w:b/>
          <w:b/>
        </w:rPr>
      </w:pPr>
      <w:r>
        <w:rPr>
          <w:b/>
        </w:rPr>
        <w:t>CLÁUSULA QUINTA – DA EXECUÇÃO CONTRATUAL</w:t>
      </w:r>
    </w:p>
    <w:p>
      <w:pPr>
        <w:pStyle w:val="LOnormal"/>
        <w:spacing w:lineRule="auto" w:line="240" w:before="60" w:after="60"/>
        <w:jc w:val="both"/>
        <w:rPr/>
      </w:pPr>
      <w:r>
        <w:rPr/>
        <w:t>5.1. O regime da execução contratual, assim como os prazos e condições de conclusão, entrega, recebimento do objeto, obrigações e demais condições constam no Termo de Referência, anexo a este contrato.</w:t>
      </w:r>
    </w:p>
    <w:p>
      <w:pPr>
        <w:pStyle w:val="LOnormal"/>
        <w:spacing w:lineRule="auto" w:line="240" w:before="60" w:after="60"/>
        <w:jc w:val="both"/>
        <w:rPr>
          <w:b/>
          <w:b/>
        </w:rPr>
      </w:pPr>
      <w:r>
        <w:rPr>
          <w:b/>
        </w:rPr>
        <w:t>CLÁUSULA SEXTA – DA SUBCONTRATAÇÃO</w:t>
      </w:r>
    </w:p>
    <w:p>
      <w:pPr>
        <w:pStyle w:val="LOnormal"/>
        <w:spacing w:lineRule="auto" w:line="240" w:before="60" w:after="60"/>
        <w:jc w:val="both"/>
        <w:rPr>
          <w:highlight w:val="yellow"/>
        </w:rPr>
      </w:pPr>
      <w:r>
        <w:rPr/>
        <w:t>6.1. Não será admitida a subcontratação do objeto contratual.</w:t>
      </w:r>
    </w:p>
    <w:p>
      <w:pPr>
        <w:pStyle w:val="LOnormal"/>
        <w:spacing w:lineRule="auto" w:line="240" w:before="60" w:after="60"/>
        <w:jc w:val="both"/>
        <w:rPr>
          <w:b/>
          <w:b/>
        </w:rPr>
      </w:pPr>
      <w:r>
        <w:rPr>
          <w:b/>
        </w:rPr>
        <w:t>CLÁUSULA SÉTIMA – DO PREÇO</w:t>
      </w:r>
    </w:p>
    <w:p>
      <w:pPr>
        <w:pStyle w:val="LOnormal"/>
        <w:spacing w:lineRule="auto" w:line="240" w:before="60" w:after="60"/>
        <w:jc w:val="both"/>
        <w:rPr/>
      </w:pPr>
      <w:r>
        <w:rPr/>
        <w:t>7.1. O valor mensal da contratação é de R$ ______ (_____), perfazendo o valor total de R$ ______ (______)</w:t>
      </w:r>
    </w:p>
    <w:p>
      <w:pPr>
        <w:pStyle w:val="LOnormal"/>
        <w:spacing w:lineRule="auto" w:line="240" w:before="60" w:after="60"/>
        <w:jc w:val="both"/>
        <w:rPr/>
      </w:pPr>
      <w:r>
        <w:rPr/>
        <w:t>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Onormal"/>
        <w:spacing w:lineRule="auto" w:line="240" w:before="60" w:after="60"/>
        <w:jc w:val="both"/>
        <w:rPr>
          <w:b/>
          <w:b/>
        </w:rPr>
      </w:pPr>
      <w:r>
        <w:rPr>
          <w:b/>
        </w:rPr>
        <w:t>CLÁUSULA OITAVA – DO PAGAMENTO E DO RECEBIMENTO</w:t>
      </w:r>
    </w:p>
    <w:p>
      <w:pPr>
        <w:pStyle w:val="LOnormal"/>
        <w:spacing w:lineRule="auto" w:line="240" w:before="60" w:after="60"/>
        <w:jc w:val="both"/>
        <w:rPr/>
      </w:pPr>
      <w:r>
        <w:rPr/>
        <w:t>8.1. O prazo para pagamento ao CONTRATADO e demais condições a ele referentes, bem como, as condições de recebimento, encontram-se definidos no Termo de Referência, anexo a este instrumento de contrato.</w:t>
      </w:r>
    </w:p>
    <w:p>
      <w:pPr>
        <w:pStyle w:val="LOnormal"/>
        <w:spacing w:lineRule="auto" w:line="240" w:before="60" w:after="60"/>
        <w:jc w:val="both"/>
        <w:rPr>
          <w:b/>
          <w:b/>
        </w:rPr>
      </w:pPr>
      <w:r>
        <w:rPr>
          <w:b/>
        </w:rPr>
        <w:t>CLÁUSULA NONA – DO REAJUSTE</w:t>
      </w:r>
    </w:p>
    <w:p>
      <w:pPr>
        <w:pStyle w:val="LOnormal"/>
        <w:spacing w:lineRule="auto" w:line="240" w:before="60" w:after="60"/>
        <w:jc w:val="both"/>
        <w:rPr/>
      </w:pPr>
      <w:r>
        <w:rPr/>
        <w:t>9.1. Os preços inicialmente contratados são fixos e irreajustáveis no prazo de um ano contado da data do orçamento estimado, ou seja, a data da pesquisa constante no Mapa Comparativo de Preços.</w:t>
      </w:r>
    </w:p>
    <w:p>
      <w:pPr>
        <w:pStyle w:val="LOnormal"/>
        <w:spacing w:lineRule="auto" w:line="240" w:before="60" w:after="60"/>
        <w:jc w:val="both"/>
        <w:rPr/>
      </w:pPr>
      <w:r>
        <w:rPr/>
        <w:t>9.2. Após o interregno de um ano, os preços iniciais poderão ser reajustados, mediante a aplicação, do índice IPCA</w:t>
      </w:r>
      <w:r>
        <w:rPr>
          <w:i/>
        </w:rPr>
        <w:t>,</w:t>
      </w:r>
      <w:r>
        <w:rPr/>
        <w:t xml:space="preserve"> exclusivamente para as obrigações iniciadas e concluídas após a ocorrência da anualidade.</w:t>
      </w:r>
    </w:p>
    <w:p>
      <w:pPr>
        <w:pStyle w:val="LOnormal"/>
        <w:spacing w:lineRule="auto" w:line="240" w:before="60" w:after="60"/>
        <w:jc w:val="both"/>
        <w:rPr/>
      </w:pPr>
      <w:r>
        <w:rPr/>
        <w:t>9.3. Nos reajustes subsequentes ao primeiro, o interregno mínimo de um ano será contado a partir dos efeitos financeiros do último reajuste.</w:t>
      </w:r>
    </w:p>
    <w:p>
      <w:pPr>
        <w:pStyle w:val="LOnormal"/>
        <w:spacing w:lineRule="auto" w:line="240" w:before="60" w:after="60"/>
        <w:jc w:val="both"/>
        <w:rPr/>
      </w:pPr>
      <w:r>
        <w:rPr/>
        <w:t>9.4. No caso de atraso ou não divulgação do(s) índice (s) de reajustamento, o CONTRATANTE pagará ao CONTRATADO a importância calculada pela última variação conhecida, liquidando a diferença correspondente tão logo seja(m) divulgado(s) o(s) índice(s) definitivo(s).</w:t>
        <w:br/>
        <w:t>9.5. Nas aferições finais, o(s) índice(s) utilizado(s) para reajuste será(ão), obrigatoriamente, o(s) definitivo(s).</w:t>
        <w:tab/>
      </w:r>
    </w:p>
    <w:p>
      <w:pPr>
        <w:pStyle w:val="LOnormal"/>
        <w:spacing w:lineRule="auto" w:line="240" w:before="60" w:after="60"/>
        <w:jc w:val="both"/>
        <w:rPr/>
      </w:pPr>
      <w:r>
        <w:rPr/>
        <w:t>9.6. Caso o(s) índice(s) estabelecido(s) para reajustamento venha(m) a ser extinto(s) ou de qualquer forma não possa(m) mais ser utilizado(s), será(ão) adotado(s), em substituição, o(s) que vier(em) a ser determinado(s) pela legislação então em vigor.</w:t>
      </w:r>
    </w:p>
    <w:p>
      <w:pPr>
        <w:pStyle w:val="LOnormal"/>
        <w:spacing w:lineRule="auto" w:line="240" w:before="60" w:after="60"/>
        <w:jc w:val="both"/>
        <w:rPr/>
      </w:pPr>
      <w:r>
        <w:rPr/>
        <w:t>9.7. Na ausência de previsão legal quanto ao índice substituto, as partes elegerão novo índice oficial, para reajustamento do preço do valor remanescente, por meio de termo aditivo.</w:t>
      </w:r>
    </w:p>
    <w:p>
      <w:pPr>
        <w:pStyle w:val="LOnormal"/>
        <w:spacing w:lineRule="auto" w:line="240" w:before="60" w:after="60"/>
        <w:jc w:val="both"/>
        <w:rPr>
          <w:highlight w:val="yellow"/>
        </w:rPr>
      </w:pPr>
      <w:r>
        <w:rPr/>
        <w:t>9.8. O reajuste será realizado por apostilamento.</w:t>
      </w:r>
    </w:p>
    <w:p>
      <w:pPr>
        <w:pStyle w:val="LOnormal"/>
        <w:spacing w:lineRule="auto" w:line="240" w:before="60" w:after="60"/>
        <w:jc w:val="both"/>
        <w:rPr>
          <w:b/>
          <w:b/>
        </w:rPr>
      </w:pPr>
      <w:r>
        <w:rPr>
          <w:b/>
        </w:rPr>
        <w:t>CLÁUSULA DÉCIMA – DAS OBRIGAÇÕES DO CONTRATANTE E DO CONTRATADO</w:t>
      </w:r>
    </w:p>
    <w:p>
      <w:pPr>
        <w:pStyle w:val="LOnormal"/>
        <w:spacing w:lineRule="auto" w:line="240" w:before="60" w:after="60"/>
        <w:jc w:val="both"/>
        <w:rPr/>
      </w:pPr>
      <w:r>
        <w:rPr/>
        <w:t>10.1. As obrigações referentes ao CONTRATANTE e ao CONTRATADO encontram-se, respectivamente, definidas no Termo de Referência, parte integrante deste instrumento.</w:t>
      </w:r>
    </w:p>
    <w:p>
      <w:pPr>
        <w:pStyle w:val="LOnormal"/>
        <w:spacing w:lineRule="auto" w:line="240" w:before="60" w:after="60"/>
        <w:jc w:val="both"/>
        <w:rPr/>
      </w:pPr>
      <w:r>
        <w:rPr>
          <w:b/>
        </w:rPr>
        <w:t>CLÁUSULA DÉCIMA PRIMEIRA – DAS OBRIGAÇÕES PERTINENTES À LEI GERAL DE PROTEÇÃO DE DADOS PESSOAIS (LGPD)</w:t>
      </w:r>
    </w:p>
    <w:p>
      <w:pPr>
        <w:pStyle w:val="LOnormal"/>
        <w:spacing w:lineRule="auto" w:line="240" w:before="60" w:after="60"/>
        <w:jc w:val="both"/>
        <w:rPr/>
      </w:pPr>
      <w:r>
        <w:rPr/>
        <w:t xml:space="preserve">11.1. </w:t>
        <w:tab/>
        <w:t xml:space="preserve">O CONTRATADO declara que tem ciência da existência da LGPD e se compromete a adequar todos os procedimentos internos ao disposto na legislação, com o intuito de proteger os dados pessoais que lhe forem </w:t>
        <w:tab/>
        <w:t xml:space="preserve">repassados, cumprindo, a todo momento, as normas de proteção de </w:t>
        <w:tab/>
        <w:t>dados pessoais, jamais colocando, por seus atos ou por sua omissão, o CONTRATANTE em situação de violação de tais regras.</w:t>
      </w:r>
    </w:p>
    <w:p>
      <w:pPr>
        <w:pStyle w:val="LOnormal"/>
        <w:spacing w:lineRule="auto" w:line="240" w:before="60" w:after="60"/>
        <w:jc w:val="both"/>
        <w:rPr/>
      </w:pPr>
      <w:r>
        <w:rPr/>
        <w:t xml:space="preserve">11.1.1. </w:t>
        <w:tab/>
        <w:t xml:space="preserve">O CONTRATADO </w:t>
        <w:tab/>
        <w:t>somente poderá tratar dados pessoais nos limites e finalidades exclusivas do cumprimento de suas obrigações com base no presente contrato e jamais poderá realizar o tratamento para fins distintos da execução dos serviços especificados no certame ou no contrato administrativo.</w:t>
        <w:br/>
        <w:t xml:space="preserve">11.2. O tratamento de dados pessoais será realizado de acordo com as hipóteses de tratamento previstas nos arts. 7º, 11, 14, 23, 24 e </w:t>
        <w:tab/>
        <w:t>26 da LGPD e somente para propósitos legítimos, específicos,explícitos e informados ao titular, observando a persecução do interesse público e os princípios do art.</w:t>
      </w:r>
      <w:r>
        <w:fldChar w:fldCharType="begin"/>
      </w:r>
      <w:r>
        <w:rPr/>
        <w:instrText xml:space="preserve"> HYPERLINK "https://www.planalto.gov.br/ccivil_03/_ato2015-2018/2018/lei/l13709.htm" \l "art6"</w:instrText>
      </w:r>
      <w:r>
        <w:rPr/>
        <w:fldChar w:fldCharType="separate"/>
      </w:r>
      <w:r>
        <w:rPr/>
        <w:t>6º</w:t>
      </w:r>
      <w:r>
        <w:rPr/>
        <w:fldChar w:fldCharType="end"/>
      </w:r>
      <w:r>
        <w:rPr/>
        <w:t xml:space="preserve"> da LGPD e 37 da Constituição Federal de 1988.</w:t>
        <w:br/>
        <w:t xml:space="preserve">11.3. </w:t>
        <w:tab/>
        <w:t xml:space="preserve">O CONTRATADO deverá indicar, no prazo máximo de 5 (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w:t>
        <w:tab/>
        <w:t>atualizados de contato de seu Encarregado de Tratamento de Dados</w:t>
        <w:tab/>
        <w:t>Pessoais, sempre que for substituído, independentemente das alterações em sua página eletrônica.</w:t>
      </w:r>
    </w:p>
    <w:p>
      <w:pPr>
        <w:pStyle w:val="LOnormal"/>
        <w:spacing w:lineRule="auto" w:line="240" w:before="60" w:after="60"/>
        <w:jc w:val="both"/>
        <w:rPr/>
      </w:pPr>
      <w:r>
        <w:rPr/>
        <w:t xml:space="preserve">11.4.O </w:t>
        <w:tab/>
        <w:t xml:space="preserve">CONTRATADO deverá cooperar com a Administração Direta e Indireta do Estado do Ceará no cumprimento das obrigações referentes ao exercício </w:t>
        <w:tab/>
        <w:t xml:space="preserve">dos direitos dos Titulares previstos na LGPD e nas Leis e Regulamentos de Proteção de Dados em vigor e também no atendimento de requisições e determinações do Poder Judiciário, </w:t>
        <w:tab/>
        <w:t>Ministério Público e Órgãos de Controle, quando relacionados ao objeto contratual.</w:t>
      </w:r>
    </w:p>
    <w:p>
      <w:pPr>
        <w:pStyle w:val="LOnormal"/>
        <w:spacing w:lineRule="auto" w:line="240" w:before="60" w:after="60"/>
        <w:jc w:val="both"/>
        <w:rPr/>
      </w:pPr>
      <w:r>
        <w:rPr/>
        <w:t xml:space="preserve">11.5. O CONTRATADO não poderá disponibilizar ou transmitir a terceiros, sem prévia autorização por escrito, informação, dados pessoais ou base de </w:t>
        <w:tab/>
        <w:t xml:space="preserve">dados a que tenha acesso em razão do cumprimento do objeto deste </w:t>
        <w:tab/>
        <w:t>instrumento contratual.</w:t>
      </w:r>
    </w:p>
    <w:p>
      <w:pPr>
        <w:pStyle w:val="LOnormal"/>
        <w:spacing w:lineRule="auto" w:line="240" w:before="60" w:after="60"/>
        <w:jc w:val="both"/>
        <w:rPr/>
      </w:pPr>
      <w:r>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pPr>
        <w:pStyle w:val="LOnormal"/>
        <w:spacing w:lineRule="auto" w:line="240" w:before="60" w:after="60"/>
        <w:jc w:val="both"/>
        <w:rPr/>
      </w:pPr>
      <w:r>
        <w:rPr/>
        <w:t>11.5.2. As PARTES se obrigam a zelar pelo sigilo dos dados, garantindo que apenas as pessoas que efetivamente precisam acessá-los o façam, submetendo-as, em todo caso, ao dever de confidencialidade.</w:t>
      </w:r>
    </w:p>
    <w:p>
      <w:pPr>
        <w:pStyle w:val="LOnormal"/>
        <w:spacing w:lineRule="auto" w:line="240" w:before="60" w:after="60"/>
        <w:jc w:val="both"/>
        <w:rPr/>
      </w:pPr>
      <w:r>
        <w:rPr/>
        <w:t xml:space="preserve">11.6.Ocorrendo o término do tratamento dos dados nos termos do </w:t>
      </w:r>
      <w:r>
        <w:fldChar w:fldCharType="begin"/>
      </w:r>
      <w:r>
        <w:rPr>
          <w:u w:val="single"/>
        </w:rPr>
        <w:instrText xml:space="preserve"> HYPERLINK "https://www.planalto.gov.br/ccivil_03/_ato2015-2018/2018/lei/l13709.htm" \l "art15"</w:instrText>
      </w:r>
      <w:r>
        <w:rPr>
          <w:u w:val="single"/>
        </w:rPr>
        <w:fldChar w:fldCharType="separate"/>
      </w:r>
      <w:r>
        <w:rPr>
          <w:u w:val="single"/>
        </w:rPr>
        <w:t>art. 15 da LGPD</w:t>
      </w:r>
      <w:r>
        <w:rPr>
          <w:u w:val="single"/>
        </w:rPr>
        <w:fldChar w:fldCharType="end"/>
      </w:r>
      <w:r>
        <w:rPr>
          <w:u w:val="single"/>
        </w:rPr>
        <w:t xml:space="preserve"> </w:t>
      </w:r>
      <w:r>
        <w:rPr/>
        <w:t xml:space="preserve">é dever do CONTRATADO eliminá-los, com exceção das hipóteses do </w:t>
      </w:r>
      <w:r>
        <w:fldChar w:fldCharType="begin"/>
      </w:r>
      <w:r>
        <w:rPr>
          <w:u w:val="single"/>
        </w:rPr>
        <w:instrText xml:space="preserve"> HYPERLINK "https://www.planalto.gov.br/ccivil_03/_ato2015-2018/2018/lei/l13709.htm" \l "art16"</w:instrText>
      </w:r>
      <w:r>
        <w:rPr>
          <w:u w:val="single"/>
        </w:rPr>
        <w:fldChar w:fldCharType="separate"/>
      </w:r>
      <w:r>
        <w:rPr>
          <w:u w:val="single"/>
        </w:rPr>
        <w:t>art. 16 da m</w:t>
      </w:r>
      <w:r>
        <w:rPr>
          <w:u w:val="single"/>
        </w:rPr>
        <w:fldChar w:fldCharType="end"/>
      </w:r>
      <w:r>
        <w:rPr/>
        <w:t>esma lei, incluindo aquelas em que houver necessidade de guarda de documentação para fins de comprovação do cumprimento de obrigações legais ou contratuais e somente enquanto não prescritas essas obrigações.</w:t>
      </w:r>
    </w:p>
    <w:p>
      <w:pPr>
        <w:pStyle w:val="LOnormal"/>
        <w:spacing w:lineRule="auto" w:line="240" w:before="60" w:after="60"/>
        <w:jc w:val="both"/>
        <w:rPr/>
      </w:pPr>
      <w:r>
        <w:rPr/>
        <w:t xml:space="preserve">11.6.1. </w:t>
        <w:tab/>
        <w:t>O CONTRATADO não poderá deter cópias ou backups, informações, dados pessoais e/ou base de dados a que tenha tido acesso durante a execução do cumprimento do objeto deste instrumento contratual.</w:t>
      </w:r>
    </w:p>
    <w:p>
      <w:pPr>
        <w:pStyle w:val="LOnormal"/>
        <w:spacing w:lineRule="auto" w:line="240" w:before="60" w:after="60"/>
        <w:jc w:val="both"/>
        <w:rPr/>
      </w:pPr>
      <w:r>
        <w:rPr/>
        <w:t>11.6.2. O CONTRATADO deverá eliminar os dados pessoais a que tiver conhecimento ou posse em razão do cumprimento do objeto deste instrumento contratual tão logo não haja necessidade de seu tratamento.</w:t>
      </w:r>
    </w:p>
    <w:p>
      <w:pPr>
        <w:pStyle w:val="LOnormal"/>
        <w:spacing w:lineRule="auto" w:line="240" w:before="60" w:after="60"/>
        <w:jc w:val="both"/>
        <w:rPr/>
      </w:pPr>
      <w:r>
        <w:rPr/>
        <w:t>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w:t>
      </w:r>
    </w:p>
    <w:p>
      <w:pPr>
        <w:pStyle w:val="LOnormal"/>
        <w:spacing w:lineRule="auto" w:line="240" w:before="60" w:after="60"/>
        <w:jc w:val="both"/>
        <w:rPr/>
      </w:pPr>
      <w:r>
        <w:rPr/>
        <w:t>11.7.Caso as PARTES necessitem subcontratar atividades relacionadas ao certame/contrato em que haja tratamento dos dados, deverão exigir a vinculação do SUBCONTRATADO(suboperador) aos critérios definidos</w:t>
        <w:tab/>
        <w:t>neste instrumento, fazendo-o assinar um termo de adesão ao presente contrato.</w:t>
      </w:r>
    </w:p>
    <w:p>
      <w:pPr>
        <w:pStyle w:val="LOnormal"/>
        <w:spacing w:lineRule="auto" w:line="240" w:before="60" w:after="60"/>
        <w:jc w:val="both"/>
        <w:rPr/>
      </w:pPr>
      <w:r>
        <w:rPr/>
        <w:t xml:space="preserve">11.7.1. </w:t>
        <w:tab/>
        <w:t xml:space="preserve">O CONTRATANTE deverá ser informado no prazo de 5 (cinco) dias úteis sobre todos os contratos de </w:t>
        <w:tab/>
        <w:t>subcontratação (suboperadores) firmados ou que venham a ser celebrados pelo CONTRATADO.</w:t>
      </w:r>
    </w:p>
    <w:p>
      <w:pPr>
        <w:pStyle w:val="LOnormal"/>
        <w:spacing w:lineRule="auto" w:line="240" w:before="60" w:after="60"/>
        <w:jc w:val="both"/>
        <w:rPr/>
      </w:pPr>
      <w:r>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pPr>
        <w:pStyle w:val="LOnormal"/>
        <w:spacing w:lineRule="auto" w:line="240" w:before="60" w:after="60"/>
        <w:jc w:val="both"/>
        <w:rPr/>
      </w:pPr>
      <w:r>
        <w:rPr/>
        <w:t>11.7.3. O CONTRATADO deverá assegurar que o subcontratado oferecerá o mesmo nível de segurança dos dados, produzindo e guardando evidências disso;</w:t>
      </w:r>
    </w:p>
    <w:p>
      <w:pPr>
        <w:pStyle w:val="LOnormal"/>
        <w:spacing w:lineRule="auto" w:line="240" w:before="60" w:after="60"/>
        <w:jc w:val="both"/>
        <w:rPr/>
      </w:pPr>
      <w:r>
        <w:rPr/>
        <w:t xml:space="preserve">11.8. </w:t>
        <w:tab/>
        <w:t xml:space="preserve">As PARTES devem adotar boas práticas de governança e medidas </w:t>
        <w:tab/>
        <w:t xml:space="preserve">técnicas e administrativas em relação ao tratamento dos dados, </w:t>
        <w:tab/>
        <w:t xml:space="preserve">compatíveis com a estrutura, a escala e o volume de suas operações, </w:t>
        <w:tab/>
        <w:t>bem como a sensibilidade dos dados tratados.</w:t>
      </w:r>
    </w:p>
    <w:p>
      <w:pPr>
        <w:pStyle w:val="LOnormal"/>
        <w:spacing w:lineRule="auto" w:line="240" w:before="60" w:after="60"/>
        <w:jc w:val="both"/>
        <w:rPr/>
      </w:pPr>
      <w:r>
        <w:rPr/>
        <w:t xml:space="preserve">11.8.1. </w:t>
        <w:tab/>
        <w:t>É dever do CONTRATADO orientar e treinar seus empregados sobre os deveres, requisitos e responsabilidades decorrentes da LGPD,inclusive dará conhecimento formal aos seus empregados das obrigações e condições acordadas nesta cláusula.</w:t>
        <w:tab/>
        <w:t xml:space="preserve"> </w:t>
        <w:tab/>
      </w:r>
    </w:p>
    <w:p>
      <w:pPr>
        <w:pStyle w:val="LOnormal"/>
        <w:spacing w:lineRule="auto" w:line="240" w:before="60" w:after="60"/>
        <w:jc w:val="both"/>
        <w:rPr/>
      </w:pPr>
      <w:r>
        <w:rPr/>
        <w:t>11.8.2. O CONTRATADO se responsabilizará por assegurar que todos os seus colaboradores, consultores,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pPr>
        <w:pStyle w:val="LOnormal"/>
        <w:spacing w:lineRule="auto" w:line="240" w:before="60" w:after="60"/>
        <w:jc w:val="both"/>
        <w:rPr/>
      </w:pPr>
      <w:r>
        <w:rPr/>
        <w:t>11.8.3.O CONTRATADO deverá promover a revogação de todos os privilégios de acesso aos sistemas, informações e recursos do CONTRATANTE, em caso de desligamento de funcionário das atividades inerentes à execução do presente Contrato.</w:t>
        <w:tab/>
        <w:tab/>
        <w:t xml:space="preserve"> </w:t>
        <w:tab/>
      </w:r>
    </w:p>
    <w:p>
      <w:pPr>
        <w:pStyle w:val="LOnormal"/>
        <w:spacing w:lineRule="auto" w:line="240" w:before="60" w:after="60"/>
        <w:jc w:val="both"/>
        <w:rPr/>
      </w:pPr>
      <w:r>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pPr>
        <w:pStyle w:val="LOnormal"/>
        <w:spacing w:lineRule="auto" w:line="240" w:before="60" w:after="60"/>
        <w:jc w:val="both"/>
        <w:rPr/>
      </w:pPr>
      <w:r>
        <w:rPr/>
        <w:t>a) Data e hora do incidente;</w:t>
      </w:r>
    </w:p>
    <w:p>
      <w:pPr>
        <w:pStyle w:val="LOnormal"/>
        <w:spacing w:lineRule="auto" w:line="240" w:before="60" w:after="60"/>
        <w:jc w:val="both"/>
        <w:rPr/>
      </w:pPr>
      <w:r>
        <w:rPr/>
        <w:t>b) Data e hora da ciência pela PARTE responsável;</w:t>
      </w:r>
    </w:p>
    <w:p>
      <w:pPr>
        <w:pStyle w:val="LOnormal"/>
        <w:spacing w:lineRule="auto" w:line="240" w:before="60" w:after="60"/>
        <w:jc w:val="both"/>
        <w:rPr/>
      </w:pPr>
      <w:r>
        <w:rPr/>
        <w:t>c) Descrição dos dados pessoais afetados;</w:t>
      </w:r>
    </w:p>
    <w:p>
      <w:pPr>
        <w:pStyle w:val="LOnormal"/>
        <w:spacing w:lineRule="auto" w:line="240" w:before="60" w:after="60"/>
        <w:jc w:val="both"/>
        <w:rPr/>
      </w:pPr>
      <w:r>
        <w:rPr/>
        <w:t>d) Número de titulares afetados;</w:t>
      </w:r>
    </w:p>
    <w:p>
      <w:pPr>
        <w:pStyle w:val="LOnormal"/>
        <w:spacing w:lineRule="auto" w:line="240" w:before="60" w:after="60"/>
        <w:jc w:val="both"/>
        <w:rPr/>
      </w:pPr>
      <w:r>
        <w:rPr/>
        <w:t>e) Relação dos titulares envolvidos;</w:t>
      </w:r>
    </w:p>
    <w:p>
      <w:pPr>
        <w:pStyle w:val="LOnormal"/>
        <w:spacing w:lineRule="auto" w:line="240" w:before="60" w:after="60"/>
        <w:jc w:val="both"/>
        <w:rPr/>
      </w:pPr>
      <w:r>
        <w:rPr/>
        <w:t>f) Riscos relacionados ao incidente;</w:t>
      </w:r>
    </w:p>
    <w:p>
      <w:pPr>
        <w:pStyle w:val="LOnormal"/>
        <w:spacing w:lineRule="auto" w:line="240" w:before="60" w:after="60"/>
        <w:jc w:val="both"/>
        <w:rPr/>
      </w:pPr>
      <w:r>
        <w:rPr/>
        <w:t>g) Indicação das medidas técnicas e de segurança utilizadas para a proteção dos dados;</w:t>
      </w:r>
    </w:p>
    <w:p>
      <w:pPr>
        <w:pStyle w:val="LOnormal"/>
        <w:spacing w:lineRule="auto" w:line="240" w:before="60" w:after="60"/>
        <w:jc w:val="both"/>
        <w:rPr/>
      </w:pPr>
      <w:r>
        <w:rPr/>
        <w:t>h) Motivos da demora, no caso de a comunicação não haver sido imediata;</w:t>
      </w:r>
    </w:p>
    <w:p>
      <w:pPr>
        <w:pStyle w:val="LOnormal"/>
        <w:spacing w:lineRule="auto" w:line="240" w:before="60" w:after="60"/>
        <w:jc w:val="both"/>
        <w:rPr/>
      </w:pPr>
      <w:r>
        <w:rPr/>
        <w:t>i) Medidas que foram ou que serão adotadas para reverter ou mitigar os efeitos do prejuízo;</w:t>
      </w:r>
    </w:p>
    <w:p>
      <w:pPr>
        <w:pStyle w:val="LOnormal"/>
        <w:spacing w:lineRule="auto" w:line="240" w:before="60" w:after="60"/>
        <w:jc w:val="both"/>
        <w:rPr/>
      </w:pPr>
      <w:r>
        <w:rPr/>
        <w:t>j) O contato do Encarregado de Proteção de Dados ou de outra pessoa junto a qual seja possível obter maiores informações sobre o ocorrido;</w:t>
      </w:r>
    </w:p>
    <w:p>
      <w:pPr>
        <w:pStyle w:val="LOnormal"/>
        <w:spacing w:lineRule="auto" w:line="240" w:before="60" w:after="60"/>
        <w:jc w:val="both"/>
        <w:rPr/>
      </w:pPr>
      <w:r>
        <w:rPr/>
        <w:t>11.9.1. Na hipótese descrita acima, as PARTES atuarão em regime de cooperação para:</w:t>
      </w:r>
    </w:p>
    <w:p>
      <w:pPr>
        <w:pStyle w:val="LOnormal"/>
        <w:spacing w:lineRule="auto" w:line="240" w:before="60" w:after="60"/>
        <w:jc w:val="both"/>
        <w:rPr/>
      </w:pPr>
      <w:r>
        <w:rPr/>
        <w:t>a) Definir e implementar as medidas necessárias para fazer cessar o incidente e minimizar seus impactos;</w:t>
      </w:r>
    </w:p>
    <w:p>
      <w:pPr>
        <w:pStyle w:val="LOnormal"/>
        <w:spacing w:lineRule="auto" w:line="240" w:before="60" w:after="60"/>
        <w:jc w:val="both"/>
        <w:rPr/>
      </w:pPr>
      <w:r>
        <w:rPr/>
        <w:t>b) Prover as informações necessárias à apuração do ocorrido no menor prazo possível;</w:t>
      </w:r>
    </w:p>
    <w:p>
      <w:pPr>
        <w:pStyle w:val="LOnormal"/>
        <w:spacing w:lineRule="auto" w:line="240" w:before="60" w:after="60"/>
        <w:jc w:val="both"/>
        <w:rPr/>
      </w:pPr>
      <w:r>
        <w:rPr/>
        <w:t>c) Definir o padrão de respostas a serem dadas aos titulares, terceiros, à ANPD e demais autoridades competentes.</w:t>
      </w:r>
    </w:p>
    <w:p>
      <w:pPr>
        <w:pStyle w:val="LOnormal"/>
        <w:spacing w:lineRule="auto" w:line="240" w:before="60" w:after="60"/>
        <w:jc w:val="both"/>
        <w:rPr/>
      </w:pPr>
      <w:r>
        <w:rPr/>
        <w:t>11.10. Os dados obtidos em razão deste contrato serão armazenados em um banco de dados seguro, com garantia de registro das transações realizadas na aplicação de acesso (</w:t>
      </w:r>
      <w:r>
        <w:rPr>
          <w:i/>
        </w:rPr>
        <w:t>log</w:t>
      </w:r>
      <w:r>
        <w:rPr/>
        <w:t xml:space="preserve">), adequado controle baseado em função </w:t>
      </w:r>
      <w:r>
        <w:rPr>
          <w:i/>
        </w:rPr>
        <w:t>(role based access control)</w:t>
      </w:r>
      <w:r>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pPr>
        <w:pStyle w:val="LOnormal"/>
        <w:spacing w:lineRule="auto" w:line="240" w:before="60" w:after="60"/>
        <w:jc w:val="both"/>
        <w:rPr/>
      </w:pPr>
      <w:r>
        <w:rPr/>
        <w:t>11.11. A critério do CONTRATANTE, o CONTRATADO poderá ser provocado a colaborar na elaboração do Relatório de Impacto à Proteção de Dados Pessoais, conforme a sensibilidade e o risco inerente dos serviços objeto deste contrato, no tocante a dados pessoais.</w:t>
      </w:r>
    </w:p>
    <w:p>
      <w:pPr>
        <w:pStyle w:val="LOnormal"/>
        <w:spacing w:lineRule="auto" w:line="240" w:before="60" w:after="60"/>
        <w:jc w:val="both"/>
        <w:rPr/>
      </w:pPr>
      <w:r>
        <w:rPr/>
        <w:t>11.12. O CONTRATADO indenizará o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pPr>
        <w:pStyle w:val="LOnormal"/>
        <w:spacing w:lineRule="auto" w:line="240" w:before="60" w:after="60"/>
        <w:jc w:val="both"/>
        <w:rPr/>
      </w:pPr>
      <w:r>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pPr>
        <w:pStyle w:val="LOnormal"/>
        <w:spacing w:lineRule="auto" w:line="240" w:before="60" w:after="60"/>
        <w:jc w:val="both"/>
        <w:rPr/>
      </w:pPr>
      <w:r>
        <w:rPr/>
        <w:t>11.13.1. O CONTRATANTE poderá realizar diligência para aferir o cumprimento dessa cláusula, devendo o Contratado atender prontamente eventuais pedidos de comprovação formulados.</w:t>
      </w:r>
    </w:p>
    <w:p>
      <w:pPr>
        <w:pStyle w:val="LOnormal"/>
        <w:spacing w:lineRule="auto" w:line="240" w:before="60" w:after="60"/>
        <w:jc w:val="both"/>
        <w:rPr/>
      </w:pPr>
      <w:r>
        <w:rPr/>
        <w:t>11.14. Os contratos e convênios de que trata o § 1º do art. 26 da Lei nº 13.709/2018 deverão ser comunicados à ANPD.</w:t>
      </w:r>
    </w:p>
    <w:p>
      <w:pPr>
        <w:pStyle w:val="LOnormal"/>
        <w:spacing w:lineRule="auto" w:line="240" w:before="60" w:after="60"/>
        <w:jc w:val="both"/>
        <w:rPr/>
      </w:pPr>
      <w:r>
        <w:rPr/>
        <w:t>11.15. Este instrumento pode ser alterado nos procedimentos pertinentes ao tratamento de dados pessoais, quando indicado pela autoridade competente, em especial a ANPD por meio de opiniões técnicas ou recomendações, editadas na forma da LGPD.</w:t>
      </w:r>
    </w:p>
    <w:p>
      <w:pPr>
        <w:pStyle w:val="LOnormal"/>
        <w:spacing w:lineRule="auto" w:line="240" w:before="60" w:after="60"/>
        <w:jc w:val="both"/>
        <w:rPr>
          <w:b/>
          <w:b/>
        </w:rPr>
      </w:pPr>
      <w:r>
        <w:rPr>
          <w:b/>
        </w:rPr>
        <w:t>CLÁUSULA DÉCIMA SEGUNDA – DA GARANTIA DE EXECUÇÃO</w:t>
      </w:r>
    </w:p>
    <w:p>
      <w:pPr>
        <w:pStyle w:val="LOnormal"/>
        <w:spacing w:lineRule="auto" w:line="240" w:before="60" w:after="60"/>
        <w:jc w:val="both"/>
        <w:rPr/>
      </w:pPr>
      <w:r>
        <w:rPr/>
        <w:t>12.1. Não haverá exigência de garantia contratual da execução.</w:t>
      </w:r>
    </w:p>
    <w:p>
      <w:pPr>
        <w:pStyle w:val="LOnormal"/>
        <w:spacing w:lineRule="auto" w:line="240" w:before="60" w:after="60"/>
        <w:jc w:val="both"/>
        <w:rPr/>
      </w:pPr>
      <w:r>
        <w:rPr/>
      </w:r>
    </w:p>
    <w:p>
      <w:pPr>
        <w:pStyle w:val="LOnormal"/>
        <w:spacing w:lineRule="auto" w:line="240" w:before="60" w:after="60"/>
        <w:jc w:val="both"/>
        <w:rPr>
          <w:b/>
          <w:b/>
        </w:rPr>
      </w:pPr>
      <w:r>
        <w:rPr>
          <w:b/>
        </w:rPr>
        <w:t>CLÁUSULA DÉCIMA TERCEIRA – DAS INFRAÇÕES E SANÇÕES ADMINISTRATIVAS</w:t>
      </w:r>
    </w:p>
    <w:p>
      <w:pPr>
        <w:pStyle w:val="LOnormal"/>
        <w:spacing w:lineRule="auto" w:line="240" w:before="60" w:after="60"/>
        <w:jc w:val="both"/>
        <w:rPr/>
      </w:pPr>
      <w:r>
        <w:rPr/>
        <w:t>13.1. Comete infração administrativa, nos termos da Lei nº 14.133/2021, o CONTRATADO que:</w:t>
      </w:r>
    </w:p>
    <w:p>
      <w:pPr>
        <w:pStyle w:val="LOnormal"/>
        <w:spacing w:lineRule="auto" w:line="240" w:before="60" w:after="60"/>
        <w:jc w:val="both"/>
        <w:rPr/>
      </w:pPr>
      <w:r>
        <w:rPr/>
        <w:t>13.1.1. Der causa à inexecução parcial do contrato;</w:t>
      </w:r>
    </w:p>
    <w:p>
      <w:pPr>
        <w:pStyle w:val="LOnormal"/>
        <w:spacing w:lineRule="auto" w:line="240" w:before="60" w:after="60"/>
        <w:jc w:val="both"/>
        <w:rPr/>
      </w:pPr>
      <w:r>
        <w:rPr/>
        <w:t>13.1.2. Der causa à inexecução parcial do contrato que cause grave dano à Administração ou ao funcionamento dos serviços públicos ou ao interesse coletivo;</w:t>
      </w:r>
    </w:p>
    <w:p>
      <w:pPr>
        <w:pStyle w:val="LOnormal"/>
        <w:spacing w:lineRule="auto" w:line="240" w:before="60" w:after="60"/>
        <w:jc w:val="both"/>
        <w:rPr/>
      </w:pPr>
      <w:r>
        <w:rPr/>
        <w:t>13.1.3. Der causa à inexecução total do contrato;</w:t>
      </w:r>
    </w:p>
    <w:p>
      <w:pPr>
        <w:pStyle w:val="LOnormal"/>
        <w:spacing w:lineRule="auto" w:line="240" w:before="60" w:after="60"/>
        <w:jc w:val="both"/>
        <w:rPr/>
      </w:pPr>
      <w:r>
        <w:rPr/>
        <w:t>13.1.4. Ensejar o retardamento da execução ou da entrega do objeto da contratação sem motivo justificado;</w:t>
      </w:r>
    </w:p>
    <w:p>
      <w:pPr>
        <w:pStyle w:val="LOnormal"/>
        <w:spacing w:lineRule="auto" w:line="240" w:before="60" w:after="60"/>
        <w:jc w:val="both"/>
        <w:rPr/>
      </w:pPr>
      <w:r>
        <w:rPr/>
        <w:t>13.1.5. Apresentar documentação falsa ou prestar declaração falsa durante a execução do contrato;</w:t>
      </w:r>
    </w:p>
    <w:p>
      <w:pPr>
        <w:pStyle w:val="LOnormal"/>
        <w:spacing w:lineRule="auto" w:line="240" w:before="60" w:after="60"/>
        <w:jc w:val="both"/>
        <w:rPr/>
      </w:pPr>
      <w:r>
        <w:rPr/>
        <w:t>13.1.6. Praticar ato fraudulento na execução do contrato;</w:t>
      </w:r>
    </w:p>
    <w:p>
      <w:pPr>
        <w:pStyle w:val="LOnormal"/>
        <w:spacing w:lineRule="auto" w:line="240" w:before="60" w:after="60"/>
        <w:jc w:val="both"/>
        <w:rPr/>
      </w:pPr>
      <w:r>
        <w:rPr/>
        <w:t>13.1.7. Comportar-se de modo inidôneo ou cometer fraude de qualquer natureza;</w:t>
      </w:r>
    </w:p>
    <w:p>
      <w:pPr>
        <w:pStyle w:val="LOnormal"/>
        <w:spacing w:lineRule="auto" w:line="240" w:before="60" w:after="60"/>
        <w:jc w:val="both"/>
        <w:rPr/>
      </w:pPr>
      <w:r>
        <w:rPr/>
        <w:t>13.1.8. Praticar ato lesivo previsto no art. 5º da Lei nº 12.846/2013.</w:t>
      </w:r>
    </w:p>
    <w:p>
      <w:pPr>
        <w:pStyle w:val="LOnormal"/>
        <w:spacing w:lineRule="auto" w:line="240" w:before="60" w:after="60"/>
        <w:jc w:val="both"/>
        <w:rPr/>
      </w:pPr>
      <w:r>
        <w:rPr/>
        <w:t>13.2. Serão aplicadas ao CONTRATADO que incorrer nas infrações acima descritas as seguintes sanções:</w:t>
      </w:r>
    </w:p>
    <w:p>
      <w:pPr>
        <w:pStyle w:val="LOnormal"/>
        <w:spacing w:lineRule="auto" w:line="240" w:before="60" w:after="60"/>
        <w:jc w:val="both"/>
        <w:rPr/>
      </w:pPr>
      <w:r>
        <w:rPr/>
        <w:t>13.2.1. Advertência, quando o CONTRATADO der causa à inexecução parcial do contrato, sempre que não se justificar a imposição de penalidade mais grave;</w:t>
      </w:r>
    </w:p>
    <w:p>
      <w:pPr>
        <w:pStyle w:val="LOnormal"/>
        <w:spacing w:lineRule="auto" w:line="240" w:before="60" w:after="60"/>
        <w:jc w:val="both"/>
        <w:rPr/>
      </w:pPr>
      <w:r>
        <w:rPr/>
        <w:t>13.2.2. Impedimento de licitar e contratar, quando praticadas as condutas descritas nos subitens 13.1.2, 13.1.3 e 13.1.4, deste contrato, sempre que não se justificar a imposição de penalidade mais grave;</w:t>
      </w:r>
    </w:p>
    <w:p>
      <w:pPr>
        <w:pStyle w:val="LOnormal"/>
        <w:spacing w:lineRule="auto" w:line="240" w:before="60" w:after="60"/>
        <w:jc w:val="both"/>
        <w:rPr/>
      </w:pPr>
      <w:r>
        <w:rPr/>
        <w:t>13.2.3. Declaração de inidoneidade para licitar e contratar, quando praticadas as condutas descritas nos subitens 13.1.5, 13.1.6, 13.1.7 e 13.1.8 deste contrato, bem como nos subitens 13.1.2,13.1.3 e 13.1.4, que justifiquem a imposição de penalidade mais grave.</w:t>
      </w:r>
    </w:p>
    <w:p>
      <w:pPr>
        <w:pStyle w:val="LOnormal"/>
        <w:spacing w:lineRule="auto" w:line="240" w:before="60" w:after="60"/>
        <w:jc w:val="both"/>
        <w:rPr>
          <w:b/>
          <w:b/>
        </w:rPr>
      </w:pPr>
      <w:r>
        <w:rPr>
          <w:b/>
        </w:rPr>
        <w:t>13.2.4. Multa:</w:t>
      </w:r>
    </w:p>
    <w:p>
      <w:pPr>
        <w:pStyle w:val="LOnormal"/>
        <w:spacing w:lineRule="auto" w:line="240" w:before="60" w:after="60"/>
        <w:jc w:val="both"/>
        <w:rPr/>
      </w:pPr>
      <w:r>
        <w:rPr/>
        <w:t>13.2.4.1. Moratória de ___% (____por cento) por dia de atraso injustificado sobre o valor da parcela inadimplida, até o limite de _____ (____) dias.</w:t>
      </w:r>
    </w:p>
    <w:p>
      <w:pPr>
        <w:pStyle w:val="LOnormal"/>
        <w:spacing w:lineRule="auto" w:line="240" w:before="60" w:after="60"/>
        <w:jc w:val="both"/>
        <w:rPr/>
      </w:pPr>
      <w:r>
        <w:rPr/>
        <w:t>13.2.4.2. Moratória de ___% (____por cento) por dia de atraso injustificado sobre o valor total do contrato, até o máximo de ____% (____por cento) pela inobservância do prazo fixado para apresentação, suplementação ou reposição da garantia.</w:t>
      </w:r>
    </w:p>
    <w:p>
      <w:pPr>
        <w:pStyle w:val="LOnormal"/>
        <w:spacing w:lineRule="auto" w:line="240" w:before="60" w:after="60"/>
        <w:jc w:val="both"/>
        <w:rPr/>
      </w:pPr>
      <w:r>
        <w:rPr/>
        <w:t>13.2.4.2.1. O atraso superior a _____(___) dias autoriza a Administração a promover a extinção do contrato por descumprimento ou cumprimento irregular de suas cláusulas, conforme dispõe o inciso I do art. 137 da Lei nº 14.133/2021.</w:t>
      </w:r>
    </w:p>
    <w:p>
      <w:pPr>
        <w:pStyle w:val="LOnormal"/>
        <w:spacing w:lineRule="auto" w:line="240" w:before="60" w:after="60"/>
        <w:jc w:val="both"/>
        <w:rPr/>
      </w:pPr>
      <w:r>
        <w:rPr/>
        <w:t>13.2.4.3. Compensatória de _____% (_____ por cento) sobre o valor total do contrato, no caso de inexecução total do objeto.</w:t>
      </w:r>
    </w:p>
    <w:p>
      <w:pPr>
        <w:pStyle w:val="LOnormal"/>
        <w:spacing w:lineRule="auto" w:line="240" w:before="60" w:after="60"/>
        <w:jc w:val="both"/>
        <w:rPr/>
      </w:pPr>
      <w:r>
        <w:rPr>
          <w:highlight w:val="white"/>
        </w:rPr>
        <w:t>13</w:t>
      </w:r>
      <w:r>
        <w:rPr/>
        <w:t>.3. A aplicação das sanções previstas neste contrato não exclui, em hipótese alguma, a obrigação de reparação integral do dano causado ao CONTRATANTE.</w:t>
      </w:r>
    </w:p>
    <w:p>
      <w:pPr>
        <w:pStyle w:val="LOnormal"/>
        <w:spacing w:lineRule="auto" w:line="240" w:before="60" w:after="60"/>
        <w:jc w:val="both"/>
        <w:rPr/>
      </w:pPr>
      <w:r>
        <w:rPr>
          <w:highlight w:val="white"/>
        </w:rPr>
        <w:t>13</w:t>
      </w:r>
      <w:r>
        <w:rPr/>
        <w:t>.4. Todas as sanções previstas neste contrato poderão ser aplicadas cumulativamente com a multa.</w:t>
      </w:r>
    </w:p>
    <w:p>
      <w:pPr>
        <w:pStyle w:val="LOnormal"/>
        <w:spacing w:lineRule="auto" w:line="240" w:before="60" w:after="60"/>
        <w:jc w:val="both"/>
        <w:rPr/>
      </w:pPr>
      <w:r>
        <w:rPr>
          <w:highlight w:val="white"/>
        </w:rPr>
        <w:t>13</w:t>
      </w:r>
      <w:r>
        <w:rPr/>
        <w:t>.4.1. Antes da aplicação da multa será facultada a defesa do interessado no prazo de 15 (quinze) dias úteis, contado da data de sua intimação.</w:t>
      </w:r>
    </w:p>
    <w:p>
      <w:pPr>
        <w:pStyle w:val="LOnormal"/>
        <w:spacing w:lineRule="auto" w:line="240" w:before="60" w:after="60"/>
        <w:jc w:val="both"/>
        <w:rPr/>
      </w:pPr>
      <w:r>
        <w:rPr>
          <w:highlight w:val="white"/>
        </w:rPr>
        <w:t>13</w:t>
      </w:r>
      <w:r>
        <w:rPr/>
        <w:t xml:space="preserve">.5. A aplicação das sanções realizar-se-á em processo administrativo que assegure o contraditório e a ampla defesa ao CONTRATADO, observando-se o procedimento previsto no </w:t>
      </w:r>
      <w:r>
        <w:rPr>
          <w:i/>
        </w:rPr>
        <w:t>caput</w:t>
      </w:r>
      <w:r>
        <w:rPr/>
        <w:t xml:space="preserve"> e parágrafos do</w:t>
      </w:r>
      <w:r>
        <w:fldChar w:fldCharType="begin"/>
      </w:r>
      <w:r>
        <w:rPr/>
        <w:instrText xml:space="preserve"> HYPERLINK "http://www.planalto.gov.br/ccivil_03/_ato2019-2022/2021/lei/L14133.htm" \l "art158"</w:instrText>
      </w:r>
      <w:r>
        <w:rPr/>
        <w:fldChar w:fldCharType="separate"/>
      </w:r>
      <w:r>
        <w:rPr/>
        <w:t xml:space="preserve"> art. 158 da Lei nº 14.133/2021</w:t>
      </w:r>
      <w:r>
        <w:rPr/>
        <w:fldChar w:fldCharType="end"/>
      </w:r>
      <w:r>
        <w:rPr/>
        <w:t>, para as penalidades de impedimento de licitar e contratar e de declaração de inidoneidade para licitar ou contratar.</w:t>
      </w:r>
    </w:p>
    <w:p>
      <w:pPr>
        <w:pStyle w:val="LOnormal"/>
        <w:spacing w:lineRule="auto" w:line="240" w:before="60" w:after="60"/>
        <w:jc w:val="both"/>
        <w:rPr/>
      </w:pPr>
      <w:r>
        <w:rPr>
          <w:highlight w:val="white"/>
        </w:rPr>
        <w:t>13</w:t>
      </w:r>
      <w:r>
        <w:rPr/>
        <w:t>.6. Na aplicação das sanções serão considerados:</w:t>
      </w:r>
    </w:p>
    <w:p>
      <w:pPr>
        <w:pStyle w:val="LOnormal"/>
        <w:spacing w:lineRule="auto" w:line="240" w:before="60" w:after="60"/>
        <w:jc w:val="both"/>
        <w:rPr/>
      </w:pPr>
      <w:r>
        <w:rPr/>
        <w:t>13.6.1. A natureza e a gravidade da infração cometida;</w:t>
      </w:r>
    </w:p>
    <w:p>
      <w:pPr>
        <w:pStyle w:val="LOnormal"/>
        <w:spacing w:lineRule="auto" w:line="240" w:before="60" w:after="60"/>
        <w:jc w:val="both"/>
        <w:rPr/>
      </w:pPr>
      <w:r>
        <w:rPr/>
        <w:t>13.6.2. As peculiaridades do caso concreto;</w:t>
      </w:r>
    </w:p>
    <w:p>
      <w:pPr>
        <w:pStyle w:val="LOnormal"/>
        <w:spacing w:lineRule="auto" w:line="240" w:before="60" w:after="60"/>
        <w:jc w:val="both"/>
        <w:rPr/>
      </w:pPr>
      <w:r>
        <w:rPr/>
        <w:t>13.6.3. As circunstâncias agravantes ou atenuantes;</w:t>
      </w:r>
    </w:p>
    <w:p>
      <w:pPr>
        <w:pStyle w:val="LOnormal"/>
        <w:spacing w:lineRule="auto" w:line="240" w:before="60" w:after="60"/>
        <w:jc w:val="both"/>
        <w:rPr/>
      </w:pPr>
      <w:r>
        <w:rPr/>
        <w:t>13.6.4. Os danos que dela provierem para o CONTRATANTE;</w:t>
      </w:r>
    </w:p>
    <w:p>
      <w:pPr>
        <w:pStyle w:val="LOnormal"/>
        <w:spacing w:lineRule="auto" w:line="240" w:before="60" w:after="60"/>
        <w:jc w:val="both"/>
        <w:rPr/>
      </w:pPr>
      <w:r>
        <w:rPr>
          <w:highlight w:val="white"/>
        </w:rPr>
        <w:t>13</w:t>
      </w:r>
      <w:r>
        <w:rPr/>
        <w:t>.6.5. A implantação ou o aperfeiçoamento de programa de integridade, conforme normas e orientações dos órgãos de controle.</w:t>
      </w:r>
    </w:p>
    <w:p>
      <w:pPr>
        <w:pStyle w:val="LOnormal"/>
        <w:spacing w:lineRule="auto" w:line="240" w:before="60" w:after="60"/>
        <w:jc w:val="both"/>
        <w:rPr/>
      </w:pPr>
      <w:r>
        <w:rPr/>
        <w:t>13.7. Os atos previstos como infrações administrativas na</w:t>
      </w:r>
      <w:hyperlink r:id="rId20">
        <w:r>
          <w:rPr/>
          <w:t xml:space="preserve"> </w:t>
        </w:r>
      </w:hyperlink>
      <w:hyperlink r:id="rId21">
        <w:r>
          <w:rPr>
            <w:u w:val="single"/>
          </w:rPr>
          <w:t>Lei nº 14.133/2021</w:t>
        </w:r>
      </w:hyperlink>
      <w:r>
        <w:rPr/>
        <w:t>, ou em outras leis de licitações e contratos da Administração Pública que também sejam tipificados como atos lesivos na</w:t>
      </w:r>
      <w:hyperlink r:id="rId22">
        <w:r>
          <w:rPr/>
          <w:t xml:space="preserve"> </w:t>
        </w:r>
      </w:hyperlink>
      <w:hyperlink r:id="rId23">
        <w:r>
          <w:rPr>
            <w:u w:val="single"/>
          </w:rPr>
          <w:t>Lei nº 12.846/2013</w:t>
        </w:r>
      </w:hyperlink>
      <w:r>
        <w:rPr/>
        <w:t>, serão apurados e julgados conjuntamente, nos mesmos autos, observados o rito procedimental e autoridade competente definidos na referida Lei.</w:t>
      </w:r>
    </w:p>
    <w:p>
      <w:pPr>
        <w:pStyle w:val="LOnormal"/>
        <w:spacing w:lineRule="auto" w:line="240" w:before="60" w:after="60"/>
        <w:jc w:val="both"/>
        <w:rPr/>
      </w:pPr>
      <w:r>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LOnormal"/>
        <w:spacing w:lineRule="auto" w:line="240" w:before="60" w:after="60"/>
        <w:jc w:val="both"/>
        <w:rPr/>
      </w:pPr>
      <w:r>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pPr>
        <w:pStyle w:val="LOnormal"/>
        <w:spacing w:lineRule="auto" w:line="240" w:before="60" w:after="60"/>
        <w:jc w:val="both"/>
        <w:rPr/>
      </w:pPr>
      <w:r>
        <w:rPr>
          <w:highlight w:val="white"/>
        </w:rPr>
        <w:t>13</w:t>
      </w:r>
      <w:r>
        <w:rPr/>
        <w:t>.10. As sanções de impedimento de licitar e contratar e declaração de inidoneidade para licitar ou contratar são passíveis de reabilitação na forma do</w:t>
      </w:r>
      <w:r>
        <w:fldChar w:fldCharType="begin"/>
      </w:r>
      <w:r>
        <w:rPr/>
        <w:instrText xml:space="preserve"> HYPERLINK "http://www.planalto.gov.br/ccivil_03/_ato2019-2022/2021/lei/L14133.htm" \l "163"</w:instrText>
      </w:r>
      <w:r>
        <w:rPr/>
        <w:fldChar w:fldCharType="separate"/>
      </w:r>
      <w:r>
        <w:rPr/>
        <w:t xml:space="preserve"> art. 163 da Lei nº 14.133/2021</w:t>
      </w:r>
      <w:r>
        <w:rPr/>
        <w:fldChar w:fldCharType="end"/>
      </w:r>
      <w:r>
        <w:rPr/>
        <w:t>.</w:t>
      </w:r>
    </w:p>
    <w:p>
      <w:pPr>
        <w:pStyle w:val="LOnormal"/>
        <w:spacing w:lineRule="auto" w:line="240" w:before="60" w:after="60"/>
        <w:jc w:val="both"/>
        <w:rPr/>
      </w:pPr>
      <w:r>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pStyle w:val="LOnormal"/>
        <w:spacing w:lineRule="auto" w:line="240" w:before="60" w:after="60"/>
        <w:jc w:val="both"/>
        <w:rPr/>
      </w:pPr>
      <w:r>
        <w:rPr/>
        <w:t>13.11.1. Na impossibilidade do pagamento da multa por meio de descontos dos créditos existentes ou da garantia contratual, o CONTRATADO recolherá a multa por meio de Documento de Arrecadação Estadual (DAE), podendo ser substituído por outro instrumento legal, em nome do CONTRATANTE, se não o fizer, será cobrada em processo de execução.</w:t>
      </w:r>
    </w:p>
    <w:p>
      <w:pPr>
        <w:pStyle w:val="LOnormal"/>
        <w:spacing w:lineRule="auto" w:line="240" w:before="60" w:after="60"/>
        <w:jc w:val="both"/>
        <w:rPr>
          <w:b/>
          <w:b/>
        </w:rPr>
      </w:pPr>
      <w:r>
        <w:rPr>
          <w:b/>
        </w:rPr>
        <w:t>CLÁUSULA DÉCIMA QUARTA – DA EXTINÇÃO CONTRATUAL</w:t>
      </w:r>
    </w:p>
    <w:p>
      <w:pPr>
        <w:pStyle w:val="LOnormal"/>
        <w:spacing w:lineRule="auto" w:line="240" w:before="60" w:after="60"/>
        <w:jc w:val="both"/>
        <w:rPr/>
      </w:pPr>
      <w:r>
        <w:rPr/>
        <w:t>14.1. Este contrato se extingue nas seguintes hipóteses:</w:t>
      </w:r>
    </w:p>
    <w:p>
      <w:pPr>
        <w:pStyle w:val="LOnormal"/>
        <w:spacing w:lineRule="auto" w:line="240" w:before="60" w:after="60"/>
        <w:jc w:val="both"/>
        <w:rPr/>
      </w:pPr>
      <w:r>
        <w:rPr/>
        <w:t>I- Quando cumpridas as obrigações de ambas as partes, ainda que isso ocorra antes do prazo estipulado para tanto, e.</w:t>
      </w:r>
    </w:p>
    <w:p>
      <w:pPr>
        <w:pStyle w:val="LOnormal"/>
        <w:spacing w:lineRule="auto" w:line="240" w:before="60" w:after="60"/>
        <w:jc w:val="both"/>
        <w:rPr/>
      </w:pPr>
      <w:r>
        <w:rPr/>
        <w:t>II- Quando mesmo não cumpridas as obrigações nele estipuladas, ou antes do prazo nele fixado, ocorrer algum dos motivos previstos no</w:t>
      </w:r>
      <w:r>
        <w:fldChar w:fldCharType="begin"/>
      </w:r>
      <w:r>
        <w:rPr/>
        <w:instrText xml:space="preserve"> HYPERLINK "http://www.planalto.gov.br/ccivil_03/_ato2019-2022/2021/lei/L14133.htm" \l "art137"</w:instrText>
      </w:r>
      <w:r>
        <w:rPr/>
        <w:fldChar w:fldCharType="separate"/>
      </w:r>
      <w:r>
        <w:rPr/>
        <w:t xml:space="preserve"> art. 137 da Lei nº 14.133/2021</w:t>
      </w:r>
      <w:r>
        <w:rPr/>
        <w:fldChar w:fldCharType="end"/>
      </w:r>
      <w:r>
        <w:rPr/>
        <w:t>, bem como amigavelmente, assegurados o contraditório e a ampla defesa.</w:t>
      </w:r>
    </w:p>
    <w:p>
      <w:pPr>
        <w:pStyle w:val="LOnormal"/>
        <w:spacing w:lineRule="auto" w:line="240" w:before="60" w:after="60"/>
        <w:jc w:val="both"/>
        <w:rPr/>
      </w:pPr>
      <w:r>
        <w:rPr/>
        <w:t>a) Na hipótese do inciso II aplicam-se também os</w:t>
      </w:r>
      <w:r>
        <w:fldChar w:fldCharType="begin"/>
      </w:r>
      <w:r>
        <w:rPr/>
        <w:instrText xml:space="preserve"> HYPERLINK "http://www.planalto.gov.br/ccivil_03/_ato2019-2022/2021/lei/L14133.htm" \l "art138"</w:instrText>
      </w:r>
      <w:r>
        <w:rPr/>
        <w:fldChar w:fldCharType="separate"/>
      </w:r>
      <w:r>
        <w:rPr/>
        <w:t xml:space="preserve"> arts. 138 e 139 da mesma Lei</w:t>
      </w:r>
      <w:r>
        <w:rPr/>
        <w:fldChar w:fldCharType="end"/>
      </w:r>
      <w:r>
        <w:rPr/>
        <w:t>.</w:t>
      </w:r>
    </w:p>
    <w:p>
      <w:pPr>
        <w:pStyle w:val="LOnormal"/>
        <w:spacing w:lineRule="auto" w:line="240" w:before="60" w:after="60"/>
        <w:jc w:val="both"/>
        <w:rPr/>
      </w:pPr>
      <w:r>
        <w:rPr/>
        <w:t>14.2. A alteração social ou a modificação da finalidade ou da estrutura da empresa não ensejará a rescisão se não restringir sua capacidade de concluir o contrato.</w:t>
      </w:r>
    </w:p>
    <w:p>
      <w:pPr>
        <w:pStyle w:val="LOnormal"/>
        <w:spacing w:lineRule="auto" w:line="240" w:before="60" w:after="60"/>
        <w:jc w:val="both"/>
        <w:rPr/>
      </w:pPr>
      <w:r>
        <w:rPr/>
        <w:t>14.2.1. Se a operação implicar mudança da pessoa jurídica CONTRATADA, deverá ser formalizado termo aditivo para alteração subjetiva.</w:t>
      </w:r>
    </w:p>
    <w:p>
      <w:pPr>
        <w:pStyle w:val="LOnormal"/>
        <w:spacing w:lineRule="auto" w:line="240" w:before="60" w:after="60"/>
        <w:jc w:val="both"/>
        <w:rPr/>
      </w:pPr>
      <w:r>
        <w:rPr/>
        <w:t>14.3. O termo de rescisão, sempre que possível, será precedido:</w:t>
      </w:r>
    </w:p>
    <w:p>
      <w:pPr>
        <w:pStyle w:val="LOnormal"/>
        <w:spacing w:lineRule="auto" w:line="240" w:before="60" w:after="60"/>
        <w:jc w:val="both"/>
        <w:rPr/>
      </w:pPr>
      <w:r>
        <w:rPr/>
        <w:t>14.3.1. Balanço dos eventos contratuais já cumpridos ou parcialmente cumpridos;</w:t>
      </w:r>
    </w:p>
    <w:p>
      <w:pPr>
        <w:pStyle w:val="LOnormal"/>
        <w:spacing w:lineRule="auto" w:line="240" w:before="60" w:after="60"/>
        <w:jc w:val="both"/>
        <w:rPr/>
      </w:pPr>
      <w:r>
        <w:rPr/>
        <w:t>14.3.2. Relação dos pagamentos já efetuados e ainda devidos;</w:t>
      </w:r>
    </w:p>
    <w:p>
      <w:pPr>
        <w:pStyle w:val="LOnormal"/>
        <w:spacing w:lineRule="auto" w:line="240" w:before="60" w:after="60"/>
        <w:jc w:val="both"/>
        <w:rPr/>
      </w:pPr>
      <w:r>
        <w:rPr/>
        <w:t>14.3.3. Indenizações e multas.</w:t>
      </w:r>
    </w:p>
    <w:p>
      <w:pPr>
        <w:pStyle w:val="LOnormal"/>
        <w:spacing w:lineRule="auto" w:line="240" w:before="60" w:after="60"/>
        <w:jc w:val="both"/>
        <w:rPr/>
      </w:pPr>
      <w:r>
        <w:rPr/>
        <w:t>14.4. A extinção do contrato não configura óbice para o reconhecimento do desequilíbrio econômico-financeiro, hipótese em que será concedida indenização por meio de termo indenizatório.</w:t>
      </w:r>
    </w:p>
    <w:p>
      <w:pPr>
        <w:pStyle w:val="LOnormal"/>
        <w:spacing w:lineRule="auto" w:line="240" w:before="60" w:after="60"/>
        <w:jc w:val="both"/>
        <w:rPr/>
      </w:pPr>
      <w:r>
        <w:rPr/>
        <w:t>14.5. 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pPr>
        <w:pStyle w:val="LOnormal"/>
        <w:spacing w:lineRule="auto" w:line="240" w:before="60" w:after="60"/>
        <w:jc w:val="both"/>
        <w:rPr>
          <w:b/>
          <w:b/>
        </w:rPr>
      </w:pPr>
      <w:r>
        <w:rPr>
          <w:b/>
        </w:rPr>
        <w:t>CLÁUSULA DÉCIMA QUINTA – DA DOTAÇÃO ORÇAMENTÁRIA</w:t>
      </w:r>
    </w:p>
    <w:p>
      <w:pPr>
        <w:pStyle w:val="LOnormal"/>
        <w:spacing w:lineRule="auto" w:line="240" w:before="60" w:after="60"/>
        <w:jc w:val="both"/>
        <w:rPr/>
      </w:pPr>
      <w:r>
        <w:rPr/>
        <w:t>15.1. As despesas decorrentes da presente contratação correrão à conta de recursos específicos consignados no Orçamento Geral do Estado deste exercício, na dotação abaixo discriminada, conforme o caso:</w:t>
      </w:r>
    </w:p>
    <w:p>
      <w:pPr>
        <w:pStyle w:val="LOnormal"/>
        <w:spacing w:lineRule="auto" w:line="240" w:before="60" w:after="60"/>
        <w:jc w:val="both"/>
        <w:rPr/>
      </w:pPr>
      <w:r>
        <w:rPr/>
        <w:t>15.1.1. Gestão/Unidade: 27000000 - Secretaria da Cultura;</w:t>
      </w:r>
    </w:p>
    <w:p>
      <w:pPr>
        <w:pStyle w:val="LOnormal"/>
        <w:spacing w:lineRule="auto" w:line="240" w:before="60" w:after="60"/>
        <w:jc w:val="both"/>
        <w:rPr/>
      </w:pPr>
      <w:r>
        <w:rPr/>
        <w:t>15.1.2. Fonte de Recursos: 500 - Recursos Não Vinculados de imposto;</w:t>
      </w:r>
    </w:p>
    <w:p>
      <w:pPr>
        <w:pStyle w:val="LOnormal"/>
        <w:spacing w:lineRule="auto" w:line="240" w:before="60" w:after="60"/>
        <w:jc w:val="both"/>
        <w:rPr/>
      </w:pPr>
      <w:r>
        <w:rPr/>
        <w:t xml:space="preserve">15.1.3. Programa de Trabalho: </w:t>
      </w:r>
      <w:r>
        <w:rPr>
          <w:color w:val="222222"/>
          <w:highlight w:val="white"/>
        </w:rPr>
        <w:t xml:space="preserve">421 - </w:t>
      </w:r>
      <w:r>
        <w:rPr/>
        <w:t>Gestão Administrativa do Ceará e 131 - Promoção e Desenvolvimento da Arte, Diversidade e Cultura Cearense.</w:t>
      </w:r>
    </w:p>
    <w:p>
      <w:pPr>
        <w:pStyle w:val="LOnormal"/>
        <w:spacing w:lineRule="auto" w:line="240" w:before="60" w:after="60"/>
        <w:jc w:val="both"/>
        <w:rPr/>
      </w:pPr>
      <w:r>
        <w:rPr/>
        <w:t xml:space="preserve">15.1.4. Elemento de Despesa: </w:t>
      </w:r>
      <w:r>
        <w:rPr>
          <w:color w:val="222222"/>
          <w:highlight w:val="white"/>
        </w:rPr>
        <w:t>339039 - Outros Serviços de Terceiros - Pessoa Jurídica</w:t>
      </w:r>
      <w:r>
        <w:rPr/>
        <w:t>;</w:t>
      </w:r>
    </w:p>
    <w:p>
      <w:pPr>
        <w:pStyle w:val="LOnormal"/>
        <w:spacing w:lineRule="auto" w:line="240" w:before="60" w:after="60"/>
        <w:jc w:val="both"/>
        <w:rPr>
          <w:color w:val="1155CC"/>
        </w:rPr>
      </w:pPr>
      <w:r>
        <w:rPr/>
        <w:t>15.1.5. Nota de Empenho:</w:t>
      </w:r>
      <w:r>
        <w:rPr>
          <w:color w:val="980000"/>
        </w:rPr>
        <w:t xml:space="preserve"> </w:t>
      </w:r>
    </w:p>
    <w:p>
      <w:pPr>
        <w:pStyle w:val="LOnormal"/>
        <w:spacing w:lineRule="auto" w:line="240" w:before="60" w:after="60"/>
        <w:jc w:val="both"/>
        <w:rPr/>
      </w:pPr>
      <w:r>
        <w:rPr/>
        <w:t>15.2. A dotação relativa aos exercícios financeiros subsequentes será indicada após aprovação da Lei Orçamentária respectiva e liberação dos créditos correspondentes, mediante apostilamento.</w:t>
      </w:r>
    </w:p>
    <w:p>
      <w:pPr>
        <w:pStyle w:val="LOnormal"/>
        <w:spacing w:lineRule="auto" w:line="240" w:before="60" w:after="60"/>
        <w:jc w:val="both"/>
        <w:rPr>
          <w:b/>
          <w:b/>
        </w:rPr>
      </w:pPr>
      <w:r>
        <w:rPr>
          <w:b/>
        </w:rPr>
        <w:t>CLÁUSULA DÉCIMA SEXTA – DAS ALTERAÇÕES</w:t>
      </w:r>
    </w:p>
    <w:p>
      <w:pPr>
        <w:pStyle w:val="LOnormal"/>
        <w:spacing w:lineRule="auto" w:line="240" w:before="60" w:after="60"/>
        <w:jc w:val="both"/>
        <w:rPr/>
      </w:pPr>
      <w:r>
        <w:rPr/>
        <w:t>16.1. Eventuais alterações contratuais reger-se-ão pela disciplina dos</w:t>
      </w:r>
      <w:r>
        <w:fldChar w:fldCharType="begin"/>
      </w:r>
      <w:r>
        <w:rPr/>
        <w:instrText xml:space="preserve"> HYPERLINK "http://www.planalto.gov.br/ccivil_03/_ato2019-2022/2021/lei/L14133.htm" \l "art124"</w:instrText>
      </w:r>
      <w:r>
        <w:rPr/>
        <w:fldChar w:fldCharType="separate"/>
      </w:r>
      <w:r>
        <w:rPr/>
        <w:t xml:space="preserve"> </w:t>
      </w:r>
      <w:r>
        <w:rPr/>
        <w:fldChar w:fldCharType="end"/>
      </w:r>
      <w:r>
        <w:fldChar w:fldCharType="begin"/>
      </w:r>
      <w:r>
        <w:rPr>
          <w:u w:val="single"/>
        </w:rPr>
        <w:instrText xml:space="preserve"> HYPERLINK "http://www.planalto.gov.br/ccivil_03/_ato2019-2022/2021/lei/L14133.htm" \l "art124"</w:instrText>
      </w:r>
      <w:r>
        <w:rPr>
          <w:u w:val="single"/>
        </w:rPr>
        <w:fldChar w:fldCharType="separate"/>
      </w:r>
      <w:r>
        <w:rPr>
          <w:u w:val="single"/>
        </w:rPr>
        <w:t>arts. 124 e seguintes da Lei nº 14.133/2021</w:t>
      </w:r>
      <w:r>
        <w:rPr>
          <w:u w:val="single"/>
        </w:rPr>
        <w:fldChar w:fldCharType="end"/>
      </w:r>
      <w:r>
        <w:rPr/>
        <w:t>.</w:t>
      </w:r>
    </w:p>
    <w:p>
      <w:pPr>
        <w:pStyle w:val="LOnormal"/>
        <w:spacing w:lineRule="auto" w:line="240" w:before="60" w:after="60"/>
        <w:jc w:val="both"/>
        <w:rPr/>
      </w:pPr>
      <w:r>
        <w:rPr/>
        <w:t>16.2. O CONTRATADO é obrigado a aceitar, nas mesmas condições contratuais, os acréscimos ou supressões que se fizerem necessários, até o limite de 25% (vinte e cinco por cento) do valor inicial atualizado do contrato.</w:t>
      </w:r>
    </w:p>
    <w:p>
      <w:pPr>
        <w:pStyle w:val="LOnormal"/>
        <w:spacing w:lineRule="auto" w:line="240" w:before="60" w:after="60"/>
        <w:jc w:val="both"/>
        <w:rPr/>
      </w:pPr>
      <w:r>
        <w:rPr/>
        <w:t>16.3. Registros que não caracterizam alteração do contrato podem ser realizados por simples apostila, dispensada a celebração de termo aditivo, na forma do</w:t>
      </w:r>
      <w:r>
        <w:fldChar w:fldCharType="begin"/>
      </w:r>
      <w:r>
        <w:rPr/>
        <w:instrText xml:space="preserve"> HYPERLINK "http://www.planalto.gov.br/ccivil_03/_ato2019-2022/2021/lei/L14133.htm" \l "art136"</w:instrText>
      </w:r>
      <w:r>
        <w:rPr/>
        <w:fldChar w:fldCharType="separate"/>
      </w:r>
      <w:r>
        <w:rPr/>
        <w:t xml:space="preserve"> </w:t>
      </w:r>
      <w:r>
        <w:rPr/>
        <w:fldChar w:fldCharType="end"/>
      </w:r>
      <w:r>
        <w:fldChar w:fldCharType="begin"/>
      </w:r>
      <w:r>
        <w:rPr>
          <w:u w:val="single"/>
        </w:rPr>
        <w:instrText xml:space="preserve"> HYPERLINK "http://www.planalto.gov.br/ccivil_03/_ato2019-2022/2021/lei/L14133.htm" \l "art136"</w:instrText>
      </w:r>
      <w:r>
        <w:rPr>
          <w:u w:val="single"/>
        </w:rPr>
        <w:fldChar w:fldCharType="separate"/>
      </w:r>
      <w:r>
        <w:rPr>
          <w:u w:val="single"/>
        </w:rPr>
        <w:t>art. 136 da Lei nº 14.133/2021</w:t>
      </w:r>
      <w:r>
        <w:rPr>
          <w:u w:val="single"/>
        </w:rPr>
        <w:fldChar w:fldCharType="end"/>
      </w:r>
      <w:r>
        <w:rPr/>
        <w:t>.</w:t>
      </w:r>
    </w:p>
    <w:p>
      <w:pPr>
        <w:pStyle w:val="LOnormal"/>
        <w:spacing w:lineRule="auto" w:line="240" w:before="60" w:after="60"/>
        <w:jc w:val="both"/>
        <w:rPr>
          <w:b/>
          <w:b/>
        </w:rPr>
      </w:pPr>
      <w:r>
        <w:rPr>
          <w:b/>
        </w:rPr>
        <w:t>CLÁUSULA DÉCIMA SÉTIMA – DOS CASOS OMISSOS</w:t>
      </w:r>
    </w:p>
    <w:p>
      <w:pPr>
        <w:pStyle w:val="LOnormal"/>
        <w:spacing w:lineRule="auto" w:line="240" w:before="60" w:after="60"/>
        <w:jc w:val="both"/>
        <w:rPr/>
      </w:pPr>
      <w:r>
        <w:rPr/>
        <w:t>17.1. Os casos omissos serão decididos pelo CONTRATANTE, segundo as disposições contidas na Lei</w:t>
      </w:r>
      <w:hyperlink r:id="rId24">
        <w:r>
          <w:rPr/>
          <w:t xml:space="preserve"> nº 14.133/2021</w:t>
        </w:r>
      </w:hyperlink>
      <w:r>
        <w:rPr/>
        <w:t>, e demais normas estaduais aplicáveis e, subsidiariamente, segundo as disposições contidas na</w:t>
      </w:r>
      <w:hyperlink r:id="rId25">
        <w:r>
          <w:rPr/>
          <w:t xml:space="preserve"> Lei nº 8.078/1990 – Código de Defesa do Consumidor</w:t>
        </w:r>
      </w:hyperlink>
      <w:r>
        <w:rPr/>
        <w:t xml:space="preserve"> – e normas e princípios gerais dos contratos.</w:t>
      </w:r>
    </w:p>
    <w:p>
      <w:pPr>
        <w:pStyle w:val="LOnormal"/>
        <w:spacing w:lineRule="auto" w:line="240" w:before="60" w:after="60"/>
        <w:jc w:val="both"/>
        <w:rPr>
          <w:b/>
          <w:b/>
        </w:rPr>
      </w:pPr>
      <w:r>
        <w:rPr>
          <w:b/>
        </w:rPr>
        <w:t>CLÁUSULA DÉCIMA OITAVA – DA PUBLICAÇÃO</w:t>
      </w:r>
    </w:p>
    <w:p>
      <w:pPr>
        <w:pStyle w:val="LOnormal"/>
        <w:spacing w:lineRule="auto" w:line="240" w:before="60" w:after="60"/>
        <w:jc w:val="both"/>
        <w:rPr/>
      </w:pPr>
      <w:r>
        <w:rPr/>
        <w:t>18.1. Incumbirá ao CONTRATANTE divulgar o presente instrumento no Portal Nacional de Contratações Públicas (PNCP), na forma prevista no</w:t>
      </w:r>
      <w:r>
        <w:fldChar w:fldCharType="begin"/>
      </w:r>
      <w:r>
        <w:rPr/>
        <w:instrText xml:space="preserve"> HYPERLINK "http://www.planalto.gov.br/ccivil_03/_ato2019-2022/2021/lei/L14133.htm" \l "art94"</w:instrText>
      </w:r>
      <w:r>
        <w:rPr/>
        <w:fldChar w:fldCharType="separate"/>
      </w:r>
      <w:r>
        <w:rPr/>
        <w:t xml:space="preserve"> art. 94 da Lei 14.133/2021</w:t>
      </w:r>
      <w:r>
        <w:rPr/>
        <w:fldChar w:fldCharType="end"/>
      </w:r>
      <w:r>
        <w:rPr/>
        <w:t>, bem como no respectivo sítio oficial na Internet, em atenção a Lei nº 12.527/2011, regulamentada no Estado do Ceará pela Lei nº 15.175/2012.</w:t>
      </w:r>
    </w:p>
    <w:p>
      <w:pPr>
        <w:pStyle w:val="LOnormal"/>
        <w:spacing w:lineRule="auto" w:line="240" w:before="60" w:after="60"/>
        <w:jc w:val="both"/>
        <w:rPr>
          <w:b/>
          <w:b/>
        </w:rPr>
      </w:pPr>
      <w:r>
        <w:rPr>
          <w:b/>
        </w:rPr>
        <w:t>CLÁUSULA DÉCIMA NONA – DO FORO</w:t>
      </w:r>
    </w:p>
    <w:p>
      <w:pPr>
        <w:pStyle w:val="LOnormal"/>
        <w:spacing w:lineRule="auto" w:line="240" w:before="60" w:after="60"/>
        <w:jc w:val="both"/>
        <w:rPr/>
      </w:pPr>
      <w:r>
        <w:rPr/>
        <w:t>19.1. Fica eleito o foro do município da sede do CONTRATANTE, para dirimir os litígios que decorrerem da execução deste Termo de Contrato que não puderem ser compostos pela conciliação, conforme</w:t>
      </w:r>
      <w:r>
        <w:fldChar w:fldCharType="begin"/>
      </w:r>
      <w:r>
        <w:rPr/>
        <w:instrText xml:space="preserve"> HYPERLINK "http://www.planalto.gov.br/ccivil_03/_ato2019-2022/2021/lei/L14133.htm" \l "art92§1"</w:instrText>
      </w:r>
      <w:r>
        <w:rPr/>
        <w:fldChar w:fldCharType="separate"/>
      </w:r>
      <w:r>
        <w:rPr/>
        <w:t xml:space="preserve"> art. 92, §1º, da Lei nº 14.133/2021.</w:t>
      </w:r>
      <w:r>
        <w:rPr/>
        <w:fldChar w:fldCharType="end"/>
      </w:r>
    </w:p>
    <w:p>
      <w:pPr>
        <w:pStyle w:val="LOnormal"/>
        <w:spacing w:lineRule="auto" w:line="240" w:before="60" w:after="60"/>
        <w:jc w:val="both"/>
        <w:rPr/>
      </w:pPr>
      <w:r>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pPr>
        <w:pStyle w:val="LOnormal"/>
        <w:spacing w:lineRule="auto" w:line="240" w:before="60" w:after="60"/>
        <w:rPr/>
      </w:pPr>
      <w:r>
        <w:rPr/>
      </w:r>
    </w:p>
    <w:p>
      <w:pPr>
        <w:pStyle w:val="LOnormal"/>
        <w:spacing w:lineRule="auto" w:line="240" w:before="60" w:after="60"/>
        <w:rPr/>
      </w:pPr>
      <w:r>
        <w:rPr/>
        <w:t>Local e data</w:t>
      </w:r>
    </w:p>
    <w:p>
      <w:pPr>
        <w:pStyle w:val="LOnormal"/>
        <w:spacing w:lineRule="auto" w:line="240" w:before="60" w:after="60"/>
        <w:rPr/>
      </w:pPr>
      <w:r>
        <w:rPr/>
        <w:br/>
        <w:t>(nome do representante) (nome do representante)</w:t>
      </w:r>
    </w:p>
    <w:p>
      <w:pPr>
        <w:pStyle w:val="LOnormal"/>
        <w:spacing w:lineRule="auto" w:line="240" w:before="60" w:after="60"/>
        <w:jc w:val="both"/>
        <w:rPr/>
      </w:pPr>
      <w:r>
        <w:rPr/>
        <w:t>CONTRATANTE CONTRATADO</w:t>
      </w:r>
    </w:p>
    <w:p>
      <w:pPr>
        <w:pStyle w:val="LOnormal"/>
        <w:spacing w:lineRule="auto" w:line="240" w:before="60" w:after="60"/>
        <w:jc w:val="both"/>
        <w:rPr/>
      </w:pPr>
      <w:r>
        <w:rPr/>
        <w:br/>
        <w:t>Testemunhas:</w:t>
      </w:r>
    </w:p>
    <w:p>
      <w:pPr>
        <w:pStyle w:val="LOnormal"/>
        <w:spacing w:lineRule="auto" w:line="240" w:before="60" w:after="60"/>
        <w:jc w:val="both"/>
        <w:rPr/>
      </w:pPr>
      <w:r>
        <w:rPr/>
        <w:br/>
        <w:t>(nome da testemunha 1) (nome da testemunha 2)</w:t>
      </w:r>
    </w:p>
    <w:p>
      <w:pPr>
        <w:pStyle w:val="LOnormal"/>
        <w:spacing w:lineRule="auto" w:line="240" w:before="60" w:after="60"/>
        <w:jc w:val="both"/>
        <w:rPr/>
      </w:pPr>
      <w:r>
        <w:rPr/>
        <w:t>RG: RG:</w:t>
      </w:r>
    </w:p>
    <w:p>
      <w:pPr>
        <w:pStyle w:val="LOnormal"/>
        <w:spacing w:lineRule="auto" w:line="240" w:before="60" w:after="60"/>
        <w:jc w:val="both"/>
        <w:rPr/>
      </w:pPr>
      <w:r>
        <w:rPr/>
        <w:t>CPF: CPF:</w:t>
      </w:r>
    </w:p>
    <w:p>
      <w:pPr>
        <w:pStyle w:val="LOnormal"/>
        <w:spacing w:lineRule="auto" w:line="240" w:before="60" w:after="60"/>
        <w:jc w:val="both"/>
        <w:rPr/>
      </w:pPr>
      <w:r>
        <w:rPr/>
        <w:br/>
        <w:t>Visto:</w:t>
      </w:r>
    </w:p>
    <w:p>
      <w:pPr>
        <w:pStyle w:val="LOnormal"/>
        <w:spacing w:lineRule="auto" w:line="240" w:before="60" w:after="60"/>
        <w:jc w:val="both"/>
        <w:rPr/>
      </w:pPr>
      <w:r>
        <w:rPr/>
        <w:br/>
        <w:t>(nome do(a) procurador(a)/assessor(a) jurídico(a) da CONTRATANTE)</w:t>
      </w:r>
    </w:p>
    <w:p>
      <w:pPr>
        <w:pStyle w:val="LOnormal"/>
        <w:spacing w:lineRule="auto" w:line="240" w:before="60" w:after="60"/>
        <w:rPr/>
      </w:pPr>
      <w:r>
        <w:rPr/>
      </w:r>
    </w:p>
    <w:p>
      <w:pPr>
        <w:pStyle w:val="LOnormal"/>
        <w:spacing w:lineRule="auto" w:line="240" w:before="60" w:after="60"/>
        <w:rPr/>
      </w:pPr>
      <w:r>
        <w:rPr/>
        <w:br/>
      </w:r>
    </w:p>
    <w:sectPr>
      <w:headerReference w:type="default" r:id="rId26"/>
      <w:footerReference w:type="default" r:id="rId27"/>
      <w:type w:val="nextPage"/>
      <w:pgSz w:w="12240" w:h="15840"/>
      <w:pgMar w:left="1440" w:right="1440" w:gutter="0" w:header="680" w:top="1440" w:footer="850" w:bottom="12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quo">
    <w:charset w:val="00"/>
    <w:family w:val="roman"/>
    <w:pitch w:val="variable"/>
  </w:font>
  <w:font w:name="Kanit">
    <w:charset w:val="00"/>
    <w:family w:val="roman"/>
    <w:pitch w:val="variable"/>
  </w:font>
  <w:font w:name="Kanit Light">
    <w:charset w:val="00"/>
    <w:family w:val="roman"/>
    <w:pitch w:val="variable"/>
  </w:font>
  <w:font w:name="Noto Sans Symbols">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mc:AlternateContent>
        <mc:Choice Requires="wps">
          <w:drawing>
            <wp:anchor behindDoc="1" distT="0" distB="0" distL="0" distR="0" simplePos="0" locked="0" layoutInCell="0" allowOverlap="1" relativeHeight="147">
              <wp:simplePos x="0" y="0"/>
              <wp:positionH relativeFrom="column">
                <wp:posOffset>-101600</wp:posOffset>
              </wp:positionH>
              <wp:positionV relativeFrom="paragraph">
                <wp:posOffset>63500</wp:posOffset>
              </wp:positionV>
              <wp:extent cx="3162300" cy="590550"/>
              <wp:effectExtent l="0" t="0" r="0" b="0"/>
              <wp:wrapNone/>
              <wp:docPr id="4" name="Figura2"/>
              <a:graphic xmlns:a="http://schemas.openxmlformats.org/drawingml/2006/main">
                <a:graphicData uri="http://schemas.microsoft.com/office/word/2010/wordprocessingShape">
                  <wps:wsp>
                    <wps:cNvSpPr/>
                    <wps:spPr>
                      <a:xfrm>
                        <a:off x="0" y="0"/>
                        <a:ext cx="3162240" cy="590400"/>
                      </a:xfrm>
                      <a:prstGeom prst="rect">
                        <a:avLst/>
                      </a:prstGeom>
                      <a:noFill/>
                      <a:ln w="0">
                        <a:noFill/>
                      </a:ln>
                    </wps:spPr>
                    <wps:style>
                      <a:lnRef idx="0"/>
                      <a:fillRef idx="0"/>
                      <a:effectRef idx="0"/>
                      <a:fontRef idx="minor"/>
                    </wps:style>
                    <wps:txbx>
                      <w:txbxContent>
                        <w:p>
                          <w:pPr>
                            <w:pStyle w:val="Contedodoquadro"/>
                            <w:spacing w:lineRule="exact" w:line="215" w:before="0" w:after="60"/>
                            <w:ind w:left="0" w:right="0" w:hanging="0"/>
                            <w:jc w:val="left"/>
                            <w:rPr/>
                          </w:pPr>
                          <w:r>
                            <w:rPr>
                              <w:rFonts w:eastAsia="Kanit" w:cs="Kanit" w:ascii="Kanit" w:hAnsi="Kanit"/>
                              <w:b/>
                              <w:i w:val="false"/>
                              <w:caps w:val="false"/>
                              <w:smallCaps w:val="false"/>
                              <w:strike w:val="false"/>
                              <w:dstrike w:val="false"/>
                              <w:color w:val="434343"/>
                              <w:position w:val="0"/>
                              <w:sz w:val="20"/>
                              <w:sz w:val="20"/>
                              <w:vertAlign w:val="baseline"/>
                            </w:rPr>
                            <w:t xml:space="preserve">Secretaria da Cultura do Ceará </w:t>
                          </w:r>
                        </w:p>
                        <w:p>
                          <w:pPr>
                            <w:pStyle w:val="Contedodoquadro"/>
                            <w:spacing w:lineRule="exact" w:line="213" w:before="0" w:after="60"/>
                            <w:ind w:left="0" w:right="0" w:hanging="0"/>
                            <w:jc w:val="left"/>
                            <w:rPr/>
                          </w:pPr>
                          <w:r>
                            <w:rPr>
                              <w:rFonts w:eastAsia="Kanit Light" w:cs="Kanit Light" w:ascii="Kanit Light" w:hAnsi="Kanit Light"/>
                              <w:b w:val="false"/>
                              <w:i w:val="false"/>
                              <w:caps w:val="false"/>
                              <w:smallCaps w:val="false"/>
                              <w:strike w:val="false"/>
                              <w:dstrike w:val="false"/>
                              <w:color w:val="434343"/>
                              <w:position w:val="0"/>
                              <w:sz w:val="20"/>
                              <w:sz w:val="20"/>
                              <w:vertAlign w:val="baseline"/>
                            </w:rPr>
                            <w:t>Rua Major Facund, 500 – Centro  • CEP: 60.025-100</w:t>
                            <w:br/>
                            <w:t>Fortaleza / CE • Fone: (85) 31016767</w:t>
                          </w:r>
                        </w:p>
                        <w:p>
                          <w:pPr>
                            <w:pStyle w:val="Contedodoquadro"/>
                            <w:spacing w:lineRule="exact" w:line="215" w:before="0" w:after="60"/>
                            <w:ind w:left="0" w:right="0" w:hanging="0"/>
                            <w:jc w:val="left"/>
                            <w:rPr/>
                          </w:pPr>
                          <w:r>
                            <w:rPr>
                              <w:rFonts w:eastAsia="Kanit Light" w:cs="Kanit Light" w:ascii="Kanit Light" w:hAnsi="Kanit Light"/>
                              <w:b w:val="false"/>
                              <w:i w:val="false"/>
                              <w:caps w:val="false"/>
                              <w:smallCaps w:val="false"/>
                              <w:strike w:val="false"/>
                              <w:dstrike w:val="false"/>
                              <w:color w:val="434343"/>
                              <w:position w:val="0"/>
                              <w:sz w:val="20"/>
                              <w:sz w:val="20"/>
                              <w:vertAlign w:val="baseline"/>
                            </w:rPr>
                            <w:t xml:space="preserve">e-mail: </w:t>
                          </w:r>
                          <w:r>
                            <w:rPr>
                              <w:rFonts w:eastAsia="Kanit Light" w:cs="Kanit Light" w:ascii="Kanit Light" w:hAnsi="Kanit Light"/>
                              <w:b w:val="false"/>
                              <w:i w:val="false"/>
                              <w:caps w:val="false"/>
                              <w:smallCaps w:val="false"/>
                              <w:strike w:val="false"/>
                              <w:dstrike w:val="false"/>
                              <w:color w:val="434343"/>
                              <w:position w:val="0"/>
                              <w:sz w:val="20"/>
                              <w:sz w:val="20"/>
                              <w:u w:val="single"/>
                              <w:vertAlign w:val="baseline"/>
                            </w:rPr>
                            <w:t>agendagab@secult.ce.gov.br</w:t>
                          </w:r>
                          <w:r>
                            <w:rPr>
                              <w:rFonts w:eastAsia="Kanit Light" w:cs="Kanit Light" w:ascii="Kanit Light" w:hAnsi="Kanit Light"/>
                              <w:b w:val="false"/>
                              <w:i w:val="false"/>
                              <w:caps w:val="false"/>
                              <w:smallCaps w:val="false"/>
                              <w:strike w:val="false"/>
                              <w:dstrike w:val="false"/>
                              <w:color w:val="434343"/>
                              <w:position w:val="0"/>
                              <w:sz w:val="20"/>
                              <w:sz w:val="20"/>
                              <w:vertAlign w:val="baseline"/>
                            </w:rPr>
                            <w:t xml:space="preserve"> </w:t>
                          </w:r>
                        </w:p>
                      </w:txbxContent>
                    </wps:txbx>
                    <wps:bodyPr anchor="t">
                      <a:noAutofit/>
                    </wps:bodyPr>
                  </wps:wsp>
                </a:graphicData>
              </a:graphic>
            </wp:anchor>
          </w:drawing>
        </mc:Choice>
        <mc:Fallback>
          <w:pict>
            <v:rect id="shape_0" ID="Figura2" path="m0,0l-2147483645,0l-2147483645,-2147483646l0,-2147483646xe" stroked="f" o:allowincell="f" style="position:absolute;margin-left:-8pt;margin-top:5pt;width:248.95pt;height:46.45pt;mso-wrap-style:square;v-text-anchor:top">
              <v:fill o:detectmouseclick="t" on="false"/>
              <v:stroke color="#3465a4" joinstyle="round" endcap="flat"/>
              <v:textbox>
                <w:txbxContent>
                  <w:p>
                    <w:pPr>
                      <w:pStyle w:val="Contedodoquadro"/>
                      <w:spacing w:lineRule="exact" w:line="215" w:before="0" w:after="60"/>
                      <w:ind w:left="0" w:right="0" w:hanging="0"/>
                      <w:jc w:val="left"/>
                      <w:rPr/>
                    </w:pPr>
                    <w:r>
                      <w:rPr>
                        <w:rFonts w:eastAsia="Kanit" w:cs="Kanit" w:ascii="Kanit" w:hAnsi="Kanit"/>
                        <w:b/>
                        <w:i w:val="false"/>
                        <w:caps w:val="false"/>
                        <w:smallCaps w:val="false"/>
                        <w:strike w:val="false"/>
                        <w:dstrike w:val="false"/>
                        <w:color w:val="434343"/>
                        <w:position w:val="0"/>
                        <w:sz w:val="20"/>
                        <w:sz w:val="20"/>
                        <w:vertAlign w:val="baseline"/>
                      </w:rPr>
                      <w:t xml:space="preserve">Secretaria da Cultura do Ceará </w:t>
                    </w:r>
                  </w:p>
                  <w:p>
                    <w:pPr>
                      <w:pStyle w:val="Contedodoquadro"/>
                      <w:spacing w:lineRule="exact" w:line="213" w:before="0" w:after="60"/>
                      <w:ind w:left="0" w:right="0" w:hanging="0"/>
                      <w:jc w:val="left"/>
                      <w:rPr/>
                    </w:pPr>
                    <w:r>
                      <w:rPr>
                        <w:rFonts w:eastAsia="Kanit Light" w:cs="Kanit Light" w:ascii="Kanit Light" w:hAnsi="Kanit Light"/>
                        <w:b w:val="false"/>
                        <w:i w:val="false"/>
                        <w:caps w:val="false"/>
                        <w:smallCaps w:val="false"/>
                        <w:strike w:val="false"/>
                        <w:dstrike w:val="false"/>
                        <w:color w:val="434343"/>
                        <w:position w:val="0"/>
                        <w:sz w:val="20"/>
                        <w:sz w:val="20"/>
                        <w:vertAlign w:val="baseline"/>
                      </w:rPr>
                      <w:t>Rua Major Facund, 500 – Centro  • CEP: 60.025-100</w:t>
                      <w:br/>
                      <w:t>Fortaleza / CE • Fone: (85) 31016767</w:t>
                    </w:r>
                  </w:p>
                  <w:p>
                    <w:pPr>
                      <w:pStyle w:val="Contedodoquadro"/>
                      <w:spacing w:lineRule="exact" w:line="215" w:before="0" w:after="60"/>
                      <w:ind w:left="0" w:right="0" w:hanging="0"/>
                      <w:jc w:val="left"/>
                      <w:rPr/>
                    </w:pPr>
                    <w:r>
                      <w:rPr>
                        <w:rFonts w:eastAsia="Kanit Light" w:cs="Kanit Light" w:ascii="Kanit Light" w:hAnsi="Kanit Light"/>
                        <w:b w:val="false"/>
                        <w:i w:val="false"/>
                        <w:caps w:val="false"/>
                        <w:smallCaps w:val="false"/>
                        <w:strike w:val="false"/>
                        <w:dstrike w:val="false"/>
                        <w:color w:val="434343"/>
                        <w:position w:val="0"/>
                        <w:sz w:val="20"/>
                        <w:sz w:val="20"/>
                        <w:vertAlign w:val="baseline"/>
                      </w:rPr>
                      <w:t xml:space="preserve">e-mail: </w:t>
                    </w:r>
                    <w:r>
                      <w:rPr>
                        <w:rFonts w:eastAsia="Kanit Light" w:cs="Kanit Light" w:ascii="Kanit Light" w:hAnsi="Kanit Light"/>
                        <w:b w:val="false"/>
                        <w:i w:val="false"/>
                        <w:caps w:val="false"/>
                        <w:smallCaps w:val="false"/>
                        <w:strike w:val="false"/>
                        <w:dstrike w:val="false"/>
                        <w:color w:val="434343"/>
                        <w:position w:val="0"/>
                        <w:sz w:val="20"/>
                        <w:sz w:val="20"/>
                        <w:u w:val="single"/>
                        <w:vertAlign w:val="baseline"/>
                      </w:rPr>
                      <w:t>agendagab@secult.ce.gov.br</w:t>
                    </w:r>
                    <w:r>
                      <w:rPr>
                        <w:rFonts w:eastAsia="Kanit Light" w:cs="Kanit Light" w:ascii="Kanit Light" w:hAnsi="Kanit Light"/>
                        <w:b w:val="false"/>
                        <w:i w:val="false"/>
                        <w:caps w:val="false"/>
                        <w:smallCaps w:val="false"/>
                        <w:strike w:val="false"/>
                        <w:dstrike w:val="false"/>
                        <w:color w:val="434343"/>
                        <w:position w:val="0"/>
                        <w:sz w:val="20"/>
                        <w:sz w:val="20"/>
                        <w:vertAlign w:val="baseline"/>
                      </w:rPr>
                      <w:t xml:space="preserve"> </w:t>
                    </w:r>
                  </w:p>
                </w:txbxContent>
              </v:textbox>
              <w10:wrap type="none"/>
            </v:rect>
          </w:pict>
        </mc:Fallback>
      </mc:AlternateContent>
    </w:r>
  </w:p>
  <w:p>
    <w:pPr>
      <w:pStyle w:val="LOnormal"/>
      <w:ind w:left="-1440" w:right="-1411" w:hanging="0"/>
      <w:jc w:val="center"/>
      <w:rPr/>
    </w:pPr>
    <w:r>
      <w:rPr/>
      <w:t xml:space="preserve">   </w:t>
    </w:r>
    <w:r>
      <w:rPr/>
      <w:tab/>
      <w:tab/>
      <w:tab/>
      <w:tab/>
      <w:tab/>
      <w:tab/>
      <w:tab/>
      <w:tab/>
      <w:tab/>
      <w:tab/>
      <w:tab/>
      <w:tab/>
      <w:t xml:space="preserve">       </w:t>
    </w:r>
    <w:r>
      <w:drawing>
        <wp:anchor behindDoc="1" distT="0" distB="0" distL="0" distR="0" simplePos="0" locked="0" layoutInCell="0" allowOverlap="1" relativeHeight="50">
          <wp:simplePos x="0" y="0"/>
          <wp:positionH relativeFrom="column">
            <wp:posOffset>-895350</wp:posOffset>
          </wp:positionH>
          <wp:positionV relativeFrom="paragraph">
            <wp:posOffset>205740</wp:posOffset>
          </wp:positionV>
          <wp:extent cx="7791450" cy="508635"/>
          <wp:effectExtent l="0" t="0" r="0" b="0"/>
          <wp:wrapNone/>
          <wp:docPr id="6"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descr=""/>
                  <pic:cNvPicPr>
                    <a:picLocks noChangeAspect="1" noChangeArrowheads="1"/>
                  </pic:cNvPicPr>
                </pic:nvPicPr>
                <pic:blipFill>
                  <a:blip r:embed="rId1"/>
                  <a:srcRect l="0" t="0" r="0" b="22576"/>
                  <a:stretch>
                    <a:fillRect/>
                  </a:stretch>
                </pic:blipFill>
                <pic:spPr bwMode="auto">
                  <a:xfrm>
                    <a:off x="0" y="0"/>
                    <a:ext cx="7791450" cy="508635"/>
                  </a:xfrm>
                  <a:prstGeom prst="rect">
                    <a:avLst/>
                  </a:prstGeom>
                </pic:spPr>
              </pic:pic>
            </a:graphicData>
          </a:graphic>
        </wp:anchor>
      </w:drawing>
    </w:r>
    <w:r>
      <w:rPr/>
      <w:fldChar w:fldCharType="begin"/>
    </w:r>
    <w:r>
      <w:rPr/>
      <w:instrText xml:space="preserve"> PAGE </w:instrText>
    </w:r>
    <w:r>
      <w:rPr/>
      <w:fldChar w:fldCharType="separate"/>
    </w:r>
    <w:r>
      <w:rPr/>
      <w:t>1</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tabs>
        <w:tab w:val="clear" w:pos="720"/>
        <w:tab w:val="center" w:pos="4252" w:leader="none"/>
        <w:tab w:val="right" w:pos="8504" w:leader="none"/>
      </w:tabs>
      <w:spacing w:lineRule="auto" w:line="240" w:before="57" w:after="57"/>
      <w:ind w:left="-142" w:hanging="0"/>
      <w:jc w:val="center"/>
      <w:rPr>
        <w:rFonts w:ascii="Liberation Serif" w:hAnsi="Liberation Serif" w:eastAsia="Liberation Serif" w:cs="Liberation Serif"/>
        <w:sz w:val="24"/>
        <w:szCs w:val="24"/>
      </w:rPr>
    </w:pPr>
    <w:r>
      <w:rPr/>
      <mc:AlternateContent>
        <mc:Choice Requires="wps">
          <w:drawing>
            <wp:anchor behindDoc="1" distT="1478915" distB="1478915" distL="1478280" distR="1478280" simplePos="0" locked="0" layoutInCell="0" allowOverlap="1" relativeHeight="245">
              <wp:simplePos x="0" y="0"/>
              <wp:positionH relativeFrom="margin">
                <wp:align>center</wp:align>
              </wp:positionH>
              <wp:positionV relativeFrom="margin">
                <wp:align>center</wp:align>
              </wp:positionV>
              <wp:extent cx="7138670" cy="7138670"/>
              <wp:effectExtent l="1478280" t="1478915" r="1478280" b="1478915"/>
              <wp:wrapNone/>
              <wp:docPr id="1" name="Figura1"/>
              <a:graphic xmlns:a="http://schemas.openxmlformats.org/drawingml/2006/main">
                <a:graphicData uri="http://schemas.microsoft.com/office/word/2010/wordprocessingShape">
                  <wps:wsp>
                    <wps:cNvSpPr/>
                    <wps:spPr>
                      <a:xfrm rot="18900000">
                        <a:off x="0" y="0"/>
                        <a:ext cx="7138800" cy="7138800"/>
                      </a:xfrm>
                      <a:prstGeom prst="rect">
                        <a:avLst/>
                      </a:prstGeom>
                      <a:noFill/>
                      <a:ln w="0">
                        <a:noFill/>
                      </a:ln>
                    </wps:spPr>
                    <wps:style>
                      <a:lnRef idx="0"/>
                      <a:fillRef idx="0"/>
                      <a:effectRef idx="0"/>
                      <a:fontRef idx="minor"/>
                    </wps:style>
                    <wps:txbx>
                      <w:txbxContent>
                        <w:p>
                          <w:pPr>
                            <w:pStyle w:val="Contedodoquadro"/>
                            <w:spacing w:lineRule="exact" w:line="240" w:before="0" w:after="0"/>
                            <w:ind w:left="0" w:right="0" w:hanging="0"/>
                            <w:jc w:val="center"/>
                            <w:rPr/>
                          </w:pPr>
                          <w:r>
                            <w:rPr>
                              <w:rFonts w:eastAsia="quo" w:cs="quo" w:ascii="quo" w:hAnsi="quo"/>
                              <w:b w:val="false"/>
                              <w:i w:val="false"/>
                              <w:caps w:val="false"/>
                              <w:smallCaps w:val="false"/>
                              <w:strike w:val="false"/>
                              <w:dstrike w:val="false"/>
                              <w:color w:val="FFFFFF"/>
                              <w:position w:val="0"/>
                              <w:sz w:val="144"/>
                              <w:sz w:val="144"/>
                              <w:vertAlign w:val="baseline"/>
                            </w:rPr>
                            <w:t>MINUTA</w:t>
                          </w:r>
                        </w:p>
                      </w:txbxContent>
                    </wps:txbx>
                    <wps:bodyPr tIns="91440" bIns="91440" anchor="ctr">
                      <a:noAutofit/>
                    </wps:bodyPr>
                  </wps:wsp>
                </a:graphicData>
              </a:graphic>
            </wp:anchor>
          </w:drawing>
        </mc:Choice>
        <mc:Fallback>
          <w:pict>
            <v:rect id="shape_0" ID="Figura1" path="m0,0l-2147483645,0l-2147483645,-2147483646l0,-2147483646xe" stroked="f" o:allowincell="f" style="position:absolute;margin-left:-47.1pt;margin-top:0.4pt;width:562.05pt;height:562.05pt;mso-wrap-style:square;v-text-anchor:middle;rotation:315;mso-position-horizontal:center;mso-position-horizontal-relative:margin;mso-position-vertical:center;mso-position-vertical-relative:margin">
              <v:fill o:detectmouseclick="t" on="false"/>
              <v:stroke color="#3465a4" joinstyle="round" endcap="flat"/>
              <v:textbox>
                <w:txbxContent>
                  <w:p>
                    <w:pPr>
                      <w:pStyle w:val="Contedodoquadro"/>
                      <w:spacing w:lineRule="exact" w:line="240" w:before="0" w:after="0"/>
                      <w:ind w:left="0" w:right="0" w:hanging="0"/>
                      <w:jc w:val="center"/>
                      <w:rPr/>
                    </w:pPr>
                    <w:r>
                      <w:rPr>
                        <w:rFonts w:eastAsia="quo" w:cs="quo" w:ascii="quo" w:hAnsi="quo"/>
                        <w:b w:val="false"/>
                        <w:i w:val="false"/>
                        <w:caps w:val="false"/>
                        <w:smallCaps w:val="false"/>
                        <w:strike w:val="false"/>
                        <w:dstrike w:val="false"/>
                        <w:color w:val="FFFFFF"/>
                        <w:position w:val="0"/>
                        <w:sz w:val="144"/>
                        <w:sz w:val="144"/>
                        <w:vertAlign w:val="baseline"/>
                      </w:rPr>
                      <w:t>MINUTA</w:t>
                    </w:r>
                  </w:p>
                </w:txbxContent>
              </v:textbox>
              <w10:wrap type="none"/>
            </v:rect>
          </w:pict>
        </mc:Fallback>
      </mc:AlternateContent>
      <w:drawing>
        <wp:inline distT="0" distB="0" distL="0" distR="0">
          <wp:extent cx="1574800" cy="1285875"/>
          <wp:effectExtent l="0" t="0" r="0" b="0"/>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1"/>
                  <a:stretch>
                    <a:fillRect/>
                  </a:stretch>
                </pic:blipFill>
                <pic:spPr bwMode="auto">
                  <a:xfrm>
                    <a:off x="0" y="0"/>
                    <a:ext cx="1574800" cy="1285875"/>
                  </a:xfrm>
                  <a:prstGeom prst="rect">
                    <a:avLst/>
                  </a:prstGeom>
                </pic:spPr>
              </pic:pic>
            </a:graphicData>
          </a:graphic>
        </wp:inline>
      </w:drawing>
    </w:r>
  </w:p>
  <w:p>
    <w:pPr>
      <w:pStyle w:val="LOnormal"/>
      <w:tabs>
        <w:tab w:val="clear" w:pos="720"/>
        <w:tab w:val="center" w:pos="4252" w:leader="none"/>
        <w:tab w:val="right" w:pos="8504" w:leader="none"/>
      </w:tabs>
      <w:spacing w:lineRule="auto" w:line="240" w:before="57" w:after="57"/>
      <w:ind w:left="-142" w:hanging="0"/>
      <w:jc w:val="right"/>
      <w:rPr>
        <w:rFonts w:ascii="Liberation Serif" w:hAnsi="Liberation Serif" w:eastAsia="Liberation Serif" w:cs="Liberation Serif"/>
        <w:sz w:val="24"/>
        <w:szCs w:val="24"/>
      </w:rPr>
    </w:pPr>
    <w:r>
      <w:rPr>
        <w:rFonts w:eastAsia="Liberation Serif" w:cs="Liberation Serif" w:ascii="Liberation Serif" w:hAnsi="Liberation Serif"/>
        <w:sz w:val="24"/>
        <w:szCs w:val="24"/>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u w:val="none"/>
      </w:rPr>
    </w:lvl>
    <w:lvl w:ilvl="1">
      <w:start w:val="1"/>
      <w:numFmt w:val="bullet"/>
      <w:lvlText w:val=""/>
      <w:lvlJc w:val="left"/>
      <w:pPr>
        <w:tabs>
          <w:tab w:val="num" w:pos="0"/>
        </w:tabs>
        <w:ind w:left="1440" w:hanging="360"/>
      </w:pPr>
      <w:rPr>
        <w:rFonts w:ascii="Noto Sans Symbols" w:hAnsi="Noto Sans Symbols" w:cs="Noto Sans Symbols" w:hint="default"/>
        <w:u w:val="none"/>
      </w:rPr>
    </w:lvl>
    <w:lvl w:ilvl="2">
      <w:start w:val="1"/>
      <w:numFmt w:val="bullet"/>
      <w:lvlText w:val="■"/>
      <w:lvlJc w:val="left"/>
      <w:pPr>
        <w:tabs>
          <w:tab w:val="num" w:pos="0"/>
        </w:tabs>
        <w:ind w:left="2160" w:hanging="360"/>
      </w:pPr>
      <w:rPr>
        <w:rFonts w:ascii="Noto Sans Symbols" w:hAnsi="Noto Sans Symbols" w:cs="Noto Sans Symbols" w:hint="default"/>
        <w:u w:val="none"/>
      </w:rPr>
    </w:lvl>
    <w:lvl w:ilvl="3">
      <w:start w:val="1"/>
      <w:numFmt w:val="bullet"/>
      <w:lvlText w:val="●"/>
      <w:lvlJc w:val="left"/>
      <w:pPr>
        <w:tabs>
          <w:tab w:val="num" w:pos="0"/>
        </w:tabs>
        <w:ind w:left="2880" w:hanging="360"/>
      </w:pPr>
      <w:rPr>
        <w:rFonts w:ascii="Noto Sans Symbols" w:hAnsi="Noto Sans Symbols" w:cs="Noto Sans Symbols" w:hint="default"/>
        <w:u w:val="none"/>
      </w:rPr>
    </w:lvl>
    <w:lvl w:ilvl="4">
      <w:start w:val="1"/>
      <w:numFmt w:val="bullet"/>
      <w:lvlText w:val=""/>
      <w:lvlJc w:val="left"/>
      <w:pPr>
        <w:tabs>
          <w:tab w:val="num" w:pos="0"/>
        </w:tabs>
        <w:ind w:left="3600" w:hanging="360"/>
      </w:pPr>
      <w:rPr>
        <w:rFonts w:ascii="Noto Sans Symbols" w:hAnsi="Noto Sans Symbols" w:cs="Noto Sans Symbols" w:hint="default"/>
        <w:u w:val="none"/>
      </w:rPr>
    </w:lvl>
    <w:lvl w:ilvl="5">
      <w:start w:val="1"/>
      <w:numFmt w:val="bullet"/>
      <w:lvlText w:val="■"/>
      <w:lvlJc w:val="left"/>
      <w:pPr>
        <w:tabs>
          <w:tab w:val="num" w:pos="0"/>
        </w:tabs>
        <w:ind w:left="4320" w:hanging="360"/>
      </w:pPr>
      <w:rPr>
        <w:rFonts w:ascii="Noto Sans Symbols" w:hAnsi="Noto Sans Symbols" w:cs="Noto Sans Symbols" w:hint="default"/>
        <w:u w:val="none"/>
      </w:rPr>
    </w:lvl>
    <w:lvl w:ilvl="6">
      <w:start w:val="1"/>
      <w:numFmt w:val="bullet"/>
      <w:lvlText w:val="●"/>
      <w:lvlJc w:val="left"/>
      <w:pPr>
        <w:tabs>
          <w:tab w:val="num" w:pos="0"/>
        </w:tabs>
        <w:ind w:left="5040" w:hanging="360"/>
      </w:pPr>
      <w:rPr>
        <w:rFonts w:ascii="Noto Sans Symbols" w:hAnsi="Noto Sans Symbols" w:cs="Noto Sans Symbols" w:hint="default"/>
        <w:u w:val="none"/>
      </w:rPr>
    </w:lvl>
    <w:lvl w:ilvl="7">
      <w:start w:val="1"/>
      <w:numFmt w:val="bullet"/>
      <w:lvlText w:val=""/>
      <w:lvlJc w:val="left"/>
      <w:pPr>
        <w:tabs>
          <w:tab w:val="num" w:pos="0"/>
        </w:tabs>
        <w:ind w:left="5760" w:hanging="360"/>
      </w:pPr>
      <w:rPr>
        <w:rFonts w:ascii="Noto Sans Symbols" w:hAnsi="Noto Sans Symbols" w:cs="Noto Sans Symbols" w:hint="default"/>
        <w:u w:val="none"/>
      </w:rPr>
    </w:lvl>
    <w:lvl w:ilvl="8">
      <w:start w:val="1"/>
      <w:numFmt w:val="bullet"/>
      <w:lvlText w:val="■"/>
      <w:lvlJc w:val="left"/>
      <w:pPr>
        <w:tabs>
          <w:tab w:val="num" w:pos="0"/>
        </w:tabs>
        <w:ind w:left="6480" w:hanging="360"/>
      </w:pPr>
      <w:rPr>
        <w:rFonts w:ascii="Noto Sans Symbols" w:hAnsi="Noto Sans Symbols" w:cs="Noto Sans Symbols" w:hint="default"/>
        <w:u w:val="none"/>
      </w:rPr>
    </w:lvl>
  </w:abstractNum>
  <w:abstractNum w:abstractNumId="2">
    <w:lvl w:ilvl="0">
      <w:start w:val="1"/>
      <w:numFmt w:val="bullet"/>
      <w:lvlText w:val="●"/>
      <w:lvlJc w:val="left"/>
      <w:pPr>
        <w:tabs>
          <w:tab w:val="num" w:pos="0"/>
        </w:tabs>
        <w:ind w:left="720" w:hanging="360"/>
      </w:pPr>
      <w:rPr>
        <w:rFonts w:ascii="Noto Sans Symbols" w:hAnsi="Noto Sans Symbols" w:cs="Noto Sans Symbols" w:hint="default"/>
        <w:u w:val="none"/>
      </w:rPr>
    </w:lvl>
    <w:lvl w:ilvl="1">
      <w:start w:val="1"/>
      <w:numFmt w:val="bullet"/>
      <w:lvlText w:val=""/>
      <w:lvlJc w:val="left"/>
      <w:pPr>
        <w:tabs>
          <w:tab w:val="num" w:pos="0"/>
        </w:tabs>
        <w:ind w:left="1440" w:hanging="360"/>
      </w:pPr>
      <w:rPr>
        <w:rFonts w:ascii="Noto Sans Symbols" w:hAnsi="Noto Sans Symbols" w:cs="Noto Sans Symbols" w:hint="default"/>
        <w:u w:val="none"/>
      </w:rPr>
    </w:lvl>
    <w:lvl w:ilvl="2">
      <w:start w:val="1"/>
      <w:numFmt w:val="bullet"/>
      <w:lvlText w:val="■"/>
      <w:lvlJc w:val="left"/>
      <w:pPr>
        <w:tabs>
          <w:tab w:val="num" w:pos="0"/>
        </w:tabs>
        <w:ind w:left="2160" w:hanging="360"/>
      </w:pPr>
      <w:rPr>
        <w:rFonts w:ascii="Noto Sans Symbols" w:hAnsi="Noto Sans Symbols" w:cs="Noto Sans Symbols" w:hint="default"/>
        <w:u w:val="none"/>
      </w:rPr>
    </w:lvl>
    <w:lvl w:ilvl="3">
      <w:start w:val="1"/>
      <w:numFmt w:val="bullet"/>
      <w:lvlText w:val="●"/>
      <w:lvlJc w:val="left"/>
      <w:pPr>
        <w:tabs>
          <w:tab w:val="num" w:pos="0"/>
        </w:tabs>
        <w:ind w:left="2880" w:hanging="360"/>
      </w:pPr>
      <w:rPr>
        <w:rFonts w:ascii="Noto Sans Symbols" w:hAnsi="Noto Sans Symbols" w:cs="Noto Sans Symbols" w:hint="default"/>
        <w:u w:val="none"/>
      </w:rPr>
    </w:lvl>
    <w:lvl w:ilvl="4">
      <w:start w:val="1"/>
      <w:numFmt w:val="bullet"/>
      <w:lvlText w:val=""/>
      <w:lvlJc w:val="left"/>
      <w:pPr>
        <w:tabs>
          <w:tab w:val="num" w:pos="0"/>
        </w:tabs>
        <w:ind w:left="3600" w:hanging="360"/>
      </w:pPr>
      <w:rPr>
        <w:rFonts w:ascii="Noto Sans Symbols" w:hAnsi="Noto Sans Symbols" w:cs="Noto Sans Symbols" w:hint="default"/>
        <w:u w:val="none"/>
      </w:rPr>
    </w:lvl>
    <w:lvl w:ilvl="5">
      <w:start w:val="1"/>
      <w:numFmt w:val="bullet"/>
      <w:lvlText w:val="■"/>
      <w:lvlJc w:val="left"/>
      <w:pPr>
        <w:tabs>
          <w:tab w:val="num" w:pos="0"/>
        </w:tabs>
        <w:ind w:left="4320" w:hanging="360"/>
      </w:pPr>
      <w:rPr>
        <w:rFonts w:ascii="Noto Sans Symbols" w:hAnsi="Noto Sans Symbols" w:cs="Noto Sans Symbols" w:hint="default"/>
        <w:u w:val="none"/>
      </w:rPr>
    </w:lvl>
    <w:lvl w:ilvl="6">
      <w:start w:val="1"/>
      <w:numFmt w:val="bullet"/>
      <w:lvlText w:val="●"/>
      <w:lvlJc w:val="left"/>
      <w:pPr>
        <w:tabs>
          <w:tab w:val="num" w:pos="0"/>
        </w:tabs>
        <w:ind w:left="5040" w:hanging="360"/>
      </w:pPr>
      <w:rPr>
        <w:rFonts w:ascii="Noto Sans Symbols" w:hAnsi="Noto Sans Symbols" w:cs="Noto Sans Symbols" w:hint="default"/>
        <w:u w:val="none"/>
      </w:rPr>
    </w:lvl>
    <w:lvl w:ilvl="7">
      <w:start w:val="1"/>
      <w:numFmt w:val="bullet"/>
      <w:lvlText w:val=""/>
      <w:lvlJc w:val="left"/>
      <w:pPr>
        <w:tabs>
          <w:tab w:val="num" w:pos="0"/>
        </w:tabs>
        <w:ind w:left="5760" w:hanging="360"/>
      </w:pPr>
      <w:rPr>
        <w:rFonts w:ascii="Noto Sans Symbols" w:hAnsi="Noto Sans Symbols" w:cs="Noto Sans Symbols" w:hint="default"/>
        <w:u w:val="none"/>
      </w:rPr>
    </w:lvl>
    <w:lvl w:ilvl="8">
      <w:start w:val="1"/>
      <w:numFmt w:val="bullet"/>
      <w:lvlText w:val="■"/>
      <w:lvlJc w:val="left"/>
      <w:pPr>
        <w:tabs>
          <w:tab w:val="num" w:pos="0"/>
        </w:tabs>
        <w:ind w:left="6480" w:hanging="360"/>
      </w:pPr>
      <w:rPr>
        <w:rFonts w:ascii="Noto Sans Symbols" w:hAnsi="Noto Sans Symbols" w:cs="Noto Sans Symbols" w:hint="default"/>
        <w:u w:val="none"/>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Ttulo1">
    <w:name w:val="Heading 1"/>
    <w:basedOn w:val="LOnormal"/>
    <w:next w:val="LOnormal"/>
    <w:qFormat/>
    <w:pPr>
      <w:keepNext w:val="true"/>
      <w:keepLines/>
      <w:pageBreakBefore w:val="false"/>
      <w:spacing w:lineRule="auto" w:line="240" w:before="400" w:after="120"/>
    </w:pPr>
    <w:rPr>
      <w:sz w:val="40"/>
      <w:szCs w:val="40"/>
    </w:rPr>
  </w:style>
  <w:style w:type="paragraph" w:styleId="Ttulo2">
    <w:name w:val="Heading 2"/>
    <w:basedOn w:val="LOnormal"/>
    <w:next w:val="LOnormal"/>
    <w:qFormat/>
    <w:pPr>
      <w:keepNext w:val="true"/>
      <w:keepLines/>
      <w:pageBreakBefore w:val="false"/>
      <w:spacing w:lineRule="auto" w:line="240" w:before="360" w:after="120"/>
    </w:pPr>
    <w:rPr>
      <w:b w:val="false"/>
      <w:sz w:val="32"/>
      <w:szCs w:val="32"/>
    </w:rPr>
  </w:style>
  <w:style w:type="paragraph" w:styleId="Ttulo3">
    <w:name w:val="Heading 3"/>
    <w:basedOn w:val="LOnormal"/>
    <w:next w:val="LOnormal"/>
    <w:qFormat/>
    <w:pPr>
      <w:keepNext w:val="true"/>
      <w:keepLines/>
      <w:pageBreakBefore w:val="false"/>
      <w:spacing w:lineRule="auto" w:line="240" w:before="320" w:after="80"/>
    </w:pPr>
    <w:rPr>
      <w:b w:val="false"/>
      <w:color w:val="434343"/>
      <w:sz w:val="28"/>
      <w:szCs w:val="28"/>
    </w:rPr>
  </w:style>
  <w:style w:type="paragraph" w:styleId="Ttulo4">
    <w:name w:val="Heading 4"/>
    <w:basedOn w:val="LOnormal"/>
    <w:next w:val="LOnormal"/>
    <w:qFormat/>
    <w:pPr>
      <w:keepNext w:val="true"/>
      <w:keepLines/>
      <w:pageBreakBefore w:val="false"/>
      <w:spacing w:lineRule="auto" w:line="240" w:before="280" w:after="80"/>
    </w:pPr>
    <w:rPr>
      <w:color w:val="666666"/>
      <w:sz w:val="24"/>
      <w:szCs w:val="24"/>
    </w:rPr>
  </w:style>
  <w:style w:type="paragraph" w:styleId="Ttulo5">
    <w:name w:val="Heading 5"/>
    <w:basedOn w:val="LOnormal"/>
    <w:next w:val="LOnormal"/>
    <w:qFormat/>
    <w:pPr>
      <w:keepNext w:val="true"/>
      <w:keepLines/>
      <w:pageBreakBefore w:val="false"/>
      <w:spacing w:lineRule="auto" w:line="240" w:before="240" w:after="80"/>
    </w:pPr>
    <w:rPr>
      <w:color w:val="666666"/>
      <w:sz w:val="22"/>
      <w:szCs w:val="22"/>
    </w:rPr>
  </w:style>
  <w:style w:type="paragraph" w:styleId="Ttulo6">
    <w:name w:val="Heading 6"/>
    <w:basedOn w:val="LOnormal"/>
    <w:next w:val="LOnormal"/>
    <w:qFormat/>
    <w:pPr>
      <w:keepNext w:val="true"/>
      <w:keepLines/>
      <w:pageBreakBefore w:val="false"/>
      <w:spacing w:lineRule="auto" w:line="240" w:before="240" w:after="80"/>
    </w:pPr>
    <w:rPr>
      <w:i/>
      <w:color w:val="666666"/>
      <w:sz w:val="22"/>
      <w:szCs w:val="22"/>
    </w:rPr>
  </w:style>
  <w:style w:type="character" w:styleId="LinkdaInternet">
    <w:name w:val="Hyperlink"/>
    <w:rPr>
      <w:color w:val="000080"/>
      <w:u w:val="single"/>
      <w:lang w:val="zxx" w:eastAsia="zxx" w:bidi="zxx"/>
    </w:rPr>
  </w:style>
  <w:style w:type="paragraph" w:styleId="Ttulo">
    <w:name w:val="Título"/>
    <w:basedOn w:val="LOnormal1"/>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LOnormal1"/>
    <w:pPr>
      <w:spacing w:lineRule="auto" w:line="276" w:before="0" w:after="140"/>
    </w:pPr>
    <w:rPr/>
  </w:style>
  <w:style w:type="paragraph" w:styleId="Lista">
    <w:name w:val="List"/>
    <w:basedOn w:val="Corpodotexto"/>
    <w:pPr/>
    <w:rPr>
      <w:rFonts w:cs="Arial"/>
    </w:rPr>
  </w:style>
  <w:style w:type="paragraph" w:styleId="Legenda">
    <w:name w:val="Caption"/>
    <w:basedOn w:val="LOnormal1"/>
    <w:qFormat/>
    <w:pPr>
      <w:suppressLineNumbers/>
      <w:spacing w:before="120" w:after="120"/>
    </w:pPr>
    <w:rPr>
      <w:rFonts w:cs="Arial"/>
      <w:i/>
      <w:iCs/>
      <w:sz w:val="24"/>
      <w:szCs w:val="24"/>
    </w:rPr>
  </w:style>
  <w:style w:type="paragraph" w:styleId="Ndice">
    <w:name w:val="Índice"/>
    <w:basedOn w:val="LOnormal1"/>
    <w:qFormat/>
    <w:pPr>
      <w:suppressLineNumbers/>
    </w:pPr>
    <w:rPr>
      <w:rFonts w:cs="Arial"/>
      <w:lang w:val="zxx" w:eastAsia="zxx" w:bidi="zxx"/>
    </w:rPr>
  </w:style>
  <w:style w:type="paragraph" w:styleId="LOnormal1" w:default="1">
    <w:name w:val="LO-normal1"/>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Ttulododocumento">
    <w:name w:val="Title"/>
    <w:basedOn w:val="LOnormal"/>
    <w:next w:val="LOnormal"/>
    <w:qFormat/>
    <w:pPr>
      <w:keepNext w:val="true"/>
      <w:keepLines/>
      <w:pageBreakBefore w:val="false"/>
      <w:spacing w:lineRule="auto" w:line="240" w:before="0" w:after="60"/>
    </w:pPr>
    <w:rPr>
      <w:sz w:val="52"/>
      <w:szCs w:val="52"/>
    </w:rPr>
  </w:style>
  <w:style w:type="paragraph" w:styleId="LOnormal" w:default="1">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Subttulo">
    <w:name w:val="Subtitle"/>
    <w:basedOn w:val="LOnormal1"/>
    <w:next w:val="LOnormal1"/>
    <w:qFormat/>
    <w:pPr>
      <w:keepNext w:val="true"/>
      <w:keepLines/>
      <w:pageBreakBefore w:val="false"/>
      <w:spacing w:lineRule="auto" w:line="240" w:before="0" w:after="320"/>
    </w:pPr>
    <w:rPr>
      <w:rFonts w:ascii="Arial" w:hAnsi="Arial" w:eastAsia="Arial" w:cs="Arial"/>
      <w:i w:val="false"/>
      <w:color w:val="666666"/>
      <w:sz w:val="30"/>
      <w:szCs w:val="30"/>
    </w:rPr>
  </w:style>
  <w:style w:type="paragraph" w:styleId="CabealhoeRodap">
    <w:name w:val="Cabeçalho e Rodapé"/>
    <w:basedOn w:val="LOnormal1"/>
    <w:qFormat/>
    <w:pPr/>
    <w:rPr/>
  </w:style>
  <w:style w:type="paragraph" w:styleId="Cabealho">
    <w:name w:val="Header"/>
    <w:basedOn w:val="CabealhoeRodap"/>
    <w:pPr/>
    <w:rPr/>
  </w:style>
  <w:style w:type="paragraph" w:styleId="Rodap">
    <w:name w:val="Footer"/>
    <w:basedOn w:val="CabealhoeRodap"/>
    <w:pPr/>
    <w:rPr/>
  </w:style>
  <w:style w:type="paragraph" w:styleId="Contedodoquadro">
    <w:name w:val="Conteúdo do quadro"/>
    <w:basedOn w:val="LOnormal1"/>
    <w:qFormat/>
    <w:pPr/>
    <w:rPr/>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gov.br/compras" TargetMode="External"/><Relationship Id="rId3" Type="http://schemas.openxmlformats.org/officeDocument/2006/relationships/hyperlink" Target="https://www.planalto.gov.br/ccivil_03/leis/lcp/lcp123.htm"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7" Type="http://schemas.openxmlformats.org/officeDocument/2006/relationships/hyperlink" Target="https://www.gov.br/empresas-e-negocios/pt-br/empreendedor" TargetMode="External"/><Relationship Id="rId8" Type="http://schemas.openxmlformats.org/officeDocument/2006/relationships/hyperlink" Target="https://www.planalto.gov.br/ccivil_03/constituicao/constituicaocompilado.htm" TargetMode="External"/><Relationship Id="rId9" Type="http://schemas.openxmlformats.org/officeDocument/2006/relationships/hyperlink" Target="https://www.planalto.gov.br/ccivil_03/constituicao/constituicaocompilado.htm"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ortaltransparencia.gov.br/sancoes/ceis" TargetMode="External"/><Relationship Id="rId17" Type="http://schemas.openxmlformats.org/officeDocument/2006/relationships/hyperlink" Target="https://www.portaltransparencia.gov.br/sancoes"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numbering" Target="numbering.xml"/><Relationship Id="rId29" Type="http://schemas.openxmlformats.org/officeDocument/2006/relationships/fontTable" Target="fontTable.xml"/><Relationship Id="rId30" Type="http://schemas.openxmlformats.org/officeDocument/2006/relationships/settings" Target="settings.xml"/><Relationship Id="rId31" Type="http://schemas.openxmlformats.org/officeDocument/2006/relationships/theme" Target="theme/theme1.xml"/><Relationship Id="rId32"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V7mGDXUysBbtk0NeWOu6La+jmyg==">CgMxLjAyCWlkLmdqZGd4czIKaWQuMzBqMHpsbDIKaWQuMWZvYjl0ZTIKaWQuM3pueXNoNzIKaWQuMmV0OTJwMDIJaWQudHlqY3d0MgloLjNkeTZ2a204AHIhMUYzRkVDbzNaZm1iWXNfVldWNGYzU2VaSGtIY0c5b2hN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3</TotalTime>
  <Application>LibreOffice/7.4.0.3$Windows_X86_64 LibreOffice_project/f85e47c08ddd19c015c0114a68350214f7066f5a</Application>
  <AppVersion>15.0000</AppVersion>
  <Pages>49</Pages>
  <Words>19253</Words>
  <Characters>110535</Characters>
  <CharactersWithSpaces>129207</CharactersWithSpaces>
  <Paragraphs>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2024-06-05T09:47:04Z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