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pacing w:before="57" w:after="57"/>
        <w:jc w:val="center"/>
        <w:rPr>
          <w:rFonts w:ascii="Times New Roman" w:hAnsi="Times New Roman" w:cs="Times New Roman"/>
          <w:b/>
          <w:bCs/>
          <w:color w:val="000000"/>
          <w:sz w:val="22"/>
          <w:szCs w:val="22"/>
        </w:rPr>
      </w:pPr>
      <w:r>
        <w:rPr>
          <w:rFonts w:cs="Times New Roman" w:ascii="Times New Roman" w:hAnsi="Times New Roman"/>
          <w:b/>
          <w:bCs/>
          <w:color w:val="000000"/>
          <w:sz w:val="22"/>
          <w:szCs w:val="22"/>
        </w:rPr>
      </w:r>
    </w:p>
    <w:p>
      <w:pPr>
        <w:pStyle w:val="Textbody"/>
        <w:spacing w:before="57" w:after="57"/>
        <w:jc w:val="center"/>
        <w:rPr/>
      </w:pPr>
      <w:r>
        <w:rPr>
          <w:rFonts w:cs="Times New Roman" w:ascii="Times New Roman" w:hAnsi="Times New Roman"/>
          <w:b/>
          <w:bCs/>
          <w:color w:val="000000"/>
          <w:sz w:val="22"/>
          <w:szCs w:val="22"/>
        </w:rPr>
        <w:t>TERMO DE REFERÊNCIA</w:t>
      </w:r>
    </w:p>
    <w:p>
      <w:pPr>
        <w:pStyle w:val="Textbody"/>
        <w:spacing w:before="57" w:after="57"/>
        <w:jc w:val="center"/>
        <w:rPr>
          <w:rFonts w:ascii="Times New Roman" w:hAnsi="Times New Roman" w:cs="Times New Roman"/>
          <w:sz w:val="22"/>
          <w:szCs w:val="22"/>
        </w:rPr>
      </w:pPr>
      <w:r>
        <w:rPr>
          <w:rFonts w:cs="Times New Roman" w:ascii="Times New Roman" w:hAnsi="Times New Roman"/>
          <w:b/>
          <w:bCs/>
          <w:color w:val="000000"/>
          <w:sz w:val="22"/>
          <w:szCs w:val="22"/>
        </w:rPr>
        <w:t xml:space="preserve">UNIDADE REQUISITANTE: </w:t>
      </w:r>
      <w:r>
        <w:rPr>
          <w:rFonts w:cs="Times New Roman" w:ascii="Times New Roman" w:hAnsi="Times New Roman"/>
          <w:b/>
          <w:color w:val="000000"/>
          <w:sz w:val="22"/>
          <w:szCs w:val="22"/>
        </w:rPr>
        <w:t>CASA CIVIL</w:t>
      </w:r>
    </w:p>
    <w:p>
      <w:pPr>
        <w:pStyle w:val="Textbody"/>
        <w:spacing w:before="57" w:after="57"/>
        <w:rPr>
          <w:rFonts w:ascii="Times New Roman" w:hAnsi="Times New Roman" w:cs="Times New Roman"/>
          <w:i/>
          <w:i/>
          <w:iCs/>
          <w:color w:val="00381F"/>
          <w:sz w:val="14"/>
          <w:szCs w:val="14"/>
          <w:highlight w:val="yellow"/>
        </w:rPr>
      </w:pPr>
      <w:r>
        <w:rPr>
          <w:rFonts w:cs="Times New Roman" w:ascii="Times New Roman" w:hAnsi="Times New Roman"/>
          <w:i/>
          <w:iCs/>
          <w:color w:val="00381F"/>
          <w:sz w:val="14"/>
          <w:szCs w:val="14"/>
          <w:highlight w:val="yellow"/>
        </w:rPr>
      </w:r>
    </w:p>
    <w:p>
      <w:pPr>
        <w:pStyle w:val="Textbody"/>
        <w:spacing w:before="57" w:after="57"/>
        <w:ind w:left="-142" w:right="-286"/>
        <w:jc w:val="both"/>
        <w:rPr/>
      </w:pPr>
      <w:r>
        <w:rPr>
          <w:rFonts w:cs="Times New Roman" w:ascii="Times New Roman" w:hAnsi="Times New Roman"/>
          <w:b/>
          <w:bCs/>
          <w:sz w:val="22"/>
          <w:szCs w:val="22"/>
        </w:rPr>
        <w:t>1. DO OBJETO</w:t>
      </w:r>
    </w:p>
    <w:p>
      <w:pPr>
        <w:pStyle w:val="Textbody"/>
        <w:spacing w:before="57" w:after="57"/>
        <w:ind w:left="-142" w:right="-286"/>
        <w:jc w:val="both"/>
        <w:rPr/>
      </w:pPr>
      <w:r>
        <w:rPr>
          <w:rFonts w:cs="Times New Roman" w:ascii="Times New Roman" w:hAnsi="Times New Roman"/>
          <w:color w:val="000000"/>
          <w:sz w:val="22"/>
          <w:szCs w:val="22"/>
        </w:rPr>
        <w:t>1.1.</w:t>
      </w:r>
      <w:r>
        <w:rPr>
          <w:rFonts w:cs="Times New Roman" w:ascii="Times New Roman" w:hAnsi="Times New Roman"/>
          <w:sz w:val="22"/>
          <w:szCs w:val="22"/>
        </w:rPr>
        <w:t xml:space="preserve"> S</w:t>
      </w:r>
      <w:r>
        <w:rPr>
          <w:rFonts w:cs="Times New Roman" w:ascii="Times New Roman" w:hAnsi="Times New Roman"/>
          <w:color w:val="000000"/>
          <w:sz w:val="22"/>
          <w:szCs w:val="22"/>
        </w:rPr>
        <w:t xml:space="preserve">erviços de </w:t>
      </w:r>
      <w:r>
        <w:rPr>
          <w:rFonts w:eastAsia="Times New Roman" w:cs="Times New Roman" w:ascii="Times New Roman" w:hAnsi="Times New Roman"/>
          <w:color w:val="000000"/>
          <w:sz w:val="22"/>
          <w:szCs w:val="22"/>
        </w:rPr>
        <w:t>energia elétrica</w:t>
      </w:r>
      <w:r>
        <w:rPr>
          <w:rFonts w:cs="Times New Roman" w:ascii="Times New Roman" w:hAnsi="Times New Roman"/>
          <w:color w:val="000000"/>
          <w:sz w:val="22"/>
          <w:szCs w:val="22"/>
        </w:rPr>
        <w:t xml:space="preserve">, necessária ao </w:t>
      </w:r>
      <w:r>
        <w:rPr>
          <w:rFonts w:cs="Times New Roman" w:ascii="Times New Roman" w:hAnsi="Times New Roman"/>
          <w:sz w:val="22"/>
          <w:szCs w:val="22"/>
        </w:rPr>
        <w:t xml:space="preserve">funcionamento das atividades </w:t>
      </w:r>
      <w:r>
        <w:rPr>
          <w:rFonts w:eastAsia="Times New Roman" w:cs="Times New Roman" w:ascii="Times New Roman" w:hAnsi="Times New Roman"/>
          <w:sz w:val="22"/>
          <w:szCs w:val="22"/>
        </w:rPr>
        <w:t xml:space="preserve">da Casa Civil </w:t>
      </w:r>
      <w:r>
        <w:rPr>
          <w:rFonts w:eastAsia="Times New Roman" w:cs="Times New Roman" w:ascii="Times New Roman" w:hAnsi="Times New Roman"/>
          <w:sz w:val="22"/>
          <w:szCs w:val="22"/>
          <w:shd w:fill="FFFFFF" w:val="clear"/>
        </w:rPr>
        <w:t>(Núcleo de Ação pela Paz (NAPAZ) - Unidade Vicente Pinzón)</w:t>
      </w:r>
      <w:r>
        <w:rPr>
          <w:rFonts w:eastAsia="Times New Roman" w:cs="Times New Roman" w:ascii="Times New Roman" w:hAnsi="Times New Roman"/>
          <w:sz w:val="22"/>
          <w:szCs w:val="22"/>
        </w:rPr>
        <w:t xml:space="preserve">, imóvel localizado na </w:t>
      </w:r>
      <w:r>
        <w:rPr>
          <w:rFonts w:eastAsia="Times New Roman" w:cs="Times New Roman" w:ascii="Times New Roman" w:hAnsi="Times New Roman"/>
          <w:color w:val="000000"/>
          <w:sz w:val="22"/>
          <w:szCs w:val="22"/>
        </w:rPr>
        <w:t>Rua Doutor Antônio Carneiro, 763 - Vicente Pinzón | Fortaleza/CE , Cep: 60182-120</w:t>
      </w:r>
      <w:r>
        <w:rPr>
          <w:rFonts w:eastAsia="Times New Roman" w:cs="Times New Roman" w:ascii="Times New Roman" w:hAnsi="Times New Roman"/>
          <w:sz w:val="22"/>
          <w:szCs w:val="22"/>
        </w:rPr>
        <w:t>, Fortaleza-Ceará</w:t>
      </w:r>
      <w:r>
        <w:rPr>
          <w:rFonts w:cs="Times New Roman" w:ascii="Times New Roman" w:hAnsi="Times New Roman"/>
          <w:sz w:val="22"/>
          <w:szCs w:val="22"/>
        </w:rPr>
        <w:t>, de acordo com as especificações e quantita</w:t>
      </w:r>
      <w:bookmarkStart w:id="0" w:name="_GoBack"/>
      <w:bookmarkEnd w:id="0"/>
      <w:r>
        <w:rPr>
          <w:rFonts w:cs="Times New Roman" w:ascii="Times New Roman" w:hAnsi="Times New Roman"/>
          <w:sz w:val="22"/>
          <w:szCs w:val="22"/>
        </w:rPr>
        <w:t>tivos previstos neste Termo.</w:t>
      </w:r>
    </w:p>
    <w:p>
      <w:pPr>
        <w:pStyle w:val="Textbody"/>
        <w:spacing w:before="57" w:after="57"/>
        <w:ind w:left="-142" w:right="-286"/>
        <w:jc w:val="both"/>
        <w:rPr/>
      </w:pPr>
      <w:r>
        <w:rPr>
          <w:rFonts w:cs="Times New Roman" w:ascii="Times New Roman" w:hAnsi="Times New Roman"/>
          <w:sz w:val="22"/>
          <w:szCs w:val="22"/>
        </w:rPr>
        <w:t>1.1.1. Este objeto será realizado através de INEXIGIBILIDADE DE LICITAÇÃO, baseado no Art. 74 da Lei nº 14.133/2021.</w:t>
      </w:r>
    </w:p>
    <w:p>
      <w:pPr>
        <w:pStyle w:val="Textbody"/>
        <w:spacing w:before="57" w:after="57"/>
        <w:ind w:left="-142" w:right="-286"/>
        <w:jc w:val="both"/>
        <w:rPr>
          <w:rFonts w:ascii="Times New Roman" w:hAnsi="Times New Roman" w:cs="Times New Roman"/>
        </w:rPr>
      </w:pPr>
      <w:r>
        <w:rPr>
          <w:rFonts w:cs="Times New Roman" w:ascii="Times New Roman" w:hAnsi="Times New Roman"/>
        </w:rPr>
      </w:r>
    </w:p>
    <w:p>
      <w:pPr>
        <w:pStyle w:val="Textbody"/>
        <w:spacing w:before="57" w:after="57"/>
        <w:ind w:left="-142" w:right="-286"/>
        <w:jc w:val="both"/>
        <w:rPr/>
      </w:pPr>
      <w:r>
        <w:rPr>
          <w:rFonts w:cs="Times New Roman" w:ascii="Times New Roman" w:hAnsi="Times New Roman"/>
          <w:b/>
          <w:bCs/>
          <w:sz w:val="22"/>
          <w:szCs w:val="22"/>
        </w:rPr>
        <w:t>2. DAS ESPECIFICAÇÕES E QUANTITATIVOS</w:t>
      </w:r>
    </w:p>
    <w:tbl>
      <w:tblPr>
        <w:tblW w:w="9462"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639"/>
        <w:gridCol w:w="3739"/>
        <w:gridCol w:w="682"/>
        <w:gridCol w:w="1077"/>
        <w:gridCol w:w="1021"/>
        <w:gridCol w:w="1131"/>
        <w:gridCol w:w="1172"/>
      </w:tblGrid>
      <w:tr>
        <w:trPr>
          <w:trHeight w:val="395" w:hRule="atLeast"/>
        </w:trPr>
        <w:tc>
          <w:tcPr>
            <w:tcW w:w="639" w:type="dxa"/>
            <w:tcBorders>
              <w:top w:val="single" w:sz="4" w:space="0" w:color="000000"/>
              <w:left w:val="single" w:sz="4" w:space="0" w:color="000000"/>
              <w:bottom w:val="single" w:sz="4" w:space="0" w:color="000000"/>
              <w:right w:val="single" w:sz="4" w:space="0" w:color="000000"/>
            </w:tcBorders>
            <w:shd w:color="000000" w:fill="D0CECE" w:val="clear"/>
            <w:vAlign w:val="center"/>
          </w:tcPr>
          <w:p>
            <w:pPr>
              <w:pStyle w:val="Normal"/>
              <w:widowControl w:val="false"/>
              <w:ind w:left="-57" w:right="-57"/>
              <w:jc w:val="center"/>
              <w:rPr>
                <w:rFonts w:ascii="Times New Roman" w:hAnsi="Times New Roman" w:eastAsia="Times New Roman" w:cs="Times New Roman"/>
                <w:b/>
                <w:bCs/>
                <w:sz w:val="22"/>
                <w:szCs w:val="22"/>
              </w:rPr>
            </w:pPr>
            <w:r>
              <w:rPr>
                <w:rFonts w:eastAsia="Times New Roman" w:cs="Times New Roman" w:ascii="Times New Roman" w:hAnsi="Times New Roman"/>
                <w:b/>
                <w:bCs/>
                <w:sz w:val="21"/>
                <w:szCs w:val="21"/>
              </w:rPr>
              <w:t>ITEM</w:t>
            </w:r>
          </w:p>
        </w:tc>
        <w:tc>
          <w:tcPr>
            <w:tcW w:w="3739" w:type="dxa"/>
            <w:tcBorders>
              <w:top w:val="single" w:sz="4" w:space="0" w:color="000000"/>
              <w:bottom w:val="single" w:sz="4" w:space="0" w:color="000000"/>
              <w:right w:val="single" w:sz="4" w:space="0" w:color="000000"/>
            </w:tcBorders>
            <w:shd w:color="000000" w:fill="D0CECE" w:val="clear"/>
            <w:vAlign w:val="center"/>
          </w:tcPr>
          <w:p>
            <w:pPr>
              <w:pStyle w:val="Normal"/>
              <w:widowControl w:val="false"/>
              <w:jc w:val="center"/>
              <w:rPr>
                <w:rFonts w:ascii="Times New Roman" w:hAnsi="Times New Roman" w:eastAsia="Times New Roman" w:cs="Times New Roman"/>
                <w:b/>
                <w:bCs/>
                <w:sz w:val="22"/>
                <w:szCs w:val="22"/>
              </w:rPr>
            </w:pPr>
            <w:r>
              <w:rPr>
                <w:rFonts w:eastAsia="Times New Roman" w:cs="Times New Roman" w:ascii="Times New Roman" w:hAnsi="Times New Roman"/>
                <w:b/>
                <w:bCs/>
                <w:sz w:val="21"/>
                <w:szCs w:val="21"/>
              </w:rPr>
              <w:t>ESPECIFICAÇÃO</w:t>
            </w:r>
          </w:p>
        </w:tc>
        <w:tc>
          <w:tcPr>
            <w:tcW w:w="682" w:type="dxa"/>
            <w:tcBorders>
              <w:top w:val="single" w:sz="4" w:space="0" w:color="000000"/>
              <w:bottom w:val="single" w:sz="4" w:space="0" w:color="000000"/>
              <w:right w:val="single" w:sz="4" w:space="0" w:color="000000"/>
            </w:tcBorders>
            <w:shd w:color="000000" w:fill="D0CECE" w:val="clear"/>
            <w:vAlign w:val="center"/>
          </w:tcPr>
          <w:p>
            <w:pPr>
              <w:pStyle w:val="Normal"/>
              <w:widowControl w:val="false"/>
              <w:jc w:val="center"/>
              <w:rPr>
                <w:rFonts w:ascii="Times New Roman" w:hAnsi="Times New Roman" w:eastAsia="Times New Roman" w:cs="Times New Roman"/>
                <w:b/>
                <w:bCs/>
                <w:sz w:val="22"/>
                <w:szCs w:val="22"/>
              </w:rPr>
            </w:pPr>
            <w:r>
              <w:rPr>
                <w:rFonts w:eastAsia="Times New Roman" w:cs="Times New Roman" w:ascii="Times New Roman" w:hAnsi="Times New Roman"/>
                <w:b/>
                <w:bCs/>
                <w:sz w:val="21"/>
                <w:szCs w:val="21"/>
              </w:rPr>
              <w:t>UNID</w:t>
            </w:r>
          </w:p>
        </w:tc>
        <w:tc>
          <w:tcPr>
            <w:tcW w:w="1077" w:type="dxa"/>
            <w:tcBorders>
              <w:top w:val="single" w:sz="4" w:space="0" w:color="000000"/>
              <w:bottom w:val="single" w:sz="4" w:space="0" w:color="000000"/>
              <w:right w:val="single" w:sz="4" w:space="0" w:color="000000"/>
            </w:tcBorders>
            <w:shd w:color="000000" w:fill="D0CECE" w:val="clear"/>
            <w:vAlign w:val="center"/>
          </w:tcPr>
          <w:p>
            <w:pPr>
              <w:pStyle w:val="Normal"/>
              <w:widowControl w:val="false"/>
              <w:jc w:val="center"/>
              <w:rPr>
                <w:rFonts w:ascii="Times New Roman" w:hAnsi="Times New Roman" w:eastAsia="Times New Roman" w:cs="Times New Roman"/>
                <w:b/>
                <w:bCs/>
                <w:sz w:val="22"/>
                <w:szCs w:val="22"/>
              </w:rPr>
            </w:pPr>
            <w:r>
              <w:rPr>
                <w:rFonts w:eastAsia="Times New Roman" w:cs="Times New Roman" w:ascii="Times New Roman" w:hAnsi="Times New Roman"/>
                <w:b/>
                <w:bCs/>
                <w:sz w:val="21"/>
                <w:szCs w:val="21"/>
              </w:rPr>
              <w:t>VALOR MENSAL</w:t>
            </w:r>
          </w:p>
        </w:tc>
        <w:tc>
          <w:tcPr>
            <w:tcW w:w="1021" w:type="dxa"/>
            <w:tcBorders>
              <w:top w:val="single" w:sz="4" w:space="0" w:color="000000"/>
              <w:left w:val="single" w:sz="4" w:space="0" w:color="000000"/>
              <w:bottom w:val="single" w:sz="4" w:space="0" w:color="000000"/>
            </w:tcBorders>
            <w:shd w:color="000000" w:fill="D0CECE" w:val="clear"/>
            <w:vAlign w:val="center"/>
          </w:tcPr>
          <w:p>
            <w:pPr>
              <w:pStyle w:val="Normal"/>
              <w:widowControl w:val="false"/>
              <w:jc w:val="center"/>
              <w:rPr>
                <w:rFonts w:ascii="Times New Roman" w:hAnsi="Times New Roman" w:eastAsia="Times New Roman" w:cs="Times New Roman"/>
                <w:b/>
                <w:bCs/>
                <w:sz w:val="22"/>
                <w:szCs w:val="22"/>
              </w:rPr>
            </w:pPr>
            <w:r>
              <w:rPr>
                <w:rFonts w:eastAsia="Times New Roman" w:cs="Times New Roman" w:ascii="Times New Roman" w:hAnsi="Times New Roman"/>
                <w:b/>
                <w:bCs/>
                <w:sz w:val="21"/>
                <w:szCs w:val="21"/>
              </w:rPr>
              <w:t>VALOR ANUAL</w:t>
            </w:r>
          </w:p>
        </w:tc>
        <w:tc>
          <w:tcPr>
            <w:tcW w:w="1131" w:type="dxa"/>
            <w:tcBorders>
              <w:top w:val="single" w:sz="4" w:space="0" w:color="000000"/>
              <w:left w:val="single" w:sz="4" w:space="0" w:color="000000"/>
              <w:bottom w:val="single" w:sz="4" w:space="0" w:color="000000"/>
            </w:tcBorders>
            <w:shd w:color="000000" w:fill="D0CECE" w:val="clear"/>
            <w:vAlign w:val="center"/>
          </w:tcPr>
          <w:p>
            <w:pPr>
              <w:pStyle w:val="Normal"/>
              <w:widowControl w:val="false"/>
              <w:jc w:val="center"/>
              <w:rPr/>
            </w:pPr>
            <w:r>
              <w:rPr>
                <w:rFonts w:eastAsia="Times New Roman" w:cs="Times New Roman" w:ascii="Times New Roman" w:hAnsi="Times New Roman"/>
                <w:b/>
                <w:bCs/>
                <w:sz w:val="21"/>
                <w:szCs w:val="21"/>
              </w:rPr>
              <w:t>VALOR</w:t>
              <w:br/>
              <w:t>5 ANOS</w:t>
            </w:r>
          </w:p>
        </w:tc>
        <w:tc>
          <w:tcPr>
            <w:tcW w:w="1172" w:type="dxa"/>
            <w:tcBorders>
              <w:top w:val="single" w:sz="4" w:space="0" w:color="000000"/>
              <w:left w:val="single" w:sz="4" w:space="0" w:color="000000"/>
              <w:bottom w:val="single" w:sz="4" w:space="0" w:color="000000"/>
              <w:right w:val="single" w:sz="4" w:space="0" w:color="000000"/>
            </w:tcBorders>
            <w:shd w:color="000000" w:fill="D0CECE" w:val="clear"/>
            <w:vAlign w:val="center"/>
          </w:tcPr>
          <w:p>
            <w:pPr>
              <w:pStyle w:val="Normal"/>
              <w:widowControl w:val="false"/>
              <w:jc w:val="center"/>
              <w:rPr/>
            </w:pPr>
            <w:r>
              <w:rPr>
                <w:rFonts w:eastAsia="Times New Roman" w:cs="Times New Roman" w:ascii="Times New Roman" w:hAnsi="Times New Roman"/>
                <w:b/>
                <w:bCs/>
                <w:sz w:val="21"/>
                <w:szCs w:val="21"/>
              </w:rPr>
              <w:t>VALOR</w:t>
              <w:br/>
              <w:t>10 ANOS</w:t>
            </w:r>
          </w:p>
        </w:tc>
      </w:tr>
      <w:tr>
        <w:trPr>
          <w:trHeight w:val="756" w:hRule="atLeast"/>
        </w:trPr>
        <w:tc>
          <w:tcPr>
            <w:tcW w:w="63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1"/>
                <w:szCs w:val="21"/>
              </w:rPr>
              <w:t>1</w:t>
            </w:r>
          </w:p>
        </w:tc>
        <w:tc>
          <w:tcPr>
            <w:tcW w:w="3739" w:type="dxa"/>
            <w:tcBorders>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1"/>
                <w:szCs w:val="21"/>
              </w:rPr>
              <w:t>SERVIÇO DE FORNECIMENTO DE ENERGIA - SERVIÇO DE FORNECIMENTO DE ENERGIA ELÉTRICA</w:t>
            </w:r>
          </w:p>
        </w:tc>
        <w:tc>
          <w:tcPr>
            <w:tcW w:w="682" w:type="dxa"/>
            <w:tcBorders>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1"/>
                <w:szCs w:val="21"/>
              </w:rPr>
              <w:t>MÊS</w:t>
            </w:r>
          </w:p>
        </w:tc>
        <w:tc>
          <w:tcPr>
            <w:tcW w:w="1077" w:type="dxa"/>
            <w:tcBorders>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1"/>
                <w:szCs w:val="21"/>
              </w:rPr>
              <w:t>R$ 2.400,00</w:t>
            </w:r>
          </w:p>
        </w:tc>
        <w:tc>
          <w:tcPr>
            <w:tcW w:w="1021"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1"/>
                <w:szCs w:val="21"/>
              </w:rPr>
              <w:t xml:space="preserve"> </w:t>
            </w:r>
            <w:r>
              <w:rPr>
                <w:rFonts w:eastAsia="Times New Roman" w:cs="Times New Roman" w:ascii="Times New Roman" w:hAnsi="Times New Roman"/>
                <w:sz w:val="21"/>
                <w:szCs w:val="21"/>
              </w:rPr>
              <w:t>R$ 28.800,00</w:t>
            </w:r>
          </w:p>
        </w:tc>
        <w:tc>
          <w:tcPr>
            <w:tcW w:w="1131"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1"/>
                <w:szCs w:val="21"/>
              </w:rPr>
              <w:t>R$</w:t>
            </w:r>
          </w:p>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144.000,00</w:t>
            </w:r>
          </w:p>
        </w:tc>
        <w:tc>
          <w:tcPr>
            <w:tcW w:w="1172"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1"/>
                <w:szCs w:val="21"/>
              </w:rPr>
              <w:t>R$</w:t>
            </w:r>
          </w:p>
          <w:p>
            <w:pPr>
              <w:pStyle w:val="Normal"/>
              <w:widowControl w:val="false"/>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288.000,00</w:t>
            </w:r>
          </w:p>
        </w:tc>
      </w:tr>
    </w:tbl>
    <w:p>
      <w:pPr>
        <w:pStyle w:val="Textbody"/>
        <w:spacing w:before="57" w:after="57"/>
        <w:ind w:right="-286"/>
        <w:jc w:val="both"/>
        <w:rPr>
          <w:rFonts w:ascii="Times New Roman" w:hAnsi="Times New Roman"/>
          <w:vanish/>
          <w:sz w:val="22"/>
          <w:szCs w:val="22"/>
        </w:rPr>
      </w:pPr>
      <w:r>
        <w:rPr>
          <w:rFonts w:ascii="Times New Roman" w:hAnsi="Times New Roman"/>
          <w:vanish/>
          <w:sz w:val="22"/>
          <w:szCs w:val="22"/>
        </w:rPr>
      </w:r>
    </w:p>
    <w:p>
      <w:pPr>
        <w:pStyle w:val="Standard"/>
        <w:tabs>
          <w:tab w:val="clear" w:pos="720"/>
          <w:tab w:val="left" w:pos="374" w:leader="none"/>
        </w:tabs>
        <w:snapToGrid w:val="false"/>
        <w:spacing w:before="57" w:after="57"/>
        <w:ind w:left="-142" w:right="-286"/>
        <w:jc w:val="both"/>
        <w:rPr/>
      </w:pPr>
      <w:r>
        <w:rPr>
          <w:rFonts w:cs="Times New Roman" w:ascii="Times New Roman" w:hAnsi="Times New Roman"/>
          <w:sz w:val="22"/>
          <w:szCs w:val="22"/>
          <w:lang w:val="pt-PT"/>
        </w:rPr>
        <w:t>2.1. Havendo divergências entre as especificações deste Termo e as do sistema,  prevalecerão as deste Termo.</w:t>
      </w:r>
    </w:p>
    <w:p>
      <w:pPr>
        <w:pStyle w:val="Standard"/>
        <w:tabs>
          <w:tab w:val="clear" w:pos="720"/>
          <w:tab w:val="left" w:pos="374" w:leader="none"/>
        </w:tabs>
        <w:snapToGrid w:val="false"/>
        <w:spacing w:before="57" w:after="57"/>
        <w:ind w:left="-142" w:right="-286"/>
        <w:jc w:val="both"/>
        <w:rPr>
          <w:rFonts w:ascii="Times New Roman" w:hAnsi="Times New Roman" w:eastAsia="Arial" w:cs="Times New Roman"/>
          <w:lang w:val="pt-PT"/>
        </w:rPr>
      </w:pPr>
      <w:r>
        <w:rPr>
          <w:rFonts w:eastAsia="Arial" w:cs="Times New Roman" w:ascii="Times New Roman" w:hAnsi="Times New Roman"/>
          <w:lang w:val="pt-PT"/>
        </w:rPr>
      </w:r>
    </w:p>
    <w:p>
      <w:pPr>
        <w:pStyle w:val="Standard"/>
        <w:spacing w:before="57" w:after="57"/>
        <w:ind w:left="-142" w:right="-286"/>
        <w:jc w:val="both"/>
        <w:rPr/>
      </w:pPr>
      <w:r>
        <w:rPr>
          <w:rFonts w:cs="Times New Roman" w:ascii="Times New Roman" w:hAnsi="Times New Roman"/>
          <w:b/>
          <w:bCs/>
          <w:sz w:val="22"/>
          <w:szCs w:val="22"/>
          <w:lang w:val="pt-PT"/>
        </w:rPr>
        <w:t xml:space="preserve">3. </w:t>
      </w:r>
      <w:r>
        <w:rPr>
          <w:rFonts w:cs="Times New Roman" w:ascii="Times New Roman" w:hAnsi="Times New Roman"/>
          <w:b/>
          <w:bCs/>
          <w:sz w:val="22"/>
          <w:szCs w:val="22"/>
        </w:rPr>
        <w:t>DO PRAZO DE VIGÊNCIA E PRORROGAÇÃO</w:t>
      </w:r>
    </w:p>
    <w:p>
      <w:pPr>
        <w:pStyle w:val="Standard"/>
        <w:tabs>
          <w:tab w:val="clear" w:pos="720"/>
          <w:tab w:val="left" w:pos="-2170" w:leader="none"/>
          <w:tab w:val="left" w:pos="1091" w:leader="none"/>
        </w:tabs>
        <w:spacing w:before="57" w:after="57"/>
        <w:ind w:left="-142" w:right="-286"/>
        <w:jc w:val="both"/>
        <w:rPr/>
      </w:pPr>
      <w:r>
        <w:rPr>
          <w:rFonts w:cs="Times New Roman" w:ascii="Times New Roman" w:hAnsi="Times New Roman"/>
          <w:color w:val="000000"/>
          <w:sz w:val="22"/>
          <w:szCs w:val="22"/>
          <w:lang w:val="pt-PT"/>
        </w:rPr>
        <w:t xml:space="preserve">1.3.1. O prazo de vigência do contrato é de 12 (doze) meses, contado da data de assinatura, prorrogável por até 10 (dez) anos, na forma do artigo 106 e </w:t>
      </w:r>
      <w:r>
        <w:rPr>
          <w:rFonts w:cs="Times New Roman" w:ascii="Times New Roman" w:hAnsi="Times New Roman"/>
          <w:sz w:val="22"/>
          <w:szCs w:val="22"/>
          <w:lang w:val="pt-PT"/>
        </w:rPr>
        <w:t>107 c/c o art. 94 tudo da Lei n° 14.133/2021.</w:t>
      </w:r>
    </w:p>
    <w:p>
      <w:pPr>
        <w:pStyle w:val="Textbody"/>
        <w:tabs>
          <w:tab w:val="clear" w:pos="720"/>
          <w:tab w:val="left" w:pos="-2184" w:leader="none"/>
          <w:tab w:val="left" w:pos="1077" w:leader="none"/>
        </w:tabs>
        <w:spacing w:before="57" w:after="57"/>
        <w:ind w:left="-142" w:right="-286"/>
        <w:jc w:val="both"/>
        <w:rPr>
          <w:rFonts w:ascii="Times New Roman" w:hAnsi="Times New Roman" w:cs="Times New Roman"/>
          <w:sz w:val="22"/>
          <w:szCs w:val="22"/>
          <w:lang w:val="pt-PT"/>
        </w:rPr>
      </w:pPr>
      <w:r>
        <w:rPr>
          <w:rFonts w:cs="Times New Roman" w:ascii="Times New Roman" w:hAnsi="Times New Roman"/>
          <w:sz w:val="22"/>
          <w:szCs w:val="22"/>
          <w:lang w:val="pt-PT"/>
        </w:rPr>
        <w:t>1.3.2. A prorrogação de que trata este item é condicionada ao ateste, pela autoridade competente, de que as condições e os preços permanecem vantajosos para a Administração, permitida a negociação com o contratado.</w:t>
      </w:r>
    </w:p>
    <w:p>
      <w:pPr>
        <w:pStyle w:val="Standard"/>
        <w:tabs>
          <w:tab w:val="clear" w:pos="720"/>
          <w:tab w:val="left" w:pos="-2170" w:leader="none"/>
          <w:tab w:val="left" w:pos="1091" w:leader="none"/>
        </w:tabs>
        <w:spacing w:before="57" w:after="57"/>
        <w:ind w:left="-142" w:right="-286"/>
        <w:jc w:val="both"/>
        <w:rPr/>
      </w:pPr>
      <w:r>
        <w:rPr>
          <w:rFonts w:cs="Times New Roman" w:ascii="Times New Roman" w:hAnsi="Times New Roman"/>
          <w:sz w:val="22"/>
          <w:szCs w:val="22"/>
          <w:lang w:val="pt-PT"/>
        </w:rPr>
        <w:t xml:space="preserve">1.3.3. O serviço é enquadrado como continuado tendo em vista que é prestado de forma rotineira e é considerado essencial para o funcionamento das atividades realizadas na CASA CIVIL e seus Anexos, sendo a vigência plurianual mais vantajosa considerando a necessidade dos </w:t>
      </w:r>
      <w:r>
        <w:rPr>
          <w:rFonts w:cs="Times New Roman" w:ascii="Times New Roman" w:hAnsi="Times New Roman"/>
          <w:color w:val="000000"/>
          <w:sz w:val="22"/>
          <w:szCs w:val="22"/>
          <w:lang w:val="pt-PT"/>
        </w:rPr>
        <w:t>serviços.</w:t>
      </w:r>
    </w:p>
    <w:p>
      <w:pPr>
        <w:pStyle w:val="Standard"/>
        <w:tabs>
          <w:tab w:val="clear" w:pos="720"/>
          <w:tab w:val="left" w:pos="-2170" w:leader="none"/>
          <w:tab w:val="left" w:pos="1091" w:leader="none"/>
        </w:tabs>
        <w:ind w:left="-142" w:right="-286"/>
        <w:jc w:val="both"/>
        <w:rPr>
          <w:rFonts w:ascii="Times New Roman" w:hAnsi="Times New Roman" w:cs="Times New Roman"/>
          <w:sz w:val="12"/>
          <w:szCs w:val="12"/>
        </w:rPr>
      </w:pPr>
      <w:r>
        <w:rPr>
          <w:rFonts w:cs="Times New Roman" w:ascii="Times New Roman" w:hAnsi="Times New Roman"/>
          <w:sz w:val="12"/>
          <w:szCs w:val="12"/>
        </w:rPr>
      </w:r>
    </w:p>
    <w:p>
      <w:pPr>
        <w:pStyle w:val="Textbody"/>
        <w:widowControl w:val="false"/>
        <w:tabs>
          <w:tab w:val="clear" w:pos="720"/>
          <w:tab w:val="left" w:pos="505" w:leader="none"/>
        </w:tabs>
        <w:spacing w:before="57" w:after="57"/>
        <w:ind w:left="-142" w:right="-286"/>
        <w:jc w:val="both"/>
        <w:rPr/>
      </w:pPr>
      <w:r>
        <w:rPr>
          <w:rFonts w:cs="Times New Roman" w:ascii="Times New Roman" w:hAnsi="Times New Roman"/>
          <w:b/>
          <w:bCs/>
          <w:sz w:val="22"/>
          <w:szCs w:val="22"/>
          <w:lang w:val="pt-PT"/>
        </w:rPr>
        <w:t>4. DA DESCRIÇÃO DA NECESSIDADE DA CONTRATAÇÃO</w:t>
      </w:r>
    </w:p>
    <w:p>
      <w:pPr>
        <w:pStyle w:val="Textbody"/>
        <w:widowControl w:val="false"/>
        <w:tabs>
          <w:tab w:val="clear" w:pos="720"/>
          <w:tab w:val="left" w:pos="505" w:leader="none"/>
        </w:tabs>
        <w:spacing w:before="57" w:after="57"/>
        <w:ind w:left="-142" w:right="-286"/>
        <w:jc w:val="both"/>
        <w:rPr/>
      </w:pPr>
      <w:r>
        <w:rPr>
          <w:rFonts w:cs="Times New Roman" w:ascii="Times New Roman" w:hAnsi="Times New Roman"/>
          <w:sz w:val="22"/>
          <w:szCs w:val="22"/>
          <w:lang w:val="pt-PT"/>
        </w:rPr>
        <w:t>4.1. A descrição da contratação e de seus quantitativos encontram-se pormenorizados em tópico específico do Estudo Técnico Preliminar (ETP), documento constitutivo da primeira etapa do planejamento da Administração, anexado a este Termo.</w:t>
      </w:r>
    </w:p>
    <w:p>
      <w:pPr>
        <w:pStyle w:val="Textbody"/>
        <w:spacing w:before="0" w:after="0"/>
        <w:ind w:left="-142" w:right="-286"/>
        <w:jc w:val="both"/>
        <w:rPr/>
      </w:pPr>
      <w:r>
        <w:rPr>
          <w:rFonts w:cs="Times New Roman" w:ascii="Times New Roman" w:hAnsi="Times New Roman"/>
          <w:color w:val="000000"/>
          <w:sz w:val="22"/>
          <w:szCs w:val="22"/>
          <w:lang w:val="pt-PT"/>
        </w:rPr>
        <w:t>4.2. O objeto da contratação está previsto no</w:t>
      </w:r>
      <w:r>
        <w:rPr>
          <w:rFonts w:eastAsia="Montserrat" w:cs="Times New Roman" w:ascii="Times New Roman" w:hAnsi="Times New Roman"/>
          <w:color w:val="000000"/>
          <w:sz w:val="22"/>
          <w:szCs w:val="22"/>
          <w:lang w:val="pt-PT"/>
        </w:rPr>
        <w:t xml:space="preserve"> Plano de Contratações Anual e com as diretrizes de logística sustentável, além de outros instrumentos de planejamento da Administração, definidos em regulamento do Poder Executivo Estadual, conforme art. 6º do Decreto Estadual nº 35.283/2023.</w:t>
      </w:r>
    </w:p>
    <w:p>
      <w:pPr>
        <w:pStyle w:val="Textbody"/>
        <w:spacing w:before="0" w:after="0"/>
        <w:ind w:right="-286"/>
        <w:jc w:val="both"/>
        <w:rPr>
          <w:rFonts w:ascii="Times New Roman" w:hAnsi="Times New Roman" w:cs="Times New Roman"/>
          <w:b/>
          <w:sz w:val="14"/>
          <w:szCs w:val="14"/>
        </w:rPr>
      </w:pPr>
      <w:r>
        <w:rPr>
          <w:rFonts w:cs="Times New Roman" w:ascii="Times New Roman" w:hAnsi="Times New Roman"/>
          <w:b/>
          <w:sz w:val="14"/>
          <w:szCs w:val="14"/>
        </w:rPr>
      </w:r>
    </w:p>
    <w:p>
      <w:pPr>
        <w:pStyle w:val="Textbody"/>
        <w:widowControl w:val="false"/>
        <w:tabs>
          <w:tab w:val="clear" w:pos="720"/>
          <w:tab w:val="left" w:pos="505" w:leader="none"/>
        </w:tabs>
        <w:spacing w:before="57" w:after="57"/>
        <w:ind w:left="-142" w:right="-286"/>
        <w:jc w:val="both"/>
        <w:rPr/>
      </w:pPr>
      <w:r>
        <w:rPr>
          <w:rFonts w:cs="Times New Roman" w:ascii="Times New Roman" w:hAnsi="Times New Roman"/>
          <w:b/>
          <w:bCs/>
          <w:sz w:val="22"/>
          <w:szCs w:val="22"/>
          <w:lang w:val="pt-PT"/>
        </w:rPr>
        <w:t>5. DESCRIÇÃO DA SOLUÇÃO COMO UM TODO CONSIDERADO AS EXIGÊNCIAS RELACIONADAS AO SERVIÇO</w:t>
      </w:r>
    </w:p>
    <w:p>
      <w:pPr>
        <w:pStyle w:val="Textbody"/>
        <w:spacing w:before="0" w:after="0"/>
        <w:ind w:left="-142" w:right="-286"/>
        <w:jc w:val="both"/>
        <w:rPr/>
      </w:pPr>
      <w:r>
        <w:rPr>
          <w:rFonts w:eastAsia="Arial" w:cs="Times New Roman" w:ascii="Times New Roman" w:hAnsi="Times New Roman"/>
          <w:sz w:val="22"/>
          <w:szCs w:val="22"/>
          <w:lang w:val="pt-PT"/>
        </w:rPr>
        <w:t>5.1. A descrição da solução como um todo encontra-se pormenorizada em tópico específico do Estudo Técnico Preliminar (ETP).</w:t>
      </w:r>
    </w:p>
    <w:p>
      <w:pPr>
        <w:pStyle w:val="Textbody"/>
        <w:spacing w:before="0" w:after="0"/>
        <w:ind w:left="-142" w:right="-286"/>
        <w:jc w:val="both"/>
        <w:rPr>
          <w:rFonts w:ascii="Times New Roman" w:hAnsi="Times New Roman" w:eastAsia="Arial" w:cs="Times New Roman"/>
          <w:b/>
          <w:color w:val="C9211E"/>
          <w:lang w:val="pt-PT"/>
        </w:rPr>
      </w:pPr>
      <w:r>
        <w:rPr>
          <w:rFonts w:eastAsia="Arial" w:cs="Times New Roman" w:ascii="Times New Roman" w:hAnsi="Times New Roman"/>
          <w:b/>
          <w:color w:val="C9211E"/>
          <w:lang w:val="pt-PT"/>
        </w:rPr>
      </w:r>
    </w:p>
    <w:p>
      <w:pPr>
        <w:pStyle w:val="Textbody"/>
        <w:spacing w:before="0" w:after="0"/>
        <w:ind w:left="-142" w:right="-286"/>
        <w:jc w:val="both"/>
        <w:rPr/>
      </w:pPr>
      <w:r>
        <w:rPr>
          <w:rFonts w:eastAsia="Arial" w:cs="Times New Roman" w:ascii="Times New Roman" w:hAnsi="Times New Roman"/>
          <w:b/>
          <w:sz w:val="22"/>
          <w:szCs w:val="22"/>
          <w:lang w:val="pt-PT"/>
        </w:rPr>
        <w:t xml:space="preserve">6. DA EXECUÇÃO </w:t>
      </w:r>
      <w:r>
        <w:rPr>
          <w:rFonts w:eastAsia="Arial" w:cs="Times New Roman" w:ascii="Times New Roman" w:hAnsi="Times New Roman"/>
          <w:b/>
          <w:color w:val="000000"/>
          <w:sz w:val="22"/>
          <w:szCs w:val="22"/>
          <w:lang w:val="pt-PT"/>
        </w:rPr>
        <w:t>DO OBJETO</w:t>
      </w:r>
    </w:p>
    <w:p>
      <w:pPr>
        <w:pStyle w:val="Standard"/>
        <w:ind w:left="-142" w:right="-286"/>
        <w:jc w:val="both"/>
        <w:rPr/>
      </w:pPr>
      <w:r>
        <w:rPr>
          <w:rFonts w:eastAsia="Arial" w:cs="Times New Roman" w:ascii="Times New Roman" w:hAnsi="Times New Roman"/>
          <w:color w:val="000000"/>
          <w:sz w:val="22"/>
          <w:szCs w:val="22"/>
          <w:lang w:val="pt-PT"/>
        </w:rPr>
        <w:t>6.1. O prazo de execução do objeto contratual é de 12 (doze) meses, contado a partir do recebimento da primeira ordem de serviço ou instrumento equivalente.</w:t>
      </w:r>
    </w:p>
    <w:p>
      <w:pPr>
        <w:pStyle w:val="Textbody"/>
        <w:spacing w:before="0" w:after="0"/>
        <w:ind w:left="-142" w:right="-286"/>
        <w:jc w:val="both"/>
        <w:rPr/>
      </w:pPr>
      <w:r>
        <w:rPr>
          <w:rFonts w:eastAsia="Arial" w:cs="Times New Roman" w:ascii="Times New Roman" w:hAnsi="Times New Roman"/>
          <w:color w:val="000000"/>
          <w:sz w:val="22"/>
          <w:szCs w:val="22"/>
          <w:lang w:val="pt-PT"/>
        </w:rPr>
        <w:t>6.1.1. O prazo de execução poderá ser prorrogado, nos termos da Lei n° 14.133/2021</w:t>
      </w:r>
    </w:p>
    <w:p>
      <w:pPr>
        <w:pStyle w:val="Standard"/>
        <w:tabs>
          <w:tab w:val="clear" w:pos="720"/>
          <w:tab w:val="center" w:pos="-1260" w:leader="none"/>
        </w:tabs>
        <w:ind w:left="-142" w:right="-286"/>
        <w:jc w:val="both"/>
        <w:rPr/>
      </w:pPr>
      <w:r>
        <w:rPr>
          <w:rFonts w:eastAsia="Arial" w:cs="Times New Roman" w:ascii="Times New Roman" w:hAnsi="Times New Roman"/>
          <w:color w:val="000000"/>
          <w:sz w:val="22"/>
          <w:szCs w:val="22"/>
          <w:lang w:val="pt-PT"/>
        </w:rPr>
        <w:t>6.2. Condições de execução:</w:t>
      </w:r>
    </w:p>
    <w:p>
      <w:pPr>
        <w:pStyle w:val="Standard"/>
        <w:tabs>
          <w:tab w:val="clear" w:pos="720"/>
          <w:tab w:val="center" w:pos="-1260" w:leader="none"/>
        </w:tabs>
        <w:ind w:left="-142" w:right="-286"/>
        <w:jc w:val="both"/>
        <w:rPr/>
      </w:pPr>
      <w:r>
        <w:rPr>
          <w:rFonts w:eastAsia="Arial" w:cs="Times New Roman" w:ascii="Times New Roman" w:hAnsi="Times New Roman"/>
          <w:color w:val="000000"/>
          <w:sz w:val="22"/>
          <w:szCs w:val="22"/>
          <w:lang w:val="pt-PT"/>
        </w:rPr>
        <w:t xml:space="preserve">6.2.1. A execução do objeto seguirá a seguinte dinâmica, </w:t>
      </w:r>
      <w:r>
        <w:rPr>
          <w:rFonts w:eastAsia="Arial" w:cs="Times New Roman" w:ascii="Times New Roman" w:hAnsi="Times New Roman"/>
          <w:sz w:val="22"/>
          <w:szCs w:val="22"/>
          <w:lang w:val="pt-PT"/>
        </w:rPr>
        <w:t>quando for o caso:</w:t>
      </w:r>
    </w:p>
    <w:p>
      <w:pPr>
        <w:pStyle w:val="Textbody"/>
        <w:spacing w:before="0" w:after="0"/>
        <w:ind w:left="-142" w:right="-286"/>
        <w:jc w:val="both"/>
        <w:rPr/>
      </w:pPr>
      <w:r>
        <w:rPr>
          <w:rFonts w:eastAsia="Arial" w:cs="Times New Roman" w:ascii="Times New Roman" w:hAnsi="Times New Roman"/>
          <w:color w:val="000000"/>
          <w:sz w:val="22"/>
          <w:szCs w:val="22"/>
          <w:lang w:val="pt-PT"/>
        </w:rPr>
        <w:t>6.2.1.1. Início da execução do objeto dar-se à da emissão da ordem de serviço ou documento equivalente.</w:t>
      </w:r>
    </w:p>
    <w:p>
      <w:pPr>
        <w:pStyle w:val="Textbody"/>
        <w:spacing w:before="0" w:after="0"/>
        <w:ind w:left="-142" w:right="-286"/>
        <w:jc w:val="both"/>
        <w:rPr/>
      </w:pPr>
      <w:r>
        <w:rPr>
          <w:rFonts w:eastAsia="Arial" w:cs="Times New Roman" w:ascii="Times New Roman" w:hAnsi="Times New Roman"/>
          <w:color w:val="000000"/>
          <w:sz w:val="22"/>
          <w:szCs w:val="22"/>
          <w:lang w:val="pt-PT"/>
        </w:rPr>
        <w:t xml:space="preserve">6.2.1.2. O objeto contratual deverá ser executado em conformidade com as especificações estabelecidas neste instrumento, no prazo de 24 (vinte e quatro) horas, a contar do recebimento de cada ordem de serviço ou instrumento equivalente, na </w:t>
      </w:r>
      <w:r>
        <w:rPr>
          <w:rFonts w:eastAsia="Times New Roman" w:cs="Times New Roman" w:ascii="Times New Roman" w:hAnsi="Times New Roman"/>
          <w:color w:val="000000"/>
          <w:sz w:val="22"/>
          <w:szCs w:val="22"/>
          <w:lang w:val="pt-PT"/>
        </w:rPr>
        <w:t>Rua Doutor Ant</w:t>
      </w:r>
      <w:r>
        <w:rPr>
          <w:rFonts w:eastAsia="Times New Roman" w:cs="Times New Roman" w:ascii="Times New Roman" w:hAnsi="Times New Roman"/>
          <w:color w:val="000000"/>
          <w:sz w:val="22"/>
          <w:szCs w:val="22"/>
        </w:rPr>
        <w:t xml:space="preserve">ônio Carneiro, 763 - Vicente Pinzón | Fortaleza/CE , Cep: 60182-120, </w:t>
      </w:r>
      <w:r>
        <w:rPr>
          <w:rFonts w:eastAsia="Arial" w:cs="Times New Roman" w:ascii="Times New Roman" w:hAnsi="Times New Roman"/>
          <w:color w:val="000000"/>
          <w:sz w:val="22"/>
          <w:szCs w:val="22"/>
          <w:lang w:val="pt-PT"/>
        </w:rPr>
        <w:t>Fortaleza-Ceará.</w:t>
      </w:r>
    </w:p>
    <w:p>
      <w:pPr>
        <w:pStyle w:val="Textbody"/>
        <w:spacing w:before="0" w:after="0"/>
        <w:ind w:left="-142" w:right="-286"/>
        <w:jc w:val="both"/>
        <w:rPr/>
      </w:pPr>
      <w:r>
        <w:rPr>
          <w:rFonts w:eastAsia="Arial" w:cs="Times New Roman" w:ascii="Times New Roman" w:hAnsi="Times New Roman"/>
          <w:color w:val="000000"/>
          <w:sz w:val="22"/>
          <w:szCs w:val="22"/>
          <w:lang w:val="pt-PT"/>
        </w:rPr>
        <w:t>6.2.1.3. Os atrasos ocasionados por motivo de força maior ou caso fortuito, desde que justificados até 2 (dois) dias úteis antes do término do prazo de execução, e aceitos pela contratante, não serão considerados como inadimplemento contratual.</w:t>
      </w:r>
    </w:p>
    <w:p>
      <w:pPr>
        <w:pStyle w:val="Textbody"/>
        <w:spacing w:before="0" w:after="0"/>
        <w:ind w:left="-142" w:right="-286"/>
        <w:jc w:val="both"/>
        <w:rPr/>
      </w:pPr>
      <w:r>
        <w:rPr>
          <w:rFonts w:eastAsia="CourierNewPSMT" w:cs="Arial" w:ascii="Times New Roman" w:hAnsi="Times New Roman"/>
          <w:sz w:val="22"/>
          <w:szCs w:val="22"/>
          <w:lang w:eastAsia="ar-SA" w:bidi="ar-SA"/>
        </w:rPr>
        <w:t>6.2.2. O serviço a ser contratado tem como base as seguintes características:</w:t>
      </w:r>
    </w:p>
    <w:p>
      <w:pPr>
        <w:pStyle w:val="Textbody"/>
        <w:spacing w:before="0" w:after="0"/>
        <w:ind w:left="-142" w:right="-286"/>
        <w:jc w:val="both"/>
        <w:rPr>
          <w:rFonts w:ascii="Times New Roman" w:hAnsi="Times New Roman"/>
        </w:rPr>
      </w:pPr>
      <w:r>
        <w:rPr>
          <w:rFonts w:eastAsia="CourierNewPSMT" w:cs="Arial" w:ascii="Times New Roman" w:hAnsi="Times New Roman"/>
          <w:sz w:val="22"/>
          <w:szCs w:val="22"/>
          <w:lang w:eastAsia="ar-SA" w:bidi="ar-SA"/>
        </w:rPr>
        <w:t>6.2.2.</w:t>
      </w:r>
      <w:r>
        <w:rPr>
          <w:rFonts w:eastAsia="Arial" w:cs="Times New Roman" w:ascii="Times New Roman" w:hAnsi="Times New Roman"/>
          <w:sz w:val="22"/>
          <w:szCs w:val="22"/>
          <w:lang w:val="pt-PT"/>
        </w:rPr>
        <w:t>1. Da Sustentabilidade:</w:t>
      </w:r>
    </w:p>
    <w:p>
      <w:pPr>
        <w:pStyle w:val="Textbody"/>
        <w:spacing w:before="0" w:after="0"/>
        <w:ind w:left="-142" w:right="-286"/>
        <w:jc w:val="both"/>
        <w:rPr>
          <w:rFonts w:ascii="Times New Roman" w:hAnsi="Times New Roman"/>
        </w:rPr>
      </w:pPr>
      <w:r>
        <w:rPr>
          <w:rFonts w:eastAsia="CourierNewPSMT" w:cs="Arial" w:ascii="Times New Roman" w:hAnsi="Times New Roman"/>
          <w:sz w:val="22"/>
          <w:szCs w:val="22"/>
          <w:lang w:eastAsia="ar-SA" w:bidi="ar-SA"/>
        </w:rPr>
        <w:t>6.2.2</w:t>
      </w:r>
      <w:r>
        <w:rPr>
          <w:rFonts w:eastAsia="Arial" w:cs="Times New Roman" w:ascii="Times New Roman" w:hAnsi="Times New Roman"/>
          <w:sz w:val="22"/>
          <w:szCs w:val="22"/>
          <w:lang w:val="pt-PT"/>
        </w:rPr>
        <w:t>.1.1. Além dos critérios de sustentabilidade eventualmente inseridos na descrição do objeto, devem ser atendidos os seguintes requisitos:</w:t>
      </w:r>
    </w:p>
    <w:p>
      <w:pPr>
        <w:pStyle w:val="Textbody"/>
        <w:spacing w:before="0" w:after="0"/>
        <w:ind w:left="-142" w:right="-286"/>
        <w:jc w:val="both"/>
        <w:rPr>
          <w:rFonts w:ascii="Times New Roman" w:hAnsi="Times New Roman"/>
        </w:rPr>
      </w:pPr>
      <w:r>
        <w:rPr>
          <w:rFonts w:eastAsia="Arial" w:cs="Times New Roman" w:ascii="Times New Roman" w:hAnsi="Times New Roman"/>
          <w:sz w:val="22"/>
          <w:szCs w:val="22"/>
          <w:lang w:val="pt-PT"/>
        </w:rPr>
        <w:t>a) Conformidade com que exige a Agência Nacional de Energia Elétrica – ANEEL, agência reguladora que disciplina o regime das concessões de serviços públicos de energia elétrica e dá outras providências., conforme Lei nº 9.427/1996.</w:t>
      </w:r>
    </w:p>
    <w:p>
      <w:pPr>
        <w:pStyle w:val="Textbody"/>
        <w:spacing w:before="0" w:after="0"/>
        <w:ind w:left="-142" w:right="-286"/>
        <w:jc w:val="both"/>
        <w:rPr>
          <w:rFonts w:ascii="Times New Roman" w:hAnsi="Times New Roman"/>
        </w:rPr>
      </w:pPr>
      <w:r>
        <w:rPr>
          <w:rFonts w:eastAsia="Arial" w:cs="Times New Roman" w:ascii="Times New Roman" w:hAnsi="Times New Roman"/>
          <w:sz w:val="22"/>
          <w:szCs w:val="22"/>
          <w:lang w:val="pt-PT"/>
        </w:rPr>
        <w:t>6.3. Da subcontratação</w:t>
      </w:r>
    </w:p>
    <w:p>
      <w:pPr>
        <w:pStyle w:val="Textbody"/>
        <w:spacing w:before="0" w:after="0"/>
        <w:ind w:left="-142" w:right="-286"/>
        <w:jc w:val="both"/>
        <w:rPr>
          <w:rFonts w:ascii="Times New Roman" w:hAnsi="Times New Roman"/>
        </w:rPr>
      </w:pPr>
      <w:r>
        <w:rPr>
          <w:rFonts w:eastAsia="Arial" w:cs="Times New Roman" w:ascii="Times New Roman" w:hAnsi="Times New Roman"/>
          <w:sz w:val="22"/>
          <w:szCs w:val="22"/>
          <w:lang w:val="pt-PT"/>
        </w:rPr>
        <w:t>6.3.1. Não será admitida a subcontratação.</w:t>
      </w:r>
    </w:p>
    <w:p>
      <w:pPr>
        <w:pStyle w:val="Textbody"/>
        <w:spacing w:before="0" w:after="0"/>
        <w:ind w:left="-142" w:right="-286"/>
        <w:jc w:val="both"/>
        <w:rPr>
          <w:rFonts w:ascii="Times New Roman" w:hAnsi="Times New Roman"/>
        </w:rPr>
      </w:pPr>
      <w:r>
        <w:rPr>
          <w:rFonts w:eastAsia="Arial" w:cs="Times New Roman" w:ascii="Times New Roman" w:hAnsi="Times New Roman"/>
          <w:sz w:val="22"/>
          <w:szCs w:val="22"/>
          <w:lang w:val="pt-PT"/>
        </w:rPr>
        <w:t>6.4. Da garantia da contratação</w:t>
      </w:r>
    </w:p>
    <w:p>
      <w:pPr>
        <w:pStyle w:val="Textbody"/>
        <w:spacing w:before="0" w:after="0"/>
        <w:ind w:left="-142" w:right="-286"/>
        <w:jc w:val="both"/>
        <w:rPr>
          <w:rFonts w:ascii="Times New Roman" w:hAnsi="Times New Roman"/>
        </w:rPr>
      </w:pPr>
      <w:r>
        <w:rPr>
          <w:rFonts w:eastAsia="Arial" w:cs="Times New Roman" w:ascii="Times New Roman" w:hAnsi="Times New Roman"/>
          <w:sz w:val="22"/>
          <w:szCs w:val="22"/>
          <w:lang w:val="pt-PT"/>
        </w:rPr>
        <w:t>6.4.1. Não haverá exigência de garantia contratual.</w:t>
      </w:r>
    </w:p>
    <w:p>
      <w:pPr>
        <w:pStyle w:val="Textbody"/>
        <w:spacing w:before="0" w:after="0"/>
        <w:ind w:left="-142" w:right="-286"/>
        <w:jc w:val="both"/>
        <w:rPr>
          <w:rFonts w:ascii="Times New Roman" w:hAnsi="Times New Roman" w:eastAsia="Arial" w:cs="Times New Roman"/>
          <w:sz w:val="14"/>
          <w:szCs w:val="14"/>
          <w:lang w:val="pt-PT"/>
        </w:rPr>
      </w:pPr>
      <w:r>
        <w:rPr>
          <w:rFonts w:eastAsia="Arial" w:cs="Times New Roman" w:ascii="Times New Roman" w:hAnsi="Times New Roman"/>
          <w:sz w:val="14"/>
          <w:szCs w:val="14"/>
          <w:lang w:val="pt-PT"/>
        </w:rPr>
      </w:r>
    </w:p>
    <w:p>
      <w:pPr>
        <w:pStyle w:val="Textbody"/>
        <w:spacing w:before="0" w:after="0"/>
        <w:ind w:left="-142" w:right="-286"/>
        <w:jc w:val="both"/>
        <w:rPr/>
      </w:pPr>
      <w:r>
        <w:rPr>
          <w:rFonts w:eastAsia="Arial" w:cs="Times New Roman" w:ascii="Times New Roman" w:hAnsi="Times New Roman"/>
          <w:b/>
          <w:sz w:val="22"/>
          <w:szCs w:val="22"/>
          <w:lang w:val="pt-PT"/>
        </w:rPr>
        <w:t>7.</w:t>
      </w:r>
      <w:r>
        <w:rPr>
          <w:rFonts w:eastAsia="Arial" w:cs="Times New Roman" w:ascii="Times New Roman" w:hAnsi="Times New Roman"/>
          <w:b/>
          <w:color w:val="000000"/>
          <w:sz w:val="22"/>
          <w:szCs w:val="22"/>
          <w:lang w:val="pt-PT"/>
        </w:rPr>
        <w:t xml:space="preserve"> MODELO DE GESTÃO DO CONTRATO</w:t>
      </w:r>
    </w:p>
    <w:p>
      <w:pPr>
        <w:pStyle w:val="Textbody"/>
        <w:spacing w:before="0" w:after="0"/>
        <w:ind w:left="-142" w:right="-286"/>
        <w:jc w:val="both"/>
        <w:rPr/>
      </w:pPr>
      <w:r>
        <w:rPr>
          <w:rFonts w:eastAsia="Arial" w:cs="Times New Roman" w:ascii="Times New Roman" w:hAnsi="Times New Roman"/>
          <w:color w:val="000000"/>
          <w:sz w:val="22"/>
          <w:szCs w:val="22"/>
          <w:lang w:val="pt-PT"/>
        </w:rPr>
        <w:t>7.1. O contrato deverá ser executado fielmente pelas partes, de acordo com as cláusulas avençadas e as normas da Lei nº 14.133/2021, e cada parte responderá pelas consequências de sua inexecução total ou parcial.</w:t>
      </w:r>
    </w:p>
    <w:p>
      <w:pPr>
        <w:pStyle w:val="Textbody"/>
        <w:spacing w:before="0" w:after="0"/>
        <w:ind w:left="-142" w:right="-286"/>
        <w:jc w:val="both"/>
        <w:rPr/>
      </w:pPr>
      <w:r>
        <w:rPr>
          <w:rFonts w:eastAsia="Arial" w:cs="Times New Roman" w:ascii="Times New Roman" w:hAnsi="Times New Roman"/>
          <w:color w:val="000000"/>
          <w:sz w:val="22"/>
          <w:szCs w:val="22"/>
          <w:lang w:val="pt-PT"/>
        </w:rPr>
        <w:t>7.2. Em caso de impedimento, ordem de paralisação ou suspensão do contrato, o cronograma de execução será prorrogado automaticamente pelo tempo correspondente, anotadas tais circunstâncias mediante simples apostila.</w:t>
      </w:r>
    </w:p>
    <w:p>
      <w:pPr>
        <w:pStyle w:val="Textbody"/>
        <w:spacing w:before="0" w:after="0"/>
        <w:ind w:left="-142" w:right="-286"/>
        <w:jc w:val="both"/>
        <w:rPr/>
      </w:pPr>
      <w:r>
        <w:rPr>
          <w:rFonts w:eastAsia="Arial" w:cs="Times New Roman" w:ascii="Times New Roman" w:hAnsi="Times New Roman"/>
          <w:color w:val="000000"/>
          <w:sz w:val="22"/>
          <w:szCs w:val="22"/>
          <w:lang w:val="pt-PT"/>
        </w:rPr>
        <w:t>7.3. As comunicações entre o órgão ou entidade e o contratado devem ser realizadas por escrito sempre que o ato exigir tal formalidade, admitindo-se o uso de mensagem eletrônica para esse fim.</w:t>
      </w:r>
    </w:p>
    <w:p>
      <w:pPr>
        <w:pStyle w:val="Textbody"/>
        <w:spacing w:before="0" w:after="0"/>
        <w:ind w:left="-142" w:right="-286"/>
        <w:jc w:val="both"/>
        <w:rPr/>
      </w:pPr>
      <w:r>
        <w:rPr>
          <w:rFonts w:eastAsia="Arial" w:cs="Times New Roman" w:ascii="Times New Roman" w:hAnsi="Times New Roman"/>
          <w:color w:val="000000"/>
          <w:sz w:val="22"/>
          <w:szCs w:val="22"/>
          <w:lang w:val="pt-PT"/>
        </w:rPr>
        <w:t>7.4. O órgão ou entidade poderá convocar representante do contratado para adoção de providências que devam ser cumpridas de imediato.</w:t>
      </w:r>
    </w:p>
    <w:p>
      <w:pPr>
        <w:pStyle w:val="Textbody"/>
        <w:spacing w:before="0" w:after="0"/>
        <w:ind w:left="-142" w:right="-286"/>
        <w:jc w:val="both"/>
        <w:rPr/>
      </w:pPr>
      <w:r>
        <w:rPr>
          <w:rFonts w:eastAsia="Arial" w:cs="Times New Roman" w:ascii="Times New Roman" w:hAnsi="Times New Roman"/>
          <w:color w:val="000000"/>
          <w:sz w:val="22"/>
          <w:szCs w:val="22"/>
          <w:lang w:val="pt-PT"/>
        </w:rPr>
        <w:t>7.5.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pPr>
        <w:pStyle w:val="Textbody"/>
        <w:spacing w:before="0" w:after="0"/>
        <w:ind w:left="-142" w:right="-286"/>
        <w:jc w:val="both"/>
        <w:rPr/>
      </w:pPr>
      <w:r>
        <w:rPr>
          <w:rFonts w:eastAsia="Arial" w:cs="Times New Roman" w:ascii="Times New Roman" w:hAnsi="Times New Roman"/>
          <w:color w:val="000000"/>
          <w:sz w:val="22"/>
          <w:szCs w:val="22"/>
          <w:lang w:val="pt-PT"/>
        </w:rPr>
        <w:t xml:space="preserve">7.6. A execução do contrato deverá ser acompanhada e fiscalizada pelo(s) fiscal(is) do contrato, ou pelos </w:t>
      </w:r>
      <w:r>
        <w:rPr>
          <w:rFonts w:eastAsia="Arial" w:cs="Times New Roman" w:ascii="Times New Roman" w:hAnsi="Times New Roman"/>
          <w:sz w:val="22"/>
          <w:szCs w:val="22"/>
          <w:lang w:val="pt-PT"/>
        </w:rPr>
        <w:t>respectivos substitutos, nos termos do caput do art. 117, da Lei nº 14.133/2021.</w:t>
      </w:r>
    </w:p>
    <w:p>
      <w:pPr>
        <w:pStyle w:val="Textbody"/>
        <w:spacing w:before="0" w:after="0"/>
        <w:ind w:left="-142" w:right="-286"/>
        <w:jc w:val="both"/>
        <w:rPr/>
      </w:pPr>
      <w:r>
        <w:rPr>
          <w:rFonts w:eastAsia="Arial" w:cs="Times New Roman" w:ascii="Times New Roman" w:hAnsi="Times New Roman"/>
          <w:sz w:val="22"/>
          <w:szCs w:val="22"/>
          <w:lang w:val="pt-PT"/>
        </w:rPr>
        <w:t xml:space="preserve">7.7. </w:t>
      </w:r>
      <w:r>
        <w:rPr>
          <w:rFonts w:eastAsia="Arial" w:cs="Arial" w:ascii="Times New Roman" w:hAnsi="Times New Roman"/>
          <w:sz w:val="22"/>
          <w:szCs w:val="22"/>
          <w:lang w:val="pt-PT"/>
        </w:rPr>
        <w:t xml:space="preserve">A fiscalização se responsabilizará pelo acompanhamento da execução do objeto contratual, para que sejam cumpridas todas as condições estabelecidas no contrato, de modo a assegurar os melhores resultados para a Administração. </w:t>
      </w:r>
    </w:p>
    <w:p>
      <w:pPr>
        <w:pStyle w:val="Textbody"/>
        <w:spacing w:before="0" w:after="0"/>
        <w:ind w:left="-142" w:right="-286"/>
        <w:jc w:val="both"/>
        <w:rPr/>
      </w:pPr>
      <w:r>
        <w:rPr>
          <w:rFonts w:eastAsia="Arial" w:cs="Times New Roman" w:ascii="Times New Roman" w:hAnsi="Times New Roman"/>
          <w:sz w:val="22"/>
          <w:szCs w:val="22"/>
          <w:lang w:val="pt-PT"/>
        </w:rPr>
        <w:t>7.7.1. O fiscal do contrato anotará no histórico de gerenciamento do contrato todas as ocorrências relacionadas à execução do contrato, com a descrição do que for necessário para a regularização das faltas ou dos defeitos observados.</w:t>
      </w:r>
    </w:p>
    <w:p>
      <w:pPr>
        <w:pStyle w:val="Textbody"/>
        <w:spacing w:before="0" w:after="0"/>
        <w:ind w:left="-142" w:right="-286"/>
        <w:jc w:val="both"/>
        <w:rPr/>
      </w:pPr>
      <w:r>
        <w:rPr>
          <w:rFonts w:eastAsia="Arial" w:cs="Times New Roman" w:ascii="Times New Roman" w:hAnsi="Times New Roman"/>
          <w:sz w:val="22"/>
          <w:szCs w:val="22"/>
          <w:lang w:val="pt-PT"/>
        </w:rPr>
        <w:t>7.7.2. Identificada qualquer inexatidão ou irregularidade, o fiscal técnico do contrato emitirá notificações para a correção da execução do contrato, determinando prazo para a correção.</w:t>
      </w:r>
    </w:p>
    <w:p>
      <w:pPr>
        <w:pStyle w:val="Textbody"/>
        <w:spacing w:before="0" w:after="0"/>
        <w:ind w:left="-142" w:right="-286"/>
        <w:jc w:val="both"/>
        <w:rPr/>
      </w:pPr>
      <w:r>
        <w:rPr>
          <w:rFonts w:eastAsia="Arial" w:cs="Times New Roman" w:ascii="Times New Roman" w:hAnsi="Times New Roman"/>
          <w:sz w:val="22"/>
          <w:szCs w:val="22"/>
          <w:lang w:val="pt-PT"/>
        </w:rPr>
        <w:t>7.7.3. O fiscal informará ao gestor do contrato, em tempo hábil, a situação que demandar decisão ou adoção de medidas que ultrapassem sua competência, para que adote as medidas necessárias e saneadoras, se for o caso.</w:t>
      </w:r>
    </w:p>
    <w:p>
      <w:pPr>
        <w:pStyle w:val="Textbody"/>
        <w:spacing w:before="0" w:after="0"/>
        <w:ind w:left="-142" w:right="-286"/>
        <w:jc w:val="both"/>
        <w:rPr/>
      </w:pPr>
      <w:r>
        <w:rPr>
          <w:rFonts w:eastAsia="Arial" w:cs="Times New Roman" w:ascii="Times New Roman" w:hAnsi="Times New Roman"/>
          <w:sz w:val="22"/>
          <w:szCs w:val="22"/>
          <w:lang w:val="pt-PT"/>
        </w:rPr>
        <w:t>7.7.4 No caso de ocorrências que possam inviabilizar a execução do contrato nas datas aprazadas, o fiscal  comunicará o fato imediatamente ao gestor do contrato.</w:t>
      </w:r>
    </w:p>
    <w:p>
      <w:pPr>
        <w:pStyle w:val="Textbody"/>
        <w:spacing w:before="0" w:after="0"/>
        <w:ind w:left="-142" w:right="-286"/>
        <w:jc w:val="both"/>
        <w:rPr/>
      </w:pPr>
      <w:r>
        <w:rPr>
          <w:rFonts w:eastAsia="Arial" w:cs="Times New Roman" w:ascii="Times New Roman" w:hAnsi="Times New Roman"/>
          <w:sz w:val="22"/>
          <w:szCs w:val="22"/>
          <w:lang w:val="pt-PT"/>
        </w:rPr>
        <w:t>7.7.5. O fiscal comunicará ao gestor do contrato, em tempo hábil, o término do contrato sob sua responsabilidade, com vistas à renovação tempestiva ou à prorrogação contratual.</w:t>
      </w:r>
    </w:p>
    <w:p>
      <w:pPr>
        <w:pStyle w:val="Textbody"/>
        <w:spacing w:before="0" w:after="0"/>
        <w:ind w:left="-142" w:right="-286"/>
        <w:jc w:val="both"/>
        <w:rPr/>
      </w:pPr>
      <w:r>
        <w:rPr>
          <w:rFonts w:eastAsia="Arial" w:cs="Times New Roman" w:ascii="Times New Roman" w:hAnsi="Times New Roman"/>
          <w:sz w:val="22"/>
          <w:szCs w:val="22"/>
          <w:lang w:val="pt-PT"/>
        </w:rPr>
        <w:t xml:space="preserve">7.8. </w:t>
      </w:r>
      <w:r>
        <w:rPr>
          <w:rFonts w:eastAsia="Arial" w:cs="Arial" w:ascii="Times New Roman" w:hAnsi="Times New Roman"/>
          <w:sz w:val="22"/>
          <w:szCs w:val="22"/>
          <w:lang w:val="pt-PT"/>
        </w:rPr>
        <w:t>O gestor do contrato coordenará a atualização do processo de acompanhamento e fiscalização do contrato contendo todos os registros formais da execução no histórico de</w:t>
      </w:r>
      <w:r>
        <w:rPr>
          <w:rFonts w:eastAsia="Arial" w:cs="Times New Roman" w:ascii="Times New Roman" w:hAnsi="Times New Roman"/>
          <w:sz w:val="22"/>
          <w:szCs w:val="22"/>
          <w:lang w:val="pt-PT"/>
        </w:rPr>
        <w:t xml:space="preserve"> </w:t>
      </w:r>
      <w:r>
        <w:rPr>
          <w:rFonts w:eastAsia="Arial" w:cs="Arial" w:ascii="Times New Roman" w:hAnsi="Times New Roman"/>
          <w:sz w:val="22"/>
          <w:szCs w:val="22"/>
          <w:lang w:val="pt-PT"/>
        </w:rPr>
        <w:t xml:space="preserve">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Textbody"/>
        <w:spacing w:before="0" w:after="0"/>
        <w:ind w:left="-142" w:right="-286"/>
        <w:jc w:val="both"/>
        <w:rPr/>
      </w:pPr>
      <w:r>
        <w:rPr>
          <w:rFonts w:eastAsia="Arial" w:cs="Times New Roman" w:ascii="Times New Roman" w:hAnsi="Times New Roman"/>
          <w:sz w:val="22"/>
          <w:szCs w:val="22"/>
          <w:lang w:val="pt-PT"/>
        </w:rPr>
        <w:t>7.9. O gestor do contrato acompanhará a manutenção das condições de habilitação do contratado, para fins de empenho de despesa e pagamento, e anotará os problemas que obstem o fluxo normal da liquidação e do pagamento da despesa no relatório de riscos eventuais.</w:t>
      </w:r>
    </w:p>
    <w:p>
      <w:pPr>
        <w:pStyle w:val="Textbody"/>
        <w:spacing w:before="0" w:after="0"/>
        <w:ind w:left="-142" w:right="-286"/>
        <w:jc w:val="both"/>
        <w:rPr/>
      </w:pPr>
      <w:r>
        <w:rPr>
          <w:rFonts w:eastAsia="Arial" w:cs="Times New Roman" w:ascii="Times New Roman" w:hAnsi="Times New Roman"/>
          <w:sz w:val="22"/>
          <w:szCs w:val="22"/>
          <w:lang w:val="pt-PT"/>
        </w:rPr>
        <w:t xml:space="preserve">7.10. </w:t>
      </w:r>
      <w:r>
        <w:rPr>
          <w:rFonts w:eastAsia="Arial" w:cs="Arial" w:ascii="Times New Roman" w:hAnsi="Times New Roman"/>
          <w:sz w:val="22"/>
          <w:szCs w:val="22"/>
          <w:lang w:val="pt-PT"/>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Textbody"/>
        <w:spacing w:before="0" w:after="0"/>
        <w:ind w:left="-142" w:right="-286"/>
        <w:jc w:val="both"/>
        <w:rPr/>
      </w:pPr>
      <w:r>
        <w:rPr>
          <w:rFonts w:cs="Arial" w:ascii="Times New Roman" w:hAnsi="Times New Roman"/>
          <w:sz w:val="22"/>
          <w:szCs w:val="22"/>
          <w:lang w:val="pt-PT"/>
        </w:rPr>
        <w:t>7.11. O gestor do contrato emitirá documento comprobatório da avaliação realizada pelos fiscais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pPr>
        <w:pStyle w:val="Textbody"/>
        <w:spacing w:before="0" w:after="0"/>
        <w:ind w:left="-142" w:right="-286"/>
        <w:jc w:val="both"/>
        <w:rPr/>
      </w:pPr>
      <w:r>
        <w:rPr>
          <w:rFonts w:eastAsia="Arial" w:cs="Arial" w:ascii="Times New Roman" w:hAnsi="Times New Roman"/>
          <w:sz w:val="22"/>
          <w:szCs w:val="22"/>
          <w:lang w:val="pt-PT"/>
        </w:rPr>
        <w:t>7.12. O gestor do contrato tomará providências para a formalização de processo administrativo de responsabilização para fins de aplicação de sanções, a ser conduzido pela c</w:t>
      </w:r>
      <w:r>
        <w:rPr>
          <w:rFonts w:eastAsia="Cumberland AMT" w:cs="Arial" w:ascii="Times New Roman" w:hAnsi="Times New Roman"/>
          <w:sz w:val="22"/>
          <w:szCs w:val="22"/>
        </w:rPr>
        <w:t>omissão</w:t>
      </w:r>
      <w:r>
        <w:rPr>
          <w:rFonts w:eastAsia="Arial" w:cs="Arial" w:ascii="Times New Roman" w:hAnsi="Times New Roman"/>
          <w:sz w:val="22"/>
          <w:szCs w:val="22"/>
          <w:lang w:val="pt-PT"/>
        </w:rPr>
        <w:t xml:space="preserve"> de que trata o art. 158 da Lei nº 14.133/2021.</w:t>
      </w:r>
    </w:p>
    <w:p>
      <w:pPr>
        <w:pStyle w:val="Textbody"/>
        <w:spacing w:before="0" w:after="0"/>
        <w:ind w:left="-142" w:right="-286"/>
        <w:jc w:val="both"/>
        <w:rPr>
          <w:rFonts w:ascii="Times New Roman" w:hAnsi="Times New Roman" w:eastAsia="Arial" w:cs="Times New Roman"/>
          <w:sz w:val="14"/>
          <w:szCs w:val="14"/>
          <w:lang w:val="pt-PT"/>
        </w:rPr>
      </w:pPr>
      <w:r>
        <w:rPr>
          <w:rFonts w:eastAsia="Arial" w:cs="Times New Roman" w:ascii="Times New Roman" w:hAnsi="Times New Roman"/>
          <w:sz w:val="14"/>
          <w:szCs w:val="14"/>
          <w:lang w:val="pt-PT"/>
        </w:rPr>
      </w:r>
    </w:p>
    <w:p>
      <w:pPr>
        <w:pStyle w:val="Textbody"/>
        <w:spacing w:before="0" w:after="0"/>
        <w:ind w:left="-142" w:right="-286"/>
        <w:jc w:val="both"/>
        <w:rPr/>
      </w:pPr>
      <w:r>
        <w:rPr>
          <w:rFonts w:eastAsia="Arial" w:cs="Times New Roman" w:ascii="Times New Roman" w:hAnsi="Times New Roman"/>
          <w:b/>
          <w:sz w:val="22"/>
          <w:szCs w:val="22"/>
          <w:lang w:val="pt-PT"/>
        </w:rPr>
        <w:t>8. CONDIÇÕES DE RECEBIMENTO DE PAGAMENTO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 Recebimento do serviço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8.1.1 Os serviços serão recebidos PROVISORIAMENTE, no prazo de 01 (um) dia, pela fiscalização, mediante termos detalhados, quando verificado o cumprimento das exigências de caráter técnico e administrativo nos termos do art. 140, I, a, da Lei nº 14.133/2021.</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8.1.2. O prazo da disposição acima será contado do recebimento de comunicação de cobrança oriunda do contratado com a comprovação da prestação dos serviços a que se referem a parcela a ser paga.</w:t>
      </w:r>
    </w:p>
    <w:p>
      <w:pPr>
        <w:pStyle w:val="Nivel2"/>
        <w:spacing w:lineRule="auto" w:line="240" w:before="0" w:after="0"/>
        <w:ind w:left="-142" w:right="-286"/>
        <w:rPr>
          <w:color w:val="auto"/>
        </w:rPr>
      </w:pPr>
      <w:r>
        <w:rPr>
          <w:rFonts w:cs="Times New Roman" w:ascii="Times New Roman" w:hAnsi="Times New Roman"/>
          <w:color w:val="auto"/>
          <w:sz w:val="22"/>
          <w:szCs w:val="22"/>
          <w:lang w:val="pt-PT" w:eastAsia="en-US"/>
        </w:rPr>
        <w:t>8.1.3.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Nivel2"/>
        <w:spacing w:lineRule="auto" w:line="240" w:before="0" w:after="0"/>
        <w:ind w:left="-142" w:right="-286"/>
        <w:rPr>
          <w:color w:val="auto"/>
        </w:rPr>
      </w:pPr>
      <w:r>
        <w:rPr>
          <w:rFonts w:cs="Times New Roman" w:ascii="Times New Roman" w:hAnsi="Times New Roman"/>
          <w:color w:val="auto"/>
          <w:sz w:val="22"/>
          <w:szCs w:val="22"/>
          <w:lang w:val="pt-PT" w:eastAsia="en-US"/>
        </w:rPr>
        <w:t>8.1.3.1. A fiscalização não efetuará o ateste da última e/ou única medição de serviços até que sejam sanadas todas as eventuais pendências que possam vir a ser apontadas no Recebimento Provisório nos termos do a</w:t>
      </w:r>
      <w:r>
        <w:fldChar w:fldCharType="begin"/>
      </w:r>
      <w:r>
        <w:rPr>
          <w:rStyle w:val="Hyperlink1"/>
          <w:sz w:val="22"/>
          <w:u w:val="none"/>
          <w:szCs w:val="22"/>
          <w:rFonts w:cs="Times New Roman" w:ascii="Times New Roman" w:hAnsi="Times New Roman"/>
          <w:color w:val="auto"/>
          <w:lang w:eastAsia="en-US"/>
        </w:rPr>
        <w:instrText xml:space="preserve"> HYPERLINK "http://www.planalto.gov.br/ccivil_03/_ato2019-2022/2021/lei/L14133.htm" \l "art119"</w:instrText>
      </w:r>
      <w:r>
        <w:rPr>
          <w:rStyle w:val="Hyperlink1"/>
          <w:sz w:val="22"/>
          <w:u w:val="none"/>
          <w:szCs w:val="22"/>
          <w:rFonts w:cs="Times New Roman" w:ascii="Times New Roman" w:hAnsi="Times New Roman"/>
          <w:color w:val="auto"/>
          <w:lang w:eastAsia="en-US"/>
        </w:rPr>
        <w:fldChar w:fldCharType="separate"/>
      </w:r>
      <w:r>
        <w:rPr>
          <w:rStyle w:val="Hyperlink1"/>
          <w:rFonts w:cs="Times New Roman" w:ascii="Times New Roman" w:hAnsi="Times New Roman"/>
          <w:color w:val="auto"/>
          <w:sz w:val="22"/>
          <w:szCs w:val="22"/>
          <w:u w:val="none"/>
          <w:lang w:eastAsia="en-US"/>
        </w:rPr>
        <w:t>rt. 119 c/c art. 140 da Lei nº 14133/2021</w:t>
      </w:r>
      <w:r>
        <w:rPr>
          <w:rStyle w:val="Hyperlink1"/>
          <w:sz w:val="22"/>
          <w:u w:val="none"/>
          <w:szCs w:val="22"/>
          <w:rFonts w:cs="Times New Roman" w:ascii="Times New Roman" w:hAnsi="Times New Roman"/>
          <w:color w:val="auto"/>
          <w:lang w:eastAsia="en-US"/>
        </w:rPr>
        <w:fldChar w:fldCharType="end"/>
      </w:r>
      <w:r>
        <w:rPr>
          <w:rStyle w:val="Hyperlink1"/>
          <w:rFonts w:cs="Times New Roman" w:ascii="Times New Roman" w:hAnsi="Times New Roman"/>
          <w:color w:val="auto"/>
          <w:sz w:val="22"/>
          <w:szCs w:val="22"/>
          <w:u w:val="none"/>
          <w:lang w:eastAsia="en-US"/>
        </w:rPr>
        <w:t>.</w:t>
      </w:r>
    </w:p>
    <w:p>
      <w:pPr>
        <w:pStyle w:val="Nivel2"/>
        <w:spacing w:lineRule="auto" w:line="240" w:before="0" w:after="0"/>
        <w:ind w:left="-142" w:right="-286"/>
        <w:rPr>
          <w:color w:val="auto"/>
        </w:rPr>
      </w:pPr>
      <w:r>
        <w:rPr>
          <w:rFonts w:ascii="Times New Roman" w:hAnsi="Times New Roman"/>
          <w:color w:val="auto"/>
          <w:sz w:val="22"/>
          <w:szCs w:val="22"/>
          <w:lang w:eastAsia="en-US"/>
        </w:rPr>
        <w:t>8.1.3.2. Os serviços poderão ser rejeitados, no todo ou em parte, quando em desacordo com as especificações constantes neste Termo de Referência e na proposta, sem prejuízo da aplicação das penalidades.</w:t>
      </w:r>
    </w:p>
    <w:p>
      <w:pPr>
        <w:pStyle w:val="Nivel2"/>
        <w:spacing w:lineRule="auto" w:line="240" w:before="0" w:after="0"/>
        <w:ind w:left="-142" w:right="-286"/>
        <w:rPr>
          <w:color w:val="auto"/>
        </w:rPr>
      </w:pPr>
      <w:r>
        <w:rPr>
          <w:rStyle w:val="Hyperlink1"/>
          <w:rFonts w:cs="Times New Roman" w:ascii="Times New Roman" w:hAnsi="Times New Roman"/>
          <w:color w:val="auto"/>
          <w:sz w:val="22"/>
          <w:szCs w:val="22"/>
          <w:u w:val="none"/>
          <w:lang w:eastAsia="en-US"/>
        </w:rPr>
        <w:t>8.1.4.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8.1.5. Os serviços serão recebidos DEFINITIVAMENTE no prazo de 02 (dois) dias, contados do recebimento provisório, por servidor ou comissão designada pela autoridade competente, após a verificação da qualidade e quantidade do serviço e consequente aceitação mediante termo detalhado, obedecendo os seguintes procedimentos:</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8.1.5.1. Emitir documento comprobatório da avaliação realizada pelo(s) fiscal(is)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8.1.5.2.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8.1.5.3. Emitir Termo Circunstanciado para efeito de recebimento definitivo dos serviços prestados, com base nos relatórios e documentações apresentadas; e</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8.1.5.4. Comunicar a empresa para que emita a Nota Fiscal ou Fatura, com o valor exato dimensionado pela fiscalização.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8.1.5.5. Enviar a documentação pertinente ao setor de contratos para a formalização dos procedimentos de liquidação e pagamento, no valor dimensionado pela fiscalização e gestão.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8.1.6. 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8.1.7. Nenhum prazo de recebimento ocorrerá enquanto pendente a solução, pelo contratado, de inconsistências verificadas na execução do objeto ou no instrumento de cobrança.</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8.1.8. O recebimento provisório ou definitivo não excluirá a responsabilidade civil pela solidez e pela segurança do serviço nem a responsabilidade ético-profissional pela perfeita execução do contrato.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8.2. Liquidação</w:t>
      </w:r>
    </w:p>
    <w:p>
      <w:pPr>
        <w:pStyle w:val="Nivel2"/>
        <w:shd w:val="clear" w:color="auto" w:fill="FFFFFF" w:themeFill="background1"/>
        <w:spacing w:lineRule="auto" w:line="240" w:before="0" w:after="0"/>
        <w:ind w:left="-142" w:right="-286"/>
        <w:rPr>
          <w:color w:val="auto"/>
        </w:rPr>
      </w:pPr>
      <w:r>
        <w:rPr>
          <w:rFonts w:cs="Times New Roman" w:ascii="Times New Roman" w:hAnsi="Times New Roman"/>
          <w:color w:val="auto"/>
          <w:sz w:val="22"/>
          <w:szCs w:val="22"/>
          <w:lang w:val="pt-PT"/>
        </w:rPr>
        <w:t>8.2.1. Recebida a Nota Fiscal ou documento de cobrança equivalente, correrá o prazo de 10 (dez) dias úteis para fins de liquidação, na forma desta seção, prorrogáveis por igual período.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8.2.1.1. O prazo de que trata o item anterior será reduzido à metade, mantendo-se a possibilidade de prorrogação, no caso de contratações decorrentes de despesas cujos valores não ultrapassem o limite de que trata o inciso II do art. 75 da Lei nº 14.133/2021.</w:t>
      </w:r>
    </w:p>
    <w:p>
      <w:pPr>
        <w:pStyle w:val="Nivel2"/>
        <w:spacing w:lineRule="auto" w:line="240" w:before="0" w:after="0"/>
        <w:ind w:left="-142" w:right="-286"/>
        <w:rPr>
          <w:color w:val="auto"/>
        </w:rPr>
      </w:pPr>
      <w:r>
        <w:rPr>
          <w:rFonts w:ascii="Times New Roman" w:hAnsi="Times New Roman"/>
          <w:color w:val="auto"/>
          <w:sz w:val="22"/>
          <w:szCs w:val="22"/>
          <w:lang w:val="pt-PT" w:eastAsia="en-US"/>
        </w:rPr>
        <w:t xml:space="preserve">8.2.2. </w:t>
      </w:r>
      <w:r>
        <w:rPr>
          <w:rFonts w:eastAsia="Calibri" w:ascii="Times New Roman" w:hAnsi="Times New Roman"/>
          <w:color w:val="auto"/>
          <w:sz w:val="22"/>
          <w:szCs w:val="22"/>
          <w:lang w:val="pt-PT" w:eastAsia="en-US"/>
        </w:rPr>
        <w:t>A liquidação da despesa consiste na verificação do direito adquirido pelo credor tendo por base os títulos e documentos comprobatórios do respectivo crédito, observando-se o disposto no art. 63 da Lei nº .4.320, de 17 de março de 1964.</w:t>
      </w:r>
    </w:p>
    <w:p>
      <w:pPr>
        <w:pStyle w:val="Nivel2"/>
        <w:spacing w:lineRule="auto" w:line="240" w:before="0" w:after="0"/>
        <w:ind w:left="-142" w:right="-286"/>
        <w:rPr>
          <w:color w:val="auto"/>
        </w:rPr>
      </w:pPr>
      <w:r>
        <w:rPr>
          <w:rFonts w:eastAsia="Calibri" w:ascii="Times New Roman" w:hAnsi="Times New Roman"/>
          <w:color w:val="auto"/>
          <w:sz w:val="22"/>
          <w:szCs w:val="22"/>
          <w:lang w:val="pt-PT" w:eastAsia="en-US"/>
        </w:rPr>
        <w:t>8.2.3.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Nivel2"/>
        <w:spacing w:lineRule="auto" w:line="240" w:before="0" w:after="0"/>
        <w:ind w:left="-142" w:right="-286"/>
        <w:rPr>
          <w:color w:val="auto"/>
        </w:rPr>
      </w:pPr>
      <w:r>
        <w:rPr>
          <w:rFonts w:eastAsia="Calibri" w:ascii="Times New Roman" w:hAnsi="Times New Roman"/>
          <w:color w:val="auto"/>
          <w:sz w:val="22"/>
          <w:szCs w:val="22"/>
          <w:lang w:val="pt-PT" w:eastAsia="en-US"/>
        </w:rPr>
        <w:t xml:space="preserve">8.2.4. A nota fiscal ou documento de cobrança equivalente deverá ser obrigatoriamente acompanhada da comprovação da regularidade fiscal, constatada por meio de consulta </w:t>
      </w:r>
      <w:r>
        <w:rPr>
          <w:rFonts w:eastAsia="Calibri" w:ascii="Times New Roman" w:hAnsi="Times New Roman"/>
          <w:i/>
          <w:iCs/>
          <w:color w:val="auto"/>
          <w:sz w:val="22"/>
          <w:szCs w:val="22"/>
          <w:lang w:val="pt-PT" w:eastAsia="en-US"/>
        </w:rPr>
        <w:t>on-line</w:t>
      </w:r>
      <w:r>
        <w:rPr>
          <w:rFonts w:eastAsia="Calibri" w:ascii="Times New Roman" w:hAnsi="Times New Roman"/>
          <w:color w:val="auto"/>
          <w:sz w:val="22"/>
          <w:szCs w:val="22"/>
          <w:lang w:val="pt-PT" w:eastAsia="en-US"/>
        </w:rPr>
        <w:t xml:space="preserve"> ao SICAF ou, na impossibilidade de acesso ao referido Sistema, mediante consulta aos sítios eletrônicos oficiais ou à documentação mencionada </w:t>
      </w:r>
      <w:r>
        <w:rPr>
          <w:rStyle w:val="Hyperlink1"/>
          <w:rFonts w:eastAsia="Calibri" w:ascii="Times New Roman" w:hAnsi="Times New Roman"/>
          <w:color w:val="auto"/>
          <w:sz w:val="22"/>
          <w:szCs w:val="22"/>
          <w:u w:val="none"/>
          <w:lang w:val="pt-PT" w:eastAsia="en-US"/>
        </w:rPr>
        <w:t>no item 11.4 do edital.</w:t>
      </w:r>
    </w:p>
    <w:p>
      <w:pPr>
        <w:pStyle w:val="Nivel2"/>
        <w:spacing w:lineRule="auto" w:line="240" w:before="0" w:after="0"/>
        <w:ind w:left="-142" w:right="-286"/>
        <w:rPr>
          <w:color w:val="auto"/>
        </w:rPr>
      </w:pPr>
      <w:r>
        <w:rPr>
          <w:rStyle w:val="Hyperlink1"/>
          <w:rFonts w:eastAsia="Calibri" w:ascii="Times New Roman" w:hAnsi="Times New Roman"/>
          <w:color w:val="auto"/>
          <w:sz w:val="22"/>
          <w:szCs w:val="22"/>
          <w:u w:val="none"/>
          <w:lang w:val="pt-PT" w:eastAsia="en-US"/>
        </w:rPr>
        <w:t>8.2.5.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pPr>
        <w:pStyle w:val="Nivel2"/>
        <w:spacing w:lineRule="auto" w:line="240" w:before="0" w:after="0"/>
        <w:ind w:left="-142" w:right="-286"/>
        <w:rPr>
          <w:color w:val="auto"/>
        </w:rPr>
      </w:pPr>
      <w:r>
        <w:rPr>
          <w:rFonts w:eastAsia="Calibri" w:ascii="Times New Roman" w:hAnsi="Times New Roman"/>
          <w:color w:val="auto"/>
          <w:sz w:val="22"/>
          <w:szCs w:val="22"/>
          <w:lang w:val="pt-PT" w:eastAsia="en-US"/>
        </w:rPr>
        <w:t>8.2.6.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spacing w:lineRule="auto" w:line="240" w:before="0" w:after="0"/>
        <w:ind w:left="-142" w:right="-286"/>
        <w:rPr>
          <w:color w:val="auto"/>
        </w:rPr>
      </w:pPr>
      <w:r>
        <w:rPr>
          <w:rFonts w:eastAsia="Calibri" w:ascii="Times New Roman" w:hAnsi="Times New Roman"/>
          <w:color w:val="auto"/>
          <w:sz w:val="22"/>
          <w:szCs w:val="22"/>
          <w:lang w:val="pt-PT" w:eastAsia="en-US"/>
        </w:rPr>
        <w:t>8.2.7.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ivel2"/>
        <w:spacing w:lineRule="auto" w:line="240" w:before="0" w:after="0"/>
        <w:ind w:left="-142" w:right="-286"/>
        <w:rPr>
          <w:color w:val="auto"/>
        </w:rPr>
      </w:pPr>
      <w:r>
        <w:rPr>
          <w:rFonts w:eastAsia="Calibri" w:ascii="Times New Roman" w:hAnsi="Times New Roman"/>
          <w:color w:val="auto"/>
          <w:sz w:val="22"/>
          <w:szCs w:val="22"/>
          <w:lang w:val="pt-PT" w:eastAsia="en-US"/>
        </w:rPr>
        <w:t xml:space="preserve">8.2.8. </w:t>
      </w:r>
      <w:r>
        <w:rPr>
          <w:rFonts w:ascii="Times New Roman" w:hAnsi="Times New Roman"/>
          <w:color w:val="auto"/>
          <w:sz w:val="22"/>
          <w:szCs w:val="22"/>
          <w:lang w:val="pt-PT" w:eastAsia="en-US"/>
        </w:rPr>
        <w:t>Persistindo a irregularidade, o contratante deverá adotar as medidas necessárias à rescisão contratual nos autos do processo administrativo correspondente, assegurada ao contratado a ampla defesa.</w:t>
      </w:r>
    </w:p>
    <w:p>
      <w:pPr>
        <w:pStyle w:val="Nivel2"/>
        <w:spacing w:lineRule="auto" w:line="240" w:before="0" w:after="0"/>
        <w:ind w:left="-142" w:right="-286"/>
        <w:rPr>
          <w:color w:val="auto"/>
        </w:rPr>
      </w:pPr>
      <w:r>
        <w:rPr>
          <w:rFonts w:eastAsia="Calibri" w:ascii="Times New Roman" w:hAnsi="Times New Roman"/>
          <w:color w:val="auto"/>
          <w:sz w:val="22"/>
          <w:szCs w:val="22"/>
          <w:lang w:val="pt-PT" w:eastAsia="en-US"/>
        </w:rPr>
        <w:t xml:space="preserve">8.2.9. </w:t>
      </w:r>
      <w:r>
        <w:rPr>
          <w:rFonts w:ascii="Times New Roman" w:hAnsi="Times New Roman"/>
          <w:color w:val="auto"/>
          <w:sz w:val="22"/>
          <w:szCs w:val="22"/>
          <w:lang w:val="pt-PT" w:eastAsia="en-US"/>
        </w:rPr>
        <w:t>Havendo a efetiva execução do objeto, os pagamentos serão realizados normalmente, até que se decida pela rescisão do contrato, caso o contratado não regularize sua situação.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8.3. Prazo de pagamento</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8.3.1. O pagamento será efetuado no prazo de até 30 (trinta) dias úteis, contados da finalização da liquidação da despesa.</w:t>
      </w:r>
    </w:p>
    <w:p>
      <w:pPr>
        <w:pStyle w:val="Nivel2"/>
        <w:spacing w:lineRule="auto" w:line="240" w:before="0" w:after="0"/>
        <w:ind w:left="-142" w:right="-286"/>
        <w:rPr>
          <w:color w:val="auto"/>
        </w:rPr>
      </w:pPr>
      <w:r>
        <w:rPr>
          <w:rFonts w:cs="Times New Roman" w:ascii="Times New Roman" w:hAnsi="Times New Roman"/>
          <w:color w:val="auto"/>
          <w:sz w:val="22"/>
          <w:szCs w:val="22"/>
          <w:lang w:val="pt-PT"/>
        </w:rPr>
        <w:t>8.3.2. No caso de atraso pelo contratante, os valores devidos ao contratado serão atualizados monetariamente entre o termo final do prazo de pagamento até a data de sua efetiva realização, mediante aplicação do índice IPCA de correção monetária.</w:t>
      </w:r>
    </w:p>
    <w:p>
      <w:pPr>
        <w:pStyle w:val="Textbody"/>
        <w:spacing w:before="0" w:after="0"/>
        <w:ind w:left="-142" w:right="-286"/>
        <w:jc w:val="both"/>
        <w:rPr/>
      </w:pPr>
      <w:r>
        <w:rPr>
          <w:rFonts w:cs="Times New Roman" w:ascii="Times New Roman" w:hAnsi="Times New Roman"/>
          <w:sz w:val="22"/>
          <w:szCs w:val="22"/>
          <w:lang w:val="pt-PT"/>
        </w:rPr>
        <w:t>8.4. Forma de pagamento</w:t>
      </w:r>
    </w:p>
    <w:p>
      <w:pPr>
        <w:pStyle w:val="Textbody"/>
        <w:spacing w:before="0" w:after="0"/>
        <w:ind w:left="-142" w:right="-286"/>
        <w:jc w:val="both"/>
        <w:rPr/>
      </w:pPr>
      <w:r>
        <w:rPr>
          <w:rFonts w:cs="Times New Roman" w:ascii="Times New Roman" w:hAnsi="Times New Roman"/>
          <w:sz w:val="22"/>
          <w:szCs w:val="22"/>
          <w:lang w:val="pt-PT"/>
        </w:rPr>
        <w:t>8.4.1. O pagamento será realizado mediante crédito em conta corrente do contratado, exclusivamente no Banco Bradesco S/A, conforme Lei nº 15.241/2012.</w:t>
      </w:r>
    </w:p>
    <w:p>
      <w:pPr>
        <w:pStyle w:val="Textbody"/>
        <w:spacing w:before="0" w:after="0"/>
        <w:ind w:left="-142" w:right="-286"/>
        <w:jc w:val="both"/>
        <w:rPr/>
      </w:pPr>
      <w:r>
        <w:rPr>
          <w:rFonts w:cs="Times New Roman" w:ascii="Times New Roman" w:hAnsi="Times New Roman"/>
          <w:sz w:val="22"/>
          <w:szCs w:val="22"/>
          <w:lang w:val="pt-PT"/>
        </w:rPr>
        <w:t>8.4.2. Será considerada data do pagamento o dia em que constar como emitida a ordem bancária para pagamento.</w:t>
      </w:r>
    </w:p>
    <w:p>
      <w:pPr>
        <w:pStyle w:val="Textbody"/>
        <w:spacing w:before="0" w:after="0"/>
        <w:ind w:left="-142" w:right="-286"/>
        <w:jc w:val="both"/>
        <w:rPr/>
      </w:pPr>
      <w:r>
        <w:rPr>
          <w:rFonts w:cs="Times New Roman" w:ascii="Times New Roman" w:hAnsi="Times New Roman"/>
          <w:sz w:val="22"/>
          <w:szCs w:val="22"/>
          <w:lang w:val="pt-PT"/>
        </w:rPr>
        <w:t>8.4.3. Quando do pagamento, será efetuada a retenção tributária prevista na legislação aplicável.</w:t>
      </w:r>
    </w:p>
    <w:p>
      <w:pPr>
        <w:pStyle w:val="Textbody"/>
        <w:spacing w:before="0" w:after="0"/>
        <w:ind w:left="-142" w:right="-286"/>
        <w:jc w:val="both"/>
        <w:rPr/>
      </w:pPr>
      <w:r>
        <w:rPr>
          <w:rFonts w:cs="Times New Roman" w:ascii="Times New Roman" w:hAnsi="Times New Roman"/>
          <w:sz w:val="22"/>
          <w:szCs w:val="22"/>
          <w:lang w:val="pt-PT"/>
        </w:rPr>
        <w:t>8.4.3.1. Independentemente do percentual de tributo inserido na planilha, quando houver, serão retidos na fonte, quando da realização do pagamento, os percentuais estabelecidos na legislação vigente.</w:t>
      </w:r>
    </w:p>
    <w:p>
      <w:pPr>
        <w:pStyle w:val="Textbody"/>
        <w:spacing w:before="0" w:after="0"/>
        <w:ind w:left="-142" w:right="-286"/>
        <w:jc w:val="both"/>
        <w:rPr/>
      </w:pPr>
      <w:r>
        <w:rPr>
          <w:rFonts w:eastAsia="Times New Roman" w:cs="Times New Roman" w:ascii="Times New Roman" w:hAnsi="Times New Roman"/>
          <w:sz w:val="22"/>
          <w:szCs w:val="22"/>
          <w:lang w:val="pt-PT" w:eastAsia="en-US" w:bidi="ar-SA"/>
        </w:rPr>
        <w:t xml:space="preserve">8.4.4. O contratado regularmente optante pelo Simples Nacional, nos termos da </w:t>
      </w:r>
      <w:r>
        <w:rPr>
          <w:rStyle w:val="Hyperlink1"/>
          <w:rFonts w:eastAsia="Times New Roman" w:cs="Times New Roman" w:ascii="Times New Roman" w:hAnsi="Times New Roman"/>
          <w:color w:val="auto"/>
          <w:sz w:val="22"/>
          <w:szCs w:val="22"/>
          <w:u w:val="none"/>
          <w:lang w:val="pt-PT" w:eastAsia="en-US" w:bidi="ar-SA"/>
        </w:rPr>
        <w:t>Lei Complementar nº 123/2006</w:t>
      </w:r>
      <w:r>
        <w:rPr>
          <w:rFonts w:eastAsia="Times New Roman" w:cs="Times New Roman" w:ascii="Times New Roman" w:hAnsi="Times New Roman"/>
          <w:sz w:val="22"/>
          <w:szCs w:val="22"/>
          <w:lang w:val="pt-PT" w:eastAsia="en-US" w:bidi="ar-SA"/>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pPr>
        <w:pStyle w:val="Textbody"/>
        <w:spacing w:before="0" w:after="0"/>
        <w:ind w:left="-142" w:right="-286"/>
        <w:jc w:val="both"/>
        <w:rPr/>
      </w:pPr>
      <w:r>
        <w:rPr>
          <w:rFonts w:cs="Times New Roman" w:ascii="Times New Roman" w:hAnsi="Times New Roman"/>
          <w:sz w:val="22"/>
          <w:szCs w:val="22"/>
          <w:lang w:val="pt-PT"/>
        </w:rPr>
        <w:t>8.5. Antecipação de pagamento</w:t>
      </w:r>
    </w:p>
    <w:p>
      <w:pPr>
        <w:pStyle w:val="Textbody"/>
        <w:spacing w:before="0" w:after="0"/>
        <w:ind w:left="-142" w:right="-286"/>
        <w:jc w:val="both"/>
        <w:rPr/>
      </w:pPr>
      <w:r>
        <w:rPr>
          <w:rFonts w:cs="Times New Roman" w:ascii="Times New Roman" w:hAnsi="Times New Roman"/>
          <w:sz w:val="22"/>
          <w:szCs w:val="22"/>
          <w:lang w:val="pt-PT"/>
        </w:rPr>
        <w:t>8.5.1. É vedada a realização de pagamento antes da execução do objeto ou se o mesmo não estiver de acordo com as especificações deste instrumento.</w:t>
      </w:r>
    </w:p>
    <w:p>
      <w:pPr>
        <w:pStyle w:val="Textbody"/>
        <w:spacing w:before="0" w:after="0"/>
        <w:ind w:left="-142" w:right="-286"/>
        <w:jc w:val="both"/>
        <w:rPr>
          <w:rFonts w:ascii="Times New Roman" w:hAnsi="Times New Roman" w:eastAsia="Arial" w:cs="Times New Roman"/>
          <w:b/>
          <w:sz w:val="14"/>
          <w:szCs w:val="14"/>
          <w:lang w:val="pt-PT"/>
        </w:rPr>
      </w:pPr>
      <w:r>
        <w:rPr>
          <w:rFonts w:eastAsia="Arial" w:cs="Times New Roman" w:ascii="Times New Roman" w:hAnsi="Times New Roman"/>
          <w:b/>
          <w:sz w:val="14"/>
          <w:szCs w:val="14"/>
          <w:lang w:val="pt-PT"/>
        </w:rPr>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b/>
          <w:sz w:val="22"/>
          <w:szCs w:val="22"/>
          <w:lang w:val="pt-PT"/>
        </w:rPr>
        <w:t>9. OBRIGAÇÕES DO CONTRATANTE</w:t>
      </w:r>
    </w:p>
    <w:p>
      <w:pPr>
        <w:pStyle w:val="Textbody"/>
        <w:tabs>
          <w:tab w:val="clear" w:pos="720"/>
          <w:tab w:val="left" w:pos="-2184" w:leader="none"/>
          <w:tab w:val="left" w:pos="1077" w:leader="none"/>
        </w:tabs>
        <w:spacing w:before="0" w:after="0"/>
        <w:ind w:left="-142" w:right="-286"/>
        <w:jc w:val="both"/>
        <w:rPr/>
      </w:pPr>
      <w:r>
        <w:rPr>
          <w:rFonts w:eastAsia="Times New Roman" w:cs="Arial" w:ascii="Times New Roman" w:hAnsi="Times New Roman"/>
          <w:sz w:val="22"/>
          <w:szCs w:val="22"/>
          <w:lang w:eastAsia="ar-SA" w:bidi="ar-SA"/>
        </w:rPr>
        <w:t xml:space="preserve">9.1. </w:t>
      </w:r>
      <w:r>
        <w:rPr>
          <w:rFonts w:eastAsia="Arial" w:cs="Arial" w:ascii="Times New Roman" w:hAnsi="Times New Roman"/>
          <w:sz w:val="22"/>
          <w:szCs w:val="22"/>
          <w:lang w:val="pt-PT" w:eastAsia="ar-SA" w:bidi="ar-SA"/>
        </w:rPr>
        <w:t>Exigir o cumprimento de todas as obrigações assumidas pelo contratado, de acordo com este instrumento e seus anexos;</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9.2. Receber o objeto no prazo e condições estabelecidas neste Termo;</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9.3. Notificar o contratado, por escrito, sobre vícios, defeitos ou incorreções verificadas no objeto contratado, para que seja por ele substituído, reparado ou corrigido, no total ou em parte, às suas expensas;</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9.4. Acompanhar e fiscalizar a execução do contrato e o cumprimento das obrigações pelo contratado;</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9.5.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9.6. Efetuar o pagamento ao contratado do valor correspondente a execução do objeto, no prazo, forma e condições estabelecidos neste termo;</w:t>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sz w:val="22"/>
          <w:szCs w:val="22"/>
          <w:lang w:val="pt-PT"/>
        </w:rPr>
        <w:t>9.7. Aplicar as sanções previstas na lei e edital, quando do descumprimento de obrigações pelo contratado;</w:t>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sz w:val="22"/>
          <w:szCs w:val="22"/>
          <w:lang w:val="pt-PT"/>
        </w:rPr>
        <w:t>9.8. Emitir explicitamente decisão sobre todas as solicitações e reclamações relacionadas à execução do presente contrato, ressalvados os requerimentos manifestamente impertinentes, meramente protelatórios ou de nenhum interesse para a boa execução do ajuste.</w:t>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sz w:val="22"/>
          <w:szCs w:val="22"/>
          <w:lang w:val="pt-PT"/>
        </w:rPr>
        <w:t>9.8.1. A Administração terá o prazo de</w:t>
      </w:r>
      <w:r>
        <w:rPr>
          <w:rFonts w:eastAsia="Arial" w:cs="Times New Roman" w:ascii="Times New Roman" w:hAnsi="Times New Roman"/>
          <w:i/>
          <w:iCs/>
          <w:sz w:val="22"/>
          <w:szCs w:val="22"/>
          <w:lang w:val="pt-PT"/>
        </w:rPr>
        <w:t xml:space="preserve"> </w:t>
      </w:r>
      <w:r>
        <w:rPr>
          <w:rFonts w:eastAsia="Arial" w:cs="Times New Roman" w:ascii="Times New Roman" w:hAnsi="Times New Roman"/>
          <w:sz w:val="22"/>
          <w:szCs w:val="22"/>
          <w:lang w:val="pt-PT"/>
        </w:rPr>
        <w:t>30</w:t>
      </w:r>
      <w:r>
        <w:rPr>
          <w:rFonts w:eastAsia="Arial" w:cs="Times New Roman" w:ascii="Times New Roman" w:hAnsi="Times New Roman"/>
          <w:i/>
          <w:iCs/>
          <w:sz w:val="22"/>
          <w:szCs w:val="22"/>
          <w:lang w:val="pt-PT"/>
        </w:rPr>
        <w:t xml:space="preserve"> </w:t>
      </w:r>
      <w:r>
        <w:rPr>
          <w:rFonts w:eastAsia="Arial" w:cs="Times New Roman" w:ascii="Times New Roman" w:hAnsi="Times New Roman"/>
          <w:sz w:val="22"/>
          <w:szCs w:val="22"/>
          <w:lang w:val="pt-PT"/>
        </w:rPr>
        <w:t>(trinta) dias, a contar da data do protocolo do requerimento para decidir, admitida a prorrogação motivada, por igual período.</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9.9. Responder eventuais pedidos de reestabelecimento do equilíbrio econômico-financeiro feitos pelo contratado no prazo máximo de 30 (trinta) dias.</w:t>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sz w:val="22"/>
          <w:szCs w:val="22"/>
          <w:lang w:val="pt-PT" w:eastAsia="ar-SA" w:bidi="ar-SA"/>
        </w:rPr>
        <w:t>9.10.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Textbody"/>
        <w:tabs>
          <w:tab w:val="clear" w:pos="720"/>
          <w:tab w:val="left" w:pos="-2184" w:leader="none"/>
          <w:tab w:val="left" w:pos="1077" w:leader="none"/>
        </w:tabs>
        <w:spacing w:before="0" w:after="0"/>
        <w:ind w:right="-286"/>
        <w:jc w:val="both"/>
        <w:rPr>
          <w:rFonts w:ascii="Times New Roman" w:hAnsi="Times New Roman" w:eastAsia="Arial" w:cs="Times New Roman"/>
          <w:b/>
          <w:sz w:val="14"/>
          <w:szCs w:val="14"/>
          <w:lang w:val="pt-PT"/>
        </w:rPr>
      </w:pPr>
      <w:r>
        <w:rPr>
          <w:rFonts w:eastAsia="Arial" w:cs="Times New Roman" w:ascii="Times New Roman" w:hAnsi="Times New Roman"/>
          <w:b/>
          <w:sz w:val="14"/>
          <w:szCs w:val="14"/>
          <w:lang w:val="pt-PT"/>
        </w:rPr>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b/>
          <w:sz w:val="22"/>
          <w:szCs w:val="22"/>
          <w:lang w:val="pt-PT"/>
        </w:rPr>
        <w:t>10. OBRIGAÇÕES DO CONTRATADO</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 O contratado deve cumprir todas as obrigações constantes do edital e seus anexos, assumindo como exclusivamente seus os riscos e as despesas decorrentes da boa e perfeita execução do objeto, observando, ainda, as obrigações a seguir dispostas:</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10.1.1. Responsabilizar-se pelos vícios e danos decorrentes do objeto, de acordo com o Código de Defesa do Consumidor ;</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10.1.2. Comunicar ao contratante, no prazo máximo de 24 (vinte e quatro) horas que antecede a data da conclusão do serviço, os motivos que impossibilitem o cumprimento do prazo previsto, com a devida comprovação;</w:t>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sz w:val="22"/>
          <w:szCs w:val="22"/>
          <w:lang w:val="pt-PT"/>
        </w:rPr>
        <w:t>10.1.3. Atender às determinações regulares emitidas pelo fiscal ou gestor do contrato ou autoridade superior e prestar todo esclarecimento ou informação por eles solicitados;</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10.1.6. Quando não for possível a verificação da regularidade no Sistema de Cadastramento Unificado de Fornecedores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sz w:val="22"/>
          <w:szCs w:val="22"/>
          <w:lang w:val="pt-PT"/>
        </w:rPr>
        <w:t>10.1.7.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10.1.8. Comunicar ao fiscal do contrato, no prazo de 24 (vinte e quatro) horas, qualquer ocorrência anormal ou acidente que se verifique no local da execução do objeto.</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10.1.9. Paralisar, por determinação do contratante, qualquer atividade que não esteja sendo executada de acordo com a boa técnica ou que ponha em risco a segurança de pessoas ou bens de terceiros.</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10.1.10. Manter durante toda a vigência do contrato, em compatibilidade com as obrigações assumidas, todas as condições exigidas para habilitação na licitação.</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10.1.11. Cumprir, durante todo o período de execução do contrato e desde que regulamentado, a reserva de cargos prevista em lei para pessoa com deficiência, para reabilitado da Previdência Social ou para aprendiz, bem como as reservas de cargos previstas em legislação específicas.</w:t>
      </w:r>
    </w:p>
    <w:p>
      <w:pPr>
        <w:pStyle w:val="Textbody"/>
        <w:tabs>
          <w:tab w:val="clear" w:pos="720"/>
          <w:tab w:val="left" w:pos="-2184" w:leader="none"/>
          <w:tab w:val="left" w:pos="1077" w:leader="none"/>
        </w:tabs>
        <w:spacing w:before="0" w:after="0"/>
        <w:ind w:left="-142" w:right="-286"/>
        <w:jc w:val="both"/>
        <w:rPr/>
      </w:pPr>
      <w:r>
        <w:rPr>
          <w:rFonts w:eastAsia="Arial" w:cs="Tahoma" w:ascii="Times New Roman" w:hAnsi="Times New Roman"/>
          <w:sz w:val="22"/>
          <w:szCs w:val="22"/>
          <w:lang w:val="pt-PT"/>
        </w:rPr>
        <w:t>10.1.11.1. Comprovar as reservas de cargos e vagas a que se referem o item acima, no prazo fixado pelo fiscal do contrato, com a indicação dos empregados que preencheram as referidas vagas conforme disposto no art. 116, parágrafo único da Lei nº 14.133/2021.</w:t>
      </w:r>
    </w:p>
    <w:p>
      <w:pPr>
        <w:pStyle w:val="Textbody"/>
        <w:tabs>
          <w:tab w:val="clear" w:pos="720"/>
          <w:tab w:val="left" w:pos="-2184" w:leader="none"/>
          <w:tab w:val="left" w:pos="1077" w:leader="none"/>
        </w:tabs>
        <w:spacing w:before="0" w:after="0"/>
        <w:ind w:left="-142" w:right="-286"/>
        <w:jc w:val="both"/>
        <w:rPr/>
      </w:pPr>
      <w:r>
        <w:rPr>
          <w:rFonts w:eastAsia="Arial" w:cs="Tahoma" w:ascii="Times New Roman" w:hAnsi="Times New Roman"/>
          <w:sz w:val="22"/>
          <w:szCs w:val="22"/>
          <w:lang w:val="pt-PT"/>
        </w:rPr>
        <w:t>10.1.12. Guardar sigilo sobre todas as informações obtidas em decorrência do cumprimento do contrato.</w:t>
      </w:r>
    </w:p>
    <w:p>
      <w:pPr>
        <w:pStyle w:val="Textbody"/>
        <w:tabs>
          <w:tab w:val="clear" w:pos="720"/>
          <w:tab w:val="left" w:pos="-2184" w:leader="none"/>
          <w:tab w:val="left" w:pos="1077" w:leader="none"/>
        </w:tabs>
        <w:spacing w:before="0" w:after="0"/>
        <w:ind w:left="-142" w:right="-286"/>
        <w:jc w:val="both"/>
        <w:rPr/>
      </w:pPr>
      <w:r>
        <w:rPr>
          <w:rFonts w:eastAsia="Arial" w:cs="Tahoma" w:ascii="Times New Roman" w:hAnsi="Times New Roman"/>
          <w:sz w:val="22"/>
          <w:szCs w:val="22"/>
          <w:lang w:val="pt-PT"/>
        </w:rPr>
        <w:t>10.1.13.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rPr>
          <w:rStyle w:val="Hyperlink1"/>
          <w:sz w:val="22"/>
          <w:u w:val="none"/>
          <w:szCs w:val="22"/>
          <w:rFonts w:eastAsia="Arial" w:cs="Tahoma" w:ascii="Times New Roman" w:hAnsi="Times New Roman"/>
          <w:color w:val="auto"/>
          <w:lang w:val="pt-PT"/>
        </w:rPr>
        <w:instrText xml:space="preserve"> HYPERLINK "http://www.planalto.gov.br/ccivil_03/_ato2019-2022/2021/lei/L14133.htm" \l "art124"</w:instrText>
      </w:r>
      <w:r>
        <w:rPr>
          <w:rStyle w:val="Hyperlink1"/>
          <w:sz w:val="22"/>
          <w:u w:val="none"/>
          <w:szCs w:val="22"/>
          <w:rFonts w:eastAsia="Arial" w:cs="Tahoma" w:ascii="Times New Roman" w:hAnsi="Times New Roman"/>
          <w:color w:val="auto"/>
          <w:lang w:val="pt-PT"/>
        </w:rPr>
        <w:fldChar w:fldCharType="separate"/>
      </w:r>
      <w:r>
        <w:rPr>
          <w:rStyle w:val="Hyperlink1"/>
          <w:rFonts w:eastAsia="Arial" w:cs="Tahoma" w:ascii="Times New Roman" w:hAnsi="Times New Roman"/>
          <w:color w:val="auto"/>
          <w:sz w:val="22"/>
          <w:szCs w:val="22"/>
          <w:u w:val="none"/>
          <w:lang w:val="pt-PT"/>
        </w:rPr>
        <w:t>.</w:t>
      </w:r>
      <w:r>
        <w:rPr>
          <w:rStyle w:val="Hyperlink1"/>
          <w:sz w:val="22"/>
          <w:u w:val="none"/>
          <w:szCs w:val="22"/>
          <w:rFonts w:eastAsia="Arial" w:cs="Tahoma" w:ascii="Times New Roman" w:hAnsi="Times New Roman"/>
          <w:color w:val="auto"/>
          <w:lang w:val="pt-PT"/>
        </w:rPr>
        <w:fldChar w:fldCharType="end"/>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10.1.15. Submeter previamente, por escrito, ao contratante, para análise e aprovação, quaisquer mudanças nos métodos executivos que fujam às especificações do memorial descritivo ou instrumento congênere.</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10.1.16. Conduzir os trabalhos com estrita observância às normas da legislação pertinente, cumprindo as determinações dos Poderes Públicos, mantendo sempre limpo o local d</w:t>
      </w:r>
      <w:r>
        <w:rPr>
          <w:rFonts w:eastAsia="Arial" w:cs="Arial" w:ascii="Times New Roman" w:hAnsi="Times New Roman"/>
          <w:sz w:val="22"/>
          <w:szCs w:val="22"/>
          <w:lang w:val="pt-PT" w:eastAsia="en-US"/>
        </w:rPr>
        <w:t>e execução do objeto</w:t>
      </w:r>
      <w:r>
        <w:rPr>
          <w:rFonts w:eastAsia="Arial" w:cs="Arial" w:ascii="Times New Roman" w:hAnsi="Times New Roman"/>
          <w:sz w:val="22"/>
          <w:szCs w:val="22"/>
          <w:lang w:val="pt-PT"/>
        </w:rPr>
        <w:t xml:space="preserve"> e nas melhores condições de segurança, higiene e disciplina.</w:t>
      </w:r>
    </w:p>
    <w:p>
      <w:pPr>
        <w:pStyle w:val="Textbody"/>
        <w:tabs>
          <w:tab w:val="clear" w:pos="720"/>
          <w:tab w:val="left" w:pos="-2184" w:leader="none"/>
          <w:tab w:val="left" w:pos="1077" w:leader="none"/>
        </w:tabs>
        <w:spacing w:before="0" w:after="0"/>
        <w:ind w:left="-142" w:right="-286"/>
        <w:jc w:val="both"/>
        <w:rPr/>
      </w:pPr>
      <w:r>
        <w:rPr>
          <w:rFonts w:eastAsia="Arial" w:cs="Arial" w:ascii="Times New Roman" w:hAnsi="Times New Roman"/>
          <w:sz w:val="22"/>
          <w:szCs w:val="22"/>
          <w:lang w:val="pt-PT"/>
        </w:rPr>
        <w:t>10.1.17.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Textbody"/>
        <w:tabs>
          <w:tab w:val="clear" w:pos="720"/>
          <w:tab w:val="left" w:pos="-2184" w:leader="none"/>
          <w:tab w:val="left" w:pos="1077" w:leader="none"/>
        </w:tabs>
        <w:spacing w:before="0" w:after="0"/>
        <w:ind w:left="-142" w:right="-286"/>
        <w:jc w:val="both"/>
        <w:rPr/>
      </w:pPr>
      <w:r>
        <w:rPr>
          <w:rFonts w:eastAsia="Arial" w:cs="Times New Roman" w:ascii="Times New Roman" w:hAnsi="Times New Roman"/>
          <w:sz w:val="22"/>
          <w:szCs w:val="22"/>
          <w:lang w:val="pt-PT"/>
        </w:rPr>
        <w:t>10.1.18. Promover, se for o caso a guarda, manutenção e vigilância de materiais, ferramentas, e tudo o que for necessário à execução do objeto, durante a vigência do contrato.</w:t>
      </w:r>
    </w:p>
    <w:p>
      <w:pPr>
        <w:pStyle w:val="Textbody"/>
        <w:spacing w:before="0" w:after="0"/>
        <w:ind w:left="-142" w:right="-286"/>
        <w:jc w:val="both"/>
        <w:rPr/>
      </w:pPr>
      <w:r>
        <w:rPr>
          <w:rFonts w:eastAsia="Arial" w:cs="Times New Roman" w:ascii="Times New Roman" w:hAnsi="Times New Roman"/>
          <w:sz w:val="22"/>
          <w:szCs w:val="22"/>
          <w:lang w:val="pt-PT"/>
        </w:rPr>
        <w:t xml:space="preserve">10.1.19. Realizar os serviços de manutenção e assistência técnica na </w:t>
      </w:r>
      <w:r>
        <w:rPr>
          <w:rFonts w:eastAsia="Times New Roman" w:cs="Times New Roman" w:ascii="Times New Roman" w:hAnsi="Times New Roman"/>
          <w:color w:val="000000"/>
          <w:sz w:val="22"/>
          <w:szCs w:val="22"/>
          <w:lang w:val="pt-PT"/>
        </w:rPr>
        <w:t>Rua Doutor Ant</w:t>
      </w:r>
      <w:r>
        <w:rPr>
          <w:rFonts w:eastAsia="Times New Roman" w:cs="Times New Roman" w:ascii="Times New Roman" w:hAnsi="Times New Roman"/>
          <w:color w:val="000000"/>
          <w:sz w:val="22"/>
          <w:szCs w:val="22"/>
        </w:rPr>
        <w:t>ônio Carneiro, 763 - Vicente Pinzón | Fortaleza/CE , Cep: 60182-120</w:t>
      </w:r>
      <w:r>
        <w:rPr>
          <w:rFonts w:eastAsia="Arial" w:cs="Times New Roman" w:ascii="Times New Roman" w:hAnsi="Times New Roman"/>
          <w:sz w:val="22"/>
          <w:szCs w:val="22"/>
          <w:lang w:val="pt-PT"/>
        </w:rPr>
        <w:t>, Fortaleza-Ceará, responsabilidade da Casa Civil.</w:t>
      </w:r>
    </w:p>
    <w:p>
      <w:pPr>
        <w:pStyle w:val="BodyText"/>
        <w:tabs>
          <w:tab w:val="clear" w:pos="720"/>
          <w:tab w:val="left" w:pos="-2184" w:leader="none"/>
          <w:tab w:val="left" w:pos="1077" w:leader="none"/>
        </w:tabs>
        <w:spacing w:lineRule="auto" w:line="240" w:before="57" w:after="57"/>
        <w:ind w:left="-170" w:right="-283"/>
        <w:jc w:val="both"/>
        <w:rPr>
          <w:rFonts w:ascii="Arial" w:hAnsi="Arial" w:cs="Arial"/>
          <w:i/>
          <w:i/>
          <w:iCs/>
          <w:sz w:val="22"/>
          <w:szCs w:val="22"/>
          <w:shd w:fill="FFFF00" w:val="clear"/>
        </w:rPr>
      </w:pPr>
      <w:r>
        <w:rPr>
          <w:rFonts w:eastAsia="Arial" w:cs="Times New Roman" w:ascii="Times New Roman" w:hAnsi="Times New Roman"/>
          <w:kern w:val="2"/>
          <w:sz w:val="22"/>
          <w:szCs w:val="22"/>
          <w:lang w:val="pt-PT" w:eastAsia="zh-CN" w:bidi="hi-IN"/>
        </w:rPr>
        <w:t>10.1.20. Providenciar a substituição de qualquer profissional envolvido na execução do objeto contratual, cuja conduta seja considerada indesejável pela fiscalização do contratante.</w:t>
      </w:r>
    </w:p>
    <w:p>
      <w:pPr>
        <w:pStyle w:val="BodyText"/>
        <w:tabs>
          <w:tab w:val="clear" w:pos="720"/>
          <w:tab w:val="left" w:pos="-2184" w:leader="none"/>
          <w:tab w:val="left" w:pos="1077" w:leader="none"/>
        </w:tabs>
        <w:spacing w:lineRule="auto" w:line="240" w:before="57" w:after="57"/>
        <w:ind w:left="-170" w:right="-283"/>
        <w:jc w:val="both"/>
        <w:rPr>
          <w:rFonts w:ascii="Arial" w:hAnsi="Arial" w:cs="Arial"/>
          <w:i/>
          <w:i/>
          <w:iCs/>
          <w:sz w:val="22"/>
          <w:szCs w:val="22"/>
          <w:shd w:fill="FFFF00" w:val="clear"/>
        </w:rPr>
      </w:pPr>
      <w:r>
        <w:rPr>
          <w:rFonts w:eastAsia="Arial" w:cs="Times New Roman" w:ascii="Times New Roman" w:hAnsi="Times New Roman"/>
          <w:kern w:val="2"/>
          <w:sz w:val="22"/>
          <w:szCs w:val="22"/>
          <w:lang w:val="pt-PT" w:eastAsia="zh-CN" w:bidi="hi-IN"/>
        </w:rPr>
        <w:t>10.1.21. Respeitar os princípios de proteção de dados pessoais elencados na Lei Geral de Proteção de Dados, Lei nº 13.709 de 14 de agosto de 2018 e suas alterações.</w:t>
      </w:r>
    </w:p>
    <w:p>
      <w:pPr>
        <w:pStyle w:val="Textbody"/>
        <w:spacing w:before="0" w:after="0"/>
        <w:ind w:left="-142" w:right="-286"/>
        <w:jc w:val="both"/>
        <w:rPr>
          <w:rFonts w:ascii="Times New Roman" w:hAnsi="Times New Roman" w:eastAsia="Arial" w:cs="Times New Roman"/>
          <w:lang w:val="pt-PT"/>
        </w:rPr>
      </w:pPr>
      <w:r>
        <w:rPr>
          <w:rFonts w:eastAsia="Arial" w:cs="Times New Roman" w:ascii="Times New Roman" w:hAnsi="Times New Roman"/>
          <w:lang w:val="pt-PT"/>
        </w:rPr>
      </w:r>
    </w:p>
    <w:p>
      <w:pPr>
        <w:pStyle w:val="Textbody"/>
        <w:spacing w:before="0" w:after="0"/>
        <w:ind w:left="-142" w:right="-286"/>
        <w:jc w:val="both"/>
        <w:rPr/>
      </w:pPr>
      <w:r>
        <w:rPr>
          <w:rFonts w:eastAsia="Arial" w:cs="Times New Roman" w:ascii="Times New Roman" w:hAnsi="Times New Roman"/>
          <w:b/>
          <w:sz w:val="22"/>
          <w:szCs w:val="22"/>
          <w:lang w:val="pt-PT"/>
        </w:rPr>
        <w:t>11. ESTIMATIVAS DO VALOR DA CONTRATAÇÃO</w:t>
      </w:r>
    </w:p>
    <w:p>
      <w:pPr>
        <w:pStyle w:val="Normal"/>
        <w:ind w:left="-142" w:right="-286"/>
        <w:jc w:val="both"/>
        <w:rPr/>
      </w:pPr>
      <w:r>
        <w:rPr>
          <w:rFonts w:eastAsia="Arial" w:cs="Times New Roman" w:ascii="Times New Roman" w:hAnsi="Times New Roman"/>
          <w:sz w:val="22"/>
          <w:szCs w:val="22"/>
          <w:lang w:val="pt-PT"/>
        </w:rPr>
        <w:t xml:space="preserve">11.1. O custo estimado da contratação é de </w:t>
      </w:r>
      <w:r>
        <w:rPr>
          <w:rFonts w:eastAsia="Arial" w:cs="Times New Roman" w:ascii="Times New Roman" w:hAnsi="Times New Roman"/>
          <w:sz w:val="22"/>
          <w:szCs w:val="22"/>
        </w:rPr>
        <w:t>R$ 2.400,00 (dois mil e quatrocentos reais) mensais, R$ 28.800,00 (vinte e oito mil e oitocentos reais) no período de 12 (doze) meses, R$ 144.000,00 (cento e quarenta e quatro mil reais) no período de 60 (sessenta) meses, R$ 288.000 (duzentos e oitenta e oito mil reais) no período de 120 (cento e vinte) meses,</w:t>
      </w:r>
      <w:r>
        <w:rPr>
          <w:rFonts w:eastAsia="Arial" w:cs="Times New Roman" w:ascii="Times New Roman" w:hAnsi="Times New Roman"/>
          <w:sz w:val="22"/>
          <w:szCs w:val="22"/>
          <w:lang w:val="pt-PT"/>
        </w:rPr>
        <w:t xml:space="preserve"> conforme custos unitários apostos na tabela constante do subitem 2 deste termo.</w:t>
      </w:r>
    </w:p>
    <w:p>
      <w:pPr>
        <w:pStyle w:val="Textbody"/>
        <w:spacing w:before="0" w:after="0"/>
        <w:ind w:left="-142" w:right="-286"/>
        <w:jc w:val="both"/>
        <w:rPr>
          <w:rFonts w:ascii="Times New Roman" w:hAnsi="Times New Roman" w:eastAsia="Arial" w:cs="Times New Roman"/>
          <w:sz w:val="14"/>
          <w:szCs w:val="14"/>
          <w:lang w:val="pt-PT"/>
        </w:rPr>
      </w:pPr>
      <w:r>
        <w:rPr>
          <w:rFonts w:eastAsia="Arial" w:cs="Times New Roman" w:ascii="Times New Roman" w:hAnsi="Times New Roman"/>
          <w:sz w:val="14"/>
          <w:szCs w:val="14"/>
          <w:lang w:val="pt-PT"/>
        </w:rPr>
      </w:r>
    </w:p>
    <w:p>
      <w:pPr>
        <w:pStyle w:val="Textbody"/>
        <w:spacing w:before="0" w:after="0"/>
        <w:ind w:left="-142" w:right="-286"/>
        <w:jc w:val="both"/>
        <w:rPr/>
      </w:pPr>
      <w:r>
        <w:rPr>
          <w:rFonts w:cs="Times New Roman" w:ascii="Times New Roman" w:hAnsi="Times New Roman"/>
          <w:b/>
          <w:sz w:val="22"/>
          <w:szCs w:val="22"/>
        </w:rPr>
        <w:t xml:space="preserve">12. ADEQUAÇÃO ORÇAMENTÁRIA </w:t>
      </w:r>
    </w:p>
    <w:p>
      <w:pPr>
        <w:pStyle w:val="Textbody"/>
        <w:spacing w:before="0" w:after="0"/>
        <w:ind w:left="-142" w:right="-286"/>
        <w:jc w:val="both"/>
        <w:rPr/>
      </w:pPr>
      <w:r>
        <w:rPr>
          <w:rFonts w:cs="Times New Roman" w:ascii="Times New Roman" w:hAnsi="Times New Roman"/>
          <w:sz w:val="22"/>
          <w:szCs w:val="22"/>
        </w:rPr>
        <w:t>12.1. As despesas decorrentes da presente contratação correrão a conta de recursos específicos consignados no Orçamento Geral do Estado.</w:t>
      </w:r>
    </w:p>
    <w:p>
      <w:pPr>
        <w:pStyle w:val="Textbody"/>
        <w:spacing w:before="0" w:after="0"/>
        <w:ind w:left="-142" w:right="-286"/>
        <w:jc w:val="both"/>
        <w:rPr/>
      </w:pPr>
      <w:r>
        <w:rPr>
          <w:rFonts w:cs="Times New Roman" w:ascii="Times New Roman" w:hAnsi="Times New Roman"/>
          <w:sz w:val="22"/>
          <w:szCs w:val="22"/>
        </w:rPr>
        <w:t>12.2. A contratação será atendida pela seguinte dotação:  30100003.04.122.211.20764.15.339039.1.500.9100000.0.</w:t>
      </w:r>
    </w:p>
    <w:p>
      <w:pPr>
        <w:pStyle w:val="Textbody"/>
        <w:spacing w:before="0" w:after="0"/>
        <w:ind w:left="-142" w:right="-286"/>
        <w:jc w:val="both"/>
        <w:rPr/>
      </w:pPr>
      <w:r>
        <w:rPr>
          <w:rFonts w:eastAsia="Arial" w:cs="Times New Roman" w:ascii="Times New Roman" w:hAnsi="Times New Roman"/>
          <w:sz w:val="22"/>
          <w:szCs w:val="22"/>
          <w:lang w:val="pt-PT"/>
        </w:rPr>
        <w:t>12.3. A dotação relativa aos exercícios financeiros subsequentes será indicada após aprovação da Lei Orçamentária respectiva e liberação dos créditos correspondentes, mediante apostilamento.</w:t>
      </w:r>
    </w:p>
    <w:p>
      <w:pPr>
        <w:pStyle w:val="Textbody"/>
        <w:tabs>
          <w:tab w:val="clear" w:pos="720"/>
          <w:tab w:val="left" w:pos="-2184" w:leader="none"/>
          <w:tab w:val="left" w:pos="1077" w:leader="none"/>
        </w:tabs>
        <w:spacing w:before="0" w:after="0"/>
        <w:ind w:left="-142" w:right="-286"/>
        <w:jc w:val="both"/>
        <w:rPr>
          <w:rFonts w:ascii="Times New Roman" w:hAnsi="Times New Roman" w:eastAsia="Arial" w:cs="Times New Roman"/>
          <w:sz w:val="14"/>
          <w:szCs w:val="14"/>
          <w:lang w:val="pt-PT"/>
        </w:rPr>
      </w:pPr>
      <w:r>
        <w:rPr>
          <w:rFonts w:eastAsia="Arial" w:cs="Times New Roman" w:ascii="Times New Roman" w:hAnsi="Times New Roman"/>
          <w:sz w:val="14"/>
          <w:szCs w:val="14"/>
          <w:lang w:val="pt-PT"/>
        </w:rPr>
      </w:r>
    </w:p>
    <w:p>
      <w:pPr>
        <w:pStyle w:val="Textbody"/>
        <w:spacing w:before="0" w:after="0"/>
        <w:ind w:left="-142" w:right="-286"/>
        <w:jc w:val="both"/>
        <w:rPr>
          <w:rFonts w:ascii="Times New Roman" w:hAnsi="Times New Roman" w:cs="Times New Roman"/>
          <w:b/>
          <w:sz w:val="22"/>
          <w:szCs w:val="22"/>
        </w:rPr>
      </w:pPr>
      <w:r>
        <w:rPr>
          <w:rFonts w:cs="Times New Roman" w:ascii="Times New Roman" w:hAnsi="Times New Roman"/>
          <w:b/>
          <w:sz w:val="22"/>
          <w:szCs w:val="22"/>
        </w:rPr>
      </w:r>
    </w:p>
    <w:p>
      <w:pPr>
        <w:pStyle w:val="Textbody"/>
        <w:spacing w:before="113" w:after="113"/>
        <w:ind w:left="-142" w:right="-286"/>
        <w:jc w:val="both"/>
        <w:rPr/>
      </w:pPr>
      <w:r>
        <w:rPr>
          <w:rFonts w:cs="Times New Roman" w:ascii="Times New Roman" w:hAnsi="Times New Roman"/>
          <w:sz w:val="22"/>
          <w:szCs w:val="22"/>
        </w:rPr>
        <w:t>Fortaleza - CE, 02 de Fevereiro de 2024.</w:t>
      </w:r>
    </w:p>
    <w:p>
      <w:pPr>
        <w:pStyle w:val="Standard"/>
        <w:tabs>
          <w:tab w:val="clear" w:pos="720"/>
          <w:tab w:val="left" w:pos="4826" w:leader="none"/>
          <w:tab w:val="left" w:pos="10028" w:leader="none"/>
          <w:tab w:val="left" w:pos="10158" w:leader="none"/>
          <w:tab w:val="left" w:pos="10288" w:leader="none"/>
          <w:tab w:val="left" w:pos="10326" w:leader="none"/>
        </w:tabs>
        <w:spacing w:before="113" w:after="113"/>
        <w:ind w:left="-142" w:right="-286"/>
        <w:rPr>
          <w:rFonts w:ascii="Times New Roman" w:hAnsi="Times New Roman" w:cs="Times New Roman"/>
          <w:sz w:val="22"/>
          <w:szCs w:val="22"/>
        </w:rPr>
      </w:pPr>
      <w:r>
        <w:rPr>
          <w:rFonts w:cs="Times New Roman" w:ascii="Times New Roman" w:hAnsi="Times New Roman"/>
          <w:sz w:val="22"/>
          <w:szCs w:val="22"/>
        </w:rPr>
      </w:r>
    </w:p>
    <w:p>
      <w:pPr>
        <w:pStyle w:val="Standard"/>
        <w:tabs>
          <w:tab w:val="clear" w:pos="720"/>
          <w:tab w:val="left" w:pos="4826" w:leader="none"/>
          <w:tab w:val="left" w:pos="10028" w:leader="none"/>
          <w:tab w:val="left" w:pos="10158" w:leader="none"/>
          <w:tab w:val="left" w:pos="10288" w:leader="none"/>
          <w:tab w:val="left" w:pos="10326" w:leader="none"/>
        </w:tabs>
        <w:spacing w:before="113" w:after="113"/>
        <w:ind w:left="-142" w:right="-286"/>
        <w:rPr>
          <w:rFonts w:ascii="Times New Roman" w:hAnsi="Times New Roman" w:cs="Times New Roman"/>
          <w:sz w:val="22"/>
          <w:szCs w:val="22"/>
        </w:rPr>
      </w:pPr>
      <w:r>
        <w:rPr>
          <w:rFonts w:eastAsia="Times New Roman" w:cs="Times New Roman" w:ascii="Times New Roman" w:hAnsi="Times New Roman"/>
          <w:sz w:val="22"/>
          <w:szCs w:val="22"/>
          <w:lang w:eastAsia="ar-SA"/>
        </w:rPr>
        <w:t>Aprovado:</w:t>
      </w:r>
      <w:r>
        <w:rPr>
          <w:rFonts w:cs="Times New Roman" w:ascii="Times New Roman" w:hAnsi="Times New Roman"/>
          <w:sz w:val="22"/>
          <w:szCs w:val="22"/>
        </w:rPr>
        <w:tab/>
      </w:r>
    </w:p>
    <w:p>
      <w:pPr>
        <w:pStyle w:val="Textbody"/>
        <w:spacing w:before="0" w:after="0"/>
        <w:ind w:left="-142" w:right="-286"/>
        <w:jc w:val="both"/>
        <w:rPr>
          <w:rFonts w:ascii="Times New Roman" w:hAnsi="Times New Roman" w:eastAsia="Arial" w:cs="Times New Roman"/>
          <w:color w:val="000000"/>
          <w:sz w:val="22"/>
          <w:szCs w:val="22"/>
          <w:lang w:val="pt-PT"/>
        </w:rPr>
      </w:pPr>
      <w:r>
        <w:rPr>
          <w:rFonts w:eastAsia="Arial" w:cs="Times New Roman" w:ascii="Times New Roman" w:hAnsi="Times New Roman"/>
          <w:color w:val="000000"/>
          <w:sz w:val="22"/>
          <w:szCs w:val="22"/>
          <w:lang w:val="pt-PT"/>
        </w:rPr>
      </w:r>
    </w:p>
    <w:p>
      <w:pPr>
        <w:pStyle w:val="Normal"/>
        <w:ind w:left="-142" w:right="-286"/>
        <w:jc w:val="both"/>
        <w:rPr>
          <w:rFonts w:ascii="Times New Roman" w:hAnsi="Times New Roman" w:eastAsia="Arial"/>
          <w:sz w:val="22"/>
          <w:szCs w:val="22"/>
        </w:rPr>
      </w:pPr>
      <w:r>
        <w:rPr>
          <w:rFonts w:eastAsia="Arial" w:ascii="Times New Roman" w:hAnsi="Times New Roman"/>
          <w:sz w:val="22"/>
          <w:szCs w:val="22"/>
        </w:rPr>
      </w:r>
    </w:p>
    <w:p>
      <w:pPr>
        <w:pStyle w:val="Normal"/>
        <w:ind w:left="-142" w:right="-286"/>
        <w:jc w:val="both"/>
        <w:rPr>
          <w:rFonts w:ascii="Times New Roman" w:hAnsi="Times New Roman" w:eastAsia="Arial"/>
          <w:sz w:val="22"/>
          <w:szCs w:val="22"/>
        </w:rPr>
      </w:pPr>
      <w:r>
        <w:rPr>
          <w:rFonts w:eastAsia="Arial" w:ascii="Times New Roman" w:hAnsi="Times New Roman"/>
          <w:sz w:val="22"/>
          <w:szCs w:val="22"/>
        </w:rPr>
      </w:r>
    </w:p>
    <w:p>
      <w:pPr>
        <w:sectPr>
          <w:headerReference w:type="default" r:id="rId2"/>
          <w:footerReference w:type="default" r:id="rId3"/>
          <w:type w:val="nextPage"/>
          <w:pgSz w:w="11906" w:h="16838"/>
          <w:pgMar w:left="1418" w:right="1418" w:gutter="0" w:header="709" w:top="2552" w:footer="0" w:bottom="1418"/>
          <w:pgNumType w:start="1" w:fmt="decimal"/>
          <w:formProt w:val="false"/>
          <w:textDirection w:val="lrTb"/>
          <w:docGrid w:type="default" w:linePitch="100" w:charSpace="0"/>
        </w:sectPr>
      </w:pPr>
    </w:p>
    <w:p>
      <w:pPr>
        <w:pStyle w:val="Normal"/>
        <w:ind w:left="-142" w:right="-286"/>
        <w:jc w:val="center"/>
        <w:rPr>
          <w:rFonts w:ascii="Times New Roman" w:hAnsi="Times New Roman" w:eastAsia="Arial" w:cs="Times New Roman"/>
          <w:color w:val="000000"/>
          <w:sz w:val="22"/>
          <w:szCs w:val="22"/>
          <w:lang w:val="pt-PT"/>
        </w:rPr>
      </w:pPr>
      <w:r>
        <w:rPr>
          <w:rFonts w:eastAsia="Arial" w:cs="Times New Roman" w:ascii="Times New Roman" w:hAnsi="Times New Roman"/>
          <w:color w:val="000000"/>
          <w:sz w:val="22"/>
          <w:szCs w:val="22"/>
          <w:lang w:val="pt-PT"/>
        </w:rPr>
        <w:t>Francisco José Moura Cavalcante</w:t>
      </w:r>
    </w:p>
    <w:p>
      <w:pPr>
        <w:pStyle w:val="Standard"/>
        <w:tabs>
          <w:tab w:val="clear" w:pos="720"/>
          <w:tab w:val="left" w:pos="4826" w:leader="none"/>
          <w:tab w:val="left" w:pos="10028" w:leader="none"/>
          <w:tab w:val="left" w:pos="10158" w:leader="none"/>
          <w:tab w:val="left" w:pos="10288" w:leader="none"/>
          <w:tab w:val="left" w:pos="10326" w:leader="none"/>
        </w:tabs>
        <w:ind w:left="-142" w:right="-286"/>
        <w:jc w:val="center"/>
        <w:rPr>
          <w:rFonts w:ascii="Times New Roman" w:hAnsi="Times New Roman" w:eastAsia="Arial" w:cs="Times New Roman"/>
          <w:color w:val="000000"/>
          <w:sz w:val="22"/>
          <w:szCs w:val="22"/>
          <w:lang w:val="pt-PT"/>
        </w:rPr>
      </w:pPr>
      <w:r>
        <w:rPr>
          <w:rFonts w:eastAsia="Arial" w:cs="Times New Roman" w:ascii="Times New Roman" w:hAnsi="Times New Roman"/>
          <w:color w:val="000000"/>
          <w:sz w:val="22"/>
          <w:szCs w:val="22"/>
          <w:lang w:val="pt-PT"/>
        </w:rPr>
        <w:t>Ordenador de Despesa</w:t>
      </w:r>
    </w:p>
    <w:p>
      <w:pPr>
        <w:pStyle w:val="Normal"/>
        <w:ind w:left="-142" w:right="-286"/>
        <w:jc w:val="center"/>
        <w:rPr>
          <w:rFonts w:ascii="Times New Roman" w:hAnsi="Times New Roman" w:eastAsia="Arial" w:cs="Times New Roman"/>
          <w:color w:val="000000"/>
          <w:sz w:val="22"/>
          <w:szCs w:val="22"/>
          <w:lang w:val="pt-PT"/>
        </w:rPr>
      </w:pPr>
      <w:r>
        <w:rPr>
          <w:rFonts w:eastAsia="Arial" w:cs="Times New Roman" w:ascii="Times New Roman" w:hAnsi="Times New Roman"/>
          <w:color w:val="000000"/>
          <w:sz w:val="22"/>
          <w:szCs w:val="22"/>
          <w:lang w:val="pt-PT"/>
        </w:rPr>
      </w:r>
    </w:p>
    <w:p>
      <w:pPr>
        <w:pStyle w:val="Normal"/>
        <w:ind w:left="-142" w:right="-286"/>
        <w:jc w:val="center"/>
        <w:rPr>
          <w:rFonts w:ascii="Times New Roman" w:hAnsi="Times New Roman" w:eastAsia="Arial" w:cs="Times New Roman"/>
          <w:color w:val="000000"/>
          <w:sz w:val="22"/>
          <w:szCs w:val="22"/>
          <w:lang w:val="pt-PT"/>
        </w:rPr>
      </w:pPr>
      <w:r>
        <w:rPr>
          <w:rFonts w:eastAsia="Arial" w:cs="Times New Roman" w:ascii="Times New Roman" w:hAnsi="Times New Roman"/>
          <w:color w:val="000000"/>
          <w:sz w:val="22"/>
          <w:szCs w:val="22"/>
          <w:lang w:val="pt-PT"/>
        </w:rPr>
        <w:t>Beatriz Ribeiro Fernandes</w:t>
      </w:r>
    </w:p>
    <w:p>
      <w:pPr>
        <w:pStyle w:val="Normal"/>
        <w:ind w:left="-142" w:right="-286"/>
        <w:jc w:val="center"/>
        <w:rPr>
          <w:rFonts w:ascii="Times New Roman" w:hAnsi="Times New Roman" w:eastAsia="Arial" w:cs="Times New Roman"/>
          <w:color w:val="000000"/>
          <w:sz w:val="22"/>
          <w:szCs w:val="22"/>
          <w:lang w:val="pt-PT"/>
        </w:rPr>
      </w:pPr>
      <w:r>
        <w:rPr>
          <w:rFonts w:eastAsia="Arial" w:cs="Times New Roman" w:ascii="Times New Roman" w:hAnsi="Times New Roman"/>
          <w:color w:val="000000"/>
          <w:sz w:val="22"/>
          <w:szCs w:val="22"/>
          <w:lang w:val="pt-PT"/>
        </w:rPr>
        <w:t>Coordenadoria de Admnistração Palaciana</w:t>
      </w:r>
    </w:p>
    <w:p>
      <w:pPr>
        <w:sectPr>
          <w:type w:val="continuous"/>
          <w:pgSz w:w="11906" w:h="16838"/>
          <w:pgMar w:left="1418" w:right="1418" w:gutter="0" w:header="709" w:top="2552" w:footer="0" w:bottom="1418"/>
          <w:cols w:num="2" w:space="720" w:equalWidth="true" w:sep="false"/>
          <w:formProt w:val="false"/>
          <w:textDirection w:val="lrTb"/>
          <w:docGrid w:type="default" w:linePitch="100" w:charSpace="0"/>
        </w:sectPr>
      </w:pPr>
    </w:p>
    <w:p>
      <w:pPr>
        <w:pStyle w:val="Normal"/>
        <w:rPr/>
      </w:pPr>
      <w:r>
        <w:rPr/>
      </w:r>
    </w:p>
    <w:sectPr>
      <w:type w:val="continuous"/>
      <w:pgSz w:w="11906" w:h="16838"/>
      <w:pgMar w:left="1418" w:right="1418" w:gutter="0" w:header="709" w:top="2552" w:footer="0" w:bottom="1418"/>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Georgi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ind w:left="-1701"/>
      <w:rPr>
        <w:color w:val="000000"/>
      </w:rPr>
    </w:pPr>
    <w:r>
      <w:rPr/>
      <w:drawing>
        <wp:inline distT="0" distB="0" distL="0" distR="0">
          <wp:extent cx="9095105" cy="507365"/>
          <wp:effectExtent l="0" t="0" r="0" b="0"/>
          <wp:docPr id="2"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descr=""/>
                  <pic:cNvPicPr>
                    <a:picLocks noChangeAspect="1" noChangeArrowheads="1"/>
                  </pic:cNvPicPr>
                </pic:nvPicPr>
                <pic:blipFill>
                  <a:blip r:embed="rId1"/>
                  <a:srcRect l="0" t="0" r="0" b="22617"/>
                  <a:stretch>
                    <a:fillRect/>
                  </a:stretch>
                </pic:blipFill>
                <pic:spPr bwMode="auto">
                  <a:xfrm>
                    <a:off x="0" y="0"/>
                    <a:ext cx="9095105" cy="507365"/>
                  </a:xfrm>
                  <a:prstGeom prst="rect">
                    <a:avLst/>
                  </a:prstGeom>
                </pic:spPr>
              </pic:pic>
            </a:graphicData>
          </a:graphic>
        </wp:inline>
      </w:drawing>
      <w:drawing>
        <wp:anchor behindDoc="1" distT="0" distB="0" distL="0" distR="0" simplePos="0" locked="0" layoutInCell="1" allowOverlap="1" relativeHeight="15">
          <wp:simplePos x="0" y="0"/>
          <wp:positionH relativeFrom="column">
            <wp:posOffset>-624840</wp:posOffset>
          </wp:positionH>
          <wp:positionV relativeFrom="paragraph">
            <wp:posOffset>-278765</wp:posOffset>
          </wp:positionV>
          <wp:extent cx="3373120" cy="410845"/>
          <wp:effectExtent l="0" t="0" r="0" b="0"/>
          <wp:wrapNone/>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2"/>
                  <a:stretch>
                    <a:fillRect/>
                  </a:stretch>
                </pic:blipFill>
                <pic:spPr bwMode="auto">
                  <a:xfrm>
                    <a:off x="0" y="0"/>
                    <a:ext cx="3373120" cy="41084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jc w:val="center"/>
      <w:rPr>
        <w:color w:val="000000"/>
      </w:rPr>
    </w:pPr>
    <w:r>
      <w:rPr/>
      <w:drawing>
        <wp:inline distT="0" distB="0" distL="0" distR="0">
          <wp:extent cx="1415415" cy="1190625"/>
          <wp:effectExtent l="0" t="0" r="0" b="0"/>
          <wp:docPr id="1" name="image2.png"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Logotipo, nome da empresa&#10;&#10;Descrição gerada automaticamente"/>
                  <pic:cNvPicPr>
                    <a:picLocks noChangeAspect="1" noChangeArrowheads="1"/>
                  </pic:cNvPicPr>
                </pic:nvPicPr>
                <pic:blipFill>
                  <a:blip r:embed="rId1"/>
                  <a:stretch>
                    <a:fillRect/>
                  </a:stretch>
                </pic:blipFill>
                <pic:spPr bwMode="auto">
                  <a:xfrm>
                    <a:off x="0" y="0"/>
                    <a:ext cx="1415415" cy="1190625"/>
                  </a:xfrm>
                  <a:prstGeom prst="rect">
                    <a:avLst/>
                  </a:prstGeom>
                </pic:spPr>
              </pic:pic>
            </a:graphicData>
          </a:graphic>
        </wp:inline>
      </w:drawing>
    </w:r>
  </w:p>
</w:hdr>
</file>

<file path=word/settings.xml><?xml version="1.0" encoding="utf-8"?>
<w:settings xmlns:w="http://schemas.openxmlformats.org/wordprocessingml/2006/main">
  <w:zoom w:percent="100"/>
  <w:defaultTabStop w:val="720"/>
  <w:autoHyphenation w:val="true"/>
  <w:hyphenationZone w:val="425"/>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Cs w:val="24"/>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Calibri" w:hAnsi="Calibri" w:eastAsia="Calibri" w:cs="Calibri"/>
      <w:color w:val="auto"/>
      <w:kern w:val="0"/>
      <w:sz w:val="24"/>
      <w:szCs w:val="24"/>
      <w:lang w:val="pt-BR" w:eastAsia="pt-BR" w:bidi="ar-SA"/>
    </w:rPr>
  </w:style>
  <w:style w:type="paragraph" w:styleId="Heading1">
    <w:name w:val="Heading 1"/>
    <w:basedOn w:val="Normal"/>
    <w:next w:val="Normal"/>
    <w:qFormat/>
    <w:pPr>
      <w:keepNext w:val="true"/>
      <w:keepLines/>
      <w:spacing w:before="480" w:after="120"/>
      <w:outlineLvl w:val="0"/>
    </w:pPr>
    <w:rPr>
      <w:b/>
      <w:sz w:val="48"/>
      <w:szCs w:val="48"/>
    </w:rPr>
  </w:style>
  <w:style w:type="paragraph" w:styleId="Heading2">
    <w:name w:val="Heading 2"/>
    <w:basedOn w:val="Normal"/>
    <w:next w:val="Normal"/>
    <w:qFormat/>
    <w:pPr>
      <w:keepNext w:val="true"/>
      <w:keepLines/>
      <w:spacing w:before="360" w:after="80"/>
      <w:outlineLvl w:val="1"/>
    </w:pPr>
    <w:rPr>
      <w:b/>
      <w:sz w:val="36"/>
      <w:szCs w:val="36"/>
    </w:rPr>
  </w:style>
  <w:style w:type="paragraph" w:styleId="Heading3">
    <w:name w:val="Heading 3"/>
    <w:basedOn w:val="Normal"/>
    <w:next w:val="Normal"/>
    <w:qFormat/>
    <w:pPr>
      <w:keepNext w:val="true"/>
      <w:keepLines/>
      <w:spacing w:before="280" w:after="80"/>
      <w:outlineLvl w:val="2"/>
    </w:pPr>
    <w:rPr>
      <w:b/>
      <w:sz w:val="28"/>
      <w:szCs w:val="28"/>
    </w:rPr>
  </w:style>
  <w:style w:type="paragraph" w:styleId="Heading4">
    <w:name w:val="Heading 4"/>
    <w:basedOn w:val="Normal"/>
    <w:next w:val="Normal"/>
    <w:qFormat/>
    <w:pPr>
      <w:keepNext w:val="true"/>
      <w:keepLines/>
      <w:spacing w:before="240" w:after="40"/>
      <w:outlineLvl w:val="3"/>
    </w:pPr>
    <w:rPr>
      <w:b/>
    </w:rPr>
  </w:style>
  <w:style w:type="paragraph" w:styleId="Heading5">
    <w:name w:val="Heading 5"/>
    <w:basedOn w:val="Normal"/>
    <w:next w:val="Normal"/>
    <w:qFormat/>
    <w:pPr>
      <w:keepNext w:val="true"/>
      <w:keepLines/>
      <w:spacing w:before="220" w:after="40"/>
      <w:outlineLvl w:val="4"/>
    </w:pPr>
    <w:rPr>
      <w:b/>
      <w:sz w:val="22"/>
      <w:szCs w:val="22"/>
    </w:rPr>
  </w:style>
  <w:style w:type="paragraph" w:styleId="Heading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6c5575"/>
    <w:rPr/>
  </w:style>
  <w:style w:type="character" w:styleId="RodapChar" w:customStyle="1">
    <w:name w:val="Rodapé Char"/>
    <w:basedOn w:val="DefaultParagraphFont"/>
    <w:uiPriority w:val="99"/>
    <w:qFormat/>
    <w:rsid w:val="006c5575"/>
    <w:rPr/>
  </w:style>
  <w:style w:type="character" w:styleId="CorpodetextoChar" w:customStyle="1">
    <w:name w:val="Corpo de texto Char"/>
    <w:basedOn w:val="DefaultParagraphFont"/>
    <w:link w:val="Textbody"/>
    <w:qFormat/>
    <w:rsid w:val="00ad6d05"/>
    <w:rPr>
      <w:rFonts w:ascii="Calibri" w:hAnsi="Calibri" w:eastAsia="Calibri" w:cs="Calibri"/>
    </w:rPr>
  </w:style>
  <w:style w:type="character" w:styleId="Internetlink" w:customStyle="1">
    <w:name w:val="Internet link"/>
    <w:qFormat/>
    <w:rsid w:val="000057fd"/>
    <w:rPr>
      <w:color w:val="000080"/>
      <w:u w:val="single"/>
    </w:rPr>
  </w:style>
  <w:style w:type="character" w:styleId="Hyperlink1" w:customStyle="1">
    <w:name w:val="Hyperlink1"/>
    <w:qFormat/>
    <w:rPr>
      <w:color w:val="000080"/>
      <w:u w:val="single"/>
    </w:rPr>
  </w:style>
  <w:style w:type="character" w:styleId="Hyperlink">
    <w:name w:val="Hyperlink"/>
    <w:rPr>
      <w:color w:val="000080"/>
      <w:u w:val="single"/>
    </w:rPr>
  </w:style>
  <w:style w:type="character" w:styleId="Fmybhe" w:customStyle="1">
    <w:name w:val="fmybhe"/>
    <w:qFormat/>
    <w:rPr>
      <w:rFonts w:ascii="Times New Roman" w:hAnsi="Times New Roman" w:eastAsia="Times New Roman" w:cs="Times New Roman"/>
      <w:color w:val="000000"/>
      <w:sz w:val="24"/>
      <w:szCs w:val="24"/>
    </w:rPr>
  </w:style>
  <w:style w:type="character" w:styleId="TextodebaloChar" w:customStyle="1">
    <w:name w:val="Texto de balão Char"/>
    <w:qFormat/>
    <w:rPr>
      <w:rFonts w:ascii="Segoe UI" w:hAnsi="Segoe UI" w:eastAsia="Times New Roman" w:cs="Segoe UI"/>
      <w:color w:val="000000"/>
      <w:sz w:val="18"/>
      <w:szCs w:val="18"/>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ad6d05"/>
    <w:pPr>
      <w:spacing w:lineRule="auto" w:line="288"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itle">
    <w:name w:val="Title"/>
    <w:basedOn w:val="Normal"/>
    <w:next w:val="BodyText"/>
    <w:qFormat/>
    <w:pPr>
      <w:keepNext w:val="true"/>
      <w:keepLines/>
      <w:spacing w:before="480" w:after="120"/>
    </w:pPr>
    <w:rPr>
      <w:b/>
      <w:sz w:val="72"/>
      <w:szCs w:val="72"/>
    </w:rPr>
  </w:style>
  <w:style w:type="paragraph" w:styleId="Caption1">
    <w:name w:val="caption1"/>
    <w:basedOn w:val="Normal"/>
    <w:qFormat/>
    <w:pPr>
      <w:suppressLineNumbers/>
      <w:spacing w:before="120" w:after="120"/>
    </w:pPr>
    <w:rPr>
      <w:rFonts w:cs="Arial"/>
      <w:i/>
      <w:iCs/>
    </w:rPr>
  </w:style>
  <w:style w:type="paragraph" w:styleId="Caption11" w:customStyle="1">
    <w:name w:val="caption11"/>
    <w:basedOn w:val="Normal"/>
    <w:qFormat/>
    <w:pPr>
      <w:suppressLineNumbers/>
      <w:spacing w:before="120" w:after="120"/>
    </w:pPr>
    <w:rPr>
      <w:rFonts w:cs="Mangal"/>
      <w:i/>
      <w:iCs/>
    </w:rPr>
  </w:style>
  <w:style w:type="paragraph" w:styleId="CabealhoeRodap" w:customStyle="1">
    <w:name w:val="Cabeçalho e Rodapé"/>
    <w:basedOn w:val="Normal"/>
    <w:qFormat/>
    <w:pPr/>
    <w:rPr/>
  </w:style>
  <w:style w:type="paragraph" w:styleId="Header">
    <w:name w:val="Header"/>
    <w:basedOn w:val="Normal"/>
    <w:link w:val="CabealhoChar"/>
    <w:uiPriority w:val="99"/>
    <w:unhideWhenUsed/>
    <w:rsid w:val="006c5575"/>
    <w:pPr>
      <w:tabs>
        <w:tab w:val="clear" w:pos="720"/>
        <w:tab w:val="center" w:pos="4252" w:leader="none"/>
        <w:tab w:val="right" w:pos="8504" w:leader="none"/>
      </w:tabs>
    </w:pPr>
    <w:rPr/>
  </w:style>
  <w:style w:type="paragraph" w:styleId="Footer">
    <w:name w:val="Footer"/>
    <w:basedOn w:val="Normal"/>
    <w:link w:val="RodapChar"/>
    <w:uiPriority w:val="99"/>
    <w:unhideWhenUsed/>
    <w:rsid w:val="006c5575"/>
    <w:pPr>
      <w:tabs>
        <w:tab w:val="clear" w:pos="720"/>
        <w:tab w:val="center" w:pos="4252" w:leader="none"/>
        <w:tab w:val="right" w:pos="8504" w:leader="none"/>
      </w:tabs>
    </w:pPr>
    <w:rPr/>
  </w:style>
  <w:style w:type="paragraph" w:styleId="Standard" w:customStyle="1">
    <w:name w:val="Standard"/>
    <w:qFormat/>
    <w:rsid w:val="00ad6d05"/>
    <w:pPr>
      <w:widowControl/>
      <w:suppressAutoHyphens w:val="true"/>
      <w:bidi w:val="0"/>
      <w:spacing w:before="0" w:after="0"/>
      <w:jc w:val="left"/>
      <w:textAlignment w:val="baseline"/>
    </w:pPr>
    <w:rPr>
      <w:rFonts w:ascii="Liberation Serif" w:hAnsi="Liberation Serif" w:eastAsia="Arial Unicode MS" w:cs="Mangal"/>
      <w:color w:val="auto"/>
      <w:kern w:val="2"/>
      <w:sz w:val="24"/>
      <w:szCs w:val="24"/>
      <w:lang w:eastAsia="zh-CN" w:bidi="hi-IN" w:val="pt-BR"/>
    </w:rPr>
  </w:style>
  <w:style w:type="paragraph" w:styleId="Textbody" w:customStyle="1">
    <w:name w:val="Text body"/>
    <w:basedOn w:val="Standard"/>
    <w:link w:val="CorpodetextoChar"/>
    <w:qFormat/>
    <w:rsid w:val="00ad6d05"/>
    <w:pPr>
      <w:spacing w:before="0" w:after="120"/>
    </w:pPr>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ListParagraph">
    <w:name w:val="List Paragraph"/>
    <w:basedOn w:val="Normal"/>
    <w:uiPriority w:val="1"/>
    <w:qFormat/>
    <w:rsid w:val="00482ea1"/>
    <w:pPr>
      <w:ind w:left="115"/>
      <w:jc w:val="both"/>
    </w:pPr>
    <w:rPr>
      <w:rFonts w:ascii="Times New Roman" w:hAnsi="Times New Roman" w:eastAsia="Times New Roman" w:cs="Times New Roman"/>
      <w:sz w:val="22"/>
      <w:szCs w:val="22"/>
      <w:lang w:val="pt-PT" w:eastAsia="pt-PT" w:bidi="pt-PT"/>
    </w:rPr>
  </w:style>
  <w:style w:type="paragraph" w:styleId="Z-TopofForm" w:customStyle="1">
    <w:name w:val="z-Top of Form"/>
    <w:next w:val="Standard"/>
    <w:qFormat/>
    <w:rsid w:val="000057fd"/>
    <w:pPr>
      <w:widowControl/>
      <w:suppressAutoHyphens w:val="true"/>
      <w:bidi w:val="0"/>
      <w:spacing w:before="0" w:after="0"/>
      <w:jc w:val="center"/>
      <w:textAlignment w:val="baseline"/>
    </w:pPr>
    <w:rPr>
      <w:rFonts w:ascii="Arial" w:hAnsi="Arial" w:eastAsia="Arial" w:cs="Arial"/>
      <w:vanish/>
      <w:color w:val="auto"/>
      <w:kern w:val="2"/>
      <w:sz w:val="16"/>
      <w:szCs w:val="16"/>
      <w:lang w:eastAsia="zh-CN" w:bidi="hi-IN" w:val="pt-BR"/>
    </w:rPr>
  </w:style>
  <w:style w:type="paragraph" w:styleId="Nivel2" w:customStyle="1">
    <w:name w:val="Nivel 2"/>
    <w:basedOn w:val="Standard"/>
    <w:qFormat/>
    <w:rsid w:val="000057fd"/>
    <w:pPr>
      <w:spacing w:lineRule="auto" w:line="276" w:before="120" w:after="120"/>
      <w:jc w:val="both"/>
    </w:pPr>
    <w:rPr>
      <w:rFonts w:ascii="Arial" w:hAnsi="Arial" w:eastAsia="Arial" w:cs="Arial"/>
      <w:color w:val="000000"/>
      <w:sz w:val="20"/>
      <w:szCs w:val="20"/>
    </w:rPr>
  </w:style>
  <w:style w:type="paragraph" w:styleId="Nivel3" w:customStyle="1">
    <w:name w:val="Nivel 3"/>
    <w:basedOn w:val="Normal"/>
    <w:qFormat/>
    <w:pPr>
      <w:spacing w:lineRule="auto" w:line="276" w:before="120" w:after="120"/>
      <w:jc w:val="both"/>
    </w:pPr>
    <w:rPr>
      <w:rFonts w:ascii="Arial" w:hAnsi="Arial" w:cs="Arial"/>
      <w:color w:val="000000"/>
      <w:sz w:val="20"/>
      <w:szCs w:val="20"/>
    </w:rPr>
  </w:style>
  <w:style w:type="paragraph" w:styleId="BalloonText">
    <w:name w:val="Balloon Text"/>
    <w:basedOn w:val="Normal"/>
    <w:qFormat/>
    <w:pPr/>
    <w:rPr>
      <w:rFonts w:ascii="Segoe UI" w:hAnsi="Segoe UI" w:cs="Segoe UI"/>
      <w:sz w:val="18"/>
      <w:szCs w:val="18"/>
    </w:rPr>
  </w:style>
  <w:style w:type="paragraph" w:styleId="Caption111" w:customStyle="1">
    <w:name w:val="caption111"/>
    <w:basedOn w:val="Normal"/>
    <w:qFormat/>
    <w:pPr>
      <w:spacing w:before="120" w:after="120"/>
    </w:pPr>
    <w:rPr>
      <w:rFonts w:cs="Mangal"/>
      <w:i/>
      <w:i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ad6d0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WlGPagMSRtBWYbXbgYRbhtwGvMQ==">CgMxLjAyCGguZ2pkZ3hzOAByITE0N2ZKS3RrUXYzSlRQeTR2NkdkS09lYzdQVW9XdV9HSQ==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622</TotalTime>
  <Application>LibreOffice/7.6.0.3$Windows_X86_64 LibreOffice_project/69edd8b8ebc41d00b4de3915dc82f8f0fc3b6265</Application>
  <AppVersion>15.0000</AppVersion>
  <Pages>8</Pages>
  <Words>3741</Words>
  <Characters>21523</Characters>
  <CharactersWithSpaces>25125</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2024-02-02T20:11:00Z</dcterms:created>
  <dc:creator>José de Sousa Braga Filho</dc:creator>
  <dc:description/>
  <dc:language>pt-BR</dc:language>
  <cp:lastModifiedBy>Beatriz Ribeiro Fernandes</cp:lastModifiedBy>
  <cp:lastPrinted>2024-01-18T15:19:00Z</cp:lastPrinted>
  <dcterms:modified xsi:type="dcterms:W3CDTF">2024-02-02T20:52:00Z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MSIP_Label_defa4170-0d19-0005-0004-bc88714345d2_ActionId">
    <vt:lpwstr>ba7bd544-fbad-426b-92ef-d5780cc51454</vt:lpwstr>
  </property>
  <property fmtid="{D5CDD505-2E9C-101B-9397-08002B2CF9AE}" pid="5" name="MSIP_Label_defa4170-0d19-0005-0004-bc88714345d2_ContentBits">
    <vt:lpwstr>0</vt:lpwstr>
  </property>
  <property fmtid="{D5CDD505-2E9C-101B-9397-08002B2CF9AE}" pid="6" name="MSIP_Label_defa4170-0d19-0005-0004-bc88714345d2_Enabled">
    <vt:lpwstr>true</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etDate">
    <vt:lpwstr>2023-03-22T15:52:34Z</vt:lpwstr>
  </property>
  <property fmtid="{D5CDD505-2E9C-101B-9397-08002B2CF9AE}" pid="10" name="MSIP_Label_defa4170-0d19-0005-0004-bc88714345d2_SiteId">
    <vt:lpwstr>d994ddef-51c7-4851-9e6e-51209c4dc3e4</vt:lpwstr>
  </property>
  <property fmtid="{D5CDD505-2E9C-101B-9397-08002B2CF9AE}" pid="11" name="ScaleCrop">
    <vt:bool>0</vt:bool>
  </property>
  <property fmtid="{D5CDD505-2E9C-101B-9397-08002B2CF9AE}" pid="12" name="ShareDoc">
    <vt:bool>0</vt:bool>
  </property>
</Properties>
</file>