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widowControl w:val="false"/>
        <w:rPr/>
      </w:pPr>
      <w:r>
        <w:rPr/>
      </w:r>
    </w:p>
    <w:p>
      <w:pPr>
        <w:pStyle w:val="Normal1"/>
        <w:spacing w:lineRule="auto" w:line="240"/>
        <w:jc w:val="both"/>
        <w:rPr>
          <w:rFonts w:ascii="Times New Roman" w:hAnsi="Times New Roman" w:eastAsia="Times New Roman" w:cs="Times New Roman"/>
          <w:b/>
          <w:color w:val="000000"/>
          <w:sz w:val="22"/>
          <w:szCs w:val="22"/>
        </w:rPr>
      </w:pPr>
      <w:r>
        <w:rPr>
          <w:rFonts w:eastAsia="Times New Roman" w:cs="Times New Roman" w:ascii="Times New Roman" w:hAnsi="Times New Roman"/>
          <w:b/>
          <w:color w:val="000000"/>
          <w:sz w:val="22"/>
          <w:szCs w:val="22"/>
        </w:rPr>
      </w:r>
    </w:p>
    <w:p>
      <w:pPr>
        <w:pStyle w:val="Normal1"/>
        <w:spacing w:lineRule="auto" w:line="240" w:before="57" w:after="57"/>
        <w:jc w:val="center"/>
        <w:rPr/>
      </w:pPr>
      <w:r>
        <w:rPr>
          <w:rFonts w:eastAsia="Times New Roman" w:cs="Times New Roman" w:ascii="Arial" w:hAnsi="Arial"/>
          <w:color w:val="000000"/>
          <w:sz w:val="22"/>
          <w:szCs w:val="22"/>
        </w:rPr>
        <w:t>Pregão Eletrônico nº 20250017 - Casa Civil</w:t>
      </w:r>
    </w:p>
    <w:p>
      <w:pPr>
        <w:pStyle w:val="Normal1"/>
        <w:spacing w:lineRule="auto" w:line="240" w:before="57" w:after="57"/>
        <w:jc w:val="center"/>
        <w:rPr/>
      </w:pPr>
      <w:r>
        <w:rPr>
          <w:rFonts w:eastAsia="Times New Roman" w:cs="Times New Roman" w:ascii="Arial" w:hAnsi="Arial"/>
          <w:color w:val="000000"/>
          <w:sz w:val="22"/>
          <w:szCs w:val="22"/>
        </w:rPr>
        <w:t>Processo nº</w:t>
      </w:r>
      <w:r>
        <w:rPr>
          <w:rFonts w:eastAsia="Arial" w:cs="Arial" w:ascii="Arial" w:hAnsi="Arial"/>
          <w:b/>
          <w:sz w:val="22"/>
          <w:szCs w:val="22"/>
        </w:rPr>
        <w:t xml:space="preserve"> </w:t>
      </w:r>
      <w:hyperlink r:id="rId2">
        <w:r>
          <w:rPr>
            <w:rFonts w:eastAsia="Arial" w:cs="Arial" w:ascii="Arial" w:hAnsi="Arial"/>
            <w:b/>
            <w:sz w:val="22"/>
            <w:szCs w:val="22"/>
          </w:rPr>
          <w:t xml:space="preserve">30001.010894/2024-82 </w:t>
        </w:r>
      </w:hyperlink>
    </w:p>
    <w:p>
      <w:pPr>
        <w:pStyle w:val="Normal1"/>
        <w:spacing w:lineRule="auto" w:line="240" w:before="57" w:after="57"/>
        <w:jc w:val="center"/>
        <w:rPr/>
      </w:pPr>
      <w:r>
        <w:rPr>
          <w:rFonts w:eastAsia="Times New Roman" w:cs="Times New Roman" w:ascii="Arial" w:hAnsi="Arial"/>
          <w:color w:val="000000"/>
          <w:sz w:val="22"/>
          <w:szCs w:val="22"/>
        </w:rPr>
        <w:t>UASG: 9430</w:t>
      </w:r>
      <w:r>
        <w:rPr>
          <w:rFonts w:eastAsia="Times New Roman" w:cs="Times New Roman" w:ascii="Arial" w:hAnsi="Arial"/>
          <w:color w:val="000000"/>
          <w:sz w:val="22"/>
          <w:szCs w:val="22"/>
          <w:highlight w:val="white"/>
        </w:rPr>
        <w:t>01</w:t>
      </w:r>
    </w:p>
    <w:p>
      <w:pPr>
        <w:pStyle w:val="Normal1"/>
        <w:spacing w:lineRule="auto" w:line="240" w:before="57" w:after="57"/>
        <w:jc w:val="center"/>
        <w:rPr/>
      </w:pPr>
      <w:r>
        <w:rPr>
          <w:rFonts w:eastAsia="Times New Roman" w:cs="Times New Roman" w:ascii="Arial" w:hAnsi="Arial"/>
          <w:color w:val="000000"/>
          <w:sz w:val="22"/>
          <w:szCs w:val="22"/>
        </w:rPr>
        <w:t xml:space="preserve">Número Comprasnet: </w:t>
      </w:r>
    </w:p>
    <w:p>
      <w:pPr>
        <w:pStyle w:val="Normal1"/>
        <w:spacing w:lineRule="auto" w:line="240" w:before="57" w:after="57"/>
        <w:jc w:val="center"/>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1"/>
        <w:spacing w:lineRule="auto" w:line="240" w:before="57" w:after="57"/>
        <w:jc w:val="both"/>
        <w:rPr>
          <w:rFonts w:ascii="Arial" w:hAnsi="Arial"/>
        </w:rPr>
      </w:pPr>
      <w:r>
        <w:rPr>
          <w:rFonts w:eastAsia="Times New Roman" w:cs="Times New Roman" w:ascii="Arial" w:hAnsi="Arial"/>
          <w:color w:val="000000"/>
          <w:sz w:val="22"/>
          <w:szCs w:val="22"/>
        </w:rPr>
        <w:t>A Casa Civil</w:t>
      </w:r>
      <w:r>
        <w:rPr>
          <w:rFonts w:eastAsia="Times New Roman" w:cs="Times New Roman" w:ascii="Arial" w:hAnsi="Arial"/>
          <w:i/>
          <w:color w:val="000000"/>
          <w:sz w:val="22"/>
          <w:szCs w:val="22"/>
        </w:rPr>
        <w:t>,</w:t>
      </w:r>
      <w:r>
        <w:rPr>
          <w:rFonts w:eastAsia="Times New Roman" w:cs="Times New Roman" w:ascii="Arial" w:hAnsi="Arial"/>
          <w:color w:val="000000"/>
          <w:sz w:val="22"/>
          <w:szCs w:val="22"/>
        </w:rPr>
        <w:t xml:space="preserve"> por intermédio do pregoeiro e do membro da equipe de apoio designados por ato do Governador do Estado, que ora integra os autos, torna público que realizará licitação na modalidade PREGÃO, na forma eletrônica, nos termos da Lei Federal nº 14.133, de 1º de abril de 2021.</w:t>
      </w:r>
    </w:p>
    <w:p>
      <w:pPr>
        <w:pStyle w:val="Normal1"/>
        <w:spacing w:lineRule="auto" w:line="240" w:before="57" w:after="57"/>
        <w:jc w:val="both"/>
        <w:rPr>
          <w:rFonts w:ascii="Arial" w:hAnsi="Arial"/>
        </w:rPr>
      </w:pPr>
      <w:r>
        <w:rPr>
          <w:rFonts w:eastAsia="Times New Roman" w:cs="Times New Roman" w:ascii="Arial" w:hAnsi="Arial"/>
          <w:b/>
          <w:color w:val="000000"/>
          <w:sz w:val="22"/>
          <w:szCs w:val="22"/>
        </w:rPr>
        <w:t>1. DO CRITÉRIO DE JULGAMENTO E DO MODO DE DISPUTA</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1.1. O critério de julgamento será o de Menor Preço.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1.2. O modo de disputa será o aberto e fechado.</w:t>
      </w:r>
    </w:p>
    <w:p>
      <w:pPr>
        <w:pStyle w:val="Normal1"/>
        <w:spacing w:lineRule="auto" w:line="240" w:before="57" w:after="57"/>
        <w:jc w:val="both"/>
        <w:rPr>
          <w:rFonts w:ascii="Arial" w:hAnsi="Arial"/>
        </w:rPr>
      </w:pPr>
      <w:r>
        <w:rPr>
          <w:rFonts w:eastAsia="Times New Roman" w:cs="Times New Roman" w:ascii="Arial" w:hAnsi="Arial"/>
          <w:b/>
          <w:color w:val="000000"/>
          <w:sz w:val="22"/>
          <w:szCs w:val="22"/>
        </w:rPr>
        <w:t>2. DO REGIME DE EXECUÇÃO INDIRETA</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2.1. O regime de execução indireta se dará por empreitada por preço global.</w:t>
      </w:r>
    </w:p>
    <w:p>
      <w:pPr>
        <w:pStyle w:val="Normal1"/>
        <w:spacing w:lineRule="auto" w:line="240" w:before="57" w:after="57"/>
        <w:jc w:val="both"/>
        <w:rPr>
          <w:rFonts w:ascii="Arial" w:hAnsi="Arial" w:eastAsia="Times New Roman" w:cs="Times New Roman"/>
        </w:rPr>
      </w:pPr>
      <w:r>
        <w:rPr>
          <w:rFonts w:eastAsia="Times New Roman" w:cs="Times New Roman" w:ascii="Arial" w:hAnsi="Arial"/>
          <w:b/>
          <w:color w:val="000000"/>
          <w:sz w:val="22"/>
          <w:szCs w:val="22"/>
        </w:rPr>
        <w:t>3. DA BASE LEGAL</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t xml:space="preserve">3.1. A licitação se encontra baseada na Lei Federal nº 14.133, de 1º de abril de 2021, e suas alterações, Lei Estadual nº 18.417, de 11 de julho de 2023, Lei Federal nº 14.682, de 20 de setembro de 2023, Lei Complementar nº 123, de 14 de dezembro de 2006, Lei Complementar Estadual nº 65, de 3 de janeiro de 2008, Lei Complementar Estadual nº 134, de 7 de abril de 2014, Lei Estadual nº 15.950, de 14 de janeiro de 2016, Decreto Estadual nº 35.067, de 21 de dezembro de 2022, e suas alterações, Decreto Estadual nº 35.283, de 19 de janeiro de 2023, Decreto Estadual nº 35.790, de 20 de dezembro de 2023, Instrução Normativa Conjunta nº 003/2022 – SEPLAG/CGE/SEFAZ, de 07 de novembro de 2022, Instrução Normativa nº 004/2024 – SEPLAG, de 13 de janeiro de 2025, Decreto Estadual nº 35.726, de 30 de outubro de 2023,  Portaria PGE/GAB nº 36, de 8 de março de 2024 e demais legislação aplicável e, ainda, de acordo com as condições estabelecidas neste edital e seus anexos. </w:t>
      </w:r>
    </w:p>
    <w:p>
      <w:pPr>
        <w:pStyle w:val="Normal1"/>
        <w:spacing w:lineRule="auto" w:line="240" w:before="57" w:after="57"/>
        <w:jc w:val="both"/>
        <w:rPr>
          <w:rFonts w:ascii="Arial" w:hAnsi="Arial"/>
        </w:rPr>
      </w:pPr>
      <w:r>
        <w:rPr>
          <w:rFonts w:eastAsia="Times New Roman" w:cs="Times New Roman" w:ascii="Arial" w:hAnsi="Arial"/>
          <w:b/>
          <w:color w:val="000000"/>
          <w:sz w:val="22"/>
          <w:szCs w:val="22"/>
        </w:rPr>
        <w:t>4. DO OBJETO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4.1. O objeto da licitação é a contratação de empresa para prestação de serviços contínuos a serem executados com dedicação exclusiva de mão de obra terceirizada, regidos pela Consolidação da Leis Trabalhistas (CLT) para as categorias, condições e quantidades estabelecidas neste edital e seus anexos e na proposta do contratado, para atender as necessidades da área de Vigilância Patrimonial nas sedes dos Núcleos de Ação Pela Paz – NAPAZ.</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4.2. A licitação será realizada por item</w:t>
      </w:r>
      <w:r>
        <w:rPr>
          <w:rFonts w:eastAsia="Times New Roman" w:cs="Times New Roman" w:ascii="Arial" w:hAnsi="Arial"/>
          <w:i/>
          <w:color w:val="000000"/>
          <w:sz w:val="22"/>
          <w:szCs w:val="22"/>
        </w:rPr>
        <w:t>,</w:t>
      </w:r>
      <w:r>
        <w:rPr>
          <w:rFonts w:eastAsia="Times New Roman" w:cs="Times New Roman" w:ascii="Arial" w:hAnsi="Arial"/>
          <w:color w:val="000000"/>
          <w:sz w:val="22"/>
          <w:szCs w:val="22"/>
        </w:rPr>
        <w:t xml:space="preserve"> conforme tabela contante do Termo de Referência.</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5. DO ACESSO AO EDITAL, DO LOCAL DE REALIZAÇÃO E DO PREGOEIRO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5.1. Este edital está disponível gratuitamente nos </w:t>
      </w:r>
      <w:r>
        <w:rPr>
          <w:rFonts w:eastAsia="Times New Roman" w:cs="Times New Roman" w:ascii="Arial" w:hAnsi="Arial"/>
          <w:i/>
          <w:color w:val="000000"/>
          <w:sz w:val="22"/>
          <w:szCs w:val="22"/>
        </w:rPr>
        <w:t xml:space="preserve">sítios </w:t>
      </w:r>
      <w:r>
        <w:rPr>
          <w:rFonts w:eastAsia="Times New Roman" w:cs="Times New Roman" w:ascii="Arial" w:hAnsi="Arial"/>
          <w:color w:val="000000"/>
          <w:sz w:val="22"/>
          <w:szCs w:val="22"/>
        </w:rPr>
        <w:t>www.portalcompras.ce.gov.br e https://www.gov.br/compras/pt-br/acesso-a-informacao/consulta-detalhada.</w:t>
      </w:r>
    </w:p>
    <w:p>
      <w:pPr>
        <w:pStyle w:val="Normal1"/>
        <w:spacing w:lineRule="auto" w:line="240" w:before="57" w:after="57"/>
        <w:jc w:val="both"/>
        <w:rPr/>
      </w:pPr>
      <w:r>
        <w:rPr>
          <w:rFonts w:eastAsia="Times New Roman" w:cs="Times New Roman" w:ascii="Arial" w:hAnsi="Arial"/>
          <w:color w:val="000000"/>
          <w:sz w:val="22"/>
          <w:szCs w:val="22"/>
        </w:rPr>
        <w:t xml:space="preserve">5.2. O certame será realizado por meio do sistema do Compras.gov.br, no endereço eletrônico </w:t>
      </w:r>
      <w:hyperlink r:id="rId3">
        <w:r>
          <w:rPr>
            <w:rFonts w:eastAsia="Times New Roman" w:cs="Times New Roman" w:ascii="Arial" w:hAnsi="Arial"/>
            <w:color w:val="000000"/>
            <w:sz w:val="22"/>
            <w:szCs w:val="22"/>
          </w:rPr>
          <w:t>https://www.comprasnet.gov.br/seguro/loginPortal.asp</w:t>
        </w:r>
      </w:hyperlink>
      <w:r>
        <w:rPr>
          <w:rFonts w:eastAsia="Times New Roman" w:cs="Times New Roman" w:ascii="Arial" w:hAnsi="Arial"/>
          <w:color w:val="000000"/>
          <w:sz w:val="22"/>
          <w:szCs w:val="22"/>
        </w:rPr>
        <w:t>, pelo(a) pregoeiro(a) ________________.</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5.3. A audiência requerida por representante de licitante ou interessado em participar de licitação, com o fito de despachar sobre recurso ou impugnação de sua autoria junto à Central de Licitações da Procuradoria-Geral do Estado, será realizada conforme disposto na Portaria/PGE nº 38/2022, publicada na pg. 18 do DOE de 17/03/2022.</w:t>
      </w:r>
    </w:p>
    <w:p>
      <w:pPr>
        <w:pStyle w:val="Normal1"/>
        <w:spacing w:lineRule="auto" w:line="240" w:before="57" w:after="57"/>
        <w:jc w:val="both"/>
        <w:rPr/>
      </w:pPr>
      <w:r>
        <w:rPr>
          <w:rFonts w:eastAsia="Times New Roman" w:cs="Times New Roman" w:ascii="Arial" w:hAnsi="Arial"/>
          <w:color w:val="000000"/>
          <w:sz w:val="22"/>
          <w:szCs w:val="22"/>
        </w:rPr>
        <w:t xml:space="preserve">5.4. A equipe de apoio atende pelo telefone de nº (85) ______________ e pelo e-mail: </w:t>
      </w:r>
      <w:hyperlink r:id="rId4">
        <w:r>
          <w:rPr>
            <w:rFonts w:eastAsia="Times New Roman" w:cs="Times New Roman" w:ascii="Arial" w:hAnsi="Arial"/>
            <w:color w:val="000000"/>
            <w:sz w:val="22"/>
            <w:szCs w:val="22"/>
            <w:u w:val="single"/>
          </w:rPr>
          <w:t>licitacao@pge.ce.gov.br</w:t>
        </w:r>
      </w:hyperlink>
      <w:r>
        <w:rPr>
          <w:rFonts w:eastAsia="Times New Roman" w:cs="Times New Roman" w:ascii="Arial" w:hAnsi="Arial"/>
          <w:color w:val="000000"/>
          <w:sz w:val="22"/>
          <w:szCs w:val="22"/>
        </w:rPr>
        <w:t>.</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6. DAS DATAS E HORÁRIOS DO CERTAME</w:t>
      </w:r>
      <w:r>
        <w:rPr>
          <w:rFonts w:eastAsia="Times New Roman" w:cs="Times New Roman" w:ascii="Arial" w:hAnsi="Arial"/>
          <w:color w:val="000000"/>
          <w:sz w:val="22"/>
          <w:szCs w:val="22"/>
        </w:rPr>
        <w:t xml:space="preserve"> </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6.1. INÍCIO DO ACOLHIMENTO DAS PROPOSTAS: _____/______/20___</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6.2. DATA DE ABERTURA DAS PROPOSTAS: _____/______/20___, às ______.</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6.3. INÍCIO DA SESSÃO DE DISPUTA DE PREÇOS: _____/______/20___, às ______.</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6.4. REFERÊNCIA DE TEMPO: Para todas as referências de tempo utilizadas pelo sistema será observado o horário de Brasília/DF.</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6.5. Na hipótese de não haver expediente ou ocorrendo qualquer fato superveniente que impeça a realização do certame na data prevista, a sessão será remarcada, para no mínimo 48h a contar da respectiva data, exceto quando remarcada automaticamente pelo próprio sistema eletrônico.</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7. DO ENDE</w:t>
      </w:r>
      <w:r>
        <w:rPr>
          <w:rFonts w:eastAsia="Times New Roman" w:cs="Times New Roman" w:ascii="Arial" w:hAnsi="Arial"/>
          <w:b/>
          <w:color w:val="000000"/>
          <w:sz w:val="22"/>
          <w:szCs w:val="22"/>
          <w:highlight w:val="white"/>
        </w:rPr>
        <w:t>REÇO E HORÁRIO DA CENTRAL DE LICITAÇÕES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7.1. Central de Licitações/PGE, Av. Dr. José Martins Rodrigues, nº 150, Bairro Edson Queiroz, Fortaleza – Ceará, CEP. 60811- 520, CNPJ nº 06.622.070/0001-68.</w:t>
      </w:r>
    </w:p>
    <w:p>
      <w:pPr>
        <w:pStyle w:val="Normal1"/>
        <w:spacing w:lineRule="auto" w:line="240" w:before="57" w:after="57"/>
        <w:rPr>
          <w:rFonts w:ascii="Arial" w:hAnsi="Arial"/>
          <w:sz w:val="22"/>
          <w:szCs w:val="22"/>
        </w:rPr>
      </w:pPr>
      <w:r>
        <w:rPr>
          <w:rFonts w:eastAsia="Times New Roman" w:cs="Times New Roman" w:ascii="Arial" w:hAnsi="Arial"/>
          <w:color w:val="000000"/>
          <w:sz w:val="22"/>
          <w:szCs w:val="22"/>
        </w:rPr>
        <w:t>7.2. Horário de expediente da Central de Licitações: das 8h às 12h e das 14h às 18h.</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8. DA ADEQUAÇÃO ORÇAMENTÁRIA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8.1. As despesas decorrentes da presente contratação correrão a conta de recursos específicos consignados no Orçamento Geral do Estado.</w:t>
      </w:r>
    </w:p>
    <w:p>
      <w:pPr>
        <w:pStyle w:val="BodyText"/>
        <w:spacing w:lineRule="auto" w:line="240" w:before="57" w:after="57"/>
        <w:jc w:val="both"/>
        <w:rPr/>
      </w:pPr>
      <w:r>
        <w:rPr>
          <w:rFonts w:eastAsia="Arial" w:cs="Arial" w:ascii="Arial" w:hAnsi="Arial"/>
          <w:color w:val="000000"/>
          <w:sz w:val="22"/>
          <w:szCs w:val="22"/>
        </w:rPr>
        <w:t>8.2. A contratação será atendida pela seguinte dotação:</w:t>
      </w:r>
    </w:p>
    <w:p>
      <w:pPr>
        <w:pStyle w:val="BodyText"/>
        <w:spacing w:lineRule="auto" w:line="240" w:before="57" w:after="57"/>
        <w:jc w:val="both"/>
        <w:rPr>
          <w:highlight w:val="none"/>
          <w:shd w:fill="auto" w:val="clear"/>
        </w:rPr>
      </w:pPr>
      <w:r>
        <w:rPr>
          <w:rFonts w:eastAsia="Arial" w:cs="Arial" w:ascii="Arial" w:hAnsi="Arial"/>
          <w:color w:val="000000"/>
          <w:sz w:val="22"/>
          <w:szCs w:val="22"/>
          <w:shd w:fill="auto" w:val="clear"/>
        </w:rPr>
        <w:t>8.2.1. Gestão/Unidade: 30100014;</w:t>
      </w:r>
    </w:p>
    <w:p>
      <w:pPr>
        <w:pStyle w:val="BodyText"/>
        <w:spacing w:lineRule="auto" w:line="240" w:before="57" w:after="57"/>
        <w:jc w:val="both"/>
        <w:rPr>
          <w:highlight w:val="none"/>
          <w:shd w:fill="auto" w:val="clear"/>
        </w:rPr>
      </w:pPr>
      <w:r>
        <w:rPr>
          <w:rFonts w:eastAsia="Arial" w:cs="Arial" w:ascii="Arial" w:hAnsi="Arial"/>
          <w:color w:val="000000"/>
          <w:sz w:val="22"/>
          <w:szCs w:val="22"/>
          <w:shd w:fill="auto" w:val="clear"/>
        </w:rPr>
        <w:t>8.2.2. Fonte de Recursos: 500;</w:t>
      </w:r>
    </w:p>
    <w:p>
      <w:pPr>
        <w:pStyle w:val="Normal"/>
        <w:spacing w:lineRule="auto" w:line="240" w:before="57" w:after="57"/>
        <w:jc w:val="both"/>
        <w:rPr>
          <w:highlight w:val="none"/>
          <w:shd w:fill="auto" w:val="clear"/>
        </w:rPr>
      </w:pPr>
      <w:r>
        <w:rPr>
          <w:rFonts w:eastAsia="Arial" w:cs="Arial" w:ascii="Arial" w:hAnsi="Arial"/>
          <w:color w:val="000000"/>
          <w:sz w:val="22"/>
          <w:szCs w:val="22"/>
          <w:shd w:fill="auto" w:val="clear"/>
        </w:rPr>
        <w:t>8.2.3. Programa de Trabalho: 14.422.420;</w:t>
      </w:r>
    </w:p>
    <w:p>
      <w:pPr>
        <w:pStyle w:val="BodyText"/>
        <w:spacing w:lineRule="auto" w:line="240" w:before="57" w:after="57"/>
        <w:jc w:val="both"/>
        <w:rPr>
          <w:highlight w:val="none"/>
          <w:shd w:fill="auto" w:val="clear"/>
        </w:rPr>
      </w:pPr>
      <w:r>
        <w:rPr>
          <w:rFonts w:eastAsia="Arial" w:cs="Arial" w:ascii="Arial" w:hAnsi="Arial"/>
          <w:color w:val="000000"/>
          <w:sz w:val="22"/>
          <w:szCs w:val="22"/>
          <w:shd w:fill="auto" w:val="clear"/>
        </w:rPr>
        <w:t>8.2.4. Elemento de Despesa: 449037;</w:t>
      </w:r>
    </w:p>
    <w:p>
      <w:pPr>
        <w:pStyle w:val="Normal1"/>
        <w:spacing w:lineRule="auto" w:line="240" w:before="57" w:after="57"/>
        <w:rPr>
          <w:rFonts w:ascii="Arial" w:hAnsi="Arial"/>
        </w:rPr>
      </w:pPr>
      <w:r>
        <w:rPr>
          <w:rFonts w:eastAsia="Times New Roman" w:cs="Times New Roman" w:ascii="Arial" w:hAnsi="Arial"/>
          <w:b/>
          <w:color w:val="000000"/>
          <w:sz w:val="22"/>
          <w:szCs w:val="22"/>
        </w:rPr>
        <w:t>9. DA PARTICIPAÇÃO</w:t>
      </w:r>
    </w:p>
    <w:p>
      <w:pPr>
        <w:pStyle w:val="Normal1"/>
        <w:tabs>
          <w:tab w:val="clear" w:pos="720"/>
          <w:tab w:val="left" w:pos="993" w:leader="none"/>
          <w:tab w:val="left" w:pos="1418" w:leader="none"/>
        </w:tabs>
        <w:spacing w:lineRule="auto" w:line="240" w:before="57" w:after="57"/>
        <w:jc w:val="both"/>
        <w:rPr/>
      </w:pPr>
      <w:r>
        <w:rPr>
          <w:rFonts w:eastAsia="Times New Roman" w:cs="Times New Roman" w:ascii="Arial" w:hAnsi="Arial"/>
          <w:color w:val="000000"/>
          <w:sz w:val="22"/>
          <w:szCs w:val="22"/>
        </w:rPr>
        <w:t>9.1. Poderão participar deste certame os interessados que estiverem previamente credenciados no Sistema de Cadastramento Unificado de Fornecedores (SICAF) disponível no Portal Nacional de Contratações Públicas (PNCP) e no Sistema de Compras do Governo Federal (</w:t>
      </w:r>
      <w:hyperlink r:id="rId5">
        <w:r>
          <w:rPr>
            <w:rFonts w:eastAsia="Times New Roman" w:cs="Times New Roman" w:ascii="Arial" w:hAnsi="Arial"/>
            <w:color w:val="000000"/>
            <w:sz w:val="22"/>
            <w:szCs w:val="22"/>
            <w:u w:val="single"/>
          </w:rPr>
          <w:t>www.gov.br/compras</w:t>
        </w:r>
      </w:hyperlink>
      <w:r>
        <w:rPr>
          <w:rFonts w:eastAsia="Times New Roman" w:cs="Times New Roman" w:ascii="Arial" w:hAnsi="Arial"/>
          <w:color w:val="000000"/>
          <w:sz w:val="22"/>
          <w:szCs w:val="22"/>
        </w:rPr>
        <w:t>), por meio de Certificado Digital conferido pela Infraestrutura de Chaves Públicas Brasileira-ICP-Brasil.</w:t>
      </w:r>
    </w:p>
    <w:p>
      <w:pPr>
        <w:pStyle w:val="Normal1"/>
        <w:tabs>
          <w:tab w:val="clear" w:pos="720"/>
          <w:tab w:val="left" w:pos="993" w:leader="none"/>
          <w:tab w:val="left" w:pos="1418" w:leader="none"/>
        </w:tabs>
        <w:spacing w:lineRule="auto" w:line="240" w:before="57" w:after="57"/>
        <w:jc w:val="both"/>
        <w:rPr>
          <w:rFonts w:ascii="Arial" w:hAnsi="Arial"/>
        </w:rPr>
      </w:pPr>
      <w:r>
        <w:rPr>
          <w:rFonts w:eastAsia="Times New Roman" w:cs="Times New Roman" w:ascii="Arial" w:hAnsi="Arial"/>
          <w:color w:val="000000"/>
          <w:sz w:val="22"/>
          <w:szCs w:val="22"/>
        </w:rPr>
        <w:t>9.1.1. A participação implica a aceitação integral dos termos deste edital.</w:t>
      </w:r>
    </w:p>
    <w:p>
      <w:pPr>
        <w:pStyle w:val="Normal1"/>
        <w:tabs>
          <w:tab w:val="clear" w:pos="720"/>
          <w:tab w:val="left" w:pos="993" w:leader="none"/>
          <w:tab w:val="left" w:pos="1418" w:leader="none"/>
        </w:tabs>
        <w:spacing w:lineRule="auto" w:line="240" w:before="57" w:after="57"/>
        <w:jc w:val="both"/>
        <w:rPr>
          <w:rFonts w:ascii="Arial" w:hAnsi="Arial"/>
        </w:rPr>
      </w:pPr>
      <w:r>
        <w:rPr>
          <w:rFonts w:eastAsia="Times New Roman" w:cs="Times New Roman" w:ascii="Arial" w:hAnsi="Arial"/>
          <w:color w:val="000000"/>
          <w:sz w:val="22"/>
          <w:szCs w:val="22"/>
        </w:rPr>
        <w:t>9.2. É de responsabilidade do cadastrado conferir a exatidão dos seus dados cadastrais nos sistemas relacionados no subitem anterior e mantê-los atualizados junto aos órgãos responsáveis pela informação, devendo proceder, imediatamente, à correção ou à alteração dos registros tão logo identifique incorreção ou aqueles se tornem desatualizados.</w:t>
      </w:r>
    </w:p>
    <w:p>
      <w:pPr>
        <w:pStyle w:val="Normal1"/>
        <w:tabs>
          <w:tab w:val="clear" w:pos="720"/>
          <w:tab w:val="left" w:pos="993" w:leader="none"/>
          <w:tab w:val="left" w:pos="1418" w:leader="none"/>
        </w:tabs>
        <w:spacing w:lineRule="auto" w:line="240" w:before="57" w:after="57"/>
        <w:jc w:val="both"/>
        <w:rPr>
          <w:rFonts w:ascii="Arial" w:hAnsi="Arial"/>
        </w:rPr>
      </w:pPr>
      <w:r>
        <w:rPr>
          <w:rFonts w:eastAsia="Times New Roman" w:cs="Times New Roman" w:ascii="Arial" w:hAnsi="Arial"/>
          <w:color w:val="000000"/>
          <w:sz w:val="22"/>
          <w:szCs w:val="22"/>
        </w:rPr>
        <w:t>9.3. 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p>
    <w:p>
      <w:pPr>
        <w:pStyle w:val="Normal1"/>
        <w:tabs>
          <w:tab w:val="clear" w:pos="720"/>
          <w:tab w:val="left" w:pos="993" w:leader="none"/>
          <w:tab w:val="left" w:pos="1418" w:leader="none"/>
        </w:tabs>
        <w:spacing w:lineRule="auto" w:line="240" w:before="57" w:after="57"/>
        <w:jc w:val="both"/>
        <w:rPr>
          <w:rFonts w:ascii="Arial" w:hAnsi="Arial"/>
        </w:rPr>
      </w:pPr>
      <w:r>
        <w:rPr>
          <w:rFonts w:eastAsia="Times New Roman" w:cs="Times New Roman" w:ascii="Arial" w:hAnsi="Arial"/>
          <w:color w:val="000000"/>
          <w:sz w:val="22"/>
          <w:szCs w:val="22"/>
        </w:rPr>
        <w:t>9.3.1.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Normal1"/>
        <w:tabs>
          <w:tab w:val="clear" w:pos="720"/>
          <w:tab w:val="left" w:pos="993" w:leader="none"/>
          <w:tab w:val="left" w:pos="1418" w:leader="none"/>
        </w:tabs>
        <w:spacing w:lineRule="auto" w:line="240" w:before="57" w:after="57"/>
        <w:jc w:val="both"/>
        <w:rPr>
          <w:rFonts w:ascii="Arial" w:hAnsi="Arial"/>
        </w:rPr>
      </w:pPr>
      <w:r>
        <w:rPr>
          <w:rFonts w:eastAsia="Times New Roman" w:cs="Times New Roman" w:ascii="Arial" w:hAnsi="Arial"/>
          <w:color w:val="000000"/>
          <w:sz w:val="22"/>
          <w:szCs w:val="22"/>
        </w:rPr>
        <w:t>9.3.2. O licitante deverá comunicar imediatamente ao provedor do sistema qualquer acontecimento que possa comprometer o sigilo ou a segurança, para imediato bloqueio de acesso.</w:t>
      </w:r>
    </w:p>
    <w:p>
      <w:pPr>
        <w:pStyle w:val="Normal"/>
        <w:widowControl w:val="false"/>
        <w:tabs>
          <w:tab w:val="clear" w:pos="720"/>
          <w:tab w:val="left" w:pos="993" w:leader="none"/>
          <w:tab w:val="left" w:pos="1418" w:leader="none"/>
        </w:tabs>
        <w:snapToGrid w:val="false"/>
        <w:spacing w:lineRule="auto" w:line="240" w:before="57" w:after="57"/>
        <w:ind w:hanging="0" w:left="0" w:right="0"/>
        <w:jc w:val="both"/>
        <w:rPr>
          <w:rFonts w:ascii="Arial" w:hAnsi="Arial"/>
          <w:color w:val="00381F"/>
          <w:sz w:val="16"/>
          <w:szCs w:val="16"/>
        </w:rPr>
      </w:pPr>
      <w:r>
        <w:rPr>
          <w:rStyle w:val="Hyperlink"/>
          <w:rFonts w:eastAsia="Times New Roman;Bold" w:cs="Verdana" w:ascii="Arial" w:hAnsi="Arial"/>
          <w:b w:val="false"/>
          <w:bCs w:val="false"/>
          <w:i w:val="false"/>
          <w:iCs w:val="false"/>
          <w:strike w:val="false"/>
          <w:dstrike w:val="false"/>
          <w:color w:val="000000"/>
          <w:sz w:val="22"/>
          <w:szCs w:val="22"/>
          <w:u w:val="none"/>
          <w:shd w:fill="auto" w:val="clear"/>
          <w:lang w:val="pt-BR"/>
        </w:rPr>
        <w:t xml:space="preserve">9.4. Será concedido tratamento favorecido para as microempresas e empresas de pequeno porte, nos limites previstos da </w:t>
      </w:r>
      <w:hyperlink r:id="rId6">
        <w:r>
          <w:rPr>
            <w:rFonts w:eastAsia="Times New Roman;Bold" w:cs="Verdana" w:ascii="Arial" w:hAnsi="Arial"/>
            <w:b w:val="false"/>
            <w:bCs w:val="false"/>
            <w:i w:val="false"/>
            <w:iCs w:val="false"/>
            <w:strike w:val="false"/>
            <w:dstrike w:val="false"/>
            <w:color w:val="000000"/>
            <w:sz w:val="22"/>
            <w:szCs w:val="22"/>
            <w:u w:val="none"/>
            <w:shd w:fill="auto" w:val="clear"/>
            <w:lang w:val="pt-BR"/>
          </w:rPr>
          <w:t>Lei Complementar nº 123/2006</w:t>
        </w:r>
      </w:hyperlink>
      <w:r>
        <w:rPr>
          <w:rStyle w:val="Hyperlink"/>
          <w:rFonts w:eastAsia="Times New Roman;Bold" w:cs="Verdana" w:ascii="Arial" w:hAnsi="Arial"/>
          <w:b w:val="false"/>
          <w:bCs w:val="false"/>
          <w:i w:val="false"/>
          <w:iCs w:val="false"/>
          <w:strike w:val="false"/>
          <w:dstrike w:val="false"/>
          <w:color w:val="000000"/>
          <w:sz w:val="22"/>
          <w:szCs w:val="22"/>
          <w:u w:val="none"/>
          <w:shd w:fill="auto" w:val="clear"/>
          <w:lang w:val="pt-BR"/>
        </w:rPr>
        <w:t>.</w:t>
      </w:r>
    </w:p>
    <w:p>
      <w:pPr>
        <w:pStyle w:val="Normal"/>
        <w:widowControl w:val="false"/>
        <w:tabs>
          <w:tab w:val="clear" w:pos="720"/>
          <w:tab w:val="left" w:pos="993" w:leader="none"/>
          <w:tab w:val="left" w:pos="1418" w:leader="none"/>
        </w:tabs>
        <w:snapToGrid w:val="false"/>
        <w:spacing w:lineRule="auto" w:line="240" w:before="57" w:after="57"/>
        <w:ind w:hanging="0" w:left="0" w:right="0"/>
        <w:jc w:val="both"/>
        <w:rPr>
          <w:rFonts w:ascii="Arial" w:hAnsi="Arial"/>
          <w:color w:val="00381F"/>
          <w:sz w:val="16"/>
          <w:szCs w:val="16"/>
        </w:rPr>
      </w:pPr>
      <w:r>
        <w:rPr>
          <w:rStyle w:val="Hyperlink"/>
          <w:rFonts w:eastAsia="Times New Roman;Bold" w:cs="Verdana" w:ascii="Arial" w:hAnsi="Arial"/>
          <w:b w:val="false"/>
          <w:bCs w:val="false"/>
          <w:i w:val="false"/>
          <w:iCs w:val="false"/>
          <w:strike w:val="false"/>
          <w:dstrike w:val="false"/>
          <w:color w:val="000000"/>
          <w:sz w:val="22"/>
          <w:szCs w:val="22"/>
          <w:u w:val="none"/>
          <w:shd w:fill="auto" w:val="clear"/>
          <w:lang w:val="pt-BR"/>
        </w:rPr>
        <w:t>9.4.1. 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Normal1"/>
        <w:tabs>
          <w:tab w:val="clear" w:pos="720"/>
          <w:tab w:val="left" w:pos="2199" w:leader="none"/>
        </w:tabs>
        <w:spacing w:lineRule="auto" w:line="240" w:before="57" w:after="57"/>
        <w:jc w:val="both"/>
        <w:rPr>
          <w:rFonts w:ascii="Arial" w:hAnsi="Arial"/>
        </w:rPr>
      </w:pPr>
      <w:r>
        <w:rPr>
          <w:rFonts w:eastAsia="Times New Roman" w:cs="Times New Roman" w:ascii="Arial" w:hAnsi="Arial"/>
          <w:b/>
          <w:color w:val="000000"/>
          <w:sz w:val="22"/>
          <w:szCs w:val="22"/>
        </w:rPr>
        <w:t>9.5. Não poderão disputar esta licitação:</w:t>
      </w:r>
    </w:p>
    <w:p>
      <w:pPr>
        <w:pStyle w:val="Normal1"/>
        <w:tabs>
          <w:tab w:val="clear" w:pos="720"/>
          <w:tab w:val="left" w:pos="2199" w:leader="none"/>
        </w:tabs>
        <w:spacing w:lineRule="auto" w:line="240" w:before="57" w:after="57"/>
        <w:jc w:val="both"/>
        <w:rPr>
          <w:rFonts w:ascii="Arial" w:hAnsi="Arial"/>
        </w:rPr>
      </w:pPr>
      <w:r>
        <w:rPr>
          <w:rFonts w:eastAsia="Times New Roman" w:cs="Times New Roman" w:ascii="Arial" w:hAnsi="Arial"/>
          <w:color w:val="000000"/>
          <w:sz w:val="22"/>
          <w:szCs w:val="22"/>
        </w:rPr>
        <w:t>9.5.1. A</w:t>
      </w:r>
      <w:r>
        <w:rPr>
          <w:rFonts w:eastAsia="Times New Roman" w:cs="Times New Roman" w:ascii="Arial" w:hAnsi="Arial"/>
          <w:color w:val="000000"/>
          <w:sz w:val="22"/>
          <w:szCs w:val="22"/>
          <w:highlight w:val="white"/>
        </w:rPr>
        <w:t>quele que não atenda às condições deste edital e seus anexos;</w:t>
      </w:r>
    </w:p>
    <w:p>
      <w:pPr>
        <w:pStyle w:val="Normal1"/>
        <w:tabs>
          <w:tab w:val="clear" w:pos="720"/>
          <w:tab w:val="left" w:pos="2115" w:leader="none"/>
        </w:tabs>
        <w:spacing w:lineRule="auto" w:line="240" w:before="57" w:after="57"/>
        <w:jc w:val="both"/>
        <w:rPr>
          <w:rFonts w:ascii="Arial" w:hAnsi="Arial"/>
        </w:rPr>
      </w:pPr>
      <w:r>
        <w:rPr>
          <w:rFonts w:eastAsia="Times New Roman" w:cs="Times New Roman" w:ascii="Arial" w:hAnsi="Arial"/>
          <w:color w:val="000000"/>
          <w:sz w:val="22"/>
          <w:szCs w:val="22"/>
        </w:rPr>
        <w:t>9.5.2. Empresa em estado de insolvência civil, sob processo de falência, dissolução, fusão, cisão, incorporação e liquidação.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9.5.3. Empresa</w:t>
      </w:r>
      <w:r>
        <w:rPr>
          <w:rFonts w:eastAsia="Times New Roman" w:cs="Times New Roman" w:ascii="Arial" w:hAnsi="Arial"/>
          <w:color w:val="000000"/>
          <w:sz w:val="22"/>
          <w:szCs w:val="22"/>
          <w:highlight w:val="white"/>
        </w:rPr>
        <w:t xml:space="preserve"> que se encontre, ao tempo da licitação, impossibilitada de participar da licitação em decorrência de sanção que lhe foi imposta, observado o § 1º do art. 14 da Lei Federal nº 14.133/2021;</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9.5.4. As cooperativas de trabalho, nos termos do art. 5º, da Lei Federal nº 12.690, de 19 de julho de 2012.</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9.5.5. Empresa estrangeira não autorizada a comercializar no país;</w:t>
      </w:r>
    </w:p>
    <w:p>
      <w:pPr>
        <w:pStyle w:val="Normal1"/>
        <w:tabs>
          <w:tab w:val="clear" w:pos="720"/>
          <w:tab w:val="left" w:pos="993" w:leader="none"/>
          <w:tab w:val="left" w:pos="1418" w:leader="none"/>
        </w:tabs>
        <w:spacing w:lineRule="auto" w:line="240" w:before="57" w:after="57"/>
        <w:jc w:val="both"/>
        <w:rPr>
          <w:rFonts w:ascii="Arial" w:hAnsi="Arial"/>
        </w:rPr>
      </w:pPr>
      <w:r>
        <w:rPr>
          <w:rFonts w:eastAsia="Times New Roman" w:cs="Times New Roman" w:ascii="Arial" w:hAnsi="Arial"/>
          <w:color w:val="000000"/>
          <w:sz w:val="22"/>
          <w:szCs w:val="22"/>
          <w:highlight w:val="white"/>
        </w:rPr>
        <w:t>9.5.6. Empresa cujo estatuto ou contrato social não inclua em seu objetivo social atividade compatível com o objeto do certame;</w:t>
      </w:r>
    </w:p>
    <w:p>
      <w:pPr>
        <w:pStyle w:val="Normal1"/>
        <w:tabs>
          <w:tab w:val="clear" w:pos="720"/>
          <w:tab w:val="left" w:pos="993" w:leader="none"/>
          <w:tab w:val="left" w:pos="1418" w:leader="none"/>
        </w:tabs>
        <w:spacing w:lineRule="auto" w:line="240" w:before="57" w:after="57"/>
        <w:jc w:val="both"/>
        <w:rPr>
          <w:rFonts w:ascii="Arial" w:hAnsi="Arial"/>
        </w:rPr>
      </w:pPr>
      <w:r>
        <w:rPr>
          <w:rFonts w:eastAsia="Times New Roman" w:cs="Times New Roman" w:ascii="Arial" w:hAnsi="Arial"/>
          <w:color w:val="000000"/>
          <w:sz w:val="22"/>
          <w:szCs w:val="22"/>
          <w:highlight w:val="white"/>
        </w:rPr>
        <w:t>9.5.7. Organizações da Sociedade Civil de Interesse Público – OSCIP, atuando nessa condição;</w:t>
      </w:r>
    </w:p>
    <w:p>
      <w:pPr>
        <w:pStyle w:val="Normal1"/>
        <w:tabs>
          <w:tab w:val="clear" w:pos="720"/>
          <w:tab w:val="left" w:pos="993" w:leader="none"/>
          <w:tab w:val="left" w:pos="1418" w:leader="none"/>
        </w:tabs>
        <w:spacing w:lineRule="auto" w:line="240" w:before="57" w:after="57"/>
        <w:jc w:val="both"/>
        <w:rPr>
          <w:rFonts w:ascii="Arial" w:hAnsi="Arial"/>
        </w:rPr>
      </w:pPr>
      <w:r>
        <w:rPr>
          <w:rFonts w:eastAsia="Times New Roman" w:cs="Times New Roman" w:ascii="Arial" w:hAnsi="Arial"/>
          <w:color w:val="000000"/>
          <w:sz w:val="22"/>
          <w:szCs w:val="22"/>
          <w:highlight w:val="white"/>
        </w:rPr>
        <w:t>9.5.8. Empresas controladoras, controladas ou coligadas, nos termos da Lei Federal nº 6.404, de 15 de dezembro de 1976, concorrendo entre si;</w:t>
      </w:r>
    </w:p>
    <w:p>
      <w:pPr>
        <w:pStyle w:val="Normal1"/>
        <w:tabs>
          <w:tab w:val="clear" w:pos="720"/>
          <w:tab w:val="left" w:pos="993" w:leader="none"/>
          <w:tab w:val="left" w:pos="1418" w:leader="none"/>
        </w:tabs>
        <w:spacing w:lineRule="auto" w:line="240" w:before="57" w:after="57"/>
        <w:jc w:val="both"/>
        <w:rPr>
          <w:rFonts w:ascii="Arial" w:hAnsi="Arial"/>
        </w:rPr>
      </w:pPr>
      <w:r>
        <w:rPr>
          <w:rFonts w:eastAsia="Times New Roman" w:cs="Times New Roman" w:ascii="Arial" w:hAnsi="Arial"/>
          <w:color w:val="000000"/>
          <w:sz w:val="22"/>
          <w:szCs w:val="22"/>
          <w:highlight w:val="white"/>
        </w:rPr>
        <w:t>9.5.9. Pessoa jurídica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1"/>
        <w:tabs>
          <w:tab w:val="clear" w:pos="720"/>
          <w:tab w:val="left" w:pos="993" w:leader="none"/>
          <w:tab w:val="left" w:pos="1418" w:leader="none"/>
        </w:tabs>
        <w:spacing w:lineRule="auto" w:line="240" w:before="57" w:after="57"/>
        <w:jc w:val="both"/>
        <w:rPr>
          <w:rFonts w:ascii="Arial" w:hAnsi="Arial"/>
        </w:rPr>
      </w:pPr>
      <w:r>
        <w:rPr>
          <w:rFonts w:eastAsia="Times New Roman" w:cs="Times New Roman" w:ascii="Arial" w:hAnsi="Arial"/>
          <w:color w:val="000000"/>
          <w:sz w:val="22"/>
          <w:szCs w:val="22"/>
          <w:highlight w:val="white"/>
        </w:rPr>
        <w:t xml:space="preserve">9.5.10. Pessoa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 </w:t>
      </w:r>
    </w:p>
    <w:p>
      <w:pPr>
        <w:pStyle w:val="Normal1"/>
        <w:tabs>
          <w:tab w:val="clear" w:pos="720"/>
          <w:tab w:val="left" w:pos="993" w:leader="none"/>
          <w:tab w:val="left" w:pos="1418" w:leader="none"/>
        </w:tabs>
        <w:spacing w:lineRule="auto" w:line="240" w:before="57" w:after="57"/>
        <w:jc w:val="both"/>
        <w:rPr>
          <w:rFonts w:ascii="Arial" w:hAnsi="Arial"/>
        </w:rPr>
      </w:pPr>
      <w:r>
        <w:rPr>
          <w:rFonts w:eastAsia="Times New Roman" w:cs="Times New Roman" w:ascii="Arial" w:hAnsi="Arial"/>
          <w:color w:val="000000"/>
          <w:sz w:val="22"/>
          <w:szCs w:val="22"/>
        </w:rPr>
        <w:t xml:space="preserve">9.5.11. Pessoa jurídica que integre o rol de pessoas sancionadas nas hipóteses do § 5º do art.14 da Lei </w:t>
      </w:r>
      <w:r>
        <w:rPr>
          <w:rFonts w:eastAsia="Times New Roman" w:cs="Times New Roman" w:ascii="Arial" w:hAnsi="Arial"/>
          <w:color w:val="000000"/>
          <w:sz w:val="22"/>
          <w:szCs w:val="22"/>
          <w:highlight w:val="white"/>
        </w:rPr>
        <w:t xml:space="preserve">Federal </w:t>
      </w:r>
      <w:r>
        <w:rPr>
          <w:rFonts w:eastAsia="Times New Roman" w:cs="Times New Roman" w:ascii="Arial" w:hAnsi="Arial"/>
          <w:color w:val="000000"/>
          <w:sz w:val="22"/>
          <w:szCs w:val="22"/>
        </w:rPr>
        <w:t>nº 14.133/2021, ou que seja declarada inidônea nos termos da referida Lei.</w:t>
      </w:r>
    </w:p>
    <w:p>
      <w:pPr>
        <w:pStyle w:val="Normal1"/>
        <w:widowControl w:val="false"/>
        <w:tabs>
          <w:tab w:val="clear" w:pos="720"/>
          <w:tab w:val="left" w:pos="488" w:leader="none"/>
        </w:tabs>
        <w:spacing w:lineRule="auto" w:line="240" w:before="57" w:after="57"/>
        <w:jc w:val="both"/>
        <w:rPr>
          <w:rFonts w:ascii="Arial" w:hAnsi="Arial"/>
        </w:rPr>
      </w:pPr>
      <w:r>
        <w:rPr>
          <w:rFonts w:eastAsia="Times New Roman" w:cs="Times New Roman" w:ascii="Arial" w:hAnsi="Arial"/>
          <w:color w:val="000000"/>
          <w:sz w:val="22"/>
          <w:szCs w:val="22"/>
        </w:rPr>
        <w:t>9.5.12. A participação de consórcio, qualquer que seja sua constituição.</w:t>
      </w:r>
      <w:r>
        <w:rPr>
          <w:rFonts w:eastAsia="Times New Roman" w:cs="Times New Roman" w:ascii="Arial" w:hAnsi="Arial"/>
          <w:color w:val="000000"/>
          <w:sz w:val="22"/>
          <w:szCs w:val="22"/>
          <w:highlight w:val="cyan"/>
        </w:rPr>
        <w:t xml:space="preserve"> </w:t>
      </w:r>
    </w:p>
    <w:p>
      <w:pPr>
        <w:pStyle w:val="Normal1"/>
        <w:spacing w:lineRule="auto" w:line="240" w:before="57" w:after="57"/>
        <w:rPr>
          <w:rFonts w:ascii="Arial" w:hAnsi="Arial"/>
        </w:rPr>
      </w:pPr>
      <w:r>
        <w:rPr>
          <w:rFonts w:eastAsia="Times New Roman" w:cs="Times New Roman" w:ascii="Arial" w:hAnsi="Arial"/>
          <w:b/>
          <w:color w:val="000000"/>
          <w:sz w:val="22"/>
          <w:szCs w:val="22"/>
        </w:rPr>
        <w:t>10. DA IMPUGNAÇÃO AO EDITAL E DO PEDIDO DE ESCLARECIMENTO</w:t>
      </w:r>
    </w:p>
    <w:p>
      <w:pPr>
        <w:pStyle w:val="Normal1"/>
        <w:spacing w:lineRule="auto" w:line="240" w:before="57" w:after="57"/>
        <w:jc w:val="both"/>
        <w:rPr/>
      </w:pPr>
      <w:r>
        <w:rPr>
          <w:rFonts w:eastAsia="Times New Roman" w:cs="Times New Roman" w:ascii="Arial" w:hAnsi="Arial"/>
          <w:color w:val="000000"/>
          <w:sz w:val="22"/>
          <w:szCs w:val="22"/>
        </w:rPr>
        <w:t xml:space="preserve">10.1. </w:t>
      </w:r>
      <w:r>
        <w:rPr>
          <w:rFonts w:eastAsia="Times New Roman" w:cs="Times New Roman" w:ascii="Arial" w:hAnsi="Arial"/>
          <w:color w:val="000000"/>
          <w:sz w:val="22"/>
          <w:szCs w:val="22"/>
          <w:highlight w:val="white"/>
        </w:rPr>
        <w:t xml:space="preserve">Qualquer pessoa é parte legítima para impugnar este edital por irregularidade na aplicação da </w:t>
      </w:r>
      <w:hyperlink r:id="rId7">
        <w:r>
          <w:rPr>
            <w:rFonts w:eastAsia="Times New Roman" w:cs="Times New Roman" w:ascii="Arial" w:hAnsi="Arial"/>
            <w:color w:val="000000"/>
            <w:sz w:val="22"/>
            <w:szCs w:val="22"/>
            <w:highlight w:val="white"/>
          </w:rPr>
          <w:t>Lei nº 14.133/2021</w:t>
        </w:r>
      </w:hyperlink>
      <w:r>
        <w:rPr>
          <w:rFonts w:eastAsia="Times New Roman" w:cs="Times New Roman" w:ascii="Arial" w:hAnsi="Arial"/>
          <w:color w:val="000000"/>
          <w:sz w:val="22"/>
          <w:szCs w:val="22"/>
          <w:highlight w:val="white"/>
        </w:rPr>
        <w:t xml:space="preserve">, ou para solicitar esclarecimento sobre seus termos, devendo encaminhar o pedido até 3 (três) dias úteis antes da data da abertura do certame, no endereço eletrônico citado no subitem 10.3 abaixo. </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 xml:space="preserve">10.2. </w:t>
      </w:r>
      <w:r>
        <w:rPr>
          <w:rFonts w:eastAsia="Times New Roman" w:cs="Times New Roman" w:ascii="Arial" w:hAnsi="Arial"/>
          <w:color w:val="000000"/>
          <w:sz w:val="22"/>
          <w:szCs w:val="22"/>
          <w:highlight w:val="white"/>
        </w:rPr>
        <w:t>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10.2.1. As decisões do pregoeiro se darão com embasamento nos pareceres e laudos emitidos pelas áreas técnicas e jurídicas do órgão e entidade promotora da licitação nos termos dos §§ 1º, 2º e 3º do art. 24 do Decreto Estadual nº 35.067/2022.</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10.2.2. Na impossibilidade de resposta à impugnação no prazo citado no subitem 10.2, o pregoeiro poderá adiar a abertura da sessão pública, mediante aviso no sistema utilizado na realização do certame.</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 xml:space="preserve">10.3. </w:t>
      </w:r>
      <w:r>
        <w:rPr>
          <w:rFonts w:eastAsia="Times New Roman" w:cs="Times New Roman" w:ascii="Arial" w:hAnsi="Arial"/>
          <w:color w:val="000000"/>
          <w:sz w:val="22"/>
          <w:szCs w:val="22"/>
        </w:rPr>
        <w:t>A impugnação e o pedido de esclarecimento deverão ser realizados exclusivamente por meio eletrônico, no endereço licitacao@pge.ce.gov.br, até às 23h59min, com a informação do nº do pregão, o órgão ou entidade promotor da licitação e o pregoeiro responsável.</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10.3.1. As impugnações apresentadas deverão ser subscritas por representante legal mediante comprovação, sob pena do seu não conhecimento.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 xml:space="preserve">10.4. </w:t>
      </w:r>
      <w:r>
        <w:rPr>
          <w:rFonts w:eastAsia="Times New Roman" w:cs="Times New Roman" w:ascii="Arial" w:hAnsi="Arial"/>
          <w:color w:val="000000"/>
          <w:sz w:val="22"/>
          <w:szCs w:val="22"/>
          <w:highlight w:val="white"/>
        </w:rPr>
        <w:t>As impugnações e pedidos de esclarecimentos não suspendem os prazos previstos no certame.</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10.4.1. A concessão de efeito suspensivo à impugnação é medida excepcional e deverá ser motivada pelo pregoeiro, nos autos do processo de licitação.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10.5. Acolhida a impugnação, será definida e publicada nova data para a realização do certame, exceto quando a alteração não comprometer a formulação das propostas.</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highlight w:val="white"/>
        </w:rPr>
        <w:t xml:space="preserve">11. DA </w:t>
      </w:r>
      <w:r>
        <w:rPr>
          <w:rFonts w:eastAsia="Times New Roman" w:cs="Times New Roman" w:ascii="Arial" w:hAnsi="Arial"/>
          <w:b/>
          <w:color w:val="000000"/>
          <w:sz w:val="22"/>
          <w:szCs w:val="22"/>
        </w:rPr>
        <w:t>ESTIMATIVA DO VALOR DA CONTRATAÇÃO</w:t>
      </w:r>
    </w:p>
    <w:p>
      <w:pPr>
        <w:pStyle w:val="Normal1"/>
        <w:tabs>
          <w:tab w:val="clear" w:pos="720"/>
          <w:tab w:val="left" w:pos="2520"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11.1. O custo estimado total da contratação é de </w:t>
      </w:r>
      <w:r>
        <w:rPr>
          <w:rFonts w:eastAsia="Times New Roman" w:cs="Times New Roman" w:ascii="Arial" w:hAnsi="Arial"/>
          <w:b/>
          <w:sz w:val="22"/>
          <w:szCs w:val="22"/>
        </w:rPr>
        <w:t>R</w:t>
      </w:r>
      <w:r>
        <w:rPr>
          <w:rFonts w:eastAsia="Times New Roman" w:cs="Times New Roman" w:ascii="Arial" w:hAnsi="Arial"/>
          <w:b/>
          <w:sz w:val="22"/>
          <w:szCs w:val="22"/>
          <w:highlight w:val="white"/>
        </w:rPr>
        <w:t>$ 1.565.337,96 (hum milhão quinhentos e sessenta e cinco mil trezentos e trinta e sete reais e noventa e seis centavos)</w:t>
      </w:r>
      <w:r>
        <w:rPr>
          <w:rFonts w:eastAsia="Times New Roman" w:cs="Times New Roman" w:ascii="Arial" w:hAnsi="Arial"/>
          <w:color w:val="000000"/>
          <w:sz w:val="22"/>
          <w:szCs w:val="22"/>
          <w:highlight w:val="white"/>
        </w:rPr>
        <w:t xml:space="preserve"> conforme os custos</w:t>
      </w:r>
      <w:r>
        <w:rPr>
          <w:rFonts w:eastAsia="Times New Roman" w:cs="Times New Roman" w:ascii="Arial" w:hAnsi="Arial"/>
          <w:color w:val="000000"/>
          <w:sz w:val="22"/>
          <w:szCs w:val="22"/>
        </w:rPr>
        <w:t xml:space="preserve"> unitários apostos na Planilha de Custos e Formação de Preços anexada ao Termo de Referência.</w:t>
      </w:r>
    </w:p>
    <w:p>
      <w:pPr>
        <w:pStyle w:val="Normal1"/>
        <w:spacing w:lineRule="auto" w:line="240" w:before="57" w:after="57"/>
        <w:jc w:val="both"/>
        <w:rPr>
          <w:rFonts w:ascii="Arial" w:hAnsi="Arial"/>
        </w:rPr>
      </w:pPr>
      <w:r>
        <w:rPr>
          <w:rFonts w:eastAsia="Times New Roman" w:cs="Times New Roman" w:ascii="Arial" w:hAnsi="Arial"/>
          <w:b/>
          <w:color w:val="000000"/>
          <w:sz w:val="22"/>
          <w:szCs w:val="22"/>
        </w:rPr>
        <w:t>12. DA APRESENTAÇÃO DA PROPOSTA ELETRÔNICA E DOS DOCUMENTOS DE HABILITAÇÃO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12</w:t>
      </w:r>
      <w:r>
        <w:rPr>
          <w:rFonts w:eastAsia="Times New Roman" w:cs="Times New Roman" w:ascii="Arial" w:hAnsi="Arial"/>
          <w:color w:val="000000"/>
          <w:sz w:val="22"/>
          <w:szCs w:val="22"/>
        </w:rPr>
        <w:t>.1. Na presente licitação, a fase de habilitação sucederá as fases de apresentação de propostas e lances e de julgamento.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12.1.1. Os licitantes encaminharão, exclusivamente por meio do sistema eletrônico, a proposta com o preço ofertado, até a data e o horário estabelecidos para abertura da sessão pública.</w:t>
      </w:r>
    </w:p>
    <w:p>
      <w:pPr>
        <w:pStyle w:val="Normal1"/>
        <w:spacing w:lineRule="auto" w:line="240" w:before="57" w:after="57"/>
        <w:jc w:val="both"/>
        <w:rPr/>
      </w:pPr>
      <w:r>
        <w:rPr>
          <w:rFonts w:eastAsia="Times New Roman" w:cs="Times New Roman" w:ascii="Arial" w:hAnsi="Arial"/>
          <w:color w:val="000000"/>
          <w:sz w:val="22"/>
          <w:szCs w:val="22"/>
        </w:rPr>
        <w:t xml:space="preserve">12.1.1.1. Após o julgamento da proposta, o licitante vencedor deverá enviar no prazo de 24 (vinte e quatro) horas contado da convocação do pregoeiro, os documentos de habilitação, observado o disposto no </w:t>
      </w:r>
      <w:r>
        <w:rPr>
          <w:rFonts w:eastAsia="Times New Roman" w:cs="Times New Roman" w:ascii="Arial" w:hAnsi="Arial"/>
          <w:i/>
          <w:color w:val="000000"/>
          <w:sz w:val="22"/>
          <w:szCs w:val="22"/>
        </w:rPr>
        <w:t xml:space="preserve">caput </w:t>
      </w:r>
      <w:r>
        <w:rPr>
          <w:rFonts w:eastAsia="Times New Roman" w:cs="Times New Roman" w:ascii="Arial" w:hAnsi="Arial"/>
          <w:color w:val="000000"/>
          <w:sz w:val="22"/>
          <w:szCs w:val="22"/>
        </w:rPr>
        <w:t xml:space="preserve">do art. 68 e </w:t>
      </w:r>
      <w:hyperlink r:id="rId8">
        <w:r>
          <w:rPr>
            <w:rFonts w:eastAsia="Times New Roman" w:cs="Times New Roman" w:ascii="Arial" w:hAnsi="Arial"/>
            <w:color w:val="000000"/>
            <w:sz w:val="22"/>
            <w:szCs w:val="22"/>
          </w:rPr>
          <w:t>§ 1º do Decreto Estadual nº 35.067/2022 e suas alterações.</w:t>
        </w:r>
      </w:hyperlink>
    </w:p>
    <w:p>
      <w:pPr>
        <w:pStyle w:val="Normal1"/>
        <w:spacing w:lineRule="auto" w:line="240" w:before="57" w:after="57"/>
        <w:jc w:val="both"/>
        <w:rPr>
          <w:rFonts w:ascii="Arial" w:hAnsi="Arial"/>
        </w:rPr>
      </w:pPr>
      <w:r>
        <w:rPr>
          <w:rFonts w:eastAsia="Times New Roman" w:cs="Times New Roman" w:ascii="Arial" w:hAnsi="Arial"/>
          <w:color w:val="000000"/>
          <w:sz w:val="22"/>
          <w:szCs w:val="22"/>
        </w:rPr>
        <w:t>12.2. O licitante deverá apresentar junto a documentação de habilitação, declaração de responsabilidade pela autenticidade dos documentos apresentados, e de responsabilidade exclusiva em relação a quitação dos encargos trabalhistas e sociais decorrentes da futura contratação, conforme Anexo IV deste edital, conforme inciso I do art. 16 do Decreto Estadual nº 35.790/2023.</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12.3. Após a entrega dos documentos para habilitação e/ou propostas, não será permitida a substituição ou a apresentação de novos documentos, salvo em sede de diligência conforme art. 64 da Lei nº 14.133/2021. O licitante deverá enviar os documentos complementares via sistema, no prazo de 24 (vinte e quatro) horas a contar da solicitação.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 xml:space="preserve">12.3.1. </w:t>
      </w:r>
      <w:r>
        <w:rPr>
          <w:rFonts w:eastAsia="Times New Roman" w:cs="Times New Roman" w:ascii="Arial" w:hAnsi="Arial"/>
          <w:color w:val="000000"/>
          <w:sz w:val="22"/>
          <w:szCs w:val="22"/>
          <w:highlight w:val="white"/>
        </w:rPr>
        <w:t>Não se caracterizam documentos novos aqueles que venham a comprovar fatos existentes à época da abertura da sessão, com respaldo no previsto no Acórdão 1211/2021-TCU-Plenário.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 xml:space="preserve">12.3.2. Realizada a diligência, o não envio das informações ou documentos </w:t>
      </w:r>
      <w:r>
        <w:rPr>
          <w:rFonts w:eastAsia="Times New Roman" w:cs="Times New Roman" w:ascii="Arial" w:hAnsi="Arial"/>
          <w:color w:val="000000"/>
          <w:sz w:val="22"/>
          <w:szCs w:val="22"/>
          <w:highlight w:val="white"/>
        </w:rPr>
        <w:t xml:space="preserve">no prazo estabelecido pelo pregoeiro, ensejará a preclusão desse direito, resultando na </w:t>
      </w:r>
      <w:r>
        <w:rPr>
          <w:rFonts w:eastAsia="Times New Roman" w:cs="Times New Roman" w:ascii="Arial" w:hAnsi="Arial"/>
          <w:color w:val="000000"/>
          <w:sz w:val="22"/>
          <w:szCs w:val="22"/>
        </w:rPr>
        <w:t>inabilitação e/ou desclassificação do licitante.</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12.4. A não apresentação de declarações formais e/ou termos de compromissos exigidos, não implicará na desclassificação ou inabilitação imediata do licitante. Compete ao pregoeiro mediante diligência, conceder o mesmo prazo estabelecido no subitem 12.3 para o devido saneamento, em respeito aos princípios do formalismo moderado e da razoabilidade.</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12.5. No cadastramento da proposta inicial, o licitante declarará, em campo próprio do sistema, que:</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12.5.1.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1"/>
        <w:spacing w:lineRule="auto" w:line="240" w:before="57" w:after="57"/>
        <w:jc w:val="both"/>
        <w:rPr/>
      </w:pPr>
      <w:r>
        <w:rPr>
          <w:rFonts w:eastAsia="Times New Roman" w:cs="Times New Roman" w:ascii="Arial" w:hAnsi="Arial"/>
          <w:color w:val="000000"/>
          <w:sz w:val="22"/>
          <w:szCs w:val="22"/>
        </w:rPr>
        <w:t xml:space="preserve">12.5.2. Não emprega menor de 18 anos em trabalho noturno, perigoso ou insalubre e não emprega menor de 16 anos, salvo menor, a partir de 14 anos, na condição de aprendiz, nos termos do </w:t>
      </w:r>
      <w:r>
        <w:fldChar w:fldCharType="begin"/>
      </w:r>
      <w:r>
        <w:rPr>
          <w:sz w:val="22"/>
          <w:szCs w:val="22"/>
          <w:rFonts w:eastAsia="Times New Roman" w:cs="Times New Roman" w:ascii="Arial" w:hAnsi="Arial"/>
          <w:color w:val="000000"/>
        </w:rPr>
        <w:instrText xml:space="preserve"> HYPERLINK "https://www.planalto.gov.br/ccivil_03/constituicao/constituicaocompilado.htm" \l "art7"</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art. 7°, XXXIII, da Constituição</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w:t>
      </w:r>
    </w:p>
    <w:p>
      <w:pPr>
        <w:pStyle w:val="Normal1"/>
        <w:spacing w:lineRule="auto" w:line="240" w:before="57" w:after="57"/>
        <w:jc w:val="both"/>
        <w:rPr/>
      </w:pPr>
      <w:r>
        <w:rPr>
          <w:rFonts w:eastAsia="Times New Roman" w:cs="Times New Roman" w:ascii="Arial" w:hAnsi="Arial"/>
          <w:color w:val="000000"/>
          <w:sz w:val="22"/>
          <w:szCs w:val="22"/>
          <w:highlight w:val="white"/>
        </w:rPr>
        <w:t>12</w:t>
      </w:r>
      <w:r>
        <w:rPr>
          <w:rFonts w:eastAsia="Times New Roman" w:cs="Times New Roman" w:ascii="Arial" w:hAnsi="Arial"/>
          <w:color w:val="000000"/>
          <w:sz w:val="22"/>
          <w:szCs w:val="22"/>
        </w:rPr>
        <w:t xml:space="preserve">.5.3. Não possui, em sua cadeia produtiva, empregados executando trabalho degradante ou forçado, observando o disposto nos </w:t>
      </w:r>
      <w:hyperlink r:id="rId9">
        <w:r>
          <w:rPr>
            <w:rFonts w:eastAsia="Times New Roman" w:cs="Times New Roman" w:ascii="Arial" w:hAnsi="Arial"/>
            <w:color w:val="000000"/>
            <w:sz w:val="22"/>
            <w:szCs w:val="22"/>
          </w:rPr>
          <w:t>incisos III e IV do art. 1º e no inciso III do art. 5º da Constituição Federal</w:t>
        </w:r>
      </w:hyperlink>
      <w:r>
        <w:rPr>
          <w:rFonts w:eastAsia="Times New Roman" w:cs="Times New Roman" w:ascii="Arial" w:hAnsi="Arial"/>
          <w:color w:val="000000"/>
          <w:sz w:val="22"/>
          <w:szCs w:val="22"/>
        </w:rPr>
        <w:t>;</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 xml:space="preserve">12.5.4. Cumpre as exigências de reserva de cargos para pessoa com deficiência e para reabilitado da Previdência Social, previstas em lei e em outras normas específicas, conforme disposto no </w:t>
      </w:r>
      <w:r>
        <w:rPr>
          <w:rStyle w:val="Fontepargpadro"/>
          <w:rFonts w:eastAsia="Times New Roman" w:cs="Times New Roman" w:ascii="Arial" w:hAnsi="Arial"/>
          <w:color w:val="000000"/>
          <w:sz w:val="22"/>
          <w:szCs w:val="22"/>
        </w:rPr>
        <w:t>art. 63, inciso IV, da Lei nº 14.133/2021;</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 xml:space="preserve">12.5.4.1. Quando solicitado pela Administração, a comprovação da reserva </w:t>
      </w:r>
      <w:r>
        <w:rPr>
          <w:rFonts w:eastAsia="Times New Roman" w:cs="Times New Roman" w:ascii="Arial" w:hAnsi="Arial"/>
          <w:sz w:val="22"/>
          <w:szCs w:val="22"/>
        </w:rPr>
        <w:t xml:space="preserve">de cargo poderá se dar da </w:t>
      </w:r>
      <w:r>
        <w:rPr>
          <w:rFonts w:eastAsia="Times New Roman" w:cs="Times New Roman" w:ascii="Arial" w:hAnsi="Arial"/>
          <w:color w:val="000000"/>
          <w:sz w:val="22"/>
          <w:szCs w:val="22"/>
        </w:rPr>
        <w:t>seguinte forma:</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I – Realização de processos seletivos;</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II – Divulgação ampla das oportunidades de vagas em meios acessíveis, tais como: internet, rádio, televisão, jornais de grande circulação;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III – Programas de inclusão promovidos pela licitante;</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 xml:space="preserve">IV – Parcerias com entidades especializadas na busca ativa por candidatos que se enquadrem nas condições prevista neste subitem. </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 xml:space="preserve">12.5.4.2. É admissível outros meios legais de prova que demonstrem esforços concretos para o preenchimento das vagas de que trata o subitem 12.5.4. </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12.5.5. Desenvolve programa de integridade nos termos previstos na Lei Federal nº 14.133/2021, quando for o caso.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12.5.6. O licitante enquadrado como microempresa ou empresa de pequeno porte, deverá declarar, ainda, em campo próprio do sistema eletrônico, que cumpre os requisitos estabelecidos no art. 3° da Lei Complementar nº 123/2006, estando apto a usufruir do tratamento favorecido estabelecido em seus arts. 42 a 49, observado o disposto nos §§ 1º ao 3º do art. 4º, da Lei nº 14.133/2021;</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12.5.6.1. A Microempresa – ME ou Empresa de Pequeno Porte – EPP optante do Simples Nacional, caso contratada, está obrigada a comunicar a assinatura do contrato de prestação de serviços com cessão de mão de obra à Receita Federal do Brasil, no prazo previsto no art. 30, §1º, inciso II, da Lei Complementar nº 123/2006.</w:t>
      </w:r>
    </w:p>
    <w:p>
      <w:pPr>
        <w:pStyle w:val="Normal1"/>
        <w:spacing w:lineRule="auto" w:line="240" w:before="57" w:after="57"/>
        <w:jc w:val="both"/>
        <w:rPr/>
      </w:pPr>
      <w:r>
        <w:rPr>
          <w:rFonts w:eastAsia="Times New Roman" w:cs="Times New Roman" w:ascii="Arial" w:hAnsi="Arial"/>
          <w:color w:val="000000"/>
          <w:sz w:val="22"/>
          <w:szCs w:val="22"/>
        </w:rPr>
        <w:t xml:space="preserve">12.6. A falsidade das declarações de que tratam os subitens 12.5.1 ao 12.5.6, sujeitará o licitante às sanções previstas na </w:t>
      </w:r>
      <w:hyperlink r:id="rId10">
        <w:r>
          <w:rPr>
            <w:rFonts w:eastAsia="Times New Roman" w:cs="Times New Roman" w:ascii="Arial" w:hAnsi="Arial"/>
            <w:color w:val="000000"/>
            <w:sz w:val="22"/>
            <w:szCs w:val="22"/>
          </w:rPr>
          <w:t xml:space="preserve">Lei </w:t>
        </w:r>
      </w:hyperlink>
      <w:r>
        <w:rPr>
          <w:rFonts w:eastAsia="Times New Roman" w:cs="Times New Roman" w:ascii="Arial" w:hAnsi="Arial"/>
          <w:color w:val="000000"/>
          <w:sz w:val="22"/>
          <w:szCs w:val="22"/>
        </w:rPr>
        <w:t xml:space="preserve">Federal </w:t>
      </w:r>
      <w:hyperlink r:id="rId11">
        <w:r>
          <w:rPr>
            <w:rFonts w:eastAsia="Times New Roman" w:cs="Times New Roman" w:ascii="Arial" w:hAnsi="Arial"/>
            <w:color w:val="000000"/>
            <w:sz w:val="22"/>
            <w:szCs w:val="22"/>
          </w:rPr>
          <w:t>nº 14.133/2021</w:t>
        </w:r>
      </w:hyperlink>
      <w:r>
        <w:rPr>
          <w:rFonts w:eastAsia="Times New Roman" w:cs="Times New Roman" w:ascii="Arial" w:hAnsi="Arial"/>
          <w:color w:val="000000"/>
          <w:sz w:val="22"/>
          <w:szCs w:val="22"/>
        </w:rPr>
        <w:t>, e neste edital.</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12.7. Os licitantes poderão retirar ou substituir as propostas no sistema, até a abertura da sessão pública.</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12.8. Não haverá ordem de classificação na etapa de apresentação da proposta e dos documentos de habilitação pelo licitante, o que ocorrerá somente após os procedimentos de abertura da sessão pública e da fase de envio de lances.</w:t>
      </w:r>
    </w:p>
    <w:p>
      <w:pPr>
        <w:pStyle w:val="Normal1"/>
        <w:spacing w:lineRule="auto" w:line="240" w:before="57" w:after="57"/>
        <w:jc w:val="both"/>
        <w:rPr>
          <w:rFonts w:ascii="Arial" w:hAnsi="Arial"/>
        </w:rPr>
      </w:pPr>
      <w:r>
        <w:rPr>
          <w:rFonts w:eastAsia="Times New Roman" w:cs="Times New Roman" w:ascii="Arial" w:hAnsi="Arial"/>
          <w:b/>
          <w:color w:val="000000"/>
          <w:sz w:val="22"/>
          <w:szCs w:val="22"/>
        </w:rPr>
        <w:t>13. DO PREENCHIMENTO DA PROPOSTA</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 xml:space="preserve">13.1. </w:t>
      </w:r>
      <w:r>
        <w:rPr>
          <w:rFonts w:eastAsia="Times New Roman" w:cs="Times New Roman" w:ascii="Arial" w:hAnsi="Arial"/>
          <w:color w:val="000000"/>
          <w:sz w:val="22"/>
          <w:szCs w:val="22"/>
        </w:rPr>
        <w:t>O licitante deverá enviar sua proposta eletrônica com o preenchimento obrigatório de todos os campos solicitados no sistema.</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13.1.1. O não preenchimento correto dos campos ensejará a desclassificação do licitante.</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 xml:space="preserve">13.1.2. </w:t>
      </w:r>
      <w:r>
        <w:rPr>
          <w:rFonts w:eastAsia="Times New Roman" w:cs="Times New Roman" w:ascii="Arial" w:hAnsi="Arial"/>
          <w:color w:val="000000"/>
          <w:sz w:val="22"/>
          <w:szCs w:val="22"/>
          <w:highlight w:val="white"/>
        </w:rPr>
        <w:t>Os preços deverão ser expressos em reais, com até 2 (duas) casas decimais em seus valores globais.</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13.2. Todas as especificações do objeto contidas na proposta vinculam o licitante.</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13.3. Nos valores propostos estarão inclusos todos os custos operacionais, encargos previdenciários, trabalhistas, tributários, comerciais e quaisquer outros que incidam direta ou indiretamente na execução do objeto, considerando o enquadramento da empresa e/ou decisões judiciais, bem como o percentual referente ao lucro, conforme Instrução Normativa SEPLAG nº 004/2024.</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13.3.1. Os tributos terão como base de cálculo o somatório do custo do empregado, incluindo os tributos e desconsiderando as rubricas que serão pagas por meio do ressarcimento.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 xml:space="preserve">13.3.1.1. </w:t>
      </w:r>
      <w:r>
        <w:rPr>
          <w:rFonts w:eastAsia="Times New Roman" w:cs="Times New Roman" w:ascii="Arial" w:hAnsi="Arial"/>
          <w:color w:val="000000"/>
          <w:sz w:val="22"/>
          <w:szCs w:val="22"/>
        </w:rPr>
        <w:t>Os preços ofertados, tanto na proposta eletrônica, quanto na etapa de lances, serão de exclusiva responsabilidade do licitante, não lhe assistindo o direito de pleitear qualquer alteração, sob alegação de erro, omissão ou qualquer outro pretexto.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13.3.1.2. Se o regime tributário da empresa implicar o recolhimento de tributos em percentuais variáveis, a cotação adequada será a que corresponde à média dos efetivos recolhimentos da empresa nos últimos doze meses.</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13.3.1.3. Independentemente do percentual de tributo inserido na Planilha de Custos e Formação de Preços, no pagamento serão retidos na fonte os percentuais estabelecidos na legislação vigente.</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13.3.2. O licitante deverá anexar a Planilha de Custos e Formação de Preços por categoria, em conformidade com o subitem 13 do Anexo I – Termo de Referência deste edital.</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13.3.3. A Planilha de Custos e Formação de Preços deverá conter o percentual referente aos custos indiretos e ao lucro.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13.3.4. O licitante que apresentar proposta com valor inferior a 90% (noventa por cento) do valor orçado pela Administração Pública, será dada oportunidade de demonstrar a sua exequibilidade através de contratos firmados com a Administração Pública ou com a iniciativa privada, ou ainda por quaisquer outros instrumentos de igual validade jurídica.</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13.3.4.1. Caso a comprovação da exequibilidade seja demonstrada através de contrato, o valor global deste não poderá ser inferior a 50% (cinquenta por cento) do valor de sua proposta, e a taxa de administração ou somatório entre os custos indiretos e o lucro deverá ser igual ou inferior ao somatório entre os custos indiretos e o lucro ofertado na proposta do licitante.</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13.4.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13.4.1. Junto com a proposta de preço, o licitante deverá apresentar:</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13.4.1.1. Documento apto a comprovar os Riscos Ambientais do Trabalho (RAT) X Fator Acidentário de Prevenção (FAP) = (RAT ajustado) referente ao último mês exigível anterior a data da realização da licitação.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13.4.1.2. Declaração informando o enquadramento sindical da empresa, a atividade econômica preponderante e a justificativa para adoção do instrumento coletivo do trabalho em que se baseia sua proposta.</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13.4.1.3. Cópia da carta ou registro sindical do sindicato a qual ele declara ser enquadrado.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 xml:space="preserve">13.5. O prazo de validade da proposta não será inferior a 90 (noventa) dias, a contar da data de sua apresentação readequada. </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13.6. Os licitantes devem respeitar os preços máximos estabelecidos pela Administração.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13.7. Não será estabelecida, nessa etapa do certame, ordem de classificação entre as propostas apresentadas, o que somente ocorrerá após a realização dos procedimentos de negociação e julgamento da proposta.</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13.8. Se o regime tributário da empresa implicar o recolhimento de tributos em percentuais variáveis, a cotação adequada será a que corresponde à média dos efetivos recolhimentos da empresa nos últimos doze meses, devendo o licitante juntar à proposta, a comprovação da adequação dos recolhimentos, para os fins do previsto no subitem anterior.</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13.8.1. Se o documento apresentado acima, não for suficiente para efeito de comprovação da  adequação dos recolhimentos dos tributos, ou em caso de necessidade de verificação do regime tributário apresentado, o pregoeiro ou a autoridade competente poderá, mediante diligência, solicitar outros documentos, como por exemplo a Declaração de Débitos e Créditos Tributários Federais (DCTF) referente ao último mês exigível anterior a data de realização da licitação.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13.9.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sobrepreço na execução do contrato.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13.10. É responsabilidade do licitante 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às sanções previstas no art. 156, incisos III e IV, da Lei 14.133/2021.</w:t>
      </w:r>
    </w:p>
    <w:p>
      <w:pPr>
        <w:pStyle w:val="Normal1"/>
        <w:spacing w:lineRule="auto" w:line="240" w:before="57" w:after="57"/>
        <w:jc w:val="both"/>
        <w:rPr>
          <w:rFonts w:ascii="Arial" w:hAnsi="Arial"/>
        </w:rPr>
      </w:pPr>
      <w:r>
        <w:rPr>
          <w:rFonts w:eastAsia="Times New Roman" w:cs="Times New Roman" w:ascii="Arial" w:hAnsi="Arial"/>
          <w:sz w:val="22"/>
          <w:szCs w:val="22"/>
        </w:rPr>
        <w:t xml:space="preserve">13.11. </w:t>
      </w:r>
      <w:r>
        <w:rPr>
          <w:rStyle w:val="Fontepargpadro1"/>
          <w:rFonts w:eastAsia="Times New Roman" w:cs="Arial" w:ascii="Arial" w:hAnsi="Arial"/>
          <w:color w:val="000000"/>
          <w:sz w:val="22"/>
          <w:szCs w:val="22"/>
        </w:rPr>
        <w:t>Somente serão aceitas propostas que adotarem na Planilha de Custos e Formação de Preços (PCFP) valor igual ou superior ao orçado pela Administração para a soma dos itens de salário-base, vale alimentação e plano de saúde.</w:t>
      </w:r>
    </w:p>
    <w:p>
      <w:pPr>
        <w:pStyle w:val="Normal1"/>
        <w:spacing w:lineRule="auto" w:line="240" w:before="57" w:after="57"/>
        <w:jc w:val="both"/>
        <w:rPr>
          <w:rFonts w:ascii="Arial" w:hAnsi="Arial"/>
        </w:rPr>
      </w:pPr>
      <w:r>
        <w:rPr>
          <w:rFonts w:eastAsia="Times New Roman" w:cs="Times New Roman" w:ascii="Arial" w:hAnsi="Arial"/>
          <w:sz w:val="22"/>
          <w:szCs w:val="22"/>
        </w:rPr>
        <w:t>13.11.1. Os benefícios de natureza social acima mencionados são estimados com base na Convenção Coletiva de Trabalho paradigma 2025 que</w:t>
      </w:r>
      <w:r>
        <w:rPr>
          <w:rFonts w:eastAsia="Times New Roman" w:cs="Times New Roman" w:ascii="Arial" w:hAnsi="Arial"/>
          <w:color w:val="000000"/>
          <w:sz w:val="22"/>
          <w:szCs w:val="22"/>
        </w:rPr>
        <w:t xml:space="preserve"> é aquela que melhor se adequa à categoria profissional que executará os serviços terceirizados, considerando a base territorial de execução do objeto.</w:t>
      </w:r>
    </w:p>
    <w:p>
      <w:pPr>
        <w:pStyle w:val="Normal1"/>
        <w:spacing w:lineRule="auto" w:line="240" w:before="57" w:after="57"/>
        <w:jc w:val="both"/>
        <w:rPr>
          <w:rFonts w:ascii="Arial" w:hAnsi="Arial"/>
        </w:rPr>
      </w:pPr>
      <w:r>
        <w:rPr>
          <w:rFonts w:eastAsia="Times New Roman" w:cs="Times New Roman" w:ascii="Arial" w:hAnsi="Arial"/>
          <w:b/>
          <w:color w:val="000000"/>
          <w:sz w:val="22"/>
          <w:szCs w:val="22"/>
        </w:rPr>
        <w:t xml:space="preserve">14. DA ABERTURA DA SESSÃO, CLASSIFICAÇÃO DAS PROPOSTAS E FORMULAÇÃO DE LANCES </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w:t>
      </w:r>
      <w:r>
        <w:rPr>
          <w:rFonts w:eastAsia="Times New Roman" w:cs="Times New Roman" w:ascii="Arial" w:hAnsi="Arial"/>
          <w:color w:val="000000"/>
          <w:sz w:val="22"/>
          <w:szCs w:val="22"/>
          <w:highlight w:val="white"/>
        </w:rPr>
        <w:t>4</w:t>
      </w:r>
      <w:r>
        <w:rPr>
          <w:rFonts w:eastAsia="Times New Roman" w:cs="Times New Roman" w:ascii="Arial" w:hAnsi="Arial"/>
          <w:color w:val="000000"/>
          <w:sz w:val="22"/>
          <w:szCs w:val="22"/>
        </w:rPr>
        <w:t>.1. A abertura da presente licitação dar-se-á automaticamente em sessão pública, por meio de sistema eletrônico, na data, horário e local indicados neste edital, vedada a identificação do licitante, sob pena de desclassificação.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14.1.1. A desclassificação será sempre fundamentada e registrada no sistema, com acompanhamento em tempo real por todos os participantes.</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w:t>
      </w:r>
      <w:r>
        <w:rPr>
          <w:rFonts w:eastAsia="Times New Roman" w:cs="Times New Roman" w:ascii="Arial" w:hAnsi="Arial"/>
          <w:color w:val="000000"/>
          <w:sz w:val="22"/>
          <w:szCs w:val="22"/>
          <w:highlight w:val="white"/>
        </w:rPr>
        <w:t>4</w:t>
      </w:r>
      <w:r>
        <w:rPr>
          <w:rFonts w:eastAsia="Times New Roman" w:cs="Times New Roman" w:ascii="Arial" w:hAnsi="Arial"/>
          <w:color w:val="000000"/>
          <w:sz w:val="22"/>
          <w:szCs w:val="22"/>
        </w:rPr>
        <w:t>.1.2. A não desclassificação da proposta não impede o seu julgamento definitivo em sentido contrário, levado a efeito na fase de aceitação.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14.2. O sistema ordenará automaticamente as propostas classificadas, sendo que somente estas participarão da fase de lances.</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14.3. O sistema disponibilizará campo próprio para troca de mensagens entre o pregoeiro e os licitantes.</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14.4. Iniciada a etapa competitiva, os licitantes deverão encaminhar os lances exclusivamente por meio de sistema eletrônico, sendo imediatamente informados do seu recebimento e do valor consignado no registro.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14.5. O lance deverá ser ofertado pelo valor unitário.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14.6. Os licitantes poderão oferecer lances sucessivos, observando o horário fixado para abertura da sessão e as regras estabelecidas neste edital.</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14.7. O licitante poderá, uma única vez, excluir seu último lance ofertado, no intervalo de quinze segundos após o registro no sistema, na hipótese de lance inconsistente ou inexequível.</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14.8. Os licitantes somente poderão oferecer lances de valor inferior ao último por eles ofertados e registrados pelo sistema.</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14.9. O intervalo mínimo de diferença de valores entre os lances, que incidirá tanto em relação aos lances intermediários quanto em relação à proposta que cobrir a melhor oferta deverá ser de R$ 0,50 (cinquenta centavos)</w:t>
      </w:r>
      <w:r>
        <w:rPr>
          <w:rFonts w:eastAsia="Times New Roman" w:cs="Times New Roman" w:ascii="Arial" w:hAnsi="Arial"/>
          <w:i/>
          <w:color w:val="000000"/>
          <w:sz w:val="22"/>
          <w:szCs w:val="22"/>
          <w:highlight w:val="white"/>
        </w:rPr>
        <w:t xml:space="preserve">, </w:t>
      </w:r>
      <w:r>
        <w:rPr>
          <w:rFonts w:eastAsia="Times New Roman" w:cs="Times New Roman" w:ascii="Arial" w:hAnsi="Arial"/>
          <w:color w:val="000000"/>
          <w:sz w:val="22"/>
          <w:szCs w:val="22"/>
          <w:highlight w:val="white"/>
        </w:rPr>
        <w:t>utilizando como referência o valor unitário do item.</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 xml:space="preserve">14.10. </w:t>
      </w:r>
      <w:r>
        <w:rPr>
          <w:rFonts w:eastAsia="Times New Roman" w:cs="Times New Roman" w:ascii="Arial" w:hAnsi="Arial"/>
          <w:color w:val="000000"/>
          <w:sz w:val="22"/>
          <w:szCs w:val="22"/>
        </w:rPr>
        <w:t>Desde que disponibilizada a funcionalidade no sistema, o licitante poderá parametrizar o seu valor final mínimo quando do cadastramento da proposta e obedecerá às seguintes regras:</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 xml:space="preserve">14.10.1. A aplicação do intervalo mínimo de diferença de valores entre os lances, que incidirá tanto em relação aos lances intermediários quanto em relação ao lance que cobrir a melhor oferta; </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14.10.2. Os lances serão de envio automático pelo sistema, respeitado o valor final mínimo, caso estabelecido, e o intervalo de que trata o subitem acima.</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 xml:space="preserve">14.11. </w:t>
      </w:r>
      <w:r>
        <w:rPr>
          <w:rFonts w:eastAsia="Times New Roman" w:cs="Times New Roman" w:ascii="Arial" w:hAnsi="Arial"/>
          <w:color w:val="000000"/>
          <w:sz w:val="22"/>
          <w:szCs w:val="22"/>
        </w:rPr>
        <w:t>O valor final mínimo parametrizado no sistema poderá ser alterado pelo licitante durante a fase de disputa, sendo vedado valor superior a lance já registrado por ele mesmo no sistema.</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14.12. O valor final mínimo parametrizado na forma do subitem 14.10. possuirá caráter sigiloso para os demais licitantes e para o pregoeiro, podendo ser disponibilizado estrita e permanentemente aos órgãos de controle externo e interno.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 xml:space="preserve">14.13. Será adotado o modo de disputa </w:t>
      </w:r>
      <w:r>
        <w:rPr>
          <w:rFonts w:eastAsia="Times New Roman" w:cs="Times New Roman" w:ascii="Arial" w:hAnsi="Arial"/>
          <w:b/>
          <w:color w:val="000000"/>
          <w:sz w:val="22"/>
          <w:szCs w:val="22"/>
          <w:highlight w:val="white"/>
        </w:rPr>
        <w:t>“aberto e fechado”</w:t>
      </w:r>
      <w:r>
        <w:rPr>
          <w:rFonts w:eastAsia="Times New Roman" w:cs="Times New Roman" w:ascii="Arial" w:hAnsi="Arial"/>
          <w:color w:val="000000"/>
          <w:sz w:val="22"/>
          <w:szCs w:val="22"/>
          <w:highlight w:val="white"/>
        </w:rPr>
        <w:t xml:space="preserve"> no qual os licitantes apresentarão lances públicos e sucessivos, com lance final e fechado.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14.13.2. Encerrado o prazo previsto no subitem anterior, o sistema abrirá oportunidade para que o autor da melhor oferta e os das ofertas com preços até 10% (dez por cento) superiores àquela, possam ofertar um lance final e fechado em até cinco minutos, o qual será sigiloso até o encerramento deste prazo.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14.13.3. O licitante poderá optar por manter o seu último lance da etapa aberta, ou por ofertar melhor lance.</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14.13.4. Não havendo pelo menos três ofertas nas condições definidas no subitem 14.13.2, poderão os autores dos melhores lances subsequentes, na ordem de classificação, até o máximo de três, oferecer um lance final e fechado em até cinco minutos, o qual será sigiloso até o encerramento deste prazo, observado o disposto no subitem 14.13.3.</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14.13.5. Poderá o pregoeiro, auxiliado pela equipe de apoio, justificadamente, admitir o reinício da etapa fechada, caso nenhuma licitante classificada na etapa de lance fechado atender às exigências de habilitação.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14.13.6. Após o término dos prazos estabelecidos nos subitens anteriores, o sistema ordenará e divulgará os lances segundo a ordem crescente.</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14.14. Não serão aceitos dois ou mais lances de mesmo valor, prevalecendo aquele que for recebido e registrado em primeiro lugar.</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14.15. Durante o transcurso da sessão pública, os licitantes serão informados, em tempo real, do valor de menor lance registrado. O sistema não identificará o autor dos lances ao pregoeiro nem aos demais participantes.</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14.16. No caso de desconexão com o pregoeiro, no decorrer da etapa competitiva do pregão, o sistema eletrônico poderá permanecer acessível aos licitantes para a recepção dos lances, sem prejuízos dos atos realizados.</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 xml:space="preserve">14.17. Quando a desconexão do sistema eletrônico para o pregoeiro persistir por tempo superior a dez minutos, a sessão pública será suspensa e reiniciada somente após decorridas </w:t>
      </w:r>
      <w:r>
        <w:rPr>
          <w:rFonts w:eastAsia="Times New Roman" w:cs="Times New Roman" w:ascii="Arial" w:hAnsi="Arial"/>
          <w:color w:val="000000"/>
          <w:sz w:val="22"/>
          <w:szCs w:val="22"/>
        </w:rPr>
        <w:t>24 (vinte e quatro) horas</w:t>
      </w:r>
      <w:r>
        <w:rPr>
          <w:rFonts w:eastAsia="Times New Roman" w:cs="Times New Roman" w:ascii="Arial" w:hAnsi="Arial"/>
          <w:color w:val="000000"/>
          <w:sz w:val="22"/>
          <w:szCs w:val="22"/>
          <w:highlight w:val="white"/>
        </w:rPr>
        <w:t xml:space="preserve"> da comunicação do fato pelo pregoeiro aos participantes, no sítio eletrônico utilizado para divulgação.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14.18. Caso o licitante não apresente lances, concorrerá com o valor de sua proposta.</w:t>
      </w:r>
    </w:p>
    <w:p>
      <w:pPr>
        <w:pStyle w:val="BodyText"/>
        <w:spacing w:lineRule="auto" w:line="240" w:before="57" w:after="57"/>
        <w:jc w:val="both"/>
        <w:rPr>
          <w:rFonts w:ascii="Arial" w:hAnsi="Arial" w:cs="Arial"/>
          <w:color w:val="000000"/>
          <w:sz w:val="22"/>
          <w:szCs w:val="22"/>
        </w:rPr>
      </w:pPr>
      <w:r>
        <w:rPr>
          <w:rFonts w:cs="Arial" w:ascii="Arial" w:hAnsi="Arial"/>
          <w:color w:val="000000"/>
          <w:sz w:val="22"/>
          <w:szCs w:val="22"/>
          <w:shd w:fill="FFFFFF" w:val="clear"/>
        </w:rPr>
        <w:t>14.19. Uma vez encerrada a etapa de lances</w:t>
      </w:r>
      <w:r>
        <w:rPr>
          <w:rFonts w:eastAsia="Zurich BT" w:cs="Arial" w:ascii="Arial" w:hAnsi="Arial"/>
          <w:color w:val="000000"/>
          <w:sz w:val="22"/>
          <w:szCs w:val="22"/>
          <w:shd w:fill="FFFFFF" w:val="clear"/>
        </w:rPr>
        <w:t>,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p>
    <w:p>
      <w:pPr>
        <w:pStyle w:val="BodyText"/>
        <w:spacing w:lineRule="auto" w:line="240" w:before="57" w:after="57"/>
        <w:jc w:val="both"/>
        <w:rPr>
          <w:rFonts w:ascii="Arial" w:hAnsi="Arial" w:cs="Arial"/>
          <w:color w:val="000000"/>
          <w:sz w:val="22"/>
          <w:szCs w:val="22"/>
        </w:rPr>
      </w:pPr>
      <w:r>
        <w:rPr>
          <w:rFonts w:eastAsia="Zurich BT" w:cs="Arial" w:ascii="Arial" w:hAnsi="Arial"/>
          <w:color w:val="000000"/>
          <w:sz w:val="22"/>
          <w:szCs w:val="22"/>
          <w:shd w:fill="FFFFFF" w:val="clear"/>
        </w:rPr>
        <w:t>14.19.1. Nessas condições, as propostas de microempresas e empresas de pequeno porte que se encontrarem na faixa de até 5% (cinco por cento) acima da melhor proposta ou melhor lance serão consideradas empatadas com a primeira colocada.</w:t>
      </w:r>
    </w:p>
    <w:p>
      <w:pPr>
        <w:pStyle w:val="BodyText"/>
        <w:spacing w:lineRule="auto" w:line="240" w:before="57" w:after="57"/>
        <w:jc w:val="both"/>
        <w:rPr>
          <w:rFonts w:ascii="Arial" w:hAnsi="Arial" w:cs="Arial"/>
          <w:color w:val="000000"/>
          <w:sz w:val="22"/>
          <w:szCs w:val="22"/>
        </w:rPr>
      </w:pPr>
      <w:r>
        <w:rPr>
          <w:rFonts w:eastAsia="Zurich BT" w:cs="Arial" w:ascii="Arial" w:hAnsi="Arial"/>
          <w:color w:val="000000"/>
          <w:sz w:val="22"/>
          <w:szCs w:val="22"/>
          <w:shd w:fill="FFFFFF" w:val="clear"/>
        </w:rPr>
        <w:t>14.19.2.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BodyText"/>
        <w:spacing w:lineRule="auto" w:line="240" w:before="57" w:after="57"/>
        <w:jc w:val="both"/>
        <w:rPr>
          <w:rFonts w:ascii="Arial" w:hAnsi="Arial" w:cs="Arial"/>
          <w:color w:val="000000"/>
          <w:sz w:val="22"/>
          <w:szCs w:val="22"/>
        </w:rPr>
      </w:pPr>
      <w:r>
        <w:rPr>
          <w:rFonts w:eastAsia="Zurich BT" w:cs="Arial" w:ascii="Arial" w:hAnsi="Arial"/>
          <w:color w:val="000000"/>
          <w:sz w:val="22"/>
          <w:szCs w:val="22"/>
          <w:shd w:fill="FFFFFF" w:val="clear"/>
        </w:rPr>
        <w:t>14.19.3.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Normal"/>
        <w:spacing w:lineRule="auto" w:line="240" w:before="57" w:after="57"/>
        <w:jc w:val="both"/>
        <w:rPr/>
      </w:pPr>
      <w:r>
        <w:rPr>
          <w:rFonts w:eastAsia="Zurich BT" w:cs="Arial" w:ascii="Arial" w:hAnsi="Arial"/>
          <w:color w:val="000000"/>
          <w:sz w:val="22"/>
          <w:szCs w:val="22"/>
          <w:shd w:fill="FFFFFF" w:val="clear"/>
        </w:rPr>
        <w:t xml:space="preserve">14.19.4. No caso de equivalência dos valores apresentados pelas microempresas e empresas de pequeno porte que se encontrem </w:t>
      </w:r>
      <w:r>
        <w:rPr>
          <w:rFonts w:eastAsia="Zurich BT" w:ascii="Arial" w:hAnsi="Arial"/>
          <w:color w:val="000000"/>
          <w:sz w:val="22"/>
          <w:szCs w:val="22"/>
          <w:shd w:fill="FFFFFF" w:val="clear"/>
        </w:rPr>
        <w:t>no intervalo estabelecido no subitem anterior, será realizado sorteio entre elas para que se identifique aquela que primeiro poderá apresentar melhor oferta.</w:t>
      </w:r>
    </w:p>
    <w:p>
      <w:pPr>
        <w:pStyle w:val="BodyText"/>
        <w:spacing w:lineRule="auto" w:line="240" w:before="57" w:after="57"/>
        <w:jc w:val="both"/>
        <w:rPr>
          <w:rFonts w:ascii="Arial" w:hAnsi="Arial" w:cs="Arial"/>
          <w:color w:val="000000"/>
          <w:sz w:val="22"/>
          <w:szCs w:val="22"/>
        </w:rPr>
      </w:pPr>
      <w:r>
        <w:rPr>
          <w:rFonts w:eastAsia="Zurich BT" w:cs="Arial" w:ascii="Arial" w:hAnsi="Arial"/>
          <w:color w:val="000000"/>
          <w:sz w:val="22"/>
          <w:szCs w:val="22"/>
          <w:shd w:fill="FFFFFF" w:val="clear"/>
        </w:rPr>
        <w:t>14.20. Só poderá haver empate entre propostas iguais, não seguidas de lances, ou entre lances finais da fase fechada do modo de disputa aberto e fechado.</w:t>
      </w:r>
    </w:p>
    <w:p>
      <w:pPr>
        <w:pStyle w:val="BodyText"/>
        <w:spacing w:lineRule="auto" w:line="240" w:before="57" w:after="57"/>
        <w:jc w:val="both"/>
        <w:rPr>
          <w:rFonts w:ascii="Arial" w:hAnsi="Arial" w:cs="Arial"/>
          <w:color w:val="000000"/>
          <w:sz w:val="22"/>
          <w:szCs w:val="22"/>
        </w:rPr>
      </w:pPr>
      <w:r>
        <w:rPr>
          <w:rFonts w:eastAsia="Zurich BT" w:cs="Arial" w:ascii="Arial" w:hAnsi="Arial"/>
          <w:color w:val="000000"/>
          <w:sz w:val="22"/>
          <w:szCs w:val="22"/>
          <w:shd w:fill="FFFFFF" w:val="clear"/>
        </w:rPr>
        <w:t xml:space="preserve">14.21. </w:t>
      </w:r>
      <w:r>
        <w:rPr>
          <w:rFonts w:eastAsia="Times New Roman" w:cs="Verdana" w:ascii="Arial" w:hAnsi="Arial"/>
          <w:color w:val="000000"/>
          <w:sz w:val="22"/>
          <w:szCs w:val="22"/>
          <w:shd w:fill="FFFFFF" w:val="clear"/>
        </w:rPr>
        <w:t>Em caso de empate entre duas ou mais propostas ou lances, serão utilizados os seguintes critérios de desempate, nesta ordem:</w:t>
      </w:r>
    </w:p>
    <w:p>
      <w:pPr>
        <w:pStyle w:val="BodyText"/>
        <w:spacing w:lineRule="auto" w:line="240" w:before="57" w:after="57"/>
        <w:jc w:val="both"/>
        <w:rPr>
          <w:rFonts w:ascii="Arial" w:hAnsi="Arial" w:cs="Arial"/>
          <w:color w:val="000000"/>
          <w:sz w:val="22"/>
          <w:szCs w:val="22"/>
        </w:rPr>
      </w:pPr>
      <w:r>
        <w:rPr>
          <w:rFonts w:eastAsia="Times New Roman" w:cs="Verdana" w:ascii="Arial" w:hAnsi="Arial"/>
          <w:color w:val="000000"/>
          <w:sz w:val="22"/>
          <w:szCs w:val="22"/>
          <w:shd w:fill="FFFFFF" w:val="clear"/>
        </w:rPr>
        <w:t>14.21.1. Disputa final, hipótese em que os licitantes empatados poderão apresentar nova proposta ou lance em ato contínuo à classificação;</w:t>
      </w:r>
    </w:p>
    <w:p>
      <w:pPr>
        <w:pStyle w:val="BodyText"/>
        <w:spacing w:lineRule="auto" w:line="240" w:before="57" w:after="57"/>
        <w:jc w:val="both"/>
        <w:rPr>
          <w:rFonts w:ascii="Arial" w:hAnsi="Arial" w:cs="Arial"/>
          <w:color w:val="000000"/>
          <w:sz w:val="22"/>
          <w:szCs w:val="22"/>
        </w:rPr>
      </w:pPr>
      <w:r>
        <w:rPr>
          <w:rFonts w:eastAsia="Times New Roman" w:cs="Verdana" w:ascii="Arial" w:hAnsi="Arial"/>
          <w:color w:val="000000"/>
          <w:sz w:val="22"/>
          <w:szCs w:val="22"/>
          <w:shd w:fill="FFFFFF" w:val="clear"/>
        </w:rPr>
        <w:t>14.21.2. Avaliação do desempenho contratual prévio dos licitantes, para a qual deverão preferencialmente ser utilizados registros cadastrais para efeito de atesto de cumprimento de obrigações previstos na Lei Federal nº 14.133/2021;</w:t>
      </w:r>
    </w:p>
    <w:p>
      <w:pPr>
        <w:pStyle w:val="Normal"/>
        <w:spacing w:lineRule="auto" w:line="240" w:before="57" w:after="57"/>
        <w:jc w:val="both"/>
        <w:rPr/>
      </w:pPr>
      <w:r>
        <w:rPr>
          <w:rFonts w:eastAsia="Times New Roman" w:cs="Verdana" w:ascii="Arial" w:hAnsi="Arial"/>
          <w:color w:val="000000"/>
          <w:sz w:val="22"/>
          <w:szCs w:val="22"/>
          <w:shd w:fill="FFFFFF" w:val="clear"/>
        </w:rPr>
        <w:t>14.21.3. Desenvolvimento pelo licitante de ações de equidade entre homens e mulheres no ambiente de trabalho, comprovado mediante a apresentação do Selo Empresa Amiga da Mulher, criado pela Lei Federal nº 14.682, de 20 de setembro de 2023 ou por quaisquer outros selos que representem ações de equidade entre homens e mulheres, criados pelos Estados e/ou Distrito Federal.</w:t>
      </w:r>
    </w:p>
    <w:p>
      <w:pPr>
        <w:pStyle w:val="Normal"/>
        <w:spacing w:lineRule="auto" w:line="240" w:before="57" w:after="57"/>
        <w:jc w:val="both"/>
        <w:rPr>
          <w:rFonts w:ascii="Arial" w:hAnsi="Arial" w:cs="Arial"/>
          <w:color w:val="000000"/>
          <w:sz w:val="22"/>
          <w:szCs w:val="22"/>
        </w:rPr>
      </w:pPr>
      <w:r>
        <w:rPr>
          <w:rFonts w:eastAsia="Times New Roman" w:cs="Verdana" w:ascii="Arial" w:hAnsi="Arial"/>
          <w:color w:val="000000"/>
          <w:sz w:val="22"/>
          <w:szCs w:val="22"/>
          <w:shd w:fill="FFFFFF" w:val="clear"/>
        </w:rPr>
        <w:t>14.21.4. Desenvolvimento pelo licitante de programa de integridade, conforme as diretrizes estabelecidas pela Controladoria-Geral do Estado ou, em sua ausência, pela Controladoria-Geral da União para as empresas privadas.</w:t>
      </w:r>
    </w:p>
    <w:p>
      <w:pPr>
        <w:pStyle w:val="BodyText"/>
        <w:spacing w:lineRule="auto" w:line="240" w:before="57" w:after="57"/>
        <w:jc w:val="both"/>
        <w:rPr>
          <w:rFonts w:ascii="Arial" w:hAnsi="Arial" w:cs="Arial"/>
          <w:color w:val="000000"/>
          <w:sz w:val="22"/>
          <w:szCs w:val="22"/>
        </w:rPr>
      </w:pPr>
      <w:r>
        <w:rPr>
          <w:rFonts w:eastAsia="Times New Roman" w:cs="Verdana" w:ascii="Arial" w:hAnsi="Arial"/>
          <w:color w:val="000000"/>
          <w:sz w:val="22"/>
          <w:szCs w:val="22"/>
          <w:shd w:fill="FFFFFF" w:val="clear"/>
        </w:rPr>
        <w:t>14.22. Em igualdade de condições, se não houver desempate, será assegurada preferência, sucessivamente, aos bens e serviços produzidos ou prestados por:</w:t>
      </w:r>
    </w:p>
    <w:p>
      <w:pPr>
        <w:pStyle w:val="BodyText"/>
        <w:spacing w:lineRule="auto" w:line="240" w:before="57" w:after="57"/>
        <w:jc w:val="both"/>
        <w:rPr>
          <w:rFonts w:ascii="Arial" w:hAnsi="Arial" w:cs="Arial"/>
          <w:color w:val="000000"/>
          <w:sz w:val="22"/>
          <w:szCs w:val="22"/>
        </w:rPr>
      </w:pPr>
      <w:r>
        <w:rPr>
          <w:rFonts w:eastAsia="Times New Roman" w:cs="Verdana" w:ascii="Arial" w:hAnsi="Arial"/>
          <w:color w:val="000000"/>
          <w:sz w:val="22"/>
          <w:szCs w:val="22"/>
          <w:shd w:fill="FFFFFF" w:val="clear"/>
        </w:rPr>
        <w:t>14.22.1. Empresas estabelecidas no território do Estado do Ceará;</w:t>
      </w:r>
    </w:p>
    <w:p>
      <w:pPr>
        <w:pStyle w:val="BodyText"/>
        <w:spacing w:lineRule="auto" w:line="240" w:before="57" w:after="57"/>
        <w:jc w:val="both"/>
        <w:rPr>
          <w:rFonts w:ascii="Arial" w:hAnsi="Arial" w:cs="Arial"/>
          <w:color w:val="000000"/>
          <w:sz w:val="22"/>
          <w:szCs w:val="22"/>
        </w:rPr>
      </w:pPr>
      <w:r>
        <w:rPr>
          <w:rFonts w:eastAsia="Times New Roman" w:cs="Verdana" w:ascii="Arial" w:hAnsi="Arial"/>
          <w:color w:val="000000"/>
          <w:sz w:val="22"/>
          <w:szCs w:val="22"/>
          <w:shd w:fill="FFFFFF" w:val="clear"/>
        </w:rPr>
        <w:t>14.22.2. Empresas brasileiras;</w:t>
      </w:r>
    </w:p>
    <w:p>
      <w:pPr>
        <w:pStyle w:val="BodyText"/>
        <w:spacing w:lineRule="auto" w:line="240" w:before="57" w:after="57"/>
        <w:jc w:val="both"/>
        <w:rPr>
          <w:rFonts w:ascii="Arial" w:hAnsi="Arial" w:cs="Arial"/>
          <w:color w:val="000000"/>
          <w:sz w:val="22"/>
          <w:szCs w:val="22"/>
        </w:rPr>
      </w:pPr>
      <w:r>
        <w:rPr>
          <w:rFonts w:eastAsia="Times New Roman" w:cs="Verdana" w:ascii="Arial" w:hAnsi="Arial"/>
          <w:color w:val="000000"/>
          <w:sz w:val="22"/>
          <w:szCs w:val="22"/>
          <w:shd w:fill="FFFFFF" w:val="clear"/>
        </w:rPr>
        <w:t>14.22.3. Empresas que invistam em pesquisa e no desenvolvimento de tecnologia no País;</w:t>
      </w:r>
    </w:p>
    <w:p>
      <w:pPr>
        <w:pStyle w:val="BodyText"/>
        <w:spacing w:lineRule="auto" w:line="240" w:before="57" w:after="57"/>
        <w:jc w:val="both"/>
        <w:rPr>
          <w:rFonts w:ascii="Arial" w:hAnsi="Arial" w:cs="Arial"/>
          <w:color w:val="000000"/>
          <w:sz w:val="22"/>
          <w:szCs w:val="22"/>
        </w:rPr>
      </w:pPr>
      <w:r>
        <w:rPr>
          <w:rFonts w:eastAsia="Times New Roman" w:cs="Verdana" w:ascii="Arial" w:hAnsi="Arial"/>
          <w:color w:val="000000"/>
          <w:sz w:val="22"/>
          <w:szCs w:val="22"/>
          <w:shd w:fill="FFFFFF" w:val="clear"/>
        </w:rPr>
        <w:t>14.22.4. Empresas que comprovem a prática de mitigação, nos termos da Lei nº 12.187/2009.</w:t>
      </w:r>
    </w:p>
    <w:p>
      <w:pPr>
        <w:pStyle w:val="BodyText"/>
        <w:spacing w:lineRule="auto" w:line="240" w:before="57" w:after="57"/>
        <w:jc w:val="both"/>
        <w:rPr/>
      </w:pPr>
      <w:r>
        <w:rPr>
          <w:rFonts w:eastAsia="Arial" w:cs="Arial" w:ascii="Arial" w:hAnsi="Arial"/>
          <w:color w:val="000000"/>
          <w:sz w:val="22"/>
          <w:szCs w:val="22"/>
          <w:shd w:fill="FFFFFF" w:val="clear"/>
          <w:lang w:eastAsia="ar-SA"/>
        </w:rPr>
        <w:t xml:space="preserve">14.23. </w:t>
      </w:r>
      <w:r>
        <w:rPr>
          <w:rFonts w:eastAsia="Arial" w:ascii="Arial" w:hAnsi="Arial"/>
          <w:color w:val="000000"/>
          <w:sz w:val="22"/>
          <w:szCs w:val="22"/>
          <w:shd w:fill="FFFFFF" w:val="clear"/>
          <w:lang w:eastAsia="ar-SA"/>
        </w:rPr>
        <w:t>Permanecendo empate após aplicação de todos os critérios de desempate de que trata a lei, proceder-se-á o sorteio das propostas empatadas, pelo sistema Compras.gov.br, conforme Acórdão TCU nº 723/2024 Plenário.</w:t>
      </w:r>
    </w:p>
    <w:p>
      <w:pPr>
        <w:pStyle w:val="BodyText"/>
        <w:spacing w:lineRule="auto" w:line="240" w:before="57" w:after="57"/>
        <w:jc w:val="both"/>
        <w:rPr/>
      </w:pPr>
      <w:r>
        <w:rPr>
          <w:rFonts w:eastAsia="Arial" w:ascii="Arial" w:hAnsi="Arial"/>
          <w:color w:val="000000"/>
          <w:sz w:val="22"/>
          <w:szCs w:val="22"/>
          <w:shd w:fill="FFFFFF" w:val="clear"/>
          <w:lang w:eastAsia="ar-SA"/>
        </w:rPr>
        <w:t>14.23.1. Na impossibilidade do sorteio pelo sistema Compras.gov.br, serão adotadas as seguintes providências, a ser realizado em ato público:</w:t>
      </w:r>
    </w:p>
    <w:p>
      <w:pPr>
        <w:pStyle w:val="BodyText"/>
        <w:spacing w:lineRule="auto" w:line="240" w:before="57" w:after="57"/>
        <w:jc w:val="both"/>
        <w:rPr>
          <w:rFonts w:ascii="Arial" w:hAnsi="Arial" w:eastAsia="Calibri;Century Gothic" w:cs="Arial"/>
          <w:color w:val="000000"/>
          <w:sz w:val="22"/>
          <w:szCs w:val="22"/>
          <w:lang w:bidi="ar-SA"/>
        </w:rPr>
      </w:pPr>
      <w:r>
        <w:rPr>
          <w:rFonts w:eastAsia="Calibri;Century Gothic" w:cs="Calibri;Century Gothic" w:ascii="Arial" w:hAnsi="Arial"/>
          <w:color w:val="000000"/>
          <w:sz w:val="22"/>
          <w:szCs w:val="22"/>
          <w:shd w:fill="FFFFFF" w:val="clear"/>
          <w:lang w:bidi="ar-SA"/>
        </w:rPr>
        <w:t>I - Será comunicado, por meio do sistema, a data, o horário, o sítio eletrônico onde será realizado o sorteio, bem como a plataforma de transmissão ao vivo;</w:t>
      </w:r>
    </w:p>
    <w:p>
      <w:pPr>
        <w:pStyle w:val="BodyText"/>
        <w:spacing w:lineRule="auto" w:line="240" w:before="57" w:after="57"/>
        <w:jc w:val="both"/>
        <w:rPr>
          <w:rFonts w:ascii="Arial" w:hAnsi="Arial" w:eastAsia="Calibri;Century Gothic" w:cs="Arial"/>
          <w:color w:val="000000"/>
          <w:sz w:val="22"/>
          <w:szCs w:val="22"/>
          <w:lang w:bidi="ar-SA"/>
        </w:rPr>
      </w:pPr>
      <w:r>
        <w:rPr>
          <w:rFonts w:eastAsia="Calibri;Century Gothic" w:cs="Calibri;Century Gothic" w:ascii="Arial" w:hAnsi="Arial"/>
          <w:color w:val="000000"/>
          <w:sz w:val="22"/>
          <w:szCs w:val="22"/>
          <w:shd w:fill="FFFFFF" w:val="clear"/>
          <w:lang w:bidi="ar-SA"/>
        </w:rPr>
        <w:t xml:space="preserve">II - A data e o horário serão comunicados no prazo de </w:t>
      </w:r>
      <w:r>
        <w:rPr>
          <w:rFonts w:eastAsia="Arial" w:cs="Arial" w:ascii="Arial" w:hAnsi="Arial"/>
          <w:color w:val="000000"/>
          <w:sz w:val="22"/>
          <w:szCs w:val="22"/>
          <w:shd w:fill="FFFFFF" w:val="clear"/>
          <w:lang w:bidi="ar-SA"/>
        </w:rPr>
        <w:t>24 (vinte e quatro) horas que antecedem a realização do sorteio;</w:t>
      </w:r>
    </w:p>
    <w:p>
      <w:pPr>
        <w:pStyle w:val="BodyText"/>
        <w:spacing w:lineRule="auto" w:line="240" w:before="57" w:after="57"/>
        <w:jc w:val="both"/>
        <w:rPr>
          <w:rFonts w:ascii="Arial" w:hAnsi="Arial" w:eastAsia="Calibri;Century Gothic" w:cs="Arial"/>
          <w:color w:val="000000"/>
          <w:sz w:val="22"/>
          <w:szCs w:val="22"/>
          <w:lang w:bidi="ar-SA"/>
        </w:rPr>
      </w:pPr>
      <w:r>
        <w:rPr>
          <w:rFonts w:eastAsia="Calibri;Century Gothic" w:cs="Calibri;Century Gothic" w:ascii="Arial" w:hAnsi="Arial"/>
          <w:color w:val="000000"/>
          <w:sz w:val="22"/>
          <w:szCs w:val="22"/>
          <w:lang w:eastAsia="ar-SA" w:bidi="ar-SA"/>
        </w:rPr>
        <w:t xml:space="preserve">III - O resultado do sorteio será registrado na ata da sessão pública, </w:t>
      </w:r>
      <w:r>
        <w:rPr>
          <w:rFonts w:eastAsia="Times New Roman" w:cs="Verdana" w:ascii="Arial" w:hAnsi="Arial"/>
          <w:color w:val="000000"/>
          <w:sz w:val="22"/>
          <w:szCs w:val="22"/>
          <w:lang w:eastAsia="ar-SA" w:bidi="ar-SA"/>
        </w:rPr>
        <w:t>divulgado a todos os licitantes</w:t>
      </w:r>
      <w:r>
        <w:rPr>
          <w:rFonts w:eastAsia="Calibri;Century Gothic" w:cs="Calibri;Century Gothic" w:ascii="Arial" w:hAnsi="Arial"/>
          <w:color w:val="000000"/>
          <w:sz w:val="22"/>
          <w:szCs w:val="22"/>
          <w:lang w:eastAsia="ar-SA" w:bidi="ar-SA"/>
        </w:rPr>
        <w:t xml:space="preserve"> e anexado aos autos do processo licitatório.</w:t>
      </w:r>
    </w:p>
    <w:p>
      <w:pPr>
        <w:pStyle w:val="BodyText"/>
        <w:spacing w:lineRule="auto" w:line="240" w:before="57" w:after="57"/>
        <w:jc w:val="both"/>
        <w:rPr/>
      </w:pPr>
      <w:r>
        <w:rPr>
          <w:rFonts w:eastAsia="Times New Roman" w:cs="Verdana" w:ascii="Arial" w:hAnsi="Arial"/>
          <w:color w:val="000000"/>
          <w:sz w:val="22"/>
          <w:szCs w:val="22"/>
        </w:rPr>
        <w:t>14.24. Encerrada a etapa de envio de lances da sessão pública, o pregoeiro deverá negociar condições mais vantajosas com o primeiro colocado, vedada a negociação em condições diferentes das previstas neste edital.</w:t>
      </w:r>
    </w:p>
    <w:p>
      <w:pPr>
        <w:pStyle w:val="BodyText"/>
        <w:spacing w:lineRule="auto" w:line="240" w:before="57" w:after="57"/>
        <w:jc w:val="both"/>
        <w:rPr/>
      </w:pPr>
      <w:r>
        <w:rPr>
          <w:rFonts w:eastAsia="Times New Roman" w:cs="Verdana" w:ascii="Arial" w:hAnsi="Arial"/>
          <w:color w:val="000000"/>
          <w:sz w:val="22"/>
          <w:szCs w:val="22"/>
        </w:rPr>
        <w:t>14.24.1. A negociação deverá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BodyText"/>
        <w:spacing w:lineRule="auto" w:line="240" w:before="57" w:after="57"/>
        <w:jc w:val="both"/>
        <w:rPr/>
      </w:pPr>
      <w:r>
        <w:rPr>
          <w:rFonts w:eastAsia="Times New Roman" w:cs="Verdana" w:ascii="Arial" w:hAnsi="Arial"/>
          <w:color w:val="000000"/>
          <w:sz w:val="22"/>
          <w:szCs w:val="22"/>
        </w:rPr>
        <w:t>14.24.2. A negociação será realizada por meio do sistema, podendo ser acompanhada pelos demais licitantes.</w:t>
      </w:r>
    </w:p>
    <w:p>
      <w:pPr>
        <w:pStyle w:val="BodyText"/>
        <w:spacing w:lineRule="auto" w:line="240" w:before="57" w:after="57"/>
        <w:jc w:val="both"/>
        <w:rPr/>
      </w:pPr>
      <w:r>
        <w:rPr>
          <w:rFonts w:eastAsia="Times New Roman" w:cs="Verdana" w:ascii="Arial" w:hAnsi="Arial"/>
          <w:color w:val="000000"/>
          <w:sz w:val="22"/>
          <w:szCs w:val="22"/>
        </w:rPr>
        <w:t>14.24.3. O resultado da negociação será divulgado a todos os licitantes e anexado aos autos do processo licitatório.</w:t>
      </w:r>
    </w:p>
    <w:p>
      <w:pPr>
        <w:pStyle w:val="BodyText"/>
        <w:spacing w:lineRule="auto" w:line="240" w:before="57" w:after="57"/>
        <w:jc w:val="both"/>
        <w:rPr>
          <w:rFonts w:ascii="Arial" w:hAnsi="Arial" w:cs="Arial"/>
          <w:color w:val="000000"/>
          <w:sz w:val="22"/>
          <w:szCs w:val="22"/>
          <w:shd w:fill="FFFFFF" w:val="clear"/>
        </w:rPr>
      </w:pPr>
      <w:r>
        <w:rPr>
          <w:rFonts w:eastAsia="Times New Roman" w:cs="Verdana" w:ascii="Arial" w:hAnsi="Arial"/>
          <w:color w:val="000000"/>
          <w:sz w:val="22"/>
          <w:szCs w:val="22"/>
        </w:rPr>
        <w:t>14.25. A proposta deverá conter todas as especificações do objeto em atendimento ao Anexo I – Termo de Referência.</w:t>
      </w:r>
    </w:p>
    <w:p>
      <w:pPr>
        <w:pStyle w:val="BodyText"/>
        <w:spacing w:lineRule="auto" w:line="240" w:before="57" w:after="57"/>
        <w:jc w:val="both"/>
        <w:rPr/>
      </w:pPr>
      <w:r>
        <w:rPr>
          <w:rFonts w:eastAsia="Times New Roman" w:cs="Verdana" w:ascii="Arial" w:hAnsi="Arial"/>
          <w:color w:val="000000"/>
          <w:sz w:val="22"/>
          <w:szCs w:val="22"/>
        </w:rPr>
        <w:t xml:space="preserve">14.26. O pregoeiro solicitará ao licitante mais bem classificado para no prazo de </w:t>
      </w:r>
      <w:r>
        <w:rPr>
          <w:rFonts w:eastAsia="Arial" w:cs="Arial" w:ascii="Arial" w:hAnsi="Arial"/>
          <w:color w:val="000000"/>
          <w:sz w:val="22"/>
          <w:szCs w:val="22"/>
        </w:rPr>
        <w:t>24 (vinte e quatro) horas</w:t>
      </w:r>
      <w:r>
        <w:rPr>
          <w:rFonts w:eastAsia="Times New Roman" w:cs="Verdana" w:ascii="Arial" w:hAnsi="Arial"/>
          <w:color w:val="000000"/>
          <w:sz w:val="22"/>
          <w:szCs w:val="22"/>
        </w:rPr>
        <w:t xml:space="preserve">, </w:t>
      </w:r>
      <w:r>
        <w:rPr>
          <w:rFonts w:eastAsia="Cumberland AMT" w:cs="Verdana" w:ascii="Arial" w:hAnsi="Arial"/>
          <w:color w:val="000000"/>
          <w:sz w:val="22"/>
          <w:szCs w:val="22"/>
        </w:rPr>
        <w:t xml:space="preserve">prorrogável por igual período na forma do art. 49 do Decreto Estadual nº 35.067/2022, </w:t>
      </w:r>
      <w:r>
        <w:rPr>
          <w:rFonts w:eastAsia="Times New Roman" w:cs="Verdana" w:ascii="Arial" w:hAnsi="Arial"/>
          <w:color w:val="000000"/>
          <w:sz w:val="22"/>
          <w:szCs w:val="22"/>
        </w:rPr>
        <w:t>após a negociação realizada, anexar a proposta adequada ao último lance por ele ofertado.</w:t>
      </w:r>
    </w:p>
    <w:p>
      <w:pPr>
        <w:pStyle w:val="BodyText"/>
        <w:spacing w:lineRule="auto" w:line="240" w:before="57" w:after="57"/>
        <w:jc w:val="both"/>
        <w:rPr/>
      </w:pPr>
      <w:r>
        <w:rPr>
          <w:rFonts w:eastAsia="Times New Roman" w:cs="Verdana" w:ascii="Arial" w:hAnsi="Arial"/>
          <w:color w:val="000000"/>
          <w:sz w:val="22"/>
          <w:szCs w:val="22"/>
          <w:highlight w:val="white"/>
        </w:rPr>
        <w:t xml:space="preserve">14.27. </w:t>
      </w:r>
      <w:r>
        <w:rPr>
          <w:rStyle w:val="Fontepargpadro1"/>
          <w:rFonts w:eastAsia="Times New Roman" w:cs="Verdana" w:ascii="Arial" w:hAnsi="Arial"/>
          <w:color w:val="000000"/>
          <w:sz w:val="22"/>
          <w:szCs w:val="22"/>
          <w:highlight w:val="white"/>
        </w:rPr>
        <w:t>Em caso de alteração dos percentuais de tributos e/ou encargos sociais, bem como decisão judicial que isente ou reduza o recolhimento de algum destes itens, previamente estabelecidos no subitem 13 do Anexo I – Termo de Referência deste edital, deverá ser comprovada pelo documento legal correspondente.</w:t>
      </w:r>
    </w:p>
    <w:p>
      <w:pPr>
        <w:pStyle w:val="Normal1"/>
        <w:tabs>
          <w:tab w:val="clear" w:pos="720"/>
          <w:tab w:val="left" w:pos="709"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15. DA FASE DE JULGAMENTO</w:t>
      </w:r>
    </w:p>
    <w:p>
      <w:pPr>
        <w:pStyle w:val="Normal1"/>
        <w:tabs>
          <w:tab w:val="clear" w:pos="720"/>
          <w:tab w:val="center" w:pos="-1260" w:leader="none"/>
        </w:tabs>
        <w:spacing w:lineRule="auto" w:line="240" w:before="57" w:after="57"/>
        <w:jc w:val="both"/>
        <w:rPr/>
      </w:pPr>
      <w:bookmarkStart w:id="0" w:name="_heading=h.y1jx2gorp9fu"/>
      <w:bookmarkEnd w:id="0"/>
      <w:r>
        <w:rPr>
          <w:rFonts w:eastAsia="Times New Roman" w:cs="Times New Roman" w:ascii="Arial" w:hAnsi="Arial"/>
          <w:color w:val="000000"/>
          <w:sz w:val="22"/>
          <w:szCs w:val="22"/>
        </w:rPr>
        <w:t xml:space="preserve">15.1. Encerrada a etapa de negociação, o pregoeiro verificará se o licitante provisoriamente classificado em primeiro lugar atende às condições de participação no certame, observado o previsto no </w:t>
      </w:r>
      <w:r>
        <w:fldChar w:fldCharType="begin"/>
      </w:r>
      <w:r>
        <w:rPr>
          <w:sz w:val="22"/>
          <w:szCs w:val="22"/>
          <w:rFonts w:eastAsia="Times New Roman" w:cs="Times New Roman" w:ascii="Arial" w:hAnsi="Arial"/>
          <w:color w:val="000000"/>
        </w:rPr>
        <w:instrText xml:space="preserve"> HYPERLINK "http://www.planalto.gov.br/ccivil_03/_ato2019-2022/2021/lei/L14133.htm" \l "art14"</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art. 14 da Lei Federal nº 14.133/2021</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 legislação correlata e no subitem 9.5, deste edital, especialmente quanto à existência de sanção que impeça a participação no certame ou a futura contratação, mediante a consulta aos seguintes cadastros:</w:t>
      </w:r>
    </w:p>
    <w:p>
      <w:pPr>
        <w:pStyle w:val="Normal1"/>
        <w:tabs>
          <w:tab w:val="clear" w:pos="720"/>
          <w:tab w:val="center" w:pos="-1260"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I - Sistema de Cadastramento Unificado de Fornecedores (SICAF);</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 - Certificado de Registro Cadastral (CRC) CE.</w:t>
      </w:r>
    </w:p>
    <w:p>
      <w:pPr>
        <w:pStyle w:val="Normal1"/>
        <w:spacing w:lineRule="auto" w:line="240" w:before="57" w:after="57"/>
        <w:jc w:val="both"/>
        <w:rPr/>
      </w:pPr>
      <w:r>
        <w:rPr>
          <w:rFonts w:eastAsia="Times New Roman" w:cs="Times New Roman" w:ascii="Arial" w:hAnsi="Arial"/>
          <w:color w:val="000000"/>
          <w:sz w:val="22"/>
          <w:szCs w:val="22"/>
        </w:rPr>
        <w:t>III - Cadastro Nacional de Empresas Inidôneas e Suspensas (CEIS), mantido pela Controladoria-Geral da União (</w:t>
      </w:r>
      <w:hyperlink r:id="rId12">
        <w:r>
          <w:rPr>
            <w:rFonts w:eastAsia="Times New Roman" w:cs="Times New Roman" w:ascii="Arial" w:hAnsi="Arial"/>
            <w:color w:val="000000"/>
            <w:sz w:val="22"/>
            <w:szCs w:val="22"/>
          </w:rPr>
          <w:t>https://www.portaltransparencia.gov.br/sancoes</w:t>
        </w:r>
      </w:hyperlink>
      <w:r>
        <w:rPr>
          <w:rFonts w:eastAsia="Times New Roman" w:cs="Times New Roman" w:ascii="Arial" w:hAnsi="Arial"/>
          <w:color w:val="000000"/>
          <w:sz w:val="22"/>
          <w:szCs w:val="22"/>
        </w:rPr>
        <w:t xml:space="preserve">); e </w:t>
      </w:r>
    </w:p>
    <w:p>
      <w:pPr>
        <w:pStyle w:val="Normal1"/>
        <w:tabs>
          <w:tab w:val="clear" w:pos="720"/>
          <w:tab w:val="center" w:pos="-1260" w:leader="none"/>
        </w:tabs>
        <w:spacing w:lineRule="auto" w:line="240" w:before="57" w:after="57"/>
        <w:jc w:val="both"/>
        <w:rPr/>
      </w:pPr>
      <w:r>
        <w:rPr>
          <w:rFonts w:eastAsia="Times New Roman" w:cs="Times New Roman" w:ascii="Arial" w:hAnsi="Arial"/>
          <w:color w:val="000000"/>
          <w:sz w:val="22"/>
          <w:szCs w:val="22"/>
        </w:rPr>
        <w:t>IV - Cadastro Nacional de Empresas Punidas (CNEP), mantido pela Controladoria-Geral da União (</w:t>
      </w:r>
      <w:hyperlink r:id="rId13">
        <w:r>
          <w:rPr>
            <w:rFonts w:eastAsia="Times New Roman" w:cs="Times New Roman" w:ascii="Arial" w:hAnsi="Arial"/>
            <w:color w:val="000000"/>
            <w:sz w:val="22"/>
            <w:szCs w:val="22"/>
          </w:rPr>
          <w:t>https://www.portaltransparencia.gov.br/sancoes</w:t>
        </w:r>
      </w:hyperlink>
      <w:r>
        <w:rPr>
          <w:rFonts w:eastAsia="Times New Roman" w:cs="Times New Roman" w:ascii="Arial" w:hAnsi="Arial"/>
          <w:color w:val="000000"/>
          <w:sz w:val="22"/>
          <w:szCs w:val="22"/>
        </w:rPr>
        <w:t>).</w:t>
      </w:r>
    </w:p>
    <w:p>
      <w:pPr>
        <w:pStyle w:val="Normal1"/>
        <w:tabs>
          <w:tab w:val="clear" w:pos="720"/>
          <w:tab w:val="center" w:pos="-1260"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1</w:t>
      </w:r>
      <w:r>
        <w:rPr>
          <w:rFonts w:eastAsia="Times New Roman" w:cs="Times New Roman" w:ascii="Arial" w:hAnsi="Arial"/>
          <w:color w:val="000000"/>
          <w:sz w:val="22"/>
          <w:szCs w:val="22"/>
        </w:rPr>
        <w:t xml:space="preserve">5.2. A consulta aos cadastros será realizada em nome da empresa licitante. </w:t>
      </w:r>
    </w:p>
    <w:p>
      <w:pPr>
        <w:pStyle w:val="Normal1"/>
        <w:tabs>
          <w:tab w:val="clear" w:pos="720"/>
          <w:tab w:val="center" w:pos="-1260"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15.3. Caso atendidas as condições de participação, será iniciado o procedimento de habilitação.</w:t>
      </w:r>
    </w:p>
    <w:p>
      <w:pPr>
        <w:pStyle w:val="Normal1"/>
        <w:tabs>
          <w:tab w:val="clear" w:pos="720"/>
          <w:tab w:val="center" w:pos="-1260"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15.4. Na hipótese de o licitante não atender às exigências para habilitação, o pregoeiro examinará a proposta subsequente e assim sucessivamente, na ordem de classificação, até a apuração de uma proposta que atenda ao presente edital, observado o prazo disposto no subitem 14.26 deste edital.</w:t>
      </w:r>
    </w:p>
    <w:p>
      <w:pPr>
        <w:pStyle w:val="Normal1"/>
        <w:tabs>
          <w:tab w:val="clear" w:pos="720"/>
          <w:tab w:val="center" w:pos="-1260"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15.4.1. As decisões do pregoeiro se darão baseadas nos pareceres e laudos, nos termos previstos no subitem 10.2.1, deste edital.</w:t>
      </w:r>
    </w:p>
    <w:p>
      <w:pPr>
        <w:pStyle w:val="Normal1"/>
        <w:tabs>
          <w:tab w:val="clear" w:pos="720"/>
          <w:tab w:val="center" w:pos="-1260" w:leader="none"/>
        </w:tabs>
        <w:spacing w:lineRule="auto" w:line="240" w:before="57" w:after="57"/>
        <w:jc w:val="both"/>
        <w:rPr>
          <w:rFonts w:ascii="Arial" w:hAnsi="Arial"/>
          <w:sz w:val="22"/>
          <w:szCs w:val="22"/>
        </w:rPr>
      </w:pPr>
      <w:bookmarkStart w:id="1" w:name="_heading=h.slqzcfjm9zq"/>
      <w:bookmarkEnd w:id="1"/>
      <w:r>
        <w:rPr>
          <w:rFonts w:eastAsia="Times New Roman" w:cs="Times New Roman" w:ascii="Arial" w:hAnsi="Arial"/>
          <w:color w:val="000000"/>
          <w:sz w:val="22"/>
          <w:szCs w:val="22"/>
        </w:rPr>
        <w:t>15.4.2. Somente serão disponibilizados para acesso público os documentos de habilitação do licitante cuja proposta atenda ao edital de licitação, após concluídos os procedimentos de que trata o subitem anterior.</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15.5. Caso o licitante provisoriamente classificado em primeiro lugar tenha se utilizado de algum tratamento favorecido às ME/EPPs, o pregoeiro verificará se faz jus ao referido benefício.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15.6.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15.7. Será desclassificada a proposta vencedora que: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15.7.1. Contiver vícios insanáveis;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15.7.2. Não obedecer às especificações técnicas contidas no Termo de Referência;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15.7.3. Apresentar preços inexequíveis ou permanecer acima do preço máximo definido para a contratação;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w:t>
      </w:r>
      <w:r>
        <w:rPr>
          <w:rFonts w:eastAsia="Times New Roman" w:cs="Times New Roman" w:ascii="Arial" w:hAnsi="Arial"/>
          <w:color w:val="000000"/>
          <w:sz w:val="22"/>
          <w:szCs w:val="22"/>
          <w:highlight w:val="white"/>
        </w:rPr>
        <w:t>5</w:t>
      </w:r>
      <w:r>
        <w:rPr>
          <w:rFonts w:eastAsia="Times New Roman" w:cs="Times New Roman" w:ascii="Arial" w:hAnsi="Arial"/>
          <w:color w:val="000000"/>
          <w:sz w:val="22"/>
          <w:szCs w:val="22"/>
        </w:rPr>
        <w:t>.7.4. Não tiver sua exequibilidade demonstrada, quando exigido pela Administração;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15.7.5. Apresentar desconformidade com quaisquer outras exigências deste edital ou seus anexos, desde que insanável;</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15</w:t>
      </w:r>
      <w:r>
        <w:rPr>
          <w:rFonts w:eastAsia="Times New Roman" w:cs="Times New Roman" w:ascii="Arial" w:hAnsi="Arial"/>
          <w:color w:val="000000"/>
          <w:sz w:val="22"/>
          <w:szCs w:val="22"/>
        </w:rPr>
        <w:t>.8. A ausência de documentos possíveis de ser verificados em sites oficiais não é motivo de desclassificação.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15.9. Se houver indícios de inexequibilidade da proposta de preço, ou em caso da necessidade de esclarecimentos complementares, poderão ser efetuadas diligências, para que o licitante comprove a exequibilidade da proposta, conforme disposto no inciso IV do art. 59 da Lei Federal nº 14.133/2021 e art. 18 do </w:t>
      </w:r>
      <w:r>
        <w:rPr>
          <w:rFonts w:eastAsia="Times New Roman" w:cs="Times New Roman" w:ascii="Arial" w:hAnsi="Arial"/>
          <w:color w:val="000000"/>
          <w:sz w:val="22"/>
          <w:szCs w:val="22"/>
          <w:highlight w:val="white"/>
        </w:rPr>
        <w:t>Decreto Estadual nº 35.790/2023.</w:t>
      </w:r>
    </w:p>
    <w:p>
      <w:pPr>
        <w:pStyle w:val="Normal1"/>
        <w:spacing w:lineRule="auto" w:line="240" w:before="57" w:after="57"/>
        <w:jc w:val="both"/>
        <w:rPr>
          <w:rFonts w:ascii="Arial" w:hAnsi="Arial"/>
        </w:rPr>
      </w:pPr>
      <w:r>
        <w:rPr>
          <w:rFonts w:eastAsia="Times New Roman" w:cs="Times New Roman" w:ascii="Arial" w:hAnsi="Arial"/>
          <w:b/>
          <w:color w:val="000000"/>
          <w:sz w:val="22"/>
          <w:szCs w:val="22"/>
        </w:rPr>
        <w:t>16. DA FASE DE HABILITAÇÃO</w:t>
      </w:r>
    </w:p>
    <w:p>
      <w:pPr>
        <w:pStyle w:val="Normal1"/>
        <w:widowControl w:val="false"/>
        <w:tabs>
          <w:tab w:val="clear" w:pos="720"/>
          <w:tab w:val="left" w:pos="488" w:leader="none"/>
        </w:tabs>
        <w:spacing w:lineRule="auto" w:line="240" w:before="57" w:after="57"/>
        <w:jc w:val="both"/>
        <w:rPr>
          <w:rFonts w:ascii="Arial" w:hAnsi="Arial"/>
        </w:rPr>
      </w:pPr>
      <w:r>
        <w:rPr>
          <w:rFonts w:eastAsia="Times New Roman" w:cs="Times New Roman" w:ascii="Arial" w:hAnsi="Arial"/>
          <w:color w:val="000000"/>
          <w:sz w:val="22"/>
          <w:szCs w:val="22"/>
          <w:highlight w:val="white"/>
        </w:rPr>
        <w:t>16</w:t>
      </w:r>
      <w:r>
        <w:rPr>
          <w:rFonts w:eastAsia="Times New Roman" w:cs="Times New Roman" w:ascii="Arial" w:hAnsi="Arial"/>
          <w:color w:val="000000"/>
          <w:sz w:val="22"/>
          <w:szCs w:val="22"/>
        </w:rPr>
        <w:t>.1. Os documentos previstos no subitem 12 do Anexo I – Termo de Referência, necessários e suficientes para demonstrar a capacidade do licitante de realizar o objeto da licitação, serão exigidos para fins de habilitação, nos termos dos arts. 62 a 70 da Lei Federal nº 14.133/2021.</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16.2. A habilitação será verificada por meio do Sistema de Cadastramento Unificado de Fornecedores – SICAF, do Governo Federal ou do Certificado de Registro Cadastral (CRC) emitido pela Secretaria do Planejamento e Gestão (SEPLAG), do Estado do Ceará, nos documentos de habilitação por eles abrangidos.</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16.3. A verificação no Sistema de Cadastramento Unificado de Fornecedores (SICAF) ou a exigência dos documentos nele não contidos, somente será feita em relação ao licitante provisoriamente vencedor.</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 xml:space="preserve">16.4. </w:t>
      </w:r>
      <w:r>
        <w:rPr>
          <w:rFonts w:eastAsia="Times New Roman" w:cs="Times New Roman" w:ascii="Arial" w:hAnsi="Arial"/>
          <w:color w:val="000000"/>
          <w:sz w:val="22"/>
          <w:szCs w:val="22"/>
        </w:rPr>
        <w:t>A verificação pelo pregoeiro, em sítios eletrônicos oficiais de órgãos e entidades emissores de certidões constitui meio legal de prova, para fins de habilitação.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16.5. Existindo restrição nos cadastros quanto ao documento de registro ou inscrição em entidade profissional competente, este só deverá ser apresentado em situação regular, quando exigido na qualificação técnica para cumprimento do objeto da contratação.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 xml:space="preserve">16.6. Como condição prévia ao exame da documentação de habilitação do licitante detentor da proposta classificada em primeiro lugar, </w:t>
      </w:r>
      <w:r>
        <w:rPr>
          <w:rFonts w:eastAsia="Times New Roman" w:cs="Times New Roman" w:ascii="Arial" w:hAnsi="Arial"/>
          <w:color w:val="000000"/>
          <w:sz w:val="22"/>
          <w:szCs w:val="22"/>
        </w:rPr>
        <w:t>o pregoeiro</w:t>
      </w:r>
      <w:r>
        <w:rPr>
          <w:rFonts w:eastAsia="Times New Roman" w:cs="Times New Roman" w:ascii="Arial" w:hAnsi="Arial"/>
          <w:color w:val="000000"/>
          <w:sz w:val="22"/>
          <w:szCs w:val="22"/>
          <w:highlight w:val="white"/>
        </w:rPr>
        <w:t xml:space="preserve"> verificará o eventual descumprimento das condições de participação previstas neste edital.</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16.7. Constatada a existência de sanção e/ou eventual descu</w:t>
      </w:r>
      <w:r>
        <w:rPr>
          <w:rFonts w:eastAsia="Times New Roman" w:cs="Times New Roman" w:ascii="Arial" w:hAnsi="Arial"/>
          <w:color w:val="000000"/>
          <w:sz w:val="22"/>
          <w:szCs w:val="22"/>
        </w:rPr>
        <w:t>mprimento das condições de participação, o pregoeiro reputará o licitante inabilitado.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w:t>
      </w:r>
      <w:r>
        <w:rPr>
          <w:rFonts w:eastAsia="Times New Roman" w:cs="Times New Roman" w:ascii="Arial" w:hAnsi="Arial"/>
          <w:color w:val="000000"/>
          <w:sz w:val="22"/>
          <w:szCs w:val="22"/>
          <w:highlight w:val="white"/>
        </w:rPr>
        <w:t>6</w:t>
      </w:r>
      <w:r>
        <w:rPr>
          <w:rFonts w:eastAsia="Times New Roman" w:cs="Times New Roman" w:ascii="Arial" w:hAnsi="Arial"/>
          <w:color w:val="000000"/>
          <w:sz w:val="22"/>
          <w:szCs w:val="22"/>
        </w:rPr>
        <w:t>.8. Os documentos deverão ser apresentados ou pela matriz ou pela filial que estiver participando do certame, com exceção dos documentos que são válidos tanto para matriz como para as filiais como é o caso dos atestados de capacidade técnica. O contrato será celebrado com a sede que apresentou a documentação.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16</w:t>
      </w:r>
      <w:r>
        <w:rPr>
          <w:rFonts w:eastAsia="Times New Roman" w:cs="Times New Roman" w:ascii="Arial" w:hAnsi="Arial"/>
          <w:color w:val="000000"/>
          <w:sz w:val="22"/>
          <w:szCs w:val="22"/>
        </w:rPr>
        <w:t xml:space="preserve">.9. O documento obtido através de </w:t>
      </w:r>
      <w:r>
        <w:rPr>
          <w:rFonts w:eastAsia="Times New Roman" w:cs="Times New Roman" w:ascii="Arial" w:hAnsi="Arial"/>
          <w:i/>
          <w:color w:val="000000"/>
          <w:sz w:val="22"/>
          <w:szCs w:val="22"/>
        </w:rPr>
        <w:t>sítios</w:t>
      </w:r>
      <w:r>
        <w:rPr>
          <w:rFonts w:eastAsia="Times New Roman" w:cs="Times New Roman" w:ascii="Arial" w:hAnsi="Arial"/>
          <w:color w:val="000000"/>
          <w:sz w:val="22"/>
          <w:szCs w:val="22"/>
        </w:rPr>
        <w:t xml:space="preserve"> oficiais, que esteja condicionado à aceitação via internet, terá sua autenticidade verificada pelo pregoeiro.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16</w:t>
      </w:r>
      <w:r>
        <w:rPr>
          <w:rFonts w:eastAsia="Times New Roman" w:cs="Times New Roman" w:ascii="Arial" w:hAnsi="Arial"/>
          <w:color w:val="000000"/>
          <w:sz w:val="22"/>
          <w:szCs w:val="22"/>
        </w:rPr>
        <w:t>.9.1.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pPr>
        <w:pStyle w:val="Normal1"/>
        <w:spacing w:lineRule="auto" w:line="240" w:before="57" w:after="57"/>
        <w:jc w:val="both"/>
        <w:rPr>
          <w:rFonts w:ascii="Arial" w:hAnsi="Arial"/>
        </w:rPr>
      </w:pPr>
      <w:r>
        <w:rPr>
          <w:rFonts w:eastAsia="Times New Roman" w:cs="Times New Roman" w:ascii="Arial" w:hAnsi="Arial"/>
          <w:b/>
          <w:color w:val="000000"/>
          <w:sz w:val="22"/>
          <w:szCs w:val="22"/>
          <w:highlight w:val="white"/>
        </w:rPr>
        <w:t>17. DOS RECURSOS</w:t>
      </w:r>
    </w:p>
    <w:p>
      <w:pPr>
        <w:pStyle w:val="Normal1"/>
        <w:spacing w:lineRule="auto" w:line="240" w:before="57" w:after="57"/>
        <w:jc w:val="both"/>
        <w:rPr/>
      </w:pPr>
      <w:r>
        <w:rPr>
          <w:rFonts w:eastAsia="Times New Roman" w:cs="Times New Roman" w:ascii="Arial" w:hAnsi="Arial"/>
          <w:color w:val="000000"/>
          <w:sz w:val="22"/>
          <w:szCs w:val="22"/>
          <w:highlight w:val="white"/>
        </w:rPr>
        <w:t xml:space="preserve">17.1. A interposição de recurso referente ao julgamento das propostas, à habilitação ou inabilitação de licitantes, à anulação ou revogação da licitação, observará o disposto no </w:t>
      </w:r>
      <w:r>
        <w:fldChar w:fldCharType="begin"/>
      </w:r>
      <w:r>
        <w:rPr>
          <w:sz w:val="22"/>
          <w:szCs w:val="22"/>
          <w:highlight w:val="white"/>
          <w:rFonts w:eastAsia="Times New Roman" w:cs="Times New Roman" w:ascii="Arial" w:hAnsi="Arial"/>
          <w:color w:val="000000"/>
        </w:rPr>
        <w:instrText xml:space="preserve"> HYPERLINK "http://www.planalto.gov.br/ccivil_03/_ato2019-2022/2021/lei/L14133.htm" \l "art165"</w:instrText>
      </w:r>
      <w:r>
        <w:rPr>
          <w:sz w:val="22"/>
          <w:szCs w:val="22"/>
          <w:highlight w:val="white"/>
          <w:rFonts w:eastAsia="Times New Roman" w:cs="Times New Roman" w:ascii="Arial" w:hAnsi="Arial"/>
          <w:color w:val="000000"/>
        </w:rPr>
        <w:fldChar w:fldCharType="separate"/>
      </w:r>
      <w:r>
        <w:rPr>
          <w:rFonts w:eastAsia="Times New Roman" w:cs="Times New Roman" w:ascii="Arial" w:hAnsi="Arial"/>
          <w:color w:val="000000"/>
          <w:sz w:val="22"/>
          <w:szCs w:val="22"/>
          <w:highlight w:val="white"/>
        </w:rPr>
        <w:t>art. 165 da Lei nº 14.133/2021</w:t>
      </w:r>
      <w:r>
        <w:rPr>
          <w:sz w:val="22"/>
          <w:szCs w:val="22"/>
          <w:highlight w:val="white"/>
          <w:rFonts w:eastAsia="Times New Roman" w:cs="Times New Roman" w:ascii="Arial" w:hAnsi="Arial"/>
          <w:color w:val="000000"/>
        </w:rPr>
        <w:fldChar w:fldCharType="end"/>
      </w:r>
      <w:r>
        <w:rPr>
          <w:rFonts w:eastAsia="Times New Roman" w:cs="Times New Roman" w:ascii="Arial" w:hAnsi="Arial"/>
          <w:color w:val="000000"/>
          <w:sz w:val="22"/>
          <w:szCs w:val="22"/>
          <w:highlight w:val="white"/>
        </w:rPr>
        <w:t>.</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17.2. O prazo recursal é de 3 (três) dias úteis, contados da data de intimação ou de lavratura da ata de julgamento da proposta, ou da habilitação ou inabilitação.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17</w:t>
      </w:r>
      <w:r>
        <w:rPr>
          <w:rFonts w:eastAsia="Times New Roman" w:cs="Times New Roman" w:ascii="Arial" w:hAnsi="Arial"/>
          <w:color w:val="000000"/>
          <w:sz w:val="22"/>
          <w:szCs w:val="22"/>
        </w:rPr>
        <w:t>.3. Quando a decisão do pregoeiro importar em abertura de prazo recursal, será comunicada a retomada da sessão pública com, no mínimo, 24 (vinte e quatro) horas de antecedência, no sítio eletrônico utilizado para realização do certame.</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17.3.1. Qualquer licitante poderá, durante o prazo de 10 (dez) minutos, de forma imediata após o término do julgamento das propostas e do ato de habilitação ou inabilitação, em campo próprio do sistema, manifestar sua intenção de recorrer, sob pena de preclusão.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17</w:t>
      </w:r>
      <w:r>
        <w:rPr>
          <w:rFonts w:eastAsia="Times New Roman" w:cs="Times New Roman" w:ascii="Arial" w:hAnsi="Arial"/>
          <w:color w:val="000000"/>
          <w:sz w:val="22"/>
          <w:szCs w:val="22"/>
        </w:rPr>
        <w:t>.4. Os recursos deverão ser encaminhados em campo próprio do sistema.</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17</w:t>
      </w:r>
      <w:r>
        <w:rPr>
          <w:rFonts w:eastAsia="Times New Roman" w:cs="Times New Roman" w:ascii="Arial" w:hAnsi="Arial"/>
          <w:color w:val="000000"/>
          <w:sz w:val="22"/>
          <w:szCs w:val="22"/>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17</w:t>
      </w:r>
      <w:r>
        <w:rPr>
          <w:rFonts w:eastAsia="Times New Roman" w:cs="Times New Roman" w:ascii="Arial" w:hAnsi="Arial"/>
          <w:color w:val="000000"/>
          <w:sz w:val="22"/>
          <w:szCs w:val="22"/>
        </w:rPr>
        <w:t>.6. Os recursos interpostos fora do prazo não serão conhecidos.</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17</w:t>
      </w:r>
      <w:r>
        <w:rPr>
          <w:rFonts w:eastAsia="Times New Roman" w:cs="Times New Roman" w:ascii="Arial" w:hAnsi="Arial"/>
          <w:color w:val="000000"/>
          <w:sz w:val="22"/>
          <w:szCs w:val="22"/>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17</w:t>
      </w:r>
      <w:r>
        <w:rPr>
          <w:rFonts w:eastAsia="Times New Roman" w:cs="Times New Roman" w:ascii="Arial" w:hAnsi="Arial"/>
          <w:color w:val="000000"/>
          <w:sz w:val="22"/>
          <w:szCs w:val="22"/>
        </w:rPr>
        <w:t xml:space="preserve">.7.1. Caso o licitante entenda ser necessário o envio de documentos complementares para melhor entendimento das suas razões e/ou contrarrazões de recurso, deverá disponibilizar um </w:t>
      </w:r>
      <w:r>
        <w:rPr>
          <w:rFonts w:eastAsia="Times New Roman" w:cs="Times New Roman" w:ascii="Arial" w:hAnsi="Arial"/>
          <w:i/>
          <w:color w:val="000000"/>
          <w:sz w:val="22"/>
          <w:szCs w:val="22"/>
        </w:rPr>
        <w:t>link</w:t>
      </w:r>
      <w:r>
        <w:rPr>
          <w:rFonts w:eastAsia="Times New Roman" w:cs="Times New Roman" w:ascii="Arial" w:hAnsi="Arial"/>
          <w:color w:val="000000"/>
          <w:sz w:val="22"/>
          <w:szCs w:val="22"/>
        </w:rPr>
        <w:t xml:space="preserve"> no corpo da peça, de maneira que os referidos documentos sejam de acesso livre ao pregoeiro e demais interessados.</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17</w:t>
      </w:r>
      <w:r>
        <w:rPr>
          <w:rFonts w:eastAsia="Times New Roman" w:cs="Times New Roman" w:ascii="Arial" w:hAnsi="Arial"/>
          <w:color w:val="000000"/>
          <w:sz w:val="22"/>
          <w:szCs w:val="22"/>
        </w:rPr>
        <w:t>.8. O recurso e o pedido de reconsideração terão efeito suspensivo do ato ou da decisão recorrida até que sobrevenha decisão final da autoridade competente.</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17.9. O acolhimento do recurso invalida tão somente os atos insuscetíveis de aproveitamento.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17.10. Não serão conhecidos os recursos intempestivos e/ou subscritos por representante não habilitado legalmente ou não identificado no processo licitatório para responder pelo proponente.</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17.11. Os autos do processo permanecerão com vista franqueada aos interessados no Portal Nacional de Contratações Públicas (PNCP), naquilo que lhes couber e na Central de Licitações no endereço constante no subitem 7.1 deste edital.</w:t>
      </w:r>
    </w:p>
    <w:p>
      <w:pPr>
        <w:pStyle w:val="Normal1"/>
        <w:spacing w:lineRule="auto" w:line="240" w:before="57" w:after="57"/>
        <w:jc w:val="both"/>
        <w:rPr>
          <w:rFonts w:ascii="Arial" w:hAnsi="Arial"/>
        </w:rPr>
      </w:pPr>
      <w:r>
        <w:rPr>
          <w:rFonts w:eastAsia="Times New Roman" w:cs="Times New Roman" w:ascii="Arial" w:hAnsi="Arial"/>
          <w:b/>
          <w:color w:val="000000"/>
          <w:sz w:val="22"/>
          <w:szCs w:val="22"/>
          <w:highlight w:val="white"/>
        </w:rPr>
        <w:t>18. DAS INFRAÇÕES ADMINISTRATIVAS E SANÇÕES</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18.1. Comete infração administrativa, nos termos do art. 155 da Lei nº 14.133/2021, o licitante que, com dolo ou culpa:</w:t>
      </w:r>
    </w:p>
    <w:p>
      <w:pPr>
        <w:pStyle w:val="Normal1"/>
        <w:spacing w:lineRule="auto" w:line="240" w:before="57" w:after="57"/>
        <w:jc w:val="both"/>
        <w:rPr>
          <w:rFonts w:ascii="Arial" w:hAnsi="Arial"/>
        </w:rPr>
      </w:pPr>
      <w:bookmarkStart w:id="2" w:name="_heading=h.kbvmu1j9gchd"/>
      <w:bookmarkEnd w:id="2"/>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.1.1. Deixar de entregar a documentação exigida para o certame ou não entregar qualquer documento que tenha sido solicitado pelo pregoeiro durante o certame;</w:t>
      </w:r>
    </w:p>
    <w:p>
      <w:pPr>
        <w:pStyle w:val="Normal1"/>
        <w:spacing w:lineRule="auto" w:line="240" w:before="57" w:after="57"/>
        <w:jc w:val="both"/>
        <w:rPr>
          <w:rFonts w:ascii="Arial" w:hAnsi="Arial"/>
        </w:rPr>
      </w:pPr>
      <w:bookmarkStart w:id="3" w:name="_heading=h.rljks9157sdb"/>
      <w:bookmarkEnd w:id="3"/>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.1.2. Salvo em decorrência de fato superveniente devidamente justificado, não mantiver a proposta em especial quando: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.1.2.1. Não enviar a proposta adequada ao último lance ofertado ou após a negociação;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.1.2.2. Recusar-se a enviar o detalhamento da proposta quando exigível;</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 xml:space="preserve">18.1.2.3. Pedir para ser desclassificado quando encerrada a etapa competitiva ou; </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.1.2.4. Apresentar proposta</w:t>
      </w:r>
      <w:r>
        <w:rPr>
          <w:rFonts w:eastAsia="Times New Roman" w:cs="Times New Roman" w:ascii="Arial" w:hAnsi="Arial"/>
          <w:color w:val="000000"/>
          <w:sz w:val="22"/>
          <w:szCs w:val="22"/>
          <w:highlight w:val="white"/>
        </w:rPr>
        <w:t xml:space="preserve"> </w:t>
      </w:r>
      <w:r>
        <w:rPr>
          <w:rFonts w:eastAsia="Times New Roman" w:cs="Times New Roman" w:ascii="Arial" w:hAnsi="Arial"/>
          <w:color w:val="000000"/>
          <w:sz w:val="22"/>
          <w:szCs w:val="22"/>
        </w:rPr>
        <w:t>em desacordo com as especificações do edital;</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18.1.3. Não celebrar o contrato ou não entregar a documentação exigida para a contratação, quando convocado dentro do prazo de validade de sua proposta;</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.1.3.1. Recusar-se, sem justificativa, a assinar o contrato ou a aceitar ou retirar o instrumento equivalente no prazo estabelecido pela Administração;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.1.4. Apresentar declaração ou documentação falsa exigida para o certame ou prestar declaração falsa durante a licitação;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18.1.5. Fraudar a licitação;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.1.6. Comportar-se de modo inidôneo ou cometer fraude de qualquer natureza, em especial quando: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.1.6.1. Agir em conluio ou em desconformidade com a lei;</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.1.6.2. Induzir deliberadamente a erro no julgamento; </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.1.7. Praticar atos ilícitos com vistas a frustrar os objetivos da licitação;</w:t>
      </w:r>
    </w:p>
    <w:p>
      <w:pPr>
        <w:pStyle w:val="Normal1"/>
        <w:spacing w:lineRule="auto" w:line="240" w:before="57" w:after="57"/>
        <w:jc w:val="both"/>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.1.8. Praticar ato lesivo previsto no </w:t>
      </w:r>
      <w:r>
        <w:fldChar w:fldCharType="begin"/>
      </w:r>
      <w:r>
        <w:rPr>
          <w:sz w:val="22"/>
          <w:szCs w:val="22"/>
          <w:rFonts w:eastAsia="Times New Roman" w:cs="Times New Roman" w:ascii="Arial" w:hAnsi="Arial"/>
          <w:color w:val="000000"/>
        </w:rPr>
        <w:instrText xml:space="preserve"> HYPERLINK "https://www.planalto.gov.br/ccivil_03/_ato2011-2014/2013/lei/l12846.htm" \l "art5"</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art. 5º da Lei nº</w:t>
      </w:r>
      <w:r>
        <w:rPr>
          <w:sz w:val="22"/>
          <w:szCs w:val="22"/>
          <w:rFonts w:eastAsia="Times New Roman" w:cs="Times New Roman" w:ascii="Arial" w:hAnsi="Arial"/>
          <w:color w:val="000000"/>
        </w:rPr>
        <w:fldChar w:fldCharType="end"/>
      </w:r>
      <w:r>
        <w:fldChar w:fldCharType="begin"/>
      </w:r>
      <w:r>
        <w:rPr>
          <w:sz w:val="22"/>
          <w:szCs w:val="22"/>
          <w:highlight w:val="white"/>
          <w:rFonts w:eastAsia="Times New Roman" w:cs="Times New Roman" w:ascii="Arial" w:hAnsi="Arial"/>
          <w:color w:val="000000"/>
        </w:rPr>
        <w:instrText xml:space="preserve"> HYPERLINK "https://www.planalto.gov.br/ccivil_03/_ato2011-2014/2013/lei/l12846.htm" \l "art5"</w:instrText>
      </w:r>
      <w:r>
        <w:rPr>
          <w:sz w:val="22"/>
          <w:szCs w:val="22"/>
          <w:highlight w:val="white"/>
          <w:rFonts w:eastAsia="Times New Roman" w:cs="Times New Roman" w:ascii="Arial" w:hAnsi="Arial"/>
          <w:color w:val="000000"/>
        </w:rPr>
        <w:fldChar w:fldCharType="separate"/>
      </w:r>
      <w:r>
        <w:rPr>
          <w:rFonts w:eastAsia="Times New Roman" w:cs="Times New Roman" w:ascii="Arial" w:hAnsi="Arial"/>
          <w:color w:val="000000"/>
          <w:sz w:val="22"/>
          <w:szCs w:val="22"/>
          <w:highlight w:val="white"/>
        </w:rPr>
        <w:t xml:space="preserve"> 12.846</w:t>
      </w:r>
      <w:r>
        <w:rPr>
          <w:sz w:val="22"/>
          <w:szCs w:val="22"/>
          <w:highlight w:val="white"/>
          <w:rFonts w:eastAsia="Times New Roman" w:cs="Times New Roman" w:ascii="Arial" w:hAnsi="Arial"/>
          <w:color w:val="000000"/>
        </w:rPr>
        <w:fldChar w:fldCharType="end"/>
      </w:r>
      <w:r>
        <w:rPr>
          <w:rFonts w:eastAsia="Times New Roman" w:cs="Times New Roman" w:ascii="Arial" w:hAnsi="Arial"/>
          <w:color w:val="000000"/>
          <w:sz w:val="22"/>
          <w:szCs w:val="22"/>
          <w:highlight w:val="white"/>
        </w:rPr>
        <w:t>/</w:t>
      </w:r>
      <w:r>
        <w:fldChar w:fldCharType="begin"/>
      </w:r>
      <w:r>
        <w:rPr>
          <w:sz w:val="22"/>
          <w:szCs w:val="22"/>
          <w:rFonts w:eastAsia="Times New Roman" w:cs="Times New Roman" w:ascii="Arial" w:hAnsi="Arial"/>
          <w:color w:val="000000"/>
        </w:rPr>
        <w:instrText xml:space="preserve"> HYPERLINK "https://www.planalto.gov.br/ccivil_03/_ato2011-2014/2013/lei/l12846.htm" \l "art5"</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2013</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w:t>
      </w:r>
    </w:p>
    <w:p>
      <w:pPr>
        <w:pStyle w:val="Normal1"/>
        <w:spacing w:lineRule="auto" w:line="240" w:before="57" w:after="57"/>
        <w:jc w:val="both"/>
        <w:rPr/>
      </w:pPr>
      <w:r>
        <w:rPr>
          <w:rFonts w:eastAsia="Times New Roman" w:cs="Times New Roman" w:ascii="Arial" w:hAnsi="Arial"/>
          <w:color w:val="000000"/>
          <w:sz w:val="22"/>
          <w:szCs w:val="22"/>
          <w:highlight w:val="white"/>
        </w:rPr>
        <w:t xml:space="preserve">18.2. Com fulcro na </w:t>
      </w:r>
      <w:hyperlink r:id="rId14">
        <w:r>
          <w:rPr>
            <w:rFonts w:eastAsia="Times New Roman" w:cs="Times New Roman" w:ascii="Arial" w:hAnsi="Arial"/>
            <w:color w:val="000000"/>
            <w:sz w:val="22"/>
            <w:szCs w:val="22"/>
            <w:highlight w:val="white"/>
          </w:rPr>
          <w:t>Lei nº 14.133/2021</w:t>
        </w:r>
      </w:hyperlink>
      <w:r>
        <w:rPr>
          <w:rFonts w:eastAsia="Times New Roman" w:cs="Times New Roman" w:ascii="Arial" w:hAnsi="Arial"/>
          <w:color w:val="000000"/>
          <w:sz w:val="22"/>
          <w:szCs w:val="22"/>
          <w:highlight w:val="white"/>
        </w:rPr>
        <w:t>, a Administração poderá, garantida a prévia defesa, aplicar aos licitantes e/ou adjudicatários as seguintes sanções, sem prejuízo das responsabilidades civil e criminal:</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.2.1. Advertência;</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.2.2. Multa;</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18.2.3. Impedimento de licitar e contratar e</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18.2.4. Declaração de inidoneidade para licitar ou contratar, enquanto perdurarem os motivos determinantes da punição ou até que seja promovida sua reabilitação perante a própria autoridade que aplicou a penalidade;</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.3. Na aplicação das sanções serão considerados:</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.3.1. A natureza e a gravidade da infração cometida;</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.3.2. As peculiaridades do caso concreto;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.3.3. As circunstâncias agravantes ou atenuantes;</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.3.4. Os danos que dela provierem para a Administração Pública;</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18.3.5. A implantação ou o aperfeiçoamento de programa de integridade, conforme normas e orientações dos órgãos de controle.</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.4. A sanção de multa não poderá ser inferior a 0,5% (cinco décimos por cento) nem superior a 30% (trinta por cento) do valor do contrato licitado, conforme §3º do art. 156 da Lei nº 14.133/2021.</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18.4.1. A multa será recolhida no prazo máximo de 30 (trinta) dias úteis, a contar da comunicação oficial.</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.4.1.1. Para as infrações previstas nos subitens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.1.1,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.1.2 e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.1.3, a multa será de 5% (cinco por cento</w:t>
      </w:r>
      <w:r>
        <w:rPr>
          <w:rFonts w:eastAsia="Times New Roman" w:cs="Times New Roman" w:ascii="Arial" w:hAnsi="Arial"/>
          <w:i/>
          <w:color w:val="000000"/>
          <w:sz w:val="22"/>
          <w:szCs w:val="22"/>
        </w:rPr>
        <w:t xml:space="preserve">) </w:t>
      </w:r>
      <w:r>
        <w:rPr>
          <w:rFonts w:eastAsia="Times New Roman" w:cs="Times New Roman" w:ascii="Arial" w:hAnsi="Arial"/>
          <w:color w:val="000000"/>
          <w:sz w:val="22"/>
          <w:szCs w:val="22"/>
        </w:rPr>
        <w:t>do valor do contrato licitado.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.4.1.2. Para as infrações previstas nos subitens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.1.4,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.1.5,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.1.6,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.1.7 e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.1.8, a multa será de 15% (quinze por cento) do valor do contrato licitado.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.5. As sanções de advertência, impedimento de licitar e contratar e declaração de inidoneidade para licitar ou contratar poderão ser aplicadas, cumulativamente ou não, à penalidade de multa.</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.6. Na aplicação da sanção de multa será facultada a defesa do interessado no prazo de 15 (quinze) dias úteis, contado da data de sua intimação.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.7. A sanção de impedimento de licitar e contratar será aplicada ao responsável em decorrência das infrações administrativas relacionadas nos subitens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.1.1,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.1.2 e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1"/>
        <w:spacing w:lineRule="auto" w:line="240" w:before="57" w:after="57"/>
        <w:jc w:val="both"/>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.8. Poderá ser aplicada ao responsável a sanção de declaração de inidoneidade para licitar ou contratar, em decorrência da prática das infrações dispostas nos subitens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.1.4,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.1.5,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.1.6,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.1.7 e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.1.8, bem como pelas infrações administrativas previstas nos subitens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.1.1,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.1.2 e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.1.3 que justifiquem a imposição de penalidade mais grave que a sanção de impedimento de licitar e contratar, cuja duração observará o prazo previsto no </w:t>
      </w:r>
      <w:r>
        <w:fldChar w:fldCharType="begin"/>
      </w:r>
      <w:r>
        <w:rPr>
          <w:sz w:val="22"/>
          <w:szCs w:val="22"/>
          <w:rFonts w:eastAsia="Times New Roman" w:cs="Times New Roman" w:ascii="Arial" w:hAnsi="Arial"/>
          <w:color w:val="000000"/>
        </w:rPr>
        <w:instrText xml:space="preserve"> HYPERLINK "http://www.planalto.gov.br/ccivil_03/_ato2019-2022/2021/lei/L14133.htm" \l "art156§5"</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art. 156, §5º, da Lei nº 14.133/2021</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 xml:space="preserve">.9. A recusa injustificada do adjudicatário em assinar o contrato, ou em aceitar ou retirar o instrumento equivalente no prazo estabelecido pela Administração, descrita no subitem </w:t>
      </w: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.1.3, caracterizará o descumprimento total da obrigação assumida e o sujeitará às penalidades e à imediata perda da garantia de proposta, se houver, em favor do órgão ou entidade promotora da licitação.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w:t>
      </w:r>
      <w:r>
        <w:rPr>
          <w:rFonts w:eastAsia="Times New Roman" w:cs="Times New Roman" w:ascii="Arial" w:hAnsi="Arial"/>
          <w:color w:val="000000"/>
          <w:sz w:val="22"/>
          <w:szCs w:val="22"/>
        </w:rPr>
        <w:t>.9.1. A exigência da garantia de que trata o subitem anterior, obedecerá ao disposto no art. 58 da Lei Federal nº 14.133/2021.</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18.10. O licitante recolherá a multa por meio de Documento de Arrecadação Estadual (DAE), podendo ser substituído por outro instrumento legal, em nome do órgão contratante, se não o fizer, será cobrada em processo de execução.</w:t>
      </w:r>
    </w:p>
    <w:p>
      <w:pPr>
        <w:pStyle w:val="Normal1"/>
        <w:spacing w:lineRule="auto" w:line="240" w:before="57" w:after="57"/>
        <w:jc w:val="both"/>
        <w:rPr>
          <w:rFonts w:ascii="Arial" w:hAnsi="Arial"/>
        </w:rPr>
      </w:pPr>
      <w:r>
        <w:rPr>
          <w:rFonts w:eastAsia="Times New Roman" w:cs="Times New Roman" w:ascii="Arial" w:hAnsi="Arial"/>
          <w:b/>
          <w:color w:val="000000"/>
          <w:sz w:val="22"/>
          <w:szCs w:val="22"/>
        </w:rPr>
        <w:t>19. DA ADJUDICAÇÃO E DA HOMOLOGAÇÃO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19.1. A adjudicação do objeto e a homologação da licitação é de responsabilidade da autoridade superior.</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19.2. O sistema gerará o relatório de disputa e de adjudicação e homologação.</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highlight w:val="white"/>
        </w:rPr>
        <w:t>20. DA CONTRATAÇÃO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 xml:space="preserve">20.1. Constatada a necessidade de ajustes na </w:t>
      </w:r>
      <w:r>
        <w:rPr>
          <w:rFonts w:eastAsia="Times New Roman" w:cs="Times New Roman" w:ascii="Arial" w:hAnsi="Arial"/>
          <w:color w:val="000000"/>
          <w:sz w:val="22"/>
          <w:szCs w:val="22"/>
        </w:rPr>
        <w:t>Planilha de Custos e Formação de Preços</w:t>
      </w:r>
      <w:r>
        <w:rPr>
          <w:rFonts w:eastAsia="Times New Roman" w:cs="Times New Roman" w:ascii="Arial" w:hAnsi="Arial"/>
          <w:color w:val="000000"/>
          <w:sz w:val="22"/>
          <w:szCs w:val="22"/>
          <w:highlight w:val="white"/>
        </w:rPr>
        <w:t>, com relação a divergência nos valores salariais correspondentes à categoria, definidos na Convenção Coletiva de Trabalho, percentuais de encargos sociais e tributos, valores referentes aos vales-alimentação e refeição, erros de soma ou multiplicação, estes poderão ser corrigidos no momento da celebração do contrato.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20.1.1. É vedada alterações nos quantitativos das categorias definidas na Planilha de Custos e Formação de Preço, até o momento da celebração do contrato.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20.2.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20.2.1. O licitante vencedor que recolha encargos sociais ou tributos diferenciados, deverá informar ao contratante, quando da assinatura do instrumento contratual.</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20.2.2. O contrato poderá ser assinado por certificação digital, com autenticidade reconhecida pelo ICP-Brasil.</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20.3. Na assinatura do contrato será exigida a comprovação das condições de habilitação exigidas neste edital, as quais deverão ser mantidas pelo contratado durante todo o período da contratação, a apresentação do Certificado de Registro Cadastral – CRC, emitido pela Secretaria de Planejamento e Gestão do Estado do Ceará, e por último, mediante documento hábil, a indicação de preposto do contratado para representá-lo na execução do contrato, conforme disposto no inciso II do art. 16 do Decreto Estadual nº 35.790/2023.</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20.3.1. Será exigida, ainda, a comprovação de abertura de conta no Banco BRADESCO.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20.3.2. A assinatura do contrato encontra-se condicionada aos atos previstos na Instrução Normativa Conjunta nº 003/2022 – SEPLAG/CGE/SEFAZ de 07 de novembro de 2022, que disciplina o uso da conta corrente vinculada – bloqueada para movimentação, a serem praticados pelo órgão ou entidade contratante e o futuro contratado, no Decreto Estadual nº 35.790/2023, que regulamenta a contratação de serviços terceirizados de natureza continuada e dedicação exclusiva de mão de obra.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20.3.3. O adjudicatário no momento da assinatura do contrato, deverá conforme previsto na Instrução Normativa Conjunta nº 003/2022 – SEPLAG/CGE/SEFAZ de 07 de novembro de 2022, bem como no Decreto Estadual nº 35.790/2023, autorizar o contratante a fazer o desconto nas faturas e realizar os pagamentos dos salários e as obrigações trabalhistas diretamente aos trabalhadores e do FGTS, quando não demonstrado o cumprimento tempestivo e regular dessas obrigações, até o momento da regularização, sem prejuízo das sanções cabíveis.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20.3.3.1. Os pagamentos previstos no subitem anterior, caso ocorram, não config</w:t>
      </w:r>
      <w:r>
        <w:rPr>
          <w:rFonts w:eastAsia="Times New Roman" w:cs="Times New Roman" w:ascii="Arial" w:hAnsi="Arial"/>
          <w:color w:val="000000"/>
          <w:sz w:val="22"/>
          <w:szCs w:val="22"/>
        </w:rPr>
        <w:t>uram vínculo empregatício ou implicam a assunção de responsabilidade por quaisquer obrigações dele decorrentes entre o contratante e os empregados do contratado, conforme art. 10 c/c § 3º do art. 16 do Decreto Estadual nº 35.790/2023.</w:t>
      </w:r>
    </w:p>
    <w:p>
      <w:pPr>
        <w:pStyle w:val="Normal1"/>
        <w:widowControl w:val="false"/>
        <w:tabs>
          <w:tab w:val="clear" w:pos="720"/>
          <w:tab w:val="left" w:pos="1500"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20.3.4. As regras a serem utilizadas na operacionalização da Conta Corrente Vinculada - Bloqueada para Movimentação, prevista na Instrução Normativa Conjunta nº 003/2022 – SEPLAG/CGE/SEFAZ de 07 de novembro de 2022 e no Decreto Estadual nº 35.790/2023, são as estabelecidas na cláusula nona do Anexo II – Minuta do Termo de Contrato deste edital.</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20.4. Quando o adjudicatário não comprovar as condições habilitatórias consignadas neste edital, ou recusar-se a assinar o contrato, poderá ser convidado outro licitante pelo pregoeiro, desde que respeitada a ordem de classificação, para, depois de comprovados os requisitos habilitatórios e feita a negociação, assinar o contrato.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20.5. A forma de pagamento, prazo contratual, obrigações, repactuação, e demais condições aplicáveis à contratação estão definidas respectivamente nos Anexos I e II – Termo de Referência e Minuta do Termo de Contrato, parte integrante deste edital.</w:t>
      </w:r>
    </w:p>
    <w:p>
      <w:pPr>
        <w:pStyle w:val="Normal1"/>
        <w:tabs>
          <w:tab w:val="clear" w:pos="720"/>
          <w:tab w:val="center" w:pos="-1260"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highlight w:val="white"/>
        </w:rPr>
        <w:t>20.6. Da Subcontratação</w:t>
      </w:r>
    </w:p>
    <w:p>
      <w:pPr>
        <w:pStyle w:val="Normal1"/>
        <w:tabs>
          <w:tab w:val="clear" w:pos="720"/>
          <w:tab w:val="left" w:pos="793"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w:t>
      </w:r>
      <w:r>
        <w:rPr>
          <w:rFonts w:eastAsia="Times New Roman" w:cs="Times New Roman" w:ascii="Arial" w:hAnsi="Arial"/>
          <w:color w:val="000000"/>
          <w:sz w:val="22"/>
          <w:szCs w:val="22"/>
        </w:rPr>
        <w:t>.</w:t>
      </w:r>
      <w:r>
        <w:rPr>
          <w:rFonts w:eastAsia="Times New Roman" w:cs="Times New Roman" w:ascii="Arial" w:hAnsi="Arial"/>
          <w:color w:val="000000"/>
          <w:sz w:val="22"/>
          <w:szCs w:val="22"/>
          <w:highlight w:val="white"/>
        </w:rPr>
        <w:t>6</w:t>
      </w:r>
      <w:r>
        <w:rPr>
          <w:rFonts w:eastAsia="Times New Roman" w:cs="Times New Roman" w:ascii="Arial" w:hAnsi="Arial"/>
          <w:color w:val="000000"/>
          <w:sz w:val="22"/>
          <w:szCs w:val="22"/>
        </w:rPr>
        <w:t>.1. Não será admitida a subcontratação.</w:t>
      </w:r>
    </w:p>
    <w:p>
      <w:pPr>
        <w:pStyle w:val="Normal1"/>
        <w:tabs>
          <w:tab w:val="clear" w:pos="720"/>
          <w:tab w:val="left" w:pos="2520"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20.7. Da Garantia contratual</w:t>
      </w:r>
    </w:p>
    <w:p>
      <w:pPr>
        <w:pStyle w:val="Normal1"/>
        <w:tabs>
          <w:tab w:val="clear" w:pos="720"/>
          <w:tab w:val="left" w:pos="793"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20.7.1. Será exigida garantia contratual nos termos e prazos estabelecidos no subitem 6.2 do Termo de Referência. A não prestação de garantia equivale à recusa injustificada para a contratação, caracterizando descumprimento total da obrigação assumida, ficando a adjudicatária sujeita às penalidades legalmente estabelecidas, inclusive multa.</w:t>
      </w:r>
    </w:p>
    <w:p>
      <w:pPr>
        <w:pStyle w:val="Normal1"/>
        <w:tabs>
          <w:tab w:val="clear" w:pos="720"/>
          <w:tab w:val="left" w:pos="793"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highlight w:val="white"/>
        </w:rPr>
        <w:t>21. DAS PRÁTICAS PROIBITIVAS - BID</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O Banco exige que todos os Mutuários (incluindo beneficiários de doações), Agências Executoras e Agências Contratantes, bem como, todas as empresas, entidades ou indivíduos que estejam atuando como proponentes ou participando de atividades financiadas pelo Banco incluindo, entre outros, requerentes, licitantes, proponentes, empreiteiros, consultores, funcionários, subempreiteiros, subconsultores, prestadores de serviços, fornecedores de bens e concessionários (incluindo seus respectivos dirigentes, funcionários e agentes, independentemente de a agência ser expressa ou implícita), aderem os mais altos padrões éticos e denunciem ao Banco12 qualquer ato suspeito de Práticas Proibidas sobre as quais tenham conhecimento ou venham tomar conhecimento tanto durante o processo de licitação e durante a negociação ou na execução de um contrato. As Práticas Proibidas compreendem: (i) práticas corruptas; (ii) práticas fraudulentas; (iii) práticas coercitivas; (iv) práticas colusivas; (v) práticas obstrutivas e (vi) apropriação indébita. O Banco estabeleceu mecanismos para denunciar suspeitas de Práticas Proibidas. Qualquer denúncia deverá ser encaminhada ao Escritório de Integridade Institucional (EII) do Banco para que se realize a devida investigação. O Banco também tem adotado procedimentos de sanções para julgar casos. Além disso, o Banco firmou com outras Instituições Financeiras Internacionais (IFIs) um acordo de reconhecimento mútuo de decisões de exclusão.</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(a) O Banco define, para os fins desta disposição, os seguintes termos:</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 uma prática corrupta consiste em oferecer, dar, receber ou solicitar, direta ou indiretamente, qualquer coisa de valor para influenciar indevidamente as ações de outra parte;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 uma prática fraudulenta é qualquer ato ou omissão, incluindo a tergiversação de fatos ou circunstâncias que deliberada ou imprudentemente engane ou tente enganar, uma parte para obter um benefício financeiro ou de outra natureza ou para evitar cumprir uma obrigação;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(iii) uma prática coercitiva consiste em prejudicar ou causar dano, ou ameaçar prejudicar ou causar dano, direta ou indiretamente, a qualquer parte interessada ou à sua propriedade, para influenciar indevidamente as ações de uma parte;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(iv) uma prática colusiva é um acordo entre duas ou mais partes com o intuito de alcançar um propósito impróprio, inclusive influenciar inapropriadamente as ações de outra parte;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(v) Uma prática obstrutiva é:</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 destruir, falsificar, alterar ou ocultar evidências significativas de uma investigação do Grupo BID ou prestar declarações falsas aos investigadores com a intenção de obstruir uma investigação do Grupo BID;</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 ameaçar, assediar ou intimidar qualquer parte interessada para impedi-la de revelar seu conhecimento sobre assuntos relevantes para uma investigação do Grupo BID ou ao seu prosseguimento; ou</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(iii) atos que visem impedir o exercício dos direitos contratuais de auditoria ou inspeção do Grupo BID previstos no parágrafo 1.16 (f) abaixo ou seus direitos de acesso à informação; 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(vi) uma apropriação indébita consiste no uso de fundos ou recursos do Grupo BID para um propósito impróprio ou não autorizado, cometido intencionalmente ou por negligência grave.</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(b) Se o Banco determinar que em qualquer estágio da aquisição ou da execução de um contrato qualquer empresa, entidade ou indivíduo que concorra ou participe de uma atividade financiada pelo Banco, incluindo, entre outros, requerentes, licitantes, proponentes, fornecedores de bens, empreiteiros, consultores, funcionários, subempreiteiros, subconsultores, prestadores de serviços, concessionários, Mutuários (incluindo Beneficiários de doações), Agências Executoras ou Agências Contratantes (incluindo seus respectivos dirigentes, funcionários e agentes, independentemente de a agência ser expressa ou implícita) envolvidos em uma Prática Proibida, o Banco poderá:</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 não financiar nenhuma recomendação de adjudicação de um contrato para obras, bens e serviços correlatos financiados pelo Banco;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 suspender os desembolsos da operação se for determinado, em qualquer etapa, que um funcionário, agente ou representante do Mutuário, da Agência Executora ou Agência Contratante se envolveu em Prática Proibida;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(iii) declarar a Aquisição Viciada (Misprocurement) e cancelar e/ou declarar vencido antecipadamente o pagamento da parte do empréstimo ou da doação destinada a um contrato, quando houver evidências de que o representante do Mutuário ou do Beneficiário de uma doação não tomou as medidas corretivas adequadas (incluindo, entre outras, fornecer a notificação adequada ao Banco após tomar conhecimento da Prática Proibida) dentro de um prazo que o Banco considere razoável;</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(iv) emitir uma advertência à empresa, entidade ou indivíduo através de uma carta formal de censura por sua conduta;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(v) declarar que uma empresa, entidade ou indivíduo é inelegível, permanentemente ou por um prazo determinado, para: (i) receber ou participar em atividades financiadas pelo Banco; e (ii) ser designado13 como subconsultor, subempreiteiro, fornecedor de bens ou prestador de serviços de uma empresa elegível à qual tenha sido adjudicado um contrato financiado pelo Banco;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(vi) encaminhar o assunto às autoridades competentes, encarregadas de fazer cumprir as leis; e/ou</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(vii) impor outras sanções que julgar apropriadas sob as circunstâncias, incluindo a imposição de multas que representem o reembolso do Banco pelos custos associados às investigações e procedimentos. Essas sanções podem ser impostas adicionalmente ou em substituição às sanções mencionadas acima.</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(c) As disposições dos incisos (i) e (ii) do subparágrafo 1.16(b) serão aplicadas, também, quando tais partes tiverem sido temporariamente declaradas inelegíveis para a adjudicação de novos contratos, enquanto aguardam a decisão definitiva de um processo de sanção ou de qualquer outra resolução.</w:t>
      </w:r>
    </w:p>
    <w:p>
      <w:pPr>
        <w:pStyle w:val="Normal1"/>
        <w:spacing w:lineRule="auto" w:line="240" w:before="57" w:after="57"/>
        <w:jc w:val="both"/>
        <w:rPr>
          <w:rFonts w:eastAsia="Times New Roman" w:cs="Times New Roman"/>
          <w:color w:val="000000"/>
        </w:rPr>
      </w:pPr>
      <w:r>
        <w:rPr>
          <w:rFonts w:eastAsia="Times New Roman" w:cs="Times New Roman"/>
          <w:color w:val="000000"/>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(d) A imposição de qualquer ação a ser tomada pelo Banco de acordo com as disposições acima mencionadas, será pública.</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(e) Além disso, qualquer empresa, entidade ou indivíduo que concorra ou participe de uma atividade financiada pelo Banco incluindo, entre outros, requerentes, licitantes, proponentes, fornecedores de bens, empreiteiros, consultores, funcionários, subempreiteiros, subconsultores, prestadores de serviços, concessionários, Mutuários (incluindo Beneficiários de doações), Agências Executoras ou Agências Contratante (incluindo seus respectivos dirigentes, funcionários e agentes, independentemente de a agência ser expressa ou implícita), podem estar sujeitos a sanções baseadas nos acordos que o Banco possa ter com outras IFIs em relação ao reconhecimento mútuo de decisões de exclusão. Para fins deste parágrafo, o termo "sanção" incluirá qualquer exclusão, condições sobre futuras contratações ou qualquer ação divulgada publicamente em resposta a uma violação da estrutura aplicável de uma IFI para tratar de alegações de Práticas Proibidas.</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(f) O Banco exige que seja incluída uma disposição nos documentos de licitação e nos contratos financiados com um empréstimo ou doação do Banco, exigindo que os requerentes, licitantes, proponentes, fornecedores de bens e seus agentes, empreiteiros, consultores, funcionários, subempreiteiros, subconsultores, prestadores de serviços e concessionários, permitam que o Banco inspecione todas e quaisquer contas, registros e outros documentos relativos à apresentação de propostas e execução de contrato bem como que sejam auditados por auditores nomeados pelo Banco. No âmbito desta política, os requerentes, licitantes, proponentes, fornecedores de bens e seus agentes, empreiteiros, consultores, funcionários, subempreiteiros, subconsultores, prestadores de serviços e concessionários devem prestar plena assistência ao Banco em sua investigação. O Banco terá também o direito de requerer que, nos contratos por ele financiados com um empréstimo ou doação incluam uma disposição que obrigue os requerentes, licitantes, proponentes, fornecedores de bens e seus agentes, empreiteiros, consultores, funcionários, subempreiteiros, subconsultores, prestadores de serviços e concessionários a: (i) mantenham todos os documentos e registros referentes às atividades financiadas pelo Banco por sete (7) anos após a conclusão do trabalho contemplado no respectivo contrato; e (ii) forneçam quaisquer documentos necessários à investigação de alegações de Práticas Proibidas; e assegurem que funcionários ou agentes dos requerentes, licitantes, proponentes, fornecedores de bens e seus agentes, empreiteiros, consultores, subempreiteiros, subconsultores, prestadores de serviços ou concessionários que tenham conhecimento das atividades financiadas pelo Banco estejam disponíveis para responder às questões dos funcionários do Banco ou de qualquer investigador, agente, auditor ou consultor relacionado com a investigação devidamente designado. Caso o requerente, licitante, proponente, fornecedor de bens e seus agentes, empreiteiro, consultor, funcionários, subempreiteiro, subconsultor, prestador de serviços ou concessionário se recusem a cooperar e/ou descumpram o exigido pelo Banco ou obstruam de qualquer forma, a investigação, o Banco, a seu critério exclusivo, pode tomar as medidas apropriadas contra o requerente, licitante, proponente, fornecedor de bens e seus agentes, empreiteiro, consultor, funcionários, subempreiteiro, subconsultor, prestador de serviços ou concessionário.</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(g) O Banco exigirá que, quando um Mutuário adquire bens, obras ou serviços que não os de consultoria diretamente de uma agência especializada de acordo com o parágrafo 3.10 no âmbito de um acordo entre o Mutuário e tal agência especializada, todas as disposições do parágrafo 1.16 referentes a sanções e Práticas Proibidas serão aplicadas integralmente aos requerentes, licitantes, proponentes, fornecedores de bens e seus agentes, empreiteiros, consultores, funcionários, subempreiteiros, subconsultores, prestadores de serviços, concessionários (incluindo seus respectivos dirigentes, funcionários e agentes, independentemente de a agência ser expressa ou implícita), ou quaisquer outras entidades que assinaram contratos com tal agência especializada para fornecer tais bens, obras ou serviços que não os de consultoria relacionados com as atividades financiadas pelo Banco. O Banco mantém o direito de exigir que o Mutuário invoque recursos tais como suspensão ou extinção. As agências especializadas deverão consultar a lista do Banco de empresas e indivíduos suspensos ou excluídos. No caso de uma agência especializada assinar um contrato ou uma ordem de compra com uma empresa ou com um indivíduo suspenso ou excluído pelo Banco, o Banco não financiará as despesas relacionadas e aplicará outras medidas conforme apropriado.</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Com a concordância específica do Banco, além da Lista do Banco de Empresas e Indivíduos Sancionados, o Mutuário pode introduzir, nos formulários da Oferta para contratos financiados pelo Banco, um compromisso do licitante de observar, ao concorrer e executar um contrato, as leis e o sistema de sanções do país contra práticas proibidas (incluindo suborno) e os regulamentos e sanções de um organismo de desenvolvimento multilateral/bilateral ou organização internacional, atuando como cofinanciador, relacionados a práticas proibidas, se aplicável, conforme listado nos documentos de licitação.O Banco aceitará a introdução de tal compromisso a pedido do país Mutuário, desde que as disposições que regem tal requisito sejam satisfatórias para o Banco.</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 xml:space="preserve">22. </w:t>
      </w:r>
      <w:r>
        <w:rPr>
          <w:rFonts w:eastAsia="Times New Roman" w:cs="Times New Roman" w:ascii="Arial" w:hAnsi="Arial"/>
          <w:b/>
          <w:color w:val="000000"/>
          <w:sz w:val="22"/>
          <w:szCs w:val="22"/>
          <w:highlight w:val="white"/>
        </w:rPr>
        <w:t>DAS DISPOSIÇÕES GERAIS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22.1. A homologação do resultado desta licitação não implicará direito à contratação.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22.2.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22.3. Os licitantes assumem todos os custos de preparação e apresentação de suas propostas e a Administração não será, em nenhum caso, responsável por esses custos, independentemente da condução ou do resultado do processo licitatório.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22.4. Na contagem dos prazos estabelecidos neste edital, excluir-se-ão os dias de início e incluir-se-ão os dias de vencimento.</w:t>
      </w:r>
      <w:r>
        <w:rPr>
          <w:rFonts w:eastAsia="Times New Roman" w:cs="Times New Roman" w:ascii="Arial" w:hAnsi="Arial"/>
          <w:b/>
          <w:color w:val="000000"/>
          <w:sz w:val="22"/>
          <w:szCs w:val="22"/>
          <w:highlight w:val="white"/>
        </w:rPr>
        <w:t xml:space="preserve"> </w:t>
      </w:r>
      <w:r>
        <w:rPr>
          <w:rFonts w:eastAsia="Times New Roman" w:cs="Times New Roman" w:ascii="Arial" w:hAnsi="Arial"/>
          <w:color w:val="000000"/>
          <w:sz w:val="22"/>
          <w:szCs w:val="22"/>
          <w:highlight w:val="white"/>
        </w:rPr>
        <w:t>Os prazos estabelecidos neste edital para a fase externa se iniciam e se vencem somente nos dias e horários de expediente da Central de Licitações. Os demais prazos se iniciam e se vencem exclusivamente em dias úteis de expediente da contratante.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22.5. O desatendimento de exigências formais não essenciais não importará o afastamento do licitante, desde que seja possível o aproveitamento do ato, observados os princípios da isonomia e do interesse público.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22.5.1. Erros ou falhas que não alterem a substância das propostas, dos documentos de habilitação e sua validade jurídica, serão sanados pelo pregoeiro mediante decisão em despacho fundamentado, registrado e acessível a todos, atribuindo-lhes eficácia para fins de habilitação e classificação, conforme inciso VIII do art. 24, o § 4º do art. 75 e o inciso V do art. 98, todos do Decreto Estadual nº 35.067/2022.</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22.5.2. Considera-se, dentre outros, erro no preenchimento da proposta, passível de correção, os erros aritméticos, a indicação de recolhimento de impostos e contribuições na forma do Simples Nacional, quando não cabível esse regime.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22.6. Em caso de divergência entre disposições deste Edital e de seus anexos ou demais peças que compõem o processo, prevalecerá as deste Edital.</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22.7. É facultada ao pregoeiro ou à autoridade competente, em qualquer fase da licitação, a promoção de diligência destinada a esclarecer ou a complementar a instrução do processo licitatório.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22.8. O descumprimento de prazos estabelecidos neste edital e/ou pelo pregoeiro ou o não atendimento às solicitações ensejará DESCLASSIFICAÇÃO ou INABILITAÇÃO do licitante.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22.9. Toda a documentação fará parte dos autos e não será devolvida a licitante, ainda que se trate de originais.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22.10. Os representantes legais dos licitantes são responsáveis pela fidelidade e legitimidade das informações e dos documentos apresentados em qualquer fase da licitação.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22.11. Os casos omissos serão resolvidos pelo pregoeiro, nos termos da legislação pertinente.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22.12. O foro designado para julgamento de quaisquer questões judiciais resultantes deste edital será o da Comarca de Fortaleza, Capital do Estado do Ceará.</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22.13. Integram este Edital, para todos os fins e efeitos, os seguintes anexos: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ANEXO I – Termo de Referência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ANEXO II – Minuta do Termo de Contrato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ANEXO III – Declaração de Contratos firmados com a Iniciativa Privada e Administração Pública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ANEXO IV – Declaração de Autenticidade dos Documentos</w:t>
      </w:r>
      <w:r>
        <w:rPr>
          <w:rFonts w:eastAsia="Times New Roman" w:cs="Times New Roman" w:ascii="Arial" w:hAnsi="Arial"/>
          <w:b/>
          <w:color w:val="000000"/>
          <w:sz w:val="22"/>
          <w:szCs w:val="22"/>
          <w:highlight w:val="white"/>
        </w:rPr>
        <w:t xml:space="preserve"> </w:t>
      </w:r>
      <w:r>
        <w:rPr>
          <w:rFonts w:eastAsia="Times New Roman" w:cs="Times New Roman" w:ascii="Arial" w:hAnsi="Arial"/>
          <w:color w:val="000000"/>
          <w:sz w:val="22"/>
          <w:szCs w:val="22"/>
          <w:highlight w:val="white"/>
        </w:rPr>
        <w:t xml:space="preserve">e de Responsabilidade sobre Quitação de Encargos Trabalhistas e Sociais </w:t>
      </w:r>
      <w:r>
        <w:rPr>
          <w:rFonts w:eastAsia="Times New Roman" w:cs="Times New Roman" w:ascii="Arial" w:hAnsi="Arial"/>
          <w:i/>
          <w:color w:val="000000"/>
          <w:sz w:val="22"/>
          <w:szCs w:val="22"/>
          <w:highlight w:val="white"/>
        </w:rPr>
        <w:t>(Anexar com a documentação de habilitação)</w:t>
      </w:r>
    </w:p>
    <w:p>
      <w:pPr>
        <w:pStyle w:val="Normal1"/>
        <w:spacing w:lineRule="auto" w:line="240" w:before="57" w:after="57"/>
        <w:jc w:val="both"/>
        <w:rPr>
          <w:rFonts w:ascii="Arial" w:hAnsi="Arial" w:eastAsia="Times New Roman" w:cs="Times New Roman"/>
          <w:color w:val="000000"/>
          <w:sz w:val="22"/>
          <w:szCs w:val="22"/>
          <w:highlight w:val="white"/>
        </w:rPr>
      </w:pPr>
      <w:r>
        <w:rPr>
          <w:rFonts w:eastAsia="Times New Roman" w:cs="Times New Roman" w:ascii="Arial" w:hAnsi="Arial"/>
          <w:color w:val="000000"/>
          <w:sz w:val="22"/>
          <w:szCs w:val="22"/>
          <w:highlight w:val="white"/>
        </w:rPr>
      </w:r>
    </w:p>
    <w:p>
      <w:pPr>
        <w:pStyle w:val="Normal1"/>
        <w:spacing w:lineRule="auto" w:line="240" w:before="57" w:after="57"/>
        <w:jc w:val="both"/>
        <w:rPr>
          <w:rFonts w:ascii="Arial" w:hAnsi="Arial" w:eastAsia="Times New Roman" w:cs="Times New Roman"/>
          <w:i/>
          <w:i/>
          <w:color w:val="000000"/>
          <w:sz w:val="22"/>
          <w:szCs w:val="22"/>
          <w:shd w:fill="FE7F00" w:val="clear"/>
        </w:rPr>
      </w:pPr>
      <w:r>
        <w:rPr>
          <w:rFonts w:eastAsia="Times New Roman" w:cs="Times New Roman" w:ascii="Arial" w:hAnsi="Arial"/>
          <w:i/>
          <w:color w:val="000000"/>
          <w:sz w:val="22"/>
          <w:szCs w:val="22"/>
          <w:shd w:fill="FE7F00" w:val="clear"/>
        </w:rPr>
      </w:r>
    </w:p>
    <w:p>
      <w:pPr>
        <w:pStyle w:val="Normal1"/>
        <w:spacing w:lineRule="auto" w:line="240" w:before="57" w:after="57"/>
        <w:jc w:val="both"/>
        <w:rPr>
          <w:rFonts w:ascii="Arial" w:hAnsi="Arial"/>
          <w:sz w:val="22"/>
          <w:szCs w:val="22"/>
        </w:rPr>
      </w:pPr>
      <w:r>
        <w:rPr>
          <w:rFonts w:ascii="Arial" w:hAnsi="Arial"/>
          <w:sz w:val="22"/>
          <w:szCs w:val="22"/>
        </w:rPr>
      </w:r>
    </w:p>
    <w:p>
      <w:pPr>
        <w:pStyle w:val="Normal1"/>
        <w:spacing w:lineRule="auto" w:line="240" w:before="57" w:after="57"/>
        <w:jc w:val="both"/>
        <w:rPr>
          <w:rFonts w:ascii="Arial" w:hAnsi="Arial"/>
          <w:sz w:val="22"/>
          <w:szCs w:val="22"/>
        </w:rPr>
      </w:pPr>
      <w:r>
        <w:rPr>
          <w:rFonts w:ascii="Arial" w:hAnsi="Arial"/>
          <w:sz w:val="22"/>
          <w:szCs w:val="22"/>
        </w:rPr>
      </w:r>
    </w:p>
    <w:p>
      <w:pPr>
        <w:pStyle w:val="Normal"/>
        <w:spacing w:lineRule="auto" w:line="240"/>
        <w:jc w:val="both"/>
        <w:rPr>
          <w:rFonts w:ascii="Arial" w:hAnsi="Arial" w:eastAsia="Times New Roman" w:cs="Times New Roman"/>
          <w:color w:val="000000"/>
          <w:sz w:val="22"/>
          <w:szCs w:val="22"/>
          <w:shd w:fill="FFFFFF" w:val="clear"/>
        </w:rPr>
      </w:pPr>
      <w:r>
        <w:rPr>
          <w:rFonts w:eastAsia="Times New Roman" w:cs="Times New Roman" w:ascii="Arial" w:hAnsi="Arial"/>
          <w:color w:val="000000"/>
          <w:sz w:val="22"/>
          <w:szCs w:val="22"/>
          <w:shd w:fill="FFFFFF" w:val="clear"/>
        </w:rPr>
        <w:t>Ordenador(a) de Despesas</w:t>
      </w:r>
    </w:p>
    <w:p>
      <w:pPr>
        <w:pStyle w:val="Normal"/>
        <w:spacing w:lineRule="auto" w:line="240"/>
        <w:jc w:val="both"/>
        <w:rPr>
          <w:rFonts w:ascii="Arial" w:hAnsi="Arial" w:eastAsia="Times New Roman" w:cs="Times New Roman"/>
          <w:i/>
          <w:i/>
          <w:color w:val="000000"/>
          <w:sz w:val="22"/>
          <w:szCs w:val="22"/>
        </w:rPr>
      </w:pPr>
      <w:r>
        <w:rPr>
          <w:rFonts w:eastAsia="Times New Roman" w:cs="Times New Roman" w:ascii="Arial" w:hAnsi="Arial"/>
          <w:i/>
          <w:color w:val="000000"/>
          <w:sz w:val="22"/>
          <w:szCs w:val="22"/>
        </w:rPr>
      </w:r>
    </w:p>
    <w:p>
      <w:pPr>
        <w:pStyle w:val="Normal"/>
        <w:spacing w:lineRule="auto" w:line="240"/>
        <w:jc w:val="both"/>
        <w:rPr>
          <w:rFonts w:ascii="Arial" w:hAnsi="Arial" w:eastAsia="Times New Roman" w:cs="Times New Roman"/>
          <w:i/>
          <w:i/>
          <w:color w:val="000000"/>
          <w:sz w:val="22"/>
          <w:szCs w:val="22"/>
        </w:rPr>
      </w:pPr>
      <w:r>
        <w:rPr>
          <w:rFonts w:eastAsia="Times New Roman" w:cs="Times New Roman" w:ascii="Arial" w:hAnsi="Arial"/>
          <w:i/>
          <w:color w:val="000000"/>
          <w:sz w:val="22"/>
          <w:szCs w:val="22"/>
        </w:rPr>
      </w:r>
    </w:p>
    <w:p>
      <w:pPr>
        <w:pStyle w:val="Normal"/>
        <w:spacing w:lineRule="auto" w:line="240"/>
        <w:jc w:val="both"/>
        <w:rPr>
          <w:rFonts w:ascii="Arial" w:hAnsi="Arial" w:eastAsia="Times New Roman" w:cs="Times New Roman"/>
          <w:i/>
          <w:i/>
          <w:color w:val="000000"/>
          <w:sz w:val="22"/>
          <w:szCs w:val="22"/>
        </w:rPr>
      </w:pPr>
      <w:r>
        <w:rPr>
          <w:rFonts w:eastAsia="Times New Roman" w:cs="Times New Roman" w:ascii="Arial" w:hAnsi="Arial"/>
          <w:i/>
          <w:color w:val="000000"/>
          <w:sz w:val="22"/>
          <w:szCs w:val="22"/>
        </w:rPr>
      </w:r>
    </w:p>
    <w:p>
      <w:pPr>
        <w:pStyle w:val="Normal"/>
        <w:spacing w:lineRule="auto" w:line="240"/>
        <w:rPr>
          <w:rFonts w:ascii="Arial" w:hAnsi="Arial"/>
          <w:b/>
          <w:bCs/>
          <w:sz w:val="22"/>
          <w:szCs w:val="22"/>
        </w:rPr>
      </w:pPr>
      <w:r>
        <w:rPr/>
      </w:r>
    </w:p>
    <w:p>
      <w:pPr>
        <w:pStyle w:val="Normal"/>
        <w:spacing w:lineRule="auto" w:line="240" w:before="57" w:after="57"/>
        <w:jc w:val="both"/>
        <w:rPr/>
      </w:pPr>
      <w:r>
        <w:rPr>
          <w:rFonts w:eastAsia="Times New Roman" w:ascii="Arial" w:hAnsi="Arial"/>
          <w:color w:val="000000"/>
          <w:sz w:val="22"/>
          <w:szCs w:val="22"/>
        </w:rPr>
        <w:t>Analisado e aprovado o processo da contratação pela assessoria jurídica</w:t>
      </w:r>
    </w:p>
    <w:p>
      <w:pPr>
        <w:pStyle w:val="Normal"/>
        <w:spacing w:lineRule="auto" w:line="240" w:before="57" w:after="57"/>
        <w:jc w:val="both"/>
        <w:rPr>
          <w:rFonts w:eastAsia="Times New Roman" w:cs="Times New Roman"/>
          <w:color w:val="000000"/>
          <w:highlight w:val="white"/>
        </w:rPr>
      </w:pPr>
      <w:r>
        <w:rPr>
          <w:rFonts w:eastAsia="Times New Roman" w:cs="Times New Roman"/>
          <w:color w:val="000000"/>
          <w:highlight w:val="white"/>
        </w:rPr>
      </w:r>
    </w:p>
    <w:p>
      <w:pPr>
        <w:pStyle w:val="Normal1"/>
        <w:spacing w:lineRule="auto" w:line="240"/>
        <w:rPr>
          <w:rFonts w:ascii="Times New Roman" w:hAnsi="Times New Roman" w:eastAsia="Times New Roman" w:cs="Times New Roman"/>
          <w:b/>
          <w:color w:val="000000"/>
          <w:sz w:val="22"/>
          <w:szCs w:val="22"/>
        </w:rPr>
      </w:pPr>
      <w:r>
        <w:rPr>
          <w:rFonts w:eastAsia="Times New Roman" w:cs="Times New Roman" w:ascii="Times New Roman" w:hAnsi="Times New Roman"/>
          <w:b/>
          <w:color w:val="000000"/>
          <w:sz w:val="22"/>
          <w:szCs w:val="22"/>
        </w:rPr>
      </w:r>
      <w:r>
        <w:br w:type="page"/>
      </w:r>
    </w:p>
    <w:p>
      <w:pPr>
        <w:pStyle w:val="Normal1"/>
        <w:spacing w:lineRule="auto" w:line="240" w:before="0" w:after="0"/>
        <w:jc w:val="center"/>
        <w:rPr>
          <w:rFonts w:ascii="Times New Roman" w:hAnsi="Times New Roman" w:eastAsia="Times New Roman" w:cs="Times New Roman"/>
          <w:b/>
          <w:color w:val="000000"/>
          <w:sz w:val="22"/>
          <w:szCs w:val="22"/>
        </w:rPr>
      </w:pPr>
      <w:r>
        <w:rPr>
          <w:rFonts w:eastAsia="Times New Roman" w:cs="Times New Roman" w:ascii="Times New Roman" w:hAnsi="Times New Roman"/>
          <w:b/>
          <w:color w:val="000000"/>
          <w:sz w:val="22"/>
          <w:szCs w:val="22"/>
        </w:rPr>
      </w:r>
    </w:p>
    <w:p>
      <w:pPr>
        <w:pStyle w:val="Normal1"/>
        <w:spacing w:lineRule="auto" w:line="240" w:before="57" w:after="57"/>
        <w:jc w:val="center"/>
        <w:rPr>
          <w:rFonts w:ascii="Arial" w:hAnsi="Arial"/>
          <w:sz w:val="22"/>
          <w:szCs w:val="22"/>
        </w:rPr>
      </w:pPr>
      <w:r>
        <w:rPr>
          <w:rFonts w:eastAsia="Times New Roman" w:cs="Times New Roman" w:ascii="Arial" w:hAnsi="Arial"/>
          <w:b/>
          <w:color w:val="000000"/>
          <w:sz w:val="22"/>
          <w:szCs w:val="22"/>
        </w:rPr>
        <w:t xml:space="preserve">ANEXO I </w:t>
      </w:r>
      <w:r>
        <w:rPr>
          <w:rFonts w:eastAsia="Times New Roman" w:cs="Times New Roman" w:ascii="Arial" w:hAnsi="Arial"/>
          <w:b/>
          <w:i/>
          <w:color w:val="000000"/>
          <w:sz w:val="22"/>
          <w:szCs w:val="22"/>
        </w:rPr>
        <w:t>–</w:t>
      </w:r>
      <w:r>
        <w:rPr>
          <w:rFonts w:eastAsia="Times New Roman" w:cs="Times New Roman" w:ascii="Arial" w:hAnsi="Arial"/>
          <w:b/>
          <w:color w:val="000000"/>
          <w:sz w:val="22"/>
          <w:szCs w:val="22"/>
        </w:rPr>
        <w:t xml:space="preserve"> TERMO DE REFERÊNCIA</w:t>
      </w:r>
      <w:r>
        <w:rPr>
          <w:rFonts w:eastAsia="Times New Roman" w:cs="Times New Roman" w:ascii="Arial" w:hAnsi="Arial"/>
          <w:color w:val="000000"/>
          <w:sz w:val="22"/>
          <w:szCs w:val="22"/>
        </w:rPr>
        <w:t xml:space="preserve"> </w:t>
      </w:r>
    </w:p>
    <w:p>
      <w:pPr>
        <w:pStyle w:val="Normal1"/>
        <w:spacing w:lineRule="auto" w:line="240" w:before="57" w:after="57"/>
        <w:jc w:val="center"/>
        <w:rPr/>
      </w:pPr>
      <w:r>
        <w:rPr>
          <w:rFonts w:eastAsia="Times New Roman" w:cs="Times New Roman" w:ascii="Arial" w:hAnsi="Arial"/>
          <w:color w:val="000000"/>
          <w:sz w:val="22"/>
          <w:szCs w:val="22"/>
        </w:rPr>
        <w:t xml:space="preserve">Processo nº </w:t>
      </w:r>
      <w:r>
        <w:rPr>
          <w:rFonts w:eastAsia="Arial" w:cs="Arial" w:ascii="Arial" w:hAnsi="Arial"/>
          <w:b/>
          <w:sz w:val="22"/>
          <w:szCs w:val="22"/>
        </w:rPr>
        <w:t xml:space="preserve"> </w:t>
      </w:r>
      <w:hyperlink r:id="rId15">
        <w:r>
          <w:rPr>
            <w:rFonts w:eastAsia="Arial" w:cs="Arial" w:ascii="Arial" w:hAnsi="Arial"/>
            <w:b/>
            <w:sz w:val="22"/>
            <w:szCs w:val="22"/>
          </w:rPr>
          <w:t xml:space="preserve">30001.010894/2024-82 </w:t>
        </w:r>
      </w:hyperlink>
    </w:p>
    <w:p>
      <w:pPr>
        <w:pStyle w:val="Normal1"/>
        <w:spacing w:lineRule="auto" w:line="240" w:before="57" w:after="57"/>
        <w:jc w:val="center"/>
        <w:rPr>
          <w:rFonts w:ascii="Arial" w:hAnsi="Arial"/>
          <w:sz w:val="22"/>
          <w:szCs w:val="22"/>
        </w:rPr>
      </w:pPr>
      <w:r>
        <w:rPr>
          <w:rFonts w:eastAsia="Times New Roman" w:cs="Times New Roman" w:ascii="Arial" w:hAnsi="Arial"/>
          <w:color w:val="000000"/>
          <w:sz w:val="22"/>
          <w:szCs w:val="22"/>
        </w:rPr>
        <w:t>UNIDADE REQUISITANTE: Casa Civil</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1. DO OBJETO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 O objeto da licitação é a contratação de empresa para prestação de serviços contínuos a serem executados com dedicação exclusiva de mão de obra terceirizada, regidos pela Consolidação da Leis Trabalhistas (CLT) para as categorias, condições e quantidades estabelecidas neste termo, edital e seus anexos para atender as necessidades da área de Vigilância Patrimonial nas sedes dos Núcleos de Ação Pela Paz – NAPAZ.</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1.2. Este objeto será realizado através de licitação na modalidade PREGÃO, na forma ELETRÔNICA, com adoção do critério de julgamento pelo MENOR PREÇO, sob regime de execução indireta EMPREITADA POR PREÇO GLOBAL. </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2. DAS ESPECIFICAÇÕES, QUANTITATIVOS E ESTIMATIVA DO VALOR DA CONTRATAÇÃO</w:t>
      </w:r>
    </w:p>
    <w:tbl>
      <w:tblPr>
        <w:tblW w:w="9631" w:type="dxa"/>
        <w:jc w:val="left"/>
        <w:tblInd w:w="33" w:type="dxa"/>
        <w:tblLayout w:type="fixed"/>
        <w:tblCellMar>
          <w:top w:w="0" w:type="dxa"/>
          <w:left w:w="57" w:type="dxa"/>
          <w:bottom w:w="0" w:type="dxa"/>
          <w:right w:w="57" w:type="dxa"/>
        </w:tblCellMar>
        <w:tblLook w:firstRow="0" w:noVBand="1" w:lastRow="0" w:firstColumn="0" w:lastColumn="0" w:noHBand="0" w:val="0400"/>
      </w:tblPr>
      <w:tblGrid>
        <w:gridCol w:w="730"/>
        <w:gridCol w:w="4880"/>
        <w:gridCol w:w="1485"/>
        <w:gridCol w:w="960"/>
        <w:gridCol w:w="1576"/>
      </w:tblGrid>
      <w:tr>
        <w:trPr/>
        <w:tc>
          <w:tcPr>
            <w:tcW w:w="730" w:type="dxa"/>
            <w:tcBorders>
              <w:top w:val="single" w:sz="8" w:space="0" w:color="000000"/>
              <w:left w:val="single" w:sz="8" w:space="0" w:color="000000"/>
              <w:bottom w:val="single" w:sz="8" w:space="0" w:color="000000"/>
            </w:tcBorders>
            <w:shd w:color="auto" w:fill="DCDCDC" w:val="clear"/>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ITEM</w:t>
            </w:r>
          </w:p>
        </w:tc>
        <w:tc>
          <w:tcPr>
            <w:tcW w:w="4880" w:type="dxa"/>
            <w:tcBorders>
              <w:top w:val="single" w:sz="8" w:space="0" w:color="000000"/>
              <w:left w:val="single" w:sz="8" w:space="0" w:color="000000"/>
              <w:bottom w:val="single" w:sz="8" w:space="0" w:color="000000"/>
            </w:tcBorders>
            <w:shd w:color="auto" w:fill="DCDCDC" w:val="clear"/>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ESPECIFICAÇÃO</w:t>
            </w:r>
          </w:p>
        </w:tc>
        <w:tc>
          <w:tcPr>
            <w:tcW w:w="1485" w:type="dxa"/>
            <w:tcBorders>
              <w:top w:val="single" w:sz="8" w:space="0" w:color="000000"/>
              <w:left w:val="single" w:sz="8" w:space="0" w:color="000000"/>
              <w:bottom w:val="single" w:sz="8" w:space="0" w:color="000000"/>
            </w:tcBorders>
            <w:shd w:color="auto" w:fill="DCDCDC" w:val="clear"/>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UNIDADE DE MEDIDA</w:t>
            </w:r>
          </w:p>
        </w:tc>
        <w:tc>
          <w:tcPr>
            <w:tcW w:w="960" w:type="dxa"/>
            <w:tcBorders>
              <w:top w:val="single" w:sz="8" w:space="0" w:color="000000"/>
              <w:left w:val="single" w:sz="8" w:space="0" w:color="000000"/>
              <w:bottom w:val="single" w:sz="8" w:space="0" w:color="000000"/>
            </w:tcBorders>
            <w:shd w:color="auto" w:fill="DCDCDC" w:val="clear"/>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QUANTIDADE</w:t>
            </w:r>
          </w:p>
        </w:tc>
        <w:tc>
          <w:tcPr>
            <w:tcW w:w="1576" w:type="dxa"/>
            <w:tcBorders>
              <w:top w:val="single" w:sz="8" w:space="0" w:color="000000"/>
              <w:left w:val="single" w:sz="8" w:space="0" w:color="000000"/>
              <w:bottom w:val="single" w:sz="8" w:space="0" w:color="000000"/>
              <w:right w:val="single" w:sz="8" w:space="0" w:color="000000"/>
            </w:tcBorders>
            <w:shd w:color="auto" w:fill="DCDCDC" w:val="clear"/>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VALOR</w:t>
            </w:r>
          </w:p>
        </w:tc>
      </w:tr>
      <w:tr>
        <w:trPr/>
        <w:tc>
          <w:tcPr>
            <w:tcW w:w="730" w:type="dxa"/>
            <w:tcBorders>
              <w:left w:val="single" w:sz="8" w:space="0" w:color="000000"/>
              <w:bottom w:val="single" w:sz="8" w:space="0" w:color="000000"/>
            </w:tcBorders>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1.</w:t>
            </w:r>
          </w:p>
        </w:tc>
        <w:tc>
          <w:tcPr>
            <w:tcW w:w="4880" w:type="dxa"/>
            <w:tcBorders>
              <w:left w:val="single" w:sz="8" w:space="0" w:color="000000"/>
              <w:bottom w:val="single" w:sz="8" w:space="0" w:color="000000"/>
            </w:tcBorders>
            <w:vAlign w:val="center"/>
          </w:tcPr>
          <w:p>
            <w:pPr>
              <w:pStyle w:val="Normal1"/>
              <w:tabs>
                <w:tab w:val="clear" w:pos="720"/>
                <w:tab w:val="left" w:pos="993" w:leader="none"/>
                <w:tab w:val="left" w:pos="5742" w:leader="none"/>
              </w:tabs>
              <w:spacing w:lineRule="auto" w:line="240"/>
              <w:jc w:val="both"/>
              <w:rPr>
                <w:rFonts w:ascii="Arial" w:hAnsi="Arial"/>
                <w:sz w:val="20"/>
                <w:szCs w:val="20"/>
              </w:rPr>
            </w:pPr>
            <w:r>
              <w:rPr>
                <w:rFonts w:eastAsia="Times New Roman" w:cs="Times New Roman" w:ascii="Arial" w:hAnsi="Arial"/>
                <w:color w:val="000000"/>
                <w:sz w:val="20"/>
                <w:szCs w:val="20"/>
              </w:rPr>
              <w:t>Serviços contínuos a serem executados com dedicação exclusiva de mão de obra terceirizada para atender as necessidades da área de vigilância.</w:t>
            </w:r>
          </w:p>
        </w:tc>
        <w:tc>
          <w:tcPr>
            <w:tcW w:w="1485" w:type="dxa"/>
            <w:tcBorders>
              <w:left w:val="single" w:sz="8" w:space="0" w:color="000000"/>
              <w:bottom w:val="single" w:sz="8" w:space="0" w:color="000000"/>
            </w:tcBorders>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UNIDADE</w:t>
            </w:r>
          </w:p>
        </w:tc>
        <w:tc>
          <w:tcPr>
            <w:tcW w:w="960" w:type="dxa"/>
            <w:tcBorders>
              <w:left w:val="single" w:sz="8" w:space="0" w:color="000000"/>
              <w:bottom w:val="single" w:sz="8" w:space="0" w:color="000000"/>
            </w:tcBorders>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01</w:t>
            </w:r>
          </w:p>
        </w:tc>
        <w:tc>
          <w:tcPr>
            <w:tcW w:w="1576" w:type="dxa"/>
            <w:tcBorders>
              <w:left w:val="single" w:sz="8" w:space="0" w:color="000000"/>
              <w:bottom w:val="single" w:sz="8" w:space="0" w:color="000000"/>
              <w:right w:val="single" w:sz="8" w:space="0" w:color="000000"/>
            </w:tcBorders>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R$1.565.337,96</w:t>
            </w:r>
          </w:p>
        </w:tc>
      </w:tr>
    </w:tbl>
    <w:p>
      <w:pPr>
        <w:pStyle w:val="Normal1"/>
        <w:tabs>
          <w:tab w:val="clear" w:pos="720"/>
          <w:tab w:val="left" w:pos="2520" w:leader="none"/>
        </w:tabs>
        <w:spacing w:lineRule="auto" w:line="240"/>
        <w:jc w:val="both"/>
        <w:rPr>
          <w:rFonts w:ascii="Times New Roman" w:hAnsi="Times New Roman" w:eastAsia="Times New Roman" w:cs="Times New Roman"/>
          <w:b/>
          <w:color w:val="000000"/>
          <w:sz w:val="22"/>
          <w:szCs w:val="22"/>
        </w:rPr>
      </w:pPr>
      <w:r>
        <w:rPr>
          <w:rFonts w:eastAsia="Times New Roman" w:cs="Times New Roman" w:ascii="Times New Roman" w:hAnsi="Times New Roman"/>
          <w:b/>
          <w:color w:val="000000"/>
          <w:sz w:val="22"/>
          <w:szCs w:val="22"/>
        </w:rPr>
      </w:r>
    </w:p>
    <w:p>
      <w:pPr>
        <w:pStyle w:val="Normal1"/>
        <w:tabs>
          <w:tab w:val="clear" w:pos="720"/>
          <w:tab w:val="left" w:pos="2520" w:leader="none"/>
        </w:tabs>
        <w:spacing w:lineRule="auto" w:line="240"/>
        <w:jc w:val="both"/>
        <w:rPr>
          <w:rFonts w:ascii="Arial" w:hAnsi="Arial" w:eastAsia="Times New Roman" w:cs="Times New Roman"/>
          <w:b/>
          <w:color w:val="000000"/>
          <w:sz w:val="22"/>
          <w:szCs w:val="22"/>
        </w:rPr>
      </w:pPr>
      <w:r>
        <w:rPr>
          <w:rFonts w:eastAsia="Times New Roman" w:cs="Times New Roman" w:ascii="Arial" w:hAnsi="Arial"/>
          <w:b/>
          <w:color w:val="000000"/>
          <w:sz w:val="22"/>
          <w:szCs w:val="22"/>
        </w:rPr>
        <w:t>2.1. DA ESPECIFICAÇÃO DETALHADA</w:t>
      </w:r>
    </w:p>
    <w:tbl>
      <w:tblPr>
        <w:tblW w:w="9645" w:type="dxa"/>
        <w:jc w:val="left"/>
        <w:tblInd w:w="33" w:type="dxa"/>
        <w:tblLayout w:type="fixed"/>
        <w:tblCellMar>
          <w:top w:w="0" w:type="dxa"/>
          <w:left w:w="57" w:type="dxa"/>
          <w:bottom w:w="0" w:type="dxa"/>
          <w:right w:w="57" w:type="dxa"/>
        </w:tblCellMar>
        <w:tblLook w:firstRow="0" w:noVBand="1" w:lastRow="0" w:firstColumn="0" w:lastColumn="0" w:noHBand="0" w:val="0400"/>
      </w:tblPr>
      <w:tblGrid>
        <w:gridCol w:w="1215"/>
        <w:gridCol w:w="1245"/>
        <w:gridCol w:w="4468"/>
        <w:gridCol w:w="1304"/>
        <w:gridCol w:w="1413"/>
      </w:tblGrid>
      <w:tr>
        <w:trPr/>
        <w:tc>
          <w:tcPr>
            <w:tcW w:w="1215" w:type="dxa"/>
            <w:tcBorders>
              <w:top w:val="single" w:sz="8" w:space="0" w:color="000000"/>
              <w:left w:val="single" w:sz="8" w:space="0" w:color="000000"/>
              <w:bottom w:val="single" w:sz="8" w:space="0" w:color="000000"/>
            </w:tcBorders>
            <w:shd w:color="auto" w:fill="DCDCDC" w:val="clear"/>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SUBITENS</w:t>
            </w:r>
          </w:p>
        </w:tc>
        <w:tc>
          <w:tcPr>
            <w:tcW w:w="1245" w:type="dxa"/>
            <w:tcBorders>
              <w:top w:val="single" w:sz="8" w:space="0" w:color="000000"/>
              <w:left w:val="single" w:sz="8" w:space="0" w:color="000000"/>
              <w:bottom w:val="single" w:sz="8" w:space="0" w:color="000000"/>
            </w:tcBorders>
            <w:shd w:color="auto" w:fill="DCDCDC" w:val="clear"/>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CÓDIGO</w:t>
            </w:r>
          </w:p>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CBO</w:t>
            </w:r>
          </w:p>
        </w:tc>
        <w:tc>
          <w:tcPr>
            <w:tcW w:w="4468" w:type="dxa"/>
            <w:tcBorders>
              <w:top w:val="single" w:sz="8" w:space="0" w:color="000000"/>
              <w:left w:val="single" w:sz="8" w:space="0" w:color="000000"/>
              <w:bottom w:val="single" w:sz="8" w:space="0" w:color="000000"/>
            </w:tcBorders>
            <w:shd w:color="auto" w:fill="DCDCDC" w:val="clear"/>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CATEGORIA</w:t>
            </w:r>
          </w:p>
        </w:tc>
        <w:tc>
          <w:tcPr>
            <w:tcW w:w="1304" w:type="dxa"/>
            <w:tcBorders>
              <w:top w:val="single" w:sz="8" w:space="0" w:color="000000"/>
              <w:left w:val="single" w:sz="8" w:space="0" w:color="000000"/>
              <w:bottom w:val="single" w:sz="8" w:space="0" w:color="000000"/>
            </w:tcBorders>
            <w:shd w:color="auto" w:fill="DCDCDC" w:val="clear"/>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HOMENS/POSTO</w:t>
            </w:r>
          </w:p>
        </w:tc>
        <w:tc>
          <w:tcPr>
            <w:tcW w:w="1413" w:type="dxa"/>
            <w:tcBorders>
              <w:top w:val="single" w:sz="8" w:space="0" w:color="000000"/>
              <w:left w:val="single" w:sz="8" w:space="0" w:color="000000"/>
              <w:bottom w:val="single" w:sz="8" w:space="0" w:color="000000"/>
              <w:right w:val="single" w:sz="8" w:space="0" w:color="000000"/>
            </w:tcBorders>
            <w:shd w:color="auto" w:fill="DCDCDC" w:val="clear"/>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QUANTIDADE DE POSTOS</w:t>
            </w:r>
          </w:p>
        </w:tc>
      </w:tr>
      <w:tr>
        <w:trPr/>
        <w:tc>
          <w:tcPr>
            <w:tcW w:w="1215" w:type="dxa"/>
            <w:tcBorders>
              <w:left w:val="single" w:sz="8" w:space="0" w:color="000000"/>
              <w:bottom w:val="single" w:sz="8" w:space="0" w:color="000000"/>
            </w:tcBorders>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1.1</w:t>
            </w:r>
          </w:p>
        </w:tc>
        <w:tc>
          <w:tcPr>
            <w:tcW w:w="1245" w:type="dxa"/>
            <w:tcBorders>
              <w:left w:val="single" w:sz="8" w:space="0" w:color="000000"/>
              <w:bottom w:val="single" w:sz="8" w:space="0" w:color="000000"/>
            </w:tcBorders>
          </w:tcPr>
          <w:p>
            <w:pPr>
              <w:pStyle w:val="Normal1"/>
              <w:spacing w:lineRule="auto" w:line="240"/>
              <w:rPr>
                <w:rFonts w:ascii="Arial" w:hAnsi="Arial"/>
                <w:sz w:val="20"/>
                <w:szCs w:val="20"/>
              </w:rPr>
            </w:pPr>
            <w:r>
              <w:rPr>
                <w:rFonts w:ascii="Arial" w:hAnsi="Arial"/>
                <w:color w:val="000000"/>
                <w:sz w:val="20"/>
                <w:szCs w:val="20"/>
              </w:rPr>
              <w:t>5173-30</w:t>
            </w:r>
          </w:p>
        </w:tc>
        <w:tc>
          <w:tcPr>
            <w:tcW w:w="4468" w:type="dxa"/>
            <w:tcBorders>
              <w:left w:val="single" w:sz="8" w:space="0" w:color="000000"/>
              <w:bottom w:val="single" w:sz="8" w:space="0" w:color="000000"/>
            </w:tcBorders>
          </w:tcPr>
          <w:p>
            <w:pPr>
              <w:pStyle w:val="Normal1"/>
              <w:jc w:val="both"/>
              <w:rPr>
                <w:rFonts w:ascii="Arial" w:hAnsi="Arial"/>
                <w:sz w:val="20"/>
                <w:szCs w:val="20"/>
              </w:rPr>
            </w:pPr>
            <w:r>
              <w:rPr>
                <w:rFonts w:eastAsia="Times New Roman" w:cs="Times New Roman" w:ascii="Arial" w:hAnsi="Arial"/>
                <w:color w:val="000000"/>
                <w:sz w:val="20"/>
                <w:szCs w:val="20"/>
              </w:rPr>
              <w:t>POSTO DE VIGILÂNCIA - 12 HORAS DIURNO (12x36) DE SEGUNDA A DOMINGO - 360 H/MÊS (2x15)</w:t>
            </w:r>
          </w:p>
        </w:tc>
        <w:tc>
          <w:tcPr>
            <w:tcW w:w="1304" w:type="dxa"/>
            <w:tcBorders>
              <w:left w:val="single" w:sz="8" w:space="0" w:color="000000"/>
              <w:bottom w:val="single" w:sz="8" w:space="0" w:color="000000"/>
            </w:tcBorders>
          </w:tcPr>
          <w:p>
            <w:pPr>
              <w:pStyle w:val="Normal1"/>
              <w:spacing w:lineRule="auto" w:line="240"/>
              <w:jc w:val="center"/>
              <w:rPr>
                <w:rFonts w:ascii="Arial" w:hAnsi="Arial"/>
                <w:sz w:val="20"/>
                <w:szCs w:val="20"/>
              </w:rPr>
            </w:pPr>
            <w:r>
              <w:rPr>
                <w:rFonts w:ascii="Arial" w:hAnsi="Arial"/>
                <w:color w:val="000000"/>
                <w:sz w:val="20"/>
                <w:szCs w:val="20"/>
              </w:rPr>
              <w:t>02</w:t>
            </w:r>
          </w:p>
        </w:tc>
        <w:tc>
          <w:tcPr>
            <w:tcW w:w="1413" w:type="dxa"/>
            <w:tcBorders>
              <w:left w:val="single" w:sz="8" w:space="0" w:color="000000"/>
              <w:bottom w:val="single" w:sz="8" w:space="0" w:color="000000"/>
              <w:right w:val="single" w:sz="8" w:space="0" w:color="000000"/>
            </w:tcBorders>
          </w:tcPr>
          <w:p>
            <w:pPr>
              <w:pStyle w:val="Normal1"/>
              <w:spacing w:lineRule="auto" w:line="240"/>
              <w:jc w:val="center"/>
              <w:rPr>
                <w:rFonts w:ascii="Arial" w:hAnsi="Arial"/>
                <w:sz w:val="20"/>
                <w:szCs w:val="20"/>
              </w:rPr>
            </w:pPr>
            <w:r>
              <w:rPr>
                <w:rFonts w:ascii="Arial" w:hAnsi="Arial"/>
                <w:color w:val="000000"/>
                <w:sz w:val="20"/>
                <w:szCs w:val="20"/>
              </w:rPr>
              <w:t>05</w:t>
            </w:r>
          </w:p>
        </w:tc>
      </w:tr>
      <w:tr>
        <w:trPr/>
        <w:tc>
          <w:tcPr>
            <w:tcW w:w="1215" w:type="dxa"/>
            <w:tcBorders>
              <w:left w:val="single" w:sz="8" w:space="0" w:color="000000"/>
              <w:bottom w:val="single" w:sz="8" w:space="0" w:color="000000"/>
            </w:tcBorders>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1.2</w:t>
            </w:r>
          </w:p>
        </w:tc>
        <w:tc>
          <w:tcPr>
            <w:tcW w:w="1245" w:type="dxa"/>
            <w:tcBorders>
              <w:left w:val="single" w:sz="8" w:space="0" w:color="000000"/>
              <w:bottom w:val="single" w:sz="8" w:space="0" w:color="000000"/>
            </w:tcBorders>
          </w:tcPr>
          <w:p>
            <w:pPr>
              <w:pStyle w:val="Normal1"/>
              <w:spacing w:lineRule="auto" w:line="240"/>
              <w:rPr>
                <w:rFonts w:ascii="Arial" w:hAnsi="Arial"/>
                <w:sz w:val="20"/>
                <w:szCs w:val="20"/>
              </w:rPr>
            </w:pPr>
            <w:r>
              <w:rPr>
                <w:rFonts w:ascii="Arial" w:hAnsi="Arial"/>
                <w:color w:val="000000"/>
                <w:sz w:val="20"/>
                <w:szCs w:val="20"/>
              </w:rPr>
              <w:t>5173-30</w:t>
            </w:r>
          </w:p>
        </w:tc>
        <w:tc>
          <w:tcPr>
            <w:tcW w:w="4468" w:type="dxa"/>
            <w:tcBorders>
              <w:left w:val="single" w:sz="8" w:space="0" w:color="000000"/>
              <w:bottom w:val="single" w:sz="8" w:space="0" w:color="000000"/>
            </w:tcBorders>
          </w:tcPr>
          <w:p>
            <w:pPr>
              <w:pStyle w:val="Normal1"/>
              <w:jc w:val="both"/>
              <w:rPr>
                <w:rFonts w:ascii="Arial" w:hAnsi="Arial"/>
                <w:sz w:val="20"/>
                <w:szCs w:val="20"/>
              </w:rPr>
            </w:pPr>
            <w:r>
              <w:rPr>
                <w:rFonts w:eastAsia="Times New Roman" w:cs="Times New Roman" w:ascii="Arial" w:hAnsi="Arial"/>
                <w:color w:val="000000"/>
                <w:sz w:val="20"/>
                <w:szCs w:val="20"/>
              </w:rPr>
              <w:t>POSTO DE VIGILÂNCIA - 12 HORAS NOTURNO (12x36) DE SEGUNDA A DOMINGO - 360 H/MÊS (2x15)</w:t>
            </w:r>
          </w:p>
        </w:tc>
        <w:tc>
          <w:tcPr>
            <w:tcW w:w="1304" w:type="dxa"/>
            <w:tcBorders>
              <w:left w:val="single" w:sz="8" w:space="0" w:color="000000"/>
              <w:bottom w:val="single" w:sz="8" w:space="0" w:color="000000"/>
            </w:tcBorders>
          </w:tcPr>
          <w:p>
            <w:pPr>
              <w:pStyle w:val="Normal1"/>
              <w:spacing w:lineRule="auto" w:line="240"/>
              <w:jc w:val="center"/>
              <w:rPr>
                <w:rFonts w:ascii="Arial" w:hAnsi="Arial"/>
                <w:sz w:val="20"/>
                <w:szCs w:val="20"/>
              </w:rPr>
            </w:pPr>
            <w:r>
              <w:rPr>
                <w:rFonts w:ascii="Arial" w:hAnsi="Arial"/>
                <w:color w:val="000000"/>
                <w:sz w:val="20"/>
                <w:szCs w:val="20"/>
              </w:rPr>
              <w:t>02</w:t>
            </w:r>
          </w:p>
        </w:tc>
        <w:tc>
          <w:tcPr>
            <w:tcW w:w="1413" w:type="dxa"/>
            <w:tcBorders>
              <w:left w:val="single" w:sz="8" w:space="0" w:color="000000"/>
              <w:bottom w:val="single" w:sz="8" w:space="0" w:color="000000"/>
              <w:right w:val="single" w:sz="8" w:space="0" w:color="000000"/>
            </w:tcBorders>
          </w:tcPr>
          <w:p>
            <w:pPr>
              <w:pStyle w:val="Normal1"/>
              <w:spacing w:lineRule="auto" w:line="240"/>
              <w:jc w:val="center"/>
              <w:rPr>
                <w:rFonts w:ascii="Arial" w:hAnsi="Arial"/>
                <w:sz w:val="20"/>
                <w:szCs w:val="20"/>
              </w:rPr>
            </w:pPr>
            <w:r>
              <w:rPr>
                <w:rFonts w:ascii="Arial" w:hAnsi="Arial"/>
                <w:color w:val="000000"/>
                <w:sz w:val="20"/>
                <w:szCs w:val="20"/>
              </w:rPr>
              <w:t>05</w:t>
            </w:r>
          </w:p>
        </w:tc>
      </w:tr>
    </w:tbl>
    <w:p>
      <w:pPr>
        <w:pStyle w:val="Normal2"/>
        <w:tabs>
          <w:tab w:val="clear" w:pos="720"/>
          <w:tab w:val="left" w:pos="851" w:leader="none"/>
        </w:tabs>
        <w:spacing w:lineRule="auto" w:line="240" w:before="57" w:after="57"/>
        <w:ind w:right="420"/>
        <w:jc w:val="both"/>
        <w:rPr>
          <w:sz w:val="22"/>
          <w:szCs w:val="22"/>
        </w:rPr>
      </w:pPr>
      <w:r>
        <w:rPr>
          <w:rFonts w:eastAsia="Arial" w:cs="Arial" w:ascii="Arial" w:hAnsi="Arial"/>
          <w:sz w:val="22"/>
          <w:szCs w:val="22"/>
        </w:rPr>
        <w:t>OBS: Os Postos de Vigilância serão demandados por Ordem de Serviço, nos termos da previsão que consta no Estudo Técnico Preliminar respectivo.</w:t>
      </w:r>
    </w:p>
    <w:p>
      <w:pPr>
        <w:pStyle w:val="Normal2"/>
        <w:tabs>
          <w:tab w:val="clear" w:pos="720"/>
          <w:tab w:val="left" w:pos="851" w:leader="none"/>
        </w:tabs>
        <w:spacing w:lineRule="auto" w:line="240" w:before="57" w:after="57"/>
        <w:ind w:right="420"/>
        <w:jc w:val="both"/>
        <w:rPr/>
      </w:pPr>
      <w:r>
        <w:rPr>
          <w:rFonts w:eastAsia="Arial" w:cs="Arial" w:ascii="Arial" w:hAnsi="Arial"/>
          <w:sz w:val="22"/>
          <w:szCs w:val="22"/>
        </w:rPr>
        <w:t>2.1.1.Havendo divergências entre as especificações deste anexo e as dos sistemas, prevalecerão as deste anexo.</w:t>
      </w:r>
    </w:p>
    <w:p>
      <w:pPr>
        <w:pStyle w:val="Normal2"/>
        <w:tabs>
          <w:tab w:val="clear" w:pos="720"/>
          <w:tab w:val="left" w:pos="851" w:leader="none"/>
        </w:tabs>
        <w:spacing w:lineRule="auto" w:line="240" w:before="57" w:after="57"/>
        <w:ind w:right="420"/>
        <w:jc w:val="both"/>
        <w:rPr/>
      </w:pPr>
      <w:r>
        <w:rPr>
          <w:rFonts w:eastAsia="Arial" w:cs="Arial" w:ascii="Arial" w:hAnsi="Arial"/>
          <w:i/>
          <w:sz w:val="22"/>
          <w:szCs w:val="22"/>
        </w:rPr>
        <w:t>2.1.2. Descrição e qualificação da categoria:</w:t>
      </w:r>
    </w:p>
    <w:p>
      <w:pPr>
        <w:pStyle w:val="Normal2"/>
        <w:tabs>
          <w:tab w:val="clear" w:pos="720"/>
          <w:tab w:val="left" w:pos="851" w:leader="none"/>
        </w:tabs>
        <w:spacing w:lineRule="auto" w:line="240" w:before="57" w:after="57"/>
        <w:ind w:right="420"/>
        <w:jc w:val="both"/>
        <w:rPr/>
      </w:pPr>
      <w:r>
        <w:rPr>
          <w:rFonts w:eastAsia="Arial" w:cs="Arial" w:ascii="Arial" w:hAnsi="Arial"/>
          <w:sz w:val="22"/>
          <w:szCs w:val="22"/>
        </w:rPr>
        <w:t>2.1.1.1. Vigilância</w:t>
      </w:r>
    </w:p>
    <w:p>
      <w:pPr>
        <w:pStyle w:val="Normal2"/>
        <w:tabs>
          <w:tab w:val="clear" w:pos="720"/>
          <w:tab w:val="left" w:pos="851" w:leader="none"/>
        </w:tabs>
        <w:spacing w:lineRule="auto" w:line="240" w:before="57" w:after="57"/>
        <w:jc w:val="both"/>
        <w:rPr/>
      </w:pPr>
      <w:r>
        <w:rPr>
          <w:rFonts w:eastAsia="Arial" w:cs="Arial" w:ascii="Arial" w:hAnsi="Arial"/>
          <w:sz w:val="22"/>
          <w:szCs w:val="22"/>
        </w:rPr>
        <w:t>Jornada de Trabalho: Escala 12X36</w:t>
      </w:r>
    </w:p>
    <w:p>
      <w:pPr>
        <w:pStyle w:val="Normal2"/>
        <w:tabs>
          <w:tab w:val="clear" w:pos="720"/>
          <w:tab w:val="left" w:pos="851" w:leader="none"/>
        </w:tabs>
        <w:spacing w:lineRule="auto" w:line="240" w:before="57" w:after="57"/>
        <w:ind w:right="440"/>
        <w:jc w:val="both"/>
        <w:rPr/>
      </w:pPr>
      <w:r>
        <w:rPr>
          <w:rFonts w:eastAsia="Arial" w:cs="Arial" w:ascii="Arial" w:hAnsi="Arial"/>
          <w:sz w:val="22"/>
          <w:szCs w:val="22"/>
        </w:rPr>
        <w:t>Requisitos: Diploma de Ensino Médio; Certificação e habilitação de Curso de Vigilância Armada reconhecido pela Polícia Federal; Passar por curso de reciclagem de vigilância a cada 2 anos.</w:t>
      </w:r>
    </w:p>
    <w:p>
      <w:pPr>
        <w:pStyle w:val="Normal2"/>
        <w:tabs>
          <w:tab w:val="clear" w:pos="720"/>
          <w:tab w:val="left" w:pos="851" w:leader="none"/>
        </w:tabs>
        <w:spacing w:lineRule="auto" w:line="240" w:before="57" w:after="57"/>
        <w:ind w:right="440"/>
        <w:jc w:val="both"/>
        <w:rPr>
          <w:sz w:val="22"/>
          <w:szCs w:val="22"/>
        </w:rPr>
      </w:pPr>
      <w:r>
        <w:rPr>
          <w:rFonts w:eastAsia="Arial" w:cs="Arial" w:ascii="Arial" w:hAnsi="Arial"/>
          <w:sz w:val="22"/>
          <w:szCs w:val="22"/>
        </w:rPr>
        <w:t>Atribuições: Vigiar dependências e áreas públicas com a finalidade de prevenir, controlar e combater delitos como porte ilícito de armas e munições e outras irregularidades; Zelar pela segurança das pessoas, do patrimônio e pelo cumprimento das leis e regulamentos; Recepcionar e controlar a movimentação de pessoas em áreas de acesso livre e restrito; Fiscalizar pessoas, cargas e patrimônio; Escoltar pessoas e mercadorias; Controlar objetos e cargas; Vigiar parques e reservas florestais, combatendo inclusive focos de incêndio; Vigiar presos; Comunicar-se via rádio ou telefone e prestar informações ao público e aos órgãos competentes; Percorrer a área sob sua responsabilidade, atentamente para eventuais anormalidades nas rotinas de serviço e ambientais; Vigiar a entrada e saída das pessoas, ou bens da entidade; Prestar informações que possibilitam a punição dos infratores e volta à normalidade; Redigir ocorrências das anormalidades ocorridas; Executar outras atividades correlatas.</w:t>
      </w:r>
    </w:p>
    <w:p>
      <w:pPr>
        <w:pStyle w:val="Heading1"/>
        <w:keepNext w:val="false"/>
        <w:keepLines w:val="false"/>
        <w:tabs>
          <w:tab w:val="clear" w:pos="720"/>
          <w:tab w:val="left" w:pos="851" w:leader="none"/>
        </w:tabs>
        <w:spacing w:lineRule="auto" w:line="240" w:before="57" w:after="57"/>
        <w:jc w:val="both"/>
        <w:rPr/>
      </w:pPr>
      <w:bookmarkStart w:id="4" w:name="_heading=h.cgis83h1r9bl"/>
      <w:bookmarkEnd w:id="4"/>
      <w:r>
        <w:rPr>
          <w:rFonts w:eastAsia="Arial" w:cs="Arial" w:ascii="Arial" w:hAnsi="Arial"/>
          <w:b/>
          <w:sz w:val="22"/>
          <w:szCs w:val="22"/>
        </w:rPr>
        <w:t>3. DO PRAZO DE VIGÊNCIA E PRORROGAÇÃO</w:t>
      </w:r>
    </w:p>
    <w:p>
      <w:pPr>
        <w:pStyle w:val="Normal2"/>
        <w:tabs>
          <w:tab w:val="clear" w:pos="720"/>
          <w:tab w:val="left" w:pos="851" w:leader="none"/>
        </w:tabs>
        <w:spacing w:lineRule="auto" w:line="240" w:before="57" w:after="57"/>
        <w:ind w:right="420"/>
        <w:jc w:val="both"/>
        <w:rPr/>
      </w:pPr>
      <w:r>
        <w:rPr>
          <w:rFonts w:eastAsia="Arial" w:cs="Arial" w:ascii="Arial" w:hAnsi="Arial"/>
          <w:sz w:val="22"/>
          <w:szCs w:val="22"/>
        </w:rPr>
        <w:t>3.1.O prazo de vigência deste contrato é de 12 (doze) meses, contado da sua assinatura, prorrogável por até 10 (dez) anos, na forma do art. 106 e 107 c/c o art. 94 da Lei Federal n° 14.133/2021.</w:t>
      </w:r>
    </w:p>
    <w:p>
      <w:pPr>
        <w:pStyle w:val="Normal2"/>
        <w:tabs>
          <w:tab w:val="clear" w:pos="720"/>
          <w:tab w:val="left" w:pos="851" w:leader="none"/>
        </w:tabs>
        <w:spacing w:lineRule="auto" w:line="240" w:before="57" w:after="57"/>
        <w:ind w:right="440"/>
        <w:jc w:val="both"/>
        <w:rPr/>
      </w:pPr>
      <w:r>
        <w:rPr>
          <w:rFonts w:eastAsia="Arial" w:cs="Arial" w:ascii="Arial" w:hAnsi="Arial"/>
          <w:sz w:val="22"/>
          <w:szCs w:val="22"/>
        </w:rPr>
        <w:t>3.1.1.A prorrogação de que trata este subitem é condicionada ao ateste, pela autoridade competente, de que as condições e os preços permanecem vantajosos para a Administração, permitida a negociação com o CONTRATADO.</w:t>
      </w:r>
    </w:p>
    <w:p>
      <w:pPr>
        <w:pStyle w:val="Normal2"/>
        <w:tabs>
          <w:tab w:val="clear" w:pos="720"/>
          <w:tab w:val="left" w:pos="851" w:leader="none"/>
        </w:tabs>
        <w:spacing w:lineRule="auto" w:line="240" w:before="57" w:after="57"/>
        <w:ind w:right="440"/>
        <w:jc w:val="both"/>
        <w:rPr/>
      </w:pPr>
      <w:r>
        <w:rPr>
          <w:rFonts w:eastAsia="Arial" w:cs="Arial" w:ascii="Arial" w:hAnsi="Arial"/>
          <w:sz w:val="22"/>
          <w:szCs w:val="22"/>
        </w:rPr>
        <w:t>3.1.1.1.Uma vez estando o contrato em via de expirar, o CONTRATADO não tem direito subjetivo à prorrogação contratual, conforme parágrafo único, art. 26 do Decreto Estadual nº 35.790/2023.</w:t>
      </w:r>
    </w:p>
    <w:p>
      <w:pPr>
        <w:pStyle w:val="Normal2"/>
        <w:tabs>
          <w:tab w:val="clear" w:pos="720"/>
          <w:tab w:val="left" w:pos="851" w:leader="none"/>
        </w:tabs>
        <w:spacing w:lineRule="auto" w:line="240" w:before="57" w:after="57"/>
        <w:ind w:right="440"/>
        <w:jc w:val="both"/>
        <w:rPr/>
      </w:pPr>
      <w:r>
        <w:rPr>
          <w:rFonts w:eastAsia="Arial" w:cs="Arial" w:ascii="Arial" w:hAnsi="Arial"/>
          <w:sz w:val="22"/>
          <w:szCs w:val="22"/>
        </w:rPr>
        <w:t>3.1.2.O serviço é enquadrado como continuado, conforme art. 13 do Decreto Estadual nº 35.790/2023, tendo em vista que dada a necessidade de prestação em tempo integral do serviço de vigilância patrimonial, não cabendo a execução intermitente, justifica-se o caráter contínuo da prestação, considerando que a eventual interrupção poderá comprometer a prestação dos serviços públicos, sob pena de prejuízo ao interesse público. Sendo a vigência plurianual mais vantajosa considerando a economicidade de continuidade da prestação do serviço até que se entreguem todos os equipamentos públicos, e, além disso a economia despendida em prescindir de novo procedimento licitatório para atender à solução da demanda pretendida</w:t>
      </w:r>
      <w:r>
        <w:rPr>
          <w:rFonts w:eastAsia="Arial" w:cs="Arial" w:ascii="Arial" w:hAnsi="Arial"/>
          <w:i/>
          <w:sz w:val="22"/>
          <w:szCs w:val="22"/>
        </w:rPr>
        <w:t>.</w:t>
      </w:r>
    </w:p>
    <w:p>
      <w:pPr>
        <w:pStyle w:val="Heading1"/>
        <w:keepNext w:val="false"/>
        <w:keepLines w:val="false"/>
        <w:tabs>
          <w:tab w:val="clear" w:pos="720"/>
          <w:tab w:val="left" w:pos="851" w:leader="none"/>
        </w:tabs>
        <w:spacing w:lineRule="auto" w:line="240" w:before="57" w:after="57"/>
        <w:jc w:val="both"/>
        <w:rPr/>
      </w:pPr>
      <w:bookmarkStart w:id="5" w:name="_heading=h.6jewyc7mfxy1"/>
      <w:bookmarkEnd w:id="5"/>
      <w:r>
        <w:rPr>
          <w:rFonts w:eastAsia="Arial" w:cs="Arial" w:ascii="Arial" w:hAnsi="Arial"/>
          <w:b/>
          <w:sz w:val="22"/>
          <w:szCs w:val="22"/>
        </w:rPr>
        <w:t>4. DA DESCRIÇÃO DA NECESSIDADE DA CONTRATAÇÃO</w:t>
      </w:r>
    </w:p>
    <w:p>
      <w:pPr>
        <w:pStyle w:val="Normal2"/>
        <w:tabs>
          <w:tab w:val="clear" w:pos="720"/>
          <w:tab w:val="left" w:pos="851" w:leader="none"/>
        </w:tabs>
        <w:spacing w:lineRule="auto" w:line="240" w:before="57" w:after="57"/>
        <w:ind w:right="440"/>
        <w:jc w:val="both"/>
        <w:rPr/>
      </w:pPr>
      <w:r>
        <w:rPr>
          <w:rFonts w:eastAsia="Arial" w:cs="Arial" w:ascii="Arial" w:hAnsi="Arial"/>
          <w:sz w:val="22"/>
          <w:szCs w:val="22"/>
        </w:rPr>
        <w:t>4.1.A descrição da necessidade da contratação e de seus quantitativos encontram-se pormenorizados em tópico específico do Estudo Técnico Preliminar (ETP), documento constitutivo da primeira etapa do planejamento de contratação, anexado a este Termo.</w:t>
      </w:r>
    </w:p>
    <w:p>
      <w:pPr>
        <w:pStyle w:val="Normal2"/>
        <w:tabs>
          <w:tab w:val="clear" w:pos="720"/>
          <w:tab w:val="left" w:pos="851" w:leader="none"/>
        </w:tabs>
        <w:spacing w:lineRule="auto" w:line="240" w:before="57" w:after="57"/>
        <w:ind w:right="420"/>
        <w:jc w:val="both"/>
        <w:rPr/>
      </w:pPr>
      <w:r>
        <w:rPr>
          <w:rFonts w:eastAsia="Arial" w:cs="Arial" w:ascii="Arial" w:hAnsi="Arial"/>
          <w:sz w:val="22"/>
          <w:szCs w:val="22"/>
        </w:rPr>
        <w:t>4.2.O objeto da contratação está previsto no Plano de Contratações Anual, bem como nos instrumentos de planejamento relacionados ao Contrato de Financiamento Externo nº 5237/OC-BR e com as diretrizes de logística sustentável, além de outros instrumentos de planejamento da Administração, definidos em regulamento do Poder Executivo Estadual, conforme art. 6º do Decreto Estadual nº 35.283/2023.</w:t>
      </w:r>
    </w:p>
    <w:p>
      <w:pPr>
        <w:pStyle w:val="Heading1"/>
        <w:keepNext w:val="false"/>
        <w:keepLines w:val="false"/>
        <w:tabs>
          <w:tab w:val="clear" w:pos="720"/>
          <w:tab w:val="left" w:pos="851" w:leader="none"/>
        </w:tabs>
        <w:spacing w:lineRule="auto" w:line="240" w:before="57" w:after="57"/>
        <w:ind w:right="420"/>
        <w:jc w:val="both"/>
        <w:rPr/>
      </w:pPr>
      <w:bookmarkStart w:id="6" w:name="_heading=h.sz4975ao1h75"/>
      <w:bookmarkEnd w:id="6"/>
      <w:r>
        <w:rPr>
          <w:rFonts w:eastAsia="Arial" w:cs="Arial" w:ascii="Arial" w:hAnsi="Arial"/>
          <w:b/>
          <w:sz w:val="22"/>
          <w:szCs w:val="22"/>
        </w:rPr>
        <w:t>5.DESCRIÇÃO DA SOLUÇÃO COMO UM TODO CONSIDERANDO TODO O CICLO DE VIDA DO OBJETO</w:t>
      </w:r>
    </w:p>
    <w:p>
      <w:pPr>
        <w:pStyle w:val="Normal2"/>
        <w:tabs>
          <w:tab w:val="clear" w:pos="720"/>
          <w:tab w:val="left" w:pos="851" w:leader="none"/>
        </w:tabs>
        <w:spacing w:lineRule="auto" w:line="240" w:before="57" w:after="57"/>
        <w:ind w:right="420"/>
        <w:jc w:val="both"/>
        <w:rPr/>
      </w:pPr>
      <w:r>
        <w:rPr>
          <w:rFonts w:eastAsia="Arial" w:cs="Arial" w:ascii="Arial" w:hAnsi="Arial"/>
          <w:sz w:val="22"/>
          <w:szCs w:val="22"/>
        </w:rPr>
        <w:t>5.1.A descrição da solução, como um todo, encontra-se pormenorizada em tópico específico do Estudo Técnico Preliminar (ETP), documento constitutivo da primeira etapa do planejamento de contratação, anexado a este Termo.</w:t>
      </w:r>
    </w:p>
    <w:p>
      <w:pPr>
        <w:pStyle w:val="Normal2"/>
        <w:tabs>
          <w:tab w:val="clear" w:pos="720"/>
          <w:tab w:val="left" w:pos="851" w:leader="none"/>
        </w:tabs>
        <w:spacing w:lineRule="auto" w:line="240" w:before="57" w:after="57"/>
        <w:ind w:right="420"/>
        <w:jc w:val="both"/>
        <w:rPr/>
      </w:pPr>
      <w:r>
        <w:rPr>
          <w:rFonts w:eastAsia="Arial" w:cs="Arial" w:ascii="Arial" w:hAnsi="Arial"/>
          <w:b/>
          <w:sz w:val="22"/>
          <w:szCs w:val="22"/>
        </w:rPr>
        <w:t>6.REQUISITOS DA CONTRATAÇÃO</w:t>
      </w:r>
    </w:p>
    <w:p>
      <w:pPr>
        <w:pStyle w:val="Normal2"/>
        <w:tabs>
          <w:tab w:val="clear" w:pos="720"/>
          <w:tab w:val="left" w:pos="851" w:leader="none"/>
        </w:tabs>
        <w:spacing w:lineRule="auto" w:line="240" w:before="57" w:after="57"/>
        <w:jc w:val="both"/>
        <w:rPr/>
      </w:pPr>
      <w:r>
        <w:rPr>
          <w:rFonts w:eastAsia="Arial" w:cs="Arial" w:ascii="Arial" w:hAnsi="Arial"/>
          <w:sz w:val="22"/>
          <w:szCs w:val="22"/>
        </w:rPr>
        <w:t>6.1. Subcontratação</w:t>
      </w:r>
    </w:p>
    <w:p>
      <w:pPr>
        <w:pStyle w:val="Normal2"/>
        <w:tabs>
          <w:tab w:val="clear" w:pos="720"/>
          <w:tab w:val="left" w:pos="851" w:leader="none"/>
        </w:tabs>
        <w:spacing w:lineRule="auto" w:line="240" w:before="57" w:after="57"/>
        <w:jc w:val="both"/>
        <w:rPr/>
      </w:pPr>
      <w:r>
        <w:rPr>
          <w:rFonts w:eastAsia="Arial" w:cs="Arial" w:ascii="Arial" w:hAnsi="Arial"/>
          <w:sz w:val="22"/>
          <w:szCs w:val="22"/>
        </w:rPr>
        <w:t>6.1.1. Não será admitida a subcontratação do objeto contratual.</w:t>
      </w:r>
    </w:p>
    <w:p>
      <w:pPr>
        <w:pStyle w:val="Normal2"/>
        <w:tabs>
          <w:tab w:val="clear" w:pos="720"/>
          <w:tab w:val="left" w:pos="851" w:leader="none"/>
        </w:tabs>
        <w:spacing w:lineRule="auto" w:line="240" w:before="57" w:after="57"/>
        <w:jc w:val="both"/>
        <w:rPr/>
      </w:pPr>
      <w:r>
        <w:rPr>
          <w:rFonts w:eastAsia="Arial" w:cs="Arial" w:ascii="Arial" w:hAnsi="Arial"/>
          <w:sz w:val="22"/>
          <w:szCs w:val="22"/>
        </w:rPr>
        <w:t>6.2. Garantia contratual</w:t>
      </w:r>
    </w:p>
    <w:p>
      <w:pPr>
        <w:pStyle w:val="Normal2"/>
        <w:tabs>
          <w:tab w:val="clear" w:pos="720"/>
          <w:tab w:val="left" w:pos="851" w:leader="none"/>
        </w:tabs>
        <w:spacing w:lineRule="auto" w:line="240" w:before="57" w:after="57"/>
        <w:jc w:val="both"/>
        <w:rPr/>
      </w:pPr>
      <w:r>
        <w:rPr>
          <w:rFonts w:eastAsia="Arial" w:cs="Arial" w:ascii="Arial" w:hAnsi="Arial"/>
          <w:sz w:val="22"/>
          <w:szCs w:val="22"/>
        </w:rPr>
        <w:t xml:space="preserve">6.2.1. A contratação conta com garantia de execução, inclusive para pagamento de obrigações de natureza trabalhista, previdenciária e para com o FGTS, nos moldes do </w:t>
      </w:r>
      <w:r>
        <w:rPr>
          <w:rFonts w:eastAsia="Arial" w:cs="Arial" w:ascii="Arial" w:hAnsi="Arial"/>
          <w:sz w:val="22"/>
          <w:szCs w:val="22"/>
          <w:u w:val="single"/>
        </w:rPr>
        <w:t>art. 96 da Lei Federal nº 14.133/</w:t>
      </w:r>
      <w:r>
        <w:rPr>
          <w:rFonts w:eastAsia="Arial" w:cs="Arial" w:ascii="Arial" w:hAnsi="Arial"/>
          <w:sz w:val="22"/>
          <w:szCs w:val="22"/>
        </w:rPr>
        <w:t xml:space="preserve">2021, e suas alterações, e </w:t>
      </w:r>
      <w:r>
        <w:rPr>
          <w:rFonts w:eastAsia="Arial" w:cs="Arial" w:ascii="Arial" w:hAnsi="Arial"/>
          <w:sz w:val="22"/>
          <w:szCs w:val="22"/>
          <w:highlight w:val="white"/>
        </w:rPr>
        <w:t>o licitante deverá apresentá-la no valor correspondente a 5% (cinco por cento) do valor contratado, no prazo de 1(um) mês, contado da data de homologação da licitação e anterior à assinatura do contrato, conforme §1º do art. 1</w:t>
      </w:r>
      <w:r>
        <w:rPr>
          <w:rFonts w:eastAsia="Arial" w:cs="Arial" w:ascii="Arial" w:hAnsi="Arial"/>
          <w:sz w:val="22"/>
          <w:szCs w:val="22"/>
        </w:rPr>
        <w:t>9 do Decreto Estadual nº 35.790/2023.</w:t>
      </w:r>
    </w:p>
    <w:p>
      <w:pPr>
        <w:pStyle w:val="Normal2"/>
        <w:tabs>
          <w:tab w:val="clear" w:pos="720"/>
          <w:tab w:val="left" w:pos="851" w:leader="none"/>
        </w:tabs>
        <w:spacing w:lineRule="auto" w:line="240" w:before="57" w:after="57"/>
        <w:jc w:val="both"/>
        <w:rPr/>
      </w:pPr>
      <w:r>
        <w:rPr>
          <w:rFonts w:eastAsia="Arial" w:cs="Arial" w:ascii="Arial" w:hAnsi="Arial"/>
          <w:sz w:val="22"/>
          <w:szCs w:val="22"/>
        </w:rPr>
        <w:t>6.2.2. A garantia contratual terá prazo de validade de até noventa dias após a data de encerramento do contrato, conforme disposto no inciso IV do art. 16 do Decreto nº 35.790/2023.</w:t>
      </w:r>
    </w:p>
    <w:p>
      <w:pPr>
        <w:pStyle w:val="Normal2"/>
        <w:tabs>
          <w:tab w:val="clear" w:pos="720"/>
          <w:tab w:val="left" w:pos="851" w:leader="none"/>
        </w:tabs>
        <w:spacing w:lineRule="auto" w:line="240" w:before="57" w:after="57"/>
        <w:jc w:val="both"/>
        <w:rPr/>
      </w:pPr>
      <w:r>
        <w:rPr>
          <w:rFonts w:eastAsia="Arial" w:cs="Arial" w:ascii="Arial" w:hAnsi="Arial"/>
          <w:sz w:val="22"/>
          <w:szCs w:val="22"/>
        </w:rPr>
        <w:t>6.2.3. A apólice do seguro-garantia deverá acompanhar as modificações referentes à vigência do contrato principal mediante a emissão do respectivo endosso pela seguradora.</w:t>
      </w:r>
    </w:p>
    <w:p>
      <w:pPr>
        <w:pStyle w:val="Normal2"/>
        <w:tabs>
          <w:tab w:val="clear" w:pos="720"/>
          <w:tab w:val="left" w:pos="851" w:leader="none"/>
        </w:tabs>
        <w:spacing w:lineRule="auto" w:line="240" w:before="57" w:after="57"/>
        <w:jc w:val="both"/>
        <w:rPr/>
      </w:pPr>
      <w:r>
        <w:rPr>
          <w:rFonts w:eastAsia="Arial" w:cs="Arial" w:ascii="Arial" w:hAnsi="Arial"/>
          <w:sz w:val="22"/>
          <w:szCs w:val="22"/>
        </w:rPr>
        <w:t>6.2.4. Será permitida a substituição da apólice de seguro-garantia na data de renovação ou de aniversário, desde que mantidas as condições e coberturas da apólice vigente e nenhum período fique descoberto, ressalvado o disposto no subitem 6.2.6, deste instrumento de contrato.</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6.2.5. A garantia contratual somente será liberada mediante a comprovação de que o contratado pagou todas as verbas rescisórias trabalhistas decorrentes da contratação, e que, caso esse pagamento não ocorra até 30 (trinta) dias após o encerramento da vigência contratual, a garantia será utilizada para o pagamento dessas verbas trabalhistas, observada a legislação que rege a matéria, de acordo com o disposto no inciso VI do art. 16 do Decreto nº 35.790/2023.</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6.2.6. Na hipótese de suspensão do contrato por ordem ou inadimplemento da Administração, o contratado ficará desobrigado de renovar a garantia ou de endossar a apólice de seguro até a ordem de reinício da execução ou o adimplemento pela Administração.</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6.2.7. Qualquer que seja a modalidade de garantia contratual escolhida do artigo 96 da Lei Federal nº 14.133/2021, e suas alterações, assegurará o pagamento dos eventos previstos no caput do art. 19 do Decreto Estadual nº 35.790/2023.</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6.2.7.1. A Administração não aceitará a modalidade seguro-garantia na hipótese de o instrumento não contemplar todos os eventos previstos nos incisos do caput do art. 19 do Decreto Estadual nº 35.790/2023, observada a legislação que rege a matéria.</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6.2.8. A garantia em dinheiro deverá ser efetuada em favor do contratante, em conta específica no Banco Bradesco S.A, com correção monetária.</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6.2.10.No caso de garantia na modalidade de fiança bancária, deverá ser emitida por banco ou instituição financeira devidamente autorizada a operar no país pelo Banco Central do Brasil, e deverá constar expressa renúncia do fiador aos benefícios do art. 827 do Código Civil.</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6.2.11.No caso de alteração do valor do contrato, ou prorrogação de sua vigência, a garantia deverá ser ajustada ou renovada, seguindo os mesmos parâmetros utilizados quando da contratação.</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6.2.12.Se o valor da garantia for utilizado total ou parcialmente em pagamento de qualquer obrigação, o contratado obriga-se a fazer a respectiva reposição no prazo máximo de 30 (trinta) dias úteis, contados da data em que for notificada.</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6.2.13.O contratante executará a garantia na forma prevista na legislação que rege a matéria</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6.2.14.O emitente da garantia ofertada pelo contratado deverá ser notificado pelo contratante quanto ao início de processo administrativo para apuração de descumprimento de cláusulas contratuais.</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6.2.15.Caso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nº 662, de 11 de abril de 2022.</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6.2.16. A garantia será considerada extinta com:</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6.2.16.1.A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6.2.16.2.O término da vigência do contrato, que poderá, independentemente da sua natureza, ser estendido em caso de ocorrência de sinistro.</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6.2.17.O garantidor não é parte para figurar em processo administrativo instaurado pelo contratante com o objetivo de apurar prejuízos e/ou aplicar sanções ao contratado.</w:t>
      </w:r>
    </w:p>
    <w:p>
      <w:pPr>
        <w:pStyle w:val="Normal2"/>
        <w:tabs>
          <w:tab w:val="clear" w:pos="720"/>
          <w:tab w:val="left" w:pos="851" w:leader="none"/>
        </w:tabs>
        <w:spacing w:lineRule="auto" w:line="240" w:before="60" w:after="60"/>
        <w:jc w:val="both"/>
        <w:rPr>
          <w:sz w:val="22"/>
          <w:szCs w:val="22"/>
        </w:rPr>
      </w:pPr>
      <w:r>
        <w:rPr>
          <w:rFonts w:eastAsia="Arial" w:cs="Arial" w:ascii="Arial" w:hAnsi="Arial"/>
          <w:sz w:val="22"/>
          <w:szCs w:val="22"/>
        </w:rPr>
        <w:t>6.2.18. O contratado autoriza o contratante a reter, a qualquer tempo, a garantia, na forma prevista neste contrato, conforme art. 23 do Decreto Estadual nº 35.790/2023.</w:t>
      </w:r>
    </w:p>
    <w:p>
      <w:pPr>
        <w:pStyle w:val="Normal2"/>
        <w:tabs>
          <w:tab w:val="clear" w:pos="720"/>
          <w:tab w:val="left" w:pos="851" w:leader="none"/>
        </w:tabs>
        <w:spacing w:lineRule="auto" w:line="240" w:before="60" w:after="60"/>
        <w:jc w:val="both"/>
        <w:rPr>
          <w:sz w:val="22"/>
          <w:szCs w:val="22"/>
        </w:rPr>
      </w:pPr>
      <w:r>
        <w:rPr>
          <w:rFonts w:eastAsia="Arial" w:cs="Arial" w:ascii="Arial" w:hAnsi="Arial"/>
          <w:color w:val="000000"/>
          <w:sz w:val="22"/>
          <w:szCs w:val="22"/>
        </w:rPr>
        <w:t>6.2.19. No caso da multa for de valor superior ao valor da garantia prestada, além da perda desta, responderá o contratado pela sua diferença, a qual será descontada dos pagamentos eventualmente devidos pela Administração ou ainda, quando for o caso, cobrada judicialmente, conforme parágrafo único do art. 23 do Decreto Estadual nº 35.790/2023.</w:t>
      </w:r>
    </w:p>
    <w:p>
      <w:pPr>
        <w:pStyle w:val="Normal1"/>
        <w:tabs>
          <w:tab w:val="clear" w:pos="720"/>
          <w:tab w:val="left" w:pos="2520"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7. DA EXECUÇÃO DO OBJETO</w:t>
      </w:r>
    </w:p>
    <w:p>
      <w:pPr>
        <w:pStyle w:val="Heading1"/>
        <w:keepNext w:val="false"/>
        <w:keepLines w:val="false"/>
        <w:tabs>
          <w:tab w:val="clear" w:pos="720"/>
          <w:tab w:val="left" w:pos="851" w:leader="none"/>
        </w:tabs>
        <w:spacing w:lineRule="auto" w:line="240" w:before="57" w:after="57"/>
        <w:jc w:val="both"/>
        <w:rPr>
          <w:sz w:val="22"/>
          <w:szCs w:val="22"/>
        </w:rPr>
      </w:pPr>
      <w:bookmarkStart w:id="7" w:name="_heading=h.29m00s4ujwwd"/>
      <w:bookmarkEnd w:id="7"/>
      <w:r>
        <w:rPr>
          <w:rFonts w:eastAsia="Arial" w:cs="Arial" w:ascii="Arial" w:hAnsi="Arial"/>
          <w:sz w:val="22"/>
          <w:szCs w:val="22"/>
        </w:rPr>
        <w:t>7.1.O prazo de execução do objeto contratual é de 12 (doze) meses, contado a partir do recebimento da primeira ordem de serviço ou instrumento equivalente.</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7.1.1.O prazo de execução poderá ser prorrogado, nos termos da Lei Federal n° 14.133/2021.</w:t>
      </w:r>
    </w:p>
    <w:p>
      <w:pPr>
        <w:pStyle w:val="Normal2"/>
        <w:tabs>
          <w:tab w:val="clear" w:pos="720"/>
          <w:tab w:val="left" w:pos="851" w:leader="none"/>
        </w:tabs>
        <w:spacing w:lineRule="auto" w:line="240" w:before="57" w:after="57"/>
        <w:jc w:val="both"/>
        <w:rPr>
          <w:sz w:val="22"/>
          <w:szCs w:val="22"/>
        </w:rPr>
      </w:pPr>
      <w:r>
        <w:rPr>
          <w:rFonts w:eastAsia="Arial" w:cs="Arial" w:ascii="Arial" w:hAnsi="Arial"/>
          <w:color w:val="000000"/>
          <w:sz w:val="22"/>
          <w:szCs w:val="22"/>
        </w:rPr>
        <w:t>7.2.Os serviços serão prestados nas dependências da contratante, nos seguintes endereços e horários:</w:t>
      </w:r>
    </w:p>
    <w:tbl>
      <w:tblPr>
        <w:tblW w:w="9622" w:type="dxa"/>
        <w:jc w:val="center"/>
        <w:tblInd w:w="0" w:type="dxa"/>
        <w:tblLayout w:type="fixed"/>
        <w:tblCellMar>
          <w:top w:w="0" w:type="dxa"/>
          <w:left w:w="57" w:type="dxa"/>
          <w:bottom w:w="0" w:type="dxa"/>
          <w:right w:w="57" w:type="dxa"/>
        </w:tblCellMar>
        <w:tblLook w:firstRow="0" w:noVBand="1" w:lastRow="0" w:firstColumn="0" w:lastColumn="0" w:noHBand="0" w:val="0400"/>
      </w:tblPr>
      <w:tblGrid>
        <w:gridCol w:w="1958"/>
        <w:gridCol w:w="1691"/>
        <w:gridCol w:w="4870"/>
        <w:gridCol w:w="1102"/>
      </w:tblGrid>
      <w:tr>
        <w:trPr>
          <w:tblHeader w:val="true"/>
          <w:trHeight w:val="270" w:hRule="atLeast"/>
        </w:trPr>
        <w:tc>
          <w:tcPr>
            <w:tcW w:w="1958" w:type="dxa"/>
            <w:tcBorders>
              <w:top w:val="single" w:sz="6" w:space="0" w:color="000000"/>
              <w:left w:val="single" w:sz="6" w:space="0" w:color="000000"/>
              <w:bottom w:val="single" w:sz="6" w:space="0" w:color="000000"/>
            </w:tcBorders>
          </w:tcPr>
          <w:p>
            <w:pPr>
              <w:pStyle w:val="Normal1"/>
              <w:tabs>
                <w:tab w:val="clear" w:pos="720"/>
                <w:tab w:val="left" w:pos="2520" w:leader="none"/>
              </w:tabs>
              <w:spacing w:lineRule="auto" w:line="240"/>
              <w:jc w:val="center"/>
              <w:rPr>
                <w:rFonts w:ascii="Arial" w:hAnsi="Arial"/>
                <w:sz w:val="20"/>
                <w:szCs w:val="20"/>
              </w:rPr>
            </w:pPr>
            <w:r>
              <w:rPr>
                <w:rFonts w:eastAsia="Times New Roman" w:cs="Times New Roman" w:ascii="Arial" w:hAnsi="Arial"/>
                <w:b/>
                <w:color w:val="000000"/>
                <w:sz w:val="20"/>
                <w:szCs w:val="20"/>
              </w:rPr>
              <w:t>UNIDADE</w:t>
            </w:r>
          </w:p>
        </w:tc>
        <w:tc>
          <w:tcPr>
            <w:tcW w:w="1691" w:type="dxa"/>
            <w:tcBorders>
              <w:top w:val="single" w:sz="6" w:space="0" w:color="000000"/>
              <w:left w:val="single" w:sz="6" w:space="0" w:color="000000"/>
              <w:bottom w:val="single" w:sz="6" w:space="0" w:color="000000"/>
            </w:tcBorders>
          </w:tcPr>
          <w:p>
            <w:pPr>
              <w:pStyle w:val="Normal1"/>
              <w:tabs>
                <w:tab w:val="clear" w:pos="720"/>
                <w:tab w:val="left" w:pos="2520" w:leader="none"/>
              </w:tabs>
              <w:spacing w:lineRule="auto" w:line="240"/>
              <w:jc w:val="center"/>
              <w:rPr>
                <w:rFonts w:ascii="Arial" w:hAnsi="Arial"/>
                <w:sz w:val="20"/>
                <w:szCs w:val="20"/>
              </w:rPr>
            </w:pPr>
            <w:r>
              <w:rPr>
                <w:rFonts w:eastAsia="Times New Roman" w:cs="Times New Roman" w:ascii="Arial" w:hAnsi="Arial"/>
                <w:b/>
                <w:color w:val="000000"/>
                <w:sz w:val="20"/>
                <w:szCs w:val="20"/>
              </w:rPr>
              <w:t>LOCALIZAÇÃO</w:t>
            </w:r>
          </w:p>
        </w:tc>
        <w:tc>
          <w:tcPr>
            <w:tcW w:w="4870" w:type="dxa"/>
            <w:tcBorders>
              <w:top w:val="single" w:sz="6" w:space="0" w:color="000000"/>
              <w:left w:val="single" w:sz="6" w:space="0" w:color="000000"/>
              <w:bottom w:val="single" w:sz="6" w:space="0" w:color="000000"/>
            </w:tcBorders>
          </w:tcPr>
          <w:p>
            <w:pPr>
              <w:pStyle w:val="Normal1"/>
              <w:tabs>
                <w:tab w:val="clear" w:pos="720"/>
                <w:tab w:val="left" w:pos="2520" w:leader="none"/>
              </w:tabs>
              <w:spacing w:lineRule="auto" w:line="240"/>
              <w:jc w:val="center"/>
              <w:rPr>
                <w:rFonts w:ascii="Arial" w:hAnsi="Arial"/>
                <w:sz w:val="20"/>
                <w:szCs w:val="20"/>
              </w:rPr>
            </w:pPr>
            <w:r>
              <w:rPr>
                <w:rFonts w:eastAsia="Times New Roman" w:cs="Times New Roman" w:ascii="Arial" w:hAnsi="Arial"/>
                <w:b/>
                <w:color w:val="000000"/>
                <w:sz w:val="20"/>
                <w:szCs w:val="20"/>
              </w:rPr>
              <w:t>ENDEREÇO</w:t>
            </w:r>
          </w:p>
        </w:tc>
        <w:tc>
          <w:tcPr>
            <w:tcW w:w="1102"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520" w:leader="none"/>
              </w:tabs>
              <w:spacing w:lineRule="auto" w:line="240"/>
              <w:jc w:val="center"/>
              <w:rPr>
                <w:rFonts w:ascii="Arial" w:hAnsi="Arial"/>
                <w:sz w:val="20"/>
                <w:szCs w:val="20"/>
              </w:rPr>
            </w:pPr>
            <w:r>
              <w:rPr>
                <w:rFonts w:eastAsia="Times New Roman" w:cs="Times New Roman" w:ascii="Arial" w:hAnsi="Arial"/>
                <w:b/>
                <w:color w:val="000000"/>
                <w:sz w:val="20"/>
                <w:szCs w:val="20"/>
              </w:rPr>
              <w:t>HORÁRIO</w:t>
            </w:r>
          </w:p>
        </w:tc>
      </w:tr>
      <w:tr>
        <w:trPr>
          <w:trHeight w:val="525" w:hRule="atLeast"/>
        </w:trPr>
        <w:tc>
          <w:tcPr>
            <w:tcW w:w="1958"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NAPAZ - Vicente Pinzón</w:t>
            </w:r>
          </w:p>
        </w:tc>
        <w:tc>
          <w:tcPr>
            <w:tcW w:w="1691"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Fortaleza/CE</w:t>
            </w:r>
          </w:p>
        </w:tc>
        <w:tc>
          <w:tcPr>
            <w:tcW w:w="4870"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Rua Dr. Antônio Carneiro, 763</w:t>
            </w:r>
          </w:p>
        </w:tc>
        <w:tc>
          <w:tcPr>
            <w:tcW w:w="1102" w:type="dxa"/>
            <w:tcBorders>
              <w:left w:val="single" w:sz="6" w:space="0" w:color="000000"/>
              <w:bottom w:val="single" w:sz="6" w:space="0" w:color="000000"/>
              <w:right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24hs</w:t>
            </w:r>
          </w:p>
        </w:tc>
      </w:tr>
      <w:tr>
        <w:trPr>
          <w:trHeight w:val="346" w:hRule="atLeast"/>
        </w:trPr>
        <w:tc>
          <w:tcPr>
            <w:tcW w:w="1958"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NAPAZ - Curió</w:t>
            </w:r>
          </w:p>
        </w:tc>
        <w:tc>
          <w:tcPr>
            <w:tcW w:w="1691"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Fortaleza/CE</w:t>
            </w:r>
          </w:p>
        </w:tc>
        <w:tc>
          <w:tcPr>
            <w:tcW w:w="4870"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Rua José Euclides Ferreira Gomes, S/N</w:t>
            </w:r>
          </w:p>
        </w:tc>
        <w:tc>
          <w:tcPr>
            <w:tcW w:w="1102" w:type="dxa"/>
            <w:tcBorders>
              <w:left w:val="single" w:sz="6" w:space="0" w:color="000000"/>
              <w:bottom w:val="single" w:sz="6" w:space="0" w:color="000000"/>
              <w:right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24hs</w:t>
            </w:r>
          </w:p>
        </w:tc>
      </w:tr>
      <w:tr>
        <w:trPr>
          <w:trHeight w:val="582" w:hRule="atLeast"/>
        </w:trPr>
        <w:tc>
          <w:tcPr>
            <w:tcW w:w="1958"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NAPAZ - Granja Lisboa</w:t>
            </w:r>
          </w:p>
        </w:tc>
        <w:tc>
          <w:tcPr>
            <w:tcW w:w="1691"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Fortaleza/CE</w:t>
            </w:r>
          </w:p>
        </w:tc>
        <w:tc>
          <w:tcPr>
            <w:tcW w:w="4870"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Rua Urucutuba S/N (esquina com a Rua Placidez)</w:t>
            </w:r>
          </w:p>
        </w:tc>
        <w:tc>
          <w:tcPr>
            <w:tcW w:w="1102" w:type="dxa"/>
            <w:tcBorders>
              <w:left w:val="single" w:sz="6" w:space="0" w:color="000000"/>
              <w:bottom w:val="single" w:sz="6" w:space="0" w:color="000000"/>
              <w:right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24hs</w:t>
            </w:r>
          </w:p>
        </w:tc>
      </w:tr>
      <w:tr>
        <w:trPr>
          <w:trHeight w:val="555" w:hRule="atLeast"/>
        </w:trPr>
        <w:tc>
          <w:tcPr>
            <w:tcW w:w="1958"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NAPAZ - Barra do Ceará</w:t>
            </w:r>
          </w:p>
        </w:tc>
        <w:tc>
          <w:tcPr>
            <w:tcW w:w="1691"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Fortaleza/CE</w:t>
            </w:r>
          </w:p>
        </w:tc>
        <w:tc>
          <w:tcPr>
            <w:tcW w:w="4870"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Bairro Barra do Ceará</w:t>
            </w:r>
          </w:p>
        </w:tc>
        <w:tc>
          <w:tcPr>
            <w:tcW w:w="1102" w:type="dxa"/>
            <w:tcBorders>
              <w:left w:val="single" w:sz="6" w:space="0" w:color="000000"/>
              <w:bottom w:val="single" w:sz="6" w:space="0" w:color="000000"/>
              <w:right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24hs</w:t>
            </w:r>
          </w:p>
        </w:tc>
      </w:tr>
      <w:tr>
        <w:trPr>
          <w:trHeight w:val="649" w:hRule="atLeast"/>
        </w:trPr>
        <w:tc>
          <w:tcPr>
            <w:tcW w:w="1958"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NAPAZ - Jangurussu</w:t>
            </w:r>
          </w:p>
        </w:tc>
        <w:tc>
          <w:tcPr>
            <w:tcW w:w="1691"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Fortaleza/CE</w:t>
            </w:r>
          </w:p>
        </w:tc>
        <w:tc>
          <w:tcPr>
            <w:tcW w:w="4870" w:type="dxa"/>
            <w:tcBorders>
              <w:left w:val="single" w:sz="6" w:space="0" w:color="000000"/>
              <w:bottom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Rua Grauben do Monte Lima, S/N (esquina com rua Chico da Silva)</w:t>
            </w:r>
          </w:p>
        </w:tc>
        <w:tc>
          <w:tcPr>
            <w:tcW w:w="1102" w:type="dxa"/>
            <w:tcBorders>
              <w:left w:val="single" w:sz="6" w:space="0" w:color="000000"/>
              <w:bottom w:val="single" w:sz="6" w:space="0" w:color="000000"/>
              <w:right w:val="single" w:sz="6" w:space="0" w:color="000000"/>
            </w:tcBorders>
          </w:tcPr>
          <w:p>
            <w:pPr>
              <w:pStyle w:val="Normal1"/>
              <w:tabs>
                <w:tab w:val="clear" w:pos="720"/>
                <w:tab w:val="left" w:pos="2520" w:leader="none"/>
              </w:tabs>
              <w:spacing w:lineRule="auto" w:line="240"/>
              <w:jc w:val="both"/>
              <w:rPr>
                <w:rFonts w:ascii="Arial" w:hAnsi="Arial"/>
                <w:sz w:val="20"/>
                <w:szCs w:val="20"/>
              </w:rPr>
            </w:pPr>
            <w:r>
              <w:rPr>
                <w:rFonts w:eastAsia="Times New Roman" w:cs="Times New Roman" w:ascii="Arial" w:hAnsi="Arial"/>
                <w:color w:val="000000"/>
                <w:sz w:val="20"/>
                <w:szCs w:val="20"/>
              </w:rPr>
              <w:t>24hs</w:t>
            </w:r>
          </w:p>
        </w:tc>
      </w:tr>
    </w:tbl>
    <w:p>
      <w:pPr>
        <w:pStyle w:val="Normal1"/>
        <w:tabs>
          <w:tab w:val="clear" w:pos="720"/>
          <w:tab w:val="left" w:pos="2520" w:leader="none"/>
        </w:tabs>
        <w:spacing w:lineRule="auto" w:line="240" w:before="57" w:after="57"/>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7.3.Para a execução dos serviços, o contratado deverá disponibilizar os uniformes, nas quantidades estimadas e qualidades a seguir estabelecidas, promovendo sua substituição quando necessário: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7.3.1.Os uniformes a serem fornecidos pelo contratado a seus empregados deverão ser condizentes com a atividade a ser desempenhada no órgão contratante, sem qualquer repasse do custo para o empregado.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a- Calça (duas peças a cada ano);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b- .Camisa de mangas compridas ou curtas (duas peças a cada ano);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c- Livro de Ocorrência;</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c- Apito / Cordão de Apito;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d- Sapatos acompanhados de meias (um par a cada seis meses);</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e- Lanterna de Grande Alcance e pilha para lanterna;</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f- Quepe com emblema;</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g- crachá;</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h- rádio comunicador com alcance de até 45km;</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i- capa colete;</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j - todo o equipamento de proteção da categoria, conforme legislação vigente.</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 xml:space="preserve">7.3.2.Os uniformes devem ser substituídos a cada 06 (seis) meses, ou a qualquer época, no prazo máximo de 05 </w:t>
      </w:r>
      <w:r>
        <w:rPr>
          <w:rFonts w:eastAsia="Arial" w:cs="Arial" w:ascii="Arial" w:hAnsi="Arial"/>
          <w:i/>
          <w:sz w:val="22"/>
          <w:szCs w:val="22"/>
        </w:rPr>
        <w:t xml:space="preserve">(cinco) </w:t>
      </w:r>
      <w:r>
        <w:rPr>
          <w:rFonts w:eastAsia="Arial" w:cs="Arial" w:ascii="Arial" w:hAnsi="Arial"/>
          <w:sz w:val="22"/>
          <w:szCs w:val="22"/>
        </w:rPr>
        <w:t>dias úteis, após a comunicação escrita do contratante, sempre que não atendam às condições mínimas de apresentação.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7.3.3. As peças devem ser confeccionadas com tecido e material de qualidade, seguindo os seguintes parâmetros usualmente utilizados no mercado considerando a natureza do serviço.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7.3.4.No caso de empregada gestante, os uniformes deverão ser apropriados para a situação, substituindo-os sempre que estiverem apertados;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7.3.5.Os uniformes deverão ser entregues mediante recibo, cuja cópia, devidamente acompanhada do original para conferência, deverá ser enviada ao servidor responsável pela fiscalização do contrato.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7.4.A execução contratual observará as rotinas abaixo, considerando a respectiva categoria:</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VIGILANTE - CBO 5173-30</w:t>
      </w:r>
    </w:p>
    <w:p>
      <w:pPr>
        <w:pStyle w:val="Heading1"/>
        <w:keepNext w:val="false"/>
        <w:keepLines w:val="false"/>
        <w:tabs>
          <w:tab w:val="clear" w:pos="720"/>
          <w:tab w:val="left" w:pos="851" w:leader="none"/>
        </w:tabs>
        <w:spacing w:lineRule="auto" w:line="240" w:before="57" w:after="57"/>
        <w:jc w:val="both"/>
        <w:rPr>
          <w:rFonts w:ascii="Arial" w:hAnsi="Arial"/>
          <w:sz w:val="22"/>
          <w:szCs w:val="22"/>
        </w:rPr>
      </w:pPr>
      <w:bookmarkStart w:id="8" w:name="_heading=h.5jzyo2c39nd4"/>
      <w:bookmarkEnd w:id="8"/>
      <w:r>
        <w:rPr>
          <w:rFonts w:eastAsia="Arial" w:cs="Arial" w:ascii="Arial" w:hAnsi="Arial"/>
          <w:b/>
          <w:sz w:val="22"/>
          <w:szCs w:val="22"/>
        </w:rPr>
        <w:t>REQUISITOS:</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-Diploma de Ensino Médio;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-Certificação e habilitação de Curso de Vigilância Armada reconhecido pela Polícia Federal;</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-Passar por curso de reciclagem de vigilância a cada 2 anos.</w:t>
      </w:r>
    </w:p>
    <w:p>
      <w:pPr>
        <w:pStyle w:val="Heading1"/>
        <w:keepNext w:val="false"/>
        <w:keepLines w:val="false"/>
        <w:tabs>
          <w:tab w:val="clear" w:pos="720"/>
          <w:tab w:val="left" w:pos="851" w:leader="none"/>
        </w:tabs>
        <w:spacing w:lineRule="auto" w:line="240" w:before="57" w:after="57"/>
        <w:jc w:val="both"/>
        <w:rPr>
          <w:rFonts w:ascii="Arial" w:hAnsi="Arial"/>
          <w:sz w:val="22"/>
          <w:szCs w:val="22"/>
        </w:rPr>
      </w:pPr>
      <w:bookmarkStart w:id="9" w:name="_heading=h.un15h7r6ylco"/>
      <w:bookmarkEnd w:id="9"/>
      <w:r>
        <w:rPr>
          <w:rFonts w:eastAsia="Arial" w:cs="Arial" w:ascii="Arial" w:hAnsi="Arial"/>
          <w:b/>
          <w:sz w:val="22"/>
          <w:szCs w:val="22"/>
        </w:rPr>
        <w:t>ATRIBUIÇÕES:</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-Vigiar dependências e áreas públicas com a finalidade de prevenir, controlar e combater delitos como porte ilícito de armas e munições e outras irregularidades; Zelar pela segurança das pessoas, do patrimônio e pelo cumprimento das leis e regulamentos; Recepcionar e controlar a movimentação de pessoas em áreas de acesso livre e restrito; Fiscalizar pessoas, cargas e patrimônio; Escoltar pessoas e mercadorias; Controlar objetos e cargas; Vigiar parques e reservas florestais, combatendo inclusive focos de incêndio; Vigiar presos; Comunicar-se via rádio ou telefone e prestar informações ao público e aos órgãos competentes; Percorrer a área sob sua responsabilidade, atentamente para eventuais anormalidades nas rotinas de serviço e ambientais; Vigiar a entrada e saída das pessoas, ou bens da entidade; Prestar informações que possibilitam a punição dos infratores e volta à normalidade; Redigir ocorrências das anormalidades ocorridas; Executar outras atividades correlatas</w:t>
      </w:r>
    </w:p>
    <w:p>
      <w:pPr>
        <w:pStyle w:val="Heading1"/>
        <w:keepNext w:val="false"/>
        <w:keepLines w:val="false"/>
        <w:tabs>
          <w:tab w:val="clear" w:pos="720"/>
          <w:tab w:val="left" w:pos="851" w:leader="none"/>
        </w:tabs>
        <w:spacing w:lineRule="auto" w:line="240" w:before="57" w:after="57"/>
        <w:jc w:val="both"/>
        <w:rPr>
          <w:rFonts w:ascii="Arial" w:hAnsi="Arial"/>
          <w:sz w:val="22"/>
          <w:szCs w:val="22"/>
        </w:rPr>
      </w:pPr>
      <w:bookmarkStart w:id="10" w:name="_heading=h.ge6qeu79bs5u"/>
      <w:bookmarkEnd w:id="10"/>
      <w:r>
        <w:rPr>
          <w:rFonts w:eastAsia="Arial" w:cs="Arial" w:ascii="Arial" w:hAnsi="Arial"/>
          <w:b/>
          <w:sz w:val="22"/>
          <w:szCs w:val="22"/>
        </w:rPr>
        <w:t>8. MODELO DE GESTÃO DO CONTRATO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8.1. O contrato deverá ser executado fielmente pelas partes, de acordo com as cláusulas avençadas e as normas da Lei Federal nº 14.133/2021, e cada parte responderá pelas consequências de sua inexecução total ou parcial.</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8.2. As comunicações entre o órgão ou entidade e o contratado devem ser realizadas por escrito sempre que o ato exigir tal formalidade, admitindo-se o uso de mensagem eletrônica para esse fim.</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8.3. O órgão ou entidade poderá convocar representante do contratado para adoção de providências que devam ser cumpridas de imediato.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8.4. Após a assinatura do contrato, o órgão ou entidade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quando houver, e das sanções aplicáveis, dentre outros.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 xml:space="preserve">8.5. A execução do contrato deverá ser acompanhada e fiscalizada pelo fiscal do contrato, ou pelo respectivo substituto, nos termos do </w:t>
      </w:r>
      <w:r>
        <w:rPr>
          <w:rFonts w:eastAsia="Arial" w:cs="Arial" w:ascii="Arial" w:hAnsi="Arial"/>
          <w:i/>
          <w:sz w:val="22"/>
          <w:szCs w:val="22"/>
        </w:rPr>
        <w:t xml:space="preserve">caput </w:t>
      </w:r>
      <w:r>
        <w:rPr>
          <w:rFonts w:eastAsia="Arial" w:cs="Arial" w:ascii="Arial" w:hAnsi="Arial"/>
          <w:sz w:val="22"/>
          <w:szCs w:val="22"/>
        </w:rPr>
        <w:t>do art. 117, da Lei Federal nº 14.133/2021.</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8.6. A fiscalização se responsabilizará pelo acompanhamento da execução do objeto contratual, para que sejam cumpridas todas as condições estabelecidas no contrato, de modo a assegurar os melhores resultados para a Administração.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8.6.1. O fiscal do contrato anotará no histórico de gerenciamento do contrato todas as ocorrências relacionadas à execução do contrato, com a descrição do que for necessário para a regularização das faltas ou dos defeitos observados.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8.6.2. Identificada qualquer inexatidão ou irregularidade, o fiscal emitirá notificações para a correção da execução do contrato, determinando prazo para a correção.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8.6.3. O fiscal informará ao gestor do contato, em tempo hábil, a situação que demandar decisão ou adoção de medidas que ultrapassem sua competência, para que adote as medidas necessárias e saneadoras, se for o caso.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8.6.4. No caso de ocorrências que possam inviabilizar a execução do contrato nas datas aprazadas, o fiscal comunicará o fato imediatamente ao gestor do contrato.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8.6.5. O fiscal comunicará ao gestor do contrato, em tempo hábil, o término do contrato sob sua responsabilidade, com vistas à renovação tempestiva ou à prorrogação contratual.</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8.7.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8.8. O gestor do contrato acompanhará a manutenção das condições de habilitação do contratado, para fins de empenho de despesa e pagamento, e anotará os problemas que obstem o fluxo normal da liquidação e do pagamento da despesa no relatório de riscos eventuais.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8.9. 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8.10. O gestor do contrato emitirá documento comprobatório da avaliação realizada pelos fiscais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8.11. O gestor do contrato tomará providências para a formalização de processo administrativo de responsabilização para fins de aplicação de sanções, a ser conduzido pela comissão de que trata o art. 158 da Lei Federal nº 14.133/2021.</w:t>
      </w:r>
    </w:p>
    <w:p>
      <w:pPr>
        <w:pStyle w:val="Heading1"/>
        <w:keepNext w:val="false"/>
        <w:keepLines w:val="false"/>
        <w:tabs>
          <w:tab w:val="clear" w:pos="720"/>
          <w:tab w:val="left" w:pos="851" w:leader="none"/>
        </w:tabs>
        <w:spacing w:lineRule="auto" w:line="240" w:before="57" w:after="57"/>
        <w:jc w:val="both"/>
        <w:rPr>
          <w:rFonts w:ascii="Arial" w:hAnsi="Arial"/>
          <w:sz w:val="22"/>
          <w:szCs w:val="22"/>
        </w:rPr>
      </w:pPr>
      <w:bookmarkStart w:id="11" w:name="_heading=h.knq0emjtv0m9"/>
      <w:bookmarkEnd w:id="11"/>
      <w:r>
        <w:rPr>
          <w:rFonts w:eastAsia="Arial" w:cs="Arial" w:ascii="Arial" w:hAnsi="Arial"/>
          <w:b/>
          <w:sz w:val="22"/>
          <w:szCs w:val="22"/>
        </w:rPr>
        <w:t>9.DAS CONDIÇÕES DE PAGAMENTO</w:t>
      </w:r>
    </w:p>
    <w:p>
      <w:pPr>
        <w:pStyle w:val="Heading2"/>
        <w:keepNext w:val="false"/>
        <w:keepLines w:val="false"/>
        <w:tabs>
          <w:tab w:val="clear" w:pos="720"/>
          <w:tab w:val="left" w:pos="851" w:leader="none"/>
        </w:tabs>
        <w:spacing w:lineRule="auto" w:line="240" w:before="57" w:after="57"/>
        <w:jc w:val="both"/>
        <w:rPr>
          <w:rFonts w:ascii="Arial" w:hAnsi="Arial"/>
          <w:sz w:val="22"/>
          <w:szCs w:val="22"/>
        </w:rPr>
      </w:pPr>
      <w:bookmarkStart w:id="12" w:name="_heading=h.6ys3u8r6s8l"/>
      <w:bookmarkEnd w:id="12"/>
      <w:r>
        <w:rPr>
          <w:rFonts w:eastAsia="Arial" w:cs="Arial" w:ascii="Arial" w:hAnsi="Arial"/>
          <w:sz w:val="22"/>
          <w:szCs w:val="22"/>
        </w:rPr>
        <w:t>9.1. Liquidação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9.1.1. Recebida a nota fiscal ou documento de cobrança equivalente, correrá o prazo de 10 (dez) dias úteis para fins de liquidação, prorrogáveis por igual período.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9.1.1.1. O prazo de que trata o subitem anterior será reduzido à metade, mantendo-se a possibilidade de prorrogação, no caso de contratações decorrentes de despesas cujos valores não ultrapassem o limite de que trata o inciso II do art. 75 da Lei nº 14.133/2021.</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9.1.2. A liquidação da despesa consiste na verificação do direito adquirido pelo credor tendo por base os títulos e documentos comprobatórios do respectivo crédito, observando-se o disposto no art. 63 da Lei Federal nº 4.320, de 17 de março de 1964.</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 xml:space="preserve">9.1.4. A nota fiscal ou documento de cobrança equivalente deverá ser obrigatoriamente acompanhada da comprovação da regularidade fiscal, constatada por meio de consulta </w:t>
      </w:r>
      <w:r>
        <w:rPr>
          <w:rFonts w:eastAsia="Arial" w:cs="Arial" w:ascii="Arial" w:hAnsi="Arial"/>
          <w:i/>
          <w:sz w:val="22"/>
          <w:szCs w:val="22"/>
        </w:rPr>
        <w:t xml:space="preserve">on-line </w:t>
      </w:r>
      <w:r>
        <w:rPr>
          <w:rFonts w:eastAsia="Arial" w:cs="Arial" w:ascii="Arial" w:hAnsi="Arial"/>
          <w:sz w:val="22"/>
          <w:szCs w:val="22"/>
        </w:rPr>
        <w:t>ao SICAF ou, na impossibilidade de acesso ao referido Sistema, mediante consulta aos sítios eletrônicos oficiais ou à documentação mencionada no subitem 12.9 deste termo.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9.1.5. A Administração deverá realizar consulta ao SICAF para: a) verificar a manutenção das condições de habilitação exigidas no edital; b) identificar possível razão que implique proibição de contratar com o Poder Público, bem como ocorrências impeditivas indiretas.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9.1.8. Persistindo a irregularidade, o contratante deverá adotar as medidas necessárias à rescisão contratual nos autos do processo administrativo correspondente, assegurada ao contratado a ampla defesa.</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9.1.9. Havendo a efetiva execução do objeto, os pagamentos serão realizados normalmente, até que se decida pela rescisão do contrato, caso o contratado não regularize sua situação.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9.1.10. O percentual previsto no subitem 13.2.3 deste Termo, módulo 3, Provisão para Rescisão, letras A e B, referente ao Aviso Prévio Indenizado - API e Aviso Prévio Trabalhado - APT, será devido no primeiro ano do contrato, no percentual máximo de 2,27% (dois inteiros e vinte e sete centésimo por cento) sendo este reduzido, após 12 (doze) meses de contrato, para 1/10 do percentual da proposta definitiva, nos termos da Lei Federal nº 12.506/2011.</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9.1.11.</w:t>
        <w:tab/>
        <w:t>Os pagamentos encontram-se ainda condicionados à apresentação mensal da folha de pagamento dos funcionários com listagem e comprovantes de pagamento de vale-alimentação, vale-transporte, plano de saúde, INSS e GFD (Guia do FGTS Digital com detalhamento da guia emitida).</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9.1.12.Na ausência da comprovação do cumprimento das obrigações trabalhistas, será observado o disposto na cláusula nona – da conta corrente vinculada - bloqueada para movimentação do Anexo II – Minuta do Termo de Contrato.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9.1.13. A ausência da comprovação do cumprimento das obrigações previdenciárias e relativas ao FGTS implicará a retenção do pagamento da fatura mensal, em valor proporcional ao inadimplemento, mediante prévia comunicação, até que a situação seja regularizada, sem prejuízo das demais sanções cabíveis.</w:t>
      </w:r>
    </w:p>
    <w:p>
      <w:pPr>
        <w:pStyle w:val="Heading2"/>
        <w:keepNext w:val="false"/>
        <w:keepLines w:val="false"/>
        <w:tabs>
          <w:tab w:val="clear" w:pos="720"/>
          <w:tab w:val="left" w:pos="851" w:leader="none"/>
        </w:tabs>
        <w:spacing w:lineRule="auto" w:line="240" w:before="57" w:after="57"/>
        <w:jc w:val="both"/>
        <w:rPr>
          <w:rFonts w:ascii="Arial" w:hAnsi="Arial"/>
          <w:sz w:val="22"/>
          <w:szCs w:val="22"/>
        </w:rPr>
      </w:pPr>
      <w:bookmarkStart w:id="13" w:name="_heading=h.amdixv7qjeex"/>
      <w:bookmarkEnd w:id="13"/>
      <w:r>
        <w:rPr>
          <w:rFonts w:eastAsia="Arial" w:cs="Arial" w:ascii="Arial" w:hAnsi="Arial"/>
          <w:sz w:val="22"/>
          <w:szCs w:val="22"/>
        </w:rPr>
        <w:t>9.2. Prazo de pagamento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9.2.1. O pagamento será efetuado no prazo de até 10 (dez) dias úteis, contados da finalização da liquidação da despesa.</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9.2.2. No caso de atraso pelo contratante, os valores devidos ao contratado serão atualizados monetariamente entre o termo final do prazo de pagamento até a data de sua efetiva realização, mediante aplicação de encargos moratórios à taxa nominal de 6% a.a. (seis por cento ao ano), capitalizados diariamente em regime de juros simples.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9.3. Forma de pagamento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9.3.1. O pagamento será realizado mediante crédito em conta corrente do contratado, exclusivamente no Banco Bradesco S/A, conforme Lei Estadual nº 15.241/2012.</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9.3.2. Será considerada data do pagamento o dia em que constar como emitida a ordem bancária para pagamento.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9.3.3. Quando do pagamento, será efetuada a retenção tributária prevista na legislação aplicável.</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9.3.3.1. Independentemente do percentual de tributo inserido na planilha, quando houver, serão retidos na fonte, quando da realização do pagamento, os percentuais estabelecidos na legislação vigente</w:t>
      </w:r>
      <w:r>
        <w:rPr>
          <w:rFonts w:eastAsia="Arial" w:cs="Arial" w:ascii="Arial" w:hAnsi="Arial"/>
          <w:sz w:val="22"/>
          <w:szCs w:val="22"/>
          <w:vertAlign w:val="subscript"/>
        </w:rPr>
        <w:t>..</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9.3.4. Caso não seja apresentada a documentação comprobatória do cumprimento das obrigações trabalhistas, previdenciárias e para com o FGTS de que trata o inciso V, do art. 16 do Decreto Estadual nº 35.790/2023, o contratante comunicará o fato ao contratado e reterá o pagamento da fatura mensal, em valor proporcional ao inadimplemento, até que a situação seja regularizada, conforme disposto no § 1º do art. 16 do mesmo diploma legal.</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9.3.4.1. Não havendo quitação das obrigações por parte da contratada no prazo de quinze dias, o contratante poderá efetuar o pagamento das obrigações diretamente aos empregados do contratado que tenham participado da execução dos serviços objeto do contrato, nos termos do § 2º do mesmo artigo.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9.3.4.1.1. Os pagamentos não configuram vínculo empregatício ou implicam a assunção de responsabilidade por quaisquer obrigações dele decorrentes entre o contratante e os empregados do contratado, nos termos do art. 10 c/c § 3º do art. 16 do Decreto Estadual nº 35.790/2023.</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9.3.5.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Heading2"/>
        <w:keepNext w:val="false"/>
        <w:keepLines w:val="false"/>
        <w:tabs>
          <w:tab w:val="clear" w:pos="720"/>
          <w:tab w:val="left" w:pos="851" w:leader="none"/>
        </w:tabs>
        <w:spacing w:lineRule="auto" w:line="240" w:before="57" w:after="57"/>
        <w:jc w:val="both"/>
        <w:rPr>
          <w:rFonts w:ascii="Arial" w:hAnsi="Arial"/>
          <w:sz w:val="22"/>
          <w:szCs w:val="22"/>
        </w:rPr>
      </w:pPr>
      <w:bookmarkStart w:id="14" w:name="_heading=h.2ibsfmg25alt"/>
      <w:bookmarkEnd w:id="14"/>
      <w:r>
        <w:rPr>
          <w:rFonts w:eastAsia="Arial" w:cs="Arial" w:ascii="Arial" w:hAnsi="Arial"/>
          <w:sz w:val="22"/>
          <w:szCs w:val="22"/>
        </w:rPr>
        <w:t>9.4. Antecipação de pagamento</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9.4.1. É vedada a realização de pagamento antes da execução do objeto ou se o mesmo não estiver de acordo com as especificações deste instrumento.</w:t>
      </w:r>
    </w:p>
    <w:p>
      <w:pPr>
        <w:pStyle w:val="Heading1"/>
        <w:keepNext w:val="false"/>
        <w:keepLines w:val="false"/>
        <w:tabs>
          <w:tab w:val="clear" w:pos="720"/>
          <w:tab w:val="left" w:pos="851" w:leader="none"/>
        </w:tabs>
        <w:spacing w:lineRule="auto" w:line="240" w:before="57" w:after="57"/>
        <w:jc w:val="both"/>
        <w:rPr>
          <w:rFonts w:ascii="Arial" w:hAnsi="Arial"/>
          <w:sz w:val="22"/>
          <w:szCs w:val="22"/>
        </w:rPr>
      </w:pPr>
      <w:bookmarkStart w:id="15" w:name="_heading=h.8z1g1ls4xqux"/>
      <w:bookmarkEnd w:id="15"/>
      <w:r>
        <w:rPr>
          <w:rFonts w:eastAsia="Arial" w:cs="Arial" w:ascii="Arial" w:hAnsi="Arial"/>
          <w:b/>
          <w:sz w:val="22"/>
          <w:szCs w:val="22"/>
        </w:rPr>
        <w:t>10. DAS OBRIGAÇÕES DO CONTRATANTE</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10.1. Exigir o cumprimento de todas as obrigações assumidas pelo contratado, de acordo com este instrumento e seus anexos;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10.2. Notificar o contratado, por escrito, sobre vícios, defeitos ou incorreções verificadas no objeto contratado, para que seja por ele substituído, reparado ou corrigido, no total ou em parte, às suas expensas;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10.3. Acompanhar e fiscalizar a execução do contrato e o cumprimento das obrigações pelo contratado;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10.4. Comunicar o contratado para emissão de nota fiscal relativa à parcela incontroversa da execução do objeto, para efeito de liquidação e pagamento, quando houver controvérsia sobre a execução do objeto, quanto à dimensão, qualidade e quantidade, conforme o art. 143 da Lei Federal nº 14.133/2021;</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10.5. Efetuar o pagamento ao contratado do valor correspondente a execução do objeto, no prazo, forma e condições estabelecidos neste termo.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10.6. Providenciar, quando solicitado pelo contratado e mediante demonstração análitica da variação dos custos, a repactutção contratual, observado o interregno mínimo de 1 (um) ano.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10.7. Aplicar as sanções previstas na lei e edital, quando do descumprimento de obrigações pelo contratado;</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10.8. Emitir explicitamente decisão sobre todas as solicitações e reclamações relacionadas à execução do contrato, ressalvados os requerimentos manifestamente impertinentes, meramente protelatórios ou de nenhum interesse para a boa execução do contrato.</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10.8.1. A Administração terá o prazo de 05 (cinco) dias úteis, a contar da data do protocolo do requerimento para decidir, admitida a prorrogação motivada, por igual período.</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10.9.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10.10. Fiscalizar mensalmente o cumprimento das obrigações trabalhistas, previdenciária e para com o FGTS, em relação aos empregados do CONTRATADO que efetivamente participarem da execução dos serviços contratados, nos termos do inciso V do art. 16 do Decreto Estadual nº 35.790/2023, em especial, quanto: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10.10.1. ao pagamento de salários, adicionais, horas extras, repouso semanal remunerado e décimo terceiro salário;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10.10.2. à concessão de férias remuneradas e pagamento do respectivo adicional;</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10.10.3.à concessão de benefícios, como: auxílio-transporte, auxílio-alimentação, plano de saúde, auxílios creche e funeral, quando for devido;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10.10.4. aos depósitos do FGTS; e</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10.10.5.ao pagamento de obrigações trabalhistas e previdenciárias dos empregados dispensados até a data da extinção do contrato.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10.11. Reembolsar o contratado os valores de despesas, devidamente comprovadas, decorrentes de pagamentos de horas extras, diárias e outros conforme planilha aprovada pela SEPLAG.</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10.12.  Verificar quando da rescisão do contrato, o efetivo pagamento pelo contratado das verbas rescisórias ou dos documentos que comprovem que os empregados serão realocados em outra atividade de prestação de serviços, sem que ocorra a interrupção do contrato de trabalho.</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10.13. Efetuar o pagamento das obrigações trabalhistas diretamente aos empregados do contratado, no prazo de quinze dias, quando não for comprovada a quitação das respectivas obrigações por parte do contratado. Tais pagamentos não configuram vínculo empregatício, bem como não implicam na assunção de responsabilidade por quaisquer obrigações dele decorrentes entre o contratante e os empregados do contratado, nos termos do art. 10 c/c § 3º do art. 16 do Decreto Estadual nº 35.790/2023.</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10.14. Informar ao contratado que a garantia contratual somente será liberada mediante a comprovação de que houve o pagamento de todas as verbas rescisórias trabalhistas decorrentes da contratação, e que, caso esse pagamento não ocorra até o fim do segundo mês após o encerramento da vigência contratual, a garantia será utilizada para o pagamento dessas verbas trabalhistas, observada a legislação que rege a matéria.</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10.15. Proporcionar ao contratado todas as condições necessárias ao pleno cumprimento das obrigações decorrentes do termo contratual, fornecendo quando for o caso, equipamentos e materiais necessários a execução do contrato.</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10.16.Observar o disposto no art. 6º do Decreto Estadual nº 35.790/2023.</w:t>
      </w:r>
    </w:p>
    <w:p>
      <w:pPr>
        <w:pStyle w:val="Heading1"/>
        <w:keepNext w:val="false"/>
        <w:keepLines w:val="false"/>
        <w:tabs>
          <w:tab w:val="clear" w:pos="720"/>
          <w:tab w:val="left" w:pos="851" w:leader="none"/>
        </w:tabs>
        <w:spacing w:lineRule="auto" w:line="240" w:before="57" w:after="57"/>
        <w:ind w:right="440"/>
        <w:jc w:val="both"/>
        <w:rPr>
          <w:rFonts w:ascii="Arial" w:hAnsi="Arial"/>
          <w:sz w:val="22"/>
          <w:szCs w:val="22"/>
        </w:rPr>
      </w:pPr>
      <w:bookmarkStart w:id="16" w:name="_heading=h.iz21jujzxrae"/>
      <w:bookmarkEnd w:id="16"/>
      <w:r>
        <w:rPr>
          <w:rFonts w:eastAsia="Arial" w:cs="Arial" w:ascii="Arial" w:hAnsi="Arial"/>
          <w:b/>
          <w:sz w:val="22"/>
          <w:szCs w:val="22"/>
        </w:rPr>
        <w:t>11. DAS OBRIGAÇÕES DO CONTRATADO</w:t>
      </w:r>
    </w:p>
    <w:p>
      <w:pPr>
        <w:pStyle w:val="Heading1"/>
        <w:keepNext w:val="false"/>
        <w:keepLines w:val="false"/>
        <w:tabs>
          <w:tab w:val="clear" w:pos="720"/>
          <w:tab w:val="left" w:pos="851" w:leader="none"/>
        </w:tabs>
        <w:spacing w:lineRule="auto" w:line="240" w:before="57" w:after="57"/>
        <w:ind w:right="440"/>
        <w:jc w:val="both"/>
        <w:rPr>
          <w:rFonts w:ascii="Arial" w:hAnsi="Arial"/>
          <w:sz w:val="22"/>
          <w:szCs w:val="22"/>
        </w:rPr>
      </w:pPr>
      <w:bookmarkStart w:id="17" w:name="_heading=h.726nw28vfsq4"/>
      <w:bookmarkEnd w:id="17"/>
      <w:r>
        <w:rPr>
          <w:rFonts w:eastAsia="Arial" w:cs="Arial" w:ascii="Arial" w:hAnsi="Arial"/>
          <w:sz w:val="22"/>
          <w:szCs w:val="22"/>
        </w:rPr>
        <w:t>11.1. O contratado deve cumprir todas as obrigações constantes do edital e seus anexos, assumindo como exclusivamente seus os riscos e as despesas decorrentes da boa e perfeita execução do objeto, observando, ainda, as obrigações a seguir dispostas:</w:t>
      </w:r>
    </w:p>
    <w:p>
      <w:pPr>
        <w:pStyle w:val="Heading1"/>
        <w:keepNext w:val="false"/>
        <w:keepLines w:val="false"/>
        <w:tabs>
          <w:tab w:val="clear" w:pos="720"/>
          <w:tab w:val="left" w:pos="851" w:leader="none"/>
        </w:tabs>
        <w:spacing w:lineRule="auto" w:line="240" w:before="57" w:after="57"/>
        <w:ind w:right="440"/>
        <w:jc w:val="both"/>
        <w:rPr>
          <w:rFonts w:ascii="Arial" w:hAnsi="Arial"/>
          <w:sz w:val="22"/>
          <w:szCs w:val="22"/>
        </w:rPr>
      </w:pPr>
      <w:bookmarkStart w:id="18" w:name="_heading=h.8r2dt6l7d9v3"/>
      <w:bookmarkEnd w:id="18"/>
      <w:r>
        <w:rPr>
          <w:rFonts w:eastAsia="Arial" w:cs="Arial" w:ascii="Arial" w:hAnsi="Arial"/>
          <w:sz w:val="22"/>
          <w:szCs w:val="22"/>
        </w:rPr>
        <w:t>11.2. Atender às determinações regulares emitidas pelo fiscal ou gestor do contrato ou autoridade superior e prestar todo esclarecimento ou informação por eles solicitados.</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11.3.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11.5. Entregar ao setor responsável pela fiscalização do contrato, até o dia trinta do mês seguinte ao da prestação dos serviços, quando não for possível a verificação da regularidade no Sistema de Cadastramento Unificado de Fornecedores (SICAF), os seguintes documentos: 1) prova de regularidade relativa à Seguridade Social; 2) Certidão Conjunta relativa aos Tributos Federais e à Dívida Ativa da União; 3) certidões que comprovem a regularidade perante as Fazendas Estadual e Municipal do domicílio ou sede do contratado; 4) Certidão de Regularidade do FGTS – CRF; e 5) Certidão Negativa de Débitos Trabalhistas – CNDT.</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11.6.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o contratante.</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11.7. Não serão incluídas nas planilhas de custos e formação de preços as disposições contidas em Acordos, Dissídios ou Convenções Coletivas que tratem de pagamento de participação dos trabalhadores nos lucros ou resultados do contratado, de matéria não trabalhista, de obrigações e direitos que somente se aplicam aos contratos com a Administração Pública, ou que estabeleçam direitos não previstos em lei, tais como valores ou índices obrigatórios de encargos sociais ou previdenciários, bem como de preços para os insumos relacionados ao exercício da atividade.</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11.8. 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do contratante em caso de impossibilidade de cumprimento desta disposição, o contratado deverá apresentar justificativa, a fim de que a Administração analise sua plausibilidade e possa verificar a realização do pagamento.</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11.9. Autorizar o contratante, fornecendo os cálculos e os documentos necessários, a realizar os pagamentos de salários e demais verbas trabalhistas diretamente aos trabalhadores, bem como das contribuições previdenciárias e do FGTS, quando não demonstrado o cumprimento tempestivo e regular dessas obrigações, até o momento da regularização, sem prejuízo das sanções cabíveis, nos termos do art. 10 c/c § 3º do art. 16 do Decreto Estadual nº 35.790/2023.</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11.9.1. Quando não for possível a realização desses pagamentos pela própria Administração (ex.: por falta da documentação pertinente, tais como folha de pagamento, rescisões dos contratos e guias de recolhimento), os valores retidos cautelarmente serão depositados junto à Justiça do Trabalho, com o objetivo de serem utilizados exclusivamente no pagamento de salários e das demais verbas trabalhistas, bem como das contribuições sociais e FGTS decorrentes.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11.10. Manter durante toda a execução contratual, em compatibilidade com as obrigações assumidas, todas as condições de habilitação e qualificação exigidas na licitação.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11.11.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específicas de acidentes do trabalho e legislação correlata, aplicáveis ao pessoal empregado para execução do contrato. A inadimplência do contratado quanto aos encargos trabalhistas, fiscais e comerciais não transfere ao contratante a responsabilidade por seu pagamento, nem poderá onerar o objeto do contrato.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11.12. Responsabilizar-se integralmente pela observância do dispositivo no título II, capítulo V, da CLT, e demais normas do Ministério do Trabalho, relativos a segurança e a medicina do trabalho, bem como a Legislação correlata em vigor a ser exigida.</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 xml:space="preserve">11.13. Apresentar mensalmente junto ao contratante no prazo máximo de cinco dias úteis subsequente ao término dos serviços prestados, as folhas de pagamentos e as guias de recolhimentos dos encargos sociais exigidos em legislação vigente, em que se comprove a inclusão de empregados utilizados nos serviços contratados, os quais não terão, </w:t>
      </w:r>
      <w:r>
        <w:rPr>
          <w:rFonts w:eastAsia="Arial" w:cs="Arial" w:ascii="Arial" w:hAnsi="Arial"/>
          <w:i/>
          <w:sz w:val="22"/>
          <w:szCs w:val="22"/>
          <w:u w:val="single"/>
        </w:rPr>
        <w:t>em tempo algum</w:t>
      </w:r>
      <w:r>
        <w:rPr>
          <w:rFonts w:eastAsia="Arial" w:cs="Arial" w:ascii="Arial" w:hAnsi="Arial"/>
          <w:sz w:val="22"/>
          <w:szCs w:val="22"/>
        </w:rPr>
        <w:t xml:space="preserve">, durante o período contratual, nenhum vínculo empregatício com o contratante ou com o Governo do Estado do Ceará, sendo também de responsabilidade do contratado, o pagamento de todos os tributos que, direta ou indiretamente, incidam sobre a prestação dos serviços contratados, inclusive as contribuições previdenciárias fiscais e parafiscais, (FGTS, PIS, EMOLUMENTOS, SEGUROS DE ACIDENTES DE TRABALHO e outros previstos em lei), ficando excluída qualquer solidariedade da contratante por eventuais autuações administrativas e/ou judiciais, uma vez que a inadimplência do contratado com referência às suas obrigações não se transfere a contratante. Em nenhuma hipótese, </w:t>
      </w:r>
      <w:r>
        <w:rPr>
          <w:rFonts w:eastAsia="Arial" w:cs="Arial" w:ascii="Arial" w:hAnsi="Arial"/>
          <w:sz w:val="22"/>
          <w:szCs w:val="22"/>
          <w:u w:val="single"/>
        </w:rPr>
        <w:t>e sob</w:t>
      </w:r>
      <w:r>
        <w:rPr>
          <w:rFonts w:eastAsia="Arial" w:cs="Arial" w:ascii="Arial" w:hAnsi="Arial"/>
          <w:sz w:val="22"/>
          <w:szCs w:val="22"/>
        </w:rPr>
        <w:t xml:space="preserve"> </w:t>
      </w:r>
      <w:r>
        <w:rPr>
          <w:rFonts w:eastAsia="Arial" w:cs="Arial" w:ascii="Arial" w:hAnsi="Arial"/>
          <w:sz w:val="22"/>
          <w:szCs w:val="22"/>
          <w:u w:val="single"/>
        </w:rPr>
        <w:t>qualquer pretexto</w:t>
      </w:r>
      <w:r>
        <w:rPr>
          <w:rFonts w:eastAsia="Arial" w:cs="Arial" w:ascii="Arial" w:hAnsi="Arial"/>
          <w:sz w:val="22"/>
          <w:szCs w:val="22"/>
        </w:rPr>
        <w:t>, poderá o contratado vincular pagamentos de sua responsabilidade, inclusive os devidos a seus empregados, aos pagamentos a ele devidos pelo contratante.</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11.14. Apresentar o contratante, previamente, a escala de férias dos empregados que estiverem à disposição do contratante, bem como fazer suas reposições com as mesmas características profissionais daqueles beneficiados por férias ou licenças.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11.15. Responder pela cotação correta dos encargos tributários, inclusive considerando eventuais benefícios fiscais que faça jus. Em caso de erro ou cotação incompatível com o regime tributário a que se submete, serão adotadas as orientações a seguir:</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11.15.1. Cotação de percentual menor que o adequado: o percentual será mantido durante toda a execução contratual.</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11.15.2. Cotação de percentual maior que o adequado: o excesso será suprimido, unilateralmente, da planilha e haverá glosa, quando do pagamento, e/ou redução, quando da repactuação, para fins de total ressarcimento do débito. (atendendo as orientações dos Acórdãos TCU n° 3.037/2009- Plenário, nº 1.696/2010-2ª Câmara, nº 1.442/2010-2ª Câmara, nº 387/2010-2ª Câmara e nº 2622/2013-Plenário).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11.17. Providenciar a substituição de qualquer profissional envolvido na execução do objeto contratual, cuja conduta seja considerada indesejável pela fiscalização do contratante.</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11.18. Comunicar ao fiscal do contrato, no prazo de 24 (vinte e quatro) horas, qualquer ocorrência anormal ou acidente que se verifique no local da execução do objeto.</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11.19. Paralisar, por determinação do contratante, qualquer atividade que não esteja sendo executada de acordo com a boa técnica ou que ponha em risco a segurança de pessoas ou bens de terceiros.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11.20. Cumprir, durante todo o período de execução do contrato, a reserva de cargos prevista em lei para pessoa com deficiência, para reabilitado da Previdência Social ou para aprendiz, bem como as reservas de cargos previstas em lei e em outras normas específicas, conforme art. 43 do Decreto Estadual nº 35.790/2023.</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11.20.1. Comprovar as reservas de cargos e vagas a que se referem o subitem acima, no prazo fixado pelo fiscal do contrato, com a indicação dos empregados que preencheram as referidas vagas conforme disposto no art. 116, parágrafo único da Lei Federal nº 14.133/2021 e art. 44 do Decreto Estadual nº 35.790/2023.</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11.21.Guardar sigilo sobre todas as informações obtidas em decorrência do cumprimento do contrato.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Federal nº 14.133/2021.</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11.23. 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11.24.Não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2"/>
        <w:tabs>
          <w:tab w:val="clear" w:pos="720"/>
          <w:tab w:val="left" w:pos="851" w:leader="none"/>
        </w:tabs>
        <w:spacing w:lineRule="auto" w:line="240" w:before="57" w:after="57"/>
        <w:ind w:right="420"/>
        <w:jc w:val="both"/>
        <w:rPr>
          <w:rFonts w:ascii="Arial" w:hAnsi="Arial"/>
          <w:sz w:val="22"/>
          <w:szCs w:val="22"/>
        </w:rPr>
      </w:pPr>
      <w:r>
        <w:rPr>
          <w:rFonts w:eastAsia="Arial" w:cs="Arial" w:ascii="Arial" w:hAnsi="Arial"/>
          <w:sz w:val="22"/>
          <w:szCs w:val="22"/>
        </w:rPr>
        <w:t>11.25. Promover, se for o caso a guarda, manutenção e vigilância de materiais, ferramentas, e tudo o que for necessário à execução do objeto, durante a vigência do contrato.</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11.26. Respeitar os princípios de proteção de dados pessoais elencados na Lei Geral de Proteção de Dados, Lei Federal nº 13.709 de 14 de agosto de 2018 e suas alterações.</w:t>
      </w:r>
    </w:p>
    <w:p>
      <w:pPr>
        <w:pStyle w:val="Normal2"/>
        <w:tabs>
          <w:tab w:val="clear" w:pos="720"/>
          <w:tab w:val="left" w:pos="851" w:leader="none"/>
        </w:tabs>
        <w:spacing w:lineRule="auto" w:line="240" w:before="57" w:after="57"/>
        <w:ind w:right="440"/>
        <w:jc w:val="both"/>
        <w:rPr>
          <w:rFonts w:ascii="Arial" w:hAnsi="Arial"/>
          <w:sz w:val="22"/>
          <w:szCs w:val="22"/>
        </w:rPr>
      </w:pPr>
      <w:r>
        <w:rPr>
          <w:rFonts w:eastAsia="Arial" w:cs="Arial" w:ascii="Arial" w:hAnsi="Arial"/>
          <w:sz w:val="22"/>
          <w:szCs w:val="22"/>
        </w:rPr>
        <w:t xml:space="preserve"> </w:t>
      </w:r>
      <w:r>
        <w:rPr>
          <w:rFonts w:eastAsia="Arial" w:cs="Arial" w:ascii="Arial" w:hAnsi="Arial"/>
          <w:b/>
          <w:sz w:val="22"/>
          <w:szCs w:val="22"/>
        </w:rPr>
        <w:t>12. CRITÉRIOS DE SELEÇÃO DO FORNECEDOR</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 Para fins de habilitação, deverá o licitante comprovar os seguintes requisitos:</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Habilitação jurídica</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12.2. A documentação relativa à habilitação jurídica consistirá em:</w:t>
      </w:r>
    </w:p>
    <w:p>
      <w:pPr>
        <w:pStyle w:val="Normal2"/>
        <w:tabs>
          <w:tab w:val="clear" w:pos="720"/>
          <w:tab w:val="left" w:pos="851" w:leader="none"/>
        </w:tabs>
        <w:spacing w:lineRule="auto" w:line="240" w:before="57" w:after="57"/>
        <w:jc w:val="both"/>
        <w:rPr/>
      </w:pPr>
      <w:r>
        <w:rPr>
          <w:rFonts w:eastAsia="Arial" w:cs="Arial" w:ascii="Arial" w:hAnsi="Arial"/>
          <w:i/>
          <w:sz w:val="22"/>
          <w:szCs w:val="22"/>
        </w:rPr>
        <w:t>12.2.1. Microempresas e empresas de pequeno porte: Certificado da condição de mocroempresa ou empresa de pequeno porte, cuja aceitação ficará condicionada à verificação da autenticidade no sítio</w:t>
      </w:r>
      <w:hyperlink r:id="rId16">
        <w:r>
          <w:rPr>
            <w:rFonts w:eastAsia="Arial" w:cs="Arial" w:ascii="Arial" w:hAnsi="Arial"/>
            <w:i/>
            <w:sz w:val="22"/>
            <w:szCs w:val="22"/>
          </w:rPr>
          <w:t xml:space="preserve"> </w:t>
        </w:r>
      </w:hyperlink>
      <w:hyperlink r:id="rId17">
        <w:r>
          <w:rPr>
            <w:rFonts w:eastAsia="Arial" w:cs="Arial" w:ascii="Arial" w:hAnsi="Arial"/>
            <w:i/>
            <w:sz w:val="22"/>
            <w:szCs w:val="22"/>
            <w:u w:val="single"/>
          </w:rPr>
          <w:t>https://www.gov.br/empresas-e-negocios/pt-br/empreendedor</w:t>
        </w:r>
      </w:hyperlink>
      <w:r>
        <w:rPr>
          <w:rFonts w:eastAsia="Arial" w:cs="Arial" w:ascii="Arial" w:hAnsi="Arial"/>
          <w:i/>
          <w:sz w:val="22"/>
          <w:szCs w:val="22"/>
        </w:rPr>
        <w:t>;</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i/>
          <w:sz w:val="22"/>
          <w:szCs w:val="22"/>
        </w:rPr>
        <w:t>12.2.2. Sociedade empresarial,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i/>
          <w:sz w:val="22"/>
          <w:szCs w:val="22"/>
        </w:rPr>
        <w:t xml:space="preserve">12.2.3. Sociedade empresarial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eastAsia="Arial" w:cs="Arial" w:ascii="Arial" w:hAnsi="Arial"/>
          <w:i/>
          <w:sz w:val="22"/>
          <w:szCs w:val="22"/>
          <w:u w:val="single"/>
        </w:rPr>
        <w:t>Normativa DREI/ME nº 77, de 18 de março de 2020</w:t>
      </w:r>
      <w:r>
        <w:rPr>
          <w:rFonts w:eastAsia="Arial" w:cs="Arial" w:ascii="Arial" w:hAnsi="Arial"/>
          <w:i/>
          <w:sz w:val="22"/>
          <w:szCs w:val="22"/>
        </w:rPr>
        <w:t>.</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i/>
          <w:sz w:val="22"/>
          <w:szCs w:val="22"/>
        </w:rPr>
        <w:t>12.2.4. Sociedade simples: inscrição do ato constitutivo no Registro Civil de Pessoas Jurídicas do local de sua sede, acompanhada de documento comprobatório de seus administradores;</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i/>
          <w:sz w:val="22"/>
          <w:szCs w:val="22"/>
        </w:rPr>
        <w:t>12.2.5.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i/>
          <w:sz w:val="22"/>
          <w:szCs w:val="22"/>
        </w:rPr>
        <w:t>12.2.6. Ato de autorização para o exercício da atividade de Segurança Privada, expedida pela Polícia Federal nos termos do art. 40 da Lei n° 14.967/2024.</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Qualificação técnico-operacional</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12.3. A documentação relativa à qualificação técnico-operacional, nos termos do art. 67 da Lei Federal nº 14.133/2021, será restrita a:</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12.3.1. Comprovação de aptidão para o desempenho de atividade pertinente e compatível em características com o objeto da licitação, mediante apresentação de atestado(s) fornecido(s) por pessoa(s) jurídica(s) de direito público ou privado.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12.3.1.1. Para fins da comprovação, o(s) atestado(s) deverá(ão) dizer respeito a contrato(s) executado(s) compatível(is) ao objeto, com um mínimo de 50% (cinquenta por cento) dos postos a serem contratados.</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12.3.2. Atestados comprovando que a licitante possui experiência mínima de 03 anos na execução de objeto semelhante ao da contratação, conforme § 5º do art. 67 da Lei Federal nº 14.133/2021.</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12.4. O licitante disponibilizará todas as informações necessárias à comprovação da legitimidade dos atestados, apresentando, quando solicitado pelo pregoeiro, cópia do contrato que deu suporte à contratação, endereço atual do contratante e local em que foi executado o contrato, dentre outros documentos.</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12.5. Os atestados para efeito de comprovação de execução dos serviços só serão aceitos quando expedidos após a conclusão dos contratos ou decorridos no mínimo um ano do início de sua execução, exceto se houver sido firmado para ser executado em prazo inferior.</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12.6. Serão aceitos atestados ou outros documentos hábeis emitidos por entidades estrangeiras quando acompanhados de tradução para o português, salvo se comprovada a inidoneidade da entidade emissora.</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12.7. Não há necessidade de realização de avaliação prévia do local de execução dos serviços.</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Habilitações fiscal, social e trabalhista</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12.9. As habilitações fiscal, social e trabalhista serão aferidas mediante a verificação dos seguintes requisitos:</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12.9.1. A inscrição</w:t>
      </w:r>
      <w:r>
        <w:rPr>
          <w:rFonts w:eastAsia="Arial" w:cs="Arial" w:ascii="Arial" w:hAnsi="Arial"/>
          <w:i/>
          <w:sz w:val="22"/>
          <w:szCs w:val="22"/>
        </w:rPr>
        <w:t xml:space="preserve"> </w:t>
      </w:r>
      <w:r>
        <w:rPr>
          <w:rFonts w:eastAsia="Arial" w:cs="Arial" w:ascii="Arial" w:hAnsi="Arial"/>
          <w:sz w:val="22"/>
          <w:szCs w:val="22"/>
        </w:rPr>
        <w:t>no Cadastro Nacional da Pessoa Jurídica (CNPJ);</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12.9.2. A inscrição no cadastro de contribuintes estadual e/ou municipal, se houver, relativo ao domicílio ou sede do licitante, pertinente ao seu ramo de atividade e compatível com o objeto contratual;</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12.9.3. A regularidade perante a Fazenda federal, estadual e/ou municipal do domicílio ou sede do licitante, ou outra equivalente, na forma da lei;</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12.9.4. A regularidade relativa à Seguridade Social e ao FGTS, que demonstre cumprimento dos encargos sociais instituídos por lei;</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12.9.5. A regularidade perante a Justiça do Trabalho, mediante a apresentação de certidão negativa ou positiva com efeito de negativa, nos termos do Título VII-A da Consolidação das Leis do Trabalho, aprovada pelo Decreto-Lei nº 5.452/1943, e considerando o disposto no art. 3º da Lei nº 12.440, de 7 de julho de 2011.</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12.9.6. O cumprimento do disposto no inciso XXXIII do art. 7º da Constituição Federal.</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12.10.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12.11. Os documentos enumerados no subitem 12.9. poderão ser substituídos ou supridos, no todo ou em parte, por outros meios hábeis a comprovar a regularidade do licitante, inclusive por meio eletrônico. Quanto a comprovação de atendimento do disposto nos subitens 12.9.3, 12.9.4 e 12.9.5 deverá ser feita na forma da legislação específica, tudo em conformidade com os § 1º e 2º do art. 68 da Lei nº 14.133/2021.</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12.12.Para os Estados e Municípios que emitam prova de regularidade fiscal em separado, os proponentes deverão apresentar as respectivas certidões.</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12.13.As microempresas e empresas de pequeno porte deverão encaminhar a documentação de habilitação, ainda que haja alguma restrição de regularidade fiscal e trabalhista, nos termos do art. 43, § 1º da Lei Complementar nº 123, de 2006.</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12.13.1.Havendo restrição quanto à regularidade fiscal e trabalhista da microempresa ou da empresa de pequeno porte, será assegurado o prazo de 5 (cinco) dias úteis, contados a partir de declarado o vencedor, para a regularização do(s) documento(s), podendo tal prazo ser prorrogado por igual período, conforme dispõe a Lei Complementar nº 123/2006.</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w:t>
      </w:r>
      <w:r>
        <w:rPr>
          <w:rFonts w:eastAsia="Arial" w:cs="Arial" w:ascii="Arial" w:hAnsi="Arial"/>
          <w:sz w:val="22"/>
          <w:szCs w:val="22"/>
          <w:highlight w:val="white"/>
        </w:rPr>
        <w:t>2.13.2.A não comprovação da regularidade fiscal e trabalhista, até o final do prazo estabelecido, implicará a decadência do direito, sem prejuízo das sanções cabíveis, sendo facultado ao pregoeiro convocar os licitantes remanescentes, por ordem de classificação.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w:t>
      </w:r>
      <w:r>
        <w:rPr>
          <w:rFonts w:eastAsia="Arial" w:cs="Arial" w:ascii="Arial" w:hAnsi="Arial"/>
          <w:sz w:val="22"/>
          <w:szCs w:val="22"/>
          <w:highlight w:val="white"/>
        </w:rPr>
        <w:t>2.14.</w:t>
      </w:r>
      <w:r>
        <w:rPr>
          <w:rFonts w:eastAsia="Arial" w:cs="Arial" w:ascii="Arial" w:hAnsi="Arial"/>
          <w:sz w:val="22"/>
          <w:szCs w:val="22"/>
        </w:rPr>
        <w:t>Os documentos relativos à regularidade fiscal somente serão exigidos, em qualquer caso, em momento posterior ao julgamento das propostas, e apenas do licitante melhor classificado.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Habilitação econômico-financeira</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12.15.A habilitação econômico-financeira será restrita à apresentação da seguinte documentação: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12.15.1.Certidão negativa de feitos sobre falência expedida pelo distribuidor da sede do licitante.</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w:t>
      </w:r>
      <w:r>
        <w:rPr>
          <w:rFonts w:eastAsia="Arial" w:cs="Arial" w:ascii="Arial" w:hAnsi="Arial"/>
          <w:sz w:val="22"/>
          <w:szCs w:val="22"/>
          <w:highlight w:val="white"/>
        </w:rPr>
        <w:t>.15.</w:t>
      </w:r>
      <w:r>
        <w:rPr>
          <w:rFonts w:eastAsia="Arial" w:cs="Arial" w:ascii="Arial" w:hAnsi="Arial"/>
          <w:sz w:val="22"/>
          <w:szCs w:val="22"/>
        </w:rPr>
        <w:t>1.</w:t>
      </w:r>
      <w:r>
        <w:rPr>
          <w:rFonts w:eastAsia="Arial" w:cs="Arial" w:ascii="Arial" w:hAnsi="Arial"/>
          <w:sz w:val="22"/>
          <w:szCs w:val="22"/>
          <w:highlight w:val="white"/>
        </w:rPr>
        <w:t>1. Na ausência da certidão negativa, o licitante em recuperação judicial deverá comprovar o acolhimento judicial do plano de recuperação judicial nos termos do art. 58 da Lei nº 11.101/2005. No caso de licitante em recuperação extrajudicial, deverá apresentar a homologação judicial do plano de recuperação.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12.15.2.Balanço patrimonial, demonstração de resultado de exercício e demais demonstrações contábeis dos 2 (dois) últimos exercícios sociais que comprovem a boa situação financeira da empresa, vedada a sua substituição por balancetes ou balanços provisórios, podendo ser atualizados por índices oficiais quando encerrados há mais de três meses da data da apresentação da proposta.</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w:t>
      </w:r>
      <w:r>
        <w:rPr>
          <w:rFonts w:eastAsia="Arial" w:cs="Arial" w:ascii="Arial" w:hAnsi="Arial"/>
          <w:sz w:val="22"/>
          <w:szCs w:val="22"/>
          <w:highlight w:val="white"/>
        </w:rPr>
        <w:t>.15.2.1. No caso de a pessoa jurídica ter sido constituída há menos de 2 (dois) anos, a demonstração de resultado de exercício e demais demonstrações contábeis limitar-se-ão ao último exercício conforme dispõe o art. 69, § 6º da Lei nº 14.133/2021;</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w:t>
      </w:r>
      <w:r>
        <w:rPr>
          <w:rFonts w:eastAsia="Arial" w:cs="Arial" w:ascii="Arial" w:hAnsi="Arial"/>
          <w:sz w:val="22"/>
          <w:szCs w:val="22"/>
          <w:highlight w:val="white"/>
        </w:rPr>
        <w:t>.15.2.2.</w:t>
      </w:r>
      <w:r>
        <w:rPr>
          <w:rFonts w:eastAsia="Arial" w:cs="Arial" w:ascii="Arial" w:hAnsi="Arial"/>
          <w:sz w:val="22"/>
          <w:szCs w:val="22"/>
        </w:rPr>
        <w:t>Tratando-se de pessoas jurídicas submetidas à Escrituração Contábil Digital (ECD) por meio do Sistema Público de Escrituração Digital (Sped), admite-se a apresentação da ECD, em observância à data limite definida nas Normas da Secretaria da Receita Federal;</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12.15.3.A comprovação da boa situação financeira do licitante será atestada por documento assinado por profissional legalmente habilitado, demonstrando que a empresa apresenta índices de Liquidez Geral (LG), Liquidez Corrente (LC) e Solvência Geral (SG) superiores a 1 (um);</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12.15.4. Capital Circulante Líquido (CCL) ou Capital de Giro (Ativo Circulante - Passivo Circulante) de, no mínimo, 16,66% (dezesseis inteiros e sessenta e seis centésimos por cento) do valor estimado para a contratação, índices calculados com base nas demonstrações contábeis dos 2 (dois) últimos exercícios sociais;</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w:t>
      </w:r>
      <w:r>
        <w:rPr>
          <w:rFonts w:eastAsia="Arial" w:cs="Arial" w:ascii="Arial" w:hAnsi="Arial"/>
          <w:sz w:val="22"/>
          <w:szCs w:val="22"/>
          <w:highlight w:val="white"/>
        </w:rPr>
        <w:t>.15.5.Patrimônio líquido mínimo de 10% (dez por cento) do valor estimado da contratação;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12.15.6.Patrimônio líquido igual ou superior a 1/12 (um doze avos) do valor total dos contratos firmados pelo licitante com a Administração Pública e com empresas privadas vigentes na data de abertura da licitação, levando-se em consideração apenas os valores remanescentes. Tal informação deverá ser comprovada por meio de declaração conforme Anexo III, acompanhada da Demonstração do Resultado do Exercício (DRE) relativa ao último exercício social, e se houver divergência superior a 10% (para cima ou para baixo) em relação à receita bruta discriminada na DRE, o licitante deverá apresentar as devidas justificativas para tal diferença.</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sz w:val="22"/>
          <w:szCs w:val="22"/>
        </w:rPr>
        <w:t>12.15.6.1. Na declaração de que trata o subitem acima, a supressão de contratos e/ou valores remanescentes ensejará em desclassificação.</w:t>
      </w:r>
    </w:p>
    <w:p>
      <w:pPr>
        <w:pStyle w:val="Normal2"/>
        <w:tabs>
          <w:tab w:val="clear" w:pos="720"/>
          <w:tab w:val="left" w:pos="851" w:leader="none"/>
        </w:tabs>
        <w:spacing w:lineRule="auto" w:line="240" w:before="57" w:after="57"/>
        <w:jc w:val="both"/>
        <w:rPr>
          <w:rFonts w:ascii="Arial" w:hAnsi="Arial"/>
          <w:sz w:val="22"/>
          <w:szCs w:val="22"/>
        </w:rPr>
      </w:pPr>
      <w:r>
        <w:rPr>
          <w:rFonts w:eastAsia="Arial" w:cs="Arial" w:ascii="Arial" w:hAnsi="Arial"/>
          <w:color w:val="000000"/>
          <w:sz w:val="22"/>
          <w:szCs w:val="22"/>
          <w:highlight w:val="white"/>
        </w:rPr>
        <w:t>12.16. As empresas criadas no exercício financeiro da licitação deverão atender a todas as exigências da habilitação e poderão substituir os demonstrativos contábeis pelo balanço de abertura conforme dispõe o art. 65, §1º da Lei nº 14.133/2021.</w:t>
      </w:r>
    </w:p>
    <w:p>
      <w:pPr>
        <w:pStyle w:val="Normal1"/>
        <w:tabs>
          <w:tab w:val="clear" w:pos="720"/>
          <w:tab w:val="left" w:pos="-2170" w:leader="none"/>
          <w:tab w:val="left" w:pos="109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13. PLANILHA DE CUSTO E FORMAÇÃO DE PREÇOS POR CATEGORIAS</w:t>
      </w:r>
    </w:p>
    <w:p>
      <w:pPr>
        <w:pStyle w:val="Normal1"/>
        <w:tabs>
          <w:tab w:val="clear" w:pos="720"/>
          <w:tab w:val="left" w:pos="-2170" w:leader="none"/>
          <w:tab w:val="left" w:pos="109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13.1. Planilha de Custos e Formação de Preços por categoria aprovada pela Secretária do Planejamento e Gestão do Ceará – SEPLAG-CE, conforme subitem 13.11 do edital.</w:t>
      </w:r>
    </w:p>
    <w:p>
      <w:pPr>
        <w:pStyle w:val="Normal1"/>
        <w:tabs>
          <w:tab w:val="clear" w:pos="720"/>
          <w:tab w:val="left" w:pos="-2170" w:leader="none"/>
          <w:tab w:val="left" w:pos="1091" w:leader="none"/>
        </w:tabs>
        <w:spacing w:lineRule="auto" w:line="24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1"/>
        <w:tabs>
          <w:tab w:val="clear" w:pos="720"/>
          <w:tab w:val="left" w:pos="-2170" w:leader="none"/>
          <w:tab w:val="left" w:pos="1091" w:leader="none"/>
        </w:tabs>
        <w:spacing w:lineRule="auto" w:line="24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1"/>
        <w:tabs>
          <w:tab w:val="clear" w:pos="720"/>
          <w:tab w:val="left" w:pos="851" w:leader="none"/>
        </w:tabs>
        <w:spacing w:lineRule="auto" w:line="240" w:before="60" w:after="6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drawing>
          <wp:anchor behindDoc="0" distT="0" distB="0" distL="0" distR="0" simplePos="0" locked="0" layoutInCell="0" allowOverlap="1" relativeHeight="176">
            <wp:simplePos x="0" y="0"/>
            <wp:positionH relativeFrom="column">
              <wp:align>center</wp:align>
            </wp:positionH>
            <wp:positionV relativeFrom="paragraph">
              <wp:posOffset>635</wp:posOffset>
            </wp:positionV>
            <wp:extent cx="6120130" cy="3475990"/>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8"/>
                    <a:stretch>
                      <a:fillRect/>
                    </a:stretch>
                  </pic:blipFill>
                  <pic:spPr bwMode="auto">
                    <a:xfrm>
                      <a:off x="0" y="0"/>
                      <a:ext cx="6120130" cy="3475990"/>
                    </a:xfrm>
                    <a:prstGeom prst="rect">
                      <a:avLst/>
                    </a:prstGeom>
                  </pic:spPr>
                </pic:pic>
              </a:graphicData>
            </a:graphic>
          </wp:anchor>
        </w:drawing>
      </w:r>
    </w:p>
    <w:p>
      <w:pPr>
        <w:pStyle w:val="Normal1"/>
        <w:tabs>
          <w:tab w:val="clear" w:pos="720"/>
          <w:tab w:val="left" w:pos="-2170" w:leader="none"/>
          <w:tab w:val="left" w:pos="1091" w:leader="none"/>
        </w:tabs>
        <w:spacing w:lineRule="auto" w:line="24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2"/>
        <w:tabs>
          <w:tab w:val="clear" w:pos="720"/>
          <w:tab w:val="left" w:pos="851" w:leader="none"/>
        </w:tabs>
        <w:spacing w:lineRule="auto" w:line="240" w:before="57" w:after="57"/>
        <w:jc w:val="both"/>
        <w:rPr>
          <w:sz w:val="22"/>
          <w:szCs w:val="22"/>
        </w:rPr>
      </w:pPr>
      <w:r>
        <w:rPr>
          <w:sz w:val="22"/>
          <w:szCs w:val="22"/>
        </w:rPr>
      </w:r>
    </w:p>
    <w:p>
      <w:pPr>
        <w:pStyle w:val="Normal2"/>
        <w:tabs>
          <w:tab w:val="clear" w:pos="720"/>
          <w:tab w:val="left" w:pos="851" w:leader="none"/>
        </w:tabs>
        <w:spacing w:lineRule="auto" w:line="240" w:before="57" w:after="57"/>
        <w:jc w:val="both"/>
        <w:rPr>
          <w:sz w:val="22"/>
          <w:szCs w:val="22"/>
        </w:rPr>
      </w:pPr>
      <w:r>
        <w:rPr>
          <w:sz w:val="22"/>
          <w:szCs w:val="22"/>
        </w:rPr>
      </w:r>
    </w:p>
    <w:p>
      <w:pPr>
        <w:pStyle w:val="Normal2"/>
        <w:tabs>
          <w:tab w:val="clear" w:pos="720"/>
          <w:tab w:val="left" w:pos="851" w:leader="none"/>
        </w:tabs>
        <w:spacing w:lineRule="auto" w:line="240" w:before="57" w:after="57"/>
        <w:jc w:val="both"/>
        <w:rPr>
          <w:sz w:val="22"/>
          <w:szCs w:val="22"/>
        </w:rPr>
      </w:pPr>
      <w:r>
        <w:rPr>
          <w:sz w:val="22"/>
          <w:szCs w:val="22"/>
        </w:rPr>
        <w:drawing>
          <wp:anchor behindDoc="0" distT="0" distB="0" distL="0" distR="0" simplePos="0" locked="0" layoutInCell="0" allowOverlap="1" relativeHeight="177">
            <wp:simplePos x="0" y="0"/>
            <wp:positionH relativeFrom="column">
              <wp:align>center</wp:align>
            </wp:positionH>
            <wp:positionV relativeFrom="paragraph">
              <wp:posOffset>635</wp:posOffset>
            </wp:positionV>
            <wp:extent cx="6120130" cy="3131820"/>
            <wp:effectExtent l="0" t="0" r="0" b="0"/>
            <wp:wrapSquare wrapText="largest"/>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19"/>
                    <a:stretch>
                      <a:fillRect/>
                    </a:stretch>
                  </pic:blipFill>
                  <pic:spPr bwMode="auto">
                    <a:xfrm>
                      <a:off x="0" y="0"/>
                      <a:ext cx="6120130" cy="3131820"/>
                    </a:xfrm>
                    <a:prstGeom prst="rect">
                      <a:avLst/>
                    </a:prstGeom>
                  </pic:spPr>
                </pic:pic>
              </a:graphicData>
            </a:graphic>
          </wp:anchor>
        </w:drawing>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13.1.1.A Planilha de Custos e Formação de Preços está cotada nos parâmetros referenciais admitidos pela administração, devendo o órgão contratante repassar os tributos e encargos de acordo com a natureza jurídica da empresa e legislação vigente.</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13.1.2.Constatada a necessidade de ajustes na Planilha de Custos e Formação de Preços, com relação a divergência nos valores salariais correspondentes à categoria, definidos na Convenção Coletiva de Trabalho paradigma, quando houver, percentuais dos encargos sociais e tributos, valores referentes aos vales-alimentação, refeição e transportes, erros de soma ou multiplicação, estes poderão ser corrigidos no momento da celebração do contrato. É vedada alteração nos quantitativos das categorias definidas na Planilha de Custos e Formação de Preço, até o momento da celebração do contrato.</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13.1.3.A planilha será calculada considerando o valor mensal do empregado.</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13.1.4.Como a planilha de custos e formação de preços é calculada mensalmente, provisiona-se</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proporcionalmente 1/12 (um doze avos) dos valores referentes a gratificação natalina, férias e adicional de férias.</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13.1.5.Os percentuais dos encargos previdenciários, do FGTS e demais contribuições são aqueles estabelecidos pela legislação vigente.</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13.1.6.A verba paga em razão da supressão parcial ou total do intervalo intrajornada integra a base de cálculo para fins de incidência das contribuições sociais previdenciárias (INSS), não havendo incidência de FGTS e outras contribuições (SALÁRIO EDUCAÇÃO, SESI/SESC, SENAI/SENAC, INCRA, RATXFAP, SEBRAE).</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13.1.7. Para dias efetivamente trabalhados, consideram-se os dias efetivos da jornada de trabalho. Exemplo: 22 (vinte e dois) dias para a jornada de 44 e 40 horas semanais, e 15 (quinze) dias para jornada 12x36.</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13.1.8. O custo dos uniformes inclui todos os itens que compõem o uniforme do empregado e deve ser obtido por meio de pesquisa de preços no mercado, conforme orientações específicas da legislação vigente.</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13.1.9. O custo dos equipamentos deve ser obtido por meio de pesquisa de preços no mercado, conforme orientações específicas da legislação vigente.</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13.1.10. O custo relativo à supervisão de ronda, bem como seguro de vida para os postos de vigilância está incluso na alínea A do Módulo 6 – Custos Indiretos. (No caso de vigilância)</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13.1.11.O percentual do provisionamento será definido pelo órgão ou entidade contratante, observando a necessidade de despesas consideradas eventuais e variáveis em decorrência das atividades desenvolvidas durante a prestação dos serviços, bem como o limite estabelecido no §2º do art. 9º da Instrução Normativa SEPLAG nº 004/2024.</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13.1.12.As despesas decorrentes de auxílio-creche e auxílio-funeral, quando houver, serão pagas por meio de provisionamento.</w:t>
      </w:r>
    </w:p>
    <w:p>
      <w:pPr>
        <w:pStyle w:val="Normal2"/>
        <w:tabs>
          <w:tab w:val="clear" w:pos="720"/>
          <w:tab w:val="left" w:pos="851" w:leader="none"/>
        </w:tabs>
        <w:spacing w:lineRule="auto" w:line="240" w:before="57" w:after="57"/>
        <w:ind w:right="440"/>
        <w:jc w:val="both"/>
        <w:rPr>
          <w:sz w:val="22"/>
          <w:szCs w:val="22"/>
        </w:rPr>
      </w:pPr>
      <w:r>
        <w:rPr>
          <w:rFonts w:eastAsia="Arial" w:cs="Arial" w:ascii="Arial" w:hAnsi="Arial"/>
          <w:sz w:val="22"/>
          <w:szCs w:val="22"/>
        </w:rPr>
        <w:t xml:space="preserve"> </w:t>
      </w:r>
      <w:r>
        <w:rPr>
          <w:rFonts w:eastAsia="Arial" w:cs="Arial" w:ascii="Arial" w:hAnsi="Arial"/>
          <w:sz w:val="22"/>
          <w:szCs w:val="22"/>
        </w:rPr>
        <w:t>OBS. 1:A planilha de composição de custos está cotada nos parâmetros máximos admitidos pela administração, devendo o órgão contratante repassar os tributos e encargos de acordo com a natureza jurídica da empresa e legislação vigente.</w:t>
      </w:r>
    </w:p>
    <w:p>
      <w:pPr>
        <w:pStyle w:val="Normal2"/>
        <w:tabs>
          <w:tab w:val="clear" w:pos="720"/>
          <w:tab w:val="left" w:pos="851" w:leader="none"/>
        </w:tabs>
        <w:spacing w:lineRule="auto" w:line="240" w:before="57" w:after="57"/>
        <w:ind w:right="420"/>
        <w:jc w:val="both"/>
        <w:rPr>
          <w:sz w:val="22"/>
          <w:szCs w:val="22"/>
        </w:rPr>
      </w:pPr>
      <w:r>
        <w:rPr>
          <w:rFonts w:eastAsia="Arial" w:cs="Arial" w:ascii="Arial" w:hAnsi="Arial"/>
          <w:sz w:val="22"/>
          <w:szCs w:val="22"/>
        </w:rPr>
        <w:t>OBS. 2:Constatada a necessidade de ajustes na planilha de preços, com relação a divergência nos valores salariais correspondentes à categoria, definidos na Convenção Coletiva de Trabalho, percentuais dos encargos sociais e tributos, valores referentes aos vales-alimentação, refeição e transportes, erros de soma ou multiplicação, estes poderão ser corrigidos no momento da celebração do contrato. É vedada alteração nos quantitativos das categorias definidas na planilha de preço, até o momento da celebração do contrato.</w:t>
      </w:r>
    </w:p>
    <w:p>
      <w:pPr>
        <w:pStyle w:val="Normal2"/>
        <w:tabs>
          <w:tab w:val="clear" w:pos="720"/>
          <w:tab w:val="left" w:pos="851" w:leader="none"/>
        </w:tabs>
        <w:spacing w:lineRule="auto" w:line="240" w:before="57" w:after="57"/>
        <w:ind w:right="780"/>
        <w:jc w:val="both"/>
        <w:rPr>
          <w:sz w:val="22"/>
          <w:szCs w:val="22"/>
        </w:rPr>
      </w:pPr>
      <w:r>
        <w:rPr>
          <w:rFonts w:eastAsia="Arial" w:cs="Arial" w:ascii="Arial" w:hAnsi="Arial"/>
          <w:sz w:val="22"/>
          <w:szCs w:val="22"/>
        </w:rPr>
        <w:t>OBS. 3:As despesas decorrentes de auxílio creche e auxílio funeral, quando houver, serão pagas por meio de provisionamento.</w:t>
      </w:r>
    </w:p>
    <w:p>
      <w:pPr>
        <w:pStyle w:val="Normal2"/>
        <w:tabs>
          <w:tab w:val="clear" w:pos="720"/>
          <w:tab w:val="left" w:pos="851" w:leader="none"/>
        </w:tabs>
        <w:spacing w:lineRule="auto" w:line="240" w:before="57" w:after="57"/>
        <w:jc w:val="both"/>
        <w:rPr>
          <w:sz w:val="22"/>
          <w:szCs w:val="22"/>
        </w:rPr>
      </w:pPr>
      <w:r>
        <w:rPr>
          <w:rFonts w:eastAsia="Arial" w:cs="Arial" w:ascii="Arial" w:hAnsi="Arial"/>
          <w:sz w:val="22"/>
          <w:szCs w:val="22"/>
        </w:rPr>
        <w:t>13.2. ENCARGOS SOCIAIS E TRABALHISTAS (conforme Anexo II da Instrução Normativa SEPLAG nº 004/2024)</w:t>
      </w:r>
    </w:p>
    <w:p>
      <w:pPr>
        <w:pStyle w:val="Normal2"/>
        <w:tabs>
          <w:tab w:val="clear" w:pos="720"/>
          <w:tab w:val="left" w:pos="851" w:leader="none"/>
        </w:tabs>
        <w:spacing w:lineRule="auto" w:line="240" w:before="57" w:after="57"/>
        <w:jc w:val="both"/>
        <w:rPr>
          <w:sz w:val="22"/>
          <w:szCs w:val="22"/>
        </w:rPr>
      </w:pPr>
      <w:r>
        <w:rPr>
          <w:rFonts w:eastAsia="Arial" w:cs="Arial" w:ascii="Arial" w:hAnsi="Arial"/>
          <w:color w:val="000000"/>
          <w:sz w:val="22"/>
          <w:szCs w:val="22"/>
        </w:rPr>
        <w:t>13.2.1. MÓDULO 2.1: 13° Salário, Férias e Adicional de Férias</w:t>
      </w:r>
    </w:p>
    <w:tbl>
      <w:tblPr>
        <w:tblW w:w="6969" w:type="dxa"/>
        <w:jc w:val="left"/>
        <w:tblInd w:w="66" w:type="dxa"/>
        <w:tblLayout w:type="fixed"/>
        <w:tblCellMar>
          <w:top w:w="60" w:type="dxa"/>
          <w:left w:w="60" w:type="dxa"/>
          <w:bottom w:w="60" w:type="dxa"/>
          <w:right w:w="60" w:type="dxa"/>
        </w:tblCellMar>
        <w:tblLook w:firstRow="0" w:noVBand="1" w:lastRow="0" w:firstColumn="0" w:lastColumn="0" w:noHBand="0" w:val="0400"/>
      </w:tblPr>
      <w:tblGrid>
        <w:gridCol w:w="404"/>
        <w:gridCol w:w="3736"/>
        <w:gridCol w:w="674"/>
        <w:gridCol w:w="225"/>
        <w:gridCol w:w="1930"/>
      </w:tblGrid>
      <w:tr>
        <w:trPr>
          <w:trHeight w:val="315" w:hRule="atLeast"/>
        </w:trPr>
        <w:tc>
          <w:tcPr>
            <w:tcW w:w="404"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2.1</w:t>
            </w:r>
          </w:p>
        </w:tc>
        <w:tc>
          <w:tcPr>
            <w:tcW w:w="3736"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13° Salário, Férias e Adicional de Férias</w:t>
            </w:r>
          </w:p>
        </w:tc>
        <w:tc>
          <w:tcPr>
            <w:tcW w:w="674"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w:t>
            </w:r>
          </w:p>
        </w:tc>
        <w:tc>
          <w:tcPr>
            <w:tcW w:w="225"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30" w:type="dxa"/>
            <w:tcBorders>
              <w:top w:val="single" w:sz="6" w:space="0" w:color="000000"/>
              <w:left w:val="single" w:sz="6" w:space="0" w:color="000000"/>
              <w:bottom w:val="single" w:sz="6" w:space="0" w:color="000000"/>
              <w:right w:val="single" w:sz="6" w:space="0" w:color="000000"/>
            </w:tcBorders>
            <w:shd w:color="auto" w:fill="87CEFA"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Memória de Cálculo</w:t>
            </w:r>
          </w:p>
        </w:tc>
      </w:tr>
      <w:tr>
        <w:trPr>
          <w:trHeight w:val="315" w:hRule="atLeast"/>
        </w:trPr>
        <w:tc>
          <w:tcPr>
            <w:tcW w:w="40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A</w:t>
            </w:r>
          </w:p>
        </w:tc>
        <w:tc>
          <w:tcPr>
            <w:tcW w:w="3736"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13° Salário</w:t>
            </w:r>
          </w:p>
        </w:tc>
        <w:tc>
          <w:tcPr>
            <w:tcW w:w="67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8,33</w:t>
            </w:r>
          </w:p>
        </w:tc>
        <w:tc>
          <w:tcPr>
            <w:tcW w:w="225"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30"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(1/12) x 100</w:t>
            </w:r>
          </w:p>
        </w:tc>
      </w:tr>
      <w:tr>
        <w:trPr>
          <w:trHeight w:val="315" w:hRule="atLeast"/>
        </w:trPr>
        <w:tc>
          <w:tcPr>
            <w:tcW w:w="40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B</w:t>
            </w:r>
          </w:p>
        </w:tc>
        <w:tc>
          <w:tcPr>
            <w:tcW w:w="3736"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Férias</w:t>
            </w:r>
          </w:p>
        </w:tc>
        <w:tc>
          <w:tcPr>
            <w:tcW w:w="67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8,33</w:t>
            </w:r>
          </w:p>
        </w:tc>
        <w:tc>
          <w:tcPr>
            <w:tcW w:w="225"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30"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(1/12) x 100</w:t>
            </w:r>
          </w:p>
        </w:tc>
      </w:tr>
      <w:tr>
        <w:trPr>
          <w:trHeight w:val="315" w:hRule="atLeast"/>
        </w:trPr>
        <w:tc>
          <w:tcPr>
            <w:tcW w:w="40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C</w:t>
            </w:r>
          </w:p>
        </w:tc>
        <w:tc>
          <w:tcPr>
            <w:tcW w:w="3736"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Adicional de Férias</w:t>
            </w:r>
          </w:p>
        </w:tc>
        <w:tc>
          <w:tcPr>
            <w:tcW w:w="67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2,78</w:t>
            </w:r>
          </w:p>
        </w:tc>
        <w:tc>
          <w:tcPr>
            <w:tcW w:w="225"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30"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[(1/3)/12)] x 100</w:t>
            </w:r>
          </w:p>
        </w:tc>
      </w:tr>
      <w:tr>
        <w:trPr>
          <w:trHeight w:val="315" w:hRule="atLeast"/>
        </w:trPr>
        <w:tc>
          <w:tcPr>
            <w:tcW w:w="404"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3736"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TOTAL</w:t>
            </w:r>
          </w:p>
        </w:tc>
        <w:tc>
          <w:tcPr>
            <w:tcW w:w="674"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19,44</w:t>
            </w:r>
          </w:p>
        </w:tc>
        <w:tc>
          <w:tcPr>
            <w:tcW w:w="225" w:type="dxa"/>
            <w:tcBorders>
              <w:lef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30" w:type="dxa"/>
            <w:tcBorders>
              <w:top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r>
    </w:tbl>
    <w:p>
      <w:pPr>
        <w:pStyle w:val="Normal1"/>
        <w:tabs>
          <w:tab w:val="clear" w:pos="720"/>
          <w:tab w:val="left" w:pos="-2170" w:leader="none"/>
          <w:tab w:val="left" w:pos="1091" w:leader="none"/>
        </w:tabs>
        <w:spacing w:lineRule="auto" w:line="24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1"/>
        <w:tabs>
          <w:tab w:val="clear" w:pos="720"/>
          <w:tab w:val="left" w:pos="-2170" w:leader="none"/>
          <w:tab w:val="left" w:pos="1091" w:leader="none"/>
        </w:tabs>
        <w:spacing w:lineRule="auto" w:line="240"/>
        <w:rPr>
          <w:rFonts w:ascii="Arial" w:hAnsi="Arial"/>
          <w:sz w:val="22"/>
          <w:szCs w:val="22"/>
        </w:rPr>
      </w:pPr>
      <w:r>
        <w:rPr>
          <w:rFonts w:eastAsia="Times New Roman" w:cs="Times New Roman" w:ascii="Arial" w:hAnsi="Arial"/>
          <w:color w:val="000000"/>
          <w:sz w:val="22"/>
          <w:szCs w:val="22"/>
        </w:rPr>
        <w:t>13.2.2. MÓDULO 2.2: Encargos Previdenciários, FGTS e Outras Contribuições</w:t>
      </w:r>
    </w:p>
    <w:tbl>
      <w:tblPr>
        <w:tblW w:w="6180" w:type="dxa"/>
        <w:jc w:val="left"/>
        <w:tblInd w:w="36" w:type="dxa"/>
        <w:tblLayout w:type="fixed"/>
        <w:tblCellMar>
          <w:top w:w="60" w:type="dxa"/>
          <w:left w:w="60" w:type="dxa"/>
          <w:bottom w:w="60" w:type="dxa"/>
          <w:right w:w="60" w:type="dxa"/>
        </w:tblCellMar>
        <w:tblLook w:firstRow="0" w:noVBand="1" w:lastRow="0" w:firstColumn="0" w:lastColumn="0" w:noHBand="0" w:val="0400"/>
      </w:tblPr>
      <w:tblGrid>
        <w:gridCol w:w="420"/>
        <w:gridCol w:w="5085"/>
        <w:gridCol w:w="675"/>
      </w:tblGrid>
      <w:tr>
        <w:trPr>
          <w:trHeight w:val="315" w:hRule="atLeast"/>
        </w:trPr>
        <w:tc>
          <w:tcPr>
            <w:tcW w:w="420"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2.2</w:t>
            </w:r>
          </w:p>
        </w:tc>
        <w:tc>
          <w:tcPr>
            <w:tcW w:w="5085"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Encargos Previdenciários, FGTS e Outras Contribuições</w:t>
            </w:r>
          </w:p>
        </w:tc>
        <w:tc>
          <w:tcPr>
            <w:tcW w:w="675"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w:t>
            </w:r>
          </w:p>
        </w:tc>
      </w:tr>
      <w:tr>
        <w:trPr>
          <w:trHeight w:val="315" w:hRule="atLeast"/>
        </w:trPr>
        <w:tc>
          <w:tcPr>
            <w:tcW w:w="420"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A</w:t>
            </w:r>
          </w:p>
        </w:tc>
        <w:tc>
          <w:tcPr>
            <w:tcW w:w="508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INSS</w:t>
            </w:r>
          </w:p>
        </w:tc>
        <w:tc>
          <w:tcPr>
            <w:tcW w:w="67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20,00</w:t>
            </w:r>
          </w:p>
        </w:tc>
      </w:tr>
      <w:tr>
        <w:trPr>
          <w:trHeight w:val="315" w:hRule="atLeast"/>
        </w:trPr>
        <w:tc>
          <w:tcPr>
            <w:tcW w:w="420"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B</w:t>
            </w:r>
          </w:p>
        </w:tc>
        <w:tc>
          <w:tcPr>
            <w:tcW w:w="508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Salário Educação</w:t>
            </w:r>
          </w:p>
        </w:tc>
        <w:tc>
          <w:tcPr>
            <w:tcW w:w="67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2,50</w:t>
            </w:r>
          </w:p>
        </w:tc>
      </w:tr>
      <w:tr>
        <w:trPr>
          <w:trHeight w:val="360" w:hRule="atLeast"/>
        </w:trPr>
        <w:tc>
          <w:tcPr>
            <w:tcW w:w="420"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C</w:t>
            </w:r>
          </w:p>
        </w:tc>
        <w:tc>
          <w:tcPr>
            <w:tcW w:w="508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Riscos Ambientais do Trabalho (RAT x FAP)</w:t>
            </w:r>
          </w:p>
        </w:tc>
        <w:tc>
          <w:tcPr>
            <w:tcW w:w="67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 xml:space="preserve">3,00 </w:t>
            </w:r>
            <w:r>
              <w:rPr>
                <w:rFonts w:eastAsia="Times New Roman" w:cs="Times New Roman" w:ascii="Arial" w:hAnsi="Arial"/>
                <w:color w:val="000000"/>
                <w:sz w:val="20"/>
                <w:szCs w:val="20"/>
                <w:vertAlign w:val="superscript"/>
              </w:rPr>
              <w:t>1</w:t>
            </w:r>
          </w:p>
        </w:tc>
      </w:tr>
      <w:tr>
        <w:trPr>
          <w:trHeight w:val="315" w:hRule="atLeast"/>
        </w:trPr>
        <w:tc>
          <w:tcPr>
            <w:tcW w:w="420"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D</w:t>
            </w:r>
          </w:p>
        </w:tc>
        <w:tc>
          <w:tcPr>
            <w:tcW w:w="508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SESC</w:t>
            </w:r>
          </w:p>
        </w:tc>
        <w:tc>
          <w:tcPr>
            <w:tcW w:w="67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1,50</w:t>
            </w:r>
          </w:p>
        </w:tc>
      </w:tr>
      <w:tr>
        <w:trPr>
          <w:trHeight w:val="315" w:hRule="atLeast"/>
        </w:trPr>
        <w:tc>
          <w:tcPr>
            <w:tcW w:w="420"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E</w:t>
            </w:r>
          </w:p>
        </w:tc>
        <w:tc>
          <w:tcPr>
            <w:tcW w:w="508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SENAC</w:t>
            </w:r>
          </w:p>
        </w:tc>
        <w:tc>
          <w:tcPr>
            <w:tcW w:w="67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1,00</w:t>
            </w:r>
          </w:p>
        </w:tc>
      </w:tr>
      <w:tr>
        <w:trPr>
          <w:trHeight w:val="315" w:hRule="atLeast"/>
        </w:trPr>
        <w:tc>
          <w:tcPr>
            <w:tcW w:w="420"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F</w:t>
            </w:r>
          </w:p>
        </w:tc>
        <w:tc>
          <w:tcPr>
            <w:tcW w:w="508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SEBRAE</w:t>
            </w:r>
          </w:p>
        </w:tc>
        <w:tc>
          <w:tcPr>
            <w:tcW w:w="67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0,60</w:t>
            </w:r>
          </w:p>
        </w:tc>
      </w:tr>
      <w:tr>
        <w:trPr>
          <w:trHeight w:val="315" w:hRule="atLeast"/>
        </w:trPr>
        <w:tc>
          <w:tcPr>
            <w:tcW w:w="420"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G</w:t>
            </w:r>
          </w:p>
        </w:tc>
        <w:tc>
          <w:tcPr>
            <w:tcW w:w="508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INCRA</w:t>
            </w:r>
          </w:p>
        </w:tc>
        <w:tc>
          <w:tcPr>
            <w:tcW w:w="67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0,20</w:t>
            </w:r>
          </w:p>
        </w:tc>
      </w:tr>
      <w:tr>
        <w:trPr>
          <w:trHeight w:val="315" w:hRule="atLeast"/>
        </w:trPr>
        <w:tc>
          <w:tcPr>
            <w:tcW w:w="420"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H</w:t>
            </w:r>
          </w:p>
        </w:tc>
        <w:tc>
          <w:tcPr>
            <w:tcW w:w="508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FGTS</w:t>
            </w:r>
          </w:p>
        </w:tc>
        <w:tc>
          <w:tcPr>
            <w:tcW w:w="67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8,00</w:t>
            </w:r>
          </w:p>
        </w:tc>
      </w:tr>
      <w:tr>
        <w:trPr>
          <w:trHeight w:val="315" w:hRule="atLeast"/>
        </w:trPr>
        <w:tc>
          <w:tcPr>
            <w:tcW w:w="420"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5085"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TOTAL</w:t>
            </w:r>
          </w:p>
        </w:tc>
        <w:tc>
          <w:tcPr>
            <w:tcW w:w="675"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36,80</w:t>
            </w:r>
          </w:p>
        </w:tc>
      </w:tr>
    </w:tbl>
    <w:p>
      <w:pPr>
        <w:pStyle w:val="Normal1"/>
        <w:tabs>
          <w:tab w:val="clear" w:pos="720"/>
          <w:tab w:val="left" w:pos="-2170" w:leader="none"/>
          <w:tab w:val="left" w:pos="1091" w:leader="none"/>
        </w:tabs>
        <w:spacing w:lineRule="auto" w:line="24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1"/>
        <w:tabs>
          <w:tab w:val="clear" w:pos="720"/>
          <w:tab w:val="left" w:pos="-2170" w:leader="none"/>
          <w:tab w:val="left" w:pos="1091" w:leader="none"/>
        </w:tabs>
        <w:spacing w:lineRule="auto" w:line="240"/>
        <w:rPr>
          <w:rFonts w:ascii="Arial" w:hAnsi="Arial"/>
        </w:rPr>
      </w:pPr>
      <w:r>
        <w:rPr>
          <w:rFonts w:eastAsia="Times New Roman" w:cs="Times New Roman" w:ascii="Arial" w:hAnsi="Arial"/>
          <w:color w:val="000000"/>
          <w:sz w:val="22"/>
          <w:szCs w:val="22"/>
        </w:rPr>
        <w:t>13.2.3. MÓDULO 3: Provisão para Rescisão</w:t>
      </w:r>
    </w:p>
    <w:tbl>
      <w:tblPr>
        <w:tblW w:w="6915" w:type="dxa"/>
        <w:jc w:val="left"/>
        <w:tblInd w:w="81" w:type="dxa"/>
        <w:tblLayout w:type="fixed"/>
        <w:tblCellMar>
          <w:top w:w="60" w:type="dxa"/>
          <w:left w:w="60" w:type="dxa"/>
          <w:bottom w:w="60" w:type="dxa"/>
          <w:right w:w="60" w:type="dxa"/>
        </w:tblCellMar>
        <w:tblLook w:firstRow="0" w:noVBand="1" w:lastRow="0" w:firstColumn="0" w:lastColumn="0" w:noHBand="0" w:val="0400"/>
      </w:tblPr>
      <w:tblGrid>
        <w:gridCol w:w="374"/>
        <w:gridCol w:w="3766"/>
        <w:gridCol w:w="629"/>
        <w:gridCol w:w="225"/>
        <w:gridCol w:w="1921"/>
      </w:tblGrid>
      <w:tr>
        <w:trPr>
          <w:trHeight w:val="315" w:hRule="atLeast"/>
        </w:trPr>
        <w:tc>
          <w:tcPr>
            <w:tcW w:w="374"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3</w:t>
            </w:r>
          </w:p>
        </w:tc>
        <w:tc>
          <w:tcPr>
            <w:tcW w:w="3766"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Provisão para Rescisão</w:t>
            </w:r>
          </w:p>
        </w:tc>
        <w:tc>
          <w:tcPr>
            <w:tcW w:w="629"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w:t>
            </w:r>
          </w:p>
        </w:tc>
        <w:tc>
          <w:tcPr>
            <w:tcW w:w="225"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21" w:type="dxa"/>
            <w:tcBorders>
              <w:top w:val="single" w:sz="6" w:space="0" w:color="000000"/>
              <w:left w:val="single" w:sz="6" w:space="0" w:color="000000"/>
              <w:bottom w:val="single" w:sz="6" w:space="0" w:color="000000"/>
              <w:right w:val="single" w:sz="6" w:space="0" w:color="000000"/>
            </w:tcBorders>
            <w:shd w:color="auto" w:fill="87CEFA"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Memória de Cálculo</w:t>
            </w:r>
          </w:p>
        </w:tc>
      </w:tr>
      <w:tr>
        <w:trPr>
          <w:trHeight w:val="315" w:hRule="atLeast"/>
        </w:trPr>
        <w:tc>
          <w:tcPr>
            <w:tcW w:w="37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A</w:t>
            </w:r>
          </w:p>
        </w:tc>
        <w:tc>
          <w:tcPr>
            <w:tcW w:w="3766"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Aviso Prévio Indenizado - API</w:t>
            </w:r>
          </w:p>
        </w:tc>
        <w:tc>
          <w:tcPr>
            <w:tcW w:w="629"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0,42</w:t>
            </w:r>
          </w:p>
        </w:tc>
        <w:tc>
          <w:tcPr>
            <w:tcW w:w="225"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21"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5,00% x 1/12</w:t>
            </w:r>
          </w:p>
        </w:tc>
      </w:tr>
      <w:tr>
        <w:trPr>
          <w:trHeight w:val="315" w:hRule="atLeast"/>
        </w:trPr>
        <w:tc>
          <w:tcPr>
            <w:tcW w:w="37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B</w:t>
            </w:r>
          </w:p>
        </w:tc>
        <w:tc>
          <w:tcPr>
            <w:tcW w:w="3766"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Aviso Prévio Trabalhado - APT</w:t>
            </w:r>
          </w:p>
        </w:tc>
        <w:tc>
          <w:tcPr>
            <w:tcW w:w="629"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1,85</w:t>
            </w:r>
          </w:p>
        </w:tc>
        <w:tc>
          <w:tcPr>
            <w:tcW w:w="225"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21"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95,00% x (7/30)/12</w:t>
            </w:r>
          </w:p>
        </w:tc>
      </w:tr>
      <w:tr>
        <w:trPr>
          <w:trHeight w:val="315" w:hRule="atLeast"/>
        </w:trPr>
        <w:tc>
          <w:tcPr>
            <w:tcW w:w="37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C</w:t>
            </w:r>
          </w:p>
        </w:tc>
        <w:tc>
          <w:tcPr>
            <w:tcW w:w="3766"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Multa do FGTS sobre o APT</w:t>
            </w:r>
          </w:p>
        </w:tc>
        <w:tc>
          <w:tcPr>
            <w:tcW w:w="629"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3,04</w:t>
            </w:r>
          </w:p>
        </w:tc>
        <w:tc>
          <w:tcPr>
            <w:tcW w:w="225"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21"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40% x 8,00% x 95,00%</w:t>
            </w:r>
          </w:p>
        </w:tc>
      </w:tr>
      <w:tr>
        <w:trPr>
          <w:trHeight w:val="315" w:hRule="atLeast"/>
        </w:trPr>
        <w:tc>
          <w:tcPr>
            <w:tcW w:w="374"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3766"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TOTAL</w:t>
            </w:r>
          </w:p>
        </w:tc>
        <w:tc>
          <w:tcPr>
            <w:tcW w:w="629"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5,31</w:t>
            </w:r>
          </w:p>
        </w:tc>
        <w:tc>
          <w:tcPr>
            <w:tcW w:w="225" w:type="dxa"/>
            <w:tcBorders>
              <w:lef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21" w:type="dxa"/>
            <w:tcBorders>
              <w:top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r>
    </w:tbl>
    <w:p>
      <w:pPr>
        <w:pStyle w:val="Normal1"/>
        <w:tabs>
          <w:tab w:val="clear" w:pos="720"/>
          <w:tab w:val="left" w:pos="-2170" w:leader="none"/>
          <w:tab w:val="left" w:pos="1091" w:leader="none"/>
        </w:tabs>
        <w:spacing w:lineRule="auto" w:line="24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1"/>
        <w:tabs>
          <w:tab w:val="clear" w:pos="720"/>
          <w:tab w:val="left" w:pos="-2170" w:leader="none"/>
          <w:tab w:val="left" w:pos="1091" w:leader="none"/>
        </w:tabs>
        <w:spacing w:lineRule="auto" w:line="240" w:before="57" w:after="57"/>
        <w:rPr>
          <w:rFonts w:ascii="Arial" w:hAnsi="Arial"/>
        </w:rPr>
      </w:pPr>
      <w:r>
        <w:rPr>
          <w:rFonts w:eastAsia="Times New Roman" w:cs="Times New Roman" w:ascii="Arial" w:hAnsi="Arial"/>
          <w:color w:val="000000"/>
          <w:sz w:val="22"/>
          <w:szCs w:val="22"/>
        </w:rPr>
        <w:t>13.2.4. MÓDULO 4: Custo de Reposição do Profissional Ausente</w:t>
      </w:r>
    </w:p>
    <w:tbl>
      <w:tblPr>
        <w:tblW w:w="6909" w:type="dxa"/>
        <w:jc w:val="left"/>
        <w:tblInd w:w="66" w:type="dxa"/>
        <w:tblLayout w:type="fixed"/>
        <w:tblCellMar>
          <w:top w:w="60" w:type="dxa"/>
          <w:left w:w="60" w:type="dxa"/>
          <w:bottom w:w="60" w:type="dxa"/>
          <w:right w:w="60" w:type="dxa"/>
        </w:tblCellMar>
        <w:tblLook w:firstRow="0" w:noVBand="1" w:lastRow="0" w:firstColumn="0" w:lastColumn="0" w:noHBand="0" w:val="0400"/>
      </w:tblPr>
      <w:tblGrid>
        <w:gridCol w:w="388"/>
        <w:gridCol w:w="3751"/>
        <w:gridCol w:w="675"/>
        <w:gridCol w:w="181"/>
        <w:gridCol w:w="1914"/>
      </w:tblGrid>
      <w:tr>
        <w:trPr>
          <w:trHeight w:val="315" w:hRule="atLeast"/>
        </w:trPr>
        <w:tc>
          <w:tcPr>
            <w:tcW w:w="388"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4</w:t>
            </w:r>
          </w:p>
        </w:tc>
        <w:tc>
          <w:tcPr>
            <w:tcW w:w="3751"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Custo de Reposição do Profissional Ausente</w:t>
            </w:r>
          </w:p>
        </w:tc>
        <w:tc>
          <w:tcPr>
            <w:tcW w:w="675"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w:t>
            </w:r>
          </w:p>
        </w:tc>
        <w:tc>
          <w:tcPr>
            <w:tcW w:w="181"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14" w:type="dxa"/>
            <w:tcBorders>
              <w:top w:val="single" w:sz="6" w:space="0" w:color="000000"/>
              <w:left w:val="single" w:sz="6" w:space="0" w:color="000000"/>
              <w:bottom w:val="single" w:sz="6" w:space="0" w:color="000000"/>
              <w:right w:val="single" w:sz="6" w:space="0" w:color="000000"/>
            </w:tcBorders>
            <w:shd w:color="auto" w:fill="87CEFA"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Memória de Cálculo</w:t>
            </w:r>
          </w:p>
        </w:tc>
      </w:tr>
      <w:tr>
        <w:trPr>
          <w:trHeight w:val="315" w:hRule="atLeast"/>
        </w:trPr>
        <w:tc>
          <w:tcPr>
            <w:tcW w:w="388"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A</w:t>
            </w:r>
          </w:p>
        </w:tc>
        <w:tc>
          <w:tcPr>
            <w:tcW w:w="3751"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Ausências Legais</w:t>
            </w:r>
          </w:p>
        </w:tc>
        <w:tc>
          <w:tcPr>
            <w:tcW w:w="67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2,22</w:t>
            </w:r>
          </w:p>
        </w:tc>
        <w:tc>
          <w:tcPr>
            <w:tcW w:w="181"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1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8/30/12</w:t>
            </w:r>
          </w:p>
        </w:tc>
      </w:tr>
      <w:tr>
        <w:trPr>
          <w:trHeight w:val="315" w:hRule="atLeast"/>
        </w:trPr>
        <w:tc>
          <w:tcPr>
            <w:tcW w:w="388"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B</w:t>
            </w:r>
          </w:p>
        </w:tc>
        <w:tc>
          <w:tcPr>
            <w:tcW w:w="3751"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Licença Paternidade</w:t>
            </w:r>
          </w:p>
        </w:tc>
        <w:tc>
          <w:tcPr>
            <w:tcW w:w="67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0,02</w:t>
            </w:r>
          </w:p>
        </w:tc>
        <w:tc>
          <w:tcPr>
            <w:tcW w:w="181"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1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1,416%/12 x 5/30</w:t>
            </w:r>
          </w:p>
        </w:tc>
      </w:tr>
      <w:tr>
        <w:trPr>
          <w:trHeight w:val="315" w:hRule="atLeast"/>
        </w:trPr>
        <w:tc>
          <w:tcPr>
            <w:tcW w:w="388"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C</w:t>
            </w:r>
          </w:p>
        </w:tc>
        <w:tc>
          <w:tcPr>
            <w:tcW w:w="3751"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Ausência por Acidente de Trabalho</w:t>
            </w:r>
          </w:p>
        </w:tc>
        <w:tc>
          <w:tcPr>
            <w:tcW w:w="67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0,05</w:t>
            </w:r>
          </w:p>
        </w:tc>
        <w:tc>
          <w:tcPr>
            <w:tcW w:w="181"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1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1,22%/12 x 15/30</w:t>
            </w:r>
          </w:p>
        </w:tc>
      </w:tr>
      <w:tr>
        <w:trPr>
          <w:trHeight w:val="315" w:hRule="atLeast"/>
        </w:trPr>
        <w:tc>
          <w:tcPr>
            <w:tcW w:w="388"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D</w:t>
            </w:r>
          </w:p>
        </w:tc>
        <w:tc>
          <w:tcPr>
            <w:tcW w:w="3751"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Afastamento Maternidade</w:t>
            </w:r>
          </w:p>
        </w:tc>
        <w:tc>
          <w:tcPr>
            <w:tcW w:w="675"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0,04</w:t>
            </w:r>
          </w:p>
        </w:tc>
        <w:tc>
          <w:tcPr>
            <w:tcW w:w="181" w:type="dxa"/>
            <w:tcBorders>
              <w:left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14" w:type="dxa"/>
            <w:tcBorders>
              <w:top w:val="single" w:sz="6" w:space="0" w:color="000000"/>
              <w:left w:val="single" w:sz="6" w:space="0" w:color="000000"/>
              <w:bottom w:val="single" w:sz="6" w:space="0" w:color="000000"/>
              <w:righ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1,416%/12 x 4/12</w:t>
            </w:r>
          </w:p>
        </w:tc>
      </w:tr>
      <w:tr>
        <w:trPr>
          <w:trHeight w:val="315" w:hRule="atLeast"/>
        </w:trPr>
        <w:tc>
          <w:tcPr>
            <w:tcW w:w="388"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3751"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TOTAL</w:t>
            </w:r>
          </w:p>
        </w:tc>
        <w:tc>
          <w:tcPr>
            <w:tcW w:w="675" w:type="dxa"/>
            <w:tcBorders>
              <w:top w:val="single" w:sz="6" w:space="0" w:color="000000"/>
              <w:left w:val="single" w:sz="6" w:space="0" w:color="000000"/>
              <w:bottom w:val="single" w:sz="6" w:space="0" w:color="000000"/>
              <w:right w:val="single" w:sz="6" w:space="0" w:color="000000"/>
            </w:tcBorders>
            <w:shd w:color="auto" w:fill="D3D3D3" w:val="clear"/>
          </w:tcPr>
          <w:p>
            <w:pPr>
              <w:pStyle w:val="Normal1"/>
              <w:tabs>
                <w:tab w:val="clear" w:pos="720"/>
                <w:tab w:val="left" w:pos="-2170" w:leader="none"/>
                <w:tab w:val="left" w:pos="1091" w:leader="none"/>
              </w:tabs>
              <w:spacing w:lineRule="auto" w:line="240"/>
              <w:rPr>
                <w:rFonts w:ascii="Arial" w:hAnsi="Arial"/>
                <w:sz w:val="20"/>
                <w:szCs w:val="20"/>
              </w:rPr>
            </w:pPr>
            <w:r>
              <w:rPr>
                <w:rFonts w:eastAsia="Times New Roman" w:cs="Times New Roman" w:ascii="Arial" w:hAnsi="Arial"/>
                <w:color w:val="000000"/>
                <w:sz w:val="20"/>
                <w:szCs w:val="20"/>
              </w:rPr>
              <w:t>2,33</w:t>
            </w:r>
          </w:p>
        </w:tc>
        <w:tc>
          <w:tcPr>
            <w:tcW w:w="181" w:type="dxa"/>
            <w:tcBorders>
              <w:left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c>
          <w:tcPr>
            <w:tcW w:w="1914" w:type="dxa"/>
            <w:tcBorders>
              <w:top w:val="single" w:sz="6" w:space="0" w:color="000000"/>
            </w:tcBorders>
          </w:tcPr>
          <w:p>
            <w:pPr>
              <w:pStyle w:val="Normal1"/>
              <w:tabs>
                <w:tab w:val="clear" w:pos="720"/>
                <w:tab w:val="left" w:pos="-2170" w:leader="none"/>
                <w:tab w:val="left" w:pos="1091" w:leader="none"/>
              </w:tabs>
              <w:spacing w:lineRule="auto" w:line="240"/>
              <w:rPr>
                <w:rFonts w:ascii="Arial" w:hAnsi="Arial"/>
                <w:sz w:val="20"/>
                <w:szCs w:val="20"/>
              </w:rPr>
            </w:pPr>
            <w:r>
              <w:rPr>
                <w:rFonts w:ascii="Arial" w:hAnsi="Arial"/>
                <w:sz w:val="20"/>
                <w:szCs w:val="20"/>
              </w:rPr>
            </w:r>
          </w:p>
        </w:tc>
      </w:tr>
    </w:tbl>
    <w:p>
      <w:pPr>
        <w:pStyle w:val="Normal1"/>
        <w:tabs>
          <w:tab w:val="clear" w:pos="720"/>
          <w:tab w:val="left" w:pos="-2170" w:leader="none"/>
          <w:tab w:val="left" w:pos="1091" w:leader="none"/>
        </w:tabs>
        <w:spacing w:lineRule="auto" w:line="24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1"/>
        <w:tabs>
          <w:tab w:val="clear" w:pos="720"/>
          <w:tab w:val="left" w:pos="-2170" w:leader="none"/>
          <w:tab w:val="left" w:pos="1091" w:leader="none"/>
        </w:tabs>
        <w:spacing w:lineRule="auto" w:line="240"/>
        <w:rPr>
          <w:rFonts w:ascii="Arial" w:hAnsi="Arial"/>
          <w:sz w:val="22"/>
          <w:szCs w:val="22"/>
        </w:rPr>
      </w:pPr>
      <w:r>
        <w:rPr>
          <w:rFonts w:eastAsia="Times New Roman" w:cs="Times New Roman" w:ascii="Arial" w:hAnsi="Arial"/>
          <w:color w:val="000000"/>
          <w:sz w:val="22"/>
          <w:szCs w:val="22"/>
        </w:rPr>
        <w:t>1. Deve ser ajustado de acordo com o RAT da empresa. Caso haja previsão na proposta do licitante, o índice do FAP deverá ser comprovado por meio de documento hábil, conforme o item 18 do Parecer CORAG/SEORI/AUDIN-MPU n° 111/2014, bem como arredondado para 2 (duas) casas decimais.</w:t>
      </w:r>
    </w:p>
    <w:p>
      <w:pPr>
        <w:pStyle w:val="Normal1"/>
        <w:tabs>
          <w:tab w:val="clear" w:pos="720"/>
          <w:tab w:val="left" w:pos="-2170" w:leader="none"/>
          <w:tab w:val="left" w:pos="1091" w:leader="none"/>
        </w:tabs>
        <w:spacing w:lineRule="auto" w:line="240"/>
        <w:rPr>
          <w:rFonts w:ascii="Arial" w:hAnsi="Arial"/>
          <w:sz w:val="22"/>
          <w:szCs w:val="22"/>
        </w:rPr>
      </w:pPr>
      <w:r>
        <w:rPr>
          <w:rFonts w:eastAsia="Times New Roman" w:cs="Times New Roman" w:ascii="Arial" w:hAnsi="Arial"/>
          <w:i/>
          <w:color w:val="000000"/>
          <w:sz w:val="22"/>
          <w:szCs w:val="22"/>
        </w:rPr>
        <w:t>OBS.: O valor do RAT corresponde à alíquota constante na relação de atividades preponderantes e correspondentes graus de risco, conforme a classificação nacional de atividades econômicas. (Anexo V, Decreto nº 6.957/2009)</w:t>
      </w:r>
    </w:p>
    <w:p>
      <w:pPr>
        <w:pStyle w:val="Normal1"/>
        <w:tabs>
          <w:tab w:val="clear" w:pos="720"/>
          <w:tab w:val="left" w:pos="-2170" w:leader="none"/>
          <w:tab w:val="left" w:pos="1091" w:leader="none"/>
        </w:tabs>
        <w:spacing w:lineRule="auto" w:line="240"/>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tbl>
      <w:tblPr>
        <w:tblW w:w="3357" w:type="dxa"/>
        <w:jc w:val="left"/>
        <w:tblInd w:w="121" w:type="dxa"/>
        <w:tblLayout w:type="fixed"/>
        <w:tblCellMar>
          <w:top w:w="100" w:type="dxa"/>
          <w:left w:w="100" w:type="dxa"/>
          <w:bottom w:w="100" w:type="dxa"/>
          <w:right w:w="100" w:type="dxa"/>
        </w:tblCellMar>
        <w:tblLook w:firstRow="0" w:noVBand="1" w:lastRow="0" w:firstColumn="0" w:lastColumn="0" w:noHBand="0" w:val="0400"/>
      </w:tblPr>
      <w:tblGrid>
        <w:gridCol w:w="1725"/>
        <w:gridCol w:w="1631"/>
      </w:tblGrid>
      <w:tr>
        <w:trPr>
          <w:trHeight w:val="440" w:hRule="atLeast"/>
        </w:trPr>
        <w:tc>
          <w:tcPr>
            <w:tcW w:w="3356" w:type="dxa"/>
            <w:gridSpan w:val="2"/>
            <w:tcBorders>
              <w:top w:val="single" w:sz="8" w:space="0" w:color="000000"/>
              <w:left w:val="single" w:sz="8" w:space="0" w:color="000000"/>
              <w:bottom w:val="single" w:sz="8" w:space="0" w:color="000000"/>
              <w:right w:val="single" w:sz="8" w:space="0" w:color="000000"/>
            </w:tcBorders>
          </w:tcPr>
          <w:p>
            <w:pPr>
              <w:pStyle w:val="Normal1"/>
              <w:tabs>
                <w:tab w:val="clear" w:pos="720"/>
                <w:tab w:val="left" w:pos="-2170" w:leader="none"/>
                <w:tab w:val="left" w:pos="1091" w:leader="none"/>
              </w:tabs>
              <w:spacing w:lineRule="auto" w:line="240"/>
              <w:jc w:val="both"/>
              <w:rPr>
                <w:rFonts w:ascii="Arial" w:hAnsi="Arial"/>
                <w:sz w:val="20"/>
                <w:szCs w:val="20"/>
              </w:rPr>
            </w:pPr>
            <w:r>
              <w:rPr>
                <w:rFonts w:eastAsia="Times New Roman" w:cs="Times New Roman" w:ascii="Arial" w:hAnsi="Arial"/>
                <w:i/>
                <w:color w:val="000000"/>
                <w:sz w:val="20"/>
                <w:szCs w:val="20"/>
              </w:rPr>
              <w:t>Tabela de Tributos</w:t>
            </w:r>
          </w:p>
        </w:tc>
      </w:tr>
      <w:tr>
        <w:trPr/>
        <w:tc>
          <w:tcPr>
            <w:tcW w:w="1725" w:type="dxa"/>
            <w:tcBorders>
              <w:top w:val="single" w:sz="8" w:space="0" w:color="000000"/>
              <w:left w:val="single" w:sz="8" w:space="0" w:color="000000"/>
              <w:bottom w:val="single" w:sz="8" w:space="0" w:color="000000"/>
              <w:right w:val="single" w:sz="8" w:space="0" w:color="000000"/>
            </w:tcBorders>
          </w:tcPr>
          <w:p>
            <w:pPr>
              <w:pStyle w:val="Normal1"/>
              <w:tabs>
                <w:tab w:val="clear" w:pos="720"/>
                <w:tab w:val="left" w:pos="-2170" w:leader="none"/>
                <w:tab w:val="left" w:pos="1091" w:leader="none"/>
              </w:tabs>
              <w:spacing w:lineRule="auto" w:line="240"/>
              <w:jc w:val="both"/>
              <w:rPr>
                <w:rFonts w:ascii="Arial" w:hAnsi="Arial"/>
                <w:sz w:val="20"/>
                <w:szCs w:val="20"/>
              </w:rPr>
            </w:pPr>
            <w:r>
              <w:rPr>
                <w:rFonts w:eastAsia="Times New Roman" w:cs="Times New Roman" w:ascii="Arial" w:hAnsi="Arial"/>
                <w:i/>
                <w:color w:val="000000"/>
                <w:sz w:val="20"/>
                <w:szCs w:val="20"/>
              </w:rPr>
              <w:t>Descriminação</w:t>
            </w:r>
          </w:p>
        </w:tc>
        <w:tc>
          <w:tcPr>
            <w:tcW w:w="1631" w:type="dxa"/>
            <w:tcBorders>
              <w:top w:val="single" w:sz="8" w:space="0" w:color="000000"/>
              <w:left w:val="single" w:sz="8" w:space="0" w:color="000000"/>
              <w:bottom w:val="single" w:sz="8" w:space="0" w:color="000000"/>
              <w:right w:val="single" w:sz="8" w:space="0" w:color="000000"/>
            </w:tcBorders>
          </w:tcPr>
          <w:p>
            <w:pPr>
              <w:pStyle w:val="Normal1"/>
              <w:tabs>
                <w:tab w:val="clear" w:pos="720"/>
                <w:tab w:val="left" w:pos="-2170" w:leader="none"/>
                <w:tab w:val="left" w:pos="1091" w:leader="none"/>
              </w:tabs>
              <w:spacing w:lineRule="auto" w:line="240"/>
              <w:jc w:val="both"/>
              <w:rPr>
                <w:rFonts w:ascii="Arial" w:hAnsi="Arial"/>
                <w:sz w:val="20"/>
                <w:szCs w:val="20"/>
              </w:rPr>
            </w:pPr>
            <w:r>
              <w:rPr>
                <w:rFonts w:eastAsia="Times New Roman" w:cs="Times New Roman" w:ascii="Arial" w:hAnsi="Arial"/>
                <w:i/>
                <w:color w:val="000000"/>
                <w:sz w:val="20"/>
                <w:szCs w:val="20"/>
              </w:rPr>
              <w:t>Percentuais (%)</w:t>
            </w:r>
          </w:p>
        </w:tc>
      </w:tr>
      <w:tr>
        <w:trPr/>
        <w:tc>
          <w:tcPr>
            <w:tcW w:w="1725" w:type="dxa"/>
            <w:tcBorders>
              <w:top w:val="single" w:sz="8" w:space="0" w:color="000000"/>
              <w:left w:val="single" w:sz="8" w:space="0" w:color="000000"/>
              <w:bottom w:val="single" w:sz="8" w:space="0" w:color="000000"/>
              <w:right w:val="single" w:sz="8" w:space="0" w:color="000000"/>
            </w:tcBorders>
          </w:tcPr>
          <w:p>
            <w:pPr>
              <w:pStyle w:val="Normal1"/>
              <w:tabs>
                <w:tab w:val="clear" w:pos="720"/>
                <w:tab w:val="left" w:pos="-2170" w:leader="none"/>
                <w:tab w:val="left" w:pos="1091" w:leader="none"/>
              </w:tabs>
              <w:spacing w:lineRule="auto" w:line="240"/>
              <w:jc w:val="both"/>
              <w:rPr>
                <w:rFonts w:ascii="Arial" w:hAnsi="Arial"/>
                <w:sz w:val="20"/>
                <w:szCs w:val="20"/>
              </w:rPr>
            </w:pPr>
            <w:r>
              <w:rPr>
                <w:rFonts w:eastAsia="Times New Roman" w:cs="Times New Roman" w:ascii="Arial" w:hAnsi="Arial"/>
                <w:i/>
                <w:color w:val="000000"/>
                <w:sz w:val="20"/>
                <w:szCs w:val="20"/>
              </w:rPr>
              <w:t>ISS (do município)</w:t>
            </w:r>
          </w:p>
        </w:tc>
        <w:tc>
          <w:tcPr>
            <w:tcW w:w="1631" w:type="dxa"/>
            <w:tcBorders>
              <w:top w:val="single" w:sz="8" w:space="0" w:color="000000"/>
              <w:left w:val="single" w:sz="8" w:space="0" w:color="000000"/>
              <w:bottom w:val="single" w:sz="8" w:space="0" w:color="000000"/>
              <w:right w:val="single" w:sz="8" w:space="0" w:color="000000"/>
            </w:tcBorders>
          </w:tcPr>
          <w:p>
            <w:pPr>
              <w:pStyle w:val="Normal1"/>
              <w:tabs>
                <w:tab w:val="clear" w:pos="720"/>
                <w:tab w:val="left" w:pos="-2170" w:leader="none"/>
                <w:tab w:val="left" w:pos="1091" w:leader="none"/>
              </w:tabs>
              <w:spacing w:lineRule="auto" w:line="240"/>
              <w:jc w:val="both"/>
              <w:rPr>
                <w:rFonts w:ascii="Arial" w:hAnsi="Arial"/>
                <w:sz w:val="20"/>
                <w:szCs w:val="20"/>
              </w:rPr>
            </w:pPr>
            <w:r>
              <w:rPr>
                <w:rFonts w:eastAsia="Times New Roman" w:cs="Times New Roman" w:ascii="Arial" w:hAnsi="Arial"/>
                <w:i/>
                <w:color w:val="000000"/>
                <w:sz w:val="20"/>
                <w:szCs w:val="20"/>
              </w:rPr>
              <w:t>2,0</w:t>
            </w:r>
          </w:p>
        </w:tc>
      </w:tr>
      <w:tr>
        <w:trPr/>
        <w:tc>
          <w:tcPr>
            <w:tcW w:w="1725" w:type="dxa"/>
            <w:tcBorders>
              <w:top w:val="single" w:sz="8" w:space="0" w:color="000000"/>
              <w:left w:val="single" w:sz="8" w:space="0" w:color="000000"/>
              <w:bottom w:val="single" w:sz="8" w:space="0" w:color="000000"/>
              <w:right w:val="single" w:sz="8" w:space="0" w:color="000000"/>
            </w:tcBorders>
          </w:tcPr>
          <w:p>
            <w:pPr>
              <w:pStyle w:val="Normal1"/>
              <w:tabs>
                <w:tab w:val="clear" w:pos="720"/>
                <w:tab w:val="left" w:pos="-2170" w:leader="none"/>
                <w:tab w:val="left" w:pos="1091" w:leader="none"/>
              </w:tabs>
              <w:spacing w:lineRule="auto" w:line="240"/>
              <w:jc w:val="both"/>
              <w:rPr>
                <w:rFonts w:ascii="Arial" w:hAnsi="Arial"/>
                <w:sz w:val="20"/>
                <w:szCs w:val="20"/>
              </w:rPr>
            </w:pPr>
            <w:r>
              <w:rPr>
                <w:rFonts w:eastAsia="Times New Roman" w:cs="Times New Roman" w:ascii="Arial" w:hAnsi="Arial"/>
                <w:i/>
                <w:color w:val="000000"/>
                <w:sz w:val="20"/>
                <w:szCs w:val="20"/>
              </w:rPr>
              <w:t>COFINS</w:t>
            </w:r>
          </w:p>
        </w:tc>
        <w:tc>
          <w:tcPr>
            <w:tcW w:w="1631" w:type="dxa"/>
            <w:tcBorders>
              <w:top w:val="single" w:sz="8" w:space="0" w:color="000000"/>
              <w:left w:val="single" w:sz="8" w:space="0" w:color="000000"/>
              <w:bottom w:val="single" w:sz="8" w:space="0" w:color="000000"/>
              <w:right w:val="single" w:sz="8" w:space="0" w:color="000000"/>
            </w:tcBorders>
          </w:tcPr>
          <w:p>
            <w:pPr>
              <w:pStyle w:val="Normal1"/>
              <w:tabs>
                <w:tab w:val="clear" w:pos="720"/>
                <w:tab w:val="left" w:pos="-2170" w:leader="none"/>
                <w:tab w:val="left" w:pos="1091" w:leader="none"/>
              </w:tabs>
              <w:spacing w:lineRule="auto" w:line="240"/>
              <w:jc w:val="both"/>
              <w:rPr>
                <w:rFonts w:ascii="Arial" w:hAnsi="Arial"/>
                <w:sz w:val="20"/>
                <w:szCs w:val="20"/>
              </w:rPr>
            </w:pPr>
            <w:r>
              <w:rPr>
                <w:rFonts w:eastAsia="Times New Roman" w:cs="Times New Roman" w:ascii="Arial" w:hAnsi="Arial"/>
                <w:i/>
                <w:color w:val="000000"/>
                <w:sz w:val="20"/>
                <w:szCs w:val="20"/>
              </w:rPr>
              <w:t>3,0</w:t>
            </w:r>
          </w:p>
        </w:tc>
      </w:tr>
      <w:tr>
        <w:trPr/>
        <w:tc>
          <w:tcPr>
            <w:tcW w:w="1725" w:type="dxa"/>
            <w:tcBorders>
              <w:top w:val="single" w:sz="8" w:space="0" w:color="000000"/>
              <w:left w:val="single" w:sz="8" w:space="0" w:color="000000"/>
              <w:bottom w:val="single" w:sz="8" w:space="0" w:color="000000"/>
              <w:right w:val="single" w:sz="8" w:space="0" w:color="000000"/>
            </w:tcBorders>
          </w:tcPr>
          <w:p>
            <w:pPr>
              <w:pStyle w:val="Normal1"/>
              <w:tabs>
                <w:tab w:val="clear" w:pos="720"/>
                <w:tab w:val="left" w:pos="-2170" w:leader="none"/>
                <w:tab w:val="left" w:pos="1091" w:leader="none"/>
              </w:tabs>
              <w:spacing w:lineRule="auto" w:line="240"/>
              <w:jc w:val="both"/>
              <w:rPr>
                <w:rFonts w:ascii="Arial" w:hAnsi="Arial"/>
                <w:sz w:val="20"/>
                <w:szCs w:val="20"/>
              </w:rPr>
            </w:pPr>
            <w:r>
              <w:rPr>
                <w:rFonts w:eastAsia="Times New Roman" w:cs="Times New Roman" w:ascii="Arial" w:hAnsi="Arial"/>
                <w:i/>
                <w:color w:val="000000"/>
                <w:sz w:val="20"/>
                <w:szCs w:val="20"/>
              </w:rPr>
              <w:t>PIS</w:t>
            </w:r>
          </w:p>
        </w:tc>
        <w:tc>
          <w:tcPr>
            <w:tcW w:w="1631" w:type="dxa"/>
            <w:tcBorders>
              <w:top w:val="single" w:sz="8" w:space="0" w:color="000000"/>
              <w:left w:val="single" w:sz="8" w:space="0" w:color="000000"/>
              <w:bottom w:val="single" w:sz="8" w:space="0" w:color="000000"/>
              <w:right w:val="single" w:sz="8" w:space="0" w:color="000000"/>
            </w:tcBorders>
          </w:tcPr>
          <w:p>
            <w:pPr>
              <w:pStyle w:val="Normal1"/>
              <w:tabs>
                <w:tab w:val="clear" w:pos="720"/>
                <w:tab w:val="left" w:pos="-2170" w:leader="none"/>
                <w:tab w:val="left" w:pos="1091" w:leader="none"/>
              </w:tabs>
              <w:spacing w:lineRule="auto" w:line="240"/>
              <w:jc w:val="both"/>
              <w:rPr>
                <w:rFonts w:ascii="Arial" w:hAnsi="Arial"/>
                <w:sz w:val="20"/>
                <w:szCs w:val="20"/>
              </w:rPr>
            </w:pPr>
            <w:r>
              <w:rPr>
                <w:rFonts w:eastAsia="Times New Roman" w:cs="Times New Roman" w:ascii="Arial" w:hAnsi="Arial"/>
                <w:i/>
                <w:color w:val="000000"/>
                <w:sz w:val="20"/>
                <w:szCs w:val="20"/>
              </w:rPr>
              <w:t>0,65</w:t>
            </w:r>
          </w:p>
        </w:tc>
      </w:tr>
      <w:tr>
        <w:trPr>
          <w:trHeight w:val="471" w:hRule="atLeast"/>
        </w:trPr>
        <w:tc>
          <w:tcPr>
            <w:tcW w:w="1725" w:type="dxa"/>
            <w:tcBorders>
              <w:top w:val="single" w:sz="8" w:space="0" w:color="000000"/>
              <w:left w:val="single" w:sz="8" w:space="0" w:color="000000"/>
              <w:bottom w:val="single" w:sz="8" w:space="0" w:color="000000"/>
              <w:right w:val="single" w:sz="8" w:space="0" w:color="000000"/>
            </w:tcBorders>
          </w:tcPr>
          <w:p>
            <w:pPr>
              <w:pStyle w:val="Normal1"/>
              <w:tabs>
                <w:tab w:val="clear" w:pos="720"/>
                <w:tab w:val="left" w:pos="-2170" w:leader="none"/>
                <w:tab w:val="left" w:pos="1091" w:leader="none"/>
              </w:tabs>
              <w:spacing w:lineRule="auto" w:line="240"/>
              <w:jc w:val="both"/>
              <w:rPr>
                <w:rFonts w:ascii="Arial" w:hAnsi="Arial"/>
                <w:sz w:val="20"/>
                <w:szCs w:val="20"/>
              </w:rPr>
            </w:pPr>
            <w:r>
              <w:rPr>
                <w:rFonts w:eastAsia="Times New Roman" w:cs="Times New Roman" w:ascii="Arial" w:hAnsi="Arial"/>
                <w:i/>
                <w:color w:val="000000"/>
                <w:sz w:val="20"/>
                <w:szCs w:val="20"/>
              </w:rPr>
              <w:t>TOTAL</w:t>
            </w:r>
          </w:p>
        </w:tc>
        <w:tc>
          <w:tcPr>
            <w:tcW w:w="1631" w:type="dxa"/>
            <w:tcBorders>
              <w:top w:val="single" w:sz="8" w:space="0" w:color="000000"/>
              <w:left w:val="single" w:sz="8" w:space="0" w:color="000000"/>
              <w:bottom w:val="single" w:sz="8" w:space="0" w:color="000000"/>
              <w:right w:val="single" w:sz="8" w:space="0" w:color="000000"/>
            </w:tcBorders>
          </w:tcPr>
          <w:p>
            <w:pPr>
              <w:pStyle w:val="Normal1"/>
              <w:tabs>
                <w:tab w:val="clear" w:pos="720"/>
                <w:tab w:val="left" w:pos="-2170" w:leader="none"/>
                <w:tab w:val="left" w:pos="1091" w:leader="none"/>
              </w:tabs>
              <w:spacing w:lineRule="auto" w:line="240"/>
              <w:jc w:val="both"/>
              <w:rPr>
                <w:rFonts w:ascii="Arial" w:hAnsi="Arial"/>
                <w:sz w:val="20"/>
                <w:szCs w:val="20"/>
              </w:rPr>
            </w:pPr>
            <w:r>
              <w:rPr>
                <w:rFonts w:eastAsia="Times New Roman" w:cs="Times New Roman" w:ascii="Arial" w:hAnsi="Arial"/>
                <w:i/>
                <w:color w:val="000000"/>
                <w:sz w:val="20"/>
                <w:szCs w:val="20"/>
              </w:rPr>
              <w:t>5,65</w:t>
            </w:r>
          </w:p>
        </w:tc>
      </w:tr>
    </w:tbl>
    <w:p>
      <w:pPr>
        <w:pStyle w:val="Normal1"/>
        <w:spacing w:lineRule="auto" w:line="240"/>
        <w:jc w:val="center"/>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14. DA ADEQUAÇÃO ORÇAMENTÁRIA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14.1. As despesas decorrentes da presente contratação correrão a conta de recursos específicos consignados no Orçamento Geral do Estado.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14.2. A contratação será atendida pela seguinte dotação:</w:t>
      </w:r>
    </w:p>
    <w:p>
      <w:pPr>
        <w:pStyle w:val="Normal1"/>
        <w:spacing w:lineRule="auto" w:line="240" w:before="57" w:after="57"/>
        <w:jc w:val="both"/>
        <w:rPr>
          <w:highlight w:val="none"/>
          <w:shd w:fill="auto" w:val="clear"/>
        </w:rPr>
      </w:pPr>
      <w:r>
        <w:rPr>
          <w:rFonts w:eastAsia="Times New Roman" w:cs="Times New Roman" w:ascii="Arial" w:hAnsi="Arial"/>
          <w:color w:val="000000"/>
          <w:sz w:val="22"/>
          <w:szCs w:val="22"/>
          <w:shd w:fill="auto" w:val="clear"/>
        </w:rPr>
        <w:t xml:space="preserve">30100014.14.422.420.20333.03.449037.1.500.9100000.5.3.01. </w:t>
      </w:r>
    </w:p>
    <w:p>
      <w:pPr>
        <w:pStyle w:val="BodyText"/>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shd w:fill="auto" w:val="clear"/>
          <w:lang w:val="pt-BR"/>
        </w:rPr>
        <w:t xml:space="preserve">14.2.1. </w:t>
      </w:r>
      <w:r>
        <w:rPr>
          <w:rFonts w:eastAsia="Arial" w:cs="Arial" w:ascii="Arial" w:hAnsi="Arial"/>
          <w:b w:val="false"/>
          <w:bCs w:val="false"/>
          <w:color w:val="auto"/>
          <w:sz w:val="22"/>
          <w:szCs w:val="22"/>
          <w:lang w:val="pt-BR"/>
        </w:rPr>
        <w:t>Gestão/Unidade:</w:t>
      </w:r>
      <w:r>
        <w:rPr>
          <w:rFonts w:eastAsia="Arial" w:cs="Arial" w:ascii="Arial" w:hAnsi="Arial"/>
          <w:b w:val="false"/>
          <w:bCs w:val="false"/>
          <w:color w:val="000000"/>
          <w:sz w:val="22"/>
          <w:szCs w:val="22"/>
          <w:shd w:fill="auto" w:val="clear"/>
          <w:lang w:val="pt-BR"/>
        </w:rPr>
        <w:t xml:space="preserve"> 30100014;</w:t>
      </w:r>
    </w:p>
    <w:p>
      <w:pPr>
        <w:pStyle w:val="BodyText"/>
        <w:spacing w:lineRule="auto" w:line="240" w:before="57" w:after="57"/>
        <w:ind w:hanging="0" w:left="0" w:right="0"/>
        <w:jc w:val="both"/>
        <w:rPr>
          <w:rFonts w:ascii="Arial" w:hAnsi="Arial"/>
          <w:b w:val="false"/>
          <w:bCs w:val="false"/>
          <w:color w:val="auto"/>
          <w:sz w:val="22"/>
          <w:szCs w:val="22"/>
          <w:shd w:fill="auto" w:val="clear"/>
          <w:lang w:val="pt-BR"/>
        </w:rPr>
      </w:pPr>
      <w:r>
        <w:rPr>
          <w:rFonts w:eastAsia="Arial" w:cs="Arial" w:ascii="Arial" w:hAnsi="Arial"/>
          <w:b w:val="false"/>
          <w:bCs w:val="false"/>
          <w:color w:val="000000"/>
          <w:sz w:val="22"/>
          <w:szCs w:val="22"/>
          <w:shd w:fill="auto" w:val="clear"/>
          <w:lang w:val="pt-BR"/>
        </w:rPr>
        <w:t>14.2.2. Fonte de Recursos: 500;</w:t>
      </w:r>
    </w:p>
    <w:p>
      <w:pPr>
        <w:pStyle w:val="Normal"/>
        <w:spacing w:lineRule="auto" w:line="240" w:before="57" w:after="57"/>
        <w:ind w:hanging="0" w:left="0" w:right="0"/>
        <w:jc w:val="both"/>
        <w:rPr>
          <w:rFonts w:ascii="Arial" w:hAnsi="Arial" w:cs="Arial"/>
          <w:b w:val="false"/>
          <w:bCs w:val="false"/>
          <w:color w:val="auto"/>
          <w:sz w:val="22"/>
          <w:szCs w:val="22"/>
          <w:shd w:fill="auto" w:val="clear"/>
          <w:lang w:val="pt-BR"/>
        </w:rPr>
      </w:pPr>
      <w:r>
        <w:rPr>
          <w:rFonts w:eastAsia="Arial" w:cs="Arial" w:ascii="Arial" w:hAnsi="Arial"/>
          <w:b w:val="false"/>
          <w:bCs w:val="false"/>
          <w:color w:val="000000"/>
          <w:sz w:val="22"/>
          <w:szCs w:val="22"/>
          <w:shd w:fill="auto" w:val="clear"/>
          <w:lang w:val="pt-BR"/>
        </w:rPr>
        <w:t>14.2.3. Programa de Trabalho: 14.422.420;</w:t>
      </w:r>
    </w:p>
    <w:p>
      <w:pPr>
        <w:pStyle w:val="BodyText"/>
        <w:widowControl/>
        <w:tabs>
          <w:tab w:val="clear" w:pos="720"/>
          <w:tab w:val="left" w:pos="-2170" w:leader="none"/>
          <w:tab w:val="left" w:pos="1091" w:leader="none"/>
        </w:tabs>
        <w:suppressAutoHyphens w:val="true"/>
        <w:overflowPunct w:val="true"/>
        <w:bidi w:val="0"/>
        <w:snapToGrid w:val="false"/>
        <w:spacing w:lineRule="auto" w:line="240" w:before="57" w:after="57"/>
        <w:ind w:hanging="0" w:left="0" w:right="0"/>
        <w:jc w:val="both"/>
        <w:rPr>
          <w:rFonts w:ascii="Arial" w:hAnsi="Arial" w:eastAsia="N117" w:cs="Arial"/>
          <w:b w:val="false"/>
          <w:bCs w:val="false"/>
          <w:i/>
          <w:i/>
          <w:iCs/>
          <w:color w:val="auto"/>
          <w:kern w:val="2"/>
          <w:sz w:val="22"/>
          <w:szCs w:val="22"/>
          <w:u w:val="none"/>
          <w:shd w:fill="auto" w:val="clear"/>
          <w:lang w:val="pt-BR" w:eastAsia="zxx" w:bidi="ar-SA"/>
        </w:rPr>
      </w:pPr>
      <w:r>
        <w:rPr>
          <w:rStyle w:val="Fontepargpadro1"/>
          <w:rFonts w:eastAsia="Times New Roman" w:cs="Times New Roman" w:ascii="Arial" w:hAnsi="Arial"/>
          <w:b w:val="false"/>
          <w:bCs w:val="false"/>
          <w:i/>
          <w:iCs/>
          <w:color w:val="000000"/>
          <w:kern w:val="2"/>
          <w:sz w:val="22"/>
          <w:szCs w:val="22"/>
          <w:u w:val="none"/>
          <w:shd w:fill="auto" w:val="clear"/>
          <w:lang w:val="pt-BR" w:eastAsia="zxx" w:bidi="ar-SA"/>
        </w:rPr>
        <w:t>14</w:t>
      </w:r>
      <w:r>
        <w:rPr>
          <w:rStyle w:val="Fontepargpadro1"/>
          <w:rFonts w:eastAsia="Arial" w:cs="Arial" w:ascii="Arial" w:hAnsi="Arial"/>
          <w:b w:val="false"/>
          <w:bCs w:val="false"/>
          <w:i w:val="false"/>
          <w:iCs w:val="false"/>
          <w:strike w:val="false"/>
          <w:dstrike w:val="false"/>
          <w:color w:val="000000"/>
          <w:kern w:val="2"/>
          <w:sz w:val="22"/>
          <w:szCs w:val="22"/>
          <w:u w:val="none"/>
          <w:effect w:val="none"/>
          <w:shd w:fill="auto" w:val="clear"/>
          <w:lang w:val="pt-BR" w:eastAsia="zh-CN" w:bidi="hi-IN"/>
        </w:rPr>
        <w:t>.2.4. Elemento de Despesa: 449037;</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15. DOS ANEXOS DO TERMO DE REFERÊNCIA</w:t>
      </w:r>
    </w:p>
    <w:p>
      <w:pPr>
        <w:pStyle w:val="Normal1"/>
        <w:tabs>
          <w:tab w:val="clear" w:pos="720"/>
          <w:tab w:val="left" w:pos="2520"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ANEXO A – ESTUDO TÉCNICO PRELIMINAR</w:t>
      </w:r>
    </w:p>
    <w:p>
      <w:pPr>
        <w:pStyle w:val="Normal1"/>
        <w:tabs>
          <w:tab w:val="clear" w:pos="720"/>
          <w:tab w:val="left" w:pos="2520" w:leader="none"/>
        </w:tabs>
        <w:spacing w:lineRule="auto" w:line="240" w:before="57" w:after="57"/>
        <w:jc w:val="both"/>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tabs>
          <w:tab w:val="clear" w:pos="720"/>
          <w:tab w:val="left" w:pos="2520" w:leader="none"/>
        </w:tabs>
        <w:spacing w:lineRule="auto" w:line="24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1"/>
        <w:tabs>
          <w:tab w:val="clear" w:pos="720"/>
          <w:tab w:val="left" w:pos="2520" w:leader="none"/>
        </w:tabs>
        <w:spacing w:lineRule="auto" w:line="24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1"/>
        <w:tabs>
          <w:tab w:val="clear" w:pos="720"/>
          <w:tab w:val="left" w:pos="2520" w:leader="none"/>
        </w:tabs>
        <w:spacing w:lineRule="auto" w:line="24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ascii="Arial" w:hAnsi="Arial"/>
          <w:sz w:val="22"/>
          <w:szCs w:val="22"/>
        </w:rPr>
      </w:r>
    </w:p>
    <w:p>
      <w:pPr>
        <w:pStyle w:val="Normal1"/>
        <w:tabs>
          <w:tab w:val="clear" w:pos="720"/>
          <w:tab w:val="left" w:pos="2520" w:leader="none"/>
        </w:tabs>
        <w:spacing w:lineRule="auto" w:line="240" w:before="57" w:after="57"/>
        <w:jc w:val="center"/>
        <w:rPr>
          <w:rFonts w:ascii="Arial" w:hAnsi="Arial"/>
          <w:sz w:val="22"/>
          <w:szCs w:val="22"/>
        </w:rPr>
      </w:pPr>
      <w:r>
        <w:rPr>
          <w:rFonts w:eastAsia="Times New Roman" w:cs="Times New Roman" w:ascii="Arial" w:hAnsi="Arial"/>
          <w:b/>
          <w:color w:val="000000"/>
          <w:sz w:val="22"/>
          <w:szCs w:val="22"/>
        </w:rPr>
        <w:t>ANEXO A – ESTUDO TÉCNICO PRELIMINAR</w:t>
      </w:r>
    </w:p>
    <w:p>
      <w:pPr>
        <w:pStyle w:val="Normal1"/>
        <w:tabs>
          <w:tab w:val="clear" w:pos="720"/>
          <w:tab w:val="left" w:pos="2520" w:leader="none"/>
        </w:tabs>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tabs>
          <w:tab w:val="clear" w:pos="720"/>
          <w:tab w:val="left" w:pos="2520"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1. DESCRIÇÃO DA NECESSIDADE DA CONTRATAÇÃO.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O Núcleo de Ação pela Paz (NAPAZ) é um equipamento público de base territorial, cujo propósito é ancorar projetos de prevenção e redução da violência, através da articulação institucional e comunitária e da oferta de ações voltadas aos públicos específicos alcançados pela violência: crianças, jovens, mulheres, pessoas negras e população LGBTQIA+. O NAPAZ atua diretamente na dinâmica social estabelecida pois, ao se inserir em áreas de vulnerabilidade social, fortalece a associação entre a rede de proteção sociocomunitária (coletivos de juventudes, centros comunitários, associações, projetos sociais, organizações não governamentais e etc) e os serviços públicos de base local (postos de saúde, escolas, centros culturais e etc) para aperfeiçoar os fluxos de atendimento para prevenção da violência, através das seguintes atividades: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a)Mapeamento da rede institucional e comunitária do território;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b)Oferta de oficinas e atividade nas linguagens esportivas, artísticas, culturais e etc;</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c)Articulação e acompanhamento das ações que compõem a carteira de projetos do PReVio (LABJUV, PROJEMA, Jovens Mediadores, Virando o Jogo e EMPODERA, entre outros);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d) Realização/apoio de eventos que favoreçam a convivência comunitária;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e) Implantação de um Comitê Territorial para identificação e acompanhamento de casos de violência em cada território, definindo a classificação de riscos para os públicos priorizados.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Nesse sentido, serão implementados 05 (cinco) equipamentos NAPAZ até 2026, estando, atualmente, em diferentes fases de implementação: 01 (um) entregue, 02 (dois) em processo de finalização da obra e 02 (dois) em fase inicial da obra, perfazendo a necessidade de implementação de 05 (cinco) postos de vigilância, diurna e noturna, com dedicação exclusiva de mão de obra, a serem instalados conforme a demanda.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Ressalte-se que a execução das obras dos Núcleos de Ação Pela Paz (NAPAZ) constam como contrapartida, no âmbito do Contrato de Empréstimo nº 5237/OC-BR, firmado entre o Estado do Ceará e o Banco Interamericano de Desenvolvimento, que tem como objeto a concessão de empréstimo para financiar o Programa Integrado de Prevenção e Redução da Violência (PReVio), devendo atender planejamento de execução física, financeira e orçamentária previamente acordado como condição para o sobredito empréstimo.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Nesse aspecto, a previsão de recursos disponibilizados e consequente entrega das obras dos NAPAZ devem seguir o plano de aquisições e o planejamento de execução plurianual, conforme planejamento físico-financeiro realizado junto ao BID, ressaltando-se que a execução dos serviços será prestada conforme a demanda (por emissão de Ordem de Serviço).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Portanto, cabe considerar a contratação de empresa para prestação de serviços contínuos, serem executados com dedicação exclusiva de mão de obra terceirizada, sob demanda, regidos pela Consolidação da Leis Trabalhistas (CLT) para atender as necessidades da área de Vigilância dos Núcleos de Ação Pela Paz (NAPAZ), do Programa Integrado de Prevenção e Redução à Violência (PReVio), conforme condições e quantidades estabelecidas no edital e seus anexos e na proposta do contratado.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Ressaltamos que os postos de trabalho serão preenchidos conforme discriminação: Barra do Ceará; Granja Lisboa; Curió; Vicente Pizon e Jangurussu. Nessas localidades funcionará de forma intermitente as ações de políticas públicas oriundas das ações referentes ao projeto NAPAZ. </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Para fins de garantir a plena capacidade de funcionamento da política pública, é importante que as instalações do equipamento público descrito restem resguardadas, por meio de serviço de segurança patrimonial, dos bens móveis e imóveis, evitando-se a ocorrência de dano ao patrimônio público decorrente da ação de terceiros, e, também, aprimorando-se o controle e monitoramento do fluxo de pessoas à instituição.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Cabe ressaltar que o Decreto Estadual nº 35.790, de 20 de dezembro de 2023, estabelece a preferência pela execução indireta de serviços de vigilância: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Art. 2º Os serviços terceirizados disciplinados por este Decreto são aqueles relacionados às atividades materiais acessórias, instrumentais ou complementares aos assuntos que constituem área de competência legal do órgão ou entidade, caracterizando-se como serviços de execução indireta.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Parágrafo único. As atividades de conservação, limpeza, vigilância, informática, copeiragem, teleatendimento e recepção, </w:t>
      </w:r>
      <w:r>
        <w:rPr>
          <w:rFonts w:eastAsia="Times New Roman" w:cs="Times New Roman" w:ascii="Arial" w:hAnsi="Arial"/>
          <w:color w:val="000000"/>
          <w:sz w:val="22"/>
          <w:szCs w:val="22"/>
          <w:u w:val="single"/>
        </w:rPr>
        <w:t>serão, preferencialmente, objeto de</w:t>
      </w:r>
      <w:r>
        <w:rPr>
          <w:rFonts w:eastAsia="Times New Roman" w:cs="Times New Roman" w:ascii="Arial" w:hAnsi="Arial"/>
          <w:color w:val="000000"/>
          <w:sz w:val="22"/>
          <w:szCs w:val="22"/>
        </w:rPr>
        <w:t xml:space="preserve"> </w:t>
      </w:r>
      <w:r>
        <w:rPr>
          <w:rFonts w:eastAsia="Times New Roman" w:cs="Times New Roman" w:ascii="Arial" w:hAnsi="Arial"/>
          <w:color w:val="000000"/>
          <w:sz w:val="22"/>
          <w:szCs w:val="22"/>
          <w:u w:val="single"/>
        </w:rPr>
        <w:t>execução indireta.</w:t>
      </w:r>
      <w:r>
        <w:rPr>
          <w:rFonts w:eastAsia="Times New Roman" w:cs="Times New Roman" w:ascii="Arial" w:hAnsi="Arial"/>
          <w:color w:val="000000"/>
          <w:sz w:val="22"/>
          <w:szCs w:val="22"/>
        </w:rPr>
        <w:t xml:space="preserve"> [Grifos Nossos]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2. DESCRIÇÃO</w:t>
        <w:tab/>
        <w:t xml:space="preserve">DOS </w:t>
        <w:tab/>
        <w:t xml:space="preserve">REQUISITOS </w:t>
        <w:tab/>
        <w:t>DA</w:t>
        <w:tab/>
        <w:t>CONTRATAÇÃO</w:t>
        <w:tab/>
        <w:t>NECESSÁRIOS E SUFICIENTES À ESCOLHA DA SOLUÇÃO.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 partir da análise da demanda, considerando os argumentos anteriormente expostos, avalia-se que a solução para contratação é a de mão de obra com dedicação exclusiva, devendo ser atendidos os requisitos abaixo listados:</w:t>
      </w:r>
    </w:p>
    <w:p>
      <w:pPr>
        <w:pStyle w:val="Normal1"/>
        <w:tabs>
          <w:tab w:val="clear" w:pos="720"/>
          <w:tab w:val="left" w:pos="851" w:leader="none"/>
        </w:tabs>
        <w:spacing w:lineRule="auto" w:line="240" w:before="57" w:after="57"/>
        <w:jc w:val="both"/>
        <w:rPr>
          <w:rFonts w:ascii="Arial" w:hAnsi="Arial"/>
          <w:b/>
          <w:bCs/>
          <w:sz w:val="22"/>
          <w:szCs w:val="22"/>
        </w:rPr>
      </w:pPr>
      <w:r>
        <w:rPr>
          <w:rFonts w:eastAsia="Times New Roman" w:cs="Times New Roman" w:ascii="Arial" w:hAnsi="Arial"/>
          <w:b/>
          <w:bCs/>
          <w:color w:val="000000"/>
          <w:sz w:val="22"/>
          <w:szCs w:val="22"/>
        </w:rPr>
        <w:t>Requisitos Legais e Normativos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Para operação da solução, faz-se necessária a observância das normas relativas à contratação de serviços na administração pública, qual seja Lei Federal nº 14.133/2021, Decreto Estadual nº 35.790/2023, Decreto Estadual nº 35.067/2022 e suas alterações.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 profissão de vigilante deve atender ao regulamento específico que trata sobre o exercício da atividade de segurança privada, devendo-se ser observada o que dispõe a Lei nº 7.102, de 20 de junho de 1983, Decreto nº 89.056, de 24 de novembro de 1983, Portaria nº 3.233/2012 - DG/DPF, 10 de dezembro de 2012 e Portaria nº 18.045 - DG/DPF, de 17 abril de 2023.</w:t>
      </w:r>
    </w:p>
    <w:p>
      <w:pPr>
        <w:pStyle w:val="Normal1"/>
        <w:tabs>
          <w:tab w:val="clear" w:pos="720"/>
          <w:tab w:val="left" w:pos="851" w:leader="none"/>
        </w:tabs>
        <w:spacing w:lineRule="auto" w:line="240" w:before="57" w:after="57"/>
        <w:jc w:val="both"/>
        <w:rPr>
          <w:rFonts w:ascii="Arial" w:hAnsi="Arial"/>
          <w:b/>
          <w:bCs/>
          <w:sz w:val="22"/>
          <w:szCs w:val="22"/>
        </w:rPr>
      </w:pPr>
      <w:r>
        <w:rPr>
          <w:rFonts w:eastAsia="Times New Roman" w:cs="Times New Roman" w:ascii="Arial" w:hAnsi="Arial"/>
          <w:b/>
          <w:bCs/>
          <w:color w:val="000000"/>
          <w:sz w:val="22"/>
          <w:szCs w:val="22"/>
        </w:rPr>
        <w:t>Da Natureza continuada do Serviço: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Dada a necessidade de prestação em tempo integral do serviço de vigilância patrimonial, não cabendo a execução intermitente, justifica-se o caráter contínuo da prestação, considerando que a eventual interrupção poderá comprometer a prestação dos serviços públicos, sob pena de prejuízo ao interesse público.</w:t>
      </w:r>
    </w:p>
    <w:p>
      <w:pPr>
        <w:pStyle w:val="Normal1"/>
        <w:tabs>
          <w:tab w:val="clear" w:pos="720"/>
          <w:tab w:val="left" w:pos="851" w:leader="none"/>
        </w:tabs>
        <w:spacing w:lineRule="auto" w:line="240" w:before="57" w:after="57"/>
        <w:jc w:val="both"/>
        <w:rPr>
          <w:rFonts w:ascii="Arial" w:hAnsi="Arial"/>
          <w:b/>
          <w:bCs/>
          <w:sz w:val="22"/>
          <w:szCs w:val="22"/>
        </w:rPr>
      </w:pPr>
      <w:r>
        <w:rPr>
          <w:rFonts w:eastAsia="Times New Roman" w:cs="Times New Roman" w:ascii="Arial" w:hAnsi="Arial"/>
          <w:b/>
          <w:bCs/>
          <w:color w:val="000000"/>
          <w:sz w:val="22"/>
          <w:szCs w:val="22"/>
        </w:rPr>
        <w:t>De acordo com o Acórdão do TCU nº 132/2008:</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w:t>
      </w:r>
      <w:r>
        <w:rPr>
          <w:rFonts w:eastAsia="Times New Roman" w:cs="Times New Roman" w:ascii="Arial" w:hAnsi="Arial"/>
          <w:i/>
          <w:color w:val="000000"/>
          <w:sz w:val="22"/>
          <w:szCs w:val="22"/>
        </w:rPr>
        <w:t>Na realidade, o que caracteriza o caráter contínuo de um determinado serviço é sua essencialidade para assegurar a integridade do patrimônio público de forma rotineira e permanente ou para manter o funcionamento das atividades finalísticas do ente administrativo, de modo que sua interrupção possa comprometer a prestação de um serviço público ou o cumprimento da missão institucional (Acórdão 429/2010-Segunda Câmara. Relator Aroldo Cedraz).</w:t>
      </w:r>
      <w:r>
        <w:rPr>
          <w:rFonts w:eastAsia="Times New Roman" w:cs="Times New Roman" w:ascii="Arial" w:hAnsi="Arial"/>
          <w:color w:val="000000"/>
          <w:sz w:val="22"/>
          <w:szCs w:val="22"/>
        </w:rPr>
        <w:t>”</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Ademais, a contratação dos serviços de vigilância patrimonial é imprescindível e essencial ao funcionamento do equipamento, tratando-se, pelas características, de serviços contínuos que não podem sofrer solução de continuidade. Exemplifica-se as características de um serviço continuado, conforme jurisprudência abaixo:</w:t>
      </w:r>
    </w:p>
    <w:p>
      <w:pPr>
        <w:pStyle w:val="Normal1"/>
        <w:numPr>
          <w:ilvl w:val="0"/>
          <w:numId w:val="1"/>
        </w:numPr>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Serviços de natureza contínua são serviços auxiliares e necessários à Administração no desempenho das respectivas atribuições. São aqueles que, se interrompidos, podem comprometer a continuidade de atividades essenciais e cuja contratação deva estender-se por mais de um exercício financeiro. O que é contínuo para determinado órgão ou entidade pode não ser para outros. São exemplos de serviços de natureza contínua: vigilância, limpeza e conservação, manutenção elétrica, manutenção de elevadores, manutenção de veículos etc. Em processo próprio, deve a Administração definir e justificar quais outros serviços contínuos necessitam para desenvolver as atividades que lhe são peculiares. (TCU. Licitações e contratos: orientações e jurisprudência do TCU/Tribunal de Contas da União. 4. ed. rev., atual. e ampl. Brasília: TCU, Secretaria-Geral da Presidência; Senado Federal, Secretaria Especial de Editoração e Publicações, 2010, p. 772)”.</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Por fim, o Decreto Estadual 35.790, de 20 de dezembro de 2023, traz conceito de “serviços contínuos” que se amolda perfeitamente ao caso em questão, senão vejamos: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Art. 13. Os serviços prestados de forma contínua são aqueles que, por sua essencialidade, </w:t>
      </w:r>
      <w:r>
        <w:rPr>
          <w:rFonts w:eastAsia="Times New Roman" w:cs="Times New Roman" w:ascii="Arial" w:hAnsi="Arial"/>
          <w:color w:val="000000"/>
          <w:sz w:val="22"/>
          <w:szCs w:val="22"/>
          <w:u w:val="single"/>
        </w:rPr>
        <w:t>visam atender à necessidade pública de forma permanente e</w:t>
      </w:r>
      <w:r>
        <w:rPr>
          <w:rFonts w:eastAsia="Times New Roman" w:cs="Times New Roman" w:ascii="Arial" w:hAnsi="Arial"/>
          <w:color w:val="000000"/>
          <w:sz w:val="22"/>
          <w:szCs w:val="22"/>
        </w:rPr>
        <w:t xml:space="preserve"> </w:t>
      </w:r>
      <w:r>
        <w:rPr>
          <w:rFonts w:eastAsia="Times New Roman" w:cs="Times New Roman" w:ascii="Arial" w:hAnsi="Arial"/>
          <w:color w:val="000000"/>
          <w:sz w:val="22"/>
          <w:szCs w:val="22"/>
          <w:u w:val="single"/>
        </w:rPr>
        <w:t>contínua</w:t>
      </w:r>
      <w:r>
        <w:rPr>
          <w:rFonts w:eastAsia="Times New Roman" w:cs="Times New Roman" w:ascii="Arial" w:hAnsi="Arial"/>
          <w:color w:val="000000"/>
          <w:sz w:val="22"/>
          <w:szCs w:val="22"/>
        </w:rPr>
        <w:t xml:space="preserve">, por mais de um exercício financeiro, </w:t>
      </w:r>
      <w:r>
        <w:rPr>
          <w:rFonts w:eastAsia="Times New Roman" w:cs="Times New Roman" w:ascii="Arial" w:hAnsi="Arial"/>
          <w:color w:val="000000"/>
          <w:sz w:val="22"/>
          <w:szCs w:val="22"/>
          <w:u w:val="single"/>
        </w:rPr>
        <w:t>assegurando a integridade do</w:t>
      </w:r>
      <w:r>
        <w:rPr>
          <w:rFonts w:eastAsia="Times New Roman" w:cs="Times New Roman" w:ascii="Arial" w:hAnsi="Arial"/>
          <w:color w:val="000000"/>
          <w:sz w:val="22"/>
          <w:szCs w:val="22"/>
        </w:rPr>
        <w:t xml:space="preserve"> </w:t>
      </w:r>
      <w:r>
        <w:rPr>
          <w:rFonts w:eastAsia="Times New Roman" w:cs="Times New Roman" w:ascii="Arial" w:hAnsi="Arial"/>
          <w:color w:val="000000"/>
          <w:sz w:val="22"/>
          <w:szCs w:val="22"/>
          <w:u w:val="single"/>
        </w:rPr>
        <w:t>patrimônio público</w:t>
      </w:r>
      <w:r>
        <w:rPr>
          <w:rFonts w:eastAsia="Times New Roman" w:cs="Times New Roman" w:ascii="Arial" w:hAnsi="Arial"/>
          <w:color w:val="000000"/>
          <w:sz w:val="22"/>
          <w:szCs w:val="22"/>
        </w:rPr>
        <w:t xml:space="preserve"> ou o funcionamento das atividades finalísticas do órgão ou entidade, de modo que sua interrupção possa comprometer a prestação de um serviço público ou o cumprimento de missão institucional, observado o prazo previsto no art. 106 da Lei Federal no 14.133, de 2021.</w:t>
      </w:r>
    </w:p>
    <w:p>
      <w:pPr>
        <w:pStyle w:val="Normal1"/>
        <w:tabs>
          <w:tab w:val="clear" w:pos="720"/>
          <w:tab w:val="left" w:pos="851" w:leader="none"/>
        </w:tabs>
        <w:spacing w:lineRule="auto" w:line="240" w:before="57" w:after="57"/>
        <w:jc w:val="both"/>
        <w:rPr>
          <w:rFonts w:ascii="Arial" w:hAnsi="Arial"/>
          <w:b/>
          <w:bCs/>
          <w:sz w:val="22"/>
          <w:szCs w:val="22"/>
        </w:rPr>
      </w:pPr>
      <w:r>
        <w:rPr>
          <w:rFonts w:eastAsia="Times New Roman" w:cs="Times New Roman" w:ascii="Arial" w:hAnsi="Arial"/>
          <w:b/>
          <w:bCs/>
          <w:color w:val="000000"/>
          <w:sz w:val="22"/>
          <w:szCs w:val="22"/>
        </w:rPr>
        <w:t>Da qualificação da mão-de-obra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 partir da análise acerca da necessidade a ser atendida, entende-se que o serviço deverá ser prestado por meio de mão de obra com dedicação exclusiva, especializada e em conformidade com a legislação específica, de forma a atender as necessidades diárias, constantes e não intermitentes, dos NAPAZ conforme item 1. A contratação deverá estar em conformidade com a Lei nº 14.967, de 09 de setembro de 2024, em especial aos requisitos dispostos em seu art. 28:</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Art. 28. São requisitos para o exercício da atividade de vigilante e de vigilante supervisor:</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I – ser brasileiro, nato ou naturalizado;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II – ter idade mínima de 21 (vinte e um) anos;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III – ter sido considerado apto em exame de saúde física, mental e psicológica;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IV – ter concluído com aproveitamento o curso de formação específico;</w:t>
      </w:r>
    </w:p>
    <w:p>
      <w:pPr>
        <w:pStyle w:val="Normal1"/>
        <w:tabs>
          <w:tab w:val="clear" w:pos="720"/>
          <w:tab w:val="left" w:pos="851" w:leader="none"/>
        </w:tabs>
        <w:spacing w:lineRule="auto" w:line="240" w:before="57" w:after="57"/>
        <w:jc w:val="both"/>
        <w:rPr/>
      </w:pPr>
      <w:r>
        <w:rPr>
          <w:rFonts w:eastAsia="Times New Roman" w:cs="Times New Roman" w:ascii="Arial" w:hAnsi="Arial"/>
          <w:color w:val="000000"/>
          <w:sz w:val="22"/>
          <w:szCs w:val="22"/>
        </w:rPr>
        <w:t xml:space="preserve">V – não possuir antecedentes criminais registrados na justiça pela prática de crimes dolosos e não estar no curso do cumprimento da pena e enquanto não obtida a reabilitação, nos termos dos </w:t>
      </w:r>
      <w:r>
        <w:fldChar w:fldCharType="begin"/>
      </w:r>
      <w:r>
        <w:rPr>
          <w:sz w:val="22"/>
          <w:u w:val="single"/>
          <w:szCs w:val="22"/>
          <w:rFonts w:eastAsia="Times New Roman" w:cs="Times New Roman" w:ascii="Arial" w:hAnsi="Arial"/>
          <w:color w:val="000080"/>
        </w:rPr>
        <w:instrText xml:space="preserve"> HYPERLINK "https://www.planalto.gov.br/ccivil_03/Decreto-Lei/Del2848.htm" \l "art93"</w:instrText>
      </w:r>
      <w:r>
        <w:rPr>
          <w:sz w:val="22"/>
          <w:u w:val="single"/>
          <w:szCs w:val="22"/>
          <w:rFonts w:eastAsia="Times New Roman" w:cs="Times New Roman" w:ascii="Arial" w:hAnsi="Arial"/>
          <w:color w:val="000080"/>
        </w:rPr>
        <w:fldChar w:fldCharType="separate"/>
      </w:r>
      <w:r>
        <w:rPr>
          <w:rFonts w:eastAsia="Times New Roman" w:cs="Times New Roman" w:ascii="Arial" w:hAnsi="Arial"/>
          <w:color w:val="000080"/>
          <w:sz w:val="22"/>
          <w:szCs w:val="22"/>
          <w:u w:val="single"/>
        </w:rPr>
        <w:t>arts. 93</w:t>
      </w:r>
      <w:r>
        <w:rPr>
          <w:sz w:val="22"/>
          <w:u w:val="single"/>
          <w:szCs w:val="22"/>
          <w:rFonts w:eastAsia="Times New Roman" w:cs="Times New Roman" w:ascii="Arial" w:hAnsi="Arial"/>
          <w:color w:val="000080"/>
        </w:rPr>
        <w:fldChar w:fldCharType="end"/>
      </w:r>
      <w:r>
        <w:rPr>
          <w:rFonts w:eastAsia="Times New Roman" w:cs="Times New Roman" w:ascii="Arial" w:hAnsi="Arial"/>
          <w:color w:val="000000"/>
          <w:sz w:val="22"/>
          <w:szCs w:val="22"/>
        </w:rPr>
        <w:t xml:space="preserve"> e </w:t>
      </w:r>
      <w:r>
        <w:fldChar w:fldCharType="begin"/>
      </w:r>
      <w:r>
        <w:rPr>
          <w:sz w:val="22"/>
          <w:u w:val="single"/>
          <w:szCs w:val="22"/>
          <w:rFonts w:eastAsia="Times New Roman" w:cs="Times New Roman" w:ascii="Arial" w:hAnsi="Arial"/>
          <w:color w:val="000080"/>
        </w:rPr>
        <w:instrText xml:space="preserve"> HYPERLINK "https://www.planalto.gov.br/ccivil_03/Decreto-Lei/Del2848.htm" \l "art94"</w:instrText>
      </w:r>
      <w:r>
        <w:rPr>
          <w:sz w:val="22"/>
          <w:u w:val="single"/>
          <w:szCs w:val="22"/>
          <w:rFonts w:eastAsia="Times New Roman" w:cs="Times New Roman" w:ascii="Arial" w:hAnsi="Arial"/>
          <w:color w:val="000080"/>
        </w:rPr>
        <w:fldChar w:fldCharType="separate"/>
      </w:r>
      <w:r>
        <w:rPr>
          <w:rFonts w:eastAsia="Times New Roman" w:cs="Times New Roman" w:ascii="Arial" w:hAnsi="Arial"/>
          <w:color w:val="000080"/>
          <w:sz w:val="22"/>
          <w:szCs w:val="22"/>
          <w:u w:val="single"/>
        </w:rPr>
        <w:t>94 do Decreto-Lei nº 2.848, de 7 de dezembro de 1940</w:t>
      </w:r>
      <w:r>
        <w:rPr>
          <w:sz w:val="22"/>
          <w:u w:val="single"/>
          <w:szCs w:val="22"/>
          <w:rFonts w:eastAsia="Times New Roman" w:cs="Times New Roman" w:ascii="Arial" w:hAnsi="Arial"/>
          <w:color w:val="000080"/>
        </w:rPr>
        <w:fldChar w:fldCharType="end"/>
      </w:r>
      <w:r>
        <w:rPr>
          <w:rFonts w:eastAsia="Times New Roman" w:cs="Times New Roman" w:ascii="Arial" w:hAnsi="Arial"/>
          <w:color w:val="000000"/>
          <w:sz w:val="22"/>
          <w:szCs w:val="22"/>
        </w:rPr>
        <w:t xml:space="preserve"> (Código Penal); e</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VI – estar quite com as obrigações eleitorais e militares.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 1º São requisitos específicos para o exercício da atividade de vigilante:</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I – ter concluído todas as etapas do ensino fundamental; e</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II – estar contratado por empresa de serviços de segurança ou por empresa ou condomínio edilício possuidor de serviço orgânico de segurança privada.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Desta feita, para o preenchimento das vagas referentes a essa categoria profissional, a contratada deverá apresentar as comprovações necessárias:</w:t>
      </w:r>
    </w:p>
    <w:p>
      <w:pPr>
        <w:pStyle w:val="Normal1"/>
        <w:spacing w:lineRule="auto" w:line="240" w:before="57" w:after="57"/>
        <w:rPr>
          <w:rFonts w:ascii="Arial" w:hAnsi="Arial"/>
          <w:sz w:val="22"/>
          <w:szCs w:val="22"/>
        </w:rPr>
      </w:pPr>
      <w:r>
        <w:rPr>
          <w:rFonts w:eastAsia="Times New Roman" w:cs="Times New Roman" w:ascii="Arial" w:hAnsi="Arial"/>
          <w:color w:val="000000"/>
          <w:sz w:val="22"/>
          <w:szCs w:val="22"/>
        </w:rPr>
        <w:t>i) quanto à escolaridade mínima exigida, mediante apresentação de diploma ou certificado emitido por instituição legalmente credenciada pelo Ministério da Educação; considerando o Inciso I, do item anterior.</w:t>
      </w:r>
    </w:p>
    <w:tbl>
      <w:tblPr>
        <w:tblW w:w="963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9638"/>
      </w:tblGrid>
      <w:tr>
        <w:trPr>
          <w:trHeight w:val="1423" w:hRule="atLeast"/>
        </w:trPr>
        <w:tc>
          <w:tcPr>
            <w:tcW w:w="9638" w:type="dxa"/>
            <w:tcBorders/>
            <w:shd w:color="auto" w:fill="FFFFFF" w:val="clear"/>
          </w:tcPr>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ii) quanto à aprovação em Curso de Formação de Vigilante - CFV, por meio de apresentação de certificado emitido por órgão devidamente reconhecido, atestando o aproveitamento satisfatório no CFV e o cumprimento de carga horária mínima de 200 horas/aula. Tal comprovação será realizada a cada solicitação da contratante, cabendo à contratada selecionar os funcionários e encaminhar toda a documentação para análise curricular e, se for o caso, aprovação da contratante.</w:t>
            </w:r>
          </w:p>
        </w:tc>
      </w:tr>
      <w:tr>
        <w:trPr>
          <w:trHeight w:val="381" w:hRule="atLeast"/>
        </w:trPr>
        <w:tc>
          <w:tcPr>
            <w:tcW w:w="9638" w:type="dxa"/>
            <w:tcBorders/>
            <w:shd w:color="auto" w:fill="FFFFFF" w:val="clear"/>
          </w:tcPr>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iii) demais documentação comprobatória indicada em Lei.</w:t>
            </w:r>
          </w:p>
        </w:tc>
      </w:tr>
      <w:tr>
        <w:trPr>
          <w:trHeight w:val="3629" w:hRule="atLeast"/>
        </w:trPr>
        <w:tc>
          <w:tcPr>
            <w:tcW w:w="9638" w:type="dxa"/>
            <w:tcBorders/>
            <w:shd w:color="auto" w:fill="FFFFFF" w:val="clear"/>
          </w:tcPr>
          <w:p>
            <w:pPr>
              <w:pStyle w:val="Normal1"/>
              <w:tabs>
                <w:tab w:val="clear" w:pos="720"/>
                <w:tab w:val="left" w:pos="851" w:leader="none"/>
              </w:tabs>
              <w:spacing w:lineRule="auto" w:line="240" w:before="57" w:after="57"/>
              <w:jc w:val="both"/>
              <w:rPr>
                <w:rFonts w:ascii="Arial" w:hAnsi="Arial"/>
                <w:sz w:val="22"/>
                <w:szCs w:val="22"/>
              </w:rPr>
            </w:pPr>
            <w:r>
              <w:rPr>
                <w:rFonts w:ascii="Arial" w:hAnsi="Arial"/>
                <w:sz w:val="22"/>
                <w:szCs w:val="22"/>
              </w:rPr>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Da Conta Vinculada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 utilização da Conta-Depósito Vinculada ― bloqueada para movimentação é ferramenta já institucionalizada e sedimentada na Administração Pública como mecanismo de proteção e gestão de riscos na execução de contratos de prestação de serviço com dedicação exclusiva de mão de obra, contribuindo para assegurar os recursos necessários para o cumprimento das obrigações sociais e trabalhistas em caso de inadimplemento da contratada, bem como para a segurança jurídica dos gestores e fiscais de contrato.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O contratado autorizará o provisionamento de valores para o pagamento das férias, 13º salário e rescisão contratual dos trabalhadores do contratado, bem como de suas repercussões trabalhistas, que serão depositados pelo contratante em Conta Corrente Vinculada - Bloqueada para Movimentação específica, em nome do prestador dos serviços, conforme disposto na Instrução Normativa Conjunta nº 003/2022- SEPLAG/CGE/SEFAZ de 07 de novembro de 2022 e no Decreto nº 33.903, de 21 de janeiro de 2021, os quais somente serão liberados para o pagamento aos trabalhadores, nas condições estabelecidas nas referidas normas.</w:t>
            </w:r>
          </w:p>
        </w:tc>
      </w:tr>
    </w:tbl>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3.LEVANTAMENTO DE MERCADO.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i/>
          <w:color w:val="000000"/>
          <w:sz w:val="22"/>
          <w:szCs w:val="22"/>
        </w:rPr>
        <w:t>Solução 01 - Atividades de Vigilância a serem exercidas por servidores de carreira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Constituiria uma solução vantajosa economicamente a utilização de servidores já remunerados, dispensando contratação de mais serviços. No entanto, não há disponibilidade atual de servidores da Casa Civil ou da Casa Militar para exercer a função de guarda patrimonial / vigilância, previsto nesse estudo.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i/>
          <w:color w:val="000000"/>
          <w:sz w:val="22"/>
          <w:szCs w:val="22"/>
        </w:rPr>
        <w:t>Solução 02 - Contratação por meio de terceirização de serviços de vigilância patrimonial com dedicação exclusiva de mão de obra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Disponibilização dos serviços para atendimento da demanda da Casa Civil, na integralidade, em todos os turnos, de segunda a domingo, inclusive feriados e recessos.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Considera-se valores compatíveis com os de mercado, justificado por meio de pesquisa de preços e utilização dos valores previstos em convenção coletiva de Trabalho;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Possibilidade de controle, fiscalização e mensuração do serviço, tendo pagamento proporcional à qualidade e quantidade executada.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4. DESCRIÇÃO DA SOLUÇÃO COMO UM TODO.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Considerando o exposto, indica-se a </w:t>
      </w:r>
      <w:r>
        <w:rPr>
          <w:rFonts w:eastAsia="Times New Roman" w:cs="Times New Roman" w:ascii="Arial" w:hAnsi="Arial"/>
          <w:i/>
          <w:color w:val="000000"/>
          <w:sz w:val="22"/>
          <w:szCs w:val="22"/>
        </w:rPr>
        <w:t xml:space="preserve">Solução 02 </w:t>
      </w:r>
      <w:r>
        <w:rPr>
          <w:rFonts w:eastAsia="Times New Roman" w:cs="Times New Roman" w:ascii="Arial" w:hAnsi="Arial"/>
          <w:color w:val="000000"/>
          <w:sz w:val="22"/>
          <w:szCs w:val="22"/>
        </w:rPr>
        <w:t>como a mais adequada, devendo-se ser implementada por meio de processo licitatório para contratação de Pessoa Jurídica especializada na prestação de vigilância patrimonial, observando-se a legislação aplicável, com a finalidade de atender as necessidades da contratante, Casa Civil do Estado do Ceará.</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 pretensa contratação deverá ser realizada através de licitação, na modalidade de Pregão Eletrônico, visando atender as necessidades Casa Civil do Estado do Ceará, órgão responsável pelo Programa Integrado de Prevenção e Redução à Violência (Lei 18.310/2023), ao qual estão vinculados os Núcleos de Ação Pela Paz (NAPAZ), considerando que se trata de serviço comum, cujo padrão de desempenho e qualidade podem ser objetivamente definidos em edital, por meio de especificações reconhecidas e usuais do mercado.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5. ESTIMATIVA DAS QUANTIDADES A SEREM CONTRATADAS.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 estimativa dos quantitativos para contratação são de 05 (cinco) postos de vigilância, período diuturno (24h ininterruptas), de segunda a domingo, inclusive feriados e recesso.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O estudo considera 01 (um) posto de vigilância para cada equipamento NAPAZ, considerando-se as necessidades de aplicação da legislação trabalhista quanto aos revezamentos necessários, na escala 12X36. Entendendo-se, desta forma, que para atender a demanda serão necessários 4 (quatro) profissionais por posto de vigilância, perfazendo um total de 20 (vinte) funcionários.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Ressalte-se, por fim, que as contratações deverão acontecer a depender da entrega das obras, conforme descrito anteriormente.</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6. ESTIMATIVA DO VALOR DA CONTRATAÇÃO.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Os serviços que exigem dedicação de mão de obra serão contratados estabelecendo-se como cálculo a planilha de custos e formação de preços abaixo.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O valor estimado para a presente licitação é de R$130.444,83 (cento e trinta mil quatrocentos e quarenta e quatro reais e noventa e seis centavos centavos) mensal e R$1.565.337,96 (hum milhão, quinhentos e doze mil, novecentos e trinta reais e quarenta e oito centavos) anual.</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Será declarada vencedora do certame a licitante que ofertar o menor preço.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7. JUSTIFICATIVAS PARA O PARCELAMENTO OU NÃO DA SOLUÇÃO.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Sobre a possibilidade de parcelamento da solução, entende-se que guardada a devida proporcionalidade, em caso de divisão do objeto, haveria a inevitável perda de escala, a julgar pela contratação de número reduzido de prestadores de serviços por cada vencedor. Portanto, seria mais atrativo o número integral de postos para um só prestador, pois há mais chances de o preço ser reduzido na licitação.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Ademais, o parcelamento da solução tornaria mais custosa a fiscalização e execução de diversos contratos, com várias empresas. Desta forma, traria prejuízo ao conjunto da contratação.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Portanto, sob o ponto de vista da economicidade, a contratação única evita ônus administrativos e burocráticos consequentes à contratação concomitante por intermédio de vários contratos, gerando economia de escala, tempo, ganhos de eficiência e maior possibilidade de acompanhamento da empresa contratada, sendo o modelo definido o mais adequado tecnicamente, sem restringir ou prejudicar a competitividade do certame e, consequentemente, visando promover a vantajosidade técnica e econômica para a Administração Pública.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Em conclusão, não é economicamente viável o parcelamento da solução, uma vez que se trata de objeto único e indivisível: a contratação de postos de serviços para vigilância patrimonial.</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8. CONTRATAÇÕES CORRELATAS E/OU INTERDEPENDENTES.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Considerando a estrutura física dos NAPAZ, deve-se destacar que, atualmente, os serviços de execução de obras dos equipamentos do Curió e Granja Lisboa estão em processo de conclusão. Os demais, Jangurussu e Genibaú, estão em fase de processo de licitação e Barra do Ceará foi feito um ato administrativo mutuário do contrato de empréstimo do PReVio e a Secretaria da Proteção Social, cedendo unidade administrativa do seu acervo patrimonial para o uso temporário das ações do NAPAZ.</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Nesse sentido, faz-se necessário o acompanhamento das obras pelos órgãos competentes, com o fito de assegurar a entrega dos equipamentos dentro do prazo previsto, uma vez que a sua conclusão é providência </w:t>
      </w:r>
      <w:r>
        <w:rPr>
          <w:rFonts w:eastAsia="Times New Roman" w:cs="Times New Roman" w:ascii="Arial" w:hAnsi="Arial"/>
          <w:i/>
          <w:color w:val="000000"/>
          <w:sz w:val="22"/>
          <w:szCs w:val="22"/>
        </w:rPr>
        <w:t xml:space="preserve">si ne qua non </w:t>
      </w:r>
      <w:r>
        <w:rPr>
          <w:rFonts w:eastAsia="Times New Roman" w:cs="Times New Roman" w:ascii="Arial" w:hAnsi="Arial"/>
          <w:color w:val="000000"/>
          <w:sz w:val="22"/>
          <w:szCs w:val="22"/>
        </w:rPr>
        <w:t>para que os quantitativos dos contratos sejam executados em sua integralidade.</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9. DEMONSTRATIVO DA PREVISÃO DA CONTRATAÇÃO.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 contratação possui todo o alinhamento com o Programa Integrado de Prevenção e Redução da Violência – PReVio, financiado pelo Banco Interamericano de Desenvolvimento – BID, nos termos da Lei n°17.272/2020, foi estruturado a partir das ações do Pacto por um Ceará Pacifico, que tem atuação articulada, integrada e compartilhada dos órgãos e entidades públicas estaduais, municipais e federais, e da sociedade civil.</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10. DEMONSTRATIVO DOS RESULTADOS PRETENDIDOS.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 presente contratação busca atender os equipamentos públicos com serviço de vigilância nas dependências dos 05 (cinco) equipamentos NAPAZ, para garantir a segurança do público atendido e do patrimônio público.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11. PROVIDÊNCIAS A SEREM ADOTADAS PREVIAMENTE À CELEBRAÇÃO DO CONTRATO.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 Casa Civil deverá indicar servidores para atuarem como Gestor e Fiscal, para a respectiva atuação de gestão e fiscalização contratual, além da indicação de outros colaboradores que julgar necessário à perfeita execução do objeto do presente Estudo Preliminar.</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12. DESCRIÇÃO DE POSSÍVEIS IMPACTOS AMBIENTAIS E RESPECTIVAS MEDIDAS MITIGADORAS.</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Por tratar-se de contratação de serviços exclusivamente de mão de obra com pouquíssima ou nenhuma utilização de material, a contratação ora pretendida é de pequeno ou nenhum impacto ambiental, não necessitando de medidas prévio tratamento.</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13. POSICIONAMENTO CONCLUSIVO SOBRE A ADEQUAÇÃO DA CONTRATAÇÃO PARA O ATENDIMENTO DA NECESSIDADE A QUE SE DESTINA.</w:t>
      </w:r>
    </w:p>
    <w:p>
      <w:pPr>
        <w:pStyle w:val="Normal1"/>
        <w:tabs>
          <w:tab w:val="clear" w:pos="720"/>
          <w:tab w:val="left" w:pos="85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Os estudos preliminares evidenciaram que, para atendimento da necessidade de vigilância e proteção do patrimônio público, a realização de contratação de postos de serviços de vigilância mostra-se tecnicamente viável. Diante do exposto, declara-se a solução pretendida como a mais adequada.</w:t>
      </w:r>
    </w:p>
    <w:p>
      <w:pPr>
        <w:pStyle w:val="Normal1"/>
        <w:tabs>
          <w:tab w:val="clear" w:pos="720"/>
          <w:tab w:val="left" w:pos="851" w:leader="none"/>
        </w:tabs>
        <w:spacing w:lineRule="auto" w:line="24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r>
        <w:br w:type="page"/>
      </w:r>
    </w:p>
    <w:p>
      <w:pPr>
        <w:pStyle w:val="Normal1"/>
        <w:spacing w:lineRule="auto" w:line="240" w:before="0" w:after="0"/>
        <w:rPr>
          <w:rFonts w:ascii="Times New Roman" w:hAnsi="Times New Roman" w:eastAsia="Times New Roman" w:cs="Times New Roman"/>
          <w:b/>
          <w:color w:val="000000"/>
          <w:sz w:val="22"/>
          <w:szCs w:val="22"/>
        </w:rPr>
      </w:pPr>
      <w:r>
        <w:rPr>
          <w:rFonts w:eastAsia="Times New Roman" w:cs="Times New Roman" w:ascii="Times New Roman" w:hAnsi="Times New Roman"/>
          <w:b/>
          <w:color w:val="000000"/>
          <w:sz w:val="22"/>
          <w:szCs w:val="22"/>
        </w:rPr>
      </w:r>
    </w:p>
    <w:p>
      <w:pPr>
        <w:pStyle w:val="Normal1"/>
        <w:spacing w:lineRule="auto" w:line="240" w:before="57" w:after="57"/>
        <w:jc w:val="center"/>
        <w:rPr>
          <w:rFonts w:ascii="Arial" w:hAnsi="Arial"/>
        </w:rPr>
      </w:pPr>
      <w:r>
        <w:rPr>
          <w:rFonts w:eastAsia="Times New Roman" w:cs="Times New Roman" w:ascii="Arial" w:hAnsi="Arial"/>
          <w:b/>
          <w:color w:val="000000"/>
          <w:sz w:val="22"/>
          <w:szCs w:val="22"/>
        </w:rPr>
        <w:t xml:space="preserve">ANEXO II </w:t>
      </w:r>
      <w:r>
        <w:rPr>
          <w:rFonts w:eastAsia="Times New Roman" w:cs="Times New Roman" w:ascii="Arial" w:hAnsi="Arial"/>
          <w:b/>
          <w:i/>
          <w:color w:val="000000"/>
          <w:sz w:val="22"/>
          <w:szCs w:val="22"/>
        </w:rPr>
        <w:t>–</w:t>
      </w:r>
      <w:r>
        <w:rPr>
          <w:rFonts w:eastAsia="Times New Roman" w:cs="Times New Roman" w:ascii="Arial" w:hAnsi="Arial"/>
          <w:b/>
          <w:color w:val="000000"/>
          <w:sz w:val="22"/>
          <w:szCs w:val="22"/>
        </w:rPr>
        <w:t xml:space="preserve"> MINUTA DO TERMO DE CONTRATO</w:t>
      </w:r>
    </w:p>
    <w:p>
      <w:pPr>
        <w:pStyle w:val="Normal1"/>
        <w:spacing w:lineRule="auto" w:line="240" w:before="57" w:after="57"/>
        <w:rPr>
          <w:rFonts w:ascii="Arial" w:hAnsi="Arial"/>
        </w:rPr>
      </w:pPr>
      <w:r>
        <w:rPr>
          <w:rFonts w:eastAsia="Times New Roman" w:cs="Times New Roman" w:ascii="Arial" w:hAnsi="Arial"/>
          <w:color w:val="000000"/>
          <w:sz w:val="22"/>
          <w:szCs w:val="22"/>
        </w:rPr>
        <w:t>Contrato nº ___ / 20__</w:t>
      </w:r>
    </w:p>
    <w:p>
      <w:pPr>
        <w:pStyle w:val="Normal1"/>
        <w:spacing w:lineRule="auto" w:line="240" w:before="57" w:after="57"/>
        <w:rPr>
          <w:rFonts w:ascii="Arial" w:hAnsi="Arial"/>
        </w:rPr>
      </w:pPr>
      <w:r>
        <w:rPr>
          <w:rFonts w:eastAsia="Times New Roman" w:cs="Times New Roman" w:ascii="Arial" w:hAnsi="Arial"/>
          <w:color w:val="000000"/>
          <w:sz w:val="22"/>
          <w:szCs w:val="22"/>
        </w:rPr>
        <w:t>Processo nº ____________</w:t>
      </w:r>
    </w:p>
    <w:p>
      <w:pPr>
        <w:pStyle w:val="Normal1"/>
        <w:spacing w:lineRule="auto" w:line="240" w:before="57" w:after="57"/>
        <w:ind w:left="4309"/>
        <w:jc w:val="both"/>
        <w:rPr>
          <w:rFonts w:ascii="Arial" w:hAnsi="Arial"/>
        </w:rPr>
      </w:pPr>
      <w:r>
        <w:rPr>
          <w:rFonts w:eastAsia="Times New Roman" w:cs="Times New Roman" w:ascii="Arial" w:hAnsi="Arial"/>
          <w:color w:val="000000"/>
          <w:sz w:val="22"/>
          <w:szCs w:val="22"/>
        </w:rPr>
        <w:t>CONTRATO QUE ENTRE SI CELEBRAM (O)A_________________________________E (O) A _____________________, ABAIXO QUALIFICADOS, PARA O FIM QUE NELE SE DECLARA.</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tabs>
          <w:tab w:val="clear" w:pos="720"/>
          <w:tab w:val="left" w:pos="0" w:leader="none"/>
        </w:tabs>
        <w:spacing w:lineRule="auto" w:line="240" w:before="57" w:after="57"/>
        <w:jc w:val="both"/>
        <w:rPr>
          <w:rFonts w:ascii="Arial" w:hAnsi="Arial"/>
        </w:rPr>
      </w:pPr>
      <w:r>
        <w:rPr>
          <w:rFonts w:eastAsia="Times New Roman" w:cs="Times New Roman" w:ascii="Arial" w:hAnsi="Arial"/>
          <w:color w:val="000000"/>
          <w:sz w:val="22"/>
          <w:szCs w:val="22"/>
        </w:rPr>
        <w:t>O(A____________________, situada(o) na ______________________, inscrita(o) no CNPJ sob o nº __________________, doravante denominada(o) CONTRATANTE, neste ato representada(o) pelo ______________________, (nacionalidade), portador da Carteira de Identidade nº _____________, e do CPF nº _______________, residente e domiciliada(o) em (Município - UF), na ____________________, e a _________________, com sede na _________________, CEP: ___________, Fone: ______________, inscrita no CPF/CNPJ sob o nº __________________, doravante denominado CONTRATADO, representado neste ato pelo __________________, (nacionalidade), portador da Carteira de Identidade nº _____________, e do CPF nº __________, residente e domiciliada(o) em (Município - UF), na ___________, têm entre si justa e acordada a celebração do presente contrato, mediante as cláusulas e condições seguintes:</w:t>
      </w:r>
    </w:p>
    <w:p>
      <w:pPr>
        <w:pStyle w:val="Normal1"/>
        <w:tabs>
          <w:tab w:val="clear" w:pos="720"/>
          <w:tab w:val="left" w:pos="0" w:leader="none"/>
        </w:tabs>
        <w:spacing w:lineRule="auto" w:line="240" w:before="57" w:after="57"/>
        <w:jc w:val="both"/>
        <w:rPr>
          <w:rFonts w:ascii="Arial" w:hAnsi="Arial" w:eastAsia="Times New Roman" w:cs="Times New Roman"/>
          <w:sz w:val="22"/>
          <w:szCs w:val="22"/>
        </w:rPr>
      </w:pPr>
      <w:r>
        <w:rPr>
          <w:rFonts w:eastAsia="Times New Roman" w:cs="Times New Roman" w:ascii="Arial" w:hAnsi="Arial"/>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PRIMEIRA – DA FUNDAMENTAÇÃO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 O presente contrato tem como fundamento o Pregão Eletrônico n° 20250017 – CASA CIVIL, e seus anexos, os preceitos do direito público, Lei Federal nº 14.133, de 1º de abril de 2021, e demais legislação aplicável ao cumprimento de seu objeto.</w:t>
      </w:r>
    </w:p>
    <w:p>
      <w:pPr>
        <w:pStyle w:val="Normal1"/>
        <w:tabs>
          <w:tab w:val="clear" w:pos="720"/>
          <w:tab w:val="left" w:pos="993" w:leader="none"/>
          <w:tab w:val="left" w:pos="5742" w:leader="none"/>
        </w:tabs>
        <w:spacing w:lineRule="auto" w:line="240" w:before="57" w:after="57"/>
        <w:rPr>
          <w:rFonts w:ascii="Arial" w:hAnsi="Arial"/>
          <w:sz w:val="22"/>
          <w:szCs w:val="22"/>
        </w:rPr>
      </w:pPr>
      <w:r>
        <w:rPr>
          <w:rFonts w:eastAsia="Times New Roman" w:cs="Times New Roman" w:ascii="Arial" w:hAnsi="Arial"/>
          <w:b/>
          <w:color w:val="000000"/>
          <w:sz w:val="22"/>
          <w:szCs w:val="22"/>
        </w:rPr>
        <w:t>CLÁUSULA SEGUNDA – DA VINCULAÇÃO AO EDITAL E À PROPOSTA</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2.1. O cumprimento deste contrato está vinculado aos termos do Pregão Eletrônico nº 20250017 – CASA CIVIL</w:t>
      </w:r>
      <w:r>
        <w:rPr>
          <w:rFonts w:eastAsia="Times New Roman" w:cs="Times New Roman" w:ascii="Arial" w:hAnsi="Arial"/>
          <w:i/>
          <w:color w:val="000000"/>
          <w:sz w:val="22"/>
          <w:szCs w:val="22"/>
        </w:rPr>
        <w:t xml:space="preserve">, </w:t>
      </w:r>
      <w:r>
        <w:rPr>
          <w:rFonts w:eastAsia="Times New Roman" w:cs="Times New Roman" w:ascii="Arial" w:hAnsi="Arial"/>
          <w:color w:val="000000"/>
          <w:sz w:val="22"/>
          <w:szCs w:val="22"/>
        </w:rPr>
        <w:t>o Termo de Referência, a proposta do contratado e eventuais anexos dos respectivos documentos os quais constituem parte deste instrumento, independente de sua transcrição.</w:t>
      </w:r>
    </w:p>
    <w:p>
      <w:pPr>
        <w:pStyle w:val="Normal1"/>
        <w:tabs>
          <w:tab w:val="clear" w:pos="720"/>
          <w:tab w:val="left" w:pos="993" w:leader="none"/>
          <w:tab w:val="left" w:pos="5742" w:leader="none"/>
        </w:tabs>
        <w:spacing w:lineRule="auto" w:line="240" w:before="57" w:after="57"/>
        <w:rPr>
          <w:rFonts w:ascii="Arial" w:hAnsi="Arial"/>
          <w:sz w:val="22"/>
          <w:szCs w:val="22"/>
        </w:rPr>
      </w:pPr>
      <w:r>
        <w:rPr>
          <w:rFonts w:eastAsia="Times New Roman" w:cs="Times New Roman" w:ascii="Arial" w:hAnsi="Arial"/>
          <w:b/>
          <w:color w:val="000000"/>
          <w:sz w:val="22"/>
          <w:szCs w:val="22"/>
        </w:rPr>
        <w:t>CLÁUSULA TERCEIRA – DO OBJETO</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3.1. O objeto do presente instrumento é a contratação de empresa para prestação de serviços contínuos a serem executados com dedicação exclusiva de mão de obra terceirizada, regidos pela Consolidação da Leis Trabalhistas (CLT) para as categorias, condições e quantidades estabelecidas no edital e seus anexos, para atender as necessidades da área de Vigilância Patrimonial nas sedes dos Núcleos de Ação Pela Paz – NAPAZ.</w:t>
      </w:r>
    </w:p>
    <w:p>
      <w:pPr>
        <w:pStyle w:val="Normal1"/>
        <w:tabs>
          <w:tab w:val="clear" w:pos="720"/>
          <w:tab w:val="left" w:pos="993" w:leader="none"/>
          <w:tab w:val="left" w:pos="5742" w:leader="none"/>
        </w:tabs>
        <w:spacing w:lineRule="auto" w:line="240" w:before="57" w:after="57"/>
        <w:rPr>
          <w:rFonts w:ascii="Arial" w:hAnsi="Arial"/>
          <w:sz w:val="22"/>
          <w:szCs w:val="22"/>
        </w:rPr>
      </w:pPr>
      <w:r>
        <w:rPr>
          <w:rFonts w:eastAsia="Times New Roman" w:cs="Times New Roman" w:ascii="Arial" w:hAnsi="Arial"/>
          <w:b/>
          <w:color w:val="000000"/>
          <w:sz w:val="22"/>
          <w:szCs w:val="22"/>
        </w:rPr>
        <w:t xml:space="preserve">CLÁUSULA QUARTA – DA VIGÊNCIA E PRORROGAÇÃO </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4.1. O pr</w:t>
      </w:r>
      <w:r>
        <w:rPr>
          <w:rFonts w:eastAsia="Times New Roman" w:cs="Times New Roman" w:ascii="Arial" w:hAnsi="Arial"/>
          <w:color w:val="000000"/>
          <w:sz w:val="22"/>
          <w:szCs w:val="22"/>
          <w:highlight w:val="white"/>
        </w:rPr>
        <w:t>azo de vigência deste contrato é de 01 (um) ano, contado da sua assinatura</w:t>
      </w:r>
      <w:r>
        <w:rPr>
          <w:rFonts w:eastAsia="Times New Roman" w:cs="Times New Roman" w:ascii="Arial" w:hAnsi="Arial"/>
          <w:color w:val="000000"/>
          <w:sz w:val="22"/>
          <w:szCs w:val="22"/>
        </w:rPr>
        <w:t>, prorrogável por até 10 (dez) anos, na forma do art. 106 e 107 c/c o art. 94 da Lei Federal n° 14.133/2021.</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4.1.1. A prorrogação de que trata este subitem é condicionada ao ateste, pela autoridade competente, de que as condições e os preços permanecem vantajosos para a Administração, permitida a negociação com o CONTRATADO.</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4.1.1.1. Uma vez estando o contrato em via de expirar, o CONTRATADO não tem direito subjetivo à prorrogação contratual, conforme parágrafo único, art. 26 do Decreto Estadual nº 35.790/2023.</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4.1.2. O serviço é enquadrado como continuado, conforme art. 13 do Decreto Estadual nº 35.790/2023, tendo em vista que o serviço é enquadrado como continuado considerando que a interrupção pode comprometer a continuidade das atividades da Administração e cuja necessidade de contratação deve estender-se por mais um exercício financeiro, sendo a vigência plurianual mais vantajosa considerando os custos da realização de uma nova contratação.</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QUINTA – DO LOCAL E DA EXECUÇÃO CONTRATUAL</w:t>
      </w:r>
      <w:r>
        <w:rPr>
          <w:rFonts w:eastAsia="Times New Roman" w:cs="Times New Roman" w:ascii="Arial" w:hAnsi="Arial"/>
          <w:color w:val="000000"/>
          <w:sz w:val="22"/>
          <w:szCs w:val="22"/>
        </w:rPr>
        <w:t xml:space="preserve"> </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5.1. O regime de execução indireta se dará por empreitada por preço global.</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5.2. As obrigações e demais condições decorrentes da contratação, constam no Termo de Referência, anexo a este contrato.</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5.3. Os serviços, objeto deste contrato serão realizados nas dependências do CONTRATANTE, no(s) endereço(s) citado(s) no subitem 7.2, do Termo de Referência.</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SEXTA – DA SUBCONTRATAÇÃO</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6.1. Não será admitida a subcontratação do objeto contratual.</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SÉTIMA – DO PREÇO E DA REPACTUAÇÃO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7.1. O valor contratual global importa na quantia de R$ _______(______).</w:t>
      </w:r>
    </w:p>
    <w:p>
      <w:pPr>
        <w:pStyle w:val="Normal1"/>
        <w:tabs>
          <w:tab w:val="clear" w:pos="720"/>
          <w:tab w:val="left" w:pos="5826"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7.1.1. No valor acima estão incluídas todas as despesas ordinárias diretas e indiretas decorrentes da execução do objeto, inclusive tributos e/ou impostos, encargos sociais, trabalhistas, previdenciários, fiscais e comerciais incidentes, lucro, frete, seguro e outros necessários ao cumprimento integral do objeto da contratação.</w:t>
      </w:r>
    </w:p>
    <w:p>
      <w:pPr>
        <w:pStyle w:val="Normal1"/>
        <w:tabs>
          <w:tab w:val="clear" w:pos="720"/>
          <w:tab w:val="left" w:pos="5826"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7.2. Será admitida a repactuação dos preços dos serviços com base na variação de custos definidos pelos Acordos, Convenções ou Dissídios Coletivos de Trabalho, à qual a proposta da empresa esteja vinculada, condicionada a complementação da garantia contratual anteriormente prestada, de modo que seja mantido o percentual em relação ao valor inicialmente contratado, conforme disposto no inciso VII do art. 16 do Decreto Estadual nº 35.790/2023.</w:t>
      </w:r>
    </w:p>
    <w:p>
      <w:pPr>
        <w:pStyle w:val="Normal1"/>
        <w:tabs>
          <w:tab w:val="clear" w:pos="720"/>
          <w:tab w:val="left" w:pos="5826"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7.2.1. A repactuação dos custos relativos à mão de obra, discriminados na Planilha de Custos e Formação de Preços, em razão de novo Acordo, Convenção ou Dissídio Coletivo de Trabalho relativo a cada categoria profissional abrangida pelo Contrato, será limitada, percentualmente, ao Índice Nacional de Preços ao Consumidor Amplo – IPCA ou ao índice de revisão geral remuneratória aplicável aos servidores públicos estaduais, o que for maior, conforme disposto na Lei Estadual n° 19.212, de 03 de abril de 2025. </w:t>
      </w:r>
    </w:p>
    <w:p>
      <w:pPr>
        <w:pStyle w:val="Normal1"/>
        <w:tabs>
          <w:tab w:val="clear" w:pos="720"/>
          <w:tab w:val="left" w:pos="5826"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7.3. Não poderão ser repassados aos custos do contrato os reajustes salariais espontâneos ou aqueles decorrentes de acordos coletivos de trabalho ou convenções coletivas realizadas fora da data base da categoria.</w:t>
      </w:r>
    </w:p>
    <w:p>
      <w:pPr>
        <w:pStyle w:val="Normal1"/>
        <w:tabs>
          <w:tab w:val="clear" w:pos="720"/>
          <w:tab w:val="left" w:pos="5826"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7.4. A repactuação de preços observará o interregno mínimo de um ano das datas dos orçamentos aos quais a proposta se referir, conforme art. 33 do Decreto Estadual nº 35.790/2023.</w:t>
      </w:r>
    </w:p>
    <w:p>
      <w:pPr>
        <w:pStyle w:val="Normal1"/>
        <w:tabs>
          <w:tab w:val="clear" w:pos="720"/>
          <w:tab w:val="left" w:pos="5826"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7.4.1. Quando a contratação envolver mais de uma categoria profissional, com datas bases diferenciadas, a repactuação deverá ser dividida em tantos quanto forem os Acordos, Convenções ou Dissídios Coletivos de Trabalho das categorias envolvidas na contratação, conforme parágrafo único do art. 33 do Decreto Estadual nº 35.790/2023.</w:t>
      </w:r>
    </w:p>
    <w:p>
      <w:pPr>
        <w:pStyle w:val="Normal1"/>
        <w:tabs>
          <w:tab w:val="clear" w:pos="720"/>
          <w:tab w:val="left" w:pos="5826"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7.5. O preço deste contrato será repactuado para manutenção do equilíbrio econômico-financeiro, mediante demonstração analítica da variação dos custos contratuais, com data vinculada ao acordo, à convenção coletiva ou ao dissídio coletivo ao qual a proposta esteja vinculada, para os custos de mão de obra, conforme do art. 34 do Decreto Estadual nº 35.790/2023.</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7.6. As repactuações serão precedidas de solicitação do CONTRATADO, acompanhada de demonstração analítica da alteração dos custos, por meio de apresentação da Planilha de Custos e Formação de Preços ou do novo Acordo, Convenção ou Dissídio Coletivo de Trabalho que fundamenta a repactuação, conforme for a variação de custos objeto da repactuação, de acordo com o art. 35 do Decreto Estadual nº 35.790/2023.</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7.6.1. O CONTRATANTE poderá realizar diligências para conferir a variação de custos alegada pelo CONTRATADO, conforme parágrafo único do art. 35 do Decreto Estadual nº 35.790/2023.</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7.6.2. O prazo para resposta ao pedido de repactuação de preços será de 1 (um) mês, contado da data do fornecimento da documentação prevista na cláusula 7.6 acima, conforme inciso X, art. 92 c/c § 6º da Lei Federal nº 14.133/2021.</w:t>
      </w:r>
    </w:p>
    <w:p>
      <w:pPr>
        <w:pStyle w:val="Normal1"/>
        <w:tabs>
          <w:tab w:val="clear" w:pos="720"/>
          <w:tab w:val="left" w:pos="5826"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7.7. Os registros decorrentes de repactuação ou reajuste de valores do contrato serão realizados por meio de termo aditivo, conforme art. 36 do Decreto Estadual nº 35.790/2023.</w:t>
      </w:r>
    </w:p>
    <w:p>
      <w:pPr>
        <w:pStyle w:val="Normal1"/>
        <w:tabs>
          <w:tab w:val="clear" w:pos="720"/>
          <w:tab w:val="left" w:pos="5826"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7.8. O pedido de repactuação de preços deverá ser formulado durante a vigência do contrato e antes de eventual prorrogação, sob pena de serem objeto de preclusão com a assinatura da prorrogação contratual ou com o encerramento do contrato, conforme art. 37 do Decreto Estadual nº 35.790/2023.</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OITAVA – DO PAGAMENTO</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8.1. O prazo para pagamento ao CONTRATADO e demais condições a ele referentes encontram-se definidos no Termo de Referência, anexo a este instrumento de contrato.</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8.2. O percentual previsto no módulo 3, Provisão para Rescisão, alíneas A e B da Planilha de Custos e Formação de Preços, referente ao Aviso Prévio Indenizado - API e Aviso Prévio Trabalhado - APT, será devido no primeiro ano do contrato, no percentual máximo de 2,27% (dois inteiros e vinte e sete centésimo por cento) sendo este reduzido, após 12 (doze) meses de contrato, para 1/10 do percentual da proposta definitiva, nos termos da Lei Federal nº 12.506/2011.</w:t>
      </w:r>
    </w:p>
    <w:p>
      <w:pPr>
        <w:pStyle w:val="Normal1"/>
        <w:tabs>
          <w:tab w:val="clear" w:pos="720"/>
          <w:tab w:val="left" w:pos="1006" w:leader="none"/>
          <w:tab w:val="left" w:pos="5755"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NONA – DA CONTA CORRENTE VINCULADA - BLOQUEADA PARA MOVIMENTAÇÃO.</w:t>
      </w:r>
    </w:p>
    <w:p>
      <w:pPr>
        <w:pStyle w:val="Normal1"/>
        <w:tabs>
          <w:tab w:val="clear" w:pos="720"/>
          <w:tab w:val="left" w:pos="1006" w:leader="none"/>
          <w:tab w:val="left" w:pos="5755"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9.1. O montante dos depósitos da conta corrente vinculada – bloqueada para movimentação será igual ao somatório dos valores das provisões constantes no art. 4º da Lei Estadual nº 15.950/2016.</w:t>
      </w:r>
    </w:p>
    <w:p>
      <w:pPr>
        <w:pStyle w:val="Normal1"/>
        <w:tabs>
          <w:tab w:val="clear" w:pos="720"/>
          <w:tab w:val="left" w:pos="1006" w:leader="none"/>
          <w:tab w:val="left" w:pos="5755"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9.1.1. Quando não demonstrado o cumprimento tempestivo e regular das obrigações trabalhistas, até o momento da regularização, sem prejuízo das sanções cabíveis, o CONTRATANTE fará os descontos nas faturas e realizará os pagamentos dos salários e demais verbas trabalhistas diretamente aos trabalhadores e do FGTS, conforme art. 10 c/c § 3º do art. 16 do Decreto Estadual nº 35.790/2023.</w:t>
      </w:r>
    </w:p>
    <w:p>
      <w:pPr>
        <w:pStyle w:val="Normal1"/>
        <w:tabs>
          <w:tab w:val="clear" w:pos="720"/>
          <w:tab w:val="left" w:pos="1006" w:leader="none"/>
          <w:tab w:val="left" w:pos="5755"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9.1.1.1. Quando não for possível a realização desses pagamentos pela própria Administração (ex.: por falta da documentação pertinente, tais como folha de pagamento, rescisões dos contratos e guias de recolhimento), os valores retidos cautelarmente serão depositados junto à Justiça do Trabalho, com o objetivo de serem utilizados exclusivamente no pagamento de salários e das demais verbas trabalhistas, bem como das contribuições sociais e FGTS decorrentes.</w:t>
      </w:r>
    </w:p>
    <w:p>
      <w:pPr>
        <w:pStyle w:val="Normal1"/>
        <w:tabs>
          <w:tab w:val="clear" w:pos="720"/>
          <w:tab w:val="left" w:pos="1006" w:leader="none"/>
          <w:tab w:val="left" w:pos="5755"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9.2. O CONTRATANTE autorizará o provisionamento de valores para o pagamento das férias, 13º salário e rescisão contratual dos trabalhadores do contratado, bem como de suas repercussões trabalhistas, que serão depositados pelo CONTRATANTE em Conta Corrente Vinculada- Bloqueada para Movimentação específica, em nome do prestador dos serviços, conforme disposto na Instrução Normativa Conjunta nº 003/2022 – SEPLAG/CGE/SEFAZ de 07 de novembro de 2022 e no Decreto Estadual nº 35.790/2023, os quais somente serão liberados para o pagamento direto dessas verbas aos trabalhadores, nas condições estabelecidas nas referidas normas.</w:t>
      </w:r>
    </w:p>
    <w:p>
      <w:pPr>
        <w:pStyle w:val="Normal1"/>
        <w:tabs>
          <w:tab w:val="clear" w:pos="720"/>
          <w:tab w:val="left" w:pos="1006" w:leader="none"/>
          <w:tab w:val="left" w:pos="5755"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9.3. A CONTRATANTE provisionará os valores para o pagamento das férias, 13º (décimo terceiro) salário e verbas rescisórias aos trabalhadores do CONTRATADO, que serão depositados em Conta Corrente Vinculada- Bloqueada para Movimentação, em nome do prestador dos serviços, bloqueada para movimentação e utilizada exclusivamente para crédito das rubricas retidas.</w:t>
      </w:r>
    </w:p>
    <w:p>
      <w:pPr>
        <w:pStyle w:val="Normal1"/>
        <w:tabs>
          <w:tab w:val="clear" w:pos="720"/>
          <w:tab w:val="left" w:pos="1006" w:leader="none"/>
          <w:tab w:val="left" w:pos="5755"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9.4. Os percentuais de provisionamento e a forma de cálculo, previstos de forma exemplificativa, serão aqueles indicados na Instrução Normativa Conjunta nº 003/2022 – SEPLAG/CGE/SEFAZ de 07 de novembro de 2022 e no Decreto Estadual nº 35.790/2023, que regulamenta a contratação de serviços terceirizados de natureza continuada e de dedicação exclusiva de mão de obra.</w:t>
      </w:r>
    </w:p>
    <w:p>
      <w:pPr>
        <w:pStyle w:val="Normal1"/>
        <w:tabs>
          <w:tab w:val="clear" w:pos="720"/>
          <w:tab w:val="left" w:pos="1006" w:leader="none"/>
          <w:tab w:val="left" w:pos="5755"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9.5. O saldo da conta corrente vinculada- bloqueada para movimentação, será remunerado pelo índice de correção da poupança pro rata die ou outro índice que venha a substituí-lo, conforme definido na Instrução Normativa Conjunta nº 003/2022 – SEPLAG/CGE/SEFAZ de 07 de novembro de 2022 e Decreto Estadual nº 35.790/2023, firmado entre o promotor desta licitação e instituição financeira.</w:t>
      </w:r>
    </w:p>
    <w:p>
      <w:pPr>
        <w:pStyle w:val="Normal1"/>
        <w:tabs>
          <w:tab w:val="clear" w:pos="720"/>
          <w:tab w:val="left" w:pos="1006" w:leader="none"/>
          <w:tab w:val="left" w:pos="5755"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9.6. Os valores referentes às provisões mencionadas neste contrato que sejam retidos por meio da conta corrente vinculada- bloqueada para movimentação, deixarão de compor o valor mensal a ser pago diretamente ao CONTRATADO.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9.7. Excepcionalmente, o CONTRATANTE poderá autorizar o CONTRATADO a utilizar os valores da conta corrente vinculada- bloqueada para movimentação para o pagamento dos encargos trabalhistas previstos no subitem 9.1 acima, ou de eventuais indenizações trabalhistas aos empregados, decorrentes de situações ocorridas durante a vigência do contrato.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9.7.1. Na situação do subitem acima, CONTRATANTE e CONTRATADO, deverão observar as exigências previstas na Instrução Normativa Conjunta nº 003/2022 – SEPLAG/CGE/SEFAZ de 07 de novembro de 2022 e no Decreto Estadual nº 35.790/2023, que regulamenta a contratação de serviços terceirizados de natureza continuada, e de dedicação exclusiva de mão de obra.</w:t>
      </w:r>
    </w:p>
    <w:p>
      <w:pPr>
        <w:pStyle w:val="Normal1"/>
        <w:tabs>
          <w:tab w:val="clear" w:pos="720"/>
          <w:tab w:val="left" w:pos="1006" w:leader="none"/>
          <w:tab w:val="left" w:pos="5755"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9.7.2. A conta corrente vinculada–bloqueada para movimentação somente poderá ser movimentada mediante termo de autorização a ser emitido pelo CONTRATANTE, conforme § 1º do art. 15 do  Decreto Estadual nº 35.790/2023.</w:t>
      </w:r>
    </w:p>
    <w:p>
      <w:pPr>
        <w:pStyle w:val="Normal1"/>
        <w:tabs>
          <w:tab w:val="clear" w:pos="720"/>
          <w:tab w:val="left" w:pos="1006" w:leader="none"/>
          <w:tab w:val="left" w:pos="5755"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9.8. O saldo remanescente dos recursos depositados na conta corrente vinculada - bloqueada para movimentação, será liberado ao CONTRATADO no momento do encerramento do contrato, após a comprovação da quitação de todos os encargos trabalhistas e previdenciários relativos ao serviço contratado, conforme Instrução Normativa Conjunta nº 003/2022 – SEPLAG/CGE/SEFAZ de 07 de novembro de 2022 e §2º do art. 15 do Decreto Estadual nº 35.790/2023, que regulamenta a contratação de serviços terceirizados de natureza continuada, e de dedicação exclusiva de mão de obra.</w:t>
      </w:r>
    </w:p>
    <w:p>
      <w:pPr>
        <w:pStyle w:val="Normal1"/>
        <w:tabs>
          <w:tab w:val="clear" w:pos="720"/>
          <w:tab w:val="left" w:pos="-2184" w:leader="none"/>
          <w:tab w:val="left" w:pos="1077"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DÉCIMA – DAS OBRIGAÇÕES DO CONTRATANTE E DO CONTRATADO</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10.1. As obrigações referentes ao CONTRATANTE e ao CONTRATADO encontram-se, respectivamente, definidas no Termo de Referência, parte integrante deste contrato.</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DÉCIMA PRIMEIRA – DAS OBRIGAÇÕES PERTINENTES À LEI GERAL DE PROTEÇÃO DE DADOS PESSOAIS(LGPD).</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11.1.1. O CONTRATADO somente poderá tratar dados pessoais nos limites e finalidades exclusivas do cumprimento de suas obrigações com base no presente contrato e jamais poderá realizar o tratamento para fins distintos da execução dos serviços especificados no certame ou no contrato administrativo.</w:t>
      </w:r>
    </w:p>
    <w:p>
      <w:pPr>
        <w:pStyle w:val="Normal1"/>
        <w:spacing w:lineRule="auto" w:line="240" w:before="57" w:after="57"/>
        <w:jc w:val="both"/>
        <w:rPr/>
      </w:pPr>
      <w:r>
        <w:rPr>
          <w:rFonts w:eastAsia="Times New Roman" w:cs="Times New Roman" w:ascii="Arial" w:hAnsi="Arial"/>
          <w:color w:val="000000"/>
          <w:sz w:val="22"/>
          <w:szCs w:val="22"/>
        </w:rPr>
        <w:t>11.2. O tratamento de dados pessoais será realizado de acordo com as hipóteses de tratamento previstas nos arts. 7º, 11, 14, 23, 24 e 26 da LGPD e somente para propósitos legítimos, específicos, explícitos e informados ao titular, observando a persecução do interesse público e os princípios do art.</w:t>
      </w:r>
      <w:r>
        <w:fldChar w:fldCharType="begin"/>
      </w:r>
      <w:r>
        <w:rPr>
          <w:sz w:val="22"/>
          <w:szCs w:val="22"/>
          <w:rFonts w:eastAsia="Times New Roman" w:cs="Times New Roman" w:ascii="Arial" w:hAnsi="Arial"/>
          <w:color w:val="000000"/>
        </w:rPr>
        <w:instrText xml:space="preserve"> HYPERLINK "https://www.planalto.gov.br/ccivil_03/_ato2015-2018/2018/lei/l13709.htm" \l "art6"</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 xml:space="preserve"> 6º</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 xml:space="preserve"> da LGPD e 37 da Constituição Federal de 1988.</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11.3. O CONTRATADO deverá indicar, no prazo máximo de 5 (cinco) dias úteis da publicação do Contrato,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11.4.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relacionados ao objeto contratual. </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11.5. O CONTRATADO não poderá disponibilizar ou transmitir a terceiros, sem prévia autorização por escrito, informação, dados pessoais ou base de dados a que tenha acesso em razão do cumprimento do objeto deste instrumento contratual.</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11.5.2. As PARTES se obrigam a zelar pelo sigilo dos dados, garantindo que apenas as pessoas que efetivamente precisam acessá-los o façam, submetendo-as, em todo caso, ao dever de confidencialidade.</w:t>
      </w:r>
    </w:p>
    <w:p>
      <w:pPr>
        <w:pStyle w:val="Normal1"/>
        <w:spacing w:lineRule="auto" w:line="240" w:before="57" w:after="57"/>
        <w:jc w:val="both"/>
        <w:rPr/>
      </w:pPr>
      <w:r>
        <w:rPr>
          <w:rFonts w:eastAsia="Times New Roman" w:cs="Times New Roman" w:ascii="Arial" w:hAnsi="Arial"/>
          <w:color w:val="000000"/>
          <w:sz w:val="22"/>
          <w:szCs w:val="22"/>
        </w:rPr>
        <w:t>11.6. Ocorrendo o término do tratamento dos dados nos termos do</w:t>
      </w:r>
      <w:r>
        <w:fldChar w:fldCharType="begin"/>
      </w:r>
      <w:r>
        <w:rPr>
          <w:sz w:val="22"/>
          <w:szCs w:val="22"/>
          <w:rFonts w:eastAsia="Times New Roman" w:cs="Times New Roman" w:ascii="Arial" w:hAnsi="Arial"/>
          <w:color w:val="000000"/>
        </w:rPr>
        <w:instrText xml:space="preserve"> HYPERLINK "https://www.planalto.gov.br/ccivil_03/_ato2015-2018/2018/lei/l13709.htm" \l "art15"</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 xml:space="preserve"> art. 15 da LGPD, </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é dever do CONTRATADO eliminá-los, com exceção das hipóteses do</w:t>
      </w:r>
      <w:r>
        <w:fldChar w:fldCharType="begin"/>
      </w:r>
      <w:r>
        <w:rPr>
          <w:sz w:val="22"/>
          <w:szCs w:val="22"/>
          <w:rFonts w:eastAsia="Times New Roman" w:cs="Times New Roman" w:ascii="Arial" w:hAnsi="Arial"/>
          <w:color w:val="000000"/>
        </w:rPr>
        <w:instrText xml:space="preserve"> HYPERLINK "https://www.planalto.gov.br/ccivil_03/_ato2015-2018/2018/lei/l13709.htm" \l "art16"</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 xml:space="preserve"> art. 16 da m</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esma lei, incluindo aquelas em que houver necessidade de guarda de documentação para fins de comprovação do cumprimento de obrigações legais ou contratuais e somente enquanto não prescritas essas obrigações.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11.6.1. O CONTRATADO não poderá deter cópias ou backups, informações, dados pessoais e/ou base de dados a que tenha tido acesso durante a execução do cumprimento do objeto deste instrumento contratual. </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11.6.2. O CONTRATADO deverá eliminar os dados pessoais a que tiver conhecimento ou posse em razão do cumprimento do objeto deste instrumento contratual tão logo não haja necessidade de seu tratamento.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 </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11.7. Caso as PARTES necessitem subcontratar atividades relacionadas ao certame/contrato em que haja tratamento dos dados, deverão exigir a vinculação do SUBCONTRATADO (suboperador) aos critérios definidos neste instrumento, fazendo-o assinar um termo de adesão ao presente contrato.</w:t>
      </w:r>
    </w:p>
    <w:p>
      <w:pPr>
        <w:pStyle w:val="Normal1"/>
        <w:tabs>
          <w:tab w:val="clear" w:pos="720"/>
          <w:tab w:val="left" w:pos="113"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11.7.1. O CONTRATANTE deverá ser informado no prazo de 5 (cinco) dias úteis sobre todos os contratos de subcontratação (suboperadores) firmados ou que venham a ser celebrados pelo CONTRATADO.</w:t>
      </w:r>
    </w:p>
    <w:p>
      <w:pPr>
        <w:pStyle w:val="Normal1"/>
        <w:tabs>
          <w:tab w:val="clear" w:pos="720"/>
          <w:tab w:val="left" w:pos="113"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11.7.2. Em caso de subcontratação, o CONTRATADO e o SUBCONTRATADO responderão em regime de solidariedade por eventuais danos causados aos titulares, o CONTRATANTE e a terceiros, em virtude de qualquer conduta comissiva ou omissiva inerente ao tratamento dos dados.</w:t>
      </w:r>
    </w:p>
    <w:p>
      <w:pPr>
        <w:pStyle w:val="Normal1"/>
        <w:tabs>
          <w:tab w:val="clear" w:pos="720"/>
          <w:tab w:val="left" w:pos="113"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11.7.3. O CONTRATADO deverá assegurar que o subcontratado oferecerá o mesmo nível de segurança dos dados, produzindo e guardando evidências disso;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11.8. As PARTES devem adotar boas práticas de governança e medidas técnicas e administrativas em relação ao tratamento dos dados, compatíveis com a estrutura, a escala e o volume de suas operações, bem como a sensibilidade dos dados tratados.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11.8.1. É dever do CONTRATADO orientar e treinar seus empregados sobre os deveres, requisitos e responsabilidades decorrentes da LGPD, inclusive dará conhecimento formal aos seus empregados das obrigações e condições acordadas nesta cláusula.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11.8.2. O CONTRATADO se responsabilizará por assegurar que todos os seus colaboradores, consultores, e/ou prestadores de serviços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11.8.3. O CONTRATADO deverá promover a revogação de todos os privilégios de acesso aos sistemas, informações e recursos do CONTRATANTE, em caso de desligamento de funcionário das atividades inerentes à execução do presente contrato.</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 Data e hora do incidente;</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b) Data e hora da ciência pela PARTE responsável;</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c) Descrição dos dados pessoais afetados;</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d) Número de titulares afetados;</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e) Relação dos titulares envolvidos;</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f) Riscos relacionados ao incidente;</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g) Indicação das medidas técnicas e de segurança utilizadas para a proteção dos dados;</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h) Motivos da demora, no caso de a comunicação não haver sido imediata;</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i) Medidas que foram ou que serão adotadas para reverter ou mitigar os efeitos do prejuízo;</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j) O contato do Encarregado de Proteção de Dados ou de outra pessoa junto a qual seja possível obter maiores informações sobre o ocorrido;</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11.9.1. Na hipótese descrita acima, as PARTES atuarão em regime de cooperação para:</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a) Definir e implementar as medidas necessárias para fazer cessar o incidente e minimizar seus impactos;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b) Prover as informações necessárias à apuração do ocorrido no menor prazo possível;</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c) Definir o padrão de respostas a serem dadas aos titulares, terceiros, à ANPD e demais autoridades competentes.</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11.10. Os dados obtidos em razão deste contrato serão armazenados em um banco de dados seguro, com garantia de registro das transações realizadas na aplicação de acesso (log), adequado controle baseado em função </w:t>
      </w:r>
      <w:r>
        <w:rPr>
          <w:rFonts w:eastAsia="Times New Roman" w:cs="Times New Roman" w:ascii="Arial" w:hAnsi="Arial"/>
          <w:i/>
          <w:color w:val="000000"/>
          <w:sz w:val="22"/>
          <w:szCs w:val="22"/>
        </w:rPr>
        <w:t>(role based access control)</w:t>
      </w:r>
      <w:r>
        <w:rPr>
          <w:rFonts w:eastAsia="Times New Roman" w:cs="Times New Roman" w:ascii="Arial" w:hAnsi="Arial"/>
          <w:color w:val="000000"/>
          <w:sz w:val="22"/>
          <w:szCs w:val="22"/>
        </w:rPr>
        <w:t xml:space="preserve">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11.11. A critério do CONTRATANTE, o CONTRATADO poderá ser provocado a colaborar na elaboração do Relatório de Impacto à Proteção de Dados Pessoais, conforme a sensibilidade e o risco inerente dos serviços objeto deste contrato, no tocante a dados pessoais.</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11.12. O CONTRATADO indenizará o CONTRATANTE, em razão do não cumprimento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11.13.1. O CONTRATANTE poderá realizar diligência para aferir o cumprimento dessa cláusula, devendo o CONTRATADO atender prontamente eventuais pedidos de comprovação formulados.</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11.14. Os contratos e convênios de que trata o § 1º do art. 26 da Lei Federal nº 13.709/2018 deverão ser comunicados à ANPD.</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11.15. Este instrumento pode ser alterado nos procedimentos pertinentes ao tratamento de dados pessoais, quando indicado pela autoridade competente, em especial a ANPD por meio de opiniões técnicas ou recomendações, editadas na forma da LGPD.</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DÉCIMA SEGUNDA – DA GARANTIA DE EXECUÇÃO</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 xml:space="preserve">12.1. </w:t>
      </w:r>
      <w:r>
        <w:rPr>
          <w:rFonts w:eastAsia="Times New Roman" w:cs="Times New Roman" w:ascii="Arial" w:hAnsi="Arial"/>
          <w:color w:val="000000"/>
          <w:sz w:val="22"/>
          <w:szCs w:val="22"/>
          <w:highlight w:val="white"/>
        </w:rPr>
        <w:t>Será exigida garantia contratual nos termos e prazos estabelecidos no subite</w:t>
      </w:r>
      <w:r>
        <w:rPr>
          <w:rFonts w:eastAsia="Times New Roman" w:cs="Times New Roman" w:ascii="Arial" w:hAnsi="Arial"/>
          <w:color w:val="000000"/>
          <w:sz w:val="22"/>
          <w:szCs w:val="22"/>
        </w:rPr>
        <w:t>m 6.2 do</w:t>
      </w:r>
      <w:r>
        <w:rPr>
          <w:rFonts w:eastAsia="Times New Roman" w:cs="Times New Roman" w:ascii="Arial" w:hAnsi="Arial"/>
          <w:color w:val="000000"/>
          <w:sz w:val="22"/>
          <w:szCs w:val="22"/>
          <w:highlight w:val="white"/>
        </w:rPr>
        <w:t xml:space="preserve"> Termo de Referência. A não prestação de garantia equivale à recusa injustificada para a contratação, caracterizando descumprimento total da obrigação assumida, ficando a adjudicatária sujeita às penalidades legalmente estabelecidas, inclusive multa.</w:t>
      </w:r>
    </w:p>
    <w:p>
      <w:pPr>
        <w:pStyle w:val="Normal1"/>
        <w:tabs>
          <w:tab w:val="clear" w:pos="720"/>
          <w:tab w:val="left" w:pos="993" w:leader="none"/>
          <w:tab w:val="left" w:pos="5742" w:leader="none"/>
        </w:tabs>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DÉCIMA TERCEIRA – DAS INFRAÇÕES E SANÇÕES ADMINISTRATIVAS</w:t>
      </w:r>
    </w:p>
    <w:p>
      <w:pPr>
        <w:pStyle w:val="Normal1"/>
        <w:spacing w:lineRule="auto" w:line="240" w:before="57" w:after="57"/>
        <w:jc w:val="both"/>
        <w:rPr/>
      </w:pPr>
      <w:r>
        <w:rPr>
          <w:rFonts w:eastAsia="Times New Roman" w:cs="Times New Roman" w:ascii="Arial" w:hAnsi="Arial"/>
          <w:color w:val="000000"/>
          <w:sz w:val="22"/>
          <w:szCs w:val="22"/>
        </w:rPr>
        <w:t xml:space="preserve">13.1. Comete infração administrativa, nos termos da </w:t>
      </w:r>
      <w:hyperlink r:id="rId20">
        <w:r>
          <w:rPr>
            <w:rFonts w:eastAsia="Times New Roman" w:cs="Times New Roman" w:ascii="Arial" w:hAnsi="Arial"/>
            <w:color w:val="000000"/>
            <w:sz w:val="22"/>
            <w:szCs w:val="22"/>
          </w:rPr>
          <w:t>Lei Federal</w:t>
        </w:r>
      </w:hyperlink>
      <w:r>
        <w:rPr>
          <w:rFonts w:eastAsia="Times New Roman" w:cs="Times New Roman" w:ascii="Arial" w:hAnsi="Arial"/>
          <w:color w:val="000000"/>
          <w:sz w:val="22"/>
          <w:szCs w:val="22"/>
        </w:rPr>
        <w:t xml:space="preserve"> nº 14.133/2021, o CONTRATADO que: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13.1.1. Der causa à inexecução parcial do contrato;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13.1.2. Der causa à inexecução parcial do contrato que cause grave dano à Administração ou ao funcionamento dos serviços públicos ou ao interesse coletivo;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13.1.3. Der causa à inexecução total do contrato;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13.1.4. Ensejar o retardamento da execução ou da entrega do objeto da contratação sem motivo justificado;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13.1.5. Apresentar documentação falsa ou prestar declaração falsa durante a execução do contrato;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13.1.6. Praticar ato fraudulento na execução do contrato;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13.1.7. Comportar-se de modo inidôneo ou cometer fraude de qualquer natureza;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13.1.8. Praticar ato lesivo previsto no art. 5º da Lei Federal nº 12.846/2013.</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13.2. Serão aplicadas ao CONTRATADO que incorrer nas infrações acima descritas as seguintes sanções: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13.2.1. Advertência, quando o CONTRATADO der causa à inexecução parcial do contrato, sempre que não se justificar a imposição de penalidade mais grave;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13.2.2. Impedimento de licitar e contratar, quando praticadas as condutas descritas nos subitens 13.1.2, 13.1.3 e 13.1.4, deste contrato, sempre que não se justificar a imposição de penalidade mais grave;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13.2.3. Declaração de inidoneidade para licitar e contratar, quando praticadas as condutas descritas nos subitens 13.1.5, 13.1.6, 13.1.7 e 13.1.8 deste contrato, bem como nos subitens 13.1.2,13.1.3 e 13.1.4, que justifiquem a imposição de penalidade mais grave.</w:t>
      </w:r>
    </w:p>
    <w:p>
      <w:pPr>
        <w:pStyle w:val="Normal1"/>
        <w:spacing w:lineRule="auto" w:line="240" w:before="57" w:after="57"/>
        <w:jc w:val="both"/>
        <w:rPr>
          <w:rFonts w:ascii="Arial" w:hAnsi="Arial"/>
        </w:rPr>
      </w:pPr>
      <w:r>
        <w:rPr>
          <w:rFonts w:eastAsia="Times New Roman" w:cs="Times New Roman" w:ascii="Arial" w:hAnsi="Arial"/>
          <w:b/>
          <w:color w:val="000000"/>
          <w:sz w:val="22"/>
          <w:szCs w:val="22"/>
        </w:rPr>
        <w:t>13.2.4. Multa:</w:t>
      </w:r>
    </w:p>
    <w:p>
      <w:pPr>
        <w:pStyle w:val="BodyText"/>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t>13.2.4.1. Moratória de 0,3% (três décimos por cento) por dia de atraso injustificado sobre o valor da parcela inadimplida, até o limite de 30 (trinta) dias.</w:t>
      </w:r>
    </w:p>
    <w:p>
      <w:pPr>
        <w:pStyle w:val="BodyText"/>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t>13.2.4.2. Moratória de 0,07% (sete centésimos por cento) por dia de atraso injustificado sobre o valor total do contrato, até o máximo de 2% (dois por cento) pela inobservância do prazo fixado para apresentação, suplementação ou reposição da garantia.</w:t>
      </w:r>
    </w:p>
    <w:p>
      <w:pPr>
        <w:pStyle w:val="BodyText"/>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t>13.2.4.3. O atraso superior a 25 (vinte e cinco) dias autoriza a Administração a promover a extinção do contrato por descumprimento ou cumprimento irregular de suas cláusulas, conforme dispõe o inciso I do art. 137 da Lei nº 14.133/2021.</w:t>
      </w:r>
    </w:p>
    <w:p>
      <w:pPr>
        <w:pStyle w:val="BodyText"/>
        <w:spacing w:lineRule="auto" w:line="240" w:before="57" w:after="57"/>
        <w:jc w:val="both"/>
        <w:rPr/>
      </w:pPr>
      <w:r>
        <w:rPr>
          <w:rStyle w:val="Hyperlink"/>
          <w:rFonts w:eastAsia="Times New Roman" w:cs="Times New Roman" w:ascii="Arial" w:hAnsi="Arial"/>
          <w:color w:val="000000"/>
          <w:sz w:val="22"/>
          <w:szCs w:val="22"/>
          <w:u w:val="none"/>
        </w:rPr>
        <w:t>13.2.4.4. Compensatória de 20% (vinte por cento) sobre o valor total do contrato, no caso de inexecução total do objeto.</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t>13.3. A aplicação das sanções previstas neste contrato não exclui, em hipótese alguma, a obrigação de reparação integral do dano causado ao CONTRATANTE.</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13</w:t>
      </w:r>
      <w:r>
        <w:rPr>
          <w:rFonts w:eastAsia="Times New Roman" w:cs="Times New Roman" w:ascii="Arial" w:hAnsi="Arial"/>
          <w:color w:val="000000"/>
          <w:sz w:val="22"/>
          <w:szCs w:val="22"/>
        </w:rPr>
        <w:t>.4. Todas as sanções previstas neste contrato poderão ser aplicadas cumulativamente com a multa.</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13</w:t>
      </w:r>
      <w:r>
        <w:rPr>
          <w:rFonts w:eastAsia="Times New Roman" w:cs="Times New Roman" w:ascii="Arial" w:hAnsi="Arial"/>
          <w:color w:val="000000"/>
          <w:sz w:val="22"/>
          <w:szCs w:val="22"/>
        </w:rPr>
        <w:t>.4.1. Antes da aplicação da multa, será facultada a defesa do interessado no prazo de 15 (quinze) dias úteis, contado da data de sua intimação.</w:t>
      </w:r>
    </w:p>
    <w:p>
      <w:pPr>
        <w:pStyle w:val="Normal1"/>
        <w:spacing w:lineRule="auto" w:line="240" w:before="57" w:after="57"/>
        <w:jc w:val="both"/>
        <w:rPr/>
      </w:pPr>
      <w:r>
        <w:rPr>
          <w:rFonts w:eastAsia="Times New Roman" w:cs="Times New Roman" w:ascii="Arial" w:hAnsi="Arial"/>
          <w:color w:val="000000"/>
          <w:sz w:val="22"/>
          <w:szCs w:val="22"/>
          <w:highlight w:val="white"/>
        </w:rPr>
        <w:t>13</w:t>
      </w:r>
      <w:r>
        <w:rPr>
          <w:rFonts w:eastAsia="Times New Roman" w:cs="Times New Roman" w:ascii="Arial" w:hAnsi="Arial"/>
          <w:color w:val="000000"/>
          <w:sz w:val="22"/>
          <w:szCs w:val="22"/>
        </w:rPr>
        <w:t xml:space="preserve">.5. A aplicação das sanções realizar-se-á em processo administrativo que assegure o contraditório e a ampla defesa ao CONTRATADO, observando-se o procedimento previsto no </w:t>
      </w:r>
      <w:r>
        <w:rPr>
          <w:rFonts w:eastAsia="Times New Roman" w:cs="Times New Roman" w:ascii="Arial" w:hAnsi="Arial"/>
          <w:i/>
          <w:color w:val="000000"/>
          <w:sz w:val="22"/>
          <w:szCs w:val="22"/>
        </w:rPr>
        <w:t>caput</w:t>
      </w:r>
      <w:r>
        <w:rPr>
          <w:rFonts w:eastAsia="Times New Roman" w:cs="Times New Roman" w:ascii="Arial" w:hAnsi="Arial"/>
          <w:color w:val="000000"/>
          <w:sz w:val="22"/>
          <w:szCs w:val="22"/>
        </w:rPr>
        <w:t xml:space="preserve"> e parágrafos do </w:t>
      </w:r>
      <w:r>
        <w:fldChar w:fldCharType="begin"/>
      </w:r>
      <w:r>
        <w:rPr>
          <w:sz w:val="22"/>
          <w:szCs w:val="22"/>
          <w:rFonts w:eastAsia="Times New Roman" w:cs="Times New Roman" w:ascii="Arial" w:hAnsi="Arial"/>
          <w:color w:val="000000"/>
        </w:rPr>
        <w:instrText xml:space="preserve"> HYPERLINK "http://www.planalto.gov.br/ccivil_03/_ato2019-2022/2021/lei/L14133.htm" \l "art158"</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art. 158 da Lei Federal nº 14.133/2021</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 para as penalidades de impedimento de licitar e contratar e de declaração de inidoneidade para licitar ou contratar.</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13</w:t>
      </w:r>
      <w:r>
        <w:rPr>
          <w:rFonts w:eastAsia="Times New Roman" w:cs="Times New Roman" w:ascii="Arial" w:hAnsi="Arial"/>
          <w:color w:val="000000"/>
          <w:sz w:val="22"/>
          <w:szCs w:val="22"/>
        </w:rPr>
        <w:t>.6. Na aplicação das sanções serão considerados:</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13.6.1. A natureza e a gravidade da infração cometida;</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13.6.2. As peculiaridades do caso concreto;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13.6.3. As circunstâncias agravantes ou atenuantes;</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13.6.4. Os danos que dela provierem para o CONTRATANTE;</w:t>
      </w:r>
    </w:p>
    <w:p>
      <w:pPr>
        <w:pStyle w:val="Normal1"/>
        <w:spacing w:lineRule="auto" w:line="240" w:before="57" w:after="57"/>
        <w:jc w:val="both"/>
        <w:rPr>
          <w:rFonts w:ascii="Arial" w:hAnsi="Arial"/>
        </w:rPr>
      </w:pPr>
      <w:r>
        <w:rPr>
          <w:rFonts w:eastAsia="Times New Roman" w:cs="Times New Roman" w:ascii="Arial" w:hAnsi="Arial"/>
          <w:color w:val="000000"/>
          <w:sz w:val="22"/>
          <w:szCs w:val="22"/>
          <w:highlight w:val="white"/>
        </w:rPr>
        <w:t>13</w:t>
      </w:r>
      <w:r>
        <w:rPr>
          <w:rFonts w:eastAsia="Times New Roman" w:cs="Times New Roman" w:ascii="Arial" w:hAnsi="Arial"/>
          <w:color w:val="000000"/>
          <w:sz w:val="22"/>
          <w:szCs w:val="22"/>
        </w:rPr>
        <w:t>.6.5. A implantação ou o aperfeiçoamento de programa de integridade, conforme normas e orientações dos órgãos de controle.</w:t>
      </w:r>
    </w:p>
    <w:p>
      <w:pPr>
        <w:pStyle w:val="Normal1"/>
        <w:spacing w:lineRule="auto" w:line="240" w:before="57" w:after="57"/>
        <w:jc w:val="both"/>
        <w:rPr/>
      </w:pPr>
      <w:r>
        <w:rPr>
          <w:rFonts w:eastAsia="Times New Roman" w:cs="Times New Roman" w:ascii="Arial" w:hAnsi="Arial"/>
          <w:color w:val="000000"/>
          <w:sz w:val="22"/>
          <w:szCs w:val="22"/>
        </w:rPr>
        <w:t xml:space="preserve">13.7. Os atos previstos como infrações administrativas na </w:t>
      </w:r>
      <w:hyperlink r:id="rId21">
        <w:r>
          <w:rPr>
            <w:rFonts w:eastAsia="Times New Roman" w:cs="Times New Roman" w:ascii="Arial" w:hAnsi="Arial"/>
            <w:color w:val="000000"/>
            <w:sz w:val="22"/>
            <w:szCs w:val="22"/>
          </w:rPr>
          <w:t>Lei Federal nº 14.133/2021</w:t>
        </w:r>
      </w:hyperlink>
      <w:r>
        <w:rPr>
          <w:rFonts w:eastAsia="Times New Roman" w:cs="Times New Roman" w:ascii="Arial" w:hAnsi="Arial"/>
          <w:color w:val="000000"/>
          <w:sz w:val="22"/>
          <w:szCs w:val="22"/>
        </w:rPr>
        <w:t xml:space="preserve">, ou em outras leis de licitações e contratos da Administração Pública que também sejam tipificados como atos lesivos na </w:t>
      </w:r>
      <w:hyperlink r:id="rId22">
        <w:r>
          <w:rPr>
            <w:rFonts w:eastAsia="Times New Roman" w:cs="Times New Roman" w:ascii="Arial" w:hAnsi="Arial"/>
            <w:color w:val="000000"/>
            <w:sz w:val="22"/>
            <w:szCs w:val="22"/>
          </w:rPr>
          <w:t>Lei Federal nº 12.846/2013</w:t>
        </w:r>
      </w:hyperlink>
      <w:r>
        <w:rPr>
          <w:rFonts w:eastAsia="Times New Roman" w:cs="Times New Roman" w:ascii="Arial" w:hAnsi="Arial"/>
          <w:color w:val="000000"/>
          <w:sz w:val="22"/>
          <w:szCs w:val="22"/>
        </w:rPr>
        <w:t>, serão apurados e julgados conjuntamente, nos mesmos autos, observados o rito procedimental e autoridade competente definidos na referida Lei.</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 (CRC) do Estado do Ceará.</w:t>
      </w:r>
    </w:p>
    <w:p>
      <w:pPr>
        <w:pStyle w:val="Normal1"/>
        <w:spacing w:lineRule="auto" w:line="240" w:before="57" w:after="57"/>
        <w:jc w:val="both"/>
        <w:rPr/>
      </w:pPr>
      <w:r>
        <w:rPr>
          <w:rFonts w:eastAsia="Times New Roman" w:cs="Times New Roman" w:ascii="Arial" w:hAnsi="Arial"/>
          <w:color w:val="000000"/>
          <w:sz w:val="22"/>
          <w:szCs w:val="22"/>
          <w:highlight w:val="white"/>
        </w:rPr>
        <w:t>13</w:t>
      </w:r>
      <w:r>
        <w:rPr>
          <w:rFonts w:eastAsia="Times New Roman" w:cs="Times New Roman" w:ascii="Arial" w:hAnsi="Arial"/>
          <w:color w:val="000000"/>
          <w:sz w:val="22"/>
          <w:szCs w:val="22"/>
        </w:rPr>
        <w:t xml:space="preserve">.10. As sanções de impedimento de licitar e contratar e declaração de inidoneidade para licitar ou contratar são passíveis de reabilitação na forma do </w:t>
      </w:r>
      <w:r>
        <w:fldChar w:fldCharType="begin"/>
      </w:r>
      <w:r>
        <w:rPr>
          <w:sz w:val="22"/>
          <w:szCs w:val="22"/>
          <w:rFonts w:eastAsia="Times New Roman" w:cs="Times New Roman" w:ascii="Arial" w:hAnsi="Arial"/>
          <w:color w:val="000000"/>
        </w:rPr>
        <w:instrText xml:space="preserve"> HYPERLINK "http://www.planalto.gov.br/ccivil_03/_ato2019-2022/2021/lei/L14133.htm" \l "163"</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art. 163 da Lei Federal nº 14.133/2021</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13.11.1. Na impossibilidade do pagamento da multa por meio de descontos dos créditos existentes ou da garantia contratual, o CONTRATADO recolherá a multa por meio de Documento de Arrecadação Estadual (DAE), podendo ser substituído por outro instrumento legal, em nome do CONTRATANTE, se não o fizer, será cobrada em processo de execução.</w:t>
      </w:r>
    </w:p>
    <w:p>
      <w:pPr>
        <w:pStyle w:val="Normal1"/>
        <w:spacing w:lineRule="auto" w:line="240" w:before="57" w:after="57"/>
        <w:jc w:val="both"/>
        <w:rPr>
          <w:rFonts w:ascii="Arial" w:hAnsi="Arial"/>
        </w:rPr>
      </w:pPr>
      <w:r>
        <w:rPr>
          <w:rFonts w:eastAsia="Times New Roman" w:cs="Times New Roman" w:ascii="Arial" w:hAnsi="Arial"/>
          <w:color w:val="000000"/>
          <w:sz w:val="22"/>
          <w:szCs w:val="22"/>
        </w:rPr>
        <w:t>13.12. Se a multa aplicada e as indenizações cabíveis forem superiores ao valor de pagamento eventualmente devido pela Administração ao CONTRATADO, além da perda desse valor, a diferença será descontada da garantia prestada ou será cobrada judicialmente, conforme § 8º do art. 156 da Lei Federal nº 14.133/2021.</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DÉCIMA QUARTA – DA EXTINÇÃO CONTRATUAL</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14.1. Este contrato se extingue nas seguintes hipóteses: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 – Quando cumpridas as obrigações de ambas as partes, ainda que isso ocorra antes do prazo estipulado para tanto;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 – Quando mesmo não cumpridas as obrigações nele estipuladas, ou antes do prazo nele fixado, ocorrer algum dos motivos previstos no art. 137 da Lei Federal nº 14.133/2021, bem como amigavelmente, assegurados o contraditório e a ampla defesa;</w:t>
      </w:r>
    </w:p>
    <w:p>
      <w:pPr>
        <w:pStyle w:val="Normal1"/>
        <w:spacing w:lineRule="auto" w:line="240" w:before="57" w:after="57"/>
        <w:jc w:val="both"/>
        <w:rPr/>
      </w:pPr>
      <w:r>
        <w:rPr>
          <w:rFonts w:eastAsia="Times New Roman" w:cs="Times New Roman" w:ascii="Arial" w:hAnsi="Arial"/>
          <w:color w:val="000000"/>
          <w:sz w:val="22"/>
          <w:szCs w:val="22"/>
        </w:rPr>
        <w:t xml:space="preserve">a) Na hipótese do inciso II, aplicam-se também os </w:t>
      </w:r>
      <w:r>
        <w:fldChar w:fldCharType="begin"/>
      </w:r>
      <w:r>
        <w:rPr>
          <w:sz w:val="22"/>
          <w:szCs w:val="22"/>
          <w:rFonts w:eastAsia="Times New Roman" w:cs="Times New Roman" w:ascii="Arial" w:hAnsi="Arial"/>
          <w:color w:val="000000"/>
        </w:rPr>
        <w:instrText xml:space="preserve"> HYPERLINK "http://www.planalto.gov.br/ccivil_03/_ato2019-2022/2021/lei/L14133.htm" \l "art138"</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arts. 138 e 139 da mesma Lei</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III – Quando não dispuser de créditos orçamentários para sua continuidade ou quando entender que o contrato não mais lhe oferece vantagem, sem ônus para a CONTRATANTE. A referida extinção ocorrerá apenas na próxima data de aniversário do contrato e não poderá ocorrer em prazo inferior a 2 (dois) meses, contado da referida data, conforme parágrafo único e caput do art. 39 do Decreto Estadual nº 35.790/2023.</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IV – Quando houver alteração da convenção coletiva de trabalho em que se baseia a Planilha de Custos e Formação de Preços, em razão de erro ou fraude no enquadramento sindical de que resulta a necessidade de repactuação ou imposição de ônus financeiro para a Administração Pública.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14.2. A alteração social ou a modificação da finalidade ou da estrutura da empresa não ensejará a rescisão se não restringir sua capacidade de concluir o contrato.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14.2.1. Se a operação implicar mudança da pessoa jurídica CONTRATADA, deverá ser formalizado termo aditivo para alteração subjetiva.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14.3. O termo de rescisão, sempre que possível, será precedido: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14.3.1. Balanço dos eventos contratuais já cumpridos ou parcialmente cumpridos;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14.3.2. Relação dos pagamentos já efetuados e ainda devidos;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14.3.3. Indenizações e multas.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14.4.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14.5. Quando da extinção contratual, o gestor do contrao deverá verificar o pagamento pelo CONTRATADO das verbas rescisórias ou os documentos que comprovem que os empregados serão realocados em outra atividade de prestação de serviços, sem que ocorra a interrupção do contrato de trabalho conforme art. 64 da IN SEGES/MP n.º 05/2017).</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14.6. Até que o CONTRATADO comprove o disposto no subitem anterior, o CONTRATANTE reterá:</w:t>
      </w:r>
    </w:p>
    <w:p>
      <w:pPr>
        <w:pStyle w:val="Normal1"/>
        <w:tabs>
          <w:tab w:val="clear" w:pos="720"/>
          <w:tab w:val="left" w:pos="1091"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14.6.1. A garantia contratual, prestada com cobertura para os casos de descumprimento das obrigações de natureza trabalhista e previdenciária pelo CONTRATADO, que será executada para reembolso dos prejuízos sofridos pela Administração, nos termos da legislação que rege a matéria; 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14.6.2. Os valores das Notas fiscais ou Faturas correspondentes em valor proporcional ao inadimplemento, até que a situação seja regularizada.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14.7. Na hipótese do subitem anterior, não havendo quitação das obrigações por parte do CONTRATADO no prazo de quinze dias, o CONTRATANTE poderá efetuar o pagamento das obrigações diretamente aos empregados do CONTRATADO que tenham participado da execução dos serviços objeto do contrato, conforme § 3º do art. 16 do Decreto Estadual nº 35.790/2023.</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14.8. A extinção do contrato não configura óbice para o reconhecimento do desequilíbrio econômico-financeiro, hipótese em que será concedida indenização por meio de termo indenizatório, conforme art. 40 do Decreto Estadual nº 35.790/2023.</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14.8.1. O pedido de restabelecimento do equilíbrio econômico-financeiro deverá ser formulado durante a vigência do contrato e antes de eventual prorrogação ou extinção contratual, nos termos do art. 107 da Lei Federal nº 14.133/2021 c/c o parágrafo único do art. 40 do Decreto Estadual nº 35.790/2023.</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14.9. Este contrato poderá ser rescindido a qualquer tempo pelo CONTRATANTE, mediante aviso prévio de no mínimo 30 (trinta) dias, nos casos das rescisões decorrentes do previsto no inciso VIII, do art. 137, da Lei Federal nº 14.133/2021, sem que caiba ao CONTRATADO, direito à indenização de qualquer espécie.</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DÉCIMA QUINTA – DA ADEQUAÇÃO ORÇAMENTÁRIA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15.1. As despesas decorrentes da presente contratação correrão à conta de recursos específicos consignados no Orçamento Geral do Estado deste exercício, na dotação abaixo discriminada, conforme o caso:</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t>15.1.1. Gestão/Unidade: 30100014;</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t>15.1.2. Fonte de Recursos: 500;</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t>15.1.3. Programa de Trabalho: 14.422.420;</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t>15.1.4. Elemento de Despesa: 449037;</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15.2. A dotação relativa aos exercícios financeiros subsequentes será indicada após aprovação da Lei Orçamentária respectiva e liberação dos créditos correspondentes, mediante apostilamento.</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DÉCIMA SEXTA – DAS PRÁTICAS PROIBITIVAS - BID</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O Banco exige que todos os Mutuários (incluindo beneficiários de doações), Agências Executoras e Agências Contratantes, bem como, todas as empresas, entidades ou indivíduos que estejam atuando como proponentes ou participando de atividades financiadas pelo Banco incluindo, entre outros, requerentes, licitantes, proponentes, empreiteiros, consultores, funcionários, subempreiteiros, subconsultores, prestadores de serviços, fornecedores de bens e concessionários (incluindo seus respectivos dirigentes, funcionários e agentes, independentemente de a agência ser expressa ou implícita), aderem os mais altos padrões éticos e denunciem ao Banco12 qualquer ato suspeito de Práticas Proibidas sobre as quais tenham conhecimento ou venham tomar conhecimento tanto durante o processo de licitação e durante a negociação ou na execução de um contrato. As Práticas Proibidas compreendem: (i) práticas corruptas; (ii) práticas fraudulentas; (iii) práticas coercitivas; (iv) práticas colusivas; (v) práticas obstrutivas e (vi) apropriação indébita. O Banco estabeleceu mecanismos para denunciar suspeitas de Práticas Proibidas. Qualquer denúncia deverá ser encaminhada ao Escritório de Integridade Institucional (EII) do Banco para que se realize a devida investigação. O Banco também tem adotado procedimentos de sanções para julgar casos. Além disso, o Banco firmou com outras Instituições Financeiras Internacionais (IFIs) um acordo de reconhecimento mútuo de decisões de exclusão.</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(a) O Banco define, para os fins desta disposição, os seguintes termos:</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 uma prática corrupta consiste em oferecer, dar, receber ou solicitar, direta ou indiretamente, qualquer coisa de valor para influenciar indevidamente as ações de outra parte;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 uma prática fraudulenta é qualquer ato ou omissão, incluindo a tergiversação de fatos ou circunstâncias que deliberada ou imprudentemente engane ou tente enganar, uma parte para obter um benefício financeiro ou de outra natureza ou para evitar cumprir uma obrigação;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(iii) uma prática coercitiva consiste em prejudicar ou causar dano, ou ameaçar prejudicar ou causar dano, direta ou indiretamente, a qualquer parte interessada ou à sua propriedade, para influenciar indevidamente as ações de uma parte;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(iv) uma prática colusiva é um acordo entre duas ou mais partes com o intuito de alcançar um propósito impróprio, inclusive influenciar inapropriadamente as ações de outra parte;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(v) Uma prática obstrutiva é:</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 destruir, falsificar, alterar ou ocultar evidências significativas de uma investigação do Grupo BID ou prestar declarações falsas aos investigadores com a intenção de obstruir uma investigação do Grupo BID;</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 ameaçar, assediar ou intimidar qualquer parte interessada para impedi-la de revelar seu conhecimento sobre assuntos relevantes para uma investigação do Grupo BID ou ao seu prosseguimento; ou</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(iii) atos que visem impedir o exercício dos direitos contratuais de auditoria ou inspeção do Grupo BID previstos no parágrafo 1.16 (f) abaixo ou seus direitos de acesso à informação; 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(vi) uma apropriação indébita consiste no uso de fundos ou recursos do Grupo BID para um propósito impróprio ou não autorizado, cometido intencionalmente ou por negligência grave.</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(b) Se o Banco determinar que em qualquer estágio da aquisição ou da execução de um contrato qualquer empresa, entidade ou indivíduo que concorra ou participe de uma atividade financiada pelo Banco, incluindo, entre outros, requerentes, licitantes, proponentes, fornecedores de bens, empreiteiros, consultores, funcionários, subempreiteiros, subconsultores, prestadores de serviços, concessionários, Mutuários (incluindo Beneficiários de doações), Agências Executoras ou Agências Contratantes (incluindo seus respectivos dirigentes, funcionários e agentes, independentemente de a agência ser expressa ou implícita) envolvidos em uma Prática Proibida, o Banco poderá:</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 não financiar nenhuma recomendação de adjudicação de um contrato para obras, bens e serviços correlatos financiados pelo Banco;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 suspender os desembolsos da operação se for determinado, em qualquer etapa, que um funcionário, agente ou representante do Mutuário, da Agência Executora ou Agência Contratante se envolveu em Prática Proibida;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(iii) declarar a Aquisição Viciada (Misprocurement) e cancelar e/ou declarar vencido antecipadamente o pagamento da parte do empréstimo ou da doação destinada a um contrato, quando houver evidências de que o representante do Mutuário ou do Beneficiário de uma doação não tomou as medidas corretivas adequadas (incluindo, entre outras, fornecer a notificação adequada ao Banco após tomar conhecimento da Prática Proibida) dentro de um prazo que o Banco considere razoável;</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(iv) emitir uma advertência à empresa, entidade ou indivíduo através de uma carta formal de censura por sua conduta;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(v) declarar que uma empresa, entidade ou indivíduo é inelegível, permanentemente ou por um prazo determinado, para: (i) receber ou participar em atividades financiadas pelo Banco; e (ii) ser designado13 como subconsultor, subempreiteiro, fornecedor de bens ou prestador de serviços de uma empresa elegível à qual tenha sido adjudicado um contrato financiado pelo Banco;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(vi) encaminhar o assunto às autoridades competentes, encarregadas de fazer cumprir as leis; e/ou</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(vii) impor outras sanções que julgar apropriadas sob as circunstâncias, incluindo a imposição de multas que representem o reembolso do Banco pelos custos associados às investigações e procedimentos. Essas sanções podem ser impostas adicionalmente ou em substituição às sanções mencionadas acima.</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(c) As disposições dos incisos (i) e (ii) do subparágrafo 1.16(b) serão aplicadas, também, quando tais partes tiverem sido temporariamente declaradas inelegíveis para a adjudicação de novos contratos, enquanto aguardam a decisão definitiva de um processo de sanção ou de qualquer outra resolução.</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(d) A imposição de qualquer ação a ser tomada pelo Banco de acordo com as disposições acima mencionadas, será pública.</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(e) Além disso, qualquer empresa, entidade ou indivíduo que concorra ou participe de uma atividade financiada pelo Banco incluindo, entre outros, requerentes, licitantes, proponentes, fornecedores de bens, empreiteiros, consultores, funcionários, subempreiteiros, subconsultores, prestadores de serviços, concessionários, Mutuários (incluindo Beneficiários de doações), Agências Executoras ou Agências Contratante (incluindo seus respectivos dirigentes, funcionários e agentes, independentemente de a agência ser expressa ou implícita), podem estar sujeitos a sanções baseadas nos acordos que o Banco possa ter com outras IFIs em relação ao reconhecimento mútuo de decisões de exclusão. Para fins deste parágrafo, o termo "sanção" incluirá qualquer exclusão, condições sobre futuras contratações ou qualquer ação divulgada publicamente em resposta a uma violação da estrutura aplicável de uma IFI para tratar de alegações de Práticas Proibidas.</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(f) O Banco exige que seja incluída uma disposição nos documentos de licitação e nos contratos financiados com um empréstimo ou doação do Banco, exigindo que os requerentes, licitantes, proponentes, fornecedores de bens e seus agentes, empreiteiros, consultores, funcionários, subempreiteiros, subconsultores, prestadores de serviços e concessionários, permitam que o Banco inspecione todas e quaisquer contas, registros e outros documentos relativos à apresentação de propostas e execução de contrato bem como que sejam auditados por auditores nomeados pelo Banco. No âmbito desta política, os requerentes, licitantes, proponentes, fornecedores de bens e seus agentes, empreiteiros, consultores, funcionários, subempreiteiros, subconsultores, prestadores de serviços e concessionários devem prestar plena assistência ao Banco em sua investigação. O Banco terá também o direito de requerer que, nos contratos por ele financiados com um empréstimo ou doação incluam uma disposição que obrigue os requerentes, licitantes, proponentes, fornecedores de bens e seus agentes, empreiteiros, consultores, funcionários, subempreiteiros, subconsultores, prestadores de serviços e concessionários a: (i) mantenham todos os documentos e registros referentes às atividades financiadas pelo Banco por sete (7) anos após a conclusão do trabalho contemplado no respectivo contrato; e (ii) forneçam quaisquer documentos necessários à investigação de alegações de Práticas Proibidas; e assegurem que funcionários ou agentes dos requerentes, licitantes, proponentes, fornecedores de bens e seus agentes, empreiteiros, consultores, subempreiteiros, subconsultores, prestadores de serviços ou concessionários que tenham conhecimento das atividades financiadas pelo Banco estejam disponíveis para responder às questões dos funcionários do Banco ou de qualquer investigador, agente, auditor ou consultor relacionado com a investigação devidamente designado. Caso o requerente, licitante, proponente, fornecedor de bens e seus agentes, empreiteiro, consultor, funcionários, subempreiteiro, subconsultor, prestador de serviços ou concessionário se recusem a cooperar e/ou descumpram o exigido pelo Banco ou obstruam de qualquer forma, a investigação, o Banco, a seu critério exclusivo, pode tomar as medidas apropriadas contra o requerente, licitante, proponente, fornecedor de bens e seus agentes, empreiteiro, consultor, funcionários, subempreiteiro, subconsultor, prestador de serviços ou concessionário.</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(g) O Banco exigirá que, quando um Mutuário adquire bens, obras ou serviços que não os de consultoria diretamente de uma agência especializada de acordo com o parágrafo 3.10 no âmbito de um acordo entre o Mutuário e tal agência especializada, todas as disposições do parágrafo 1.16 referentes a sanções e Práticas Proibidas serão aplicadas integralmente aos requerentes, licitantes, proponentes, fornecedores de bens e seus agentes, empreiteiros, consultores, funcionários, subempreiteiros, subconsultores, prestadores de serviços, concessionários (incluindo seus respectivos dirigentes, funcionários e agentes, independentemente de a agência ser expressa ou implícita), ou quaisquer outras entidades que assinaram contratos com tal agência especializada para fornecer tais bens, obras ou serviços que não os de consultoria relacionados com as atividades financiadas pelo Banco. O Banco mantém o direito de exigir que o Mutuário invoque recursos tais como suspensão ou extinção. As agências especializadas deverão consultar a lista do Banco de empresas e indivíduos suspensos ou excluídos. No caso de uma agência especializada assinar um contrato ou uma ordem de compra com uma empresa ou com um indivíduo suspenso ou excluído pelo Banco, o Banco não financiará as despesas relacionadas e aplicará outras medidas conforme apropriado.</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Com a concordância específica do Banco, além da Lista do Banco de Empresas e Indivíduos Sancionados, o Mutuário pode introduzir, nos formulários da Oferta para contratos financiados pelo Banco, um compromisso do licitante de observar, ao concorrer e executar um contrato, as leis e o sistema de sanções do país contra práticas proibidas (incluindo suborno) e os regulamentos e sanções de um organismo de desenvolvimento multilateral/bilateral ou organização internacional, atuando como cofinanciador, relacionados a práticas proibidas, se aplicável, conforme listado nos documentos de licitação.O Banco aceitará a introdução de tal compromisso a pedido do país Mutuário, desde que as disposições que regem tal requisito sejam satisfatórias para o Banco.</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DÉCIMA SÉTIMA – DAS ALTERAÇÕES</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17.1. Eventuais alterações contratuais reger-se-ão pela disciplina dos arts. 124 e seguintes da Lei Federal nº 14.133/2021 e art. 27 do Decreto Estadual nº 35.790/2023.</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17.2. Este contrato poderá ser alterado unilateralmente pela CONTRATANTE, com as devidas justificativas, quando for necessária a modificação do valor contratual em decorrência de acréscimo ou diminuição quantitativa de seu objeto, nos limites permitidos pela Lei Federal nº 14.133/2021, conforme art. 29 do Decreto Estadual nº 35.790/2023.</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17.3. O CONTRATADO é obrigado a aceitar, nas mesmas condições contratuais, os acréscimos ou supressões que se fizerem necessários, até o limite de 25% (vinte e cinco por cento) do valor inicial atualizado do contrato, conforme art. 30 do Decreto Estadual nº 35.790/2023 e art. 125 da Lei Federal nº 14.133/2021.</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17.4. As alterações unilaterais decorrentes de acréscimo ou diminuição quantitativa não poderão transfigurar o objeto da contratação, conforme art. 31 do Decreto Estadual nº 35.790/2023.</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17.5. 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previsto no art. 132 da Lei Federal nº 14.133/2021, conforme art. 28 do Decreto Estadual nº 35.790/2023.</w:t>
      </w:r>
    </w:p>
    <w:p>
      <w:pPr>
        <w:pStyle w:val="Normal1"/>
        <w:spacing w:lineRule="auto" w:line="240" w:before="57" w:after="57"/>
        <w:jc w:val="both"/>
        <w:rPr/>
      </w:pPr>
      <w:r>
        <w:rPr>
          <w:rFonts w:eastAsia="Times New Roman" w:cs="Times New Roman" w:ascii="Arial" w:hAnsi="Arial"/>
          <w:color w:val="000000"/>
          <w:sz w:val="22"/>
          <w:szCs w:val="22"/>
        </w:rPr>
        <w:t xml:space="preserve">17.6. Registros que não caracterizam alteração do contrato podem ser realizados por simples apostila, dispensada a celebração de termo aditivo, na forma do art. 136 da Lei </w:t>
      </w:r>
      <w:r>
        <w:fldChar w:fldCharType="begin"/>
      </w:r>
      <w:r>
        <w:rPr>
          <w:sz w:val="22"/>
          <w:szCs w:val="22"/>
          <w:rFonts w:eastAsia="Times New Roman" w:cs="Times New Roman" w:ascii="Arial" w:hAnsi="Arial"/>
          <w:color w:val="000000"/>
        </w:rPr>
        <w:instrText xml:space="preserve"> HYPERLINK "http://www.planalto.gov.br/ccivil_03/_ato2019-2022/2021/lei/L14133.htm" \l "art124"</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Federal</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 xml:space="preserve"> </w:t>
      </w:r>
      <w:r>
        <w:fldChar w:fldCharType="begin"/>
      </w:r>
      <w:r>
        <w:rPr>
          <w:sz w:val="22"/>
          <w:szCs w:val="22"/>
          <w:rFonts w:eastAsia="Times New Roman" w:cs="Times New Roman" w:ascii="Arial" w:hAnsi="Arial"/>
          <w:color w:val="000000"/>
        </w:rPr>
        <w:instrText xml:space="preserve"> HYPERLINK "http://www.planalto.gov.br/ccivil_03/_ato2019-2022/2021/lei/L14133.htm" \l "art136"</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nº 14.133/2021</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DÉCIMA OITAVA – DOS CASOS OMISSOS</w:t>
      </w:r>
    </w:p>
    <w:p>
      <w:pPr>
        <w:pStyle w:val="Normal1"/>
        <w:spacing w:lineRule="auto" w:line="240" w:before="57" w:after="57"/>
        <w:jc w:val="both"/>
        <w:rPr/>
      </w:pPr>
      <w:r>
        <w:rPr>
          <w:rFonts w:eastAsia="Times New Roman" w:cs="Times New Roman" w:ascii="Arial" w:hAnsi="Arial"/>
          <w:color w:val="000000"/>
          <w:sz w:val="22"/>
          <w:szCs w:val="22"/>
        </w:rPr>
        <w:t xml:space="preserve">18.1. Os casos omissos serão decididos pelo CONTRATANTE, segundo as disposições contidas na Lei </w:t>
      </w:r>
      <w:r>
        <w:fldChar w:fldCharType="begin"/>
      </w:r>
      <w:r>
        <w:rPr>
          <w:sz w:val="22"/>
          <w:szCs w:val="22"/>
          <w:rFonts w:eastAsia="Times New Roman" w:cs="Times New Roman" w:ascii="Arial" w:hAnsi="Arial"/>
          <w:color w:val="000000"/>
        </w:rPr>
        <w:instrText xml:space="preserve"> HYPERLINK "http://www.planalto.gov.br/ccivil_03/_ato2019-2022/2021/lei/L14133.htm" \l "art124"</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Federal</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 xml:space="preserve"> </w:t>
      </w:r>
      <w:hyperlink r:id="rId23">
        <w:r>
          <w:rPr>
            <w:rFonts w:eastAsia="Times New Roman" w:cs="Times New Roman" w:ascii="Arial" w:hAnsi="Arial"/>
            <w:color w:val="000000"/>
            <w:sz w:val="22"/>
            <w:szCs w:val="22"/>
          </w:rPr>
          <w:t>nº 14.133/2021</w:t>
        </w:r>
      </w:hyperlink>
      <w:r>
        <w:rPr>
          <w:rFonts w:eastAsia="Times New Roman" w:cs="Times New Roman" w:ascii="Arial" w:hAnsi="Arial"/>
          <w:color w:val="000000"/>
          <w:sz w:val="22"/>
          <w:szCs w:val="22"/>
        </w:rPr>
        <w:t xml:space="preserve">, e demais normas estaduais aplicáveis e, subsidiariamente, segundo as disposições contidas na Lei </w:t>
      </w:r>
      <w:r>
        <w:fldChar w:fldCharType="begin"/>
      </w:r>
      <w:r>
        <w:rPr>
          <w:sz w:val="22"/>
          <w:szCs w:val="22"/>
          <w:rFonts w:eastAsia="Times New Roman" w:cs="Times New Roman" w:ascii="Arial" w:hAnsi="Arial"/>
          <w:color w:val="000000"/>
        </w:rPr>
        <w:instrText xml:space="preserve"> HYPERLINK "http://www.planalto.gov.br/ccivil_03/_ato2019-2022/2021/lei/L14133.htm" \l "art124"</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Federal</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 xml:space="preserve"> nº 8.078/</w:t>
      </w:r>
      <w:hyperlink r:id="rId24">
        <w:r>
          <w:rPr>
            <w:rFonts w:eastAsia="Times New Roman" w:cs="Times New Roman" w:ascii="Arial" w:hAnsi="Arial"/>
            <w:color w:val="000000"/>
            <w:sz w:val="22"/>
            <w:szCs w:val="22"/>
          </w:rPr>
          <w:t>1</w:t>
        </w:r>
      </w:hyperlink>
      <w:r>
        <w:rPr>
          <w:rFonts w:eastAsia="Times New Roman" w:cs="Times New Roman" w:ascii="Arial" w:hAnsi="Arial"/>
          <w:color w:val="000000"/>
          <w:sz w:val="22"/>
          <w:szCs w:val="22"/>
        </w:rPr>
        <w:t>990 – Código de Defesa do Consumidor – e normas e princípios gerais dos contratos.</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DÉCIMA NONA – DA PUBLICAÇÃO</w:t>
      </w:r>
    </w:p>
    <w:p>
      <w:pPr>
        <w:pStyle w:val="Normal1"/>
        <w:spacing w:lineRule="auto" w:line="240" w:before="57" w:after="57"/>
        <w:jc w:val="both"/>
        <w:rPr/>
      </w:pPr>
      <w:r>
        <w:rPr>
          <w:rFonts w:eastAsia="Times New Roman" w:cs="Times New Roman" w:ascii="Arial" w:hAnsi="Arial"/>
          <w:color w:val="000000"/>
          <w:sz w:val="22"/>
          <w:szCs w:val="22"/>
        </w:rPr>
        <w:t xml:space="preserve">19.1. Incumbirá ao CONTRATANTE divulgar o presente instrumento no Portal Nacional de Contratações Públicas (PNCP), na forma prevista no </w:t>
      </w:r>
      <w:r>
        <w:fldChar w:fldCharType="begin"/>
      </w:r>
      <w:r>
        <w:rPr>
          <w:sz w:val="22"/>
          <w:szCs w:val="22"/>
          <w:rFonts w:eastAsia="Times New Roman" w:cs="Times New Roman" w:ascii="Arial" w:hAnsi="Arial"/>
          <w:color w:val="000000"/>
        </w:rPr>
        <w:instrText xml:space="preserve"> HYPERLINK "http://www.planalto.gov.br/ccivil_03/_ato2019-2022/2021/lei/L14133.htm" \l "art94"</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art. 94 da Lei 14.133/2021</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 xml:space="preserve">, bem como no respectivo sítio oficial na Internet, em atenção a Lei </w:t>
      </w:r>
      <w:r>
        <w:fldChar w:fldCharType="begin"/>
      </w:r>
      <w:r>
        <w:rPr>
          <w:sz w:val="22"/>
          <w:szCs w:val="22"/>
          <w:rFonts w:eastAsia="Times New Roman" w:cs="Times New Roman" w:ascii="Arial" w:hAnsi="Arial"/>
          <w:color w:val="000000"/>
        </w:rPr>
        <w:instrText xml:space="preserve"> HYPERLINK "http://www.planalto.gov.br/ccivil_03/_ato2019-2022/2021/lei/L14133.htm" \l "art124"</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Federal</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 xml:space="preserve"> nº 12.527/2011, regulamentada no Estado do Ceará pela Lei Estadual nº 15.175/2012.</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VIGÉSIMA – DA GESTÃO E FISCALIZAÇÃO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20.1. O modelo de gestão contratual consta no Termo de Referência, anexo a este contrato.</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20.2. A execução contratual será acompanhada pelo(a) Gestor(a) do Contrato __________ (nome completo), CPF _______, representante especialmente designado(a) para este fim, ou pelo(a) respectivo(a) substituto(a).</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20.3. A execução contratual será fiscalizada pelo(a) Fiscal(a) do Contrato _____ (nome completo), CPF _______, representante especialmente designado(a) para este fim, ou pelo(a) respectivo(a) substituto(a).</w:t>
      </w:r>
    </w:p>
    <w:p>
      <w:pPr>
        <w:pStyle w:val="Normal1"/>
        <w:spacing w:lineRule="auto" w:line="240" w:before="57" w:after="57"/>
        <w:jc w:val="both"/>
        <w:rPr>
          <w:rFonts w:ascii="Arial" w:hAnsi="Arial"/>
          <w:sz w:val="22"/>
          <w:szCs w:val="22"/>
        </w:rPr>
      </w:pPr>
      <w:r>
        <w:rPr>
          <w:rFonts w:eastAsia="Times New Roman" w:cs="Times New Roman" w:ascii="Arial" w:hAnsi="Arial"/>
          <w:b/>
          <w:color w:val="000000"/>
          <w:sz w:val="22"/>
          <w:szCs w:val="22"/>
        </w:rPr>
        <w:t>CLÁUSULA VIGÉSIMA PRIMEIRA – DO FORO</w:t>
      </w:r>
    </w:p>
    <w:p>
      <w:pPr>
        <w:pStyle w:val="Normal1"/>
        <w:spacing w:lineRule="auto" w:line="240" w:before="57" w:after="57"/>
        <w:jc w:val="both"/>
        <w:rPr/>
      </w:pPr>
      <w:r>
        <w:rPr>
          <w:rFonts w:eastAsia="Times New Roman" w:cs="Times New Roman" w:ascii="Arial" w:hAnsi="Arial"/>
          <w:color w:val="000000"/>
          <w:sz w:val="22"/>
          <w:szCs w:val="22"/>
        </w:rPr>
        <w:t xml:space="preserve">21.1. Fica eleito o foro do município da sede do CONTRATANTE, para dirimir os litígios que decorrerem da execução deste Termo de Contrato que não puderem ser compostos pela conciliação, conforme </w:t>
      </w:r>
      <w:r>
        <w:fldChar w:fldCharType="begin"/>
      </w:r>
      <w:r>
        <w:rPr>
          <w:sz w:val="22"/>
          <w:szCs w:val="22"/>
          <w:rFonts w:eastAsia="Times New Roman" w:cs="Times New Roman" w:ascii="Arial" w:hAnsi="Arial"/>
          <w:color w:val="000000"/>
        </w:rPr>
        <w:instrText xml:space="preserve"> HYPERLINK "http://www.planalto.gov.br/ccivil_03/_ato2019-2022/2021/lei/L14133.htm" \l "art92§1"</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 xml:space="preserve">art. 92, §1º, da Lei </w:t>
      </w:r>
      <w:r>
        <w:rPr>
          <w:sz w:val="22"/>
          <w:szCs w:val="22"/>
          <w:rFonts w:eastAsia="Times New Roman" w:cs="Times New Roman" w:ascii="Arial" w:hAnsi="Arial"/>
          <w:color w:val="000000"/>
        </w:rPr>
        <w:fldChar w:fldCharType="end"/>
      </w:r>
      <w:r>
        <w:rPr>
          <w:rFonts w:eastAsia="Times New Roman" w:cs="Times New Roman" w:ascii="Arial" w:hAnsi="Arial"/>
          <w:color w:val="000000"/>
          <w:sz w:val="22"/>
          <w:szCs w:val="22"/>
        </w:rPr>
        <w:t>Federal</w:t>
      </w:r>
      <w:r>
        <w:fldChar w:fldCharType="begin"/>
      </w:r>
      <w:r>
        <w:rPr>
          <w:sz w:val="22"/>
          <w:szCs w:val="22"/>
          <w:rFonts w:eastAsia="Times New Roman" w:cs="Times New Roman" w:ascii="Arial" w:hAnsi="Arial"/>
          <w:color w:val="000000"/>
        </w:rPr>
        <w:instrText xml:space="preserve"> HYPERLINK "http://www.planalto.gov.br/ccivil_03/_ato2019-2022/2021/lei/L14133.htm" \l "art92§1"</w:instrText>
      </w:r>
      <w:r>
        <w:rPr>
          <w:sz w:val="22"/>
          <w:szCs w:val="22"/>
          <w:rFonts w:eastAsia="Times New Roman" w:cs="Times New Roman" w:ascii="Arial" w:hAnsi="Arial"/>
          <w:color w:val="000000"/>
        </w:rPr>
        <w:fldChar w:fldCharType="separate"/>
      </w:r>
      <w:r>
        <w:rPr>
          <w:rFonts w:eastAsia="Times New Roman" w:cs="Times New Roman" w:ascii="Arial" w:hAnsi="Arial"/>
          <w:color w:val="000000"/>
          <w:sz w:val="22"/>
          <w:szCs w:val="22"/>
        </w:rPr>
        <w:t xml:space="preserve"> nº 14.133/2021.</w:t>
      </w:r>
      <w:r>
        <w:rPr>
          <w:sz w:val="22"/>
          <w:szCs w:val="22"/>
          <w:rFonts w:eastAsia="Times New Roman" w:cs="Times New Roman" w:ascii="Arial" w:hAnsi="Arial"/>
          <w:color w:val="000000"/>
        </w:rPr>
        <w:fldChar w:fldCharType="end"/>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pPr>
        <w:pStyle w:val="Normal1"/>
        <w:tabs>
          <w:tab w:val="clear" w:pos="720"/>
          <w:tab w:val="left" w:pos="993" w:leader="none"/>
          <w:tab w:val="left" w:pos="5742" w:leader="none"/>
        </w:tabs>
        <w:spacing w:lineRule="auto" w:line="240" w:before="57" w:after="57"/>
        <w:rPr>
          <w:rFonts w:ascii="Arial" w:hAnsi="Arial" w:eastAsia="Times New Roman" w:cs="Times New Roman"/>
          <w:color w:val="000000"/>
          <w:sz w:val="22"/>
          <w:szCs w:val="22"/>
          <w:highlight w:val="magenta"/>
        </w:rPr>
      </w:pPr>
      <w:r>
        <w:rPr>
          <w:rFonts w:eastAsia="Times New Roman" w:cs="Times New Roman" w:ascii="Arial" w:hAnsi="Arial"/>
          <w:color w:val="000000"/>
          <w:sz w:val="22"/>
          <w:szCs w:val="22"/>
          <w:highlight w:val="magenta"/>
        </w:rPr>
      </w:r>
    </w:p>
    <w:p>
      <w:pPr>
        <w:pStyle w:val="Normal1"/>
        <w:tabs>
          <w:tab w:val="clear" w:pos="720"/>
          <w:tab w:val="left" w:pos="993" w:leader="none"/>
          <w:tab w:val="left" w:pos="5742" w:leader="none"/>
        </w:tabs>
        <w:spacing w:lineRule="auto" w:line="240" w:before="57" w:after="57"/>
        <w:rPr>
          <w:rFonts w:ascii="Arial" w:hAnsi="Arial"/>
          <w:sz w:val="22"/>
          <w:szCs w:val="22"/>
        </w:rPr>
      </w:pPr>
      <w:r>
        <w:rPr>
          <w:rFonts w:eastAsia="Times New Roman" w:cs="Times New Roman" w:ascii="Arial" w:hAnsi="Arial"/>
          <w:color w:val="000000"/>
          <w:sz w:val="22"/>
          <w:szCs w:val="22"/>
        </w:rPr>
        <w:t>Local e data</w:t>
      </w:r>
    </w:p>
    <w:p>
      <w:pPr>
        <w:pStyle w:val="Normal1"/>
        <w:tabs>
          <w:tab w:val="clear" w:pos="720"/>
          <w:tab w:val="left" w:pos="993" w:leader="none"/>
          <w:tab w:val="left" w:pos="5742" w:leader="none"/>
        </w:tabs>
        <w:spacing w:lineRule="auto" w:line="240" w:before="57" w:after="57"/>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(nome do representante)                                      (nome do representante)</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CONTRATANTE                                                    CONTRATADO</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Testemunhas:</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(nome da testemunha 1)                                                  (nome da testemunha 2)</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RG:                                                                                   RG:</w:t>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CPF:                                                                                 CPF:</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Visto:</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(nome do(a) procurador(a)/assessor(a) jurídico(a) da CONTRATANTE)</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tabs>
          <w:tab w:val="clear" w:pos="720"/>
          <w:tab w:val="left" w:pos="4458" w:leader="none"/>
        </w:tabs>
        <w:spacing w:lineRule="auto" w:line="240" w:before="57" w:after="57"/>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tabs>
          <w:tab w:val="clear" w:pos="720"/>
          <w:tab w:val="left" w:pos="4458" w:leader="none"/>
        </w:tabs>
        <w:spacing w:lineRule="auto" w:line="240" w:before="57" w:after="57"/>
        <w:jc w:val="center"/>
        <w:rPr>
          <w:rFonts w:ascii="Arial" w:hAnsi="Arial" w:eastAsia="Times New Roman" w:cs="Times New Roman"/>
          <w:b/>
          <w:color w:val="000000"/>
          <w:sz w:val="22"/>
          <w:szCs w:val="22"/>
        </w:rPr>
      </w:pPr>
      <w:r>
        <w:rPr>
          <w:rFonts w:eastAsia="Times New Roman" w:cs="Times New Roman" w:ascii="Arial" w:hAnsi="Arial"/>
          <w:b/>
          <w:color w:val="000000"/>
          <w:sz w:val="22"/>
          <w:szCs w:val="22"/>
        </w:rPr>
      </w:r>
    </w:p>
    <w:p>
      <w:pPr>
        <w:pStyle w:val="Normal1"/>
        <w:spacing w:lineRule="auto" w:line="240"/>
        <w:rPr>
          <w:rFonts w:ascii="Times New Roman" w:hAnsi="Times New Roman" w:eastAsia="Times New Roman" w:cs="Times New Roman"/>
          <w:b/>
          <w:color w:val="000000"/>
          <w:sz w:val="22"/>
          <w:szCs w:val="22"/>
        </w:rPr>
      </w:pPr>
      <w:r>
        <w:rPr>
          <w:rFonts w:eastAsia="Times New Roman" w:cs="Times New Roman" w:ascii="Times New Roman" w:hAnsi="Times New Roman"/>
          <w:b/>
          <w:color w:val="000000"/>
          <w:sz w:val="22"/>
          <w:szCs w:val="22"/>
        </w:rPr>
      </w:r>
      <w:r>
        <w:br w:type="page"/>
      </w:r>
    </w:p>
    <w:p>
      <w:pPr>
        <w:pStyle w:val="Normal1"/>
        <w:tabs>
          <w:tab w:val="clear" w:pos="720"/>
          <w:tab w:val="left" w:pos="4458" w:leader="none"/>
        </w:tabs>
        <w:spacing w:lineRule="auto" w:line="240" w:before="0" w:after="57"/>
        <w:jc w:val="center"/>
        <w:rPr>
          <w:rFonts w:ascii="Arial" w:hAnsi="Arial"/>
          <w:sz w:val="22"/>
          <w:szCs w:val="22"/>
        </w:rPr>
      </w:pPr>
      <w:r>
        <w:rPr>
          <w:rFonts w:eastAsia="Times New Roman" w:cs="Times New Roman" w:ascii="Arial" w:hAnsi="Arial"/>
          <w:b/>
          <w:color w:val="000000"/>
          <w:sz w:val="22"/>
          <w:szCs w:val="22"/>
        </w:rPr>
        <w:t>ANEXO III – MODELO DE DECLARAÇÃO</w:t>
      </w:r>
    </w:p>
    <w:p>
      <w:pPr>
        <w:pStyle w:val="Normal1"/>
        <w:tabs>
          <w:tab w:val="clear" w:pos="720"/>
          <w:tab w:val="left" w:pos="993" w:leader="none"/>
          <w:tab w:val="left" w:pos="1080" w:leader="none"/>
        </w:tabs>
        <w:spacing w:lineRule="auto" w:line="240" w:before="57" w:after="57"/>
        <w:jc w:val="center"/>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DECLARAÇÃO DE CONTRATOS FIRMADOS COM A INICIATIVA PRIVADA E ADMINISTRAÇÃO PÚBLICA</w:t>
      </w:r>
    </w:p>
    <w:p>
      <w:pPr>
        <w:pStyle w:val="Normal1"/>
        <w:spacing w:lineRule="auto" w:line="240" w:before="57" w:after="57"/>
        <w:jc w:val="center"/>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Declaramos que a empresa__________________________________________________,inscrita no CNPJ (MF) nº ____________________, inscrição estadual nº ________________________, estabelecida no (a) __________________________ que possui os seguintes contratos firmados com a iniciativa privada e administração pública:</w:t>
      </w:r>
    </w:p>
    <w:p>
      <w:pPr>
        <w:pStyle w:val="Normal1"/>
        <w:spacing w:lineRule="auto" w:line="240"/>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tbl>
      <w:tblPr>
        <w:tblW w:w="9632"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2408"/>
        <w:gridCol w:w="2408"/>
        <w:gridCol w:w="2408"/>
        <w:gridCol w:w="2407"/>
      </w:tblGrid>
      <w:tr>
        <w:trPr/>
        <w:tc>
          <w:tcPr>
            <w:tcW w:w="2408" w:type="dxa"/>
            <w:tcBorders>
              <w:top w:val="single" w:sz="4" w:space="0" w:color="000000"/>
              <w:left w:val="single" w:sz="4" w:space="0" w:color="000000"/>
              <w:bottom w:val="single" w:sz="4" w:space="0" w:color="000000"/>
            </w:tcBorders>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Nome do órgão/empresa</w:t>
            </w:r>
          </w:p>
        </w:tc>
        <w:tc>
          <w:tcPr>
            <w:tcW w:w="2408" w:type="dxa"/>
            <w:tcBorders>
              <w:top w:val="single" w:sz="4" w:space="0" w:color="000000"/>
              <w:left w:val="single" w:sz="4" w:space="0" w:color="000000"/>
              <w:bottom w:val="single" w:sz="4" w:space="0" w:color="000000"/>
            </w:tcBorders>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Nº/Ano do contrato</w:t>
            </w:r>
          </w:p>
        </w:tc>
        <w:tc>
          <w:tcPr>
            <w:tcW w:w="2408" w:type="dxa"/>
            <w:tcBorders>
              <w:top w:val="single" w:sz="4" w:space="0" w:color="000000"/>
              <w:left w:val="single" w:sz="4" w:space="0" w:color="000000"/>
              <w:bottom w:val="single" w:sz="4" w:space="0" w:color="000000"/>
            </w:tcBorders>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Valor total do contrato</w:t>
            </w:r>
          </w:p>
        </w:tc>
        <w:tc>
          <w:tcPr>
            <w:tcW w:w="2407"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40"/>
              <w:jc w:val="center"/>
              <w:rPr>
                <w:rFonts w:ascii="Arial" w:hAnsi="Arial"/>
                <w:sz w:val="20"/>
                <w:szCs w:val="20"/>
              </w:rPr>
            </w:pPr>
            <w:r>
              <w:rPr>
                <w:rFonts w:eastAsia="Times New Roman" w:cs="Times New Roman" w:ascii="Arial" w:hAnsi="Arial"/>
                <w:color w:val="000000"/>
                <w:sz w:val="20"/>
                <w:szCs w:val="20"/>
              </w:rPr>
              <w:t>Valor remanescente do contrato</w:t>
            </w:r>
          </w:p>
        </w:tc>
      </w:tr>
      <w:tr>
        <w:trPr/>
        <w:tc>
          <w:tcPr>
            <w:tcW w:w="2408" w:type="dxa"/>
            <w:tcBorders>
              <w:left w:val="single" w:sz="4" w:space="0" w:color="000000"/>
              <w:bottom w:val="single" w:sz="4" w:space="0" w:color="000000"/>
            </w:tcBorders>
          </w:tcPr>
          <w:p>
            <w:pPr>
              <w:pStyle w:val="Normal1"/>
              <w:spacing w:lineRule="auto" w:line="240"/>
              <w:jc w:val="center"/>
              <w:rPr>
                <w:rFonts w:ascii="Arial" w:hAnsi="Arial" w:eastAsia="Times New Roman" w:cs="Times New Roman"/>
                <w:color w:val="000000"/>
                <w:sz w:val="20"/>
                <w:szCs w:val="20"/>
              </w:rPr>
            </w:pPr>
            <w:r>
              <w:rPr>
                <w:rFonts w:eastAsia="Times New Roman" w:cs="Times New Roman" w:ascii="Arial" w:hAnsi="Arial"/>
                <w:color w:val="000000"/>
                <w:sz w:val="20"/>
                <w:szCs w:val="20"/>
              </w:rPr>
            </w:r>
          </w:p>
        </w:tc>
        <w:tc>
          <w:tcPr>
            <w:tcW w:w="2408" w:type="dxa"/>
            <w:tcBorders>
              <w:left w:val="single" w:sz="4" w:space="0" w:color="000000"/>
              <w:bottom w:val="single" w:sz="4" w:space="0" w:color="000000"/>
            </w:tcBorders>
          </w:tcPr>
          <w:p>
            <w:pPr>
              <w:pStyle w:val="Normal1"/>
              <w:spacing w:lineRule="auto" w:line="240"/>
              <w:jc w:val="center"/>
              <w:rPr>
                <w:rFonts w:ascii="Arial" w:hAnsi="Arial" w:eastAsia="Times New Roman" w:cs="Times New Roman"/>
                <w:color w:val="000000"/>
                <w:sz w:val="20"/>
                <w:szCs w:val="20"/>
              </w:rPr>
            </w:pPr>
            <w:r>
              <w:rPr>
                <w:rFonts w:eastAsia="Times New Roman" w:cs="Times New Roman" w:ascii="Arial" w:hAnsi="Arial"/>
                <w:color w:val="000000"/>
                <w:sz w:val="20"/>
                <w:szCs w:val="20"/>
              </w:rPr>
            </w:r>
          </w:p>
        </w:tc>
        <w:tc>
          <w:tcPr>
            <w:tcW w:w="2408" w:type="dxa"/>
            <w:tcBorders>
              <w:left w:val="single" w:sz="4" w:space="0" w:color="000000"/>
              <w:bottom w:val="single" w:sz="4" w:space="0" w:color="000000"/>
            </w:tcBorders>
          </w:tcPr>
          <w:p>
            <w:pPr>
              <w:pStyle w:val="Normal1"/>
              <w:spacing w:lineRule="auto" w:line="240"/>
              <w:jc w:val="center"/>
              <w:rPr>
                <w:rFonts w:ascii="Arial" w:hAnsi="Arial" w:eastAsia="Times New Roman" w:cs="Times New Roman"/>
                <w:color w:val="000000"/>
                <w:sz w:val="20"/>
                <w:szCs w:val="20"/>
              </w:rPr>
            </w:pPr>
            <w:r>
              <w:rPr>
                <w:rFonts w:eastAsia="Times New Roman" w:cs="Times New Roman" w:ascii="Arial" w:hAnsi="Arial"/>
                <w:color w:val="000000"/>
                <w:sz w:val="20"/>
                <w:szCs w:val="20"/>
              </w:rPr>
            </w:r>
          </w:p>
        </w:tc>
        <w:tc>
          <w:tcPr>
            <w:tcW w:w="2407" w:type="dxa"/>
            <w:tcBorders>
              <w:left w:val="single" w:sz="4" w:space="0" w:color="000000"/>
              <w:bottom w:val="single" w:sz="4" w:space="0" w:color="000000"/>
              <w:right w:val="single" w:sz="4" w:space="0" w:color="000000"/>
            </w:tcBorders>
          </w:tcPr>
          <w:p>
            <w:pPr>
              <w:pStyle w:val="Normal1"/>
              <w:spacing w:lineRule="auto" w:line="240"/>
              <w:jc w:val="center"/>
              <w:rPr>
                <w:rFonts w:ascii="Arial" w:hAnsi="Arial" w:eastAsia="Times New Roman" w:cs="Times New Roman"/>
                <w:color w:val="000000"/>
                <w:sz w:val="20"/>
                <w:szCs w:val="20"/>
              </w:rPr>
            </w:pPr>
            <w:r>
              <w:rPr>
                <w:rFonts w:eastAsia="Times New Roman" w:cs="Times New Roman" w:ascii="Arial" w:hAnsi="Arial"/>
                <w:color w:val="000000"/>
                <w:sz w:val="20"/>
                <w:szCs w:val="20"/>
              </w:rPr>
            </w:r>
          </w:p>
        </w:tc>
      </w:tr>
      <w:tr>
        <w:trPr/>
        <w:tc>
          <w:tcPr>
            <w:tcW w:w="2408" w:type="dxa"/>
            <w:tcBorders>
              <w:left w:val="single" w:sz="4" w:space="0" w:color="000000"/>
              <w:bottom w:val="single" w:sz="4" w:space="0" w:color="000000"/>
            </w:tcBorders>
          </w:tcPr>
          <w:p>
            <w:pPr>
              <w:pStyle w:val="Normal1"/>
              <w:spacing w:lineRule="auto" w:line="240"/>
              <w:jc w:val="center"/>
              <w:rPr>
                <w:rFonts w:ascii="Arial" w:hAnsi="Arial" w:eastAsia="Times New Roman" w:cs="Times New Roman"/>
                <w:color w:val="000000"/>
                <w:sz w:val="20"/>
                <w:szCs w:val="20"/>
              </w:rPr>
            </w:pPr>
            <w:r>
              <w:rPr>
                <w:rFonts w:eastAsia="Times New Roman" w:cs="Times New Roman" w:ascii="Arial" w:hAnsi="Arial"/>
                <w:color w:val="000000"/>
                <w:sz w:val="20"/>
                <w:szCs w:val="20"/>
              </w:rPr>
            </w:r>
          </w:p>
        </w:tc>
        <w:tc>
          <w:tcPr>
            <w:tcW w:w="2408" w:type="dxa"/>
            <w:tcBorders>
              <w:left w:val="single" w:sz="4" w:space="0" w:color="000000"/>
              <w:bottom w:val="single" w:sz="4" w:space="0" w:color="000000"/>
            </w:tcBorders>
          </w:tcPr>
          <w:p>
            <w:pPr>
              <w:pStyle w:val="Normal1"/>
              <w:spacing w:lineRule="auto" w:line="240"/>
              <w:jc w:val="center"/>
              <w:rPr>
                <w:rFonts w:ascii="Arial" w:hAnsi="Arial" w:eastAsia="Times New Roman" w:cs="Times New Roman"/>
                <w:color w:val="000000"/>
                <w:sz w:val="20"/>
                <w:szCs w:val="20"/>
              </w:rPr>
            </w:pPr>
            <w:r>
              <w:rPr>
                <w:rFonts w:eastAsia="Times New Roman" w:cs="Times New Roman" w:ascii="Arial" w:hAnsi="Arial"/>
                <w:color w:val="000000"/>
                <w:sz w:val="20"/>
                <w:szCs w:val="20"/>
              </w:rPr>
            </w:r>
          </w:p>
        </w:tc>
        <w:tc>
          <w:tcPr>
            <w:tcW w:w="2408" w:type="dxa"/>
            <w:tcBorders>
              <w:left w:val="single" w:sz="4" w:space="0" w:color="000000"/>
              <w:bottom w:val="single" w:sz="4" w:space="0" w:color="000000"/>
            </w:tcBorders>
          </w:tcPr>
          <w:p>
            <w:pPr>
              <w:pStyle w:val="Normal1"/>
              <w:spacing w:lineRule="auto" w:line="240"/>
              <w:jc w:val="center"/>
              <w:rPr>
                <w:rFonts w:ascii="Arial" w:hAnsi="Arial" w:eastAsia="Times New Roman" w:cs="Times New Roman"/>
                <w:color w:val="000000"/>
                <w:sz w:val="20"/>
                <w:szCs w:val="20"/>
              </w:rPr>
            </w:pPr>
            <w:r>
              <w:rPr>
                <w:rFonts w:eastAsia="Times New Roman" w:cs="Times New Roman" w:ascii="Arial" w:hAnsi="Arial"/>
                <w:color w:val="000000"/>
                <w:sz w:val="20"/>
                <w:szCs w:val="20"/>
              </w:rPr>
            </w:r>
          </w:p>
        </w:tc>
        <w:tc>
          <w:tcPr>
            <w:tcW w:w="2407" w:type="dxa"/>
            <w:tcBorders>
              <w:left w:val="single" w:sz="4" w:space="0" w:color="000000"/>
              <w:bottom w:val="single" w:sz="4" w:space="0" w:color="000000"/>
              <w:right w:val="single" w:sz="4" w:space="0" w:color="000000"/>
            </w:tcBorders>
          </w:tcPr>
          <w:p>
            <w:pPr>
              <w:pStyle w:val="Normal1"/>
              <w:spacing w:lineRule="auto" w:line="240"/>
              <w:jc w:val="center"/>
              <w:rPr>
                <w:rFonts w:ascii="Arial" w:hAnsi="Arial" w:eastAsia="Times New Roman" w:cs="Times New Roman"/>
                <w:color w:val="000000"/>
                <w:sz w:val="20"/>
                <w:szCs w:val="20"/>
              </w:rPr>
            </w:pPr>
            <w:r>
              <w:rPr>
                <w:rFonts w:eastAsia="Times New Roman" w:cs="Times New Roman" w:ascii="Arial" w:hAnsi="Arial"/>
                <w:color w:val="000000"/>
                <w:sz w:val="20"/>
                <w:szCs w:val="20"/>
              </w:rPr>
            </w:r>
          </w:p>
        </w:tc>
      </w:tr>
    </w:tbl>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Valor total remanescente ___________________</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Local e data</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Assinatura e carimbo do emissor</w:t>
      </w:r>
    </w:p>
    <w:p>
      <w:pPr>
        <w:pStyle w:val="Normal1"/>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spacing w:lineRule="auto" w:line="240" w:before="57" w:after="57"/>
        <w:jc w:val="both"/>
        <w:rPr>
          <w:rFonts w:ascii="Arial" w:hAnsi="Arial"/>
          <w:sz w:val="22"/>
          <w:szCs w:val="22"/>
        </w:rPr>
      </w:pPr>
      <w:r>
        <w:rPr>
          <w:rFonts w:eastAsia="Times New Roman" w:cs="Times New Roman" w:ascii="Arial" w:hAnsi="Arial"/>
          <w:color w:val="000000"/>
          <w:sz w:val="22"/>
          <w:szCs w:val="22"/>
        </w:rPr>
        <w:t>Observação:</w:t>
      </w:r>
    </w:p>
    <w:p>
      <w:pPr>
        <w:pStyle w:val="Normal1"/>
        <w:tabs>
          <w:tab w:val="clear" w:pos="720"/>
          <w:tab w:val="left" w:pos="4458"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highlight w:val="white"/>
        </w:rPr>
        <w:t>1) O licitante deverá informar todos os contratos vigentes.</w:t>
      </w:r>
    </w:p>
    <w:p>
      <w:pPr>
        <w:pStyle w:val="Normal1"/>
        <w:tabs>
          <w:tab w:val="clear" w:pos="720"/>
          <w:tab w:val="left" w:pos="4458" w:leader="none"/>
        </w:tabs>
        <w:spacing w:lineRule="auto" w:line="240" w:before="57" w:after="57"/>
        <w:jc w:val="both"/>
        <w:rPr>
          <w:rFonts w:ascii="Arial" w:hAnsi="Arial" w:eastAsia="Times New Roman" w:cs="Times New Roman"/>
          <w:color w:val="000000"/>
          <w:sz w:val="22"/>
          <w:szCs w:val="22"/>
          <w:highlight w:val="white"/>
        </w:rPr>
      </w:pPr>
      <w:r>
        <w:rPr>
          <w:rFonts w:eastAsia="Times New Roman" w:cs="Times New Roman" w:ascii="Arial" w:hAnsi="Arial"/>
          <w:color w:val="000000"/>
          <w:sz w:val="22"/>
          <w:szCs w:val="22"/>
          <w:highlight w:val="white"/>
        </w:rPr>
      </w:r>
    </w:p>
    <w:p>
      <w:pPr>
        <w:pStyle w:val="Normal1"/>
        <w:tabs>
          <w:tab w:val="clear" w:pos="720"/>
          <w:tab w:val="left" w:pos="4458" w:leader="none"/>
        </w:tabs>
        <w:spacing w:lineRule="auto" w:line="240" w:before="57" w:after="57"/>
        <w:jc w:val="both"/>
        <w:rPr>
          <w:rFonts w:ascii="Arial" w:hAnsi="Arial" w:eastAsia="Times New Roman" w:cs="Times New Roman"/>
          <w:color w:val="000000"/>
          <w:sz w:val="22"/>
          <w:szCs w:val="22"/>
          <w:highlight w:val="white"/>
        </w:rPr>
      </w:pPr>
      <w:r>
        <w:rPr>
          <w:rFonts w:eastAsia="Times New Roman" w:cs="Times New Roman" w:ascii="Arial" w:hAnsi="Arial"/>
          <w:color w:val="000000"/>
          <w:sz w:val="22"/>
          <w:szCs w:val="22"/>
          <w:highlight w:val="white"/>
        </w:rPr>
      </w:r>
    </w:p>
    <w:p>
      <w:pPr>
        <w:pStyle w:val="Normal1"/>
        <w:widowControl w:val="false"/>
        <w:tabs>
          <w:tab w:val="clear" w:pos="720"/>
          <w:tab w:val="left" w:pos="2331" w:leader="none"/>
        </w:tabs>
        <w:spacing w:lineRule="auto" w:line="240" w:before="57" w:after="57"/>
        <w:jc w:val="center"/>
        <w:rPr>
          <w:rFonts w:ascii="Arial" w:hAnsi="Arial" w:eastAsia="Times New Roman" w:cs="Times New Roman"/>
          <w:b/>
          <w:color w:val="000000"/>
          <w:sz w:val="22"/>
          <w:szCs w:val="22"/>
        </w:rPr>
      </w:pPr>
      <w:r>
        <w:rPr>
          <w:rFonts w:eastAsia="Times New Roman" w:cs="Times New Roman" w:ascii="Arial" w:hAnsi="Arial"/>
          <w:b/>
          <w:color w:val="000000"/>
          <w:sz w:val="22"/>
          <w:szCs w:val="22"/>
        </w:rPr>
      </w:r>
    </w:p>
    <w:p>
      <w:pPr>
        <w:pStyle w:val="Normal1"/>
        <w:spacing w:lineRule="auto" w:line="240" w:before="57" w:after="57"/>
        <w:rPr>
          <w:rFonts w:ascii="Arial" w:hAnsi="Arial" w:eastAsia="Times New Roman" w:cs="Times New Roman"/>
          <w:b/>
          <w:color w:val="000000"/>
          <w:sz w:val="22"/>
          <w:szCs w:val="22"/>
        </w:rPr>
      </w:pPr>
      <w:r>
        <w:rPr>
          <w:rFonts w:eastAsia="Times New Roman" w:cs="Times New Roman" w:ascii="Arial" w:hAnsi="Arial"/>
          <w:b/>
          <w:color w:val="000000"/>
          <w:sz w:val="22"/>
          <w:szCs w:val="22"/>
        </w:rPr>
      </w:r>
      <w:r>
        <w:br w:type="page"/>
      </w:r>
    </w:p>
    <w:p>
      <w:pPr>
        <w:pStyle w:val="Normal1"/>
        <w:widowControl w:val="false"/>
        <w:tabs>
          <w:tab w:val="clear" w:pos="720"/>
          <w:tab w:val="left" w:pos="2331" w:leader="none"/>
        </w:tabs>
        <w:spacing w:lineRule="auto" w:line="240" w:before="0" w:after="57"/>
        <w:jc w:val="center"/>
        <w:rPr>
          <w:rFonts w:ascii="Arial" w:hAnsi="Arial"/>
          <w:sz w:val="22"/>
          <w:szCs w:val="22"/>
        </w:rPr>
      </w:pPr>
      <w:r>
        <w:rPr>
          <w:rFonts w:eastAsia="Times New Roman" w:cs="Times New Roman" w:ascii="Arial" w:hAnsi="Arial"/>
          <w:b/>
          <w:color w:val="000000"/>
          <w:sz w:val="22"/>
          <w:szCs w:val="22"/>
        </w:rPr>
        <w:t>ANEXO IV – MODELO DE DECLARAÇÃO DE AUTENTICIDADE DOS DOCUMENTOS E DE RESPONSABILIDADE SOBRE QUITAÇÃO DE ENCARGOS TRABALHISTAS E SOCIAIS</w:t>
      </w:r>
    </w:p>
    <w:p>
      <w:pPr>
        <w:pStyle w:val="Normal1"/>
        <w:widowControl w:val="false"/>
        <w:tabs>
          <w:tab w:val="clear" w:pos="720"/>
          <w:tab w:val="left" w:pos="2331" w:leader="none"/>
        </w:tabs>
        <w:spacing w:lineRule="auto" w:line="240" w:before="57" w:after="57"/>
        <w:jc w:val="center"/>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tabs>
          <w:tab w:val="clear" w:pos="720"/>
          <w:tab w:val="left" w:pos="2331" w:leader="none"/>
        </w:tabs>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widowControl w:val="false"/>
        <w:tabs>
          <w:tab w:val="clear" w:pos="720"/>
          <w:tab w:val="left" w:pos="2331" w:leader="none"/>
        </w:tabs>
        <w:spacing w:lineRule="auto" w:line="240" w:before="57" w:after="57"/>
        <w:rPr>
          <w:rFonts w:ascii="Arial" w:hAnsi="Arial"/>
          <w:sz w:val="22"/>
          <w:szCs w:val="22"/>
        </w:rPr>
      </w:pPr>
      <w:r>
        <w:rPr>
          <w:rFonts w:eastAsia="Times New Roman" w:cs="Times New Roman" w:ascii="Arial" w:hAnsi="Arial"/>
          <w:i/>
          <w:color w:val="000000"/>
          <w:sz w:val="22"/>
          <w:szCs w:val="22"/>
          <w:shd w:fill="FFF200" w:val="clear"/>
        </w:rPr>
        <w:t>(PAPEL TIMBRADO DO PROPONENTE)</w:t>
      </w:r>
    </w:p>
    <w:p>
      <w:pPr>
        <w:pStyle w:val="Normal1"/>
        <w:widowControl w:val="false"/>
        <w:tabs>
          <w:tab w:val="clear" w:pos="720"/>
          <w:tab w:val="left" w:pos="2331" w:leader="none"/>
        </w:tabs>
        <w:spacing w:lineRule="auto" w:line="240" w:before="57" w:after="57"/>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widowControl w:val="false"/>
        <w:spacing w:lineRule="auto" w:line="240" w:before="57" w:after="57"/>
        <w:jc w:val="center"/>
        <w:rPr>
          <w:rFonts w:ascii="Arial" w:hAnsi="Arial"/>
          <w:sz w:val="22"/>
          <w:szCs w:val="22"/>
        </w:rPr>
      </w:pPr>
      <w:r>
        <w:rPr>
          <w:rFonts w:eastAsia="Times New Roman" w:cs="Times New Roman" w:ascii="Arial" w:hAnsi="Arial"/>
          <w:color w:val="000000"/>
          <w:sz w:val="22"/>
          <w:szCs w:val="22"/>
        </w:rPr>
        <w:t>DECLARAÇÃO</w:t>
      </w:r>
    </w:p>
    <w:p>
      <w:pPr>
        <w:pStyle w:val="Normal1"/>
        <w:widowControl w:val="false"/>
        <w:spacing w:lineRule="auto" w:line="240" w:before="57" w:after="57"/>
        <w:rPr>
          <w:rFonts w:ascii="Arial" w:hAnsi="Arial" w:eastAsia="Times New Roman" w:cs="Times New Roman"/>
          <w:b/>
          <w:color w:val="000000"/>
          <w:sz w:val="22"/>
          <w:szCs w:val="22"/>
        </w:rPr>
      </w:pPr>
      <w:r>
        <w:rPr>
          <w:rFonts w:eastAsia="Times New Roman" w:cs="Times New Roman" w:ascii="Arial" w:hAnsi="Arial"/>
          <w:b/>
          <w:color w:val="000000"/>
          <w:sz w:val="22"/>
          <w:szCs w:val="22"/>
        </w:rPr>
      </w:r>
    </w:p>
    <w:p>
      <w:pPr>
        <w:pStyle w:val="Normal1"/>
        <w:widowControl w:val="false"/>
        <w:spacing w:lineRule="auto" w:line="240" w:before="57" w:after="57"/>
        <w:jc w:val="both"/>
        <w:rPr>
          <w:rFonts w:ascii="Arial" w:hAnsi="Arial"/>
          <w:sz w:val="22"/>
          <w:szCs w:val="22"/>
        </w:rPr>
      </w:pPr>
      <w:r>
        <w:rPr>
          <w:rFonts w:eastAsia="Times New Roman" w:cs="Times New Roman" w:ascii="Arial" w:hAnsi="Arial"/>
          <w:color w:val="000000"/>
          <w:sz w:val="22"/>
          <w:szCs w:val="22"/>
        </w:rPr>
        <w:t>(nome /razão social) _____________________________________________________, inscrita no CNPJ nº___________________, por intermédio de seu representante legal o(a) Sr(a)__________________________________________, portador(a) da Carteira de Identidade nº___________________e CPF nº ____________________, DECLARA, sob as sanções administrativas cabíveis, inclusive as criminais e sob as penas da lei, que toda documentação anexada ao sistema é autêntica e que é de responsabilidade exclusiva desta declarante toda a quitação dos encargos trabalhistas e sociais decorrentes da futura contratação.</w:t>
      </w:r>
    </w:p>
    <w:p>
      <w:pPr>
        <w:pStyle w:val="Normal1"/>
        <w:widowControl w:val="false"/>
        <w:spacing w:lineRule="auto" w:line="240" w:before="57" w:after="57"/>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widowControl w:val="false"/>
        <w:spacing w:lineRule="auto" w:line="240" w:before="57" w:after="57"/>
        <w:rPr>
          <w:rFonts w:ascii="Arial" w:hAnsi="Arial"/>
          <w:sz w:val="22"/>
          <w:szCs w:val="22"/>
        </w:rPr>
      </w:pPr>
      <w:r>
        <w:rPr>
          <w:rFonts w:eastAsia="Times New Roman" w:cs="Times New Roman" w:ascii="Arial" w:hAnsi="Arial"/>
          <w:color w:val="000000"/>
          <w:sz w:val="22"/>
          <w:szCs w:val="22"/>
        </w:rPr>
        <w:t>Local e data</w:t>
      </w:r>
    </w:p>
    <w:p>
      <w:pPr>
        <w:pStyle w:val="Normal1"/>
        <w:widowControl w:val="false"/>
        <w:spacing w:lineRule="auto" w:line="240" w:before="57" w:after="57"/>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widowControl w:val="false"/>
        <w:spacing w:lineRule="auto" w:line="240" w:before="57" w:after="57"/>
        <w:jc w:val="both"/>
        <w:rPr>
          <w:rFonts w:ascii="Arial" w:hAnsi="Arial"/>
          <w:sz w:val="22"/>
          <w:szCs w:val="22"/>
        </w:rPr>
      </w:pPr>
      <w:r>
        <w:rPr>
          <w:rFonts w:eastAsia="Times New Roman" w:cs="Times New Roman" w:ascii="Arial" w:hAnsi="Arial"/>
          <w:color w:val="000000"/>
          <w:sz w:val="22"/>
          <w:szCs w:val="22"/>
        </w:rPr>
        <w:t>Assinatura do representante legal</w:t>
      </w:r>
    </w:p>
    <w:p>
      <w:pPr>
        <w:pStyle w:val="Normal1"/>
        <w:tabs>
          <w:tab w:val="clear" w:pos="720"/>
          <w:tab w:val="left" w:pos="4458" w:leader="none"/>
        </w:tabs>
        <w:spacing w:lineRule="auto" w:line="240" w:before="57" w:after="57"/>
        <w:jc w:val="both"/>
        <w:rPr>
          <w:rFonts w:ascii="Arial" w:hAnsi="Arial"/>
          <w:sz w:val="22"/>
          <w:szCs w:val="22"/>
        </w:rPr>
      </w:pPr>
      <w:r>
        <w:rPr>
          <w:rFonts w:eastAsia="Times New Roman" w:cs="Times New Roman" w:ascii="Arial" w:hAnsi="Arial"/>
          <w:color w:val="000000"/>
          <w:sz w:val="22"/>
          <w:szCs w:val="22"/>
        </w:rPr>
        <w:t>(Nome e cargo)</w:t>
      </w:r>
    </w:p>
    <w:p>
      <w:pPr>
        <w:pStyle w:val="Normal1"/>
        <w:tabs>
          <w:tab w:val="clear" w:pos="720"/>
          <w:tab w:val="left" w:pos="4458" w:leader="none"/>
        </w:tabs>
        <w:spacing w:lineRule="auto" w:line="240" w:before="57" w:after="57"/>
        <w:jc w:val="both"/>
        <w:rPr>
          <w:rFonts w:ascii="Arial" w:hAnsi="Arial" w:eastAsia="Times New Roman" w:cs="Times New Roman"/>
          <w:color w:val="000000"/>
          <w:sz w:val="22"/>
          <w:szCs w:val="22"/>
        </w:rPr>
      </w:pPr>
      <w:r>
        <w:rPr>
          <w:rFonts w:eastAsia="Times New Roman" w:cs="Times New Roman" w:ascii="Arial" w:hAnsi="Arial"/>
          <w:color w:val="000000"/>
          <w:sz w:val="22"/>
          <w:szCs w:val="22"/>
        </w:rPr>
      </w:r>
    </w:p>
    <w:p>
      <w:pPr>
        <w:pStyle w:val="Normal1"/>
        <w:tabs>
          <w:tab w:val="clear" w:pos="720"/>
          <w:tab w:val="left" w:pos="851" w:leader="none"/>
        </w:tabs>
        <w:spacing w:lineRule="auto" w:line="240" w:before="57" w:after="57"/>
        <w:jc w:val="center"/>
        <w:rPr>
          <w:rFonts w:ascii="Arial" w:hAnsi="Arial" w:eastAsia="Times New Roman" w:cs="Times New Roman"/>
          <w:color w:val="000000"/>
          <w:sz w:val="22"/>
          <w:szCs w:val="22"/>
        </w:rPr>
      </w:pPr>
      <w:r>
        <w:rPr>
          <w:rFonts w:eastAsia="Times New Roman" w:cs="Times New Roman" w:ascii="Arial" w:hAnsi="Arial"/>
          <w:color w:val="000000"/>
          <w:sz w:val="22"/>
          <w:szCs w:val="22"/>
        </w:rPr>
      </w:r>
    </w:p>
    <w:sectPr>
      <w:headerReference w:type="default" r:id="rId25"/>
      <w:footerReference w:type="default" r:id="rId26"/>
      <w:type w:val="nextPage"/>
      <w:pgSz w:w="11906" w:h="16838"/>
      <w:pgMar w:left="1134" w:right="1134" w:gutter="0" w:header="0" w:top="1782" w:footer="0" w:bottom="85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Symbol">
    <w:charset w:val="00"/>
    <w:family w:val="roman"/>
    <w:pitch w:val="variable"/>
  </w:font>
  <w:font w:name="Liberation Sans">
    <w:altName w:val="Arial"/>
    <w:charset w:val="00"/>
    <w:family w:val="roman"/>
    <w:pitch w:val="variable"/>
  </w:font>
  <w:font w:name="Arial">
    <w:charset w:val="00"/>
    <w:family w:val="roman"/>
    <w:pitch w:val="variable"/>
  </w:font>
  <w:font w:name="TimesNewRoman">
    <w:altName w:val="'Times New Roman"/>
    <w:charset w:val="00"/>
    <w:family w:val="roman"/>
    <w:pitch w:val="variable"/>
  </w:font>
  <w:font w:name="Cumberland AMT">
    <w:altName w:val="Courier New"/>
    <w:charset w:val="00"/>
    <w:family w:val="roman"/>
    <w:pitch w:val="variable"/>
  </w:font>
  <w:font w:name="Noto Sans Symbols">
    <w:charset w:val="01"/>
    <w:family w:val="swiss"/>
    <w:pitch w:val="default"/>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spacing w:lineRule="auto" w:line="240"/>
      <w:ind w:left="-1701"/>
      <w:rPr/>
    </w:pPr>
    <w:r>
      <w:rPr/>
      <w:drawing>
        <wp:inline distT="0" distB="0" distL="0" distR="0">
          <wp:extent cx="7867015" cy="266700"/>
          <wp:effectExtent l="0" t="0" r="0" b="0"/>
          <wp:docPr id="4"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descr=""/>
                  <pic:cNvPicPr>
                    <a:picLocks noChangeAspect="1" noChangeArrowheads="1"/>
                  </pic:cNvPicPr>
                </pic:nvPicPr>
                <pic:blipFill>
                  <a:blip r:embed="rId1"/>
                  <a:srcRect l="0" t="0" r="0" b="22576"/>
                  <a:stretch>
                    <a:fillRect/>
                  </a:stretch>
                </pic:blipFill>
                <pic:spPr bwMode="auto">
                  <a:xfrm>
                    <a:off x="0" y="0"/>
                    <a:ext cx="7867015" cy="266700"/>
                  </a:xfrm>
                  <a:prstGeom prst="rect">
                    <a:avLst/>
                  </a:prstGeom>
                </pic:spPr>
              </pic:pic>
            </a:graphicData>
          </a:graphic>
        </wp:inline>
      </w:drawing>
      <w:drawing>
        <wp:anchor behindDoc="1" distT="0" distB="0" distL="0" distR="0" simplePos="0" locked="0" layoutInCell="1" allowOverlap="1" relativeHeight="117">
          <wp:simplePos x="0" y="0"/>
          <wp:positionH relativeFrom="column">
            <wp:posOffset>-590550</wp:posOffset>
          </wp:positionH>
          <wp:positionV relativeFrom="paragraph">
            <wp:posOffset>-190500</wp:posOffset>
          </wp:positionV>
          <wp:extent cx="4010025" cy="394970"/>
          <wp:effectExtent l="0" t="0" r="0" b="0"/>
          <wp:wrapNone/>
          <wp:docPr id="5"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descr=""/>
                  <pic:cNvPicPr>
                    <a:picLocks noChangeAspect="1" noChangeArrowheads="1"/>
                  </pic:cNvPicPr>
                </pic:nvPicPr>
                <pic:blipFill>
                  <a:blip r:embed="rId2"/>
                  <a:srcRect l="-1704" t="0" r="-13848" b="-21995"/>
                  <a:stretch>
                    <a:fillRect/>
                  </a:stretch>
                </pic:blipFill>
                <pic:spPr bwMode="auto">
                  <a:xfrm>
                    <a:off x="0" y="0"/>
                    <a:ext cx="4010025" cy="39497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color w:val="000000"/>
      </w:rPr>
    </w:pPr>
    <w:r>
      <w:rPr>
        <w:color w:val="000000"/>
      </w:rPr>
    </w:r>
  </w:p>
  <w:p>
    <w:pPr>
      <w:pStyle w:val="Normal1"/>
      <w:rPr>
        <w:color w:val="000000"/>
      </w:rPr>
    </w:pPr>
    <w:r>
      <w:rPr>
        <w:color w:val="000000"/>
      </w:rPr>
    </w:r>
  </w:p>
  <w:p>
    <w:pPr>
      <w:pStyle w:val="Normal1"/>
      <w:rPr>
        <w:b/>
        <w:color w:val="000000"/>
      </w:rPr>
    </w:pPr>
    <w:r>
      <w:rPr/>
      <w:drawing>
        <wp:inline distT="0" distB="0" distL="0" distR="0">
          <wp:extent cx="2559685" cy="1023620"/>
          <wp:effectExtent l="0" t="0" r="0" b="0"/>
          <wp:docPr id="3"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descr=""/>
                  <pic:cNvPicPr>
                    <a:picLocks noChangeAspect="1" noChangeArrowheads="1"/>
                  </pic:cNvPicPr>
                </pic:nvPicPr>
                <pic:blipFill>
                  <a:blip r:embed="rId1"/>
                  <a:stretch>
                    <a:fillRect/>
                  </a:stretch>
                </pic:blipFill>
                <pic:spPr bwMode="auto">
                  <a:xfrm>
                    <a:off x="0" y="0"/>
                    <a:ext cx="2559685" cy="102362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iberation Serif" w:cs="Liberation Serif"/>
        <w:sz w:val="24"/>
        <w:szCs w:val="24"/>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0"/>
      <w:jc w:val="left"/>
    </w:pPr>
    <w:rPr>
      <w:rFonts w:ascii="Liberation Serif" w:hAnsi="Liberation Serif" w:eastAsia="Liberation Serif" w:cs="Liberation Serif"/>
      <w:color w:val="auto"/>
      <w:kern w:val="0"/>
      <w:sz w:val="24"/>
      <w:szCs w:val="24"/>
      <w:lang w:val="pt-BR" w:eastAsia="zh-CN" w:bidi="hi-IN"/>
    </w:rPr>
  </w:style>
  <w:style w:type="paragraph" w:styleId="Heading1">
    <w:name w:val="Heading 1"/>
    <w:basedOn w:val="LO-normal"/>
    <w:next w:val="Normal1"/>
    <w:uiPriority w:val="9"/>
    <w:qFormat/>
    <w:pPr>
      <w:keepNext w:val="true"/>
      <w:keepLines/>
      <w:spacing w:before="400" w:after="120"/>
      <w:outlineLvl w:val="0"/>
    </w:pPr>
    <w:rPr>
      <w:sz w:val="40"/>
      <w:szCs w:val="40"/>
    </w:rPr>
  </w:style>
  <w:style w:type="paragraph" w:styleId="Heading2">
    <w:name w:val="Heading 2"/>
    <w:basedOn w:val="LO-normal"/>
    <w:next w:val="Normal1"/>
    <w:uiPriority w:val="9"/>
    <w:unhideWhenUsed/>
    <w:qFormat/>
    <w:pPr>
      <w:keepNext w:val="true"/>
      <w:keepLines/>
      <w:spacing w:before="360" w:after="120"/>
      <w:outlineLvl w:val="1"/>
    </w:pPr>
    <w:rPr>
      <w:sz w:val="32"/>
      <w:szCs w:val="32"/>
    </w:rPr>
  </w:style>
  <w:style w:type="paragraph" w:styleId="Heading3">
    <w:name w:val="Heading 3"/>
    <w:basedOn w:val="LO-normal"/>
    <w:next w:val="Normal1"/>
    <w:uiPriority w:val="9"/>
    <w:semiHidden/>
    <w:unhideWhenUsed/>
    <w:qFormat/>
    <w:pPr>
      <w:keepNext w:val="true"/>
      <w:keepLines/>
      <w:spacing w:before="320" w:after="80"/>
      <w:outlineLvl w:val="2"/>
    </w:pPr>
    <w:rPr>
      <w:color w:val="434343"/>
      <w:sz w:val="28"/>
      <w:szCs w:val="28"/>
    </w:rPr>
  </w:style>
  <w:style w:type="paragraph" w:styleId="Heading4">
    <w:name w:val="Heading 4"/>
    <w:basedOn w:val="LO-normal"/>
    <w:next w:val="Normal1"/>
    <w:uiPriority w:val="9"/>
    <w:semiHidden/>
    <w:unhideWhenUsed/>
    <w:qFormat/>
    <w:pPr>
      <w:keepNext w:val="true"/>
      <w:keepLines/>
      <w:spacing w:before="280" w:after="80"/>
      <w:outlineLvl w:val="3"/>
    </w:pPr>
    <w:rPr>
      <w:color w:val="666666"/>
    </w:rPr>
  </w:style>
  <w:style w:type="paragraph" w:styleId="Heading5">
    <w:name w:val="Heading 5"/>
    <w:basedOn w:val="LO-normal"/>
    <w:next w:val="Normal1"/>
    <w:uiPriority w:val="9"/>
    <w:semiHidden/>
    <w:unhideWhenUsed/>
    <w:qFormat/>
    <w:pPr>
      <w:keepNext w:val="true"/>
      <w:keepLines/>
      <w:spacing w:before="240" w:after="80"/>
      <w:outlineLvl w:val="4"/>
    </w:pPr>
    <w:rPr>
      <w:color w:val="666666"/>
      <w:sz w:val="22"/>
      <w:szCs w:val="22"/>
    </w:rPr>
  </w:style>
  <w:style w:type="paragraph" w:styleId="Heading6">
    <w:name w:val="Heading 6"/>
    <w:basedOn w:val="LO-normal"/>
    <w:next w:val="Normal1"/>
    <w:uiPriority w:val="9"/>
    <w:semiHidden/>
    <w:unhideWhenUsed/>
    <w:qFormat/>
    <w:pPr>
      <w:keepNext w:val="true"/>
      <w:keepLines/>
      <w:spacing w:before="240" w:after="80"/>
      <w:outlineLvl w:val="5"/>
    </w:pPr>
    <w:rPr>
      <w:i/>
      <w:color w:val="666666"/>
      <w:sz w:val="22"/>
      <w:szCs w:val="22"/>
    </w:rPr>
  </w:style>
  <w:style w:type="character" w:styleId="DefaultParagraphFont" w:default="1">
    <w:name w:val="Default Paragraph Font"/>
    <w:uiPriority w:val="1"/>
    <w:semiHidden/>
    <w:unhideWhenUsed/>
    <w:qFormat/>
    <w:rPr/>
  </w:style>
  <w:style w:type="character" w:styleId="Strong">
    <w:name w:val="Strong"/>
    <w:qFormat/>
    <w:rPr>
      <w:b/>
      <w:bCs/>
    </w:rPr>
  </w:style>
  <w:style w:type="character" w:styleId="Hyperlink">
    <w:name w:val="Hyperlink"/>
    <w:rPr>
      <w:color w:val="000080"/>
      <w:u w:val="single"/>
    </w:rPr>
  </w:style>
  <w:style w:type="character" w:styleId="WW-Fontepargpadro" w:customStyle="1">
    <w:name w:val="WW-Fonte parág. padrão"/>
    <w:qFormat/>
    <w:rPr/>
  </w:style>
  <w:style w:type="character" w:styleId="FollowedHyperlink">
    <w:name w:val="FollowedHyperlink"/>
    <w:basedOn w:val="WW-Fontepargpadro"/>
    <w:rPr>
      <w:color w:val="800080"/>
      <w:u w:val="single"/>
    </w:rPr>
  </w:style>
  <w:style w:type="character" w:styleId="Fontepargpadro1" w:customStyle="1">
    <w:name w:val="Fonte parág. padrão1"/>
    <w:qFormat/>
    <w:rPr/>
  </w:style>
  <w:style w:type="character" w:styleId="Marcadores" w:customStyle="1">
    <w:name w:val="Marcadores"/>
    <w:qFormat/>
    <w:rPr>
      <w:rFonts w:ascii="OpenSymbol" w:hAnsi="OpenSymbol" w:eastAsia="OpenSymbol" w:cs="OpenSymbol"/>
    </w:rPr>
  </w:style>
  <w:style w:type="character" w:styleId="WWCharLFO4LVL1" w:customStyle="1">
    <w:name w:val="WW_CharLFO4LVL1"/>
    <w:qFormat/>
    <w:rPr>
      <w:rFonts w:ascii="Symbol" w:hAnsi="Symbol" w:cs="OpenSymbol;Arial Unicode MS"/>
    </w:rPr>
  </w:style>
  <w:style w:type="character" w:styleId="WWCharLFO4LVL2" w:customStyle="1">
    <w:name w:val="WW_CharLFO4LVL2"/>
    <w:qFormat/>
    <w:rPr>
      <w:rFonts w:ascii="Symbol" w:hAnsi="Symbol" w:cs="OpenSymbol;Arial Unicode MS"/>
    </w:rPr>
  </w:style>
  <w:style w:type="character" w:styleId="WWCharLFO4LVL3" w:customStyle="1">
    <w:name w:val="WW_CharLFO4LVL3"/>
    <w:qFormat/>
    <w:rPr>
      <w:rFonts w:ascii="Symbol" w:hAnsi="Symbol" w:cs="OpenSymbol;Arial Unicode MS"/>
    </w:rPr>
  </w:style>
  <w:style w:type="character" w:styleId="WWCharLFO4LVL4" w:customStyle="1">
    <w:name w:val="WW_CharLFO4LVL4"/>
    <w:qFormat/>
    <w:rPr>
      <w:rFonts w:ascii="Symbol" w:hAnsi="Symbol" w:cs="OpenSymbol;Arial Unicode MS"/>
    </w:rPr>
  </w:style>
  <w:style w:type="character" w:styleId="WWCharLFO4LVL5" w:customStyle="1">
    <w:name w:val="WW_CharLFO4LVL5"/>
    <w:qFormat/>
    <w:rPr>
      <w:rFonts w:ascii="Symbol" w:hAnsi="Symbol" w:cs="OpenSymbol;Arial Unicode MS"/>
    </w:rPr>
  </w:style>
  <w:style w:type="character" w:styleId="WWCharLFO4LVL6" w:customStyle="1">
    <w:name w:val="WW_CharLFO4LVL6"/>
    <w:qFormat/>
    <w:rPr>
      <w:rFonts w:ascii="Symbol" w:hAnsi="Symbol" w:cs="OpenSymbol;Arial Unicode MS"/>
    </w:rPr>
  </w:style>
  <w:style w:type="character" w:styleId="WWCharLFO4LVL7" w:customStyle="1">
    <w:name w:val="WW_CharLFO4LVL7"/>
    <w:qFormat/>
    <w:rPr>
      <w:rFonts w:ascii="Symbol" w:hAnsi="Symbol" w:cs="OpenSymbol;Arial Unicode MS"/>
    </w:rPr>
  </w:style>
  <w:style w:type="character" w:styleId="WWCharLFO4LVL8" w:customStyle="1">
    <w:name w:val="WW_CharLFO4LVL8"/>
    <w:qFormat/>
    <w:rPr>
      <w:rFonts w:ascii="Symbol" w:hAnsi="Symbol" w:cs="OpenSymbol;Arial Unicode MS"/>
    </w:rPr>
  </w:style>
  <w:style w:type="character" w:styleId="WWCharLFO4LVL9" w:customStyle="1">
    <w:name w:val="WW_CharLFO4LVL9"/>
    <w:qFormat/>
    <w:rPr>
      <w:rFonts w:ascii="Symbol" w:hAnsi="Symbol" w:cs="OpenSymbol;Arial Unicode MS"/>
    </w:rPr>
  </w:style>
  <w:style w:type="character" w:styleId="WWCharLFO5LVL1" w:customStyle="1">
    <w:name w:val="WW_CharLFO5LVL1"/>
    <w:qFormat/>
    <w:rPr>
      <w:rFonts w:ascii="Symbol" w:hAnsi="Symbol" w:cs="OpenSymbol;Arial Unicode MS"/>
    </w:rPr>
  </w:style>
  <w:style w:type="character" w:styleId="WWCharLFO5LVL2" w:customStyle="1">
    <w:name w:val="WW_CharLFO5LVL2"/>
    <w:qFormat/>
    <w:rPr>
      <w:rFonts w:ascii="Symbol" w:hAnsi="Symbol" w:cs="OpenSymbol;Arial Unicode MS"/>
    </w:rPr>
  </w:style>
  <w:style w:type="character" w:styleId="WWCharLFO5LVL3" w:customStyle="1">
    <w:name w:val="WW_CharLFO5LVL3"/>
    <w:qFormat/>
    <w:rPr>
      <w:rFonts w:ascii="Symbol" w:hAnsi="Symbol" w:cs="OpenSymbol;Arial Unicode MS"/>
    </w:rPr>
  </w:style>
  <w:style w:type="character" w:styleId="WWCharLFO5LVL4" w:customStyle="1">
    <w:name w:val="WW_CharLFO5LVL4"/>
    <w:qFormat/>
    <w:rPr>
      <w:rFonts w:ascii="Symbol" w:hAnsi="Symbol" w:cs="OpenSymbol;Arial Unicode MS"/>
    </w:rPr>
  </w:style>
  <w:style w:type="character" w:styleId="WWCharLFO5LVL5" w:customStyle="1">
    <w:name w:val="WW_CharLFO5LVL5"/>
    <w:qFormat/>
    <w:rPr>
      <w:rFonts w:ascii="Symbol" w:hAnsi="Symbol" w:cs="OpenSymbol;Arial Unicode MS"/>
    </w:rPr>
  </w:style>
  <w:style w:type="character" w:styleId="WWCharLFO5LVL6" w:customStyle="1">
    <w:name w:val="WW_CharLFO5LVL6"/>
    <w:qFormat/>
    <w:rPr>
      <w:rFonts w:ascii="Symbol" w:hAnsi="Symbol" w:cs="OpenSymbol;Arial Unicode MS"/>
    </w:rPr>
  </w:style>
  <w:style w:type="character" w:styleId="WWCharLFO5LVL7" w:customStyle="1">
    <w:name w:val="WW_CharLFO5LVL7"/>
    <w:qFormat/>
    <w:rPr>
      <w:rFonts w:ascii="Symbol" w:hAnsi="Symbol" w:cs="OpenSymbol;Arial Unicode MS"/>
    </w:rPr>
  </w:style>
  <w:style w:type="character" w:styleId="WWCharLFO5LVL8" w:customStyle="1">
    <w:name w:val="WW_CharLFO5LVL8"/>
    <w:qFormat/>
    <w:rPr>
      <w:rFonts w:ascii="Symbol" w:hAnsi="Symbol" w:cs="OpenSymbol;Arial Unicode MS"/>
    </w:rPr>
  </w:style>
  <w:style w:type="character" w:styleId="WWCharLFO5LVL9" w:customStyle="1">
    <w:name w:val="WW_CharLFO5LVL9"/>
    <w:qFormat/>
    <w:rPr>
      <w:rFonts w:ascii="Symbol" w:hAnsi="Symbol" w:cs="OpenSymbol;Arial Unicode MS"/>
    </w:rPr>
  </w:style>
  <w:style w:type="character" w:styleId="WWCharLFO11LVL9" w:customStyle="1">
    <w:name w:val="WW_CharLFO11LVL9"/>
    <w:qFormat/>
    <w:rPr>
      <w:rFonts w:ascii="OpenSymbol;Arial Unicode MS" w:hAnsi="OpenSymbol;Arial Unicode MS" w:eastAsia="OpenSymbol;Arial Unicode MS" w:cs="OpenSymbol;Arial Unicode MS"/>
    </w:rPr>
  </w:style>
  <w:style w:type="character" w:styleId="WWCharLFO11LVL8" w:customStyle="1">
    <w:name w:val="WW_CharLFO11LVL8"/>
    <w:qFormat/>
    <w:rPr>
      <w:rFonts w:ascii="OpenSymbol;Arial Unicode MS" w:hAnsi="OpenSymbol;Arial Unicode MS" w:eastAsia="OpenSymbol;Arial Unicode MS" w:cs="OpenSymbol;Arial Unicode MS"/>
    </w:rPr>
  </w:style>
  <w:style w:type="character" w:styleId="WWCharLFO11LVL7" w:customStyle="1">
    <w:name w:val="WW_CharLFO11LVL7"/>
    <w:qFormat/>
    <w:rPr>
      <w:rFonts w:ascii="OpenSymbol;Arial Unicode MS" w:hAnsi="OpenSymbol;Arial Unicode MS" w:eastAsia="OpenSymbol;Arial Unicode MS" w:cs="OpenSymbol;Arial Unicode MS"/>
    </w:rPr>
  </w:style>
  <w:style w:type="character" w:styleId="WWCharLFO11LVL6" w:customStyle="1">
    <w:name w:val="WW_CharLFO11LVL6"/>
    <w:qFormat/>
    <w:rPr>
      <w:rFonts w:ascii="OpenSymbol;Arial Unicode MS" w:hAnsi="OpenSymbol;Arial Unicode MS" w:eastAsia="OpenSymbol;Arial Unicode MS" w:cs="OpenSymbol;Arial Unicode MS"/>
    </w:rPr>
  </w:style>
  <w:style w:type="character" w:styleId="WWCharLFO11LVL5" w:customStyle="1">
    <w:name w:val="WW_CharLFO11LVL5"/>
    <w:qFormat/>
    <w:rPr>
      <w:rFonts w:ascii="OpenSymbol;Arial Unicode MS" w:hAnsi="OpenSymbol;Arial Unicode MS" w:eastAsia="OpenSymbol;Arial Unicode MS" w:cs="OpenSymbol;Arial Unicode MS"/>
    </w:rPr>
  </w:style>
  <w:style w:type="character" w:styleId="WWCharLFO11LVL4" w:customStyle="1">
    <w:name w:val="WW_CharLFO11LVL4"/>
    <w:qFormat/>
    <w:rPr>
      <w:rFonts w:ascii="OpenSymbol;Arial Unicode MS" w:hAnsi="OpenSymbol;Arial Unicode MS" w:eastAsia="OpenSymbol;Arial Unicode MS" w:cs="OpenSymbol;Arial Unicode MS"/>
    </w:rPr>
  </w:style>
  <w:style w:type="character" w:styleId="WWCharLFO11LVL3" w:customStyle="1">
    <w:name w:val="WW_CharLFO11LVL3"/>
    <w:qFormat/>
    <w:rPr>
      <w:rFonts w:ascii="OpenSymbol;Arial Unicode MS" w:hAnsi="OpenSymbol;Arial Unicode MS" w:eastAsia="OpenSymbol;Arial Unicode MS" w:cs="OpenSymbol;Arial Unicode MS"/>
    </w:rPr>
  </w:style>
  <w:style w:type="character" w:styleId="WWCharLFO11LVL2" w:customStyle="1">
    <w:name w:val="WW_CharLFO11LVL2"/>
    <w:qFormat/>
    <w:rPr>
      <w:rFonts w:ascii="OpenSymbol;Arial Unicode MS" w:hAnsi="OpenSymbol;Arial Unicode MS" w:eastAsia="OpenSymbol;Arial Unicode MS" w:cs="OpenSymbol;Arial Unicode MS"/>
    </w:rPr>
  </w:style>
  <w:style w:type="character" w:styleId="WWCharLFO11LVL1" w:customStyle="1">
    <w:name w:val="WW_CharLFO11LVL1"/>
    <w:qFormat/>
    <w:rPr>
      <w:rFonts w:ascii="OpenSymbol;Arial Unicode MS" w:hAnsi="OpenSymbol;Arial Unicode MS" w:eastAsia="OpenSymbol;Arial Unicode MS" w:cs="OpenSymbol;Arial Unicode MS"/>
    </w:rPr>
  </w:style>
  <w:style w:type="character" w:styleId="Fontepargpadro5" w:customStyle="1">
    <w:name w:val="Fonte parág. padrão5"/>
    <w:qFormat/>
    <w:rPr/>
  </w:style>
  <w:style w:type="character" w:styleId="Smbolosdenumerao" w:customStyle="1">
    <w:name w:val="Símbolos de numeração"/>
    <w:qFormat/>
    <w:rPr/>
  </w:style>
  <w:style w:type="character" w:styleId="Annotationreference">
    <w:name w:val="annotation reference"/>
    <w:basedOn w:val="DefaultParagraphFont"/>
    <w:uiPriority w:val="99"/>
    <w:semiHidden/>
    <w:unhideWhenUsed/>
    <w:qFormat/>
    <w:rsid w:val="00ac7429"/>
    <w:rPr>
      <w:sz w:val="16"/>
      <w:szCs w:val="16"/>
    </w:rPr>
  </w:style>
  <w:style w:type="character" w:styleId="TextodecomentrioChar" w:customStyle="1">
    <w:name w:val="Texto de comentário Char"/>
    <w:basedOn w:val="DefaultParagraphFont"/>
    <w:link w:val="Annotationtext"/>
    <w:uiPriority w:val="99"/>
    <w:semiHidden/>
    <w:qFormat/>
    <w:rsid w:val="00ac7429"/>
    <w:rPr>
      <w:sz w:val="20"/>
      <w:szCs w:val="18"/>
    </w:rPr>
  </w:style>
  <w:style w:type="character" w:styleId="AssuntodocomentrioChar" w:customStyle="1">
    <w:name w:val="Assunto do comentário Char"/>
    <w:basedOn w:val="TextodecomentrioChar"/>
    <w:link w:val="Annotationsubject"/>
    <w:uiPriority w:val="99"/>
    <w:semiHidden/>
    <w:qFormat/>
    <w:rsid w:val="00ac7429"/>
    <w:rPr>
      <w:b/>
      <w:bCs/>
      <w:sz w:val="20"/>
      <w:szCs w:val="18"/>
    </w:rPr>
  </w:style>
  <w:style w:type="character" w:styleId="UnresolvedMention">
    <w:name w:val="Unresolved Mention"/>
    <w:basedOn w:val="DefaultParagraphFont"/>
    <w:uiPriority w:val="99"/>
    <w:semiHidden/>
    <w:unhideWhenUsed/>
    <w:qFormat/>
    <w:rsid w:val="00bc45d0"/>
    <w:rPr>
      <w:color w:val="605E5C"/>
      <w:shd w:fill="E1DFDD" w:val="clear"/>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1"/>
    <w:pPr>
      <w:spacing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1"/>
    <w:qFormat/>
    <w:pPr>
      <w:suppressLineNumbers/>
    </w:pPr>
    <w:rPr/>
  </w:style>
  <w:style w:type="paragraph" w:styleId="Title">
    <w:name w:val="Title"/>
    <w:basedOn w:val="LO-normal"/>
    <w:next w:val="BodyText"/>
    <w:uiPriority w:val="10"/>
    <w:qFormat/>
    <w:pPr>
      <w:keepNext w:val="true"/>
      <w:keepLines/>
      <w:spacing w:before="240" w:after="60"/>
    </w:pPr>
    <w:rPr>
      <w:sz w:val="52"/>
      <w:szCs w:val="52"/>
    </w:rPr>
  </w:style>
  <w:style w:type="paragraph" w:styleId="Caption1">
    <w:name w:val="caption1"/>
    <w:basedOn w:val="Normal"/>
    <w:qFormat/>
    <w:pPr>
      <w:suppressLineNumbers/>
      <w:spacing w:before="120" w:after="120"/>
    </w:pPr>
    <w:rPr>
      <w:rFonts w:cs="Lucida Sans"/>
      <w:i/>
      <w:iCs/>
    </w:rPr>
  </w:style>
  <w:style w:type="paragraph" w:styleId="Normal1" w:customStyle="1">
    <w:name w:val="normal1"/>
    <w:qFormat/>
    <w:pPr>
      <w:widowControl/>
      <w:suppressAutoHyphens w:val="true"/>
      <w:bidi w:val="0"/>
      <w:spacing w:lineRule="auto" w:line="276" w:before="0" w:after="0"/>
      <w:jc w:val="left"/>
    </w:pPr>
    <w:rPr>
      <w:rFonts w:ascii="Liberation Serif" w:hAnsi="Liberation Serif" w:eastAsia="Liberation Serif" w:cs="Liberation Serif"/>
      <w:color w:val="auto"/>
      <w:kern w:val="0"/>
      <w:sz w:val="24"/>
      <w:szCs w:val="24"/>
      <w:lang w:val="pt-BR" w:eastAsia="zh-CN" w:bidi="hi-IN"/>
    </w:rPr>
  </w:style>
  <w:style w:type="paragraph" w:styleId="Caption11" w:customStyle="1">
    <w:name w:val="caption11"/>
    <w:basedOn w:val="Normal1"/>
    <w:qFormat/>
    <w:pPr>
      <w:suppressLineNumbers/>
      <w:spacing w:before="120" w:after="120"/>
    </w:pPr>
    <w:rPr>
      <w:i/>
      <w:iCs/>
    </w:rPr>
  </w:style>
  <w:style w:type="paragraph" w:styleId="LO-normal" w:customStyle="1">
    <w:name w:val="LO-normal"/>
    <w:qFormat/>
    <w:pPr>
      <w:widowControl/>
      <w:suppressAutoHyphens w:val="true"/>
      <w:bidi w:val="0"/>
      <w:spacing w:lineRule="auto" w:line="276" w:before="0" w:after="0"/>
      <w:jc w:val="left"/>
    </w:pPr>
    <w:rPr>
      <w:rFonts w:ascii="Liberation Serif" w:hAnsi="Liberation Serif" w:eastAsia="Liberation Serif" w:cs="Liberation Serif"/>
      <w:color w:val="auto"/>
      <w:kern w:val="0"/>
      <w:sz w:val="24"/>
      <w:szCs w:val="24"/>
      <w:lang w:val="pt-BR" w:eastAsia="zh-CN" w:bidi="hi-IN"/>
    </w:rPr>
  </w:style>
  <w:style w:type="paragraph" w:styleId="Subtitle">
    <w:name w:val="Subtitle"/>
    <w:basedOn w:val="Normal1"/>
    <w:next w:val="Normal1"/>
    <w:uiPriority w:val="11"/>
    <w:qFormat/>
    <w:pPr>
      <w:keepNext w:val="true"/>
      <w:keepLines/>
      <w:spacing w:lineRule="auto" w:line="240" w:before="0" w:after="320"/>
    </w:pPr>
    <w:rPr>
      <w:rFonts w:ascii="Arial" w:hAnsi="Arial" w:eastAsia="Arial" w:cs="Arial"/>
      <w:color w:val="666666"/>
      <w:sz w:val="30"/>
      <w:szCs w:val="30"/>
    </w:rPr>
  </w:style>
  <w:style w:type="paragraph" w:styleId="CabealhoeRodap" w:customStyle="1">
    <w:name w:val="Cabeçalho e Rodapé"/>
    <w:basedOn w:val="Normal1"/>
    <w:qFormat/>
    <w:pPr>
      <w:suppressLineNumbers/>
      <w:tabs>
        <w:tab w:val="clear" w:pos="720"/>
        <w:tab w:val="center" w:pos="4819" w:leader="none"/>
        <w:tab w:val="right" w:pos="9638" w:leader="none"/>
      </w:tabs>
    </w:pPr>
    <w:rPr/>
  </w:style>
  <w:style w:type="paragraph" w:styleId="Header">
    <w:name w:val="Header"/>
    <w:basedOn w:val="Normal1"/>
    <w:pPr/>
    <w:rPr/>
  </w:style>
  <w:style w:type="paragraph" w:styleId="Footer">
    <w:name w:val="Footer"/>
    <w:basedOn w:val="Normal1"/>
    <w:pPr/>
    <w:rPr/>
  </w:style>
  <w:style w:type="paragraph" w:styleId="BodyText2">
    <w:name w:val="Body Text 2"/>
    <w:basedOn w:val="Normal1"/>
    <w:qFormat/>
    <w:pPr>
      <w:ind w:left="3402"/>
      <w:jc w:val="both"/>
    </w:pPr>
    <w:rPr>
      <w:rFonts w:ascii="Arial" w:hAnsi="Arial" w:cs="Arial"/>
      <w:szCs w:val="20"/>
    </w:rPr>
  </w:style>
  <w:style w:type="paragraph" w:styleId="Contrato" w:customStyle="1">
    <w:name w:val="contrato"/>
    <w:basedOn w:val="Normal1"/>
    <w:qFormat/>
    <w:pPr>
      <w:jc w:val="both"/>
    </w:pPr>
    <w:rPr>
      <w:rFonts w:ascii="Arial" w:hAnsi="Arial" w:eastAsia="Arial" w:cs="Arial"/>
      <w:sz w:val="22"/>
    </w:rPr>
  </w:style>
  <w:style w:type="paragraph" w:styleId="Recuodecorpodetexto21" w:customStyle="1">
    <w:name w:val="Recuo de corpo de texto 21"/>
    <w:basedOn w:val="Normal1"/>
    <w:qFormat/>
    <w:pPr>
      <w:ind w:firstLine="851"/>
      <w:jc w:val="both"/>
    </w:pPr>
    <w:rPr>
      <w:rFonts w:ascii="Arial" w:hAnsi="Arial" w:eastAsia="Arial" w:cs="Arial"/>
      <w:sz w:val="32"/>
    </w:rPr>
  </w:style>
  <w:style w:type="paragraph" w:styleId="LO-Normal1" w:customStyle="1">
    <w:name w:val="LO-Normal1"/>
    <w:qFormat/>
    <w:pPr>
      <w:widowControl/>
      <w:suppressAutoHyphens w:val="true"/>
      <w:bidi w:val="0"/>
      <w:spacing w:lineRule="auto" w:line="276" w:before="0" w:after="0"/>
      <w:jc w:val="left"/>
    </w:pPr>
    <w:rPr>
      <w:rFonts w:ascii="TimesNewRoman;'Times New Roman" w:hAnsi="TimesNewRoman;'Times New Roman" w:eastAsia="Liberation Serif" w:cs="Times New Roman"/>
      <w:color w:val="auto"/>
      <w:kern w:val="0"/>
      <w:sz w:val="20"/>
      <w:szCs w:val="20"/>
      <w:lang w:val="pt-BR" w:eastAsia="zh-CN" w:bidi="hi-IN"/>
    </w:rPr>
  </w:style>
  <w:style w:type="paragraph" w:styleId="Nivel2" w:customStyle="1">
    <w:name w:val="Nivel 2"/>
    <w:basedOn w:val="Normal1"/>
    <w:qFormat/>
    <w:pPr>
      <w:spacing w:before="120" w:after="120"/>
      <w:jc w:val="both"/>
    </w:pPr>
    <w:rPr>
      <w:rFonts w:ascii="Arial" w:hAnsi="Arial" w:cs="Arial"/>
      <w:color w:val="000000"/>
      <w:sz w:val="20"/>
      <w:szCs w:val="20"/>
    </w:rPr>
  </w:style>
  <w:style w:type="paragraph" w:styleId="Textoprformatado" w:customStyle="1">
    <w:name w:val="Texto préformatado"/>
    <w:basedOn w:val="Normal1"/>
    <w:qFormat/>
    <w:pPr/>
    <w:rPr>
      <w:rFonts w:ascii="Cumberland AMT" w:hAnsi="Cumberland AMT" w:eastAsia="Cumberland AMT" w:cs="Cumberland AMT"/>
    </w:rPr>
  </w:style>
  <w:style w:type="paragraph" w:styleId="Nivel3" w:customStyle="1">
    <w:name w:val="Nivel 3"/>
    <w:basedOn w:val="Normal1"/>
    <w:qFormat/>
    <w:pPr>
      <w:spacing w:before="120" w:after="120"/>
      <w:jc w:val="both"/>
    </w:pPr>
    <w:rPr>
      <w:rFonts w:ascii="Arial" w:hAnsi="Arial" w:cs="Arial"/>
      <w:color w:val="000000"/>
      <w:sz w:val="20"/>
      <w:szCs w:val="20"/>
    </w:rPr>
  </w:style>
  <w:style w:type="paragraph" w:styleId="ListParagraph">
    <w:name w:val="List Paragraph"/>
    <w:basedOn w:val="Normal1"/>
    <w:qFormat/>
    <w:pPr>
      <w:ind w:left="720"/>
    </w:pPr>
    <w:rPr/>
  </w:style>
  <w:style w:type="paragraph" w:styleId="Textopadro" w:customStyle="1">
    <w:name w:val="Texto padrão"/>
    <w:basedOn w:val="Normal1"/>
    <w:qFormat/>
    <w:pPr>
      <w:widowControl w:val="false"/>
    </w:pPr>
    <w:rPr/>
  </w:style>
  <w:style w:type="paragraph" w:styleId="Nvel2-Red" w:customStyle="1">
    <w:name w:val="Nível 2 -Red"/>
    <w:basedOn w:val="Nivel2"/>
    <w:qFormat/>
    <w:pPr/>
    <w:rPr>
      <w:i/>
      <w:iCs/>
      <w:color w:val="FF0000"/>
    </w:rPr>
  </w:style>
  <w:style w:type="paragraph" w:styleId="Contedodatabela" w:customStyle="1">
    <w:name w:val="Conteúdo da tabela"/>
    <w:basedOn w:val="Normal1"/>
    <w:qFormat/>
    <w:pPr/>
    <w:rPr/>
  </w:style>
  <w:style w:type="paragraph" w:styleId="Standard" w:customStyle="1">
    <w:name w:val="Standard"/>
    <w:qFormat/>
    <w:pPr>
      <w:widowControl/>
      <w:suppressAutoHyphens w:val="true"/>
      <w:bidi w:val="0"/>
      <w:spacing w:lineRule="auto" w:line="276" w:before="0" w:after="0"/>
      <w:jc w:val="left"/>
    </w:pPr>
    <w:rPr>
      <w:rFonts w:ascii="Liberation Serif" w:hAnsi="Liberation Serif" w:eastAsia="Liberation Serif" w:cs="Liberation Serif"/>
      <w:color w:val="auto"/>
      <w:kern w:val="0"/>
      <w:sz w:val="24"/>
      <w:szCs w:val="24"/>
      <w:lang w:val="pt-BR" w:eastAsia="zh-CN" w:bidi="hi-IN"/>
    </w:rPr>
  </w:style>
  <w:style w:type="paragraph" w:styleId="WW-Padro1" w:customStyle="1">
    <w:name w:val="WW-Padrão1"/>
    <w:qFormat/>
    <w:pPr>
      <w:widowControl/>
      <w:suppressAutoHyphens w:val="true"/>
      <w:bidi w:val="0"/>
      <w:spacing w:lineRule="auto" w:line="276" w:before="0" w:after="0"/>
      <w:jc w:val="left"/>
    </w:pPr>
    <w:rPr>
      <w:rFonts w:ascii="Arial" w:hAnsi="Arial" w:eastAsia="Liberation Serif" w:cs="Times New Roman"/>
      <w:color w:val="auto"/>
      <w:kern w:val="0"/>
      <w:sz w:val="22"/>
      <w:szCs w:val="20"/>
      <w:lang w:val="pt-BR" w:eastAsia="zh-CN" w:bidi="hi-IN"/>
    </w:rPr>
  </w:style>
  <w:style w:type="paragraph" w:styleId="Default" w:customStyle="1">
    <w:name w:val="Default"/>
    <w:qFormat/>
    <w:pPr>
      <w:widowControl/>
      <w:suppressAutoHyphens w:val="true"/>
      <w:bidi w:val="0"/>
      <w:spacing w:lineRule="auto" w:line="276" w:before="0" w:after="0"/>
      <w:jc w:val="left"/>
    </w:pPr>
    <w:rPr>
      <w:rFonts w:ascii="TimesNewRoman;'Times New Roman" w:hAnsi="TimesNewRoman;'Times New Roman" w:eastAsia="Liberation Serif" w:cs="Times New Roman"/>
      <w:color w:val="auto"/>
      <w:kern w:val="0"/>
      <w:sz w:val="20"/>
      <w:szCs w:val="20"/>
      <w:lang w:val="pt-BR" w:eastAsia="zh-CN" w:bidi="hi-IN"/>
    </w:rPr>
  </w:style>
  <w:style w:type="paragraph" w:styleId="Nivel4" w:customStyle="1">
    <w:name w:val="Nivel 4"/>
    <w:basedOn w:val="Nivel3"/>
    <w:qFormat/>
    <w:pPr>
      <w:ind w:left="851"/>
    </w:pPr>
    <w:rPr>
      <w:color w:val="00000A"/>
    </w:rPr>
  </w:style>
  <w:style w:type="paragraph" w:styleId="Nvel4-R" w:customStyle="1">
    <w:name w:val="Nível 4-R"/>
    <w:basedOn w:val="Nivel4"/>
    <w:qFormat/>
    <w:pPr>
      <w:ind w:hanging="648" w:left="2491"/>
    </w:pPr>
    <w:rPr>
      <w:i/>
      <w:iCs/>
      <w:color w:val="FF0000"/>
    </w:rPr>
  </w:style>
  <w:style w:type="paragraph" w:styleId="Nvel3-R" w:customStyle="1">
    <w:name w:val="Nível 3-R"/>
    <w:basedOn w:val="Nivel3"/>
    <w:qFormat/>
    <w:pPr>
      <w:ind w:hanging="504" w:left="3198"/>
    </w:pPr>
    <w:rPr>
      <w:i/>
      <w:iCs/>
      <w:color w:val="FF0000"/>
    </w:rPr>
  </w:style>
  <w:style w:type="paragraph" w:styleId="Textbody" w:customStyle="1">
    <w:name w:val="Text body"/>
    <w:basedOn w:val="Standard"/>
    <w:qFormat/>
    <w:pPr/>
    <w:rPr>
      <w:sz w:val="22"/>
      <w:szCs w:val="22"/>
    </w:rPr>
  </w:style>
  <w:style w:type="paragraph" w:styleId="Contedodoquadro" w:customStyle="1">
    <w:name w:val="Conteúdo do quadro"/>
    <w:basedOn w:val="Normal1"/>
    <w:qFormat/>
    <w:pPr/>
    <w:rPr/>
  </w:style>
  <w:style w:type="paragraph" w:styleId="Ttulodetabela" w:customStyle="1">
    <w:name w:val="Título de tabela"/>
    <w:basedOn w:val="Contedodatabela"/>
    <w:qFormat/>
    <w:pPr>
      <w:suppressLineNumbers/>
      <w:jc w:val="center"/>
    </w:pPr>
    <w:rPr>
      <w:b/>
      <w:bCs/>
    </w:rPr>
  </w:style>
  <w:style w:type="paragraph" w:styleId="Corpodetexto22" w:customStyle="1">
    <w:name w:val="Corpo de texto 22"/>
    <w:basedOn w:val="Normal1"/>
    <w:qFormat/>
    <w:pPr>
      <w:spacing w:lineRule="auto" w:line="480" w:before="0" w:after="120"/>
    </w:pPr>
    <w:rPr/>
  </w:style>
  <w:style w:type="paragraph" w:styleId="Nivel01" w:customStyle="1">
    <w:name w:val="Nivel 01"/>
    <w:basedOn w:val="Heading1"/>
    <w:next w:val="Normal1"/>
    <w:qFormat/>
    <w:pPr>
      <w:tabs>
        <w:tab w:val="clear" w:pos="720"/>
        <w:tab w:val="left" w:pos="567" w:leader="none"/>
      </w:tabs>
      <w:spacing w:before="120" w:after="120"/>
      <w:jc w:val="both"/>
    </w:pPr>
    <w:rPr>
      <w:rFonts w:ascii="Arial" w:hAnsi="Arial" w:cs="Arial"/>
      <w:color w:val="00000A"/>
      <w:sz w:val="20"/>
      <w:szCs w:val="20"/>
      <w:lang w:eastAsia="en-US"/>
    </w:rPr>
  </w:style>
  <w:style w:type="paragraph" w:styleId="Annotationtext">
    <w:name w:val="annotation text"/>
    <w:basedOn w:val="Normal1"/>
    <w:link w:val="TextodecomentrioChar"/>
    <w:uiPriority w:val="99"/>
    <w:semiHidden/>
    <w:unhideWhenUsed/>
    <w:qFormat/>
    <w:rsid w:val="00ac7429"/>
    <w:pPr>
      <w:spacing w:lineRule="auto" w:line="240"/>
    </w:pPr>
    <w:rPr>
      <w:sz w:val="20"/>
      <w:szCs w:val="18"/>
    </w:rPr>
  </w:style>
  <w:style w:type="paragraph" w:styleId="Annotationsubject">
    <w:name w:val="annotation subject"/>
    <w:basedOn w:val="Annotationtext"/>
    <w:next w:val="Annotationtext"/>
    <w:link w:val="AssuntodocomentrioChar"/>
    <w:uiPriority w:val="99"/>
    <w:semiHidden/>
    <w:unhideWhenUsed/>
    <w:qFormat/>
    <w:rsid w:val="00ac7429"/>
    <w:pPr/>
    <w:rPr>
      <w:b/>
      <w:bCs/>
    </w:rPr>
  </w:style>
  <w:style w:type="paragraph" w:styleId="NormalWeb">
    <w:name w:val="Normal (Web)"/>
    <w:basedOn w:val="Normal1"/>
    <w:uiPriority w:val="99"/>
    <w:semiHidden/>
    <w:unhideWhenUsed/>
    <w:qFormat/>
    <w:rsid w:val="00ab716d"/>
    <w:pPr/>
    <w:rPr>
      <w:rFonts w:ascii="Times New Roman" w:hAnsi="Times New Roman"/>
      <w:szCs w:val="21"/>
    </w:rPr>
  </w:style>
  <w:style w:type="paragraph" w:styleId="Normal2" w:customStyle="1">
    <w:name w:val="normal2"/>
    <w:qFormat/>
    <w:pPr>
      <w:widowControl/>
      <w:suppressAutoHyphens w:val="true"/>
      <w:bidi w:val="0"/>
      <w:spacing w:lineRule="auto" w:line="276" w:before="0" w:after="0"/>
      <w:jc w:val="left"/>
    </w:pPr>
    <w:rPr>
      <w:rFonts w:ascii="Liberation Serif" w:hAnsi="Liberation Serif" w:eastAsia="Liberation Serif" w:cs="Liberation Serif"/>
      <w:color w:val="auto"/>
      <w:kern w:val="0"/>
      <w:sz w:val="24"/>
      <w:szCs w:val="24"/>
      <w:lang w:val="pt-BR" w:eastAsia="zh-CN" w:bidi="hi-IN"/>
    </w:rPr>
  </w:style>
  <w:style w:type="numbering" w:styleId="NoList" w:default="1">
    <w:name w:val="No List"/>
    <w:uiPriority w:val="99"/>
    <w:semiHidden/>
    <w:unhideWhenUsed/>
    <w:qFormat/>
  </w:style>
  <w:style w:type="numbering" w:styleId="WW8Num4" w:customStyle="1">
    <w:name w:val="WW8Num4"/>
    <w:qFormat/>
  </w:style>
  <w:style w:type="numbering" w:styleId="WW8Num5" w:customStyle="1">
    <w:name w:val="WW8Num5"/>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uite.ce.gov.br/app/processos/detalhamento/3b00ef77-70d1-4d5c-8824-b0c3161c0cab" TargetMode="External"/><Relationship Id="rId3" Type="http://schemas.openxmlformats.org/officeDocument/2006/relationships/hyperlink" Target="https://www.comprasnet.gov.br/seguro/loginPortal.asp" TargetMode="External"/><Relationship Id="rId4" Type="http://schemas.openxmlformats.org/officeDocument/2006/relationships/hyperlink" Target="mailto:licitacao@pge.ce.gov.br" TargetMode="External"/><Relationship Id="rId5" Type="http://schemas.openxmlformats.org/officeDocument/2006/relationships/hyperlink" Target="http://www.gov.br/compras" TargetMode="External"/><Relationship Id="rId6"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https://www.gov.br/compras/pt-br/acesso-a-informacao/legislacao/instrucoes-normativas/instrucao-normativa-seges-me-no-73-de-30-de-setembro-de-2022" TargetMode="External"/><Relationship Id="rId9" Type="http://schemas.openxmlformats.org/officeDocument/2006/relationships/hyperlink" Target="https://www.planalto.gov.br/ccivil_03/constituicao/constituicaocompilado.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s://www.portaltransparencia.gov.br/sancoes/ceis" TargetMode="External"/><Relationship Id="rId13" Type="http://schemas.openxmlformats.org/officeDocument/2006/relationships/hyperlink" Target="https://www.portaltransparencia.gov.br/sancoes"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suite.ce.gov.br/app/processos/detalhamento/3b00ef77-70d1-4d5c-8824-b0c3161c0cab" TargetMode="External"/><Relationship Id="rId16" Type="http://schemas.openxmlformats.org/officeDocument/2006/relationships/hyperlink" Target="https://www.gov.br/empresas-e-negocios/pt-br/empreendedor" TargetMode="External"/><Relationship Id="rId17" Type="http://schemas.openxmlformats.org/officeDocument/2006/relationships/hyperlink" Target="https://www.gov.br/empresas-e-negocios/pt-br/empreendedor" TargetMode="External"/><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078compilado.htm"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Relationship Id="rId31"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cwgknD617M4TXi1jZnKfsEgJ+2g==">CgMxLjAyDmgueTFqeDJnb3JwOWZ1Mg1oLnNscXpjZmptOXpxMg5oLmtidm11MWo5Z2NoZDIOaC5ybGprczkxNTdzZGIyDmguM2JpY3Rqd2F0azNzMg5oLjhrdnF1Y3ByYWxsNDgAciExejVVX2VmMVpBcDI1NGNZSGN5dGNrNHc0VUtzX0R1V1E=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Application>LibreOffice/7.6.5.2$Windows_X86_64 LibreOffice_project/38d5f62f85355c192ef5f1dd47c5c0c0c6d6598b</Application>
  <AppVersion>15.0000</AppVersion>
  <Pages>58</Pages>
  <Words>28142</Words>
  <Characters>162993</Characters>
  <CharactersWithSpaces>190491</CharactersWithSpaces>
  <Paragraphs>1068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2025-07-09T13:08:00Z</dcterms:created>
  <dc:creator>Luiz Flamarion Palácio</dc:creator>
  <dc:description/>
  <dc:language>pt-BR</dc:language>
  <cp:lastModifiedBy/>
  <dcterms:modified xsi:type="dcterms:W3CDTF">2025-08-04T11:23:36Z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