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PREGÃO ELETRÔNICO </w:t>
      </w:r>
      <w:r w:rsidDel="00000000" w:rsidR="00000000" w:rsidRPr="00000000">
        <w:rPr>
          <w:rFonts w:ascii="Arial" w:cs="Arial" w:eastAsia="Arial" w:hAnsi="Arial"/>
          <w:b w:val="1"/>
          <w:color w:val="000000"/>
          <w:sz w:val="22"/>
          <w:szCs w:val="22"/>
          <w:highlight w:val="white"/>
          <w:rtl w:val="0"/>
        </w:rPr>
        <w:t xml:space="preserve">Nº 20250026</w:t>
      </w: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/SEPLAG/COGEC</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color w:val="000000"/>
          <w:sz w:val="22"/>
          <w:szCs w:val="22"/>
          <w:rtl w:val="0"/>
        </w:rPr>
        <w:t xml:space="preserve">NUP: 46001.007565/2025-75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UASG: 943001 </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NÚMERO COMPRASNET: </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SECRETARIA DO PLANEJAMENTO E GESTÃO</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intermédio do Pregoeiro e do membro da equipe de apoio designados por ato do Governador do Estado, que ora integra os autos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torna público que realizará licitação na modalidade PREGÃO, para REGISTRO DE PREÇO, na forma ELETRÔNICA.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DO CRITÉRIO DE JULGAMENTO</w:t>
      </w:r>
      <w:r w:rsidDel="00000000" w:rsidR="00000000" w:rsidRPr="00000000">
        <w:rPr>
          <w:rFonts w:ascii="Arial" w:cs="Arial" w:eastAsia="Arial" w:hAnsi="Arial"/>
          <w:b w:val="1"/>
          <w:color w:val="000000"/>
          <w:sz w:val="22"/>
          <w:szCs w:val="22"/>
          <w:rtl w:val="0"/>
        </w:rPr>
        <w:t xml:space="preserve"> E DO MODO DE DISPUTA</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O critério de julgamento será o de Menor Preço por ITEM, conforme tabela constante do Termo de Referência</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 O modo de disputa será o aberto e fechado.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DA FORMA DE FORNECIMENTO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A forma de fornecimento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será parcelada.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3. DA BASE LEGAL</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3.1.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35.323 de 24 de fevereiro de 2023, Decreto Estadual nº 27.624, de 22 de novembro 2004, Decreto Estadual nº 35.726, de 30 de outubro de 2023, Portaria PGE/GAB nº 36, de 8 de março de 2024, Lei Federal nº 13.303, de 30 de junho de 2016, Regulamentos Internos de Licitações e Contratações e demais legislação aplicável e, ainda, de acordo com as condições estabelecidas neste edital e seus anexos.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DO OBJETO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O objeto da licitação é o Registro de Preço para futuras e eventuais aquisições</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color w:val="000000"/>
          <w:sz w:val="22"/>
          <w:szCs w:val="22"/>
          <w:rtl w:val="0"/>
        </w:rPr>
        <w:t xml:space="preserve">de Material de Consumo – Utensílios de Limpeza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nas condições estabelecidas neste edital e seus anexos.</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DO ACESSO AO EDITAL, LOCAL DE REALIZAÇÃO E DO PREGOEIRO</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Este edital está disponível gratuitamente nos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sítios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www.portalcompras.ce.gov.br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w:t>
      </w:r>
      <w:r w:rsidDel="00000000" w:rsidR="00000000" w:rsidRPr="00000000">
        <w:rPr>
          <w:rFonts w:ascii="Arial" w:cs="Arial" w:eastAsia="Arial" w:hAnsi="Arial"/>
          <w:b w:val="0"/>
          <w:i w:val="0"/>
          <w:smallCaps w:val="0"/>
          <w:strike w:val="0"/>
          <w:color w:val="000000"/>
          <w:sz w:val="22"/>
          <w:szCs w:val="22"/>
          <w:shd w:fill="auto" w:val="clear"/>
          <w:vertAlign w:val="baseline"/>
          <w:rtl w:val="0"/>
        </w:rPr>
        <w:t xml:space="preserve">https://www.gov.br/compras/pt-br/acesso-a-informacao/consulta-detalhada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5.2. O certame será realizado por meio do sistema do Compras.gov.br, no endereço eletrônico https://www.comprasnet.gov.br/seguro/loginPortal.asp, pelo(a) pregoeiro(a) _________________.</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5.3.3. A equipe de apoio atende pelo telefone de nº (85)</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color w:val="000000"/>
          <w:sz w:val="22"/>
          <w:szCs w:val="22"/>
          <w:u w:val="single"/>
          <w:rtl w:val="0"/>
        </w:rPr>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pelo e-mail: </w:t>
      </w:r>
      <w:hyperlink r:id="rId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licitacao@pge.ce.gov.br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DAS DATAS E HORÁRIOS DO CERTAME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INÍCIO DO ACOLHIMENTO DAS PROPOSTAS: _____/______/20___</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DATA DE ABERTURA DAS PROPOSTAS: _____/______/20___, às ______.</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 INÍCIO DA SESSÃO DE DISPUTA DE PREÇOS: _____/______/20___, às 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6.4. REFERÊNCIA DE TEMPO: Para todas as referências de tempo utilizadas pelo sistema será observado o horário de Brasília - DF.</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DO ENDE</w:t>
      </w: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REÇO E HORÁRIO DA CENTRAL DE LICITAÇÕES</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Central de Licitações/PGE, Av. Dr. José Martins Rodrigues, nº 150, Bairro Edson Queiroz, Fortaleza – Ceará, CEP. 60811- 520, CNPJ nº 06.622.070/0001-68.</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 Horário de expediente da Central de Licitações: das 8h às 12h e das 14h às 18h.</w:t>
      </w:r>
    </w:p>
    <w:p w:rsidR="00000000" w:rsidDel="00000000" w:rsidP="00000000" w:rsidRDefault="00000000" w:rsidRPr="00000000" w14:paraId="0000001E">
      <w:pPr>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8. DA ADEQUAÇÃO ORÇAMENTÁRIA</w:t>
      </w:r>
    </w:p>
    <w:p w:rsidR="00000000" w:rsidDel="00000000" w:rsidP="00000000" w:rsidRDefault="00000000" w:rsidRPr="00000000" w14:paraId="0000001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8.1. A indicação da dotação orçamentária somente será exigida para a formalização do instrumento equivalente de contrato, conforme art. 103 do Decreto Estadual nº 35.067/2022 c/c §4º, art. 7º, do Decreto Estadual nº 35.323/2023.</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color w:val="000000"/>
          <w:sz w:val="22"/>
          <w:szCs w:val="22"/>
          <w:rtl w:val="0"/>
        </w:rPr>
        <w:t xml:space="preserve">9</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DA PARTICIPAÇÃO</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Poderão participar deste certame os interessados que estiverem previamente credenciados no Sistema de Cadastramento Unificado de Fornecedores(SICAF) disponível no Portal Nacional de Contratações Públicas(PNCP) e no Sistema de Compras do Governo Federal (</w:t>
      </w:r>
      <w:hyperlink r:id="rId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www.gov.br/compras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meio de Certificado Digital conferido pela Infraestrutura de Chaves Públicas Brasileira- ICP- Brasil.</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A participação implica a aceitação integral dos termos deste edital.</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Será concedido tratamento favorecido para as microempresas e empresas de pequeno porte, para as sociedades cooperativas mencionadas no art.</w:t>
      </w:r>
      <w:hyperlink r:id="rId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 da Lei nº 14.133/2021, para o agricultor familiar, o produtor rural pessoa física e para o microempreendedor individual - MEI, nos termos  da </w:t>
      </w:r>
      <w:hyperlink r:id="rId1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Lei Complementar nº 123/2006</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A obtenção do benefício a que se refere o item anterior fica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60"/>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os itens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02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04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08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09, 11, 13, 15, 17</w:t>
      </w:r>
      <w:r w:rsidDel="00000000" w:rsidR="00000000" w:rsidRPr="00000000">
        <w:rPr>
          <w:rFonts w:ascii="Arial" w:cs="Arial" w:eastAsia="Arial" w:hAnsi="Arial"/>
          <w:b w:val="1"/>
          <w:color w:val="000000"/>
          <w:sz w:val="22"/>
          <w:szCs w:val="22"/>
          <w:rtl w:val="0"/>
        </w:rPr>
        <w:t xml:space="preserve">, 19, 21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color w:val="000000"/>
          <w:sz w:val="22"/>
          <w:szCs w:val="22"/>
          <w:rtl w:val="0"/>
        </w:rPr>
        <w:t xml:space="preserve">23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participação é exclusiva a microempresas e empresas de pequeno porte, nos termos do </w:t>
      </w:r>
      <w:hyperlink r:id="rId1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art. 48, </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inciso I e III</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t>
      </w:r>
      <w:hyperlink r:id="rId1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 Lei Complementar nº 123/2006</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conforme tabela constante do item 2 do Anexo I – Termo de Referência.</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Para cumprimento do disposto no artigo 48, inciso III, da Lei Complementar no 123, de 14 de dezembro de 2006, será adotado o percentual de até 25% (vinte e cinco por cento) referente à cota para participação exclusiva de microempresas, empresas de pequeno porte e àqueles que se enquadram nas condições da Lei Complementar nº 123/2006.</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Na hipótese de uma mesma empresa vencer a cota para participação exclusiva e a cota principal, independentemente da marca ofertada, a contratação das cotas ocorrerá pelo menor preço. A recusa da empresa em fornecer as cotas pelo menor preço unitário no sistema, implicará sua desclassificação em ambas as cotas, sem prejuízo de aplicação de multa prevista neste edital, conforme art. 46 § 3º do Decreto 35.357/2023.</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Não havendo vencedora para a cota para participação exclusiva, esta poderá ser adjudicada à vencedora da cota principal, ou diante de sua recusa, os licitantes remanescentes, desde que pratiquem preço do primeiro colocado.</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99"/>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color w:val="000000"/>
          <w:sz w:val="22"/>
          <w:szCs w:val="22"/>
          <w:rtl w:val="0"/>
        </w:rPr>
        <w:t xml:space="preserve">9</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color w:val="000000"/>
          <w:sz w:val="22"/>
          <w:szCs w:val="22"/>
          <w:rtl w:val="0"/>
        </w:rPr>
        <w:t xml:space="preserve">6</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Não poderão disputar esta licitação:</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99"/>
        </w:tabs>
        <w:spacing w:after="57" w:before="57" w:line="240" w:lineRule="auto"/>
        <w:ind w:left="-141" w:right="13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A</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quele que não atenda às condições deste edital e seus anexos;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15"/>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Empresa em estado de insolvência civil, sob processo de falência, dissolução, fusão, cisão, incorporação e liquidação.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P</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essoa física ou jurídica que se encontre, ao tempo da licitação, impossibilitada de participar da licitação em decorrência de sanção que lhe foi imposta, observado o § 1º do art. 14 da Lei nº 14.133/2021;</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Empresa estrangeira não autorizada a comercializar no país;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.6. Empresa ou sociedade cooperativa cujo estatuto ou contrato social não inclua em seu objetivo social atividade compatível com o objeto do certame, e ainda, que não atendam o art. 16 da Lei nº 14.133/2021;</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.7. Organizações da Sociedade Civil de Interesse Público - OSCIP, atuando nessa condição;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.8. 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color w:val="000000"/>
          <w:sz w:val="22"/>
          <w:szCs w:val="22"/>
          <w:rtl w:val="0"/>
        </w:rPr>
        <w:t xml:space="preserve">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w:t>
      </w:r>
      <w:r w:rsidDel="00000000" w:rsidR="00000000" w:rsidRPr="00000000">
        <w:rPr>
          <w:rFonts w:ascii="Arial" w:cs="Arial" w:eastAsia="Arial" w:hAnsi="Arial"/>
          <w:color w:val="000000"/>
          <w:sz w:val="22"/>
          <w:szCs w:val="22"/>
          <w:highlight w:val="white"/>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w:t>
      </w:r>
      <w:r w:rsidDel="00000000" w:rsidR="00000000" w:rsidRPr="00000000">
        <w:rPr>
          <w:rFonts w:ascii="Arial" w:cs="Arial" w:eastAsia="Arial" w:hAnsi="Arial"/>
          <w:color w:val="000000"/>
          <w:sz w:val="22"/>
          <w:szCs w:val="22"/>
          <w:rtl w:val="0"/>
        </w:rPr>
        <w:t xml:space="preserve">ou instrumento equivalente</w:t>
      </w:r>
      <w:r w:rsidDel="00000000" w:rsidR="00000000" w:rsidRPr="00000000">
        <w:rPr>
          <w:rFonts w:ascii="Arial" w:cs="Arial" w:eastAsia="Arial" w:hAnsi="Arial"/>
          <w:color w:val="000000"/>
          <w:sz w:val="22"/>
          <w:szCs w:val="22"/>
          <w:highlight w:val="white"/>
          <w:rtl w:val="0"/>
        </w:rPr>
        <w:t xml:space="preserve">,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.10.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Fonts w:ascii="Arial" w:cs="Arial" w:eastAsia="Arial" w:hAnsi="Arial"/>
          <w:color w:val="000000"/>
          <w:sz w:val="22"/>
          <w:szCs w:val="22"/>
          <w:highlight w:val="white"/>
          <w:rtl w:val="0"/>
        </w:rPr>
        <w:t xml:space="preserve">11</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Pessoa física ou jurídica que integre o rol de pessoas sancionadas nas hipóteses do §5º do art.14 da Lei nº 14.133/2021, ou que seja declarada inidônea nos termos da referida Lei.</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9.6.12. A participação de consórcio, qualquer que seja sua constituição.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color w:val="000000"/>
          <w:sz w:val="22"/>
          <w:szCs w:val="22"/>
          <w:rtl w:val="0"/>
        </w:rPr>
        <w:t xml:space="preserve">10</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DA IMPUGNAÇÃO AO EDITAL E DO PEDIDO DE ESCLARECIMENTO</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Qualquer pessoa é parte legítima para impugnar este edital por irregularidade na aplicação da </w:t>
      </w:r>
      <w:hyperlink r:id="rId13">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Lei nº 14.133/2021</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ou para solicitar esclarecimento sobre seus termos, devendo encaminhar o pedido até 3 (três) dias úteis antes da data da abertura do certame, no endereço eletrônico citado no item </w:t>
      </w: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.3 abaixo.</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.2.1. As decisões do pregoeiro, se darão com embasamento nos pareceres e laudos emitidos pelas áreas técnicas e jurídicas do órgão e entidad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promotora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da licitação nos termos dos §§ 1º, 2º e 3º do artigo 24 do Decreto nº 35.067/2022.</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.2.2. Na impossibilidade de resposta à impugnação no prazo citado no item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 o pregoeiro poderá adiar a abertura da sessão pública, mediante aviso no sistema utilizado na realização do certame.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.3.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impugnação e o pedido de esclarecimento deverão ser realizados exclusivamente por meio eletrônico, no endereço licitacao@pge.ce.gov.br, até às 23h59min, com a informação do nº do pregão, o órgão ou entidade promotora da licitação e pregoeiro responsável.</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As impugnações apresentadas deverão ser subscritas por representante legal mediante comprovação, sob pena do seu não conhecimento.</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.4.1. A concessão de efeito suspensivo à impugnação é medida excepcional e deverá ser motivada pelo pregoeiro, nos autos do processo de licitação.</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10</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.5. Acolhida a impugnação, será definida e publicada nova data para a realização do certame, exceto quando a alteração não comprometer a formulação das propostas.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11. DA ESTIMATIVA DO VALOR DA CONTRATAÇÃO</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11.1. O custo estimado total da contratação é de </w:t>
      </w:r>
      <w:r w:rsidDel="00000000" w:rsidR="00000000" w:rsidRPr="00000000">
        <w:rPr>
          <w:rFonts w:ascii="Arial" w:cs="Arial" w:eastAsia="Arial" w:hAnsi="Arial"/>
          <w:color w:val="000000"/>
          <w:sz w:val="22"/>
          <w:szCs w:val="22"/>
          <w:rtl w:val="0"/>
        </w:rPr>
        <w:t xml:space="preserve">R$ 4.360.651,68 (</w:t>
      </w:r>
      <w:r w:rsidDel="00000000" w:rsidR="00000000" w:rsidRPr="00000000">
        <w:rPr>
          <w:rFonts w:ascii="Arial" w:cs="Arial" w:eastAsia="Arial" w:hAnsi="Arial"/>
          <w:color w:val="000000"/>
          <w:sz w:val="22"/>
          <w:szCs w:val="22"/>
          <w:highlight w:val="white"/>
          <w:rtl w:val="0"/>
        </w:rPr>
        <w:t xml:space="preserve">Quatro milhões, trezentos e sessenta mil, seiscentos e cinquenta e um e sessenta e oito centavos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color w:val="000000"/>
          <w:sz w:val="22"/>
          <w:szCs w:val="22"/>
          <w:highlight w:val="white"/>
          <w:rtl w:val="0"/>
        </w:rPr>
        <w:t xml:space="preserve">conforme os custos unitários apostos na tabela constante do item 2 do Anexo I – Termo de Referência.</w:t>
      </w:r>
    </w:p>
    <w:p w:rsidR="00000000" w:rsidDel="00000000" w:rsidP="00000000" w:rsidRDefault="00000000" w:rsidRPr="00000000" w14:paraId="00000046">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b w:val="1"/>
          <w:color w:val="000000"/>
          <w:sz w:val="22"/>
          <w:szCs w:val="22"/>
          <w:rtl w:val="0"/>
        </w:rPr>
        <w:t xml:space="preserve">12. DA APRESENTAÇÃO DA PROPOSTA ELETRÔNICA E DOS DOCUMENTOS DE HABILITAÇÃO</w:t>
      </w:r>
      <w:r w:rsidDel="00000000" w:rsidR="00000000" w:rsidRPr="00000000">
        <w:rPr>
          <w:rtl w:val="0"/>
        </w:rPr>
      </w:r>
    </w:p>
    <w:p w:rsidR="00000000" w:rsidDel="00000000" w:rsidP="00000000" w:rsidRDefault="00000000" w:rsidRPr="00000000" w14:paraId="00000047">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12.1. Na presente licitação, a fase de habilitação sucederá as fases de apresentação de propostas e lances e de julgamento.</w:t>
      </w:r>
      <w:r w:rsidDel="00000000" w:rsidR="00000000" w:rsidRPr="00000000">
        <w:rPr>
          <w:rtl w:val="0"/>
        </w:rPr>
      </w:r>
    </w:p>
    <w:p w:rsidR="00000000" w:rsidDel="00000000" w:rsidP="00000000" w:rsidRDefault="00000000" w:rsidRPr="00000000" w14:paraId="00000048">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12.1.1. Os licitantes encaminharão, exclusivamente por meio do sistema eletrônico,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49">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12.2. Após o julgamento da proposta, o licitante vencedor deverá enviar no prazo de 24 (vinte e quatro) horas contado da convocação do pregoeiro, os documentos de habilitação.</w:t>
      </w:r>
      <w:r w:rsidDel="00000000" w:rsidR="00000000" w:rsidRPr="00000000">
        <w:rPr>
          <w:rtl w:val="0"/>
        </w:rPr>
      </w:r>
    </w:p>
    <w:p w:rsidR="00000000" w:rsidDel="00000000" w:rsidP="00000000" w:rsidRDefault="00000000" w:rsidRPr="00000000" w14:paraId="0000004A">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12.3.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r w:rsidDel="00000000" w:rsidR="00000000" w:rsidRPr="00000000">
        <w:rPr>
          <w:rtl w:val="0"/>
        </w:rPr>
      </w:r>
    </w:p>
    <w:p w:rsidR="00000000" w:rsidDel="00000000" w:rsidP="00000000" w:rsidRDefault="00000000" w:rsidRPr="00000000" w14:paraId="0000004B">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12</w:t>
      </w:r>
      <w:r w:rsidDel="00000000" w:rsidR="00000000" w:rsidRPr="00000000">
        <w:rPr>
          <w:rFonts w:ascii="Arial" w:cs="Arial" w:eastAsia="Arial" w:hAnsi="Arial"/>
          <w:color w:val="000000"/>
          <w:sz w:val="22"/>
          <w:szCs w:val="22"/>
          <w:rtl w:val="0"/>
        </w:rPr>
        <w:t xml:space="preserve">.3.1.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 </w:t>
      </w:r>
      <w:r w:rsidDel="00000000" w:rsidR="00000000" w:rsidRPr="00000000">
        <w:rPr>
          <w:rtl w:val="0"/>
        </w:rPr>
      </w:r>
    </w:p>
    <w:p w:rsidR="00000000" w:rsidDel="00000000" w:rsidP="00000000" w:rsidRDefault="00000000" w:rsidRPr="00000000" w14:paraId="0000004C">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12.4.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 salvo prazo diferente estabelecido em Regulamento Interno da entidade promovente da licitação.</w:t>
      </w:r>
      <w:r w:rsidDel="00000000" w:rsidR="00000000" w:rsidRPr="00000000">
        <w:rPr>
          <w:rtl w:val="0"/>
        </w:rPr>
      </w:r>
    </w:p>
    <w:p w:rsidR="00000000" w:rsidDel="00000000" w:rsidP="00000000" w:rsidRDefault="00000000" w:rsidRPr="00000000" w14:paraId="0000004D">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12.4.1. </w:t>
      </w:r>
      <w:r w:rsidDel="00000000" w:rsidR="00000000" w:rsidRPr="00000000">
        <w:rPr>
          <w:rFonts w:ascii="Arial" w:cs="Arial" w:eastAsia="Arial" w:hAnsi="Arial"/>
          <w:color w:val="000000"/>
          <w:sz w:val="22"/>
          <w:szCs w:val="22"/>
          <w:highlight w:val="white"/>
          <w:rtl w:val="0"/>
        </w:rPr>
        <w:t xml:space="preserve">Não se caracterizam documentos novos aqueles que venham a comprovar fatos existentes à época da abertura da sessão, com respaldo no previsto no Acórdão 1211/2021-TCU-Plenário.</w:t>
      </w:r>
    </w:p>
    <w:p w:rsidR="00000000" w:rsidDel="00000000" w:rsidP="00000000" w:rsidRDefault="00000000" w:rsidRPr="00000000" w14:paraId="0000004E">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12.4.2. </w:t>
      </w:r>
      <w:r w:rsidDel="00000000" w:rsidR="00000000" w:rsidRPr="00000000">
        <w:rPr>
          <w:rFonts w:ascii="Arial" w:cs="Arial" w:eastAsia="Arial" w:hAnsi="Arial"/>
          <w:color w:val="000000"/>
          <w:sz w:val="22"/>
          <w:szCs w:val="22"/>
          <w:rtl w:val="0"/>
        </w:rPr>
        <w:t xml:space="preserve">Realizada a diligência, o não envio das informações ou documentos </w:t>
      </w:r>
      <w:r w:rsidDel="00000000" w:rsidR="00000000" w:rsidRPr="00000000">
        <w:rPr>
          <w:rFonts w:ascii="Arial" w:cs="Arial" w:eastAsia="Arial" w:hAnsi="Arial"/>
          <w:color w:val="000000"/>
          <w:sz w:val="22"/>
          <w:szCs w:val="22"/>
          <w:highlight w:val="white"/>
          <w:rtl w:val="0"/>
        </w:rPr>
        <w:t xml:space="preserve">no prazo estabelecido pelo pregoeiro, ensejará a preclusão desse direito, resultando na inabilitação e/ou desclassificação do licitante.</w:t>
      </w:r>
    </w:p>
    <w:p w:rsidR="00000000" w:rsidDel="00000000" w:rsidP="00000000" w:rsidRDefault="00000000" w:rsidRPr="00000000" w14:paraId="0000004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12.5. </w:t>
      </w:r>
      <w:r w:rsidDel="00000000" w:rsidR="00000000" w:rsidRPr="00000000">
        <w:rPr>
          <w:rFonts w:ascii="Arial" w:cs="Arial" w:eastAsia="Arial" w:hAnsi="Arial"/>
          <w:color w:val="000000"/>
          <w:sz w:val="22"/>
          <w:szCs w:val="22"/>
          <w:highlight w:val="white"/>
          <w:rtl w:val="0"/>
        </w:rPr>
        <w:t xml:space="preserve">A não apresentação de declarações formais e/ou termos de compromissos exigidos, exceto a declaração de que sua proposta compreende a integralidade dos custos para atendimento dos direitos trabalhistas conforme subitem 12.6.1, não implicarão na desclassificação ou inabilitação imediata do licitante. Compete a Administração mediante diligência, conceder o mesmo prazo estabelecido no subitem 12.4 para o devido saneamento, em respeito aos princípios do formalismo moderado e da razoabilidade.</w:t>
      </w:r>
      <w:r w:rsidDel="00000000" w:rsidR="00000000" w:rsidRPr="00000000">
        <w:rPr>
          <w:rtl w:val="0"/>
        </w:rPr>
      </w:r>
    </w:p>
    <w:p w:rsidR="00000000" w:rsidDel="00000000" w:rsidP="00000000" w:rsidRDefault="00000000" w:rsidRPr="00000000" w14:paraId="00000050">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12.6. 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51">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12.6.1.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52">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w:t>
      </w:r>
      <w:r w:rsidDel="00000000" w:rsidR="00000000" w:rsidRPr="00000000">
        <w:rPr>
          <w:rFonts w:ascii="Arial" w:cs="Arial" w:eastAsia="Arial" w:hAnsi="Arial"/>
          <w:color w:val="000000"/>
          <w:sz w:val="22"/>
          <w:szCs w:val="22"/>
          <w:highlight w:val="white"/>
          <w:rtl w:val="0"/>
        </w:rPr>
        <w:t xml:space="preserve">2</w:t>
      </w:r>
      <w:r w:rsidDel="00000000" w:rsidR="00000000" w:rsidRPr="00000000">
        <w:rPr>
          <w:rFonts w:ascii="Arial" w:cs="Arial" w:eastAsia="Arial" w:hAnsi="Arial"/>
          <w:color w:val="000000"/>
          <w:sz w:val="22"/>
          <w:szCs w:val="22"/>
          <w:rtl w:val="0"/>
        </w:rPr>
        <w:t xml:space="preserve">.6.2. Não emprega menor de 18 anos em trabalho noturno, perigoso ou insalubre e não emprega menor de 16 anos, salvo menor, a partir de 14 anos, na condição de aprendiz, nos termos do </w:t>
      </w:r>
      <w:hyperlink r:id="rId14">
        <w:r w:rsidDel="00000000" w:rsidR="00000000" w:rsidRPr="00000000">
          <w:rPr>
            <w:rFonts w:ascii="Arial" w:cs="Arial" w:eastAsia="Arial" w:hAnsi="Arial"/>
            <w:color w:val="000000"/>
            <w:sz w:val="22"/>
            <w:szCs w:val="22"/>
            <w:rtl w:val="0"/>
          </w:rPr>
          <w:t xml:space="preserve">artigo 7°, XXXIII, da Constituição</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53">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12.6.3. Não possui, em sua cadeia produtiva, empregados executando trabalho degradante ou forçado, observando o disposto nos </w:t>
      </w:r>
      <w:hyperlink r:id="rId15">
        <w:r w:rsidDel="00000000" w:rsidR="00000000" w:rsidRPr="00000000">
          <w:rPr>
            <w:rFonts w:ascii="Arial" w:cs="Arial" w:eastAsia="Arial" w:hAnsi="Arial"/>
            <w:color w:val="000000"/>
            <w:sz w:val="22"/>
            <w:szCs w:val="22"/>
            <w:rtl w:val="0"/>
          </w:rPr>
          <w:t xml:space="preserve">incisos III e IV do art. 1º e no inciso III do art. 5º da Constituição Federal</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54">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12.6.4. Cumpre as exigências de reserva de cargos para pessoa com deficiência e para reabilitado da previdência social ou para aprendiz, bem como as reservas de cargo previstas em lei e em outras normas específicas, conforme disposto no art. 116 da Lei nº 14.133/2021;</w:t>
      </w:r>
      <w:r w:rsidDel="00000000" w:rsidR="00000000" w:rsidRPr="00000000">
        <w:rPr>
          <w:rtl w:val="0"/>
        </w:rPr>
      </w:r>
    </w:p>
    <w:p w:rsidR="00000000" w:rsidDel="00000000" w:rsidP="00000000" w:rsidRDefault="00000000" w:rsidRPr="00000000" w14:paraId="00000055">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12.6.5. O licitante enquadrado como microempresa, empresa de pequeno porte ou a sociedade cooperativa que cumpra os requisitos estabelecidos no </w:t>
      </w:r>
      <w:hyperlink r:id="rId16">
        <w:r w:rsidDel="00000000" w:rsidR="00000000" w:rsidRPr="00000000">
          <w:rPr>
            <w:rFonts w:ascii="Arial" w:cs="Arial" w:eastAsia="Arial" w:hAnsi="Arial"/>
            <w:color w:val="000000"/>
            <w:sz w:val="22"/>
            <w:szCs w:val="22"/>
            <w:rtl w:val="0"/>
          </w:rPr>
          <w:t xml:space="preserve">artigo 16 da Lei nº 14.133/2021</w:t>
        </w:r>
      </w:hyperlink>
      <w:r w:rsidDel="00000000" w:rsidR="00000000" w:rsidRPr="00000000">
        <w:rPr>
          <w:rFonts w:ascii="Arial" w:cs="Arial" w:eastAsia="Arial" w:hAnsi="Arial"/>
          <w:color w:val="000000"/>
          <w:sz w:val="22"/>
          <w:szCs w:val="22"/>
          <w:rtl w:val="0"/>
        </w:rPr>
        <w:t xml:space="preserve">, deverá declarar, ainda, em campo próprio do sistema eletrônico, que cumpre os requisitos estabelecidos no </w:t>
      </w:r>
      <w:hyperlink r:id="rId17">
        <w:r w:rsidDel="00000000" w:rsidR="00000000" w:rsidRPr="00000000">
          <w:rPr>
            <w:rFonts w:ascii="Arial" w:cs="Arial" w:eastAsia="Arial" w:hAnsi="Arial"/>
            <w:color w:val="000000"/>
            <w:sz w:val="22"/>
            <w:szCs w:val="22"/>
            <w:rtl w:val="0"/>
          </w:rPr>
          <w:t xml:space="preserve">artigo 3° da Lei Complementar nº 123/2006</w:t>
        </w:r>
      </w:hyperlink>
      <w:r w:rsidDel="00000000" w:rsidR="00000000" w:rsidRPr="00000000">
        <w:rPr>
          <w:rFonts w:ascii="Arial" w:cs="Arial" w:eastAsia="Arial" w:hAnsi="Arial"/>
          <w:color w:val="000000"/>
          <w:sz w:val="22"/>
          <w:szCs w:val="22"/>
          <w:rtl w:val="0"/>
        </w:rPr>
        <w:t xml:space="preserve">, estando apto a usufruir do tratamento favorecido estabelecido em seus </w:t>
      </w:r>
      <w:hyperlink r:id="rId18">
        <w:r w:rsidDel="00000000" w:rsidR="00000000" w:rsidRPr="00000000">
          <w:rPr>
            <w:rFonts w:ascii="Arial" w:cs="Arial" w:eastAsia="Arial" w:hAnsi="Arial"/>
            <w:color w:val="000000"/>
            <w:sz w:val="22"/>
            <w:szCs w:val="22"/>
            <w:rtl w:val="0"/>
          </w:rPr>
          <w:t xml:space="preserve">arts. 42 a 49</w:t>
        </w:r>
      </w:hyperlink>
      <w:r w:rsidDel="00000000" w:rsidR="00000000" w:rsidRPr="00000000">
        <w:rPr>
          <w:rFonts w:ascii="Arial" w:cs="Arial" w:eastAsia="Arial" w:hAnsi="Arial"/>
          <w:color w:val="000000"/>
          <w:sz w:val="22"/>
          <w:szCs w:val="22"/>
          <w:rtl w:val="0"/>
        </w:rPr>
        <w:t xml:space="preserve">, observado o disposto nos </w:t>
      </w:r>
      <w:hyperlink r:id="rId19">
        <w:r w:rsidDel="00000000" w:rsidR="00000000" w:rsidRPr="00000000">
          <w:rPr>
            <w:rFonts w:ascii="Arial" w:cs="Arial" w:eastAsia="Arial" w:hAnsi="Arial"/>
            <w:color w:val="000000"/>
            <w:sz w:val="22"/>
            <w:szCs w:val="22"/>
            <w:rtl w:val="0"/>
          </w:rPr>
          <w:t xml:space="preserve">§§ 1º ao 3º do art. 4º, da Lei n.º 14.133/2021</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56">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12.6.5.1. No item exclusivo para participação de microempresas e empresas de pequeno porte, a assinalação do campo </w:t>
      </w:r>
      <w:r w:rsidDel="00000000" w:rsidR="00000000" w:rsidRPr="00000000">
        <w:rPr>
          <w:rFonts w:ascii="Arial" w:cs="Arial" w:eastAsia="Arial" w:hAnsi="Arial"/>
          <w:i w:val="1"/>
          <w:color w:val="000000"/>
          <w:sz w:val="22"/>
          <w:szCs w:val="22"/>
          <w:rtl w:val="0"/>
        </w:rPr>
        <w:t xml:space="preserve">“não”</w:t>
      </w:r>
      <w:r w:rsidDel="00000000" w:rsidR="00000000" w:rsidRPr="00000000">
        <w:rPr>
          <w:rFonts w:ascii="Arial" w:cs="Arial" w:eastAsia="Arial" w:hAnsi="Arial"/>
          <w:color w:val="000000"/>
          <w:sz w:val="22"/>
          <w:szCs w:val="22"/>
          <w:rtl w:val="0"/>
        </w:rPr>
        <w:t xml:space="preserve"> impedirá o prosseguimento no certame, para aquele item;</w:t>
      </w:r>
      <w:r w:rsidDel="00000000" w:rsidR="00000000" w:rsidRPr="00000000">
        <w:rPr>
          <w:rtl w:val="0"/>
        </w:rPr>
      </w:r>
    </w:p>
    <w:p w:rsidR="00000000" w:rsidDel="00000000" w:rsidP="00000000" w:rsidRDefault="00000000" w:rsidRPr="00000000" w14:paraId="00000057">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12.6.5.2. Nos itens em que a participação não for exclusiva para microempresas e empresas de pequeno porte, a assinalação do campo </w:t>
      </w:r>
      <w:r w:rsidDel="00000000" w:rsidR="00000000" w:rsidRPr="00000000">
        <w:rPr>
          <w:rFonts w:ascii="Arial" w:cs="Arial" w:eastAsia="Arial" w:hAnsi="Arial"/>
          <w:i w:val="1"/>
          <w:color w:val="000000"/>
          <w:sz w:val="22"/>
          <w:szCs w:val="22"/>
          <w:rtl w:val="0"/>
        </w:rPr>
        <w:t xml:space="preserve">“não”</w:t>
      </w:r>
      <w:r w:rsidDel="00000000" w:rsidR="00000000" w:rsidRPr="00000000">
        <w:rPr>
          <w:rFonts w:ascii="Arial" w:cs="Arial" w:eastAsia="Arial" w:hAnsi="Arial"/>
          <w:color w:val="000000"/>
          <w:sz w:val="22"/>
          <w:szCs w:val="22"/>
          <w:rtl w:val="0"/>
        </w:rPr>
        <w:t xml:space="preserve"> apenas produzirá o efeito de o licitante não ter direito ao tratamento favorecido previsto na </w:t>
      </w:r>
      <w:hyperlink r:id="rId20">
        <w:r w:rsidDel="00000000" w:rsidR="00000000" w:rsidRPr="00000000">
          <w:rPr>
            <w:rFonts w:ascii="Arial" w:cs="Arial" w:eastAsia="Arial" w:hAnsi="Arial"/>
            <w:color w:val="000000"/>
            <w:sz w:val="22"/>
            <w:szCs w:val="22"/>
            <w:rtl w:val="0"/>
          </w:rPr>
          <w:t xml:space="preserve">Lei Complementar nº 123/2006</w:t>
        </w:r>
      </w:hyperlink>
      <w:r w:rsidDel="00000000" w:rsidR="00000000" w:rsidRPr="00000000">
        <w:rPr>
          <w:rFonts w:ascii="Arial" w:cs="Arial" w:eastAsia="Arial" w:hAnsi="Arial"/>
          <w:color w:val="000000"/>
          <w:sz w:val="22"/>
          <w:szCs w:val="22"/>
          <w:rtl w:val="0"/>
        </w:rPr>
        <w:t xml:space="preserve">, mesmo que seja microempresa, empresa de pequeno porte ou sociedade cooperativa.</w:t>
      </w:r>
      <w:r w:rsidDel="00000000" w:rsidR="00000000" w:rsidRPr="00000000">
        <w:rPr>
          <w:rtl w:val="0"/>
        </w:rPr>
      </w:r>
    </w:p>
    <w:p w:rsidR="00000000" w:rsidDel="00000000" w:rsidP="00000000" w:rsidRDefault="00000000" w:rsidRPr="00000000" w14:paraId="00000058">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12.7. A falsidade das declarações de que tratam os subitens 11.7.1 ao 11.7.5, sujeitará o licitante às sanções previstas na </w:t>
      </w:r>
      <w:hyperlink r:id="rId21">
        <w:r w:rsidDel="00000000" w:rsidR="00000000" w:rsidRPr="00000000">
          <w:rPr>
            <w:rFonts w:ascii="Arial" w:cs="Arial" w:eastAsia="Arial" w:hAnsi="Arial"/>
            <w:color w:val="000000"/>
            <w:sz w:val="22"/>
            <w:szCs w:val="22"/>
            <w:rtl w:val="0"/>
          </w:rPr>
          <w:t xml:space="preserve">Lei </w:t>
        </w:r>
      </w:hyperlink>
      <w:r w:rsidDel="00000000" w:rsidR="00000000" w:rsidRPr="00000000">
        <w:rPr>
          <w:rFonts w:ascii="Arial" w:cs="Arial" w:eastAsia="Arial" w:hAnsi="Arial"/>
          <w:color w:val="000000"/>
          <w:sz w:val="22"/>
          <w:szCs w:val="22"/>
          <w:rtl w:val="0"/>
        </w:rPr>
        <w:t xml:space="preserve">Federal </w:t>
      </w:r>
      <w:hyperlink r:id="rId22">
        <w:r w:rsidDel="00000000" w:rsidR="00000000" w:rsidRPr="00000000">
          <w:rPr>
            <w:rFonts w:ascii="Arial" w:cs="Arial" w:eastAsia="Arial" w:hAnsi="Arial"/>
            <w:color w:val="000000"/>
            <w:sz w:val="22"/>
            <w:szCs w:val="22"/>
            <w:rtl w:val="0"/>
          </w:rPr>
          <w:t xml:space="preserve">nº 14.133/2021</w:t>
        </w:r>
      </w:hyperlink>
      <w:r w:rsidDel="00000000" w:rsidR="00000000" w:rsidRPr="00000000">
        <w:rPr>
          <w:rFonts w:ascii="Arial" w:cs="Arial" w:eastAsia="Arial" w:hAnsi="Arial"/>
          <w:color w:val="000000"/>
          <w:sz w:val="22"/>
          <w:szCs w:val="22"/>
          <w:rtl w:val="0"/>
        </w:rPr>
        <w:t xml:space="preserve">, e neste edital.</w:t>
      </w:r>
      <w:r w:rsidDel="00000000" w:rsidR="00000000" w:rsidRPr="00000000">
        <w:rPr>
          <w:rtl w:val="0"/>
        </w:rPr>
      </w:r>
    </w:p>
    <w:p w:rsidR="00000000" w:rsidDel="00000000" w:rsidP="00000000" w:rsidRDefault="00000000" w:rsidRPr="00000000" w14:paraId="00000059">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12.8. Os licitantes poderão retirar ou substituir as propostas no sistema, até a abertura da sessão pública.</w:t>
      </w:r>
      <w:r w:rsidDel="00000000" w:rsidR="00000000" w:rsidRPr="00000000">
        <w:rPr>
          <w:rtl w:val="0"/>
        </w:rPr>
      </w:r>
    </w:p>
    <w:p w:rsidR="00000000" w:rsidDel="00000000" w:rsidP="00000000" w:rsidRDefault="00000000" w:rsidRPr="00000000" w14:paraId="0000005A">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12.9. 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5B">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rtl w:val="0"/>
        </w:rPr>
        <w:t xml:space="preserve">13. DO PREENCHIMENTO DA PROPOSTA</w:t>
      </w:r>
      <w:r w:rsidDel="00000000" w:rsidR="00000000" w:rsidRPr="00000000">
        <w:rPr>
          <w:rtl w:val="0"/>
        </w:rPr>
      </w:r>
    </w:p>
    <w:p w:rsidR="00000000" w:rsidDel="00000000" w:rsidP="00000000" w:rsidRDefault="00000000" w:rsidRPr="00000000" w14:paraId="0000005C">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13.1. </w:t>
      </w:r>
      <w:r w:rsidDel="00000000" w:rsidR="00000000" w:rsidRPr="00000000">
        <w:rPr>
          <w:rFonts w:ascii="Arial" w:cs="Arial" w:eastAsia="Arial" w:hAnsi="Arial"/>
          <w:color w:val="000000"/>
          <w:sz w:val="22"/>
          <w:szCs w:val="22"/>
          <w:rtl w:val="0"/>
        </w:rPr>
        <w:t xml:space="preserve">O licitante deverá enviar sua proposta eletrônica com o preenchimento obrigatório de todos os campos solicitados no sistema</w:t>
      </w:r>
      <w:r w:rsidDel="00000000" w:rsidR="00000000" w:rsidRPr="00000000">
        <w:rPr>
          <w:rFonts w:ascii="Arial" w:cs="Arial" w:eastAsia="Arial" w:hAnsi="Arial"/>
          <w:color w:val="000000"/>
          <w:sz w:val="22"/>
          <w:szCs w:val="22"/>
          <w:highlight w:val="white"/>
          <w:rtl w:val="0"/>
        </w:rPr>
        <w:t xml:space="preserve">, tais como: valor unitário e total; marca/fabricante; modelo/versão; descrição detalhada do objeto, contendo a especificação do Termo de Referência.</w:t>
      </w:r>
    </w:p>
    <w:p w:rsidR="00000000" w:rsidDel="00000000" w:rsidP="00000000" w:rsidRDefault="00000000" w:rsidRPr="00000000" w14:paraId="0000005D">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13.1.1. O não preenchimento correto dos campos ensejará a desclassificação do licitante.</w:t>
      </w:r>
    </w:p>
    <w:p w:rsidR="00000000" w:rsidDel="00000000" w:rsidP="00000000" w:rsidRDefault="00000000" w:rsidRPr="00000000" w14:paraId="0000005E">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13.1.2. </w:t>
      </w:r>
      <w:r w:rsidDel="00000000" w:rsidR="00000000" w:rsidRPr="00000000">
        <w:rPr>
          <w:rFonts w:ascii="Arial" w:cs="Arial" w:eastAsia="Arial" w:hAnsi="Arial"/>
          <w:color w:val="000000"/>
          <w:sz w:val="22"/>
          <w:szCs w:val="22"/>
          <w:highlight w:val="white"/>
          <w:rtl w:val="0"/>
        </w:rPr>
        <w:t xml:space="preserve">Os preços globais deverão ser expressos em reais, com até 2 (duas) casas decimais.</w:t>
      </w:r>
    </w:p>
    <w:p w:rsidR="00000000" w:rsidDel="00000000" w:rsidP="00000000" w:rsidRDefault="00000000" w:rsidRPr="00000000" w14:paraId="0000005F">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13.2. Todas as especificações do objeto contidas na proposta vinculam o licitante.</w:t>
      </w:r>
      <w:r w:rsidDel="00000000" w:rsidR="00000000" w:rsidRPr="00000000">
        <w:rPr>
          <w:rtl w:val="0"/>
        </w:rPr>
      </w:r>
    </w:p>
    <w:p w:rsidR="00000000" w:rsidDel="00000000" w:rsidP="00000000" w:rsidRDefault="00000000" w:rsidRPr="00000000" w14:paraId="00000060">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13.3. 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61">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13.4. Os preços ofertados, tanto na proposta eletrônica,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62">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13.5. Se o regime tributário da empresa implicar o recolhimento de tributos em percentuais variáveis, a cotação adequada será a que corresponde à média dos efetivos recolhimentos da empresa nos últimos doze meses.</w:t>
      </w:r>
      <w:r w:rsidDel="00000000" w:rsidR="00000000" w:rsidRPr="00000000">
        <w:rPr>
          <w:rtl w:val="0"/>
        </w:rPr>
      </w:r>
    </w:p>
    <w:p w:rsidR="00000000" w:rsidDel="00000000" w:rsidP="00000000" w:rsidRDefault="00000000" w:rsidRPr="00000000" w14:paraId="00000063">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13.6. 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64">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r w:rsidDel="00000000" w:rsidR="00000000" w:rsidRPr="00000000">
        <w:rPr>
          <w:rtl w:val="0"/>
        </w:rPr>
      </w:r>
    </w:p>
    <w:p w:rsidR="00000000" w:rsidDel="00000000" w:rsidP="00000000" w:rsidRDefault="00000000" w:rsidRPr="00000000" w14:paraId="00000065">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13.8. O prazo de validade da proposta não será inferior a 90 (noventa) dias, a contar da data de sua apresentação </w:t>
      </w:r>
      <w:r w:rsidDel="00000000" w:rsidR="00000000" w:rsidRPr="00000000">
        <w:rPr>
          <w:rFonts w:ascii="Arial" w:cs="Arial" w:eastAsia="Arial" w:hAnsi="Arial"/>
          <w:color w:val="000000"/>
          <w:sz w:val="22"/>
          <w:szCs w:val="22"/>
          <w:highlight w:val="white"/>
          <w:rtl w:val="0"/>
        </w:rPr>
        <w:t xml:space="preserve">readequada</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66">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13.9. Os licitantes devem respeitar os preços máximos estabelecidos pela Administração.</w:t>
      </w:r>
    </w:p>
    <w:p w:rsidR="00000000" w:rsidDel="00000000" w:rsidP="00000000" w:rsidRDefault="00000000" w:rsidRPr="00000000" w14:paraId="00000067">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w:t>
      </w:r>
      <w:r w:rsidDel="00000000" w:rsidR="00000000" w:rsidRPr="00000000">
        <w:rPr>
          <w:rFonts w:ascii="Arial" w:cs="Arial" w:eastAsia="Arial" w:hAnsi="Arial"/>
          <w:color w:val="000000"/>
          <w:sz w:val="22"/>
          <w:szCs w:val="22"/>
          <w:highlight w:val="white"/>
          <w:rtl w:val="0"/>
        </w:rPr>
        <w:t xml:space="preserve">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 ou instrumento equivalente.</w:t>
      </w:r>
    </w:p>
    <w:p w:rsidR="00000000" w:rsidDel="00000000" w:rsidP="00000000" w:rsidRDefault="00000000" w:rsidRPr="00000000" w14:paraId="00000068">
      <w:pPr>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14. DA ABERTURA DA SESSÃO, CLASSIFICAÇÃO DAS PROPOSTAS E FORMULAÇÃO DE LANCES</w:t>
      </w:r>
    </w:p>
    <w:p w:rsidR="00000000" w:rsidDel="00000000" w:rsidP="00000000" w:rsidRDefault="00000000" w:rsidRPr="00000000" w14:paraId="00000069">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14.1. A abertura da presente licitação dar-se-á automaticamente em sessão pública, por meio de sistema eletrônico, na data, horário e local indicados neste edital, vedada a identificação do licitante, sob pena de desclassificação.</w:t>
      </w:r>
      <w:r w:rsidDel="00000000" w:rsidR="00000000" w:rsidRPr="00000000">
        <w:rPr>
          <w:rtl w:val="0"/>
        </w:rPr>
      </w:r>
    </w:p>
    <w:p w:rsidR="00000000" w:rsidDel="00000000" w:rsidP="00000000" w:rsidRDefault="00000000" w:rsidRPr="00000000" w14:paraId="0000006A">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14.1.1. A desclassificação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6B">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14.1.2. A não desclassificação da proposta não impede o seu julgamento definitivo em sentido contrário, levado a efeito na fase de aceitação.</w:t>
      </w:r>
    </w:p>
    <w:p w:rsidR="00000000" w:rsidDel="00000000" w:rsidP="00000000" w:rsidRDefault="00000000" w:rsidRPr="00000000" w14:paraId="0000006C">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14.2. O sistema ordenará automaticamente as propostas classificadas, sendo que somente estas participarão da fase de lances.</w:t>
      </w:r>
      <w:r w:rsidDel="00000000" w:rsidR="00000000" w:rsidRPr="00000000">
        <w:rPr>
          <w:rtl w:val="0"/>
        </w:rPr>
      </w:r>
    </w:p>
    <w:p w:rsidR="00000000" w:rsidDel="00000000" w:rsidP="00000000" w:rsidRDefault="00000000" w:rsidRPr="00000000" w14:paraId="0000006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14.3. O sistema disponibilizará campo próprio para troca de mensagens entre o pregoeiro e os licitantes.</w:t>
      </w:r>
    </w:p>
    <w:p w:rsidR="00000000" w:rsidDel="00000000" w:rsidP="00000000" w:rsidRDefault="00000000" w:rsidRPr="00000000" w14:paraId="0000006E">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14.4. Iniciada a etapa competitiva, os licitantes deverão encaminhar os lances exclusivamente por meio de sistema eletrônico, sendo imediatamente informados do seu recebimento e do valor consignado no registro.</w:t>
      </w:r>
      <w:r w:rsidDel="00000000" w:rsidR="00000000" w:rsidRPr="00000000">
        <w:rPr>
          <w:rtl w:val="0"/>
        </w:rPr>
      </w:r>
    </w:p>
    <w:p w:rsidR="00000000" w:rsidDel="00000000" w:rsidP="00000000" w:rsidRDefault="00000000" w:rsidRPr="00000000" w14:paraId="0000006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14.5. O lance deverá ser ofertado pelo valor unitário.</w:t>
      </w:r>
      <w:r w:rsidDel="00000000" w:rsidR="00000000" w:rsidRPr="00000000">
        <w:rPr>
          <w:rtl w:val="0"/>
        </w:rPr>
      </w:r>
    </w:p>
    <w:p w:rsidR="00000000" w:rsidDel="00000000" w:rsidP="00000000" w:rsidRDefault="00000000" w:rsidRPr="00000000" w14:paraId="0000007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14.6. Os licitantes poderão oferecer lances sucessivos, observando o horário fixado para abertura da sessão e as regras estabelecidas neste edital.</w:t>
      </w:r>
      <w:r w:rsidDel="00000000" w:rsidR="00000000" w:rsidRPr="00000000">
        <w:rPr>
          <w:rtl w:val="0"/>
        </w:rPr>
      </w:r>
    </w:p>
    <w:p w:rsidR="00000000" w:rsidDel="00000000" w:rsidP="00000000" w:rsidRDefault="00000000" w:rsidRPr="00000000" w14:paraId="00000071">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14.7. O licitante poderá, uma única vez, excluir seu último lance ofertado, no intervalo de quinze segundos após o registro no sistema, na hipótese de lance inconsistente ou inexequível.</w:t>
      </w:r>
    </w:p>
    <w:p w:rsidR="00000000" w:rsidDel="00000000" w:rsidP="00000000" w:rsidRDefault="00000000" w:rsidRPr="00000000" w14:paraId="00000072">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14.8. Os licitantes somente poderão oferecer lances de </w:t>
      </w:r>
      <w:r w:rsidDel="00000000" w:rsidR="00000000" w:rsidRPr="00000000">
        <w:rPr>
          <w:rFonts w:ascii="Arial" w:cs="Arial" w:eastAsia="Arial" w:hAnsi="Arial"/>
          <w:color w:val="000000"/>
          <w:sz w:val="22"/>
          <w:szCs w:val="22"/>
          <w:rtl w:val="0"/>
        </w:rPr>
        <w:t xml:space="preserve">valor unitário inferior ao</w:t>
      </w:r>
      <w:r w:rsidDel="00000000" w:rsidR="00000000" w:rsidRPr="00000000">
        <w:rPr>
          <w:rFonts w:ascii="Arial" w:cs="Arial" w:eastAsia="Arial" w:hAnsi="Arial"/>
          <w:color w:val="000000"/>
          <w:sz w:val="22"/>
          <w:szCs w:val="22"/>
          <w:highlight w:val="white"/>
          <w:rtl w:val="0"/>
        </w:rPr>
        <w:t xml:space="preserve"> último por eles ofertados e registrados pelo sistema.</w:t>
      </w:r>
    </w:p>
    <w:p w:rsidR="00000000" w:rsidDel="00000000" w:rsidP="00000000" w:rsidRDefault="00000000" w:rsidRPr="00000000" w14:paraId="00000073">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14.9. O intervalo mínimo de diferença de valores entre os lances, que incidirá tanto em relação aos lances intermediários quanto em relação à proposta que cobrir a melhor oferta, deverá ser de 0,01% (um centésimo por cento)</w:t>
      </w:r>
      <w:r w:rsidDel="00000000" w:rsidR="00000000" w:rsidRPr="00000000">
        <w:rPr>
          <w:rFonts w:ascii="Arial" w:cs="Arial" w:eastAsia="Arial" w:hAnsi="Arial"/>
          <w:i w:val="1"/>
          <w:color w:val="000000"/>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utilizando como referência o valor unitário do item.</w:t>
      </w:r>
    </w:p>
    <w:p w:rsidR="00000000" w:rsidDel="00000000" w:rsidP="00000000" w:rsidRDefault="00000000" w:rsidRPr="00000000" w14:paraId="00000074">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14.10. </w:t>
      </w:r>
      <w:r w:rsidDel="00000000" w:rsidR="00000000" w:rsidRPr="00000000">
        <w:rPr>
          <w:rFonts w:ascii="Arial" w:cs="Arial" w:eastAsia="Arial" w:hAnsi="Arial"/>
          <w:color w:val="000000"/>
          <w:sz w:val="22"/>
          <w:szCs w:val="22"/>
          <w:rtl w:val="0"/>
        </w:rPr>
        <w:t xml:space="preserve">Desde que disponibilizada a funcionalidade no sistema, o licitante poderá parametrizar o seu valor final mínimo quando do cadastramento da proposta e obedecerá às seguintes regras:</w:t>
      </w:r>
    </w:p>
    <w:p w:rsidR="00000000" w:rsidDel="00000000" w:rsidP="00000000" w:rsidRDefault="00000000" w:rsidRPr="00000000" w14:paraId="00000075">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14.10.1. A aplicação do intervalo mínimo de diferença de valores entre os lances, que incidirá tanto em relação aos lances intermediários quanto em relação ao lance que cobrir a melhor oferta; </w:t>
      </w:r>
      <w:r w:rsidDel="00000000" w:rsidR="00000000" w:rsidRPr="00000000">
        <w:rPr>
          <w:rtl w:val="0"/>
        </w:rPr>
      </w:r>
    </w:p>
    <w:p w:rsidR="00000000" w:rsidDel="00000000" w:rsidP="00000000" w:rsidRDefault="00000000" w:rsidRPr="00000000" w14:paraId="00000076">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14.10.2. Os lances serão de envio automático pelo sistema, respeitado o </w:t>
      </w:r>
      <w:r w:rsidDel="00000000" w:rsidR="00000000" w:rsidRPr="00000000">
        <w:rPr>
          <w:rFonts w:ascii="Arial" w:cs="Arial" w:eastAsia="Arial" w:hAnsi="Arial"/>
          <w:color w:val="000000"/>
          <w:sz w:val="22"/>
          <w:szCs w:val="22"/>
          <w:rtl w:val="0"/>
        </w:rPr>
        <w:t xml:space="preserve">valor final mínimo </w:t>
      </w:r>
      <w:r w:rsidDel="00000000" w:rsidR="00000000" w:rsidRPr="00000000">
        <w:rPr>
          <w:rFonts w:ascii="Arial" w:cs="Arial" w:eastAsia="Arial" w:hAnsi="Arial"/>
          <w:color w:val="000000"/>
          <w:sz w:val="22"/>
          <w:szCs w:val="22"/>
          <w:highlight w:val="white"/>
          <w:rtl w:val="0"/>
        </w:rPr>
        <w:t xml:space="preserve">estabelecido e o intervalo de que trata o item acima.</w:t>
      </w:r>
    </w:p>
    <w:p w:rsidR="00000000" w:rsidDel="00000000" w:rsidP="00000000" w:rsidRDefault="00000000" w:rsidRPr="00000000" w14:paraId="00000077">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14.11. </w:t>
      </w:r>
      <w:r w:rsidDel="00000000" w:rsidR="00000000" w:rsidRPr="00000000">
        <w:rPr>
          <w:rFonts w:ascii="Arial" w:cs="Arial" w:eastAsia="Arial" w:hAnsi="Arial"/>
          <w:color w:val="000000"/>
          <w:sz w:val="22"/>
          <w:szCs w:val="22"/>
          <w:rtl w:val="0"/>
        </w:rPr>
        <w:t xml:space="preserve">O valor final mínimo parametrizado no sistema poderá ser alterado pelo licitante durante a fase de disputa, sendo vedado valor superior a lance já registrado por ele mesmo no sistema.</w:t>
      </w:r>
      <w:r w:rsidDel="00000000" w:rsidR="00000000" w:rsidRPr="00000000">
        <w:rPr>
          <w:rtl w:val="0"/>
        </w:rPr>
      </w:r>
    </w:p>
    <w:p w:rsidR="00000000" w:rsidDel="00000000" w:rsidP="00000000" w:rsidRDefault="00000000" w:rsidRPr="00000000" w14:paraId="00000078">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14.12. O valor final mínimo parametrizado na forma do item 14.10. possuirá caráter sigiloso para os demais licitantes e para o pregoeiro, podendo ser disponibilizado estrita e permanentemente aos órgãos de controle externo e interno.</w:t>
      </w:r>
    </w:p>
    <w:p w:rsidR="00000000" w:rsidDel="00000000" w:rsidP="00000000" w:rsidRDefault="00000000" w:rsidRPr="00000000" w14:paraId="0000007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highlight w:val="white"/>
          <w:rtl w:val="0"/>
        </w:rPr>
        <w:t xml:space="preserve">Modo de disputa</w:t>
      </w:r>
      <w:r w:rsidDel="00000000" w:rsidR="00000000" w:rsidRPr="00000000">
        <w:rPr>
          <w:rtl w:val="0"/>
        </w:rPr>
      </w:r>
    </w:p>
    <w:p w:rsidR="00000000" w:rsidDel="00000000" w:rsidP="00000000" w:rsidRDefault="00000000" w:rsidRPr="00000000" w14:paraId="0000007A">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14.13. Será adotado o modo de disputa “</w:t>
      </w:r>
      <w:r w:rsidDel="00000000" w:rsidR="00000000" w:rsidRPr="00000000">
        <w:rPr>
          <w:rFonts w:ascii="Arial" w:cs="Arial" w:eastAsia="Arial" w:hAnsi="Arial"/>
          <w:b w:val="1"/>
          <w:color w:val="000000"/>
          <w:sz w:val="22"/>
          <w:szCs w:val="22"/>
          <w:highlight w:val="white"/>
          <w:rtl w:val="0"/>
        </w:rPr>
        <w:t xml:space="preserve">aberto e fechado</w:t>
      </w:r>
      <w:r w:rsidDel="00000000" w:rsidR="00000000" w:rsidRPr="00000000">
        <w:rPr>
          <w:rFonts w:ascii="Arial" w:cs="Arial" w:eastAsia="Arial" w:hAnsi="Arial"/>
          <w:color w:val="000000"/>
          <w:sz w:val="22"/>
          <w:szCs w:val="22"/>
          <w:highlight w:val="white"/>
          <w:rtl w:val="0"/>
        </w:rPr>
        <w:t xml:space="preserve">” os licitantes apresentarão lances públicos e sucessivos, com lance final e fechado.</w:t>
      </w:r>
      <w:r w:rsidDel="00000000" w:rsidR="00000000" w:rsidRPr="00000000">
        <w:rPr>
          <w:rtl w:val="0"/>
        </w:rPr>
      </w:r>
    </w:p>
    <w:p w:rsidR="00000000" w:rsidDel="00000000" w:rsidP="00000000" w:rsidRDefault="00000000" w:rsidRPr="00000000" w14:paraId="0000007B">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Del="00000000" w:rsidR="00000000" w:rsidRPr="00000000">
        <w:rPr>
          <w:rtl w:val="0"/>
        </w:rPr>
      </w:r>
    </w:p>
    <w:p w:rsidR="00000000" w:rsidDel="00000000" w:rsidP="00000000" w:rsidRDefault="00000000" w:rsidRPr="00000000" w14:paraId="0000007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14.13.2. Encerrado o prazo previsto no item anterior, o sistema abrirá oportunidade para que o autor da melhor oferta e os das ofertas com </w:t>
      </w:r>
      <w:r w:rsidDel="00000000" w:rsidR="00000000" w:rsidRPr="00000000">
        <w:rPr>
          <w:rFonts w:ascii="Arial" w:cs="Arial" w:eastAsia="Arial" w:hAnsi="Arial"/>
          <w:color w:val="000000"/>
          <w:sz w:val="22"/>
          <w:szCs w:val="22"/>
          <w:rtl w:val="0"/>
        </w:rPr>
        <w:t xml:space="preserve">preços até 10% (dez por cento) superiores</w:t>
      </w:r>
      <w:r w:rsidDel="00000000" w:rsidR="00000000" w:rsidRPr="00000000">
        <w:rPr>
          <w:rFonts w:ascii="Arial" w:cs="Arial" w:eastAsia="Arial" w:hAnsi="Arial"/>
          <w:color w:val="000000"/>
          <w:sz w:val="22"/>
          <w:szCs w:val="22"/>
          <w:highlight w:val="white"/>
          <w:rtl w:val="0"/>
        </w:rPr>
        <w:t xml:space="preserve"> àquela, possam ofertar um lance final e fechado em até cinco minutos, o qual será sigiloso até o encerramento deste prazo.</w:t>
      </w:r>
      <w:r w:rsidDel="00000000" w:rsidR="00000000" w:rsidRPr="00000000">
        <w:rPr>
          <w:rtl w:val="0"/>
        </w:rPr>
      </w:r>
    </w:p>
    <w:p w:rsidR="00000000" w:rsidDel="00000000" w:rsidP="00000000" w:rsidRDefault="00000000" w:rsidRPr="00000000" w14:paraId="0000007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14.13.3. O licitante poderá optar por manter o seu último lance da etapa aberta, ou por ofertar melhor lance.</w:t>
      </w:r>
      <w:r w:rsidDel="00000000" w:rsidR="00000000" w:rsidRPr="00000000">
        <w:rPr>
          <w:rtl w:val="0"/>
        </w:rPr>
      </w:r>
    </w:p>
    <w:p w:rsidR="00000000" w:rsidDel="00000000" w:rsidP="00000000" w:rsidRDefault="00000000" w:rsidRPr="00000000" w14:paraId="0000007E">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item 14.13.3.</w:t>
      </w:r>
      <w:r w:rsidDel="00000000" w:rsidR="00000000" w:rsidRPr="00000000">
        <w:rPr>
          <w:rtl w:val="0"/>
        </w:rPr>
      </w:r>
    </w:p>
    <w:p w:rsidR="00000000" w:rsidDel="00000000" w:rsidP="00000000" w:rsidRDefault="00000000" w:rsidRPr="00000000" w14:paraId="0000007F">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14.13.5. Poderá o pregoeiro, auxiliado pela equipe de apoio, justificadamente, admitir o reinício da etapa fechada, caso nenhuma licitante classificada na etapa de lance fechado atender às exigências de habilitação.</w:t>
      </w:r>
    </w:p>
    <w:p w:rsidR="00000000" w:rsidDel="00000000" w:rsidP="00000000" w:rsidRDefault="00000000" w:rsidRPr="00000000" w14:paraId="00000080">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14.13.6. Após o término dos prazos estabelecidos nos itens anteriores, o sistema ordenará e divulgará os lances segundo a ordem crescente.</w:t>
      </w:r>
    </w:p>
    <w:p w:rsidR="00000000" w:rsidDel="00000000" w:rsidP="00000000" w:rsidRDefault="00000000" w:rsidRPr="00000000" w14:paraId="0000008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14.14. Não serão aceitos dois ou mais lances </w:t>
      </w:r>
      <w:r w:rsidDel="00000000" w:rsidR="00000000" w:rsidRPr="00000000">
        <w:rPr>
          <w:rFonts w:ascii="Arial" w:cs="Arial" w:eastAsia="Arial" w:hAnsi="Arial"/>
          <w:color w:val="000000"/>
          <w:sz w:val="22"/>
          <w:szCs w:val="22"/>
          <w:rtl w:val="0"/>
        </w:rPr>
        <w:t xml:space="preserve">de mesmo valor</w:t>
      </w:r>
      <w:r w:rsidDel="00000000" w:rsidR="00000000" w:rsidRPr="00000000">
        <w:rPr>
          <w:rFonts w:ascii="Arial" w:cs="Arial" w:eastAsia="Arial" w:hAnsi="Arial"/>
          <w:color w:val="000000"/>
          <w:sz w:val="22"/>
          <w:szCs w:val="22"/>
          <w:highlight w:val="white"/>
          <w:rtl w:val="0"/>
        </w:rPr>
        <w:t xml:space="preserve">, prevalecendo aquele que for recebido e registrado em primeiro lugar.</w:t>
      </w:r>
      <w:r w:rsidDel="00000000" w:rsidR="00000000" w:rsidRPr="00000000">
        <w:rPr>
          <w:rtl w:val="0"/>
        </w:rPr>
      </w:r>
    </w:p>
    <w:p w:rsidR="00000000" w:rsidDel="00000000" w:rsidP="00000000" w:rsidRDefault="00000000" w:rsidRPr="00000000" w14:paraId="0000008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14.15. Durante o transcurso da sessão pública, os licitantes serão informados, em tempo real, do </w:t>
      </w:r>
      <w:r w:rsidDel="00000000" w:rsidR="00000000" w:rsidRPr="00000000">
        <w:rPr>
          <w:rFonts w:ascii="Arial" w:cs="Arial" w:eastAsia="Arial" w:hAnsi="Arial"/>
          <w:color w:val="000000"/>
          <w:sz w:val="22"/>
          <w:szCs w:val="22"/>
          <w:rtl w:val="0"/>
        </w:rPr>
        <w:t xml:space="preserve">valor do menor lance</w:t>
      </w:r>
      <w:r w:rsidDel="00000000" w:rsidR="00000000" w:rsidRPr="00000000">
        <w:rPr>
          <w:rFonts w:ascii="Arial" w:cs="Arial" w:eastAsia="Arial" w:hAnsi="Arial"/>
          <w:color w:val="000000"/>
          <w:sz w:val="22"/>
          <w:szCs w:val="22"/>
          <w:highlight w:val="white"/>
          <w:rtl w:val="0"/>
        </w:rPr>
        <w:t xml:space="preserve"> registrado, vedada a identificação do licitante. O sistema não identificará o autor dos lances ao pregoeiro nem aos demais participantes.</w:t>
      </w:r>
      <w:r w:rsidDel="00000000" w:rsidR="00000000" w:rsidRPr="00000000">
        <w:rPr>
          <w:rtl w:val="0"/>
        </w:rPr>
      </w:r>
    </w:p>
    <w:p w:rsidR="00000000" w:rsidDel="00000000" w:rsidP="00000000" w:rsidRDefault="00000000" w:rsidRPr="00000000" w14:paraId="0000008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14.16. No caso de desconexão com o pregoeiro, no decorrer da etapa competitiva do pregão, o sistema eletrônico poderá permanecer acessível aos licitantes para a recepção dos lances, sem prejuízos dos atos realizados.</w:t>
      </w:r>
      <w:r w:rsidDel="00000000" w:rsidR="00000000" w:rsidRPr="00000000">
        <w:rPr>
          <w:rtl w:val="0"/>
        </w:rPr>
      </w:r>
    </w:p>
    <w:p w:rsidR="00000000" w:rsidDel="00000000" w:rsidP="00000000" w:rsidRDefault="00000000" w:rsidRPr="00000000" w14:paraId="00000084">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14.17. Quando a desconexão do sistema eletrônico para o pregoeiro persistir por tempo superior a dez minutos, a sessão pública será suspensa e reiniciada somente após decorridas </w:t>
      </w:r>
      <w:r w:rsidDel="00000000" w:rsidR="00000000" w:rsidRPr="00000000">
        <w:rPr>
          <w:rFonts w:ascii="Arial" w:cs="Arial" w:eastAsia="Arial" w:hAnsi="Arial"/>
          <w:color w:val="000000"/>
          <w:sz w:val="22"/>
          <w:szCs w:val="22"/>
          <w:rtl w:val="0"/>
        </w:rPr>
        <w:t xml:space="preserve">24 (vinte e quatro) horas</w:t>
      </w:r>
      <w:r w:rsidDel="00000000" w:rsidR="00000000" w:rsidRPr="00000000">
        <w:rPr>
          <w:rFonts w:ascii="Arial" w:cs="Arial" w:eastAsia="Arial" w:hAnsi="Arial"/>
          <w:color w:val="000000"/>
          <w:sz w:val="22"/>
          <w:szCs w:val="22"/>
          <w:highlight w:val="white"/>
          <w:rtl w:val="0"/>
        </w:rPr>
        <w:t xml:space="preserve"> da comunicação do fato pelo pregoeiro aos participantes, no sítio eletrônico utilizado para divulgação.</w:t>
      </w:r>
    </w:p>
    <w:p w:rsidR="00000000" w:rsidDel="00000000" w:rsidP="00000000" w:rsidRDefault="00000000" w:rsidRPr="00000000" w14:paraId="00000085">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14.18. Caso o licitante não apresente lances, concorrerá com o </w:t>
      </w:r>
      <w:r w:rsidDel="00000000" w:rsidR="00000000" w:rsidRPr="00000000">
        <w:rPr>
          <w:rFonts w:ascii="Arial" w:cs="Arial" w:eastAsia="Arial" w:hAnsi="Arial"/>
          <w:color w:val="000000"/>
          <w:sz w:val="22"/>
          <w:szCs w:val="22"/>
          <w:rtl w:val="0"/>
        </w:rPr>
        <w:t xml:space="preserve">valor</w:t>
      </w:r>
      <w:r w:rsidDel="00000000" w:rsidR="00000000" w:rsidRPr="00000000">
        <w:rPr>
          <w:rFonts w:ascii="Arial" w:cs="Arial" w:eastAsia="Arial" w:hAnsi="Arial"/>
          <w:color w:val="000000"/>
          <w:sz w:val="22"/>
          <w:szCs w:val="22"/>
          <w:highlight w:val="white"/>
          <w:rtl w:val="0"/>
        </w:rPr>
        <w:t xml:space="preserve"> de sua proposta.</w:t>
      </w:r>
    </w:p>
    <w:p w:rsidR="00000000" w:rsidDel="00000000" w:rsidP="00000000" w:rsidRDefault="00000000" w:rsidRPr="00000000" w14:paraId="00000086">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r w:rsidDel="00000000" w:rsidR="00000000" w:rsidRPr="00000000">
        <w:rPr>
          <w:rtl w:val="0"/>
        </w:rPr>
      </w:r>
    </w:p>
    <w:p w:rsidR="00000000" w:rsidDel="00000000" w:rsidP="00000000" w:rsidRDefault="00000000" w:rsidRPr="00000000" w14:paraId="00000087">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14.19.1. Nessas condições, as propostas de microempresas e empresas de pequeno porte que se encontrarem na faixa de até </w:t>
      </w:r>
      <w:r w:rsidDel="00000000" w:rsidR="00000000" w:rsidRPr="00000000">
        <w:rPr>
          <w:rFonts w:ascii="Arial" w:cs="Arial" w:eastAsia="Arial" w:hAnsi="Arial"/>
          <w:color w:val="000000"/>
          <w:sz w:val="22"/>
          <w:szCs w:val="22"/>
          <w:rtl w:val="0"/>
        </w:rPr>
        <w:t xml:space="preserve">5% (cinco por cento) acima</w:t>
      </w:r>
      <w:r w:rsidDel="00000000" w:rsidR="00000000" w:rsidRPr="00000000">
        <w:rPr>
          <w:rFonts w:ascii="Arial" w:cs="Arial" w:eastAsia="Arial" w:hAnsi="Arial"/>
          <w:color w:val="000000"/>
          <w:sz w:val="22"/>
          <w:szCs w:val="22"/>
          <w:highlight w:val="white"/>
          <w:rtl w:val="0"/>
        </w:rPr>
        <w:t xml:space="preserve"> da melhor proposta ou melhor lance serão consideradas empatadas com a primeira colocada.</w:t>
      </w:r>
      <w:r w:rsidDel="00000000" w:rsidR="00000000" w:rsidRPr="00000000">
        <w:rPr>
          <w:rtl w:val="0"/>
        </w:rPr>
      </w:r>
    </w:p>
    <w:p w:rsidR="00000000" w:rsidDel="00000000" w:rsidP="00000000" w:rsidRDefault="00000000" w:rsidRPr="00000000" w14:paraId="00000088">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14.19.2.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8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item anterior.</w:t>
      </w:r>
      <w:r w:rsidDel="00000000" w:rsidR="00000000" w:rsidRPr="00000000">
        <w:rPr>
          <w:rtl w:val="0"/>
        </w:rPr>
      </w:r>
    </w:p>
    <w:p w:rsidR="00000000" w:rsidDel="00000000" w:rsidP="00000000" w:rsidRDefault="00000000" w:rsidRPr="00000000" w14:paraId="0000008A">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14.19.4. No caso de equivalência dos valores apresentados pelas microempresas e empresas de pequeno porte que se encontrem no intervalo estabelecido no subitem anterior,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8B">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14.20. Só poderá haver empate entre propostas iguais, não seguidas de lances, ou entre lances finais da fase fechada do modo de disputa aberto e fechado.</w:t>
      </w:r>
      <w:r w:rsidDel="00000000" w:rsidR="00000000" w:rsidRPr="00000000">
        <w:rPr>
          <w:rtl w:val="0"/>
        </w:rPr>
      </w:r>
    </w:p>
    <w:p w:rsidR="00000000" w:rsidDel="00000000" w:rsidP="00000000" w:rsidRDefault="00000000" w:rsidRPr="00000000" w14:paraId="0000008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14.21. Em caso de empate entre duas ou mais propostas ou lances, serão utilizados os seguintes critérios de desempate, nesta ordem:</w:t>
      </w:r>
      <w:r w:rsidDel="00000000" w:rsidR="00000000" w:rsidRPr="00000000">
        <w:rPr>
          <w:rtl w:val="0"/>
        </w:rPr>
      </w:r>
    </w:p>
    <w:p w:rsidR="00000000" w:rsidDel="00000000" w:rsidP="00000000" w:rsidRDefault="00000000" w:rsidRPr="00000000" w14:paraId="0000008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14.21.1. Disputa final, hipótese em que os licitantes empatados poderão apresentar nova proposta ou lance em ato contínuo à classificação;</w:t>
      </w:r>
      <w:r w:rsidDel="00000000" w:rsidR="00000000" w:rsidRPr="00000000">
        <w:rPr>
          <w:rtl w:val="0"/>
        </w:rPr>
      </w:r>
    </w:p>
    <w:p w:rsidR="00000000" w:rsidDel="00000000" w:rsidP="00000000" w:rsidRDefault="00000000" w:rsidRPr="00000000" w14:paraId="0000008E">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14.21.2. Avaliação do desempenho contratual prévio dos licitantes, para a qual deverão preferencialmente ser utilizados registros cadastrais para efeito de atesto de cumprimento de obrigações previstos na Lei Federal nº 14.133/2021;</w:t>
      </w:r>
      <w:r w:rsidDel="00000000" w:rsidR="00000000" w:rsidRPr="00000000">
        <w:rPr>
          <w:rtl w:val="0"/>
        </w:rPr>
      </w:r>
    </w:p>
    <w:p w:rsidR="00000000" w:rsidDel="00000000" w:rsidP="00000000" w:rsidRDefault="00000000" w:rsidRPr="00000000" w14:paraId="0000008F">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14.21.3. Desenvolvimento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rsidR="00000000" w:rsidDel="00000000" w:rsidP="00000000" w:rsidRDefault="00000000" w:rsidRPr="00000000" w14:paraId="00000090">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14.21.4. Desenvolvimento pelo licitante de programa de integridade, conforme as diretrizes estabelecidas pela Controladoria-Geral do Estado ou, em sua ausência, pela Controladoria-Geral da União para as empresas privadas.</w:t>
      </w:r>
    </w:p>
    <w:p w:rsidR="00000000" w:rsidDel="00000000" w:rsidP="00000000" w:rsidRDefault="00000000" w:rsidRPr="00000000" w14:paraId="0000009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14.22. Em igualdade de condições, se não houver desempate, será assegurada preferência, sucessivamente, aos bens e serviços produzidos ou prestados por:</w:t>
      </w:r>
      <w:r w:rsidDel="00000000" w:rsidR="00000000" w:rsidRPr="00000000">
        <w:rPr>
          <w:rtl w:val="0"/>
        </w:rPr>
      </w:r>
    </w:p>
    <w:p w:rsidR="00000000" w:rsidDel="00000000" w:rsidP="00000000" w:rsidRDefault="00000000" w:rsidRPr="00000000" w14:paraId="0000009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14.22.1. Empresas estabelecidas no território do Estado do Ceará;</w:t>
      </w:r>
      <w:r w:rsidDel="00000000" w:rsidR="00000000" w:rsidRPr="00000000">
        <w:rPr>
          <w:rtl w:val="0"/>
        </w:rPr>
      </w:r>
    </w:p>
    <w:p w:rsidR="00000000" w:rsidDel="00000000" w:rsidP="00000000" w:rsidRDefault="00000000" w:rsidRPr="00000000" w14:paraId="0000009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14.22.2. Empresas brasileiras;</w:t>
      </w:r>
      <w:r w:rsidDel="00000000" w:rsidR="00000000" w:rsidRPr="00000000">
        <w:rPr>
          <w:rtl w:val="0"/>
        </w:rPr>
      </w:r>
    </w:p>
    <w:p w:rsidR="00000000" w:rsidDel="00000000" w:rsidP="00000000" w:rsidRDefault="00000000" w:rsidRPr="00000000" w14:paraId="00000094">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14.22.3. Empresas que invistam em pesquisa e no desenvolvimento de tecnologia no País;</w:t>
      </w:r>
      <w:r w:rsidDel="00000000" w:rsidR="00000000" w:rsidRPr="00000000">
        <w:rPr>
          <w:rtl w:val="0"/>
        </w:rPr>
      </w:r>
    </w:p>
    <w:p w:rsidR="00000000" w:rsidDel="00000000" w:rsidP="00000000" w:rsidRDefault="00000000" w:rsidRPr="00000000" w14:paraId="00000095">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14.22.4. Empresas que comprovem a prática de mitigação, nos termos da Lei nº 12.187/2009.</w:t>
      </w:r>
    </w:p>
    <w:p w:rsidR="00000000" w:rsidDel="00000000" w:rsidP="00000000" w:rsidRDefault="00000000" w:rsidRPr="00000000" w14:paraId="00000096">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14.23. Permanecendo empate após aplicação de todos os critérios de desempate de que trata a lei, proceder-se-á o sorteio das propostas empatadas, pelo sistema Compras.gov.br, conforme Acórdão TCU nº 723/2024 Plenário.</w:t>
      </w:r>
    </w:p>
    <w:p w:rsidR="00000000" w:rsidDel="00000000" w:rsidP="00000000" w:rsidRDefault="00000000" w:rsidRPr="00000000" w14:paraId="00000097">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14.23.1. Na impossibilidade do sorteio pelo sistema Compras.gov.br, serão adotadas as seguintes providências, a ser realizado em ato público:</w:t>
      </w:r>
    </w:p>
    <w:p w:rsidR="00000000" w:rsidDel="00000000" w:rsidP="00000000" w:rsidRDefault="00000000" w:rsidRPr="00000000" w14:paraId="00000098">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I - Será comunicado, por meio do sistema, a data, o horário, o sítio eletrônico onde será realizado o sorteio, bem como a plataforma de transmissão ao vivo;</w:t>
      </w:r>
    </w:p>
    <w:p w:rsidR="00000000" w:rsidDel="00000000" w:rsidP="00000000" w:rsidRDefault="00000000" w:rsidRPr="00000000" w14:paraId="00000099">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II - A data e o horário serão comunicados no prazo de 24 (vinte e quatro) horas que antecedem a realização do sorteio;</w:t>
      </w:r>
    </w:p>
    <w:p w:rsidR="00000000" w:rsidDel="00000000" w:rsidP="00000000" w:rsidRDefault="00000000" w:rsidRPr="00000000" w14:paraId="0000009A">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III - O resultado do sorteio será registrado na ata da sessão pública, divulgado a todos os licitantes e anexado aos autos do processo licitatório.</w:t>
      </w:r>
      <w:r w:rsidDel="00000000" w:rsidR="00000000" w:rsidRPr="00000000">
        <w:rPr>
          <w:rtl w:val="0"/>
        </w:rPr>
      </w:r>
    </w:p>
    <w:p w:rsidR="00000000" w:rsidDel="00000000" w:rsidP="00000000" w:rsidRDefault="00000000" w:rsidRPr="00000000" w14:paraId="0000009B">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14.24. Encerrada a etapa de envio de lances da sessão pública, o pregoeiro deverá negociar condições mais vantajosas com o primeiro colocado, vedada a negociação em condições diferentes das previstas neste edital.</w:t>
      </w:r>
    </w:p>
    <w:p w:rsidR="00000000" w:rsidDel="00000000" w:rsidP="00000000" w:rsidRDefault="00000000" w:rsidRPr="00000000" w14:paraId="0000009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.24.1. A negociação deverá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09D">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14.24.2. A negociação será realizada por meio do sistema, podendo ser acompanhada pelos demais licitantes.</w:t>
      </w:r>
      <w:r w:rsidDel="00000000" w:rsidR="00000000" w:rsidRPr="00000000">
        <w:rPr>
          <w:rtl w:val="0"/>
        </w:rPr>
      </w:r>
    </w:p>
    <w:p w:rsidR="00000000" w:rsidDel="00000000" w:rsidP="00000000" w:rsidRDefault="00000000" w:rsidRPr="00000000" w14:paraId="0000009E">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14.24.3. 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9F">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14.25. A proposta deverá conter todas as especificações do objeto em atendimento ao Anexo I – Termo de Referência.</w:t>
      </w:r>
      <w:r w:rsidDel="00000000" w:rsidR="00000000" w:rsidRPr="00000000">
        <w:rPr>
          <w:rtl w:val="0"/>
        </w:rPr>
      </w:r>
    </w:p>
    <w:p w:rsidR="00000000" w:rsidDel="00000000" w:rsidP="00000000" w:rsidRDefault="00000000" w:rsidRPr="00000000" w14:paraId="000000A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14.26. O pregoeiro solicitará ao licitante mais bem classificado para no prazo de 24 (vinte e quatro) horas, após a negociação realizada, anexar a proposta adequada ao último lance por ele ofertado, acompanhada, dos documentos  a ela pertinentes citados no subitem 14.27.1</w:t>
      </w:r>
    </w:p>
    <w:p w:rsidR="00000000" w:rsidDel="00000000" w:rsidP="00000000" w:rsidRDefault="00000000" w:rsidRPr="00000000" w14:paraId="000000A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14.27. O licitante deverá anexar no sistema junto à proposta de preços:</w:t>
      </w:r>
    </w:p>
    <w:p w:rsidR="00000000" w:rsidDel="00000000" w:rsidP="00000000" w:rsidRDefault="00000000" w:rsidRPr="00000000" w14:paraId="000000A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14.27.1. </w:t>
      </w:r>
      <w:r w:rsidDel="00000000" w:rsidR="00000000" w:rsidRPr="00000000">
        <w:rPr>
          <w:rFonts w:ascii="Arial" w:cs="Arial" w:eastAsia="Arial" w:hAnsi="Arial"/>
          <w:color w:val="000000"/>
          <w:sz w:val="22"/>
          <w:szCs w:val="22"/>
          <w:highlight w:val="white"/>
          <w:rtl w:val="0"/>
        </w:rPr>
        <w:t xml:space="preserve">Manual, catálogos figurativos ou folders do fabricante, impressos ou eletrônicos, em português, contendo informações técnicas completas dos materiais ofertados, que possibilitem avaliação e verificação em conformidade com os requisitos estabelecidos</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A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14.27.2. A não apresentação de catálogos, folder ou manual não será motivo de desclassificação, imediata, observando-se o disposto no subitem 22.8 deste edital. Compete à Secretaria de Planejamento e Gestão - SEPLAG conceder prazo razoável para o devido saneamento, em respeito aos princípios do formalismo moderado e da razoabilidade.</w:t>
      </w:r>
    </w:p>
    <w:p w:rsidR="00000000" w:rsidDel="00000000" w:rsidP="00000000" w:rsidRDefault="00000000" w:rsidRPr="00000000" w14:paraId="000000A4">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14.28. Nos termos do Decreto Estadual nº 27.624/2004, o licitante melhor classificado situado no Estado do Ceará deverá apresentar a proposta com o valor acrescido do diferencial referido no subitem</w:t>
      </w:r>
      <w:r w:rsidDel="00000000" w:rsidR="00000000" w:rsidRPr="00000000">
        <w:rPr>
          <w:rFonts w:ascii="Arial" w:cs="Arial" w:eastAsia="Arial" w:hAnsi="Arial"/>
          <w:color w:val="000000"/>
          <w:sz w:val="22"/>
          <w:szCs w:val="22"/>
          <w:highlight w:val="white"/>
          <w:rtl w:val="0"/>
        </w:rPr>
        <w:t xml:space="preserve"> 12.3, </w:t>
      </w:r>
      <w:r w:rsidDel="00000000" w:rsidR="00000000" w:rsidRPr="00000000">
        <w:rPr>
          <w:rFonts w:ascii="Arial" w:cs="Arial" w:eastAsia="Arial" w:hAnsi="Arial"/>
          <w:color w:val="000000"/>
          <w:sz w:val="22"/>
          <w:szCs w:val="22"/>
          <w:rtl w:val="0"/>
        </w:rPr>
        <w:t xml:space="preserve">mediante a utilização da seguinte fórmula:</w:t>
      </w:r>
    </w:p>
    <w:p w:rsidR="00000000" w:rsidDel="00000000" w:rsidP="00000000" w:rsidRDefault="00000000" w:rsidRPr="00000000" w14:paraId="000000A5">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VFP =  </w:t>
      </w:r>
      <w:r w:rsidDel="00000000" w:rsidR="00000000" w:rsidRPr="00000000">
        <w:rPr>
          <w:rFonts w:ascii="Arial" w:cs="Arial" w:eastAsia="Arial" w:hAnsi="Arial"/>
          <w:color w:val="000000"/>
          <w:sz w:val="22"/>
          <w:szCs w:val="22"/>
          <w:u w:val="single"/>
          <w:rtl w:val="0"/>
        </w:rPr>
        <w:t xml:space="preserve">  VPV </w:t>
      </w:r>
      <w:r w:rsidDel="00000000" w:rsidR="00000000" w:rsidRPr="00000000">
        <w:rPr>
          <w:rtl w:val="0"/>
        </w:rPr>
      </w:r>
    </w:p>
    <w:p w:rsidR="00000000" w:rsidDel="00000000" w:rsidP="00000000" w:rsidRDefault="00000000" w:rsidRPr="00000000" w14:paraId="000000A6">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0,925</w:t>
      </w:r>
    </w:p>
    <w:p w:rsidR="00000000" w:rsidDel="00000000" w:rsidP="00000000" w:rsidRDefault="00000000" w:rsidRPr="00000000" w14:paraId="000000A7">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u w:val="single"/>
          <w:rtl w:val="0"/>
        </w:rPr>
        <w:t xml:space="preserve">Onde:</w:t>
      </w:r>
      <w:r w:rsidDel="00000000" w:rsidR="00000000" w:rsidRPr="00000000">
        <w:rPr>
          <w:rFonts w:ascii="Arial" w:cs="Arial" w:eastAsia="Arial" w:hAnsi="Arial"/>
          <w:color w:val="000000"/>
          <w:sz w:val="22"/>
          <w:szCs w:val="22"/>
          <w:rtl w:val="0"/>
        </w:rPr>
        <w:t xml:space="preserve"> </w:t>
        <w:br w:type="textWrapping"/>
        <w:t xml:space="preserve">VFP = Valor Final da Proposta, acrescido da alíquota de 7,5% (sete inteiros e cinco décimos por cento);</w:t>
      </w:r>
      <w:r w:rsidDel="00000000" w:rsidR="00000000" w:rsidRPr="00000000">
        <w:rPr>
          <w:rtl w:val="0"/>
        </w:rPr>
      </w:r>
    </w:p>
    <w:p w:rsidR="00000000" w:rsidDel="00000000" w:rsidP="00000000" w:rsidRDefault="00000000" w:rsidRPr="00000000" w14:paraId="000000A8">
      <w:pPr>
        <w:tabs>
          <w:tab w:val="left" w:leader="none" w:pos="360"/>
          <w:tab w:val="left" w:leader="none" w:pos="567"/>
        </w:tabs>
        <w:spacing w:after="57" w:before="57" w:lineRule="auto"/>
        <w:ind w:left="-141" w:right="133" w:firstLine="0"/>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VPV = Valor da Proposta Vencedora após o encerramento da disputa eletrônica anunciado pelo sistema;</w:t>
      </w:r>
      <w:r w:rsidDel="00000000" w:rsidR="00000000" w:rsidRPr="00000000">
        <w:rPr>
          <w:rtl w:val="0"/>
        </w:rPr>
      </w:r>
    </w:p>
    <w:p w:rsidR="00000000" w:rsidDel="00000000" w:rsidP="00000000" w:rsidRDefault="00000000" w:rsidRPr="00000000" w14:paraId="000000A9">
      <w:pPr>
        <w:tabs>
          <w:tab w:val="left" w:leader="none" w:pos="360"/>
          <w:tab w:val="left" w:leader="none" w:pos="567"/>
        </w:tabs>
        <w:spacing w:after="57" w:before="57" w:lineRule="auto"/>
        <w:ind w:left="-141" w:right="133"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0,925 = Fator de Reversão correspondente a 7,5% (sete inteiros e cinco décimos por cento), que foram deduzidos antes da disputa.</w:t>
      </w:r>
    </w:p>
    <w:p w:rsidR="00000000" w:rsidDel="00000000" w:rsidP="00000000" w:rsidRDefault="00000000" w:rsidRPr="00000000" w14:paraId="000000AA">
      <w:pPr>
        <w:tabs>
          <w:tab w:val="left" w:leader="none" w:pos="709"/>
        </w:tabs>
        <w:spacing w:after="57" w:before="57" w:lineRule="auto"/>
        <w:ind w:left="-141" w:right="133" w:firstLine="0"/>
        <w:jc w:val="both"/>
        <w:rPr>
          <w:rFonts w:ascii="Arial" w:cs="Arial" w:eastAsia="Arial" w:hAnsi="Arial"/>
          <w:i w:val="1"/>
          <w:color w:val="000000"/>
          <w:sz w:val="22"/>
          <w:szCs w:val="22"/>
          <w:highlight w:val="white"/>
        </w:rPr>
      </w:pPr>
      <w:r w:rsidDel="00000000" w:rsidR="00000000" w:rsidRPr="00000000">
        <w:rPr>
          <w:rFonts w:ascii="Arial" w:cs="Arial" w:eastAsia="Arial" w:hAnsi="Arial"/>
          <w:b w:val="1"/>
          <w:color w:val="000000"/>
          <w:sz w:val="22"/>
          <w:szCs w:val="22"/>
          <w:rtl w:val="0"/>
        </w:rPr>
        <w:t xml:space="preserve">15. DA FASE DE JULGAMENTO</w:t>
      </w:r>
      <w:r w:rsidDel="00000000" w:rsidR="00000000" w:rsidRPr="00000000">
        <w:rPr>
          <w:rtl w:val="0"/>
        </w:rPr>
      </w:r>
    </w:p>
    <w:p w:rsidR="00000000" w:rsidDel="00000000" w:rsidP="00000000" w:rsidRDefault="00000000" w:rsidRPr="00000000" w14:paraId="000000AB">
      <w:pPr>
        <w:tabs>
          <w:tab w:val="center" w:leader="none" w:pos="-1260"/>
        </w:tabs>
        <w:spacing w:after="57" w:before="57" w:lineRule="auto"/>
        <w:ind w:left="-141" w:right="133" w:firstLine="0"/>
        <w:jc w:val="both"/>
        <w:rPr>
          <w:rFonts w:ascii="Times New Roman" w:cs="Times New Roman" w:eastAsia="Times New Roman" w:hAnsi="Times New Roman"/>
          <w:color w:val="000000"/>
        </w:rPr>
      </w:pPr>
      <w:bookmarkStart w:colFirst="0" w:colLast="0" w:name="_heading=h.30j0zll" w:id="0"/>
      <w:bookmarkEnd w:id="0"/>
      <w:r w:rsidDel="00000000" w:rsidR="00000000" w:rsidRPr="00000000">
        <w:rPr>
          <w:rFonts w:ascii="Arial" w:cs="Arial" w:eastAsia="Arial" w:hAnsi="Arial"/>
          <w:color w:val="000000"/>
          <w:sz w:val="22"/>
          <w:szCs w:val="22"/>
          <w:rtl w:val="0"/>
        </w:rPr>
        <w:t xml:space="preserve">1</w:t>
      </w:r>
      <w:r w:rsidDel="00000000" w:rsidR="00000000" w:rsidRPr="00000000">
        <w:rPr>
          <w:rFonts w:ascii="Arial" w:cs="Arial" w:eastAsia="Arial" w:hAnsi="Arial"/>
          <w:color w:val="000000"/>
          <w:sz w:val="22"/>
          <w:szCs w:val="22"/>
          <w:highlight w:val="white"/>
          <w:rtl w:val="0"/>
        </w:rPr>
        <w:t xml:space="preserve">5</w:t>
      </w:r>
      <w:r w:rsidDel="00000000" w:rsidR="00000000" w:rsidRPr="00000000">
        <w:rPr>
          <w:rFonts w:ascii="Arial" w:cs="Arial" w:eastAsia="Arial" w:hAnsi="Arial"/>
          <w:color w:val="000000"/>
          <w:sz w:val="22"/>
          <w:szCs w:val="22"/>
          <w:rtl w:val="0"/>
        </w:rPr>
        <w:t xml:space="preserve">.1. Encerrada a etapa de negociação, o pregoeiro verificará se o licitante provisoriamente classificado em primeiro lugar atende às condições de participação no certame, observado o previsto no </w:t>
      </w:r>
      <w:hyperlink r:id="rId23">
        <w:r w:rsidDel="00000000" w:rsidR="00000000" w:rsidRPr="00000000">
          <w:rPr>
            <w:rFonts w:ascii="Arial" w:cs="Arial" w:eastAsia="Arial" w:hAnsi="Arial"/>
            <w:color w:val="000000"/>
            <w:sz w:val="22"/>
            <w:szCs w:val="22"/>
            <w:rtl w:val="0"/>
          </w:rPr>
          <w:t xml:space="preserve">art. 14 da Lei nº 14.133/2021</w:t>
        </w:r>
      </w:hyperlink>
      <w:r w:rsidDel="00000000" w:rsidR="00000000" w:rsidRPr="00000000">
        <w:rPr>
          <w:rFonts w:ascii="Arial" w:cs="Arial" w:eastAsia="Arial" w:hAnsi="Arial"/>
          <w:color w:val="000000"/>
          <w:sz w:val="22"/>
          <w:szCs w:val="22"/>
          <w:rtl w:val="0"/>
        </w:rPr>
        <w:t xml:space="preserve">, legislação correlata e no subitem 9.6, deste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AC">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I- Sistema de Cadastramento Unificado de Fornecedores(SICAF);</w:t>
      </w:r>
      <w:r w:rsidDel="00000000" w:rsidR="00000000" w:rsidRPr="00000000">
        <w:rPr>
          <w:rtl w:val="0"/>
        </w:rPr>
      </w:r>
    </w:p>
    <w:p w:rsidR="00000000" w:rsidDel="00000000" w:rsidP="00000000" w:rsidRDefault="00000000" w:rsidRPr="00000000" w14:paraId="000000A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 Certificado de Registro Cadastral(CRC)CE.</w:t>
      </w:r>
    </w:p>
    <w:p w:rsidR="00000000" w:rsidDel="00000000" w:rsidP="00000000" w:rsidRDefault="00000000" w:rsidRPr="00000000" w14:paraId="000000AE">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III- Cadastro Nacional de Empresas Inidôneas e Suspensas(CEIS), mantido pela Controladoria-Geral da União (</w:t>
      </w:r>
      <w:hyperlink r:id="rId24">
        <w:r w:rsidDel="00000000" w:rsidR="00000000" w:rsidRPr="00000000">
          <w:rPr>
            <w:rFonts w:ascii="Arial" w:cs="Arial" w:eastAsia="Arial" w:hAnsi="Arial"/>
            <w:color w:val="000000"/>
            <w:sz w:val="22"/>
            <w:szCs w:val="22"/>
            <w:rtl w:val="0"/>
          </w:rPr>
          <w:t xml:space="preserve">https://www.portaltransparencia.gov.br/sancoes</w:t>
        </w:r>
      </w:hyperlink>
      <w:r w:rsidDel="00000000" w:rsidR="00000000" w:rsidRPr="00000000">
        <w:rPr>
          <w:rFonts w:ascii="Arial" w:cs="Arial" w:eastAsia="Arial" w:hAnsi="Arial"/>
          <w:color w:val="000000"/>
          <w:sz w:val="22"/>
          <w:szCs w:val="22"/>
          <w:rtl w:val="0"/>
        </w:rPr>
        <w:t xml:space="preserve">); e </w:t>
      </w:r>
      <w:r w:rsidDel="00000000" w:rsidR="00000000" w:rsidRPr="00000000">
        <w:rPr>
          <w:rtl w:val="0"/>
        </w:rPr>
      </w:r>
    </w:p>
    <w:p w:rsidR="00000000" w:rsidDel="00000000" w:rsidP="00000000" w:rsidRDefault="00000000" w:rsidRPr="00000000" w14:paraId="000000AF">
      <w:pPr>
        <w:tabs>
          <w:tab w:val="center" w:leader="none" w:pos="-1260"/>
        </w:tabs>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IV- Cadastro Nacional de Empresas Punidas(CNEP), mantido pela Controladoria-Geral da União (</w:t>
      </w:r>
      <w:hyperlink r:id="rId25">
        <w:r w:rsidDel="00000000" w:rsidR="00000000" w:rsidRPr="00000000">
          <w:rPr>
            <w:rFonts w:ascii="Arial" w:cs="Arial" w:eastAsia="Arial" w:hAnsi="Arial"/>
            <w:color w:val="000000"/>
            <w:sz w:val="22"/>
            <w:szCs w:val="22"/>
            <w:rtl w:val="0"/>
          </w:rPr>
          <w:t xml:space="preserve">https://www.portaltransparencia.gov.br/sancoes</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B0">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15.2. A consulta aos cadastros será realizada em nome da empresa licitante. </w:t>
      </w:r>
      <w:r w:rsidDel="00000000" w:rsidR="00000000" w:rsidRPr="00000000">
        <w:rPr>
          <w:rtl w:val="0"/>
        </w:rPr>
      </w:r>
    </w:p>
    <w:p w:rsidR="00000000" w:rsidDel="00000000" w:rsidP="00000000" w:rsidRDefault="00000000" w:rsidRPr="00000000" w14:paraId="000000B1">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w:t>
      </w:r>
      <w:r w:rsidDel="00000000" w:rsidR="00000000" w:rsidRPr="00000000">
        <w:rPr>
          <w:rFonts w:ascii="Arial" w:cs="Arial" w:eastAsia="Arial" w:hAnsi="Arial"/>
          <w:color w:val="000000"/>
          <w:sz w:val="22"/>
          <w:szCs w:val="22"/>
          <w:highlight w:val="white"/>
          <w:rtl w:val="0"/>
        </w:rPr>
        <w:t xml:space="preserve">5</w:t>
      </w:r>
      <w:r w:rsidDel="00000000" w:rsidR="00000000" w:rsidRPr="00000000">
        <w:rPr>
          <w:rFonts w:ascii="Arial" w:cs="Arial" w:eastAsia="Arial" w:hAnsi="Arial"/>
          <w:color w:val="000000"/>
          <w:sz w:val="22"/>
          <w:szCs w:val="22"/>
          <w:rtl w:val="0"/>
        </w:rPr>
        <w:t xml:space="preserve">.3. 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0B2">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15</w:t>
      </w:r>
      <w:r w:rsidDel="00000000" w:rsidR="00000000" w:rsidRPr="00000000">
        <w:rPr>
          <w:rFonts w:ascii="Arial" w:cs="Arial" w:eastAsia="Arial" w:hAnsi="Arial"/>
          <w:color w:val="000000"/>
          <w:sz w:val="22"/>
          <w:szCs w:val="22"/>
          <w:rtl w:val="0"/>
        </w:rPr>
        <w:t xml:space="preserve">.4. Na hipótese de o licitante não atender às exigências para habilitação, o pregoeiro examinará a proposta subsequente e assim sucessivamente, na ordem de classificação, até a apuração de uma proposta que atenda ao presente edital, observado o prazo disposto no item 13.21.6 deste edital.</w:t>
      </w:r>
      <w:r w:rsidDel="00000000" w:rsidR="00000000" w:rsidRPr="00000000">
        <w:rPr>
          <w:rtl w:val="0"/>
        </w:rPr>
      </w:r>
    </w:p>
    <w:p w:rsidR="00000000" w:rsidDel="00000000" w:rsidP="00000000" w:rsidRDefault="00000000" w:rsidRPr="00000000" w14:paraId="000000B3">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15.4.1. As decisões do pregoeiro se darão baseadas nos pareceres e laudos, nos termos previstos no item 10.2.1, deste edital.</w:t>
      </w:r>
      <w:r w:rsidDel="00000000" w:rsidR="00000000" w:rsidRPr="00000000">
        <w:rPr>
          <w:rtl w:val="0"/>
        </w:rPr>
      </w:r>
    </w:p>
    <w:p w:rsidR="00000000" w:rsidDel="00000000" w:rsidP="00000000" w:rsidRDefault="00000000" w:rsidRPr="00000000" w14:paraId="000000B4">
      <w:pPr>
        <w:tabs>
          <w:tab w:val="center" w:leader="none" w:pos="-1260"/>
        </w:tabs>
        <w:spacing w:after="57" w:before="57" w:lineRule="auto"/>
        <w:ind w:left="-141" w:right="133" w:firstLine="0"/>
        <w:jc w:val="both"/>
        <w:rPr>
          <w:rFonts w:ascii="Arial" w:cs="Arial" w:eastAsia="Arial" w:hAnsi="Arial"/>
          <w:color w:val="000000"/>
          <w:sz w:val="22"/>
          <w:szCs w:val="22"/>
          <w:highlight w:val="white"/>
        </w:rPr>
      </w:pPr>
      <w:bookmarkStart w:colFirst="0" w:colLast="0" w:name="_heading=h.1fob9te" w:id="1"/>
      <w:bookmarkEnd w:id="1"/>
      <w:r w:rsidDel="00000000" w:rsidR="00000000" w:rsidRPr="00000000">
        <w:rPr>
          <w:rFonts w:ascii="Arial" w:cs="Arial" w:eastAsia="Arial" w:hAnsi="Arial"/>
          <w:color w:val="000000"/>
          <w:sz w:val="22"/>
          <w:szCs w:val="22"/>
          <w:rtl w:val="0"/>
        </w:rPr>
        <w:t xml:space="preserve">1</w:t>
      </w:r>
      <w:r w:rsidDel="00000000" w:rsidR="00000000" w:rsidRPr="00000000">
        <w:rPr>
          <w:rFonts w:ascii="Arial" w:cs="Arial" w:eastAsia="Arial" w:hAnsi="Arial"/>
          <w:color w:val="000000"/>
          <w:sz w:val="22"/>
          <w:szCs w:val="22"/>
          <w:highlight w:val="white"/>
          <w:rtl w:val="0"/>
        </w:rPr>
        <w:t xml:space="preserve">5</w:t>
      </w:r>
      <w:r w:rsidDel="00000000" w:rsidR="00000000" w:rsidRPr="00000000">
        <w:rPr>
          <w:rFonts w:ascii="Arial" w:cs="Arial" w:eastAsia="Arial" w:hAnsi="Arial"/>
          <w:color w:val="000000"/>
          <w:sz w:val="22"/>
          <w:szCs w:val="22"/>
          <w:rtl w:val="0"/>
        </w:rPr>
        <w:t xml:space="preserve">.4.2. Somente serão disponibilizados para acesso público os documentos de habilitação do licitante cuja proposta atenda ao edital de licitação, após concluídos os procedimentos de que trata o item anterior.</w:t>
      </w:r>
      <w:r w:rsidDel="00000000" w:rsidR="00000000" w:rsidRPr="00000000">
        <w:rPr>
          <w:rtl w:val="0"/>
        </w:rPr>
      </w:r>
    </w:p>
    <w:p w:rsidR="00000000" w:rsidDel="00000000" w:rsidP="00000000" w:rsidRDefault="00000000" w:rsidRPr="00000000" w14:paraId="000000B5">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15.5. Caso o licitante provisoriamente classificado em primeiro lugar tenha se utilizado de algum tratamento favorecido às ME/EPPs, o pregoeiro verificará se faz jus ao referido benefício.</w:t>
      </w:r>
      <w:r w:rsidDel="00000000" w:rsidR="00000000" w:rsidRPr="00000000">
        <w:rPr>
          <w:rtl w:val="0"/>
        </w:rPr>
      </w:r>
    </w:p>
    <w:p w:rsidR="00000000" w:rsidDel="00000000" w:rsidP="00000000" w:rsidRDefault="00000000" w:rsidRPr="00000000" w14:paraId="000000B6">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Del="00000000" w:rsidR="00000000" w:rsidRPr="00000000">
        <w:rPr>
          <w:rtl w:val="0"/>
        </w:rPr>
      </w:r>
    </w:p>
    <w:p w:rsidR="00000000" w:rsidDel="00000000" w:rsidP="00000000" w:rsidRDefault="00000000" w:rsidRPr="00000000" w14:paraId="000000B7">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b w:val="1"/>
          <w:color w:val="000000"/>
          <w:sz w:val="22"/>
          <w:szCs w:val="22"/>
          <w:rtl w:val="0"/>
        </w:rPr>
        <w:t xml:space="preserve">15.7. Será desclassificada a proposta vencedora que</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B8">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15.7.1. Contiver vícios insanáveis;</w:t>
      </w:r>
      <w:r w:rsidDel="00000000" w:rsidR="00000000" w:rsidRPr="00000000">
        <w:rPr>
          <w:rtl w:val="0"/>
        </w:rPr>
      </w:r>
    </w:p>
    <w:p w:rsidR="00000000" w:rsidDel="00000000" w:rsidP="00000000" w:rsidRDefault="00000000" w:rsidRPr="00000000" w14:paraId="000000B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15.7.2. Não obedecer às especificações técnicas contidas no termo de referência;</w:t>
      </w:r>
    </w:p>
    <w:p w:rsidR="00000000" w:rsidDel="00000000" w:rsidP="00000000" w:rsidRDefault="00000000" w:rsidRPr="00000000" w14:paraId="000000BA">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15.7.3. Apresentar preços inexequíveis ou permanecer acima do preço máximo definido para a contratação;</w:t>
      </w:r>
    </w:p>
    <w:p w:rsidR="00000000" w:rsidDel="00000000" w:rsidP="00000000" w:rsidRDefault="00000000" w:rsidRPr="00000000" w14:paraId="000000BB">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15.7.4. Não tiver sua exequibilidade demonstrada, quando exigido pela Administração;</w:t>
      </w:r>
      <w:r w:rsidDel="00000000" w:rsidR="00000000" w:rsidRPr="00000000">
        <w:rPr>
          <w:rtl w:val="0"/>
        </w:rPr>
      </w:r>
    </w:p>
    <w:p w:rsidR="00000000" w:rsidDel="00000000" w:rsidP="00000000" w:rsidRDefault="00000000" w:rsidRPr="00000000" w14:paraId="000000BC">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15</w:t>
      </w:r>
      <w:r w:rsidDel="00000000" w:rsidR="00000000" w:rsidRPr="00000000">
        <w:rPr>
          <w:rFonts w:ascii="Arial" w:cs="Arial" w:eastAsia="Arial" w:hAnsi="Arial"/>
          <w:color w:val="000000"/>
          <w:sz w:val="22"/>
          <w:szCs w:val="22"/>
          <w:rtl w:val="0"/>
        </w:rPr>
        <w:t xml:space="preserve">.7.5. 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0BD">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15.7.6. </w:t>
      </w:r>
      <w:r w:rsidDel="00000000" w:rsidR="00000000" w:rsidRPr="00000000">
        <w:rPr>
          <w:rFonts w:ascii="Arial" w:cs="Arial" w:eastAsia="Arial" w:hAnsi="Arial"/>
          <w:color w:val="000000"/>
          <w:sz w:val="22"/>
          <w:szCs w:val="22"/>
          <w:highlight w:val="white"/>
          <w:rtl w:val="0"/>
        </w:rPr>
        <w:t xml:space="preserve">Contiver item com </w:t>
      </w:r>
      <w:r w:rsidDel="00000000" w:rsidR="00000000" w:rsidRPr="00000000">
        <w:rPr>
          <w:rFonts w:ascii="Arial" w:cs="Arial" w:eastAsia="Arial" w:hAnsi="Arial"/>
          <w:color w:val="000000"/>
          <w:sz w:val="22"/>
          <w:szCs w:val="22"/>
          <w:rtl w:val="0"/>
        </w:rPr>
        <w:t xml:space="preserve">valor superior </w:t>
      </w:r>
      <w:r w:rsidDel="00000000" w:rsidR="00000000" w:rsidRPr="00000000">
        <w:rPr>
          <w:rFonts w:ascii="Arial" w:cs="Arial" w:eastAsia="Arial" w:hAnsi="Arial"/>
          <w:color w:val="000000"/>
          <w:sz w:val="22"/>
          <w:szCs w:val="22"/>
          <w:highlight w:val="white"/>
          <w:rtl w:val="0"/>
        </w:rPr>
        <w:t xml:space="preserve">ao estimado pela Administração, independentemente do valor total do grupo, quando houver agrupamento de itens.</w:t>
      </w:r>
    </w:p>
    <w:p w:rsidR="00000000" w:rsidDel="00000000" w:rsidP="00000000" w:rsidRDefault="00000000" w:rsidRPr="00000000" w14:paraId="000000BE">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15</w:t>
      </w:r>
      <w:r w:rsidDel="00000000" w:rsidR="00000000" w:rsidRPr="00000000">
        <w:rPr>
          <w:rFonts w:ascii="Arial" w:cs="Arial" w:eastAsia="Arial" w:hAnsi="Arial"/>
          <w:color w:val="000000"/>
          <w:sz w:val="22"/>
          <w:szCs w:val="22"/>
          <w:rtl w:val="0"/>
        </w:rPr>
        <w:t xml:space="preserve">.8. A ausência de documentos possíveis de serem verificados em sites oficiais, não é motivo de desclassificação.</w:t>
      </w:r>
      <w:r w:rsidDel="00000000" w:rsidR="00000000" w:rsidRPr="00000000">
        <w:rPr>
          <w:rtl w:val="0"/>
        </w:rPr>
      </w:r>
    </w:p>
    <w:p w:rsidR="00000000" w:rsidDel="00000000" w:rsidP="00000000" w:rsidRDefault="00000000" w:rsidRPr="00000000" w14:paraId="000000B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15</w:t>
      </w:r>
      <w:r w:rsidDel="00000000" w:rsidR="00000000" w:rsidRPr="00000000">
        <w:rPr>
          <w:rFonts w:ascii="Arial" w:cs="Arial" w:eastAsia="Arial" w:hAnsi="Arial"/>
          <w:color w:val="000000"/>
          <w:sz w:val="22"/>
          <w:szCs w:val="22"/>
          <w:rtl w:val="0"/>
        </w:rPr>
        <w:t xml:space="preserve">.9.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16</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color w:val="000000"/>
          <w:sz w:val="22"/>
          <w:szCs w:val="22"/>
          <w:rtl w:val="0"/>
        </w:rPr>
        <w:t xml:space="preserve">DA FASE DE HABILITAÇÃO</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16.1. Os documentos previstos no subitem 12 do Anexo I - Termo de Referência, necessários e suficientes para demonstrar a capacidade do licitante de realizar o objeto da licitação, serão exigidos para fins de habilitação, nos termos dos arts. 62 a 70 da Lei Federal nº 14.133/2021.</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Cumberland AMT" w:cs="Cumberland AMT" w:eastAsia="Cumberland AMT" w:hAnsi="Cumberland AMT"/>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16.2</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Cumberland AMT" w:cs="Cumberland AMT" w:eastAsia="Cumberland AMT" w:hAnsi="Cumberland AMT"/>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16.3</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 verificação no Sistema de Cadastramento Unificado de Fornecedores(SICAF) ou a exigência dos documentos nele não contidos, somente será feita em relação ao licitante provisoriamente vencedor.</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Cumberland AMT" w:cs="Cumberland AMT" w:eastAsia="Cumberland AMT" w:hAnsi="Cumberland AMT"/>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16.4</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verificação pelo pregoeiro, em sítios eletrônicos oficiais de órgãos e entidades emissores de certidões constitui meio legal de prova, para fins de habilitação.</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Cumberland AMT" w:cs="Cumberland AMT" w:eastAsia="Cumberland AMT" w:hAnsi="Cumberland AMT"/>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highlight w:val="white"/>
          <w:rtl w:val="0"/>
        </w:rPr>
        <w:t xml:space="preserve">16.5</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Como condição prévia ao exame da documentação de habilitação do licitante detentor da proposta classificada em primeiro lugar, o pregoeiro verificará o eventual descumprimento das condições de participação previstas neste edital.</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1</w:t>
      </w:r>
      <w:r w:rsidDel="00000000" w:rsidR="00000000" w:rsidRPr="00000000">
        <w:rPr>
          <w:rFonts w:ascii="Arial" w:cs="Arial" w:eastAsia="Arial" w:hAnsi="Arial"/>
          <w:color w:val="000000"/>
          <w:sz w:val="22"/>
          <w:szCs w:val="22"/>
          <w:highlight w:val="white"/>
          <w:rtl w:val="0"/>
        </w:rPr>
        <w:t xml:space="preserve">6.6</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Constatada a existência de sanção e/ou eventual descu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mprimento das condições de participação, o pregoeiro reputará o licitante inabilitado.</w:t>
      </w:r>
    </w:p>
    <w:p w:rsidR="00000000" w:rsidDel="00000000" w:rsidP="00000000" w:rsidRDefault="00000000" w:rsidRPr="00000000" w14:paraId="000000C7">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16.7. Os documentos deverão ser apresentados ou pela matriz ou pela filial que estiver participando do certame, com exceção dos documentos que são válidos tanto para matriz como para as filiais como é o caso dos atestados de capacidade técnica. O instrumento equivalente de contrato será celebrado com a sede que apresentou a documentação.</w:t>
      </w:r>
    </w:p>
    <w:p w:rsidR="00000000" w:rsidDel="00000000" w:rsidP="00000000" w:rsidRDefault="00000000" w:rsidRPr="00000000" w14:paraId="000000C8">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16.8. O documento obtido através de sítios oficiais, que esteja condicionado à aceitação via internet, terá sua autenticidade verificada pelo pregoeiro.</w:t>
      </w:r>
    </w:p>
    <w:p w:rsidR="00000000" w:rsidDel="00000000" w:rsidP="00000000" w:rsidRDefault="00000000" w:rsidRPr="00000000" w14:paraId="000000C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17. DOS RECURSOS</w:t>
      </w:r>
    </w:p>
    <w:p w:rsidR="00000000" w:rsidDel="00000000" w:rsidP="00000000" w:rsidRDefault="00000000" w:rsidRPr="00000000" w14:paraId="000000CB">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highlight w:val="white"/>
          <w:rtl w:val="0"/>
        </w:rPr>
        <w:t xml:space="preserve">17.1. A interposição de recurso referente ao julgamento das propostas, à habilitação ou inabilitação de licitantes, à anulação ou revogação da licitação, observará o disposto no </w:t>
      </w:r>
      <w:hyperlink r:id="rId26">
        <w:r w:rsidDel="00000000" w:rsidR="00000000" w:rsidRPr="00000000">
          <w:rPr>
            <w:rFonts w:ascii="Arial" w:cs="Arial" w:eastAsia="Arial" w:hAnsi="Arial"/>
            <w:color w:val="000000"/>
            <w:sz w:val="22"/>
            <w:szCs w:val="22"/>
            <w:highlight w:val="white"/>
            <w:rtl w:val="0"/>
          </w:rPr>
          <w:t xml:space="preserve">art. 165 da Lei nº 14.133/2021</w:t>
        </w:r>
      </w:hyperlink>
      <w:r w:rsidDel="00000000" w:rsidR="00000000" w:rsidRPr="00000000">
        <w:rPr>
          <w:rFonts w:ascii="Arial" w:cs="Arial" w:eastAsia="Arial" w:hAnsi="Arial"/>
          <w:color w:val="000000"/>
          <w:sz w:val="22"/>
          <w:szCs w:val="22"/>
          <w:highlight w:val="white"/>
          <w:rtl w:val="0"/>
        </w:rPr>
        <w:t xml:space="preserve">.</w:t>
      </w:r>
      <w:r w:rsidDel="00000000" w:rsidR="00000000" w:rsidRPr="00000000">
        <w:rPr>
          <w:rtl w:val="0"/>
        </w:rPr>
      </w:r>
    </w:p>
    <w:p w:rsidR="00000000" w:rsidDel="00000000" w:rsidP="00000000" w:rsidRDefault="00000000" w:rsidRPr="00000000" w14:paraId="000000C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17.2. O prazo recursal é de 3 (três) dias úteis, contados da data de intimação ou da lavratura da ata de julgamento da proposta, ou da habilitação ou inabilitação.</w:t>
      </w:r>
      <w:r w:rsidDel="00000000" w:rsidR="00000000" w:rsidRPr="00000000">
        <w:rPr>
          <w:rtl w:val="0"/>
        </w:rPr>
      </w:r>
    </w:p>
    <w:p w:rsidR="00000000" w:rsidDel="00000000" w:rsidP="00000000" w:rsidRDefault="00000000" w:rsidRPr="00000000" w14:paraId="000000C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17.3. Quando a decisão do pregoeiro importar em abertura de prazo recursal, será comunicada a retomada da sessão pública com, no mínimo, 24 (vinte e quatro) horas de antecedência, no sítio eletrônico utilizado para realização do certame.</w:t>
      </w:r>
    </w:p>
    <w:p w:rsidR="00000000" w:rsidDel="00000000" w:rsidP="00000000" w:rsidRDefault="00000000" w:rsidRPr="00000000" w14:paraId="000000CE">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17.3.1. Qualquer licitante poderá, durante o prazo de 10 (dez) minutos, de forma imediata após o término do julgamento das propostas e do ato de habilitação ou inabilitação, em campo próprio do sistema, manifestar sua intenção de recorrer, sob pena de preclusão.</w:t>
      </w:r>
      <w:r w:rsidDel="00000000" w:rsidR="00000000" w:rsidRPr="00000000">
        <w:rPr>
          <w:rtl w:val="0"/>
        </w:rPr>
      </w:r>
    </w:p>
    <w:p w:rsidR="00000000" w:rsidDel="00000000" w:rsidP="00000000" w:rsidRDefault="00000000" w:rsidRPr="00000000" w14:paraId="000000C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17.4. Os recursos deverão ser encaminhados em campo próprio do sistema.</w:t>
      </w:r>
    </w:p>
    <w:p w:rsidR="00000000" w:rsidDel="00000000" w:rsidP="00000000" w:rsidRDefault="00000000" w:rsidRPr="00000000" w14:paraId="000000D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17</w:t>
      </w:r>
      <w:r w:rsidDel="00000000" w:rsidR="00000000" w:rsidRPr="00000000">
        <w:rPr>
          <w:rFonts w:ascii="Arial" w:cs="Arial" w:eastAsia="Arial" w:hAnsi="Arial"/>
          <w:color w:val="000000"/>
          <w:sz w:val="22"/>
          <w:szCs w:val="22"/>
          <w:rtl w:val="0"/>
        </w:rPr>
        <w:t xml:space="preserve">.5.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0D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17.6. Os recursos interpostos fora do prazo não serão conhecidos.</w:t>
      </w:r>
    </w:p>
    <w:p w:rsidR="00000000" w:rsidDel="00000000" w:rsidP="00000000" w:rsidRDefault="00000000" w:rsidRPr="00000000" w14:paraId="000000D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0D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17.7.1. Caso o licitante entenda ser necessário o envio de documentos complementares para melhor entendimento das suas razões e/ou contrarrazões de recurso, deverá disponibilizar um </w:t>
      </w:r>
      <w:r w:rsidDel="00000000" w:rsidR="00000000" w:rsidRPr="00000000">
        <w:rPr>
          <w:rFonts w:ascii="Arial" w:cs="Arial" w:eastAsia="Arial" w:hAnsi="Arial"/>
          <w:i w:val="1"/>
          <w:color w:val="000000"/>
          <w:sz w:val="22"/>
          <w:szCs w:val="22"/>
          <w:rtl w:val="0"/>
        </w:rPr>
        <w:t xml:space="preserve">link</w:t>
      </w:r>
      <w:r w:rsidDel="00000000" w:rsidR="00000000" w:rsidRPr="00000000">
        <w:rPr>
          <w:rFonts w:ascii="Arial" w:cs="Arial" w:eastAsia="Arial" w:hAnsi="Arial"/>
          <w:color w:val="000000"/>
          <w:sz w:val="22"/>
          <w:szCs w:val="22"/>
          <w:rtl w:val="0"/>
        </w:rPr>
        <w:t xml:space="preserve"> no corpo da peça, de maneira que os referidos documentos sejam de acesso livre ao pregoeiro e demais interessados.</w:t>
      </w:r>
    </w:p>
    <w:p w:rsidR="00000000" w:rsidDel="00000000" w:rsidP="00000000" w:rsidRDefault="00000000" w:rsidRPr="00000000" w14:paraId="000000D4">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17</w:t>
      </w:r>
      <w:r w:rsidDel="00000000" w:rsidR="00000000" w:rsidRPr="00000000">
        <w:rPr>
          <w:rFonts w:ascii="Arial" w:cs="Arial" w:eastAsia="Arial" w:hAnsi="Arial"/>
          <w:color w:val="000000"/>
          <w:sz w:val="22"/>
          <w:szCs w:val="22"/>
          <w:rtl w:val="0"/>
        </w:rPr>
        <w:t xml:space="preserve">.8. O recurso e o pedido de reconsideração terão efeito suspensivo do ato ou da decisão recorrida até que sobrevenha decisão final da autoridade competente.</w:t>
      </w:r>
    </w:p>
    <w:p w:rsidR="00000000" w:rsidDel="00000000" w:rsidP="00000000" w:rsidRDefault="00000000" w:rsidRPr="00000000" w14:paraId="000000D5">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17.9. O acolhimento do recurso invalida tão somente os atos insuscetíveis de aproveitamento.</w:t>
      </w:r>
      <w:r w:rsidDel="00000000" w:rsidR="00000000" w:rsidRPr="00000000">
        <w:rPr>
          <w:rtl w:val="0"/>
        </w:rPr>
      </w:r>
    </w:p>
    <w:p w:rsidR="00000000" w:rsidDel="00000000" w:rsidP="00000000" w:rsidRDefault="00000000" w:rsidRPr="00000000" w14:paraId="000000D6">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highlight w:val="white"/>
          <w:rtl w:val="0"/>
        </w:rPr>
        <w:t xml:space="preserve">17.10. Não serão conhecidos os recursos intempestivos e/ou subscritos por representante não habilitado legalmente ou não identificado no processo licitatório para responder pelo proponente.</w:t>
      </w:r>
      <w:r w:rsidDel="00000000" w:rsidR="00000000" w:rsidRPr="00000000">
        <w:rPr>
          <w:rtl w:val="0"/>
        </w:rPr>
      </w:r>
    </w:p>
    <w:p w:rsidR="00000000" w:rsidDel="00000000" w:rsidP="00000000" w:rsidRDefault="00000000" w:rsidRPr="00000000" w14:paraId="000000D7">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17.11. Os autos do processo permanecerão com vista franqueada aos interessados no Portal Nacional de Contratações Públicas(PNCP), naquilo que lhes couber e na Central de Licitações no endereço constante no subitem 7.1 deste edital.</w:t>
      </w:r>
    </w:p>
    <w:p w:rsidR="00000000" w:rsidDel="00000000" w:rsidP="00000000" w:rsidRDefault="00000000" w:rsidRPr="00000000" w14:paraId="000000D8">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highlight w:val="white"/>
          <w:rtl w:val="0"/>
        </w:rPr>
        <w:t xml:space="preserve">18. DAS INFRAÇÕES ADMINISTRATIVAS E SANÇÕES</w:t>
      </w:r>
      <w:r w:rsidDel="00000000" w:rsidR="00000000" w:rsidRPr="00000000">
        <w:rPr>
          <w:rtl w:val="0"/>
        </w:rPr>
      </w:r>
    </w:p>
    <w:p w:rsidR="00000000" w:rsidDel="00000000" w:rsidP="00000000" w:rsidRDefault="00000000" w:rsidRPr="00000000" w14:paraId="000000D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18.1. Comete infração administrativa, nos termos do art. 155 da Lei nº 14.133/2021, o licitante  que, com dolo ou culpa:</w:t>
      </w:r>
      <w:r w:rsidDel="00000000" w:rsidR="00000000" w:rsidRPr="00000000">
        <w:rPr>
          <w:rtl w:val="0"/>
        </w:rPr>
      </w:r>
    </w:p>
    <w:p w:rsidR="00000000" w:rsidDel="00000000" w:rsidP="00000000" w:rsidRDefault="00000000" w:rsidRPr="00000000" w14:paraId="000000DA">
      <w:pPr>
        <w:spacing w:after="57" w:before="57" w:lineRule="auto"/>
        <w:ind w:left="-141" w:right="133" w:firstLine="0"/>
        <w:jc w:val="both"/>
        <w:rPr>
          <w:rFonts w:ascii="Arial" w:cs="Arial" w:eastAsia="Arial" w:hAnsi="Arial"/>
          <w:color w:val="000000"/>
          <w:sz w:val="22"/>
          <w:szCs w:val="22"/>
          <w:highlight w:val="white"/>
        </w:rPr>
      </w:pPr>
      <w:bookmarkStart w:colFirst="0" w:colLast="0" w:name="_heading=h.3znysh7" w:id="2"/>
      <w:bookmarkEnd w:id="2"/>
      <w:r w:rsidDel="00000000" w:rsidR="00000000" w:rsidRPr="00000000">
        <w:rPr>
          <w:rFonts w:ascii="Arial" w:cs="Arial" w:eastAsia="Arial" w:hAnsi="Arial"/>
          <w:color w:val="000000"/>
          <w:sz w:val="22"/>
          <w:szCs w:val="22"/>
          <w:rtl w:val="0"/>
        </w:rPr>
        <w:t xml:space="preserve">18.1.1. Deixar de entregar a documentação exigida para o certame ou não entregar qualquer documento que tenha sido solicitado pelo pregoeiro durante o certame;</w:t>
      </w:r>
      <w:r w:rsidDel="00000000" w:rsidR="00000000" w:rsidRPr="00000000">
        <w:rPr>
          <w:rtl w:val="0"/>
        </w:rPr>
      </w:r>
    </w:p>
    <w:p w:rsidR="00000000" w:rsidDel="00000000" w:rsidP="00000000" w:rsidRDefault="00000000" w:rsidRPr="00000000" w14:paraId="000000DB">
      <w:pPr>
        <w:spacing w:after="57" w:before="57" w:lineRule="auto"/>
        <w:ind w:left="-141" w:right="133" w:firstLine="0"/>
        <w:jc w:val="both"/>
        <w:rPr>
          <w:rFonts w:ascii="Arial" w:cs="Arial" w:eastAsia="Arial" w:hAnsi="Arial"/>
          <w:color w:val="000000"/>
          <w:sz w:val="22"/>
          <w:szCs w:val="22"/>
        </w:rPr>
      </w:pPr>
      <w:bookmarkStart w:colFirst="0" w:colLast="0" w:name="_heading=h.2et92p0" w:id="3"/>
      <w:bookmarkEnd w:id="3"/>
      <w:r w:rsidDel="00000000" w:rsidR="00000000" w:rsidRPr="00000000">
        <w:rPr>
          <w:rFonts w:ascii="Arial" w:cs="Arial" w:eastAsia="Arial" w:hAnsi="Arial"/>
          <w:color w:val="000000"/>
          <w:sz w:val="22"/>
          <w:szCs w:val="22"/>
          <w:rtl w:val="0"/>
        </w:rPr>
        <w:t xml:space="preserve">18.1.2. Salvo em decorrência de fato superveniente devidamente justificado, não mantiver a proposta em especial quando:</w:t>
      </w:r>
    </w:p>
    <w:p w:rsidR="00000000" w:rsidDel="00000000" w:rsidP="00000000" w:rsidRDefault="00000000" w:rsidRPr="00000000" w14:paraId="000000DC">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18.1.2.1. Não enviar a proposta adequada ao último lance ofertado ou após a negociação;</w:t>
      </w:r>
      <w:r w:rsidDel="00000000" w:rsidR="00000000" w:rsidRPr="00000000">
        <w:rPr>
          <w:rtl w:val="0"/>
        </w:rPr>
      </w:r>
    </w:p>
    <w:p w:rsidR="00000000" w:rsidDel="00000000" w:rsidP="00000000" w:rsidRDefault="00000000" w:rsidRPr="00000000" w14:paraId="000000DD">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18.1.2.2. Recusar-se a enviar o detalhamento da proposta quando exigível;</w:t>
      </w:r>
      <w:r w:rsidDel="00000000" w:rsidR="00000000" w:rsidRPr="00000000">
        <w:rPr>
          <w:rtl w:val="0"/>
        </w:rPr>
      </w:r>
    </w:p>
    <w:p w:rsidR="00000000" w:rsidDel="00000000" w:rsidP="00000000" w:rsidRDefault="00000000" w:rsidRPr="00000000" w14:paraId="000000DE">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18.1.2.3. Pedir para ser desclassificado quando encerrada a etapa competitiva ou;</w:t>
      </w:r>
      <w:r w:rsidDel="00000000" w:rsidR="00000000" w:rsidRPr="00000000">
        <w:rPr>
          <w:rtl w:val="0"/>
        </w:rPr>
      </w:r>
    </w:p>
    <w:p w:rsidR="00000000" w:rsidDel="00000000" w:rsidP="00000000" w:rsidRDefault="00000000" w:rsidRPr="00000000" w14:paraId="000000D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18.1.2.4. Apresentar proposta</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color w:val="000000"/>
          <w:sz w:val="22"/>
          <w:szCs w:val="22"/>
          <w:rtl w:val="0"/>
        </w:rPr>
        <w:t xml:space="preserve">em desacordo com as especificações do edital;</w:t>
      </w:r>
    </w:p>
    <w:p w:rsidR="00000000" w:rsidDel="00000000" w:rsidP="00000000" w:rsidRDefault="00000000" w:rsidRPr="00000000" w14:paraId="000000E0">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18.1.3. Não celebrar o contrato ou instrumento equivalente ou não entregar a documentação exigida para a contratação, quando convocado dentro do prazo de validade de sua proposta;</w:t>
      </w:r>
    </w:p>
    <w:p w:rsidR="00000000" w:rsidDel="00000000" w:rsidP="00000000" w:rsidRDefault="00000000" w:rsidRPr="00000000" w14:paraId="000000E1">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18.1.3.1. Recusar-se, sem justificativa, a assinar o contrato ou a aceitar ou retirar o instrumento equivalente no prazo estabelecido pela Administração;</w:t>
      </w:r>
      <w:r w:rsidDel="00000000" w:rsidR="00000000" w:rsidRPr="00000000">
        <w:rPr>
          <w:rtl w:val="0"/>
        </w:rPr>
      </w:r>
    </w:p>
    <w:p w:rsidR="00000000" w:rsidDel="00000000" w:rsidP="00000000" w:rsidRDefault="00000000" w:rsidRPr="00000000" w14:paraId="000000E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18.1.4. Apresentar declaração ou documentação falsa exigida para o certame ou prestar declaração falsa durante a licitação;</w:t>
      </w:r>
    </w:p>
    <w:p w:rsidR="00000000" w:rsidDel="00000000" w:rsidP="00000000" w:rsidRDefault="00000000" w:rsidRPr="00000000" w14:paraId="000000E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w:t>
      </w:r>
      <w:r w:rsidDel="00000000" w:rsidR="00000000" w:rsidRPr="00000000">
        <w:rPr>
          <w:rFonts w:ascii="Arial" w:cs="Arial" w:eastAsia="Arial" w:hAnsi="Arial"/>
          <w:color w:val="000000"/>
          <w:sz w:val="22"/>
          <w:szCs w:val="22"/>
          <w:rtl w:val="0"/>
        </w:rPr>
        <w:t xml:space="preserve">8</w:t>
      </w:r>
      <w:r w:rsidDel="00000000" w:rsidR="00000000" w:rsidRPr="00000000">
        <w:rPr>
          <w:rFonts w:ascii="Arial" w:cs="Arial" w:eastAsia="Arial" w:hAnsi="Arial"/>
          <w:color w:val="000000"/>
          <w:sz w:val="22"/>
          <w:szCs w:val="22"/>
          <w:highlight w:val="white"/>
          <w:rtl w:val="0"/>
        </w:rPr>
        <w:t xml:space="preserve">.1.5. Fraudar a licitação;</w:t>
      </w:r>
      <w:r w:rsidDel="00000000" w:rsidR="00000000" w:rsidRPr="00000000">
        <w:rPr>
          <w:rtl w:val="0"/>
        </w:rPr>
      </w:r>
    </w:p>
    <w:p w:rsidR="00000000" w:rsidDel="00000000" w:rsidP="00000000" w:rsidRDefault="00000000" w:rsidRPr="00000000" w14:paraId="000000E4">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18.1.6. Comportar-se de modo inidôneo ou cometer fraude de qualquer natureza, em especial quando:</w:t>
      </w:r>
    </w:p>
    <w:p w:rsidR="00000000" w:rsidDel="00000000" w:rsidP="00000000" w:rsidRDefault="00000000" w:rsidRPr="00000000" w14:paraId="000000E5">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18.1.6.1. Agir em conluio ou em desconformidade com a lei;</w:t>
      </w:r>
      <w:r w:rsidDel="00000000" w:rsidR="00000000" w:rsidRPr="00000000">
        <w:rPr>
          <w:rtl w:val="0"/>
        </w:rPr>
      </w:r>
    </w:p>
    <w:p w:rsidR="00000000" w:rsidDel="00000000" w:rsidP="00000000" w:rsidRDefault="00000000" w:rsidRPr="00000000" w14:paraId="000000E6">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18.1.6.2. Induzir deliberadamente a erro no julgamento;</w:t>
      </w:r>
      <w:r w:rsidDel="00000000" w:rsidR="00000000" w:rsidRPr="00000000">
        <w:rPr>
          <w:rtl w:val="0"/>
        </w:rPr>
      </w:r>
    </w:p>
    <w:p w:rsidR="00000000" w:rsidDel="00000000" w:rsidP="00000000" w:rsidRDefault="00000000" w:rsidRPr="00000000" w14:paraId="000000E7">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18.1.7. Praticar atos ilícitos com vistas a frustrar os objetivos da licitação;</w:t>
      </w:r>
    </w:p>
    <w:p w:rsidR="00000000" w:rsidDel="00000000" w:rsidP="00000000" w:rsidRDefault="00000000" w:rsidRPr="00000000" w14:paraId="000000E8">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18.1.8. Praticar ato lesivo previsto no </w:t>
      </w:r>
      <w:hyperlink r:id="rId27">
        <w:r w:rsidDel="00000000" w:rsidR="00000000" w:rsidRPr="00000000">
          <w:rPr>
            <w:rFonts w:ascii="Arial" w:cs="Arial" w:eastAsia="Arial" w:hAnsi="Arial"/>
            <w:color w:val="000000"/>
            <w:sz w:val="22"/>
            <w:szCs w:val="22"/>
            <w:rtl w:val="0"/>
          </w:rPr>
          <w:t xml:space="preserve">art. 5º da Lei n.º</w:t>
        </w:r>
      </w:hyperlink>
      <w:hyperlink r:id="rId28">
        <w:r w:rsidDel="00000000" w:rsidR="00000000" w:rsidRPr="00000000">
          <w:rPr>
            <w:rFonts w:ascii="Arial" w:cs="Arial" w:eastAsia="Arial" w:hAnsi="Arial"/>
            <w:color w:val="000000"/>
            <w:sz w:val="22"/>
            <w:szCs w:val="22"/>
            <w:highlight w:val="white"/>
            <w:rtl w:val="0"/>
          </w:rPr>
          <w:t xml:space="preserve"> 12.846</w:t>
        </w:r>
      </w:hyperlink>
      <w:r w:rsidDel="00000000" w:rsidR="00000000" w:rsidRPr="00000000">
        <w:rPr>
          <w:rFonts w:ascii="Arial" w:cs="Arial" w:eastAsia="Arial" w:hAnsi="Arial"/>
          <w:color w:val="000000"/>
          <w:sz w:val="22"/>
          <w:szCs w:val="22"/>
          <w:highlight w:val="white"/>
          <w:rtl w:val="0"/>
        </w:rPr>
        <w:t xml:space="preserve">/</w:t>
      </w:r>
      <w:hyperlink r:id="rId29">
        <w:r w:rsidDel="00000000" w:rsidR="00000000" w:rsidRPr="00000000">
          <w:rPr>
            <w:rFonts w:ascii="Arial" w:cs="Arial" w:eastAsia="Arial" w:hAnsi="Arial"/>
            <w:color w:val="000000"/>
            <w:sz w:val="22"/>
            <w:szCs w:val="22"/>
            <w:rtl w:val="0"/>
          </w:rPr>
          <w:t xml:space="preserve">2013</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E9">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18</w:t>
      </w:r>
      <w:r w:rsidDel="00000000" w:rsidR="00000000" w:rsidRPr="00000000">
        <w:rPr>
          <w:rFonts w:ascii="Arial" w:cs="Arial" w:eastAsia="Arial" w:hAnsi="Arial"/>
          <w:color w:val="000000"/>
          <w:sz w:val="22"/>
          <w:szCs w:val="22"/>
          <w:highlight w:val="white"/>
          <w:rtl w:val="0"/>
        </w:rPr>
        <w:t xml:space="preserve">.2. Com fulcro na </w:t>
      </w:r>
      <w:hyperlink r:id="rId30">
        <w:r w:rsidDel="00000000" w:rsidR="00000000" w:rsidRPr="00000000">
          <w:rPr>
            <w:rFonts w:ascii="Arial" w:cs="Arial" w:eastAsia="Arial" w:hAnsi="Arial"/>
            <w:color w:val="000000"/>
            <w:sz w:val="22"/>
            <w:szCs w:val="22"/>
            <w:highlight w:val="white"/>
            <w:rtl w:val="0"/>
          </w:rPr>
          <w:t xml:space="preserve">Lei nº 14.133/2021</w:t>
        </w:r>
      </w:hyperlink>
      <w:r w:rsidDel="00000000" w:rsidR="00000000" w:rsidRPr="00000000">
        <w:rPr>
          <w:rFonts w:ascii="Arial" w:cs="Arial" w:eastAsia="Arial" w:hAnsi="Arial"/>
          <w:color w:val="000000"/>
          <w:sz w:val="22"/>
          <w:szCs w:val="22"/>
          <w:highlight w:val="white"/>
          <w:rtl w:val="0"/>
        </w:rPr>
        <w:t xml:space="preserve">, a Administração poderá, garantida a prévia defesa, aplicar aos licitantes e/ou adjudicatários as seguintes sanções, sem prejuízo das responsabilidades civil e criminal:</w:t>
      </w:r>
      <w:r w:rsidDel="00000000" w:rsidR="00000000" w:rsidRPr="00000000">
        <w:rPr>
          <w:rtl w:val="0"/>
        </w:rPr>
      </w:r>
    </w:p>
    <w:p w:rsidR="00000000" w:rsidDel="00000000" w:rsidP="00000000" w:rsidRDefault="00000000" w:rsidRPr="00000000" w14:paraId="000000EA">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18.2.1. Advertência;</w:t>
      </w:r>
      <w:r w:rsidDel="00000000" w:rsidR="00000000" w:rsidRPr="00000000">
        <w:rPr>
          <w:rtl w:val="0"/>
        </w:rPr>
      </w:r>
    </w:p>
    <w:p w:rsidR="00000000" w:rsidDel="00000000" w:rsidP="00000000" w:rsidRDefault="00000000" w:rsidRPr="00000000" w14:paraId="000000EB">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18.2.2. Multa;</w:t>
      </w:r>
      <w:r w:rsidDel="00000000" w:rsidR="00000000" w:rsidRPr="00000000">
        <w:rPr>
          <w:rtl w:val="0"/>
        </w:rPr>
      </w:r>
    </w:p>
    <w:p w:rsidR="00000000" w:rsidDel="00000000" w:rsidP="00000000" w:rsidRDefault="00000000" w:rsidRPr="00000000" w14:paraId="000000E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18.2.3. Impedimento de licitar e contratar e</w:t>
      </w:r>
      <w:r w:rsidDel="00000000" w:rsidR="00000000" w:rsidRPr="00000000">
        <w:rPr>
          <w:rtl w:val="0"/>
        </w:rPr>
      </w:r>
    </w:p>
    <w:p w:rsidR="00000000" w:rsidDel="00000000" w:rsidP="00000000" w:rsidRDefault="00000000" w:rsidRPr="00000000" w14:paraId="000000ED">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w:t>
      </w:r>
      <w:r w:rsidDel="00000000" w:rsidR="00000000" w:rsidRPr="00000000">
        <w:rPr>
          <w:rFonts w:ascii="Arial" w:cs="Arial" w:eastAsia="Arial" w:hAnsi="Arial"/>
          <w:color w:val="000000"/>
          <w:sz w:val="22"/>
          <w:szCs w:val="22"/>
          <w:rtl w:val="0"/>
        </w:rPr>
        <w:t xml:space="preserve">8</w:t>
      </w:r>
      <w:r w:rsidDel="00000000" w:rsidR="00000000" w:rsidRPr="00000000">
        <w:rPr>
          <w:rFonts w:ascii="Arial" w:cs="Arial" w:eastAsia="Arial" w:hAnsi="Arial"/>
          <w:color w:val="000000"/>
          <w:sz w:val="22"/>
          <w:szCs w:val="22"/>
          <w:highlight w:val="white"/>
          <w:rtl w:val="0"/>
        </w:rPr>
        <w:t xml:space="preserve">.2.4. Declaração de inidoneidade para licitar ou contratar, enquanto perdurarem os motivos determinantes da punição ou até que seja promovida sua reabilitação perante a própria autoridade que aplicou a penalidade;</w:t>
      </w:r>
      <w:r w:rsidDel="00000000" w:rsidR="00000000" w:rsidRPr="00000000">
        <w:rPr>
          <w:rtl w:val="0"/>
        </w:rPr>
      </w:r>
    </w:p>
    <w:p w:rsidR="00000000" w:rsidDel="00000000" w:rsidP="00000000" w:rsidRDefault="00000000" w:rsidRPr="00000000" w14:paraId="000000EE">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18.3. Na aplicação das sanções serão considerados:</w:t>
      </w:r>
      <w:r w:rsidDel="00000000" w:rsidR="00000000" w:rsidRPr="00000000">
        <w:rPr>
          <w:rtl w:val="0"/>
        </w:rPr>
      </w:r>
    </w:p>
    <w:p w:rsidR="00000000" w:rsidDel="00000000" w:rsidP="00000000" w:rsidRDefault="00000000" w:rsidRPr="00000000" w14:paraId="000000EF">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18.3.1. A natureza e a gravidade da infração cometida;</w:t>
      </w:r>
      <w:r w:rsidDel="00000000" w:rsidR="00000000" w:rsidRPr="00000000">
        <w:rPr>
          <w:rtl w:val="0"/>
        </w:rPr>
      </w:r>
    </w:p>
    <w:p w:rsidR="00000000" w:rsidDel="00000000" w:rsidP="00000000" w:rsidRDefault="00000000" w:rsidRPr="00000000" w14:paraId="000000F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18.3.2. As peculiaridades do caso concreto;</w:t>
      </w:r>
    </w:p>
    <w:p w:rsidR="00000000" w:rsidDel="00000000" w:rsidP="00000000" w:rsidRDefault="00000000" w:rsidRPr="00000000" w14:paraId="000000F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18.3.3. As circunstâncias agravantes ou atenuantes;</w:t>
      </w:r>
    </w:p>
    <w:p w:rsidR="00000000" w:rsidDel="00000000" w:rsidP="00000000" w:rsidRDefault="00000000" w:rsidRPr="00000000" w14:paraId="000000F2">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18.3.4. Os danos que dela provierem para a Administração Pública;</w:t>
      </w:r>
    </w:p>
    <w:p w:rsidR="00000000" w:rsidDel="00000000" w:rsidP="00000000" w:rsidRDefault="00000000" w:rsidRPr="00000000" w14:paraId="000000F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w:t>
      </w:r>
      <w:r w:rsidDel="00000000" w:rsidR="00000000" w:rsidRPr="00000000">
        <w:rPr>
          <w:rFonts w:ascii="Arial" w:cs="Arial" w:eastAsia="Arial" w:hAnsi="Arial"/>
          <w:color w:val="000000"/>
          <w:sz w:val="22"/>
          <w:szCs w:val="22"/>
          <w:highlight w:val="white"/>
          <w:rtl w:val="0"/>
        </w:rPr>
        <w:t xml:space="preserve">.3.5. 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0F4">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18.4. A sanção de multa não poderá ser inferior a 0,5% (cinco décimos por cento) nem superior a 30% (trinta por cento) do valor da contratação, conforme §3º do art. 156 da Lei nº 14.133/2021.</w:t>
      </w:r>
      <w:r w:rsidDel="00000000" w:rsidR="00000000" w:rsidRPr="00000000">
        <w:rPr>
          <w:rtl w:val="0"/>
        </w:rPr>
      </w:r>
    </w:p>
    <w:p w:rsidR="00000000" w:rsidDel="00000000" w:rsidP="00000000" w:rsidRDefault="00000000" w:rsidRPr="00000000" w14:paraId="000000F5">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w:t>
      </w:r>
      <w:r w:rsidDel="00000000" w:rsidR="00000000" w:rsidRPr="00000000">
        <w:rPr>
          <w:rFonts w:ascii="Arial" w:cs="Arial" w:eastAsia="Arial" w:hAnsi="Arial"/>
          <w:color w:val="000000"/>
          <w:sz w:val="22"/>
          <w:szCs w:val="22"/>
          <w:rtl w:val="0"/>
        </w:rPr>
        <w:t xml:space="preserve">8</w:t>
      </w:r>
      <w:r w:rsidDel="00000000" w:rsidR="00000000" w:rsidRPr="00000000">
        <w:rPr>
          <w:rFonts w:ascii="Arial" w:cs="Arial" w:eastAsia="Arial" w:hAnsi="Arial"/>
          <w:color w:val="000000"/>
          <w:sz w:val="22"/>
          <w:szCs w:val="22"/>
          <w:highlight w:val="white"/>
          <w:rtl w:val="0"/>
        </w:rPr>
        <w:t xml:space="preserve">.4.1. A multa será recolhida no prazo máximo de 10 (dez) dias úteis, a contar da comunicação oficial.</w:t>
      </w:r>
      <w:r w:rsidDel="00000000" w:rsidR="00000000" w:rsidRPr="00000000">
        <w:rPr>
          <w:rtl w:val="0"/>
        </w:rPr>
      </w:r>
    </w:p>
    <w:p w:rsidR="00000000" w:rsidDel="00000000" w:rsidP="00000000" w:rsidRDefault="00000000" w:rsidRPr="00000000" w14:paraId="000000F6">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18.4.1.1. Para as infrações previstas nos itens 18.1.1, 18.1.2 e 18.1.3, a multa será de 0,5% (cinco décimos percentuais</w:t>
      </w:r>
      <w:r w:rsidDel="00000000" w:rsidR="00000000" w:rsidRPr="00000000">
        <w:rPr>
          <w:rFonts w:ascii="Arial" w:cs="Arial" w:eastAsia="Arial" w:hAnsi="Arial"/>
          <w:i w:val="1"/>
          <w:color w:val="000000"/>
          <w:sz w:val="22"/>
          <w:szCs w:val="22"/>
          <w:rtl w:val="0"/>
        </w:rPr>
        <w:t xml:space="preserve">)</w:t>
      </w:r>
      <w:r w:rsidDel="00000000" w:rsidR="00000000" w:rsidRPr="00000000">
        <w:rPr>
          <w:rFonts w:ascii="Arial" w:cs="Arial" w:eastAsia="Arial" w:hAnsi="Arial"/>
          <w:color w:val="000000"/>
          <w:sz w:val="22"/>
          <w:szCs w:val="22"/>
          <w:rtl w:val="0"/>
        </w:rPr>
        <w:t xml:space="preserve"> do valor da contratação.</w:t>
      </w:r>
      <w:r w:rsidDel="00000000" w:rsidR="00000000" w:rsidRPr="00000000">
        <w:rPr>
          <w:rtl w:val="0"/>
        </w:rPr>
      </w:r>
    </w:p>
    <w:p w:rsidR="00000000" w:rsidDel="00000000" w:rsidP="00000000" w:rsidRDefault="00000000" w:rsidRPr="00000000" w14:paraId="000000F7">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18.4.1.2. Para as infrações previstas nos itens 18.1.4, 18.1.5, 18.1.6, 18.1.7 e 18.1.8, a multa será de 15% (quinze por cento) do valor da contratação.</w:t>
      </w:r>
    </w:p>
    <w:p w:rsidR="00000000" w:rsidDel="00000000" w:rsidP="00000000" w:rsidRDefault="00000000" w:rsidRPr="00000000" w14:paraId="000000F8">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18.5. As sanções de advertência, impedimento de licitar e contratar e declaração de inidoneidade para licitar ou contratar poderão ser aplicadas, cumulativamente ou não, à penalidade de multa.</w:t>
      </w:r>
      <w:r w:rsidDel="00000000" w:rsidR="00000000" w:rsidRPr="00000000">
        <w:rPr>
          <w:rtl w:val="0"/>
        </w:rPr>
      </w:r>
    </w:p>
    <w:p w:rsidR="00000000" w:rsidDel="00000000" w:rsidP="00000000" w:rsidRDefault="00000000" w:rsidRPr="00000000" w14:paraId="000000F9">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18.6. Na aplicação da sanção de multa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0FA">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18.7. A sanção de impedimento de licitar e contratar será aplicada ao responsável em decorrência das infrações administrativas relacionadas nos 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r w:rsidDel="00000000" w:rsidR="00000000" w:rsidRPr="00000000">
        <w:rPr>
          <w:rtl w:val="0"/>
        </w:rPr>
      </w:r>
    </w:p>
    <w:p w:rsidR="00000000" w:rsidDel="00000000" w:rsidP="00000000" w:rsidRDefault="00000000" w:rsidRPr="00000000" w14:paraId="000000FB">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18.8. Poderá ser aplicada ao responsável a sanção de declaração de inidoneidade para licitar ou contratar, em decorrência da prática das infrações dispostas nos itens 18.1.4, 18.1.5, 18.1.6, 18.1.7 e 18.1.8,  bem como pelas infrações administrativas previstas nos itens 18.1.1, 18.1.2 e 18.1.3 que justifiquem a imposição de penalidade mais grave que a sanção de impedimento de licitar e contratar, cuja duração observará o prazo previsto no </w:t>
      </w:r>
      <w:hyperlink r:id="rId31">
        <w:r w:rsidDel="00000000" w:rsidR="00000000" w:rsidRPr="00000000">
          <w:rPr>
            <w:rFonts w:ascii="Arial" w:cs="Arial" w:eastAsia="Arial" w:hAnsi="Arial"/>
            <w:color w:val="000000"/>
            <w:sz w:val="22"/>
            <w:szCs w:val="22"/>
            <w:rtl w:val="0"/>
          </w:rPr>
          <w:t xml:space="preserve">art. 156, §5º, da Lei n.º 14.133/2021</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FC">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18.9. A recusa injustificada do adjudicatário em assinar o contrato, ou em aceitar ou retirar o instrumento equivalente no prazo estabelecido pela Administração, descrita no item 18.1.3, caracterizará o descumprimento total da obrigação assumida e o sujeitará às penalidades e à imediata perda da garantia de proposta, se houver, em favor do órgão ou entidade promotora da licitação.</w:t>
      </w:r>
      <w:r w:rsidDel="00000000" w:rsidR="00000000" w:rsidRPr="00000000">
        <w:rPr>
          <w:rtl w:val="0"/>
        </w:rPr>
      </w:r>
    </w:p>
    <w:p w:rsidR="00000000" w:rsidDel="00000000" w:rsidP="00000000" w:rsidRDefault="00000000" w:rsidRPr="00000000" w14:paraId="000000FD">
      <w:pPr>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18.10. </w:t>
      </w:r>
      <w:r w:rsidDel="00000000" w:rsidR="00000000" w:rsidRPr="00000000">
        <w:rPr>
          <w:rFonts w:ascii="Arial" w:cs="Arial" w:eastAsia="Arial" w:hAnsi="Arial"/>
          <w:color w:val="000000"/>
          <w:sz w:val="22"/>
          <w:szCs w:val="22"/>
          <w:highlight w:val="white"/>
          <w:rtl w:val="0"/>
        </w:rPr>
        <w:t xml:space="preserve">O licitante recolherá a multa por meio de Documento de Arrecadação Estadual (DAE), podendo ser substituído por outro instrumento legal, em nome do órgão contratante, se não o fizer, será cobrada em processo de execução.</w:t>
      </w:r>
      <w:r w:rsidDel="00000000" w:rsidR="00000000" w:rsidRPr="00000000">
        <w:rPr>
          <w:rtl w:val="0"/>
        </w:rPr>
      </w:r>
    </w:p>
    <w:p w:rsidR="00000000" w:rsidDel="00000000" w:rsidP="00000000" w:rsidRDefault="00000000" w:rsidRPr="00000000" w14:paraId="000000FE">
      <w:pPr>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19. DA ADJUDICAÇÃO E DA HOMOLOGAÇÃO</w:t>
      </w:r>
    </w:p>
    <w:p w:rsidR="00000000" w:rsidDel="00000000" w:rsidP="00000000" w:rsidRDefault="00000000" w:rsidRPr="00000000" w14:paraId="000000FF">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19.1. A adjudicação do objeto e a homologação da licitação é de responsabilidade da autoridade superior.</w:t>
      </w:r>
    </w:p>
    <w:p w:rsidR="00000000" w:rsidDel="00000000" w:rsidP="00000000" w:rsidRDefault="00000000" w:rsidRPr="00000000" w14:paraId="0000010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19.2. O sistema gerará o relatório de disputa e de adjudicação e homologação.</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20. DA ATA DE REGISTRO DE PREÇOS</w:t>
      </w:r>
    </w:p>
    <w:p w:rsidR="00000000" w:rsidDel="00000000" w:rsidP="00000000" w:rsidRDefault="00000000" w:rsidRPr="00000000" w14:paraId="00000102">
      <w:pPr>
        <w:tabs>
          <w:tab w:val="left" w:leader="none" w:pos="1500"/>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20.1. O sistema gerará ata circunstanciada, na qual estarão registrados todos os atos do procedimento e as ocorrências relevantes.</w:t>
      </w:r>
      <w:r w:rsidDel="00000000" w:rsidR="00000000" w:rsidRPr="00000000">
        <w:rPr>
          <w:rtl w:val="0"/>
        </w:rPr>
      </w:r>
    </w:p>
    <w:p w:rsidR="00000000" w:rsidDel="00000000" w:rsidP="00000000" w:rsidRDefault="00000000" w:rsidRPr="00000000" w14:paraId="00000103">
      <w:pPr>
        <w:tabs>
          <w:tab w:val="left" w:leader="none" w:pos="1500"/>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20.2. Para efeito de homologação da licitação, o registro de preços observará, entre outras, as condições previstas no art. 11 do Decreto nº 35.323/2023, inclusive em relação a formação do cadastro reserva e demais licitantes classificados na licitação.</w:t>
      </w:r>
      <w:r w:rsidDel="00000000" w:rsidR="00000000" w:rsidRPr="00000000">
        <w:rPr>
          <w:rtl w:val="0"/>
        </w:rPr>
      </w:r>
    </w:p>
    <w:p w:rsidR="00000000" w:rsidDel="00000000" w:rsidP="00000000" w:rsidRDefault="00000000" w:rsidRPr="00000000" w14:paraId="00000104">
      <w:pPr>
        <w:tabs>
          <w:tab w:val="left" w:leader="none" w:pos="1500"/>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20.3. Após a homologação do resultado da licitação, os </w:t>
      </w:r>
      <w:r w:rsidDel="00000000" w:rsidR="00000000" w:rsidRPr="00000000">
        <w:rPr>
          <w:rFonts w:ascii="Arial" w:cs="Arial" w:eastAsia="Arial" w:hAnsi="Arial"/>
          <w:color w:val="000000"/>
          <w:sz w:val="22"/>
          <w:szCs w:val="22"/>
          <w:rtl w:val="0"/>
        </w:rPr>
        <w:t xml:space="preserve">preços</w:t>
      </w:r>
      <w:r w:rsidDel="00000000" w:rsidR="00000000" w:rsidRPr="00000000">
        <w:rPr>
          <w:rFonts w:ascii="Arial" w:cs="Arial" w:eastAsia="Arial" w:hAnsi="Arial"/>
          <w:color w:val="000000"/>
          <w:sz w:val="22"/>
          <w:szCs w:val="22"/>
          <w:highlight w:val="white"/>
          <w:rtl w:val="0"/>
        </w:rPr>
        <w:t xml:space="preserve"> ofertados pelos licitantes vencedores dos itens, serão registrados na Ata de Registro de Preços, elaborada conforme o anexo III deste edital, pelo</w:t>
      </w:r>
      <w:r w:rsidDel="00000000" w:rsidR="00000000" w:rsidRPr="00000000">
        <w:rPr>
          <w:rFonts w:ascii="Arial" w:cs="Arial" w:eastAsia="Arial" w:hAnsi="Arial"/>
          <w:i w:val="1"/>
          <w:color w:val="000000"/>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valor unitário</w:t>
      </w:r>
      <w:r w:rsidDel="00000000" w:rsidR="00000000" w:rsidRPr="00000000">
        <w:rPr>
          <w:rFonts w:ascii="Arial" w:cs="Arial" w:eastAsia="Arial" w:hAnsi="Arial"/>
          <w:i w:val="1"/>
          <w:color w:val="000000"/>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do item..</w:t>
      </w:r>
      <w:r w:rsidDel="00000000" w:rsidR="00000000" w:rsidRPr="00000000">
        <w:rPr>
          <w:rtl w:val="0"/>
        </w:rPr>
      </w:r>
    </w:p>
    <w:p w:rsidR="00000000" w:rsidDel="00000000" w:rsidP="00000000" w:rsidRDefault="00000000" w:rsidRPr="00000000" w14:paraId="00000105">
      <w:pPr>
        <w:tabs>
          <w:tab w:val="left" w:leader="none" w:pos="1500"/>
        </w:tabs>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20.4. Os licitantes classificados em primeiro lugar terão o prazo de 5 (cinco) dias úteis, a contar da data do recebimento da convocação, para comparecerem perante o gestor a fim de assinarem a Ata de Registro de Preços, sob pena de decair do direito à contratação, e sem prejuízo das sanções previstas no edital, podendo o prazo de comparecimento ser prorrogado uma vez, por igual período, desde que ocorra motivo justificado e aceito pela administração.</w:t>
      </w:r>
    </w:p>
    <w:p w:rsidR="00000000" w:rsidDel="00000000" w:rsidP="00000000" w:rsidRDefault="00000000" w:rsidRPr="00000000" w14:paraId="00000106">
      <w:pPr>
        <w:tabs>
          <w:tab w:val="left" w:leader="none" w:pos="1500"/>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20.5. A Ata de Registro de Preços poderá ser assinada por certificação digital, </w:t>
      </w:r>
      <w:r w:rsidDel="00000000" w:rsidR="00000000" w:rsidRPr="00000000">
        <w:rPr>
          <w:rFonts w:ascii="Arial" w:cs="Arial" w:eastAsia="Arial" w:hAnsi="Arial"/>
          <w:color w:val="000000"/>
          <w:sz w:val="22"/>
          <w:szCs w:val="22"/>
          <w:rtl w:val="0"/>
        </w:rPr>
        <w:t xml:space="preserve">com autenticidade reconhecida pelo ICP-Brasil.</w:t>
      </w:r>
    </w:p>
    <w:p w:rsidR="00000000" w:rsidDel="00000000" w:rsidP="00000000" w:rsidRDefault="00000000" w:rsidRPr="00000000" w14:paraId="00000107">
      <w:pPr>
        <w:tabs>
          <w:tab w:val="left" w:leader="none" w:pos="1500"/>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20.6. A habilitação dos </w:t>
      </w:r>
      <w:r w:rsidDel="00000000" w:rsidR="00000000" w:rsidRPr="00000000">
        <w:rPr>
          <w:rFonts w:ascii="Arial" w:cs="Arial" w:eastAsia="Arial" w:hAnsi="Arial"/>
          <w:color w:val="000000"/>
          <w:sz w:val="22"/>
          <w:szCs w:val="22"/>
          <w:highlight w:val="white"/>
          <w:rtl w:val="0"/>
        </w:rPr>
        <w:t xml:space="preserve">licitantes </w:t>
      </w:r>
      <w:r w:rsidDel="00000000" w:rsidR="00000000" w:rsidRPr="00000000">
        <w:rPr>
          <w:rFonts w:ascii="Arial" w:cs="Arial" w:eastAsia="Arial" w:hAnsi="Arial"/>
          <w:color w:val="000000"/>
          <w:sz w:val="22"/>
          <w:szCs w:val="22"/>
          <w:rtl w:val="0"/>
        </w:rPr>
        <w:t xml:space="preserve">que comporão o cadastro de reserva e dos demais classificados da licitação será julgada pelo pregoeiro, conforme §3º do art. 11 do Decreto nº 35.323/2023.</w:t>
      </w:r>
    </w:p>
    <w:p w:rsidR="00000000" w:rsidDel="00000000" w:rsidP="00000000" w:rsidRDefault="00000000" w:rsidRPr="00000000" w14:paraId="00000108">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20.7.</w:t>
      </w: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 Secretaria do Planejamento e Gestão - SEPLAG</w:t>
      </w: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será o órgão gestor da Ata de Registro de Preços de que trata este edital.</w:t>
      </w:r>
      <w:r w:rsidDel="00000000" w:rsidR="00000000" w:rsidRPr="00000000">
        <w:rPr>
          <w:rtl w:val="0"/>
        </w:rPr>
      </w:r>
    </w:p>
    <w:p w:rsidR="00000000" w:rsidDel="00000000" w:rsidP="00000000" w:rsidRDefault="00000000" w:rsidRPr="00000000" w14:paraId="0000010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20.8. A Ata de Registro de Preços, elaborada conforme Anexo III, será assinada pelo titular da Secretaria do Planejamento e Gestão - SEPLAG,</w:t>
      </w: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órgão gestor do Registro de Preços ou, por delegação, por seu substituto legal, e pelos representantes de cada um dos licitantes legalmente credenciados e identificados.</w:t>
      </w:r>
    </w:p>
    <w:p w:rsidR="00000000" w:rsidDel="00000000" w:rsidP="00000000" w:rsidRDefault="00000000" w:rsidRPr="00000000" w14:paraId="0000010A">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20.9.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w:t>
      </w:r>
    </w:p>
    <w:p w:rsidR="00000000" w:rsidDel="00000000" w:rsidP="00000000" w:rsidRDefault="00000000" w:rsidRPr="00000000" w14:paraId="0000010B">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20.10. Os preços registrados na Ata de Registro de Preços serão divulgados no Portal de Compras do Estado e no Portal Nacional de Contratações Públicas (PNCP), e ficarão disponibilizados, por, no mínimo, a vigência da ata de registro de preços.</w:t>
      </w:r>
      <w:r w:rsidDel="00000000" w:rsidR="00000000" w:rsidRPr="00000000">
        <w:rPr>
          <w:rtl w:val="0"/>
        </w:rPr>
      </w:r>
    </w:p>
    <w:p w:rsidR="00000000" w:rsidDel="00000000" w:rsidP="00000000" w:rsidRDefault="00000000" w:rsidRPr="00000000" w14:paraId="0000010C">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20.11. A Ata de Registro de Preços uma vez lavrada e assinada, não obriga a Administração a firmar as contratações que dela poderão advir, ficando-lhe facultada a utilização de licitação específica, desde que devidamente motivada, sendo assegurado ao detentor do registro de preços a preferência em igualdade de condições.</w:t>
      </w:r>
    </w:p>
    <w:p w:rsidR="00000000" w:rsidDel="00000000" w:rsidP="00000000" w:rsidRDefault="00000000" w:rsidRPr="00000000" w14:paraId="0000010D">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20.12. O participante do SRP (Sistema de Registro de Preços), quando necessitar, efetuará aquisições</w:t>
      </w: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junto aos detentores de preços registrados, de acordo com os quantitativos e especificações previstos, durante a vigência do Ata.</w:t>
      </w:r>
      <w:r w:rsidDel="00000000" w:rsidR="00000000" w:rsidRPr="00000000">
        <w:rPr>
          <w:rtl w:val="0"/>
        </w:rPr>
      </w:r>
    </w:p>
    <w:p w:rsidR="00000000" w:rsidDel="00000000" w:rsidP="00000000" w:rsidRDefault="00000000" w:rsidRPr="00000000" w14:paraId="0000010E">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20.13 Os detentores de preços registrados ficarão obrigados a fornecer o objeto licitado aos órgãos e entidades participantes do SRP (Sistema de Registro de Preços), nos prazos,  quantidades e demais condições definidas no Anexo I – Termo de Referência deste edital.</w:t>
      </w:r>
      <w:r w:rsidDel="00000000" w:rsidR="00000000" w:rsidRPr="00000000">
        <w:rPr>
          <w:rtl w:val="0"/>
        </w:rPr>
      </w:r>
    </w:p>
    <w:p w:rsidR="00000000" w:rsidDel="00000000" w:rsidP="00000000" w:rsidRDefault="00000000" w:rsidRPr="00000000" w14:paraId="0000010F">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20.14 A Ata de Registro de Preços, durante sua vigência, poderá ser utilizada por órgão ou entidade de outros entes federativos, como órgãos e entidades interessados, mediante consulta prévia ao órgão gestor do registro de preços, conforme disciplina o art. 20 do Decreto nº 35.323/2023.</w:t>
      </w:r>
      <w:r w:rsidDel="00000000" w:rsidR="00000000" w:rsidRPr="00000000">
        <w:rPr>
          <w:rtl w:val="0"/>
        </w:rPr>
      </w:r>
    </w:p>
    <w:p w:rsidR="00000000" w:rsidDel="00000000" w:rsidP="00000000" w:rsidRDefault="00000000" w:rsidRPr="00000000" w14:paraId="00000110">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20.15. Os órgãos e entidades interessados, quando desejarem fazer uso da Ata de Registro de Preços, deverão manifestar seu interesse junto ao órgão gestor do Registro de Preços, o qual indicará o fornecedor e o preço a ser praticado.</w:t>
      </w:r>
    </w:p>
    <w:p w:rsidR="00000000" w:rsidDel="00000000" w:rsidP="00000000" w:rsidRDefault="00000000" w:rsidRPr="00000000" w14:paraId="00000111">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20.15.1. As contratações decorrentes da utilização da Ata de Registro de Preços de que trata este subitem não poderão exceder, por órgão e entidades interessados, a 50% (cinquenta por cento) dos quantitativos dos itens do instrumento convocatório, registrados na ata de registro de preços para o órgão gerenciador e para os órgãos participantes.</w:t>
      </w:r>
    </w:p>
    <w:p w:rsidR="00000000" w:rsidDel="00000000" w:rsidP="00000000" w:rsidRDefault="00000000" w:rsidRPr="00000000" w14:paraId="00000112">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20.15.2. O quantitativo decorrente das adesões à Ata de Registro de Preços a que se refere o item anterior, não poderá exceder, na totalidade, ao dobro do quantitativo de cada item registrado na ata de registro de preços para o órgão gerenciador e órgãos participantes, independentemente do número de órgãos e entidades interessados que aderirem.</w:t>
      </w:r>
      <w:r w:rsidDel="00000000" w:rsidR="00000000" w:rsidRPr="00000000">
        <w:rPr>
          <w:rtl w:val="0"/>
        </w:rPr>
      </w:r>
    </w:p>
    <w:p w:rsidR="00000000" w:rsidDel="00000000" w:rsidP="00000000" w:rsidRDefault="00000000" w:rsidRPr="00000000" w14:paraId="00000113">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20.15.3 Os órgãos e entidades interessados deverão efetivar a contratação em até 90 (noventa) dias, contados a partir da autorização do órgão gestor do registro de preços, observado o prazo de vigência da ata.</w:t>
      </w:r>
    </w:p>
    <w:p w:rsidR="00000000" w:rsidDel="00000000" w:rsidP="00000000" w:rsidRDefault="00000000" w:rsidRPr="00000000" w14:paraId="00000114">
      <w:pPr>
        <w:spacing w:after="57" w:before="57" w:lineRule="auto"/>
        <w:ind w:left="-141" w:right="133" w:firstLine="0"/>
        <w:jc w:val="both"/>
        <w:rPr>
          <w:rFonts w:ascii="Times New Roman" w:cs="Times New Roman" w:eastAsia="Times New Roman" w:hAnsi="Times New Roman"/>
          <w:color w:val="000000"/>
        </w:rPr>
      </w:pPr>
      <w:r w:rsidDel="00000000" w:rsidR="00000000" w:rsidRPr="00000000">
        <w:rPr>
          <w:rFonts w:ascii="Arial" w:cs="Arial" w:eastAsia="Arial" w:hAnsi="Arial"/>
          <w:color w:val="000000"/>
          <w:sz w:val="22"/>
          <w:szCs w:val="22"/>
          <w:rtl w:val="0"/>
        </w:rPr>
        <w:t xml:space="preserve">20.15.4 A comunicação ao gestor do registro de preços acerca do cumprimento do prazo previsto no subitem 20.15.3. será providenciada pelo órgão e entidade interessados até o quinto dia útil após a contratação.</w:t>
      </w:r>
      <w:r w:rsidDel="00000000" w:rsidR="00000000" w:rsidRPr="00000000">
        <w:rPr>
          <w:rtl w:val="0"/>
        </w:rPr>
      </w:r>
    </w:p>
    <w:p w:rsidR="00000000" w:rsidDel="00000000" w:rsidP="00000000" w:rsidRDefault="00000000" w:rsidRPr="00000000" w14:paraId="00000115">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20.15.5. O órgão gestor do registro de preços não autorizará a adesão à ata de registro de preços para contratação separada de itens de objeto adjudicado por preço global para os quais o detentor do registro não tenha apresentado o menor preço.</w:t>
      </w:r>
      <w:r w:rsidDel="00000000" w:rsidR="00000000" w:rsidRPr="00000000">
        <w:rPr>
          <w:rtl w:val="0"/>
        </w:rPr>
      </w:r>
    </w:p>
    <w:p w:rsidR="00000000" w:rsidDel="00000000" w:rsidP="00000000" w:rsidRDefault="00000000" w:rsidRPr="00000000" w14:paraId="00000116">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20.16. Caberá ao órgão gestor do Registro de Preços, para utilização da Ata por órgãos e entidades interessados da Administração Pública, proceder a indicação do licitante detentor do preço registrado, obedecida à ordem de classificação.</w:t>
      </w:r>
    </w:p>
    <w:p w:rsidR="00000000" w:rsidDel="00000000" w:rsidP="00000000" w:rsidRDefault="00000000" w:rsidRPr="00000000" w14:paraId="00000117">
      <w:pPr>
        <w:spacing w:after="57" w:before="57" w:lineRule="auto"/>
        <w:ind w:left="-141" w:right="133"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20.17 O detentor de preços registrados que descumprir as condições da Ata de Registro de Preços, terá o seu registro cancelado nas hipóteses previstas nos incisos I a IX do artigo 25 do Decreto n° 35.323/2023.</w:t>
      </w:r>
      <w:r w:rsidDel="00000000" w:rsidR="00000000" w:rsidRPr="00000000">
        <w:rPr>
          <w:rtl w:val="0"/>
        </w:rPr>
      </w:r>
    </w:p>
    <w:p w:rsidR="00000000" w:rsidDel="00000000" w:rsidP="00000000" w:rsidRDefault="00000000" w:rsidRPr="00000000" w14:paraId="00000118">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20.18. Os preços registrados poderão ser revistos a qualquer tempo em decorrência da redução dos preços praticados no mercado ou de fato que eleve os custos dos itens registrados, observado o constante no art. 23 do Decreto n.º 35.323/2023.</w:t>
      </w:r>
    </w:p>
    <w:p w:rsidR="00000000" w:rsidDel="00000000" w:rsidP="00000000" w:rsidRDefault="00000000" w:rsidRPr="00000000" w14:paraId="00000119">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20.19. O Órgão Gestor convocará o detentor do preço registrado para negociar o preço e adequá-lo ao preço de mercado, sempre que verificar que o preço registrado está acima do preço de mercado. </w:t>
      </w:r>
    </w:p>
    <w:p w:rsidR="00000000" w:rsidDel="00000000" w:rsidP="00000000" w:rsidRDefault="00000000" w:rsidRPr="00000000" w14:paraId="0000011A">
      <w:pPr>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20.19.1 Não havendo êxito nas negociações, o gestor  da Ata poderá convocar os demais licitantes classificados, podendo negociar os preços de mercado, ou cancelar o item, ou ainda revogar a Ata de Registro de Preços.</w:t>
      </w:r>
    </w:p>
    <w:p w:rsidR="00000000" w:rsidDel="00000000" w:rsidP="00000000" w:rsidRDefault="00000000" w:rsidRPr="00000000" w14:paraId="0000011B">
      <w:pPr>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20.20 Serão considerados preços de mercado, os preços que forem iguais ou inferiores à média daqueles apurados pela Administração para os itens registrados.</w:t>
      </w:r>
      <w:r w:rsidDel="00000000" w:rsidR="00000000" w:rsidRPr="00000000">
        <w:rPr>
          <w:rtl w:val="0"/>
        </w:rPr>
      </w:r>
    </w:p>
    <w:p w:rsidR="00000000" w:rsidDel="00000000" w:rsidP="00000000" w:rsidRDefault="00000000" w:rsidRPr="00000000" w14:paraId="0000011C">
      <w:pPr>
        <w:widowControl w:val="0"/>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20.21. As alterações registradas, oriundas de revisão dos preços ou da marca ou modelo do item registrado, serão publicadas no Diário Oficial do Estado e na página oficial do Governo do Estado na internet.</w:t>
      </w:r>
      <w:r w:rsidDel="00000000" w:rsidR="00000000" w:rsidRPr="00000000">
        <w:rPr>
          <w:rtl w:val="0"/>
        </w:rPr>
      </w:r>
    </w:p>
    <w:p w:rsidR="00000000" w:rsidDel="00000000" w:rsidP="00000000" w:rsidRDefault="00000000" w:rsidRPr="00000000" w14:paraId="0000011D">
      <w:pPr>
        <w:widowControl w:val="0"/>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20.22. As demais condições contratuais se encontram estabelecidas nos anexos deste edital.</w:t>
      </w:r>
    </w:p>
    <w:p w:rsidR="00000000" w:rsidDel="00000000" w:rsidP="00000000" w:rsidRDefault="00000000" w:rsidRPr="00000000" w14:paraId="0000011E">
      <w:pPr>
        <w:widowControl w:val="0"/>
        <w:spacing w:after="57" w:before="57" w:lineRule="auto"/>
        <w:ind w:left="-141" w:right="133"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20.23 As quantidades previstas no Anexo I – Termo de Referência deste edital, são estimativas máximas para o período de validade da Ata de Registro de Preços, reservando-se a Administração, através do órgão e entidade participante, o direito de adquirir o quantitativo que julgar necessário ou mesmo abster-se de adquirir o item especificado.</w:t>
      </w:r>
    </w:p>
    <w:p w:rsidR="00000000" w:rsidDel="00000000" w:rsidP="00000000" w:rsidRDefault="00000000" w:rsidRPr="00000000" w14:paraId="0000011F">
      <w:pPr>
        <w:widowControl w:val="0"/>
        <w:tabs>
          <w:tab w:val="left" w:leader="none" w:pos="488"/>
        </w:tabs>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21. DA CONTRATAÇÃO</w:t>
      </w:r>
    </w:p>
    <w:p w:rsidR="00000000" w:rsidDel="00000000" w:rsidP="00000000" w:rsidRDefault="00000000" w:rsidRPr="00000000" w14:paraId="00000120">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21.1. O adjudicatário terá o prazo de 5 (cinco) dias úteis, contados a partir da convocação, para assinar, aceitar ou retirar o instrumento equivalente de contrato. Este prazo poderá ser prorrogado uma vez por igual período, desde que solicitado durante o seu transcurso e, ainda assim, se devidamente justificado e aceito.</w:t>
      </w:r>
    </w:p>
    <w:p w:rsidR="00000000" w:rsidDel="00000000" w:rsidP="00000000" w:rsidRDefault="00000000" w:rsidRPr="00000000" w14:paraId="00000121">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21.1.1. O instrumento equivalente de contrato poderá ser assinado por certificação digital, com autenticidade reconhecida pelo ICP-Brasil.</w:t>
      </w:r>
    </w:p>
    <w:p w:rsidR="00000000" w:rsidDel="00000000" w:rsidP="00000000" w:rsidRDefault="00000000" w:rsidRPr="00000000" w14:paraId="00000122">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21.2. Na assinatura, no aceite ou na retirada do instrumento equivalente de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rsidR="00000000" w:rsidDel="00000000" w:rsidP="00000000" w:rsidRDefault="00000000" w:rsidRPr="00000000" w14:paraId="00000123">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21.3. Será exigida, ainda, a comprovação de abertura de conta no Banco BRADESCO.</w:t>
      </w:r>
    </w:p>
    <w:p w:rsidR="00000000" w:rsidDel="00000000" w:rsidP="00000000" w:rsidRDefault="00000000" w:rsidRPr="00000000" w14:paraId="00000124">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21.4. Quando o adjudicatário não comprovar as condições habilitatórias consignadas neste edital, ou recusar-se a assinar, aceitar ou retirar o instrumento de contrato, poderá ser convidado outro licitante pelo pregoeiro, desde que respeitada a ordem de classificação, para, depois de comprovados os requisitos habilitatórios e feita a negociação, assinar, aceitar ou retirar o instrumento equivalente de contrato.</w:t>
      </w:r>
    </w:p>
    <w:p w:rsidR="00000000" w:rsidDel="00000000" w:rsidP="00000000" w:rsidRDefault="00000000" w:rsidRPr="00000000" w14:paraId="00000125">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21.5. A forma de pagamento, obrigações, recebimento e demais condições aplicáveis à contratação estão definidas no Anexo I – Termo de Referência, parte integrante deste edital.</w:t>
      </w:r>
    </w:p>
    <w:p w:rsidR="00000000" w:rsidDel="00000000" w:rsidP="00000000" w:rsidRDefault="00000000" w:rsidRPr="00000000" w14:paraId="00000126">
      <w:pPr>
        <w:widowControl w:val="0"/>
        <w:tabs>
          <w:tab w:val="left" w:leader="none" w:pos="488"/>
        </w:tabs>
        <w:spacing w:after="60" w:before="60" w:lineRule="auto"/>
        <w:ind w:left="-140" w:right="140"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21.6. Da Subcontratação</w:t>
      </w:r>
    </w:p>
    <w:p w:rsidR="00000000" w:rsidDel="00000000" w:rsidP="00000000" w:rsidRDefault="00000000" w:rsidRPr="00000000" w14:paraId="00000127">
      <w:pPr>
        <w:widowControl w:val="0"/>
        <w:tabs>
          <w:tab w:val="left" w:leader="none" w:pos="488"/>
        </w:tabs>
        <w:spacing w:after="60" w:before="60" w:lineRule="auto"/>
        <w:ind w:left="-140" w:right="14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21.6.1. Não será admitida a subcontratação.</w:t>
      </w:r>
    </w:p>
    <w:p w:rsidR="00000000" w:rsidDel="00000000" w:rsidP="00000000" w:rsidRDefault="00000000" w:rsidRPr="00000000" w14:paraId="00000128">
      <w:pPr>
        <w:widowControl w:val="0"/>
        <w:tabs>
          <w:tab w:val="left" w:leader="none" w:pos="488"/>
        </w:tabs>
        <w:spacing w:after="60" w:before="60" w:lineRule="auto"/>
        <w:ind w:left="-140" w:right="140"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21.7. Da Garantia contratual</w:t>
      </w:r>
    </w:p>
    <w:p w:rsidR="00000000" w:rsidDel="00000000" w:rsidP="00000000" w:rsidRDefault="00000000" w:rsidRPr="00000000" w14:paraId="00000129">
      <w:pPr>
        <w:widowControl w:val="0"/>
        <w:tabs>
          <w:tab w:val="left" w:leader="none" w:pos="488"/>
        </w:tabs>
        <w:spacing w:after="60" w:before="60" w:lineRule="auto"/>
        <w:ind w:left="-140" w:right="140" w:firstLine="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21.7.1. Não haverá exigência de garantia de execução para a contratação.</w:t>
      </w:r>
      <w:r w:rsidDel="00000000" w:rsidR="00000000" w:rsidRPr="00000000">
        <w:rPr>
          <w:rtl w:val="0"/>
        </w:rPr>
      </w:r>
    </w:p>
    <w:p w:rsidR="00000000" w:rsidDel="00000000" w:rsidP="00000000" w:rsidRDefault="00000000" w:rsidRPr="00000000" w14:paraId="0000012A">
      <w:pPr>
        <w:widowControl w:val="0"/>
        <w:tabs>
          <w:tab w:val="left" w:leader="none" w:pos="488"/>
        </w:tabs>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22. DAS DISPOSIÇÕES GERAIS</w:t>
      </w:r>
    </w:p>
    <w:p w:rsidR="00000000" w:rsidDel="00000000" w:rsidP="00000000" w:rsidRDefault="00000000" w:rsidRPr="00000000" w14:paraId="0000012B">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22.1. A homologação do resultado desta licitação não implicará direito à contratação.</w:t>
      </w:r>
    </w:p>
    <w:p w:rsidR="00000000" w:rsidDel="00000000" w:rsidP="00000000" w:rsidRDefault="00000000" w:rsidRPr="00000000" w14:paraId="0000012C">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22.2. As normas disciplinadoras da licitação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12D">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22.3. 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12E">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22.4. Na contagem dos prazos estabelecidos neste edital, excluir-se-ão os dias de início e incluir-se-ão os dias de vencimento. Os prazos estabelecidos neste edital para a fase externa se iniciam e se vencem somente nos dias e horários de expediente da Central de Licitações. Os demais prazos se iniciam e se vencem exclusivamente em dias úteis de expediente da contratante.</w:t>
      </w:r>
    </w:p>
    <w:p w:rsidR="00000000" w:rsidDel="00000000" w:rsidP="00000000" w:rsidRDefault="00000000" w:rsidRPr="00000000" w14:paraId="0000012F">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22.5. 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130">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22.6. Em caso de divergência entre disposições deste Edital e de seus anexos ou demais peças que compõem o processo, prevalecerá as deste Edital.</w:t>
      </w:r>
    </w:p>
    <w:p w:rsidR="00000000" w:rsidDel="00000000" w:rsidP="00000000" w:rsidRDefault="00000000" w:rsidRPr="00000000" w14:paraId="00000131">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22.7. É facultado ao pregoeiro ou à autoridade competente, em qualquer fase da licitação, a promoção de diligência destinada a esclarecer ou a complementar a instrução do processo licitatório.</w:t>
      </w:r>
    </w:p>
    <w:p w:rsidR="00000000" w:rsidDel="00000000" w:rsidP="00000000" w:rsidRDefault="00000000" w:rsidRPr="00000000" w14:paraId="00000132">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22.8. O descumprimento de prazos estabelecidos neste edital e/ou pelo pregoeiro ou o não atendimento às solicitações ensejará DESCLASSIFICAÇÃO ou INABILITAÇÃO do licitante.</w:t>
      </w:r>
    </w:p>
    <w:p w:rsidR="00000000" w:rsidDel="00000000" w:rsidP="00000000" w:rsidRDefault="00000000" w:rsidRPr="00000000" w14:paraId="00000133">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22.9. Toda a documentação fará parte dos autos e não será devolvida à licitante, ainda que se trate de originais.</w:t>
      </w:r>
    </w:p>
    <w:p w:rsidR="00000000" w:rsidDel="00000000" w:rsidP="00000000" w:rsidRDefault="00000000" w:rsidRPr="00000000" w14:paraId="00000134">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22.10. Os representantes legais dos licitantes são responsáveis pela fidelidade e legitimidade das informações e dos documentos apresentados em qualquer fase da licitação.</w:t>
      </w:r>
    </w:p>
    <w:p w:rsidR="00000000" w:rsidDel="00000000" w:rsidP="00000000" w:rsidRDefault="00000000" w:rsidRPr="00000000" w14:paraId="00000135">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22.11. Os casos omissos serão resolvidos pelo pregoeiro, nos termos da legislação pertinente.</w:t>
      </w:r>
    </w:p>
    <w:p w:rsidR="00000000" w:rsidDel="00000000" w:rsidP="00000000" w:rsidRDefault="00000000" w:rsidRPr="00000000" w14:paraId="00000136">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22.12. O foro designado para julgamento de quaisquer questões judiciais resultantes deste edital será o da Comarca de Fortaleza, Capital do Estado do Ceará.</w:t>
      </w:r>
    </w:p>
    <w:p w:rsidR="00000000" w:rsidDel="00000000" w:rsidP="00000000" w:rsidRDefault="00000000" w:rsidRPr="00000000" w14:paraId="00000137">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22.13. Integram este Edital, para todos os fins e efeitos, os seguintes anexos:</w:t>
      </w:r>
    </w:p>
    <w:p w:rsidR="00000000" w:rsidDel="00000000" w:rsidP="00000000" w:rsidRDefault="00000000" w:rsidRPr="00000000" w14:paraId="00000138">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ANEXO I – Termo de Referência</w:t>
      </w:r>
    </w:p>
    <w:p w:rsidR="00000000" w:rsidDel="00000000" w:rsidP="00000000" w:rsidRDefault="00000000" w:rsidRPr="00000000" w14:paraId="00000139">
      <w:pPr>
        <w:widowControl w:val="0"/>
        <w:tabs>
          <w:tab w:val="left" w:leader="none" w:pos="488"/>
        </w:tabs>
        <w:spacing w:after="57" w:before="57" w:lineRule="auto"/>
        <w:ind w:left="-141" w:right="133"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ANEXO II – Carta Proposta</w:t>
      </w:r>
    </w:p>
    <w:p w:rsidR="00000000" w:rsidDel="00000000" w:rsidP="00000000" w:rsidRDefault="00000000" w:rsidRPr="00000000" w14:paraId="0000013A">
      <w:pPr>
        <w:widowControl w:val="0"/>
        <w:tabs>
          <w:tab w:val="left" w:leader="none" w:pos="488"/>
        </w:tabs>
        <w:spacing w:after="57" w:before="57" w:lineRule="auto"/>
        <w:ind w:left="-141" w:right="133" w:firstLine="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ANEXO III – Minuta da Ata de Registro de Preços</w:t>
      </w: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141" w:right="133"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57" w:before="57" w:line="240" w:lineRule="auto"/>
        <w:ind w:left="-141" w:right="133"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0"/>
          <w:i w:val="0"/>
          <w:smallCaps w:val="0"/>
          <w:strike w:val="0"/>
          <w:color w:val="000000"/>
          <w:sz w:val="22"/>
          <w:szCs w:val="22"/>
          <w:u w:val="none"/>
          <w:shd w:fill="auto" w:val="clear"/>
          <w:vertAlign w:val="baseline"/>
        </w:rPr>
        <w:sectPr>
          <w:headerReference r:id="rId32" w:type="default"/>
          <w:footerReference r:id="rId33" w:type="default"/>
          <w:pgSz w:h="16838" w:w="11906" w:orient="portrait"/>
          <w:pgMar w:bottom="1133.8582677165355" w:top="1984.2519685039372" w:left="1133.8582677165355" w:right="1133.8582677165355" w:header="340" w:footer="397"/>
          <w:pgNumType w:start="1"/>
        </w:sectPr>
      </w:pPr>
      <w:r w:rsidDel="00000000" w:rsidR="00000000" w:rsidRPr="00000000">
        <w:rPr>
          <w:rFonts w:ascii="Arial" w:cs="Arial" w:eastAsia="Arial" w:hAnsi="Arial"/>
          <w:color w:val="000000"/>
          <w:sz w:val="22"/>
          <w:szCs w:val="22"/>
          <w:rtl w:val="0"/>
        </w:rPr>
        <w:t xml:space="preserve">Fortaleza/CE,    de                      de 20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sectPr>
          <w:type w:val="continuous"/>
          <w:pgSz w:h="16838" w:w="11906" w:orient="portrait"/>
          <w:pgMar w:bottom="1133.8582677165355" w:top="1984.2519685039372" w:left="1134" w:right="1134" w:header="340" w:footer="397"/>
          <w:cols w:equalWidth="0" w:num="2">
            <w:col w:space="720" w:w="4458.999999999999"/>
            <w:col w:space="0" w:w="4458.999999999999"/>
          </w:cols>
        </w:sect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____________________________________ </w:t>
      </w:r>
      <w:r w:rsidDel="00000000" w:rsidR="00000000" w:rsidRPr="00000000">
        <w:rPr>
          <w:rFonts w:ascii="Arial" w:cs="Arial" w:eastAsia="Arial" w:hAnsi="Arial"/>
          <w:color w:val="000000"/>
          <w:sz w:val="22"/>
          <w:szCs w:val="22"/>
          <w:rtl w:val="0"/>
        </w:rPr>
        <w:t xml:space="preserve">Alexandre Sobreira Cialdini</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ORDENADOR DE DESPESAS</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Aprovado:_________________________</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i w:val="0"/>
          <w:smallCaps w:val="0"/>
          <w:strike w:val="0"/>
          <w:color w:val="000000"/>
          <w:sz w:val="22"/>
          <w:szCs w:val="22"/>
          <w:u w:val="none"/>
          <w:shd w:fill="auto" w:val="clear"/>
          <w:vertAlign w:val="baseline"/>
        </w:rPr>
        <w:sectPr>
          <w:type w:val="continuous"/>
          <w:pgSz w:h="16838" w:w="11906" w:orient="portrait"/>
          <w:pgMar w:bottom="1133.8582677165355" w:top="1984.2519685039372" w:left="1134" w:right="1134" w:header="340" w:footer="397"/>
          <w:cols w:equalWidth="0" w:num="2">
            <w:col w:space="720" w:w="4458.999999999999"/>
            <w:col w:space="0" w:w="4458.999999999999"/>
          </w:cols>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Assessoria Jurídica – SEPLAG</w:t>
      </w:r>
    </w:p>
    <w:p w:rsidR="00000000" w:rsidDel="00000000" w:rsidP="00000000" w:rsidRDefault="00000000" w:rsidRPr="00000000" w14:paraId="00000145">
      <w:pPr>
        <w:keepNext w:val="0"/>
        <w:keepLines w:val="1"/>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26"/>
          <w:tab w:val="left" w:leader="none" w:pos="10028"/>
          <w:tab w:val="left" w:leader="none" w:pos="10158"/>
          <w:tab w:val="left" w:leader="none" w:pos="10288"/>
          <w:tab w:val="left" w:leader="none" w:pos="10326"/>
        </w:tabs>
        <w:spacing w:after="57" w:before="5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26"/>
          <w:tab w:val="left" w:leader="none" w:pos="10028"/>
          <w:tab w:val="left" w:leader="none" w:pos="10158"/>
          <w:tab w:val="left" w:leader="none" w:pos="10288"/>
          <w:tab w:val="left" w:leader="none" w:pos="10326"/>
        </w:tabs>
        <w:spacing w:after="57" w:before="57"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26"/>
          <w:tab w:val="left" w:leader="none" w:pos="10028"/>
          <w:tab w:val="left" w:leader="none" w:pos="10158"/>
          <w:tab w:val="left" w:leader="none" w:pos="10288"/>
          <w:tab w:val="left" w:leader="none" w:pos="10326"/>
        </w:tabs>
        <w:spacing w:after="57" w:before="57"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26"/>
          <w:tab w:val="left" w:leader="none" w:pos="10028"/>
          <w:tab w:val="left" w:leader="none" w:pos="10158"/>
          <w:tab w:val="left" w:leader="none" w:pos="10288"/>
          <w:tab w:val="left" w:leader="none" w:pos="10326"/>
        </w:tabs>
        <w:spacing w:after="57" w:before="57"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26"/>
          <w:tab w:val="left" w:leader="none" w:pos="10028"/>
          <w:tab w:val="left" w:leader="none" w:pos="10158"/>
          <w:tab w:val="left" w:leader="none" w:pos="10288"/>
          <w:tab w:val="left" w:leader="none" w:pos="10326"/>
        </w:tabs>
        <w:spacing w:after="57" w:before="57"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sectPr>
          <w:type w:val="continuous"/>
          <w:pgSz w:h="16838" w:w="11906" w:orient="portrait"/>
          <w:pgMar w:bottom="1133.8582677165355" w:top="1984.2519685039372" w:left="1134" w:right="1134" w:header="340" w:footer="397"/>
        </w:sectPr>
      </w:pPr>
      <w:r w:rsidDel="00000000" w:rsidR="00000000" w:rsidRPr="00000000">
        <w:rPr>
          <w:rtl w:val="0"/>
        </w:rPr>
      </w:r>
    </w:p>
    <w:p w:rsidR="00000000" w:rsidDel="00000000" w:rsidP="00000000" w:rsidRDefault="00000000" w:rsidRPr="00000000" w14:paraId="0000014C">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4D">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4E">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4F">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50">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51">
      <w:pPr>
        <w:tabs>
          <w:tab w:val="left" w:leader="none" w:pos="1241"/>
        </w:tabs>
        <w:spacing w:after="57" w:lineRule="auto"/>
        <w:ind w:left="283.46456692913375" w:right="135.4724409448835" w:firstLine="0"/>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52">
      <w:pPr>
        <w:tabs>
          <w:tab w:val="left" w:leader="none" w:pos="1241"/>
        </w:tabs>
        <w:spacing w:after="57" w:lineRule="auto"/>
        <w:ind w:left="283.46456692913375" w:right="135.4724409448835" w:firstLine="0"/>
        <w:jc w:val="center"/>
        <w:rPr>
          <w:rFonts w:ascii="Arial" w:cs="Arial" w:eastAsia="Arial" w:hAnsi="Arial"/>
          <w:color w:val="000000"/>
          <w:sz w:val="22"/>
          <w:szCs w:val="22"/>
        </w:rPr>
        <w:sectPr>
          <w:type w:val="continuous"/>
          <w:pgSz w:h="16838" w:w="11906" w:orient="portrait"/>
          <w:pgMar w:bottom="1133.8582677165355" w:top="1984.2519685039372" w:left="1134" w:right="1134" w:header="340" w:footer="397"/>
        </w:sectPr>
      </w:pPr>
      <w:r w:rsidDel="00000000" w:rsidR="00000000" w:rsidRPr="00000000">
        <w:rPr>
          <w:rFonts w:ascii="Arial" w:cs="Arial" w:eastAsia="Arial" w:hAnsi="Arial"/>
          <w:b w:val="1"/>
          <w:color w:val="000000"/>
          <w:sz w:val="22"/>
          <w:szCs w:val="22"/>
          <w:rtl w:val="0"/>
        </w:rPr>
        <w:t xml:space="preserve">ANEXO I - TERMO DE REFERÊNCIA</w:t>
      </w:r>
      <w:r w:rsidDel="00000000" w:rsidR="00000000" w:rsidRPr="00000000">
        <w:rPr>
          <w:rtl w:val="0"/>
        </w:rPr>
      </w:r>
    </w:p>
    <w:p w:rsidR="00000000" w:rsidDel="00000000" w:rsidP="00000000" w:rsidRDefault="00000000" w:rsidRPr="00000000" w14:paraId="00000153">
      <w:pPr>
        <w:widowControl w:val="0"/>
        <w:spacing w:after="57" w:before="57" w:lineRule="auto"/>
        <w:ind w:left="0" w:right="135.4724409448835" w:firstLine="0"/>
        <w:jc w:val="center"/>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PROCESSO N° 46001.007565/2025-75</w:t>
      </w:r>
      <w:r w:rsidDel="00000000" w:rsidR="00000000" w:rsidRPr="00000000">
        <w:rPr>
          <w:rtl w:val="0"/>
        </w:rPr>
      </w:r>
    </w:p>
    <w:p w:rsidR="00000000" w:rsidDel="00000000" w:rsidP="00000000" w:rsidRDefault="00000000" w:rsidRPr="00000000" w14:paraId="00000154">
      <w:pPr>
        <w:widowControl w:val="0"/>
        <w:spacing w:after="57" w:before="57" w:lineRule="auto"/>
        <w:ind w:left="283.46456692913375" w:right="135.4724409448835" w:firstLine="0"/>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UNIDADE REQUISITANTE: COORDENADORIA DE GESTÃO DE COMPRAS- COGEC</w:t>
      </w:r>
    </w:p>
    <w:p w:rsidR="00000000" w:rsidDel="00000000" w:rsidP="00000000" w:rsidRDefault="00000000" w:rsidRPr="00000000" w14:paraId="00000155">
      <w:pPr>
        <w:widowControl w:val="0"/>
        <w:spacing w:after="57" w:lineRule="auto"/>
        <w:ind w:left="283.46456692913375" w:right="135.472440944883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156">
      <w:pPr>
        <w:widowControl w:val="0"/>
        <w:spacing w:after="57" w:lineRule="auto"/>
        <w:ind w:left="283.46456692913375" w:right="135.4724409448835" w:firstLine="0"/>
        <w:jc w:val="both"/>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rtl w:val="0"/>
        </w:rPr>
        <w:t xml:space="preserve">1. DO OBJETO</w:t>
      </w:r>
      <w:r w:rsidDel="00000000" w:rsidR="00000000" w:rsidRPr="00000000">
        <w:rPr>
          <w:rtl w:val="0"/>
        </w:rPr>
      </w:r>
    </w:p>
    <w:p w:rsidR="00000000" w:rsidDel="00000000" w:rsidP="00000000" w:rsidRDefault="00000000" w:rsidRPr="00000000" w14:paraId="00000157">
      <w:pPr>
        <w:widowControl w:val="0"/>
        <w:spacing w:after="57" w:lineRule="auto"/>
        <w:ind w:left="283.46456692913375" w:right="135.4724409448835"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1.1.</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Registro de Preço para futuras e eventuais aquisições de Material de Consumo – Utensílios de Limpeza, de acordo com as especificações e quantitativos previstos neste Termo.</w:t>
      </w:r>
      <w:r w:rsidDel="00000000" w:rsidR="00000000" w:rsidRPr="00000000">
        <w:rPr>
          <w:rtl w:val="0"/>
        </w:rPr>
      </w:r>
    </w:p>
    <w:p w:rsidR="00000000" w:rsidDel="00000000" w:rsidP="00000000" w:rsidRDefault="00000000" w:rsidRPr="00000000" w14:paraId="00000158">
      <w:pPr>
        <w:widowControl w:val="0"/>
        <w:spacing w:after="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 Este objeto será realizado através de licitação na modalidade PREGÃO, na forma ELETRÔNICA, do tipo MENOR PREÇO, com a forma de fornecimento parcelado.</w:t>
      </w:r>
    </w:p>
    <w:p w:rsidR="00000000" w:rsidDel="00000000" w:rsidP="00000000" w:rsidRDefault="00000000" w:rsidRPr="00000000" w14:paraId="00000159">
      <w:pPr>
        <w:widowControl w:val="0"/>
        <w:spacing w:after="60" w:before="60" w:lineRule="auto"/>
        <w:ind w:left="283.4645669291337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highlight w:val="white"/>
          <w:rtl w:val="0"/>
        </w:rPr>
        <w:t xml:space="preserve">2. DAS ESPECIFICAÇÕES, QUANTITATIVOS E ESTIMATIVA DO VALOR DA CONTRATAÇÃO</w:t>
      </w:r>
      <w:r w:rsidDel="00000000" w:rsidR="00000000" w:rsidRPr="00000000">
        <w:rPr>
          <w:rtl w:val="0"/>
        </w:rPr>
      </w:r>
    </w:p>
    <w:tbl>
      <w:tblPr>
        <w:tblStyle w:val="Table1"/>
        <w:tblW w:w="9450.0" w:type="dxa"/>
        <w:jc w:val="left"/>
        <w:tblInd w:w="152.0" w:type="dxa"/>
        <w:tblBorders>
          <w:top w:color="000001" w:space="0" w:sz="6" w:val="single"/>
          <w:left w:color="000001" w:space="0" w:sz="6" w:val="single"/>
          <w:bottom w:color="000001" w:space="0" w:sz="6" w:val="single"/>
          <w:insideH w:color="000001" w:space="0" w:sz="6" w:val="single"/>
        </w:tblBorders>
        <w:tblLayout w:type="fixed"/>
        <w:tblLook w:val="0000"/>
      </w:tblPr>
      <w:tblGrid>
        <w:gridCol w:w="810"/>
        <w:gridCol w:w="3045"/>
        <w:gridCol w:w="1755"/>
        <w:gridCol w:w="1155"/>
        <w:gridCol w:w="1140"/>
        <w:gridCol w:w="1545"/>
        <w:tblGridChange w:id="0">
          <w:tblGrid>
            <w:gridCol w:w="810"/>
            <w:gridCol w:w="3045"/>
            <w:gridCol w:w="1755"/>
            <w:gridCol w:w="1155"/>
            <w:gridCol w:w="1140"/>
            <w:gridCol w:w="1545"/>
          </w:tblGrid>
        </w:tblGridChange>
      </w:tblGrid>
      <w:tr>
        <w:trPr>
          <w:cantSplit w:val="1"/>
          <w:trHeight w:val="765" w:hRule="atLeast"/>
          <w:tblHeader w:val="0"/>
        </w:trPr>
        <w:tc>
          <w:tcPr>
            <w:tcBorders>
              <w:top w:color="000001" w:space="0" w:sz="6" w:val="single"/>
              <w:left w:color="000001" w:space="0" w:sz="6" w:val="single"/>
              <w:bottom w:color="000001" w:space="0" w:sz="6" w:val="single"/>
            </w:tcBorders>
            <w:shd w:fill="bfbfbf" w:val="clear"/>
            <w:vAlign w:val="center"/>
          </w:tcPr>
          <w:p w:rsidR="00000000" w:rsidDel="00000000" w:rsidP="00000000" w:rsidRDefault="00000000" w:rsidRPr="00000000" w14:paraId="0000015A">
            <w:pPr>
              <w:widowControl w:val="0"/>
              <w:spacing w:after="60" w:before="60"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ITEM</w:t>
            </w:r>
          </w:p>
        </w:tc>
        <w:tc>
          <w:tcPr>
            <w:tcBorders>
              <w:top w:color="000001" w:space="0" w:sz="6" w:val="single"/>
              <w:left w:color="000001" w:space="0" w:sz="6" w:val="single"/>
              <w:bottom w:color="000001" w:space="0" w:sz="6" w:val="single"/>
            </w:tcBorders>
            <w:shd w:fill="bfbfbf" w:val="clear"/>
            <w:vAlign w:val="center"/>
          </w:tcPr>
          <w:p w:rsidR="00000000" w:rsidDel="00000000" w:rsidP="00000000" w:rsidRDefault="00000000" w:rsidRPr="00000000" w14:paraId="0000015B">
            <w:pPr>
              <w:widowControl w:val="0"/>
              <w:spacing w:after="60" w:before="60" w:lineRule="auto"/>
              <w:ind w:left="283.46456692913375" w:firstLine="0"/>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ESPECIFICAÇÃO</w:t>
            </w:r>
          </w:p>
        </w:tc>
        <w:tc>
          <w:tcPr>
            <w:tcBorders>
              <w:top w:color="000001" w:space="0" w:sz="6" w:val="single"/>
              <w:left w:color="000001" w:space="0" w:sz="6" w:val="single"/>
              <w:bottom w:color="000001" w:space="0" w:sz="6" w:val="single"/>
            </w:tcBorders>
            <w:shd w:fill="bfbfbf" w:val="clear"/>
            <w:vAlign w:val="center"/>
          </w:tcPr>
          <w:p w:rsidR="00000000" w:rsidDel="00000000" w:rsidP="00000000" w:rsidRDefault="00000000" w:rsidRPr="00000000" w14:paraId="0000015C">
            <w:pPr>
              <w:widowControl w:val="0"/>
              <w:spacing w:after="60" w:before="60" w:lineRule="auto"/>
              <w:jc w:val="center"/>
              <w:rPr>
                <w:color w:val="000000"/>
                <w:sz w:val="18"/>
                <w:szCs w:val="18"/>
              </w:rPr>
            </w:pPr>
            <w:r w:rsidDel="00000000" w:rsidR="00000000" w:rsidRPr="00000000">
              <w:rPr>
                <w:rFonts w:ascii="Arial" w:cs="Arial" w:eastAsia="Arial" w:hAnsi="Arial"/>
                <w:b w:val="1"/>
                <w:color w:val="000000"/>
                <w:sz w:val="18"/>
                <w:szCs w:val="18"/>
                <w:rtl w:val="0"/>
              </w:rPr>
              <w:t xml:space="preserve">UNIDADE DE FORNECIMENTO</w:t>
            </w:r>
            <w:r w:rsidDel="00000000" w:rsidR="00000000" w:rsidRPr="00000000">
              <w:rPr>
                <w:rtl w:val="0"/>
              </w:rPr>
            </w:r>
          </w:p>
        </w:tc>
        <w:tc>
          <w:tcPr>
            <w:tcBorders>
              <w:top w:color="000001" w:space="0" w:sz="6" w:val="single"/>
              <w:left w:color="000001" w:space="0" w:sz="6" w:val="single"/>
              <w:bottom w:color="000001" w:space="0" w:sz="6" w:val="single"/>
            </w:tcBorders>
            <w:shd w:fill="bfbfbf" w:val="clear"/>
            <w:vAlign w:val="center"/>
          </w:tcPr>
          <w:p w:rsidR="00000000" w:rsidDel="00000000" w:rsidP="00000000" w:rsidRDefault="00000000" w:rsidRPr="00000000" w14:paraId="0000015D">
            <w:pPr>
              <w:widowControl w:val="0"/>
              <w:spacing w:after="60" w:before="60" w:lineRule="auto"/>
              <w:jc w:val="center"/>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QUANT.</w:t>
            </w:r>
          </w:p>
        </w:tc>
        <w:tc>
          <w:tcPr>
            <w:tcBorders>
              <w:top w:color="000001" w:space="0" w:sz="6" w:val="single"/>
              <w:left w:color="000001" w:space="0" w:sz="6" w:val="single"/>
              <w:bottom w:color="000001" w:space="0" w:sz="6" w:val="single"/>
            </w:tcBorders>
            <w:shd w:fill="bfbfbf" w:val="clear"/>
            <w:vAlign w:val="center"/>
          </w:tcPr>
          <w:p w:rsidR="00000000" w:rsidDel="00000000" w:rsidP="00000000" w:rsidRDefault="00000000" w:rsidRPr="00000000" w14:paraId="0000015E">
            <w:pPr>
              <w:widowControl w:val="0"/>
              <w:spacing w:after="60" w:before="60" w:lineRule="auto"/>
              <w:rPr>
                <w:color w:val="000000"/>
                <w:sz w:val="18"/>
                <w:szCs w:val="18"/>
              </w:rPr>
            </w:pPr>
            <w:r w:rsidDel="00000000" w:rsidR="00000000" w:rsidRPr="00000000">
              <w:rPr>
                <w:rFonts w:ascii="Arial" w:cs="Arial" w:eastAsia="Arial" w:hAnsi="Arial"/>
                <w:b w:val="1"/>
                <w:color w:val="000000"/>
                <w:sz w:val="18"/>
                <w:szCs w:val="18"/>
                <w:rtl w:val="0"/>
              </w:rPr>
              <w:t xml:space="preserve">VALOR UNITÁRIO</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bfbfbf" w:val="clear"/>
            <w:vAlign w:val="center"/>
          </w:tcPr>
          <w:p w:rsidR="00000000" w:rsidDel="00000000" w:rsidP="00000000" w:rsidRDefault="00000000" w:rsidRPr="00000000" w14:paraId="0000015F">
            <w:pPr>
              <w:widowControl w:val="0"/>
              <w:spacing w:after="60" w:before="60"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VALOR GLOBAL</w:t>
            </w:r>
          </w:p>
        </w:tc>
      </w:tr>
      <w:tr>
        <w:trPr>
          <w:cantSplit w:val="1"/>
          <w:trHeight w:val="1666.2084960937502"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60">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01</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161">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1813 </w:t>
            </w:r>
            <w:r w:rsidDel="00000000" w:rsidR="00000000" w:rsidRPr="00000000">
              <w:rPr>
                <w:rFonts w:ascii="Arial" w:cs="Arial" w:eastAsia="Arial" w:hAnsi="Arial"/>
                <w:color w:val="000000"/>
                <w:sz w:val="18"/>
                <w:szCs w:val="18"/>
                <w:rtl w:val="0"/>
              </w:rPr>
              <w:t xml:space="preserve">- PANO DE CHAO, TIPO SACO, 100% ALGODAO, ALVEJADO, BORDAS ACABAMENTO OVERLOCK, DIMENSOES 70 X 50CM, VARIACAO +/- 5CM, AVULSO 1.0 UNIDADE - </w:t>
            </w:r>
            <w:r w:rsidDel="00000000" w:rsidR="00000000" w:rsidRPr="00000000">
              <w:rPr>
                <w:rFonts w:ascii="Arial" w:cs="Arial" w:eastAsia="Arial" w:hAnsi="Arial"/>
                <w:b w:val="1"/>
                <w:color w:val="000000"/>
                <w:sz w:val="18"/>
                <w:szCs w:val="18"/>
                <w:rtl w:val="0"/>
              </w:rPr>
              <w:t xml:space="preserve">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62">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63">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AVULSO 1.0</w:t>
            </w:r>
          </w:p>
          <w:p w:rsidR="00000000" w:rsidDel="00000000" w:rsidP="00000000" w:rsidRDefault="00000000" w:rsidRPr="00000000" w14:paraId="00000164">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p w:rsidR="00000000" w:rsidDel="00000000" w:rsidP="00000000" w:rsidRDefault="00000000" w:rsidRPr="00000000" w14:paraId="00000165">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6">
            <w:pPr>
              <w:widowControl w:val="0"/>
              <w:spacing w:before="40"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150.672</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7">
            <w:pPr>
              <w:widowControl w:val="0"/>
              <w:spacing w:before="40"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8">
            <w:pPr>
              <w:widowControl w:val="0"/>
              <w:spacing w:before="40"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753.360,00</w:t>
            </w:r>
          </w:p>
        </w:tc>
      </w:tr>
      <w:tr>
        <w:trPr>
          <w:cantSplit w:val="1"/>
          <w:trHeight w:val="91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69">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02</w:t>
            </w:r>
          </w:p>
        </w:tc>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16A">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1813 </w:t>
            </w:r>
            <w:r w:rsidDel="00000000" w:rsidR="00000000" w:rsidRPr="00000000">
              <w:rPr>
                <w:rFonts w:ascii="Arial" w:cs="Arial" w:eastAsia="Arial" w:hAnsi="Arial"/>
                <w:color w:val="000000"/>
                <w:sz w:val="18"/>
                <w:szCs w:val="18"/>
                <w:rtl w:val="0"/>
              </w:rPr>
              <w:t xml:space="preserve">- PANO DE CHAO, TIPO SACO, 100% ALGODAO, ALVEJADO, BORDAS ACABAMENTO OVERLOCK, DIMENSOES 70 X 50CM, VARIACAO +/- 5CM, AVULSO 1.0 UNIDADE - </w:t>
            </w:r>
            <w:r w:rsidDel="00000000" w:rsidR="00000000" w:rsidRPr="00000000">
              <w:rPr>
                <w:rFonts w:ascii="Arial" w:cs="Arial" w:eastAsia="Arial" w:hAnsi="Arial"/>
                <w:b w:val="1"/>
                <w:color w:val="000000"/>
                <w:sz w:val="18"/>
                <w:szCs w:val="18"/>
                <w:rtl w:val="0"/>
              </w:rPr>
              <w:t xml:space="preserve">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6B">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AVULSO 1.0</w:t>
            </w:r>
          </w:p>
          <w:p w:rsidR="00000000" w:rsidDel="00000000" w:rsidP="00000000" w:rsidRDefault="00000000" w:rsidRPr="00000000" w14:paraId="0000016C">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D">
            <w:pPr>
              <w:widowControl w:val="0"/>
              <w:spacing w:before="40"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50.220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E">
            <w:pPr>
              <w:widowControl w:val="0"/>
              <w:spacing w:before="40"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6F">
            <w:pPr>
              <w:widowControl w:val="0"/>
              <w:spacing w:before="40"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251.100,00</w:t>
            </w:r>
          </w:p>
        </w:tc>
      </w:tr>
      <w:tr>
        <w:trPr>
          <w:cantSplit w:val="1"/>
          <w:trHeight w:val="1028.9648437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70">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03</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71">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1961 </w:t>
            </w:r>
            <w:r w:rsidDel="00000000" w:rsidR="00000000" w:rsidRPr="00000000">
              <w:rPr>
                <w:rFonts w:ascii="Arial" w:cs="Arial" w:eastAsia="Arial" w:hAnsi="Arial"/>
                <w:color w:val="000000"/>
                <w:sz w:val="18"/>
                <w:szCs w:val="18"/>
                <w:rtl w:val="0"/>
              </w:rPr>
              <w:t xml:space="preserve">- ESPONJA PARA LIMPEZA, DUPLA FACE, SINTETICA, LADO ESPUMA POLIURETANO OUTRO FIBRA SINTETICA ABRASIVA, DIMENSOES 100X70X20MM, VARIACAO +/- 10MM, EMBALAGEM COM IDENTIFICACAO DO PRODUTO, MARCA DO FABRICANTE, EMBALAGEM 1.0 UNIDADE - </w:t>
            </w:r>
            <w:r w:rsidDel="00000000" w:rsidR="00000000" w:rsidRPr="00000000">
              <w:rPr>
                <w:rFonts w:ascii="Arial" w:cs="Arial" w:eastAsia="Arial" w:hAnsi="Arial"/>
                <w:b w:val="1"/>
                <w:color w:val="000000"/>
                <w:sz w:val="18"/>
                <w:szCs w:val="18"/>
                <w:rtl w:val="0"/>
              </w:rPr>
              <w:t xml:space="preserve">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72">
            <w:pPr>
              <w:widowControl w:val="0"/>
              <w:spacing w:line="276" w:lineRule="auto"/>
              <w:ind w:left="0" w:firstLine="0"/>
              <w:jc w:val="left"/>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73">
            <w:pPr>
              <w:widowControl w:val="0"/>
              <w:spacing w:line="276" w:lineRule="auto"/>
              <w:ind w:left="0" w:firstLine="0"/>
              <w:jc w:val="left"/>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74">
            <w:pPr>
              <w:widowControl w:val="0"/>
              <w:spacing w:line="276" w:lineRule="auto"/>
              <w:ind w:left="283.46456692913375" w:firstLine="0"/>
              <w:jc w:val="left"/>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75">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6">
            <w:pPr>
              <w:widowControl w:val="0"/>
              <w:spacing w:before="40"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171.343</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7">
            <w:pPr>
              <w:widowControl w:val="0"/>
              <w:spacing w:before="40"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1,7500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8">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299.850,25</w:t>
            </w:r>
          </w:p>
        </w:tc>
      </w:tr>
      <w:tr>
        <w:trPr>
          <w:cantSplit w:val="1"/>
          <w:trHeight w:val="76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79">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04</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7A">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1961 </w:t>
            </w:r>
            <w:r w:rsidDel="00000000" w:rsidR="00000000" w:rsidRPr="00000000">
              <w:rPr>
                <w:rFonts w:ascii="Arial" w:cs="Arial" w:eastAsia="Arial" w:hAnsi="Arial"/>
                <w:color w:val="000000"/>
                <w:sz w:val="18"/>
                <w:szCs w:val="18"/>
                <w:rtl w:val="0"/>
              </w:rPr>
              <w:t xml:space="preserve">- ESPONJA PARA LIMPEZA, DUPLA FACE, SINTETICA, LADO ESPUMA POLIURETANO OUTRO FIBRA SINTETICA ABRASIVA, DIMENSOES 100X70X20MM, VARIACAO +/- 10MM, EMBALAGEM COM IDENTIFICACAO DO PRODUTO, MARCA DO FABRICANTE, EMBALAGEM 1.0 UNIDADE - </w:t>
            </w:r>
            <w:r w:rsidDel="00000000" w:rsidR="00000000" w:rsidRPr="00000000">
              <w:rPr>
                <w:rFonts w:ascii="Arial" w:cs="Arial" w:eastAsia="Arial" w:hAnsi="Arial"/>
                <w:b w:val="1"/>
                <w:color w:val="000000"/>
                <w:sz w:val="18"/>
                <w:szCs w:val="18"/>
                <w:rtl w:val="0"/>
              </w:rPr>
              <w:t xml:space="preserve">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7B">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7C">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D">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57.110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E">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1,7500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7F">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99.942,50</w:t>
            </w:r>
          </w:p>
        </w:tc>
      </w:tr>
      <w:tr>
        <w:trPr>
          <w:cantSplit w:val="1"/>
          <w:trHeight w:val="960"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80">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05</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81">
            <w:pPr>
              <w:widowControl w:val="0"/>
              <w:spacing w:line="276" w:lineRule="auto"/>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4847 </w:t>
            </w:r>
            <w:r w:rsidDel="00000000" w:rsidR="00000000" w:rsidRPr="00000000">
              <w:rPr>
                <w:rFonts w:ascii="Arial" w:cs="Arial" w:eastAsia="Arial" w:hAnsi="Arial"/>
                <w:color w:val="000000"/>
                <w:sz w:val="18"/>
                <w:szCs w:val="18"/>
                <w:rtl w:val="0"/>
              </w:rPr>
              <w:t xml:space="preserve">- BALDE, PLASTICO ALTA RESISTENCIA, 10 LITROS,</w:t>
            </w:r>
          </w:p>
          <w:p w:rsidR="00000000" w:rsidDel="00000000" w:rsidP="00000000" w:rsidRDefault="00000000" w:rsidRPr="00000000" w14:paraId="00000182">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ALCA DE METAL, EMBALAGEM 1.0 UNIDADE - </w:t>
            </w:r>
            <w:r w:rsidDel="00000000" w:rsidR="00000000" w:rsidRPr="00000000">
              <w:rPr>
                <w:rFonts w:ascii="Arial" w:cs="Arial" w:eastAsia="Arial" w:hAnsi="Arial"/>
                <w:b w:val="1"/>
                <w:color w:val="000000"/>
                <w:sz w:val="18"/>
                <w:szCs w:val="18"/>
                <w:rtl w:val="0"/>
              </w:rPr>
              <w:t xml:space="preserve">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83">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84">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85">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86">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87">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12.701</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88">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89">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127.010,00</w:t>
            </w:r>
          </w:p>
        </w:tc>
      </w:tr>
      <w:tr>
        <w:trPr>
          <w:cantSplit w:val="1"/>
          <w:trHeight w:val="1080"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8A">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8B">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06</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8C">
            <w:pPr>
              <w:widowControl w:val="0"/>
              <w:spacing w:line="276"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4847 </w:t>
            </w:r>
            <w:r w:rsidDel="00000000" w:rsidR="00000000" w:rsidRPr="00000000">
              <w:rPr>
                <w:rFonts w:ascii="Arial" w:cs="Arial" w:eastAsia="Arial" w:hAnsi="Arial"/>
                <w:color w:val="000000"/>
                <w:sz w:val="18"/>
                <w:szCs w:val="18"/>
                <w:rtl w:val="0"/>
              </w:rPr>
              <w:t xml:space="preserve">- BALDE, PLASTICO ALTA RESISTENCIA, 10 LITROS, ALCA DE METAL, EMBALAGEM 1.0 UNIDADE - </w:t>
            </w:r>
            <w:r w:rsidDel="00000000" w:rsidR="00000000" w:rsidRPr="00000000">
              <w:rPr>
                <w:rFonts w:ascii="Arial" w:cs="Arial" w:eastAsia="Arial" w:hAnsi="Arial"/>
                <w:b w:val="1"/>
                <w:color w:val="000000"/>
                <w:sz w:val="18"/>
                <w:szCs w:val="18"/>
                <w:rtl w:val="0"/>
              </w:rPr>
              <w:t xml:space="preserve">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8D">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8E">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8F">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90">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91">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4.213</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92">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93">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42.130,00</w:t>
            </w:r>
          </w:p>
        </w:tc>
      </w:tr>
      <w:tr>
        <w:trPr>
          <w:cantSplit w:val="1"/>
          <w:trHeight w:val="1110"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94">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07</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95">
            <w:pPr>
              <w:widowControl w:val="0"/>
              <w:spacing w:before="0" w:lineRule="auto"/>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4863 </w:t>
            </w:r>
            <w:r w:rsidDel="00000000" w:rsidR="00000000" w:rsidRPr="00000000">
              <w:rPr>
                <w:rFonts w:ascii="Arial" w:cs="Arial" w:eastAsia="Arial" w:hAnsi="Arial"/>
                <w:color w:val="000000"/>
                <w:sz w:val="18"/>
                <w:szCs w:val="18"/>
                <w:rtl w:val="0"/>
              </w:rPr>
              <w:t xml:space="preserve">- BALDE, PLASTICO, POLIETILENO ALTA DENSIDADE, 100 LITROS, RESISTENTE A IMPACTO, TAMPA, ALCA LATERAL PLASTICA, EMBALAGEM 1.0 UNIDADE - </w:t>
            </w:r>
            <w:r w:rsidDel="00000000" w:rsidR="00000000" w:rsidRPr="00000000">
              <w:rPr>
                <w:rFonts w:ascii="Arial" w:cs="Arial" w:eastAsia="Arial" w:hAnsi="Arial"/>
                <w:b w:val="1"/>
                <w:color w:val="000000"/>
                <w:sz w:val="18"/>
                <w:szCs w:val="18"/>
                <w:rtl w:val="0"/>
              </w:rPr>
              <w:t xml:space="preserve">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96">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197">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98">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99">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9A">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6.082</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9B">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47,2900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9C">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287.617,78</w:t>
            </w:r>
          </w:p>
        </w:tc>
      </w:tr>
      <w:tr>
        <w:trPr>
          <w:cantSplit w:val="1"/>
          <w:trHeight w:val="1170"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9D">
            <w:pPr>
              <w:widowControl w:val="0"/>
              <w:spacing w:after="240" w:lineRule="auto"/>
              <w:ind w:left="283.46456692913375" w:firstLine="0"/>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9E">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08</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9F">
            <w:pPr>
              <w:widowControl w:val="0"/>
              <w:spacing w:before="0" w:line="276" w:lineRule="auto"/>
              <w:jc w:val="both"/>
              <w:rPr>
                <w:rFonts w:ascii="Arial" w:cs="Arial" w:eastAsia="Arial" w:hAnsi="Arial"/>
                <w:b w:val="1"/>
                <w:color w:val="000000"/>
                <w:sz w:val="18"/>
                <w:szCs w:val="18"/>
                <w:highlight w:val="white"/>
              </w:rPr>
            </w:pPr>
            <w:r w:rsidDel="00000000" w:rsidR="00000000" w:rsidRPr="00000000">
              <w:rPr>
                <w:rFonts w:ascii="Arial" w:cs="Arial" w:eastAsia="Arial" w:hAnsi="Arial"/>
                <w:b w:val="1"/>
                <w:color w:val="000000"/>
                <w:sz w:val="18"/>
                <w:szCs w:val="18"/>
                <w:highlight w:val="white"/>
                <w:rtl w:val="0"/>
              </w:rPr>
              <w:t xml:space="preserve">4863 - </w:t>
            </w:r>
            <w:r w:rsidDel="00000000" w:rsidR="00000000" w:rsidRPr="00000000">
              <w:rPr>
                <w:rFonts w:ascii="Arial" w:cs="Arial" w:eastAsia="Arial" w:hAnsi="Arial"/>
                <w:color w:val="000000"/>
                <w:sz w:val="18"/>
                <w:szCs w:val="18"/>
                <w:highlight w:val="white"/>
                <w:rtl w:val="0"/>
              </w:rPr>
              <w:t xml:space="preserve">BALDE, PLASTICO, POLIETILENO ALTA DENSIDADE, 100 LITROS, RESISTENTE A IMPACTO, TAMPA, ALCA LATERAL PLASTICA, EMBALAGEM 1.0 UNIDADE</w:t>
            </w:r>
            <w:r w:rsidDel="00000000" w:rsidR="00000000" w:rsidRPr="00000000">
              <w:rPr>
                <w:rFonts w:ascii="Arial" w:cs="Arial" w:eastAsia="Arial" w:hAnsi="Arial"/>
                <w:b w:val="1"/>
                <w:color w:val="000000"/>
                <w:sz w:val="18"/>
                <w:szCs w:val="18"/>
                <w:highlight w:val="white"/>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A0">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A1">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A2">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A3">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A4">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2.011</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A5">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47,2900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A6">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95.100,19</w:t>
            </w:r>
          </w:p>
        </w:tc>
      </w:tr>
      <w:tr>
        <w:trPr>
          <w:cantSplit w:val="1"/>
          <w:trHeight w:val="953.9648437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A7">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09</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A8">
            <w:pPr>
              <w:widowControl w:val="0"/>
              <w:spacing w:line="276" w:lineRule="auto"/>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26263 </w:t>
            </w:r>
            <w:r w:rsidDel="00000000" w:rsidR="00000000" w:rsidRPr="00000000">
              <w:rPr>
                <w:rFonts w:ascii="Arial" w:cs="Arial" w:eastAsia="Arial" w:hAnsi="Arial"/>
                <w:color w:val="000000"/>
                <w:sz w:val="18"/>
                <w:szCs w:val="18"/>
                <w:rtl w:val="0"/>
              </w:rPr>
              <w:t xml:space="preserve">- BALDE, PLASTICO ALTA RESISTENCIA, 20 LITROS, ALCA METALICA, EMBALAGEM 1.0 UNIDADE - </w:t>
            </w:r>
            <w:r w:rsidDel="00000000" w:rsidR="00000000" w:rsidRPr="00000000">
              <w:rPr>
                <w:rFonts w:ascii="Arial" w:cs="Arial" w:eastAsia="Arial" w:hAnsi="Arial"/>
                <w:b w:val="1"/>
                <w:color w:val="000000"/>
                <w:sz w:val="18"/>
                <w:szCs w:val="18"/>
                <w:rtl w:val="0"/>
              </w:rPr>
              <w:t xml:space="preserve">PART. EXCLUSIVA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A9">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AA">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AB">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AC">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AD">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8.266</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AE">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9,2000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AF">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76.047,20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B0">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B1">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196533 </w:t>
            </w:r>
            <w:r w:rsidDel="00000000" w:rsidR="00000000" w:rsidRPr="00000000">
              <w:rPr>
                <w:rFonts w:ascii="Arial" w:cs="Arial" w:eastAsia="Arial" w:hAnsi="Arial"/>
                <w:color w:val="000000"/>
                <w:sz w:val="18"/>
                <w:szCs w:val="18"/>
                <w:rtl w:val="0"/>
              </w:rPr>
              <w:t xml:space="preserve">- CESTO PARA LIXO, PLASTICO RESISTENTE, 10 LITROS, TAMPA BASCULANTE, EMBALAGEM 1.0 UNIDADE - </w:t>
            </w:r>
            <w:r w:rsidDel="00000000" w:rsidR="00000000" w:rsidRPr="00000000">
              <w:rPr>
                <w:rFonts w:ascii="Arial" w:cs="Arial" w:eastAsia="Arial" w:hAnsi="Arial"/>
                <w:b w:val="1"/>
                <w:color w:val="000000"/>
                <w:sz w:val="18"/>
                <w:szCs w:val="18"/>
                <w:rtl w:val="0"/>
              </w:rPr>
              <w:t xml:space="preserve">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B2">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1B3">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B4">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B5">
            <w:pPr>
              <w:widowControl w:val="0"/>
              <w:spacing w:line="276" w:lineRule="auto"/>
              <w:ind w:left="283.46456692913375" w:firstLine="0"/>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B6">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7.724</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B7">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26,8900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B8">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207.698,36</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B9">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11</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BA">
            <w:pPr>
              <w:widowControl w:val="0"/>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196533 - </w:t>
            </w:r>
            <w:r w:rsidDel="00000000" w:rsidR="00000000" w:rsidRPr="00000000">
              <w:rPr>
                <w:rFonts w:ascii="Arial" w:cs="Arial" w:eastAsia="Arial" w:hAnsi="Arial"/>
                <w:color w:val="000000"/>
                <w:sz w:val="18"/>
                <w:szCs w:val="18"/>
                <w:rtl w:val="0"/>
              </w:rPr>
              <w:t xml:space="preserve">CESTO PARA LIXO, PLASTICO RESISTENTE, 10</w:t>
            </w:r>
          </w:p>
          <w:p w:rsidR="00000000" w:rsidDel="00000000" w:rsidP="00000000" w:rsidRDefault="00000000" w:rsidRPr="00000000" w14:paraId="000001BB">
            <w:pPr>
              <w:widowControl w:val="0"/>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LITROS, TAMPA BASCULANTE, EMBALAGEM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BC">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BD">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BE">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BF">
            <w:pPr>
              <w:widowControl w:val="0"/>
              <w:spacing w:line="276" w:lineRule="auto"/>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0">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2.560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1">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26,8900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2">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68.838,40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C3">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12</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C4">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342319 - </w:t>
            </w:r>
            <w:r w:rsidDel="00000000" w:rsidR="00000000" w:rsidRPr="00000000">
              <w:rPr>
                <w:rFonts w:ascii="Arial" w:cs="Arial" w:eastAsia="Arial" w:hAnsi="Arial"/>
                <w:color w:val="000000"/>
                <w:sz w:val="18"/>
                <w:szCs w:val="18"/>
                <w:rtl w:val="0"/>
              </w:rPr>
              <w:t xml:space="preserve">DEPOSITO PARA LIXO, PLASTICO, 20 LITROS, ETIQUETA COM IDENTIFICACAO DO PRODUTO E MARCA DO FABRICANTE OU GRAVADO NO CORPO, TAMPA E PEDAL, EMBALAGEM 1.0 UNIDADE</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C5">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C6">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C7">
            <w:pPr>
              <w:widowControl w:val="0"/>
              <w:spacing w:line="276" w:lineRule="auto"/>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8">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8.893</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9">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40,0000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CA">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355.720,00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CB">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13</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CC">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342319 - </w:t>
            </w:r>
            <w:r w:rsidDel="00000000" w:rsidR="00000000" w:rsidRPr="00000000">
              <w:rPr>
                <w:rFonts w:ascii="Arial" w:cs="Arial" w:eastAsia="Arial" w:hAnsi="Arial"/>
                <w:color w:val="000000"/>
                <w:sz w:val="18"/>
                <w:szCs w:val="18"/>
                <w:rtl w:val="0"/>
              </w:rPr>
              <w:t xml:space="preserve">DEPOSITO PARA LIXO, PLASTICO, 20 LITROS, ETIQUETA COM IDENTIFICACAO DO PRODUTO E MARCA DO FABRICANTE OU GRAVADO NO CORPO, TAMPA E PEDAL, EMBALAGEM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CD">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1CE">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CF">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D0">
            <w:pPr>
              <w:widowControl w:val="0"/>
              <w:spacing w:line="276" w:lineRule="auto"/>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1">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2.947</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2">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40,0000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3">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117.880,00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D4">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14</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D5">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357723 - </w:t>
            </w:r>
            <w:r w:rsidDel="00000000" w:rsidR="00000000" w:rsidRPr="00000000">
              <w:rPr>
                <w:rFonts w:ascii="Arial" w:cs="Arial" w:eastAsia="Arial" w:hAnsi="Arial"/>
                <w:color w:val="000000"/>
                <w:sz w:val="18"/>
                <w:szCs w:val="18"/>
                <w:rtl w:val="0"/>
              </w:rPr>
              <w:t xml:space="preserve">FIBRA SINTETICA, COM MINERAL ABRASIVO, COR VERDE, LIMPEZA GERAL MULTIUSO, 260 MM X 102 MM, VARIACAO +/-10MM, EMBALAGEM 1.0 UNIDADE</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D6">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1D7">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D8">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D9">
            <w:pPr>
              <w:widowControl w:val="0"/>
              <w:spacing w:line="276" w:lineRule="auto"/>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A">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30.256</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B">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2,5000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DC">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75.640,00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DD">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15</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DE">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357723 - </w:t>
            </w:r>
            <w:r w:rsidDel="00000000" w:rsidR="00000000" w:rsidRPr="00000000">
              <w:rPr>
                <w:rFonts w:ascii="Arial" w:cs="Arial" w:eastAsia="Arial" w:hAnsi="Arial"/>
                <w:color w:val="000000"/>
                <w:sz w:val="18"/>
                <w:szCs w:val="18"/>
                <w:rtl w:val="0"/>
              </w:rPr>
              <w:t xml:space="preserve">FIBRA SINTETICA, COM MINERAL ABRASIVO, COR VERDE, LIMPEZA GERAL MULTIUSO, 260 MM X 102 MM, VARIACAO +/-10MM, EMBALAGEM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DF">
            <w:pPr>
              <w:widowControl w:val="0"/>
              <w:spacing w:line="276" w:lineRule="auto"/>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E0">
            <w:pPr>
              <w:widowControl w:val="0"/>
              <w:spacing w:line="276"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EMBALAGEM 1.0</w:t>
            </w:r>
          </w:p>
          <w:p w:rsidR="00000000" w:rsidDel="00000000" w:rsidP="00000000" w:rsidRDefault="00000000" w:rsidRPr="00000000" w14:paraId="000001E1">
            <w:pPr>
              <w:widowControl w:val="0"/>
              <w:spacing w:line="276"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UNIDADE</w:t>
            </w:r>
          </w:p>
          <w:p w:rsidR="00000000" w:rsidDel="00000000" w:rsidP="00000000" w:rsidRDefault="00000000" w:rsidRPr="00000000" w14:paraId="000001E2">
            <w:pPr>
              <w:widowControl w:val="0"/>
              <w:spacing w:line="276" w:lineRule="auto"/>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3">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10.081</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4">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2,5000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5">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25.202,50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E6">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16</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E7">
            <w:pPr>
              <w:widowControl w:val="0"/>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370238 - </w:t>
            </w:r>
            <w:r w:rsidDel="00000000" w:rsidR="00000000" w:rsidRPr="00000000">
              <w:rPr>
                <w:rFonts w:ascii="Arial" w:cs="Arial" w:eastAsia="Arial" w:hAnsi="Arial"/>
                <w:color w:val="000000"/>
                <w:sz w:val="18"/>
                <w:szCs w:val="18"/>
                <w:rtl w:val="0"/>
              </w:rPr>
              <w:t xml:space="preserve">ESPONJA PARA LIMPEZA, LA DE ACO, LIMPEZA</w:t>
            </w:r>
          </w:p>
          <w:p w:rsidR="00000000" w:rsidDel="00000000" w:rsidP="00000000" w:rsidRDefault="00000000" w:rsidRPr="00000000" w14:paraId="000001E8">
            <w:pPr>
              <w:widowControl w:val="0"/>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GERAL, CARBONO ABRASIVO, PESO MINIMO 50 GR, PACOTE 8.0 UNIDADES</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E9">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PACOTE 8.0</w:t>
            </w:r>
          </w:p>
          <w:p w:rsidR="00000000" w:rsidDel="00000000" w:rsidP="00000000" w:rsidRDefault="00000000" w:rsidRPr="00000000" w14:paraId="000001EA">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UNIDADES</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B">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38.062</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C">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4,8000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ED">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182.697,60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EE">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17</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EF">
            <w:pPr>
              <w:widowControl w:val="0"/>
              <w:ind w:left="0" w:firstLine="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370238 - </w:t>
            </w:r>
            <w:r w:rsidDel="00000000" w:rsidR="00000000" w:rsidRPr="00000000">
              <w:rPr>
                <w:rFonts w:ascii="Arial" w:cs="Arial" w:eastAsia="Arial" w:hAnsi="Arial"/>
                <w:color w:val="000000"/>
                <w:sz w:val="18"/>
                <w:szCs w:val="18"/>
                <w:rtl w:val="0"/>
              </w:rPr>
              <w:t xml:space="preserve">ESPONJA PARA LIMPEZA, LA DE AÇO, LIMPEZA GERAL, CARBONO ABRASIVO, PESO MINIMO 50 GR, PACOTE 8.0 UNIDADES</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F0">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PACOTE 8.0</w:t>
            </w:r>
          </w:p>
          <w:p w:rsidR="00000000" w:rsidDel="00000000" w:rsidP="00000000" w:rsidRDefault="00000000" w:rsidRPr="00000000" w14:paraId="000001F1">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UNIDADES</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2">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12.679</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3">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4,8000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4">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60.859,20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F5">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18</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F6">
            <w:pPr>
              <w:widowControl w:val="0"/>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675566 - </w:t>
            </w:r>
            <w:r w:rsidDel="00000000" w:rsidR="00000000" w:rsidRPr="00000000">
              <w:rPr>
                <w:rFonts w:ascii="Arial" w:cs="Arial" w:eastAsia="Arial" w:hAnsi="Arial"/>
                <w:color w:val="000000"/>
                <w:sz w:val="18"/>
                <w:szCs w:val="18"/>
                <w:rtl w:val="0"/>
              </w:rPr>
              <w:t xml:space="preserve">FIBRA SINTETICA, FIBRACO DE LIMPEZA, MANTA NAO TECIDO DE FIBRAS SINTETICAS A PROVA D'AGUA E</w:t>
            </w:r>
          </w:p>
          <w:p w:rsidR="00000000" w:rsidDel="00000000" w:rsidP="00000000" w:rsidRDefault="00000000" w:rsidRPr="00000000" w14:paraId="000001F7">
            <w:pPr>
              <w:widowControl w:val="0"/>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IMPREGNADA COM MINERAL ABRASIVO, SUJEIRAS RESISTENTES, DIMENSOES 12,5X8,7CM VARIACAO +/- 10MM, EMBALAGEM 1.0 UNIDADE</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1F8">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EMBALAGEM 1.0</w:t>
            </w:r>
          </w:p>
          <w:p w:rsidR="00000000" w:rsidDel="00000000" w:rsidP="00000000" w:rsidRDefault="00000000" w:rsidRPr="00000000" w14:paraId="000001F9">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A">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28.192</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B">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5,9000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1FC">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166.332,80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FD">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19</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1FE">
            <w:pPr>
              <w:widowControl w:val="0"/>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675566 - </w:t>
            </w:r>
            <w:r w:rsidDel="00000000" w:rsidR="00000000" w:rsidRPr="00000000">
              <w:rPr>
                <w:rFonts w:ascii="Arial" w:cs="Arial" w:eastAsia="Arial" w:hAnsi="Arial"/>
                <w:color w:val="000000"/>
                <w:sz w:val="18"/>
                <w:szCs w:val="18"/>
                <w:rtl w:val="0"/>
              </w:rPr>
              <w:t xml:space="preserve">FIBRA SINTETICA, FIBRACO DE LIMPEZA, MANTA NAO TECIDO DE FIBRAS SINTETICAS A PROVA D'AGUA E</w:t>
            </w:r>
          </w:p>
          <w:p w:rsidR="00000000" w:rsidDel="00000000" w:rsidP="00000000" w:rsidRDefault="00000000" w:rsidRPr="00000000" w14:paraId="000001FF">
            <w:pPr>
              <w:widowControl w:val="0"/>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IMPREGNADA COM MINERAL ABRASIVO, SUJEIRAS RESISTENTES, DIMENSOES 12,5X8,7CM VARIACAO +/- 10MM, EMBALAGEM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200">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EMBALAGEM 1.0</w:t>
            </w:r>
          </w:p>
          <w:p w:rsidR="00000000" w:rsidDel="00000000" w:rsidP="00000000" w:rsidRDefault="00000000" w:rsidRPr="00000000" w14:paraId="00000201">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2">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9.390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3">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5,9000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4">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55.401,00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05">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06">
            <w:pPr>
              <w:widowControl w:val="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678243 - </w:t>
            </w:r>
            <w:r w:rsidDel="00000000" w:rsidR="00000000" w:rsidRPr="00000000">
              <w:rPr>
                <w:rFonts w:ascii="Arial" w:cs="Arial" w:eastAsia="Arial" w:hAnsi="Arial"/>
                <w:color w:val="000000"/>
                <w:sz w:val="18"/>
                <w:szCs w:val="18"/>
                <w:rtl w:val="0"/>
              </w:rPr>
              <w:t xml:space="preserve">FLANELA, 100% ALGODAO, DIMENSOES MINIMAS 38 X 58 CM, PESO MINIMO 30 GR, BORDAS OVERLOQUEADAS LINHAS DE ALGODAO, USO GERAL, AVULSO 1.0 UNIDADE</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207">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AVULSO 1.0</w:t>
            </w:r>
          </w:p>
          <w:p w:rsidR="00000000" w:rsidDel="00000000" w:rsidP="00000000" w:rsidRDefault="00000000" w:rsidRPr="00000000" w14:paraId="00000208">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9">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72.673</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A">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0B">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290.692,00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0C">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21</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0D">
            <w:pPr>
              <w:widowControl w:val="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678243 - </w:t>
            </w:r>
            <w:r w:rsidDel="00000000" w:rsidR="00000000" w:rsidRPr="00000000">
              <w:rPr>
                <w:rFonts w:ascii="Arial" w:cs="Arial" w:eastAsia="Arial" w:hAnsi="Arial"/>
                <w:color w:val="000000"/>
                <w:sz w:val="18"/>
                <w:szCs w:val="18"/>
                <w:rtl w:val="0"/>
              </w:rPr>
              <w:t xml:space="preserve">FLANELA, 100% ALGODAO, DIMENSOES MINIMAS 38 X 58 CM, PESO MINIMO 30 GR, BORDAS OVERLOQUEADAS LINHAS DE ALGODAO, USO GERAL, AVULSO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20E">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AVULSO 1.0</w:t>
            </w:r>
          </w:p>
          <w:p w:rsidR="00000000" w:rsidDel="00000000" w:rsidP="00000000" w:rsidRDefault="00000000" w:rsidRPr="00000000" w14:paraId="0000020F">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0">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24.217</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1">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4,0000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2">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96.868,00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13">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22</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14">
            <w:pPr>
              <w:widowControl w:val="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901138 - </w:t>
            </w:r>
            <w:r w:rsidDel="00000000" w:rsidR="00000000" w:rsidRPr="00000000">
              <w:rPr>
                <w:rFonts w:ascii="Arial" w:cs="Arial" w:eastAsia="Arial" w:hAnsi="Arial"/>
                <w:color w:val="000000"/>
                <w:sz w:val="18"/>
                <w:szCs w:val="18"/>
                <w:rtl w:val="0"/>
              </w:rPr>
              <w:t xml:space="preserve">DEPOSITO PARA LIXO, LIXEIRA PEDAL, COM TAMPA, POLIETILENO ROBUSTO E RESISTENTE, CAPACIDADE 30 LITROS, EMBALAGEM 1.0 UNIDADE</w:t>
            </w:r>
            <w:r w:rsidDel="00000000" w:rsidR="00000000" w:rsidRPr="00000000">
              <w:rPr>
                <w:rFonts w:ascii="Arial" w:cs="Arial" w:eastAsia="Arial" w:hAnsi="Arial"/>
                <w:b w:val="1"/>
                <w:color w:val="000000"/>
                <w:sz w:val="18"/>
                <w:szCs w:val="18"/>
                <w:rtl w:val="0"/>
              </w:rPr>
              <w:t xml:space="preserve"> - AMPLA DISPUTA</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215">
            <w:pPr>
              <w:widowControl w:val="0"/>
              <w:spacing w:line="276" w:lineRule="auto"/>
              <w:jc w:val="cente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216">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EMBALAGEM 1.0</w:t>
            </w:r>
          </w:p>
          <w:p w:rsidR="00000000" w:rsidDel="00000000" w:rsidP="00000000" w:rsidRDefault="00000000" w:rsidRPr="00000000" w14:paraId="00000217">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p w:rsidR="00000000" w:rsidDel="00000000" w:rsidP="00000000" w:rsidRDefault="00000000" w:rsidRPr="00000000" w14:paraId="00000218">
            <w:pPr>
              <w:widowControl w:val="0"/>
              <w:spacing w:line="276" w:lineRule="auto"/>
              <w:jc w:val="center"/>
              <w:rPr>
                <w:rFonts w:ascii="Arial" w:cs="Arial" w:eastAsia="Arial" w:hAnsi="Arial"/>
                <w:color w:val="000000"/>
                <w:sz w:val="18"/>
                <w:szCs w:val="18"/>
              </w:rPr>
            </w:pP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9">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9.793</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A">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47,9000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1B">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469.084,70</w:t>
            </w:r>
          </w:p>
        </w:tc>
      </w:tr>
      <w:tr>
        <w:trPr>
          <w:cantSplit w:val="1"/>
          <w:trHeight w:val="945" w:hRule="atLeast"/>
          <w:tblHeader w:val="0"/>
        </w:trPr>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1C">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23</w:t>
            </w:r>
          </w:p>
        </w:tc>
        <w:tc>
          <w:tcPr>
            <w:tcBorders>
              <w:top w:color="000001" w:space="0" w:sz="6" w:val="single"/>
              <w:left w:color="000001" w:space="0" w:sz="6" w:val="single"/>
              <w:bottom w:color="000001" w:space="0" w:sz="6" w:val="single"/>
            </w:tcBorders>
            <w:shd w:fill="auto" w:val="clear"/>
          </w:tcPr>
          <w:p w:rsidR="00000000" w:rsidDel="00000000" w:rsidP="00000000" w:rsidRDefault="00000000" w:rsidRPr="00000000" w14:paraId="0000021D">
            <w:pPr>
              <w:widowControl w:val="0"/>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901138 - </w:t>
            </w:r>
            <w:r w:rsidDel="00000000" w:rsidR="00000000" w:rsidRPr="00000000">
              <w:rPr>
                <w:rFonts w:ascii="Arial" w:cs="Arial" w:eastAsia="Arial" w:hAnsi="Arial"/>
                <w:color w:val="000000"/>
                <w:sz w:val="18"/>
                <w:szCs w:val="18"/>
                <w:rtl w:val="0"/>
              </w:rPr>
              <w:t xml:space="preserve">DEPOSITO PARA LIXO, LIXEIRA PEDAL, COM TAMPA, POLIETILENO ROBUSTO E RESISTENTE, CAPACIDADE 30 LITROS, EMBALAGEM 1.0 UNIDADE</w:t>
            </w:r>
            <w:r w:rsidDel="00000000" w:rsidR="00000000" w:rsidRPr="00000000">
              <w:rPr>
                <w:rFonts w:ascii="Arial" w:cs="Arial" w:eastAsia="Arial" w:hAnsi="Arial"/>
                <w:b w:val="1"/>
                <w:color w:val="000000"/>
                <w:sz w:val="18"/>
                <w:szCs w:val="18"/>
                <w:rtl w:val="0"/>
              </w:rPr>
              <w:t xml:space="preserve"> - COTA RESERVADA ATE 25%</w:t>
            </w:r>
          </w:p>
        </w:tc>
        <w:tc>
          <w:tcPr>
            <w:tcBorders>
              <w:top w:color="000001" w:space="0" w:sz="6" w:val="single"/>
              <w:left w:color="000001" w:space="0" w:sz="6" w:val="single"/>
              <w:bottom w:color="000001" w:space="0" w:sz="6" w:val="single"/>
            </w:tcBorders>
            <w:shd w:fill="auto" w:val="clear"/>
            <w:vAlign w:val="center"/>
          </w:tcPr>
          <w:p w:rsidR="00000000" w:rsidDel="00000000" w:rsidP="00000000" w:rsidRDefault="00000000" w:rsidRPr="00000000" w14:paraId="0000021E">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EMBALAGEM 1.0</w:t>
            </w:r>
          </w:p>
          <w:p w:rsidR="00000000" w:rsidDel="00000000" w:rsidP="00000000" w:rsidRDefault="00000000" w:rsidRPr="00000000" w14:paraId="0000021F">
            <w:pPr>
              <w:widowControl w:val="0"/>
              <w:spacing w:line="276"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UNIDADE</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20">
            <w:pPr>
              <w:widowControl w:val="0"/>
              <w:spacing w:after="240" w:before="240" w:lineRule="auto"/>
              <w:ind w:left="283.46456692913375"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3.248</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21">
            <w:pPr>
              <w:widowControl w:val="0"/>
              <w:spacing w:after="240" w:befor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47,9000</w:t>
            </w:r>
          </w:p>
        </w:tc>
        <w:tc>
          <w:tcPr>
            <w:tcBorders>
              <w:top w:color="000001" w:space="0" w:sz="6" w:val="single"/>
              <w:left w:color="000001" w:space="0" w:sz="6" w:val="single"/>
              <w:bottom w:color="000001" w:space="0" w:sz="6" w:val="single"/>
              <w:right w:color="000001" w:space="0" w:sz="6" w:val="single"/>
            </w:tcBorders>
            <w:shd w:fill="auto" w:val="clear"/>
            <w:vAlign w:val="center"/>
          </w:tcPr>
          <w:p w:rsidR="00000000" w:rsidDel="00000000" w:rsidP="00000000" w:rsidRDefault="00000000" w:rsidRPr="00000000" w14:paraId="00000222">
            <w:pPr>
              <w:widowControl w:val="0"/>
              <w:spacing w:after="240" w:before="240" w:lineRule="auto"/>
              <w:ind w:left="283.46456692913375"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155.579,20</w:t>
            </w:r>
          </w:p>
        </w:tc>
      </w:tr>
    </w:tbl>
    <w:p w:rsidR="00000000" w:rsidDel="00000000" w:rsidP="00000000" w:rsidRDefault="00000000" w:rsidRPr="00000000" w14:paraId="00000223">
      <w:pPr>
        <w:widowControl w:val="0"/>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 Havendo divergências entre as especificações deste anexo e as do sistema,  prevalecerão as deste anexo.</w:t>
      </w:r>
    </w:p>
    <w:p w:rsidR="00000000" w:rsidDel="00000000" w:rsidP="00000000" w:rsidRDefault="00000000" w:rsidRPr="00000000" w14:paraId="00000224">
      <w:pPr>
        <w:widowControl w:val="0"/>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 O valor mínimo por ordem de compra será de R$100,00 (cem reais), podendo ser menor se o saldo total do Órgão Participante para compra ao fornecedor for inferior a este valor.</w:t>
      </w:r>
    </w:p>
    <w:p w:rsidR="00000000" w:rsidDel="00000000" w:rsidP="00000000" w:rsidRDefault="00000000" w:rsidRPr="00000000" w14:paraId="00000225">
      <w:pPr>
        <w:widowControl w:val="0"/>
        <w:tabs>
          <w:tab w:val="left" w:leader="none" w:pos="36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2.3. O objeto desta contratação não se enquadra como sendo de bem de luxo, conforme Decreto Estadual nº 34.450/2021.</w:t>
      </w:r>
      <w:r w:rsidDel="00000000" w:rsidR="00000000" w:rsidRPr="00000000">
        <w:rPr>
          <w:rtl w:val="0"/>
        </w:rPr>
      </w:r>
    </w:p>
    <w:p w:rsidR="00000000" w:rsidDel="00000000" w:rsidP="00000000" w:rsidRDefault="00000000" w:rsidRPr="00000000" w14:paraId="00000226">
      <w:pPr>
        <w:widowControl w:val="0"/>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2.4. Os bens objeto desta contratação são caracterizados como comuns nos termos do inciso XIII do art. 6º c/c o art. 20 ambos da Lei nº 14.133/2021.</w:t>
      </w:r>
    </w:p>
    <w:p w:rsidR="00000000" w:rsidDel="00000000" w:rsidP="00000000" w:rsidRDefault="00000000" w:rsidRPr="00000000" w14:paraId="00000227">
      <w:pPr>
        <w:tabs>
          <w:tab w:val="left" w:leader="none" w:pos="-180"/>
        </w:tabs>
        <w:spacing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2.5.</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Os produtos na data da entrega não poderão ter o prazo de validade inferior a 90 (noventa) dias do prazo total recomendado pelo fabricante.</w:t>
      </w:r>
    </w:p>
    <w:p w:rsidR="00000000" w:rsidDel="00000000" w:rsidP="00000000" w:rsidRDefault="00000000" w:rsidRPr="00000000" w14:paraId="00000228">
      <w:pPr>
        <w:spacing w:after="60" w:before="60" w:lineRule="auto"/>
        <w:ind w:left="141.73228346456693" w:right="281.6692913385841"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  3. DA DURAÇÃO DA CONTRATAÇÃO</w:t>
      </w:r>
      <w:r w:rsidDel="00000000" w:rsidR="00000000" w:rsidRPr="00000000">
        <w:rPr>
          <w:rtl w:val="0"/>
        </w:rPr>
      </w:r>
    </w:p>
    <w:p w:rsidR="00000000" w:rsidDel="00000000" w:rsidP="00000000" w:rsidRDefault="00000000" w:rsidRPr="00000000" w14:paraId="00000229">
      <w:pPr>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w:t>
      </w:r>
    </w:p>
    <w:p w:rsidR="00000000" w:rsidDel="00000000" w:rsidP="00000000" w:rsidRDefault="00000000" w:rsidRPr="00000000" w14:paraId="0000022A">
      <w:pPr>
        <w:tabs>
          <w:tab w:val="left" w:leader="none" w:pos="-2184"/>
          <w:tab w:val="left" w:leader="none" w:pos="1077"/>
        </w:tabs>
        <w:spacing w:after="57" w:before="57"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3.2. A duração da contratação </w:t>
      </w:r>
      <w:r w:rsidDel="00000000" w:rsidR="00000000" w:rsidRPr="00000000">
        <w:rPr>
          <w:rFonts w:ascii="Arial" w:cs="Arial" w:eastAsia="Arial" w:hAnsi="Arial"/>
          <w:color w:val="000000"/>
          <w:sz w:val="22"/>
          <w:szCs w:val="22"/>
          <w:highlight w:val="white"/>
          <w:rtl w:val="0"/>
        </w:rPr>
        <w:t xml:space="preserve">é de até 30 (trinta) dias, contado do recebimento da ordem de fornecimento ou instrumento equivalente</w:t>
      </w:r>
      <w:r w:rsidDel="00000000" w:rsidR="00000000" w:rsidRPr="00000000">
        <w:rPr>
          <w:rFonts w:ascii="Arial" w:cs="Arial" w:eastAsia="Arial" w:hAnsi="Arial"/>
          <w:color w:val="000000"/>
          <w:sz w:val="22"/>
          <w:szCs w:val="22"/>
          <w:rtl w:val="0"/>
        </w:rPr>
        <w:t xml:space="preserve">, na forma do inciso X do art. 6º c/c inciso II do art. 95 da Lei n° 14.133/2021.</w:t>
      </w:r>
      <w:r w:rsidDel="00000000" w:rsidR="00000000" w:rsidRPr="00000000">
        <w:rPr>
          <w:rtl w:val="0"/>
        </w:rPr>
      </w:r>
    </w:p>
    <w:p w:rsidR="00000000" w:rsidDel="00000000" w:rsidP="00000000" w:rsidRDefault="00000000" w:rsidRPr="00000000" w14:paraId="0000022B">
      <w:pPr>
        <w:widowControl w:val="0"/>
        <w:tabs>
          <w:tab w:val="left" w:leader="none" w:pos="488"/>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4. DA DESCRIÇÃO DA NECESSIDADE DA CONTRATAÇÃO</w:t>
      </w:r>
      <w:r w:rsidDel="00000000" w:rsidR="00000000" w:rsidRPr="00000000">
        <w:rPr>
          <w:rtl w:val="0"/>
        </w:rPr>
      </w:r>
    </w:p>
    <w:p w:rsidR="00000000" w:rsidDel="00000000" w:rsidP="00000000" w:rsidRDefault="00000000" w:rsidRPr="00000000" w14:paraId="0000022C">
      <w:pPr>
        <w:widowControl w:val="0"/>
        <w:tabs>
          <w:tab w:val="left" w:leader="none" w:pos="488"/>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4.1. A Administração Pública do Estado do Ceará necessita manter a continuidade e eficiência dos serviços administrativos prestados pelos seus órgãos e entidades. Para isso, é essencial garantir a disponibilidade de materiais de consumo – utensílios de limpeza, como itens de pano de chão, esponja, balde plástico, cesto de lixo, fibra sintética e outros materiais essenciais para a organização ambiental dos espaços de trabalho e o desenvolvimento das rotinas operacionais. A ausência desses materiais pode comprometer não apenas a limpeza e salubridade dos ambientes, mas também impactar de forma negativa a tramitação de processos, a comunicação interna e externa e a gestão administrativa como um todo.</w:t>
      </w:r>
    </w:p>
    <w:p w:rsidR="00000000" w:rsidDel="00000000" w:rsidP="00000000" w:rsidRDefault="00000000" w:rsidRPr="00000000" w14:paraId="0000022D">
      <w:pPr>
        <w:widowControl w:val="0"/>
        <w:tabs>
          <w:tab w:val="left" w:leader="none" w:pos="488"/>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4.1.2. A padronização e o fornecimento regular desses utensílios são fundamentais para que os ambientes de trabalho estejam organizados, seguros e em condições adequadas de uso, favorecendo o desempenho das atividades públicas e o atendimento à população. Considerando que os serviços administrativos se desenvolvem em espaços coletivos de uso intenso, é imprescindível que os utensílios de limpeza estejam disponíveis de forma contínua, assegurando boas condições de higiene, preservação do patrimônio público e qualidade no ambiente laboral.</w:t>
      </w:r>
    </w:p>
    <w:p w:rsidR="00000000" w:rsidDel="00000000" w:rsidP="00000000" w:rsidRDefault="00000000" w:rsidRPr="00000000" w14:paraId="0000022E">
      <w:pPr>
        <w:widowControl w:val="0"/>
        <w:tabs>
          <w:tab w:val="left" w:leader="none" w:pos="488"/>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4.1.3. Dessa forma, a contratação por meio de registro de preços desses materiais visa atender às necessidades recorrentes dos diversos órgãos da administração estadual, garantindo economicidade, padronização, controle logístico e eficiência na gestão de suprimentos. Trata-se de uma medida preventiva e estratégica, que assegura o funcionamento adequado das rotinas administrativas e, consequentemente, a prestação de serviços públicos com qualidade e regularidade à sociedade cearense.</w:t>
      </w:r>
    </w:p>
    <w:p w:rsidR="00000000" w:rsidDel="00000000" w:rsidP="00000000" w:rsidRDefault="00000000" w:rsidRPr="00000000" w14:paraId="0000022F">
      <w:pPr>
        <w:widowControl w:val="0"/>
        <w:tabs>
          <w:tab w:val="left" w:leader="none" w:pos="488"/>
        </w:tabs>
        <w:spacing w:after="57" w:before="57" w:lineRule="auto"/>
        <w:ind w:left="283.46456692913375" w:right="135.4724409448835" w:firstLine="0"/>
        <w:jc w:val="both"/>
        <w:rPr>
          <w:rFonts w:ascii="Arial" w:cs="Arial" w:eastAsia="Arial" w:hAnsi="Arial"/>
          <w:b w:val="1"/>
          <w:color w:val="000000"/>
          <w:sz w:val="22"/>
          <w:szCs w:val="22"/>
          <w:highlight w:val="white"/>
        </w:rPr>
      </w:pPr>
      <w:r w:rsidDel="00000000" w:rsidR="00000000" w:rsidRPr="00000000">
        <w:rPr>
          <w:rFonts w:ascii="Arial" w:cs="Arial" w:eastAsia="Arial" w:hAnsi="Arial"/>
          <w:color w:val="000000"/>
          <w:sz w:val="22"/>
          <w:szCs w:val="22"/>
          <w:rtl w:val="0"/>
        </w:rPr>
        <w:t xml:space="preserve">4.2. O objeto da contratação está previsto no Plano de Contratações Anual e com as diretrizes de logística sustentável, além de outros instrumentos de planejamento da Administração, definidos em regulamento do Poder Executivo Estadual, conforme art. 6º do Decreto Estadual nº 35.283/2023.</w:t>
      </w:r>
      <w:r w:rsidDel="00000000" w:rsidR="00000000" w:rsidRPr="00000000">
        <w:rPr>
          <w:rtl w:val="0"/>
        </w:rPr>
      </w:r>
    </w:p>
    <w:p w:rsidR="00000000" w:rsidDel="00000000" w:rsidP="00000000" w:rsidRDefault="00000000" w:rsidRPr="00000000" w14:paraId="00000230">
      <w:pPr>
        <w:widowControl w:val="0"/>
        <w:tabs>
          <w:tab w:val="left" w:leader="none" w:pos="488"/>
        </w:tabs>
        <w:spacing w:after="57" w:before="57" w:lineRule="auto"/>
        <w:ind w:left="283.46456692913375" w:right="135.472440944883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31">
      <w:pPr>
        <w:widowControl w:val="0"/>
        <w:tabs>
          <w:tab w:val="left" w:leader="none" w:pos="488"/>
        </w:tabs>
        <w:spacing w:after="57" w:before="57" w:lineRule="auto"/>
        <w:ind w:left="283.46456692913375" w:right="135.4724409448835" w:firstLine="0"/>
        <w:jc w:val="both"/>
        <w:rPr>
          <w:rFonts w:ascii="Arial" w:cs="Arial" w:eastAsia="Arial" w:hAnsi="Arial"/>
          <w:i w:val="1"/>
          <w:color w:val="000000"/>
          <w:sz w:val="22"/>
          <w:szCs w:val="22"/>
        </w:rPr>
      </w:pPr>
      <w:r w:rsidDel="00000000" w:rsidR="00000000" w:rsidRPr="00000000">
        <w:rPr>
          <w:rFonts w:ascii="Arial" w:cs="Arial" w:eastAsia="Arial" w:hAnsi="Arial"/>
          <w:b w:val="1"/>
          <w:color w:val="000000"/>
          <w:sz w:val="22"/>
          <w:szCs w:val="22"/>
          <w:rtl w:val="0"/>
        </w:rPr>
        <w:t xml:space="preserve">5. DESCRIÇÃO DA SOLUÇÃO COMO UM TODO CONSIDERANDO TODO O CICLO DE VIDA DO OBJETO</w:t>
      </w:r>
      <w:r w:rsidDel="00000000" w:rsidR="00000000" w:rsidRPr="00000000">
        <w:rPr>
          <w:rtl w:val="0"/>
        </w:rPr>
      </w:r>
    </w:p>
    <w:p w:rsidR="00000000" w:rsidDel="00000000" w:rsidP="00000000" w:rsidRDefault="00000000" w:rsidRPr="00000000" w14:paraId="00000232">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5.1. A solução proposta consiste na aquisição, por meio de registro de preços, de utensílios de limpeza de uso contínuo e essencial para os diversos órgãos e entidades da administração pública estadual. O fornecimento atenderá a demandas recorrentes, com foco na padronização, regularidade e economicidade, permitindo que as unidades requisitantes realizem as compras conforme suas necessidades, durante a vigência da ata.O fornecimento dos itens será realizado de forma descentralizada, permitindo que cada órgão aderente faça suas aquisições conforme sua demanda específica, garantindo maior flexibilidade, otimização de estoques e eficiência na gestão dos insumos administrativos. </w:t>
      </w:r>
    </w:p>
    <w:p w:rsidR="00000000" w:rsidDel="00000000" w:rsidP="00000000" w:rsidRDefault="00000000" w:rsidRPr="00000000" w14:paraId="00000233">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5.1.2. O modelo de Registro de Preços viabiliza uma gestão mais eficiente das compras públicas, evitando aquisições isoladas e proporcionando uma negociação mais vantajosa, com ganhos de escala e economicidade. A padronização dos materiais permite melhor controle de qualidade, enquanto a possibilidade de aquisição sob demanda reduz custos operacionais e evita desperdícios. Com essa solução, a administração pública assegura um processo de aquisição mais transparente, econômico e eficiente, otimizando os recursos disponíveis e aprimorando a gestão dos materiais de limpeza.</w:t>
      </w:r>
    </w:p>
    <w:p w:rsidR="00000000" w:rsidDel="00000000" w:rsidP="00000000" w:rsidRDefault="00000000" w:rsidRPr="00000000" w14:paraId="00000234">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5.1.3. A contratação abrangerá itens como pano de chão tipo saco, esponja, balde plástico, cesto para lixo, fibra sintética e flanela, todos com especificações mínimas de qualidade, durabilidade e compatibilidade com o uso institucional. A entrega dos materiais será realizada de forma parcelada, conforme requisição dos órgãos participantes, diretamente nos locais por eles indicados, observadas as condições e prazos estabelecidos na ata e no termo de referência.</w:t>
      </w:r>
    </w:p>
    <w:p w:rsidR="00000000" w:rsidDel="00000000" w:rsidP="00000000" w:rsidRDefault="00000000" w:rsidRPr="00000000" w14:paraId="00000235">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5.1.4. A solução prevê a exigência de materiais novos, sem uso anterior, devidamente embalados, acompanhados de nota fiscal e, quando aplicável, com certificações ou laudos técnicos que comprovem sua conformidade com as especificações exigidas. Não há necessidade de instalação, montagem ou assistência técnica para os itens em questão. Eventuais trocas por defeito ou não conformidade deverão ser realizadas sem ônus para a Administração, nos prazos estabelecidos contratualmente. A logística de entrega será de responsabilidade do fornecedor contratado, com observância aos prazos e condições fixados no edital.</w:t>
      </w:r>
    </w:p>
    <w:p w:rsidR="00000000" w:rsidDel="00000000" w:rsidP="00000000" w:rsidRDefault="00000000" w:rsidRPr="00000000" w14:paraId="00000236">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6. REQUISITOS DA CONTRATAÇÃO</w:t>
      </w:r>
    </w:p>
    <w:p w:rsidR="00000000" w:rsidDel="00000000" w:rsidP="00000000" w:rsidRDefault="00000000" w:rsidRPr="00000000" w14:paraId="00000237">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6.1. Subcontratação</w:t>
      </w:r>
    </w:p>
    <w:p w:rsidR="00000000" w:rsidDel="00000000" w:rsidP="00000000" w:rsidRDefault="00000000" w:rsidRPr="00000000" w14:paraId="00000238">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6.1.1. Não será admitida a subcontratação do objeto contratual.</w:t>
      </w:r>
    </w:p>
    <w:p w:rsidR="00000000" w:rsidDel="00000000" w:rsidP="00000000" w:rsidRDefault="00000000" w:rsidRPr="00000000" w14:paraId="00000239">
      <w:pPr>
        <w:widowControl w:val="0"/>
        <w:tabs>
          <w:tab w:val="left" w:leader="none" w:pos="-2184"/>
          <w:tab w:val="left" w:leader="none" w:pos="1077"/>
        </w:tabs>
        <w:spacing w:after="60" w:before="60" w:lineRule="auto"/>
        <w:ind w:left="0" w:firstLine="141.73228346456693"/>
        <w:jc w:val="both"/>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  6.2. Garantia contratual</w:t>
      </w:r>
    </w:p>
    <w:p w:rsidR="00000000" w:rsidDel="00000000" w:rsidP="00000000" w:rsidRDefault="00000000" w:rsidRPr="00000000" w14:paraId="0000023A">
      <w:pPr>
        <w:widowControl w:val="0"/>
        <w:tabs>
          <w:tab w:val="left" w:leader="none" w:pos="-2184"/>
          <w:tab w:val="left" w:leader="none" w:pos="1077"/>
        </w:tabs>
        <w:spacing w:after="60" w:before="60" w:lineRule="auto"/>
        <w:ind w:left="0" w:firstLine="141.73228346456693"/>
        <w:jc w:val="both"/>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 6.2.1. Não haverá exigência de garantia contratual da execução.</w:t>
      </w:r>
    </w:p>
    <w:p w:rsidR="00000000" w:rsidDel="00000000" w:rsidP="00000000" w:rsidRDefault="00000000" w:rsidRPr="00000000" w14:paraId="0000023B">
      <w:pPr>
        <w:widowControl w:val="0"/>
        <w:tabs>
          <w:tab w:val="left" w:leader="none" w:pos="-2184"/>
          <w:tab w:val="left" w:leader="none" w:pos="1077"/>
        </w:tabs>
        <w:spacing w:after="60" w:before="60" w:lineRule="auto"/>
        <w:ind w:left="0" w:firstLine="141.73228346456693"/>
        <w:jc w:val="both"/>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  6.3. Sustentabilidade</w:t>
      </w:r>
    </w:p>
    <w:p w:rsidR="00000000" w:rsidDel="00000000" w:rsidP="00000000" w:rsidRDefault="00000000" w:rsidRPr="00000000" w14:paraId="0000023C">
      <w:pPr>
        <w:widowControl w:val="0"/>
        <w:tabs>
          <w:tab w:val="left" w:leader="none" w:pos="-2184"/>
          <w:tab w:val="left" w:leader="none" w:pos="1077"/>
        </w:tabs>
        <w:spacing w:after="60" w:before="60" w:lineRule="auto"/>
        <w:ind w:left="280"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6.3.1 Além dos critérios de sustentabilidade eventualmente inseridos na descrição do objeto, devem ser atendidos os seguintes requisitos, que se baseiam no Guia Nacional de Contratações Sustentáveis:</w:t>
      </w:r>
    </w:p>
    <w:p w:rsidR="00000000" w:rsidDel="00000000" w:rsidP="00000000" w:rsidRDefault="00000000" w:rsidRPr="00000000" w14:paraId="0000023D">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I - Dar preferência a insumos com origem ambientalmente regular dos recursos naturais utilizados; menor geração de resíduos; e preferência por materiais, tecnologias e matérias-primas de origem local.</w:t>
      </w:r>
    </w:p>
    <w:p w:rsidR="00000000" w:rsidDel="00000000" w:rsidP="00000000" w:rsidRDefault="00000000" w:rsidRPr="00000000" w14:paraId="0000023E">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7. DA EXECUÇÃO DO OBJETO</w:t>
      </w:r>
      <w:r w:rsidDel="00000000" w:rsidR="00000000" w:rsidRPr="00000000">
        <w:rPr>
          <w:rtl w:val="0"/>
        </w:rPr>
      </w:r>
    </w:p>
    <w:p w:rsidR="00000000" w:rsidDel="00000000" w:rsidP="00000000" w:rsidRDefault="00000000" w:rsidRPr="00000000" w14:paraId="0000023F">
      <w:pPr>
        <w:tabs>
          <w:tab w:val="left" w:leader="none" w:pos="793"/>
        </w:tabs>
        <w:spacing w:after="113"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7.1. O prazo de execução do objeto contratual não poderá ser superior a 30 (trinta) dias contado do recebimento da ordem de fornecimento ou instrumento equivalente.</w:t>
      </w:r>
    </w:p>
    <w:p w:rsidR="00000000" w:rsidDel="00000000" w:rsidP="00000000" w:rsidRDefault="00000000" w:rsidRPr="00000000" w14:paraId="00000240">
      <w:pPr>
        <w:widowControl w:val="0"/>
        <w:tabs>
          <w:tab w:val="left" w:leader="none" w:pos="2520"/>
        </w:tabs>
        <w:spacing w:after="57" w:before="57" w:lineRule="auto"/>
        <w:ind w:left="0" w:right="135.4724409448835" w:firstLine="0"/>
        <w:jc w:val="both"/>
        <w:rPr>
          <w:rFonts w:ascii="Arial" w:cs="Arial" w:eastAsia="Arial" w:hAnsi="Arial"/>
          <w:b w:val="1"/>
          <w:i w:val="1"/>
          <w:color w:val="000000"/>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color w:val="000000"/>
          <w:sz w:val="22"/>
          <w:szCs w:val="22"/>
          <w:rtl w:val="0"/>
        </w:rPr>
        <w:t xml:space="preserve">7.2. Condições de Entrega</w:t>
      </w:r>
      <w:r w:rsidDel="00000000" w:rsidR="00000000" w:rsidRPr="00000000">
        <w:rPr>
          <w:rtl w:val="0"/>
        </w:rPr>
      </w:r>
    </w:p>
    <w:p w:rsidR="00000000" w:rsidDel="00000000" w:rsidP="00000000" w:rsidRDefault="00000000" w:rsidRPr="00000000" w14:paraId="00000241">
      <w:pPr>
        <w:widowControl w:val="0"/>
        <w:tabs>
          <w:tab w:val="left" w:leader="none" w:pos="2520"/>
        </w:tabs>
        <w:spacing w:after="57" w:before="57"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7.2.1. O objeto contratual deverá ser entregue nos endereços constantes no Anexo A, em conformidade com as especificações e condições estabelecidas neste termo, no prazo de até 30 (trinta) dias, contado do recebimento da </w:t>
      </w:r>
      <w:r w:rsidDel="00000000" w:rsidR="00000000" w:rsidRPr="00000000">
        <w:rPr>
          <w:rFonts w:ascii="Arial" w:cs="Arial" w:eastAsia="Arial" w:hAnsi="Arial"/>
          <w:color w:val="000000"/>
          <w:sz w:val="22"/>
          <w:szCs w:val="22"/>
          <w:highlight w:val="white"/>
          <w:rtl w:val="0"/>
        </w:rPr>
        <w:t xml:space="preserve">ordem de fornecimento</w:t>
      </w:r>
      <w:r w:rsidDel="00000000" w:rsidR="00000000" w:rsidRPr="00000000">
        <w:rPr>
          <w:rFonts w:ascii="Arial" w:cs="Arial" w:eastAsia="Arial" w:hAnsi="Arial"/>
          <w:color w:val="000000"/>
          <w:sz w:val="22"/>
          <w:szCs w:val="22"/>
          <w:rtl w:val="0"/>
        </w:rPr>
        <w:t xml:space="preserve"> ou instrumento equivalente, na quantidade, horários, local </w:t>
      </w:r>
      <w:r w:rsidDel="00000000" w:rsidR="00000000" w:rsidRPr="00000000">
        <w:rPr>
          <w:rFonts w:ascii="Arial" w:cs="Arial" w:eastAsia="Arial" w:hAnsi="Arial"/>
          <w:color w:val="000000"/>
          <w:sz w:val="22"/>
          <w:szCs w:val="22"/>
          <w:highlight w:val="white"/>
          <w:rtl w:val="0"/>
        </w:rPr>
        <w:t xml:space="preserve">e dias estabelecidos no respectivo documento.</w:t>
      </w:r>
      <w:r w:rsidDel="00000000" w:rsidR="00000000" w:rsidRPr="00000000">
        <w:rPr>
          <w:rtl w:val="0"/>
        </w:rPr>
      </w:r>
    </w:p>
    <w:p w:rsidR="00000000" w:rsidDel="00000000" w:rsidP="00000000" w:rsidRDefault="00000000" w:rsidRPr="00000000" w14:paraId="00000242">
      <w:pPr>
        <w:widowControl w:val="0"/>
        <w:tabs>
          <w:tab w:val="left" w:leader="none" w:pos="360"/>
        </w:tabs>
        <w:spacing w:after="57" w:before="57" w:lineRule="auto"/>
        <w:ind w:left="283.46456692913375" w:right="135.4724409448835" w:firstLine="0"/>
        <w:jc w:val="both"/>
        <w:rPr>
          <w:rFonts w:ascii="Liberation Serif" w:cs="Liberation Serif" w:eastAsia="Liberation Serif" w:hAnsi="Liberation Serif"/>
          <w:color w:val="000000"/>
          <w:sz w:val="22"/>
          <w:szCs w:val="22"/>
        </w:rPr>
      </w:pPr>
      <w:r w:rsidDel="00000000" w:rsidR="00000000" w:rsidRPr="00000000">
        <w:rPr>
          <w:rFonts w:ascii="Arial" w:cs="Arial" w:eastAsia="Arial" w:hAnsi="Arial"/>
          <w:color w:val="000000"/>
          <w:sz w:val="22"/>
          <w:szCs w:val="22"/>
          <w:rtl w:val="0"/>
        </w:rPr>
        <w:t xml:space="preserve">7.2.2. Caso não seja possível a entrega na data assinalada, o contratado deverá comunicar as razões respectivas com pelo menos até 2 (dois) dias úteis de antecedência para que qualquer pleito de prorrogação de prazo seja analisado, ressalvadas situações de caso fortuito e força maior.</w:t>
      </w:r>
      <w:r w:rsidDel="00000000" w:rsidR="00000000" w:rsidRPr="00000000">
        <w:rPr>
          <w:rtl w:val="0"/>
        </w:rPr>
      </w:r>
    </w:p>
    <w:p w:rsidR="00000000" w:rsidDel="00000000" w:rsidP="00000000" w:rsidRDefault="00000000" w:rsidRPr="00000000" w14:paraId="00000243">
      <w:pPr>
        <w:widowControl w:val="0"/>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7.2.2.1. Os atrasos ocasionados por motivo de força maior ou caso fortuito, desde que justificados  e aceitos pelo contratante, não serão considerados como inadimplemento contratual.</w:t>
      </w:r>
    </w:p>
    <w:p w:rsidR="00000000" w:rsidDel="00000000" w:rsidP="00000000" w:rsidRDefault="00000000" w:rsidRPr="00000000" w14:paraId="00000244">
      <w:pPr>
        <w:tabs>
          <w:tab w:val="left" w:leader="none" w:pos="2520"/>
        </w:tabs>
        <w:spacing w:after="57" w:before="57" w:lineRule="auto"/>
        <w:ind w:left="283.46456692913375" w:right="135.4724409448835" w:firstLine="0"/>
        <w:jc w:val="both"/>
        <w:rPr>
          <w:rFonts w:ascii="Arial" w:cs="Arial" w:eastAsia="Arial" w:hAnsi="Arial"/>
          <w:i w:val="1"/>
          <w:color w:val="000000"/>
          <w:sz w:val="22"/>
          <w:szCs w:val="22"/>
          <w:highlight w:val="yellow"/>
        </w:rPr>
      </w:pPr>
      <w:r w:rsidDel="00000000" w:rsidR="00000000" w:rsidRPr="00000000">
        <w:rPr>
          <w:rFonts w:ascii="Arial" w:cs="Arial" w:eastAsia="Arial" w:hAnsi="Arial"/>
          <w:b w:val="1"/>
          <w:color w:val="000000"/>
          <w:sz w:val="22"/>
          <w:szCs w:val="22"/>
          <w:rtl w:val="0"/>
        </w:rPr>
        <w:t xml:space="preserve">8. MODELO DE GESTÃO DA CONTRATAÇÃO </w:t>
      </w:r>
      <w:r w:rsidDel="00000000" w:rsidR="00000000" w:rsidRPr="00000000">
        <w:rPr>
          <w:rtl w:val="0"/>
        </w:rPr>
      </w:r>
    </w:p>
    <w:p w:rsidR="00000000" w:rsidDel="00000000" w:rsidP="00000000" w:rsidRDefault="00000000" w:rsidRPr="00000000" w14:paraId="00000245">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8.1. O instrumento equivalente de contrato deverá ser executado fielmente pelas partes, de acordo com o edital e seus anexos e as normas da Lei nº 14.133/2021, e cada parte responderá pelas consequências de sua inexecução total ou parcial.</w:t>
      </w:r>
    </w:p>
    <w:p w:rsidR="00000000" w:rsidDel="00000000" w:rsidP="00000000" w:rsidRDefault="00000000" w:rsidRPr="00000000" w14:paraId="00000246">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8.2. As comunicações entre o órgão ou entidade e o contratado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247">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8.3. O órgão ou entidade poderá convocar representante do contratado para adoção de providências que devam ser cumpridas de imediato.</w:t>
      </w:r>
      <w:r w:rsidDel="00000000" w:rsidR="00000000" w:rsidRPr="00000000">
        <w:rPr>
          <w:rtl w:val="0"/>
        </w:rPr>
      </w:r>
    </w:p>
    <w:p w:rsidR="00000000" w:rsidDel="00000000" w:rsidP="00000000" w:rsidRDefault="00000000" w:rsidRPr="00000000" w14:paraId="00000248">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8.4. O gestor acompanhará a manutenção das condições de habilitação do contratado, para fins de empenho de despesa e pagamento, e anotará os problemas que obstem o fluxo normal da liquidação e do pagamento da despesa no relatório de riscos eventuais. </w:t>
      </w:r>
    </w:p>
    <w:p w:rsidR="00000000" w:rsidDel="00000000" w:rsidP="00000000" w:rsidRDefault="00000000" w:rsidRPr="00000000" w14:paraId="00000249">
      <w:pPr>
        <w:widowControl w:val="0"/>
        <w:tabs>
          <w:tab w:val="left" w:leader="none" w:pos="360"/>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8.5.</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Gestor tomará providências para a formalização de processo administrativo de responsabilização para fins de aplicação de sanções, a ser conduzido pela comissão de que trata o art. 158 da Lei nº 14.133/2021.</w:t>
      </w:r>
    </w:p>
    <w:p w:rsidR="00000000" w:rsidDel="00000000" w:rsidP="00000000" w:rsidRDefault="00000000" w:rsidRPr="00000000" w14:paraId="0000024A">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 CONDIÇÕES DE RECEBIMENTO E DE PAGAMENTO </w:t>
      </w:r>
      <w:r w:rsidDel="00000000" w:rsidR="00000000" w:rsidRPr="00000000">
        <w:rPr>
          <w:rtl w:val="0"/>
        </w:rPr>
      </w:r>
    </w:p>
    <w:p w:rsidR="00000000" w:rsidDel="00000000" w:rsidP="00000000" w:rsidRDefault="00000000" w:rsidRPr="00000000" w14:paraId="0000024B">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9.1. Recebimento do Objeto</w:t>
      </w:r>
      <w:r w:rsidDel="00000000" w:rsidR="00000000" w:rsidRPr="00000000">
        <w:rPr>
          <w:rtl w:val="0"/>
        </w:rPr>
      </w:r>
    </w:p>
    <w:p w:rsidR="00000000" w:rsidDel="00000000" w:rsidP="00000000" w:rsidRDefault="00000000" w:rsidRPr="00000000" w14:paraId="0000024C">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9.1.1. Os bens serão recebidos provisoriamente, de forma sumária, no ato da entrega, juntamente com a nota fiscal ou instrumento de cobrança equivalente, pelo(a) responsável pelo acompanhamento e fiscalização do instrumento equivalente de contrato, para efeito de posterior verificação de sua conformidade com as especificações constantes neste termo e na proposta, </w:t>
      </w:r>
      <w:r w:rsidDel="00000000" w:rsidR="00000000" w:rsidRPr="00000000">
        <w:rPr>
          <w:rFonts w:ascii="Arial" w:cs="Arial" w:eastAsia="Arial" w:hAnsi="Arial"/>
          <w:color w:val="000000"/>
          <w:sz w:val="22"/>
          <w:szCs w:val="22"/>
          <w:highlight w:val="white"/>
          <w:rtl w:val="0"/>
        </w:rPr>
        <w:t xml:space="preserve">nos termos do art. 140, II, “a” da Lei nº 14.133/2021.</w:t>
      </w:r>
      <w:r w:rsidDel="00000000" w:rsidR="00000000" w:rsidRPr="00000000">
        <w:rPr>
          <w:rtl w:val="0"/>
        </w:rPr>
      </w:r>
    </w:p>
    <w:p w:rsidR="00000000" w:rsidDel="00000000" w:rsidP="00000000" w:rsidRDefault="00000000" w:rsidRPr="00000000" w14:paraId="0000024D">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8.1.2. Os bens poderão ser rejeitados, no todo ou em parte, inclusive antes do recebimento provisório, quando em desacordo com as especificações constantes neste termo e na proposta, devendo ser substituídos no prazo de 10 (dez) dias, a contar da notificação do contratado, às suas custas, sem prejuízo da aplicação das penalidades.</w:t>
      </w:r>
      <w:r w:rsidDel="00000000" w:rsidR="00000000" w:rsidRPr="00000000">
        <w:rPr>
          <w:rtl w:val="0"/>
        </w:rPr>
      </w:r>
    </w:p>
    <w:p w:rsidR="00000000" w:rsidDel="00000000" w:rsidP="00000000" w:rsidRDefault="00000000" w:rsidRPr="00000000" w14:paraId="0000024E">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9.1.3.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r w:rsidDel="00000000" w:rsidR="00000000" w:rsidRPr="00000000">
        <w:rPr>
          <w:rtl w:val="0"/>
        </w:rPr>
      </w:r>
    </w:p>
    <w:p w:rsidR="00000000" w:rsidDel="00000000" w:rsidP="00000000" w:rsidRDefault="00000000" w:rsidRPr="00000000" w14:paraId="0000024F">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9.1.4. O prazo para recebimento definitivo poderá ser excepcionalmente prorrogado, de forma justificada, por igual período, quando houver necessidade de diligências para a aferição do atendimento das exigências contratuais.</w:t>
      </w:r>
      <w:r w:rsidDel="00000000" w:rsidR="00000000" w:rsidRPr="00000000">
        <w:rPr>
          <w:rtl w:val="0"/>
        </w:rPr>
      </w:r>
    </w:p>
    <w:p w:rsidR="00000000" w:rsidDel="00000000" w:rsidP="00000000" w:rsidRDefault="00000000" w:rsidRPr="00000000" w14:paraId="00000250">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9.1.5.</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No caso de controvérsia sobre a execução do objeto, quanto à qualidade e quantidade, deverá ser observado o teor do art. 143 da Lei nº 14.133/2021, comunicando-se ao contratado para emissão de nota fiscal no que pertine à parcela incontroversa da execução do objeto, para efeito de liquidação e pagamento.</w:t>
      </w:r>
    </w:p>
    <w:p w:rsidR="00000000" w:rsidDel="00000000" w:rsidP="00000000" w:rsidRDefault="00000000" w:rsidRPr="00000000" w14:paraId="00000251">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Del="00000000" w:rsidR="00000000" w:rsidRPr="00000000">
        <w:rPr>
          <w:rtl w:val="0"/>
        </w:rPr>
      </w:r>
    </w:p>
    <w:p w:rsidR="00000000" w:rsidDel="00000000" w:rsidP="00000000" w:rsidRDefault="00000000" w:rsidRPr="00000000" w14:paraId="00000252">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9.1.7.</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O recebimento provisório ou definitivo não excluirá a responsabilidade civil pela solidez e pela segurança dos bens objeto da contratação, nem a responsabilidade ético-profissional pela perfeita execução da contratação.</w:t>
      </w:r>
    </w:p>
    <w:p w:rsidR="00000000" w:rsidDel="00000000" w:rsidP="00000000" w:rsidRDefault="00000000" w:rsidRPr="00000000" w14:paraId="00000253">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9.2. Liquidação.</w:t>
      </w:r>
      <w:r w:rsidDel="00000000" w:rsidR="00000000" w:rsidRPr="00000000">
        <w:rPr>
          <w:rtl w:val="0"/>
        </w:rPr>
      </w:r>
    </w:p>
    <w:p w:rsidR="00000000" w:rsidDel="00000000" w:rsidP="00000000" w:rsidRDefault="00000000" w:rsidRPr="00000000" w14:paraId="00000254">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9.2.1. Recebida a nota fiscal ou documento de cobrança equivalente, correrá o prazo de 10 (dez) dias úteis para fins de liquidação, prorrogáveis por igual período.</w:t>
      </w:r>
      <w:r w:rsidDel="00000000" w:rsidR="00000000" w:rsidRPr="00000000">
        <w:rPr>
          <w:rtl w:val="0"/>
        </w:rPr>
      </w:r>
    </w:p>
    <w:p w:rsidR="00000000" w:rsidDel="00000000" w:rsidP="00000000" w:rsidRDefault="00000000" w:rsidRPr="00000000" w14:paraId="00000255">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9.2.1.1.O prazo de que trata o subitem anterior será reduzido à metade, mantendo-se a possibilidade de prorrogação, no caso de contratações decorrentes de despesas cujos valores não ultrapassem o limite de que trata o inciso II do art. 75 da Lei nº 14.133/2021.</w:t>
      </w:r>
    </w:p>
    <w:p w:rsidR="00000000" w:rsidDel="00000000" w:rsidP="00000000" w:rsidRDefault="00000000" w:rsidRPr="00000000" w14:paraId="00000256">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9.2.2. A liquidação da despesa consiste na verificação do direito adquirido pelo credor tendo por base os títulos e documentos comprobatórios do respectivo crédito, observando-se o disposto no art. 63 da Lei nº 4.320, de 17 de março de 1964.</w:t>
      </w:r>
      <w:r w:rsidDel="00000000" w:rsidR="00000000" w:rsidRPr="00000000">
        <w:rPr>
          <w:rtl w:val="0"/>
        </w:rPr>
      </w:r>
    </w:p>
    <w:p w:rsidR="00000000" w:rsidDel="00000000" w:rsidP="00000000" w:rsidRDefault="00000000" w:rsidRPr="00000000" w14:paraId="00000257">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Del="00000000" w:rsidR="00000000" w:rsidRPr="00000000">
        <w:rPr>
          <w:rtl w:val="0"/>
        </w:rPr>
      </w:r>
    </w:p>
    <w:p w:rsidR="00000000" w:rsidDel="00000000" w:rsidP="00000000" w:rsidRDefault="00000000" w:rsidRPr="00000000" w14:paraId="00000258">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9.2.4. A nota fiscal ou documento de cobrança equivalente deverá ser obrigatoriamente acompanhado da comprovação da regularidade fiscal, constatada por meio de consulta </w:t>
      </w:r>
      <w:r w:rsidDel="00000000" w:rsidR="00000000" w:rsidRPr="00000000">
        <w:rPr>
          <w:rFonts w:ascii="Arial" w:cs="Arial" w:eastAsia="Arial" w:hAnsi="Arial"/>
          <w:i w:val="1"/>
          <w:color w:val="000000"/>
          <w:sz w:val="22"/>
          <w:szCs w:val="22"/>
          <w:rtl w:val="0"/>
        </w:rPr>
        <w:t xml:space="preserve">on-line</w:t>
      </w:r>
      <w:r w:rsidDel="00000000" w:rsidR="00000000" w:rsidRPr="00000000">
        <w:rPr>
          <w:rFonts w:ascii="Arial" w:cs="Arial" w:eastAsia="Arial" w:hAnsi="Arial"/>
          <w:color w:val="000000"/>
          <w:sz w:val="22"/>
          <w:szCs w:val="22"/>
          <w:rtl w:val="0"/>
        </w:rPr>
        <w:t xml:space="preserve"> ao SICAF ou, na impossibilidade de acesso ao referido Sistema, mediante consulta aos sítios eletrônicos oficiais ou à documentação mencionada no item 11.4 do edital.</w:t>
      </w:r>
      <w:r w:rsidDel="00000000" w:rsidR="00000000" w:rsidRPr="00000000">
        <w:rPr>
          <w:rtl w:val="0"/>
        </w:rPr>
      </w:r>
    </w:p>
    <w:p w:rsidR="00000000" w:rsidDel="00000000" w:rsidP="00000000" w:rsidRDefault="00000000" w:rsidRPr="00000000" w14:paraId="00000259">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r w:rsidDel="00000000" w:rsidR="00000000" w:rsidRPr="00000000">
        <w:rPr>
          <w:rtl w:val="0"/>
        </w:rPr>
      </w:r>
    </w:p>
    <w:p w:rsidR="00000000" w:rsidDel="00000000" w:rsidP="00000000" w:rsidRDefault="00000000" w:rsidRPr="00000000" w14:paraId="0000025A">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25B">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r w:rsidDel="00000000" w:rsidR="00000000" w:rsidRPr="00000000">
        <w:rPr>
          <w:rtl w:val="0"/>
        </w:rPr>
      </w:r>
    </w:p>
    <w:p w:rsidR="00000000" w:rsidDel="00000000" w:rsidP="00000000" w:rsidRDefault="00000000" w:rsidRPr="00000000" w14:paraId="0000025C">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9.2.8. Persistindo a irregularidade, o contratante deverá adotar as medidas necessárias à rescisão contratual nos autos do processo administrativo correspondente, assegurada ao contratado a ampla defesa.</w:t>
      </w:r>
      <w:r w:rsidDel="00000000" w:rsidR="00000000" w:rsidRPr="00000000">
        <w:rPr>
          <w:rtl w:val="0"/>
        </w:rPr>
      </w:r>
    </w:p>
    <w:p w:rsidR="00000000" w:rsidDel="00000000" w:rsidP="00000000" w:rsidRDefault="00000000" w:rsidRPr="00000000" w14:paraId="0000025D">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9.2.9. Havendo a efetiva execução do objeto, os pagamentos serão realizados normalmente, até que se decida pela rescisão do instrumento equivalente de contrato, caso o contratado não regularize sua situação.</w:t>
      </w:r>
      <w:r w:rsidDel="00000000" w:rsidR="00000000" w:rsidRPr="00000000">
        <w:rPr>
          <w:rtl w:val="0"/>
        </w:rPr>
      </w:r>
    </w:p>
    <w:p w:rsidR="00000000" w:rsidDel="00000000" w:rsidP="00000000" w:rsidRDefault="00000000" w:rsidRPr="00000000" w14:paraId="0000025E">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9.3. Prazo de pagamento</w:t>
      </w:r>
      <w:r w:rsidDel="00000000" w:rsidR="00000000" w:rsidRPr="00000000">
        <w:rPr>
          <w:rtl w:val="0"/>
        </w:rPr>
      </w:r>
    </w:p>
    <w:p w:rsidR="00000000" w:rsidDel="00000000" w:rsidP="00000000" w:rsidRDefault="00000000" w:rsidRPr="00000000" w14:paraId="0000025F">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9.3.1. O pagamento será efetuado no prazo de até </w:t>
      </w:r>
      <w:r w:rsidDel="00000000" w:rsidR="00000000" w:rsidRPr="00000000">
        <w:rPr>
          <w:rFonts w:ascii="Arial" w:cs="Arial" w:eastAsia="Arial" w:hAnsi="Arial"/>
          <w:b w:val="1"/>
          <w:color w:val="000000"/>
          <w:sz w:val="22"/>
          <w:szCs w:val="22"/>
          <w:rtl w:val="0"/>
        </w:rPr>
        <w:t xml:space="preserve">30 (trinta) dias</w:t>
      </w:r>
      <w:r w:rsidDel="00000000" w:rsidR="00000000" w:rsidRPr="00000000">
        <w:rPr>
          <w:rFonts w:ascii="Arial" w:cs="Arial" w:eastAsia="Arial" w:hAnsi="Arial"/>
          <w:color w:val="000000"/>
          <w:sz w:val="22"/>
          <w:szCs w:val="22"/>
          <w:rtl w:val="0"/>
        </w:rPr>
        <w:t xml:space="preserve"> úteis, contados da finalização da liquidação da despesa.</w:t>
      </w:r>
      <w:r w:rsidDel="00000000" w:rsidR="00000000" w:rsidRPr="00000000">
        <w:rPr>
          <w:rtl w:val="0"/>
        </w:rPr>
      </w:r>
    </w:p>
    <w:p w:rsidR="00000000" w:rsidDel="00000000" w:rsidP="00000000" w:rsidRDefault="00000000" w:rsidRPr="00000000" w14:paraId="00000260">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9.3.2. No caso de atraso pelo contratante, os valores devidos ao contratado serão atualizados monetariamente entre o termo final do prazo de pagamento até a data de sua efetiva realização, mediante aplicação do índice </w:t>
      </w:r>
      <w:r w:rsidDel="00000000" w:rsidR="00000000" w:rsidRPr="00000000">
        <w:rPr>
          <w:rFonts w:ascii="Arial" w:cs="Arial" w:eastAsia="Arial" w:hAnsi="Arial"/>
          <w:b w:val="1"/>
          <w:color w:val="000000"/>
          <w:sz w:val="22"/>
          <w:szCs w:val="22"/>
          <w:rtl w:val="0"/>
        </w:rPr>
        <w:t xml:space="preserve">IPCA </w:t>
      </w:r>
      <w:r w:rsidDel="00000000" w:rsidR="00000000" w:rsidRPr="00000000">
        <w:rPr>
          <w:rFonts w:ascii="Arial" w:cs="Arial" w:eastAsia="Arial" w:hAnsi="Arial"/>
          <w:color w:val="000000"/>
          <w:sz w:val="22"/>
          <w:szCs w:val="22"/>
          <w:rtl w:val="0"/>
        </w:rPr>
        <w:t xml:space="preserve">de correção monetária.</w:t>
      </w:r>
      <w:r w:rsidDel="00000000" w:rsidR="00000000" w:rsidRPr="00000000">
        <w:rPr>
          <w:rtl w:val="0"/>
        </w:rPr>
      </w:r>
    </w:p>
    <w:p w:rsidR="00000000" w:rsidDel="00000000" w:rsidP="00000000" w:rsidRDefault="00000000" w:rsidRPr="00000000" w14:paraId="00000261">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9.4. Da forma de pagamento</w:t>
      </w:r>
      <w:r w:rsidDel="00000000" w:rsidR="00000000" w:rsidRPr="00000000">
        <w:rPr>
          <w:rtl w:val="0"/>
        </w:rPr>
      </w:r>
    </w:p>
    <w:p w:rsidR="00000000" w:rsidDel="00000000" w:rsidP="00000000" w:rsidRDefault="00000000" w:rsidRPr="00000000" w14:paraId="00000262">
      <w:pPr>
        <w:widowControl w:val="0"/>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9.4.1. O pagamento será realizado mediante crédito em conta corrente do contratado, exclusivamente no Banco Bradesco S/A, conforme Lei nº 15.241/2012.</w:t>
      </w:r>
    </w:p>
    <w:p w:rsidR="00000000" w:rsidDel="00000000" w:rsidP="00000000" w:rsidRDefault="00000000" w:rsidRPr="00000000" w14:paraId="00000263">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9.4.2. 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264">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9.4.3.</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265">
      <w:pPr>
        <w:widowControl w:val="0"/>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9.4.3.1. Independentemente do percentual de tributo inserido na planilha, quando houver, serão retidos na fonte, quando da realização do pagamento, os percentuais estabelecidos na legislação vigente</w:t>
      </w:r>
      <w:r w:rsidDel="00000000" w:rsidR="00000000" w:rsidRPr="00000000">
        <w:rPr>
          <w:rFonts w:ascii="Arial" w:cs="Arial" w:eastAsia="Arial" w:hAnsi="Arial"/>
          <w:color w:val="000000"/>
          <w:sz w:val="22"/>
          <w:szCs w:val="22"/>
          <w:vertAlign w:val="subscript"/>
          <w:rtl w:val="0"/>
        </w:rPr>
        <w:t xml:space="preserve">.</w:t>
      </w:r>
      <w:r w:rsidDel="00000000" w:rsidR="00000000" w:rsidRPr="00000000">
        <w:rPr>
          <w:rtl w:val="0"/>
        </w:rPr>
      </w:r>
    </w:p>
    <w:p w:rsidR="00000000" w:rsidDel="00000000" w:rsidP="00000000" w:rsidRDefault="00000000" w:rsidRPr="00000000" w14:paraId="00000266">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267">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9.5. Antecipação de Pagamento</w:t>
      </w:r>
      <w:r w:rsidDel="00000000" w:rsidR="00000000" w:rsidRPr="00000000">
        <w:rPr>
          <w:rtl w:val="0"/>
        </w:rPr>
      </w:r>
    </w:p>
    <w:p w:rsidR="00000000" w:rsidDel="00000000" w:rsidP="00000000" w:rsidRDefault="00000000" w:rsidRPr="00000000" w14:paraId="00000268">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9.5.1. É vedada a realização de pagamento antes da execução do objeto ou se o mesmo não estiver de acordo com as especificações deste instrumento.</w:t>
      </w:r>
      <w:r w:rsidDel="00000000" w:rsidR="00000000" w:rsidRPr="00000000">
        <w:rPr>
          <w:rtl w:val="0"/>
        </w:rPr>
      </w:r>
    </w:p>
    <w:p w:rsidR="00000000" w:rsidDel="00000000" w:rsidP="00000000" w:rsidRDefault="00000000" w:rsidRPr="00000000" w14:paraId="00000269">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10. DAS OBRIGAÇÕES DO CONTRATANTE</w:t>
      </w:r>
      <w:r w:rsidDel="00000000" w:rsidR="00000000" w:rsidRPr="00000000">
        <w:rPr>
          <w:rtl w:val="0"/>
        </w:rPr>
      </w:r>
    </w:p>
    <w:p w:rsidR="00000000" w:rsidDel="00000000" w:rsidP="00000000" w:rsidRDefault="00000000" w:rsidRPr="00000000" w14:paraId="0000026A">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10.1. Exigir o cumprimento de todas as obrigações assumidas pelo contratado, de acordo com este instrumento e seus anexos;</w:t>
      </w:r>
      <w:r w:rsidDel="00000000" w:rsidR="00000000" w:rsidRPr="00000000">
        <w:rPr>
          <w:rtl w:val="0"/>
        </w:rPr>
      </w:r>
    </w:p>
    <w:p w:rsidR="00000000" w:rsidDel="00000000" w:rsidP="00000000" w:rsidRDefault="00000000" w:rsidRPr="00000000" w14:paraId="0000026B">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10.2. Receber o objeto no prazo e condições estabelecidas neste Termo;</w:t>
      </w:r>
      <w:r w:rsidDel="00000000" w:rsidR="00000000" w:rsidRPr="00000000">
        <w:rPr>
          <w:rtl w:val="0"/>
        </w:rPr>
      </w:r>
    </w:p>
    <w:p w:rsidR="00000000" w:rsidDel="00000000" w:rsidP="00000000" w:rsidRDefault="00000000" w:rsidRPr="00000000" w14:paraId="0000026C">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10.3. Notificar o contratado, por escrito, sobre vícios, defeitos ou incorreções verificadas no objeto contratado, para que seja por ele substituído, reparado ou corrigido, no total ou em parte, às suas expensas;</w:t>
      </w:r>
      <w:r w:rsidDel="00000000" w:rsidR="00000000" w:rsidRPr="00000000">
        <w:rPr>
          <w:rtl w:val="0"/>
        </w:rPr>
      </w:r>
    </w:p>
    <w:p w:rsidR="00000000" w:rsidDel="00000000" w:rsidP="00000000" w:rsidRDefault="00000000" w:rsidRPr="00000000" w14:paraId="0000026D">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10.4.</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Acompanhar e fiscalizar  a entrega do bem contratado e o cumprimento das obrigações pelo contratado;</w:t>
      </w:r>
      <w:r w:rsidDel="00000000" w:rsidR="00000000" w:rsidRPr="00000000">
        <w:rPr>
          <w:rtl w:val="0"/>
        </w:rPr>
      </w:r>
    </w:p>
    <w:p w:rsidR="00000000" w:rsidDel="00000000" w:rsidP="00000000" w:rsidRDefault="00000000" w:rsidRPr="00000000" w14:paraId="0000026E">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rsidR="00000000" w:rsidDel="00000000" w:rsidP="00000000" w:rsidRDefault="00000000" w:rsidRPr="00000000" w14:paraId="0000026F">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10.6. Efetuar o pagamento ao contratado do valor correspondente a execução do objeto, no prazo, forma e condições estabelecidos neste termo;</w:t>
      </w:r>
      <w:r w:rsidDel="00000000" w:rsidR="00000000" w:rsidRPr="00000000">
        <w:rPr>
          <w:rtl w:val="0"/>
        </w:rPr>
      </w:r>
    </w:p>
    <w:p w:rsidR="00000000" w:rsidDel="00000000" w:rsidP="00000000" w:rsidRDefault="00000000" w:rsidRPr="00000000" w14:paraId="00000270">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10.7. Aplicar as sanções previstas na lei e edital, quando do descumprimento de obrigações pelo contratado;</w:t>
      </w:r>
      <w:r w:rsidDel="00000000" w:rsidR="00000000" w:rsidRPr="00000000">
        <w:rPr>
          <w:rtl w:val="0"/>
        </w:rPr>
      </w:r>
    </w:p>
    <w:p w:rsidR="00000000" w:rsidDel="00000000" w:rsidP="00000000" w:rsidRDefault="00000000" w:rsidRPr="00000000" w14:paraId="00000271">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10.8. Emitir explicitamente decisão sobre todas as solicitações e reclamações relacionadas à execução do instrumento equivalente de contrato, ressalvados os requerimentos manifestamente impertinentes, meramente protelatórios ou de nenhum interesse para a boa execução da contratação.</w:t>
      </w:r>
    </w:p>
    <w:p w:rsidR="00000000" w:rsidDel="00000000" w:rsidP="00000000" w:rsidRDefault="00000000" w:rsidRPr="00000000" w14:paraId="00000272">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10.8.1. A Administração terá o prazo de </w:t>
      </w:r>
      <w:r w:rsidDel="00000000" w:rsidR="00000000" w:rsidRPr="00000000">
        <w:rPr>
          <w:rFonts w:ascii="Arial" w:cs="Arial" w:eastAsia="Arial" w:hAnsi="Arial"/>
          <w:b w:val="1"/>
          <w:color w:val="000000"/>
          <w:sz w:val="22"/>
          <w:szCs w:val="22"/>
          <w:rtl w:val="0"/>
        </w:rPr>
        <w:t xml:space="preserve">30 (trinta) dias</w:t>
      </w:r>
      <w:r w:rsidDel="00000000" w:rsidR="00000000" w:rsidRPr="00000000">
        <w:rPr>
          <w:rFonts w:ascii="Arial" w:cs="Arial" w:eastAsia="Arial" w:hAnsi="Arial"/>
          <w:color w:val="000000"/>
          <w:sz w:val="22"/>
          <w:szCs w:val="22"/>
          <w:rtl w:val="0"/>
        </w:rPr>
        <w:t xml:space="preserve">, a contar da data do protocolo do requerimento para decidir, admitida a prorrogação motivada, por igual período.</w:t>
      </w:r>
      <w:r w:rsidDel="00000000" w:rsidR="00000000" w:rsidRPr="00000000">
        <w:rPr>
          <w:rtl w:val="0"/>
        </w:rPr>
      </w:r>
    </w:p>
    <w:p w:rsidR="00000000" w:rsidDel="00000000" w:rsidP="00000000" w:rsidRDefault="00000000" w:rsidRPr="00000000" w14:paraId="00000273">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10.9. Responder eventuais pedidos de restabelecimento do equilíbrio econômico-financeiro feitos pelo contratado no prazo máximo de </w:t>
      </w:r>
      <w:r w:rsidDel="00000000" w:rsidR="00000000" w:rsidRPr="00000000">
        <w:rPr>
          <w:rFonts w:ascii="Arial" w:cs="Arial" w:eastAsia="Arial" w:hAnsi="Arial"/>
          <w:b w:val="1"/>
          <w:color w:val="000000"/>
          <w:sz w:val="22"/>
          <w:szCs w:val="22"/>
          <w:rtl w:val="0"/>
        </w:rPr>
        <w:t xml:space="preserve">60 (sessenta) dias</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74">
      <w:pPr>
        <w:widowControl w:val="0"/>
        <w:tabs>
          <w:tab w:val="left" w:leader="none" w:pos="2520"/>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10.10. Não responder por quaisquer compromissos assumidos pelo contratado com terceiros, ainda que vinculados à execução do contrato, bem como por qualquer dano causado a terceiros em decorrência de ato do contratado, de seus empregados, prepostos ou subordinados.</w:t>
      </w:r>
      <w:r w:rsidDel="00000000" w:rsidR="00000000" w:rsidRPr="00000000">
        <w:rPr>
          <w:rtl w:val="0"/>
        </w:rPr>
      </w:r>
    </w:p>
    <w:p w:rsidR="00000000" w:rsidDel="00000000" w:rsidP="00000000" w:rsidRDefault="00000000" w:rsidRPr="00000000" w14:paraId="00000275">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11. DAS OBRIGAÇÕES DO CONTRATADO</w:t>
      </w:r>
      <w:r w:rsidDel="00000000" w:rsidR="00000000" w:rsidRPr="00000000">
        <w:rPr>
          <w:rtl w:val="0"/>
        </w:rPr>
      </w:r>
    </w:p>
    <w:p w:rsidR="00000000" w:rsidDel="00000000" w:rsidP="00000000" w:rsidRDefault="00000000" w:rsidRPr="00000000" w14:paraId="00000276">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 O contratado deve cumprir todas as obrigações constantes do edital e seus anexos, assumindo como exclusivamente seus os riscos e as despesas decorrentes da boa e perfeita execução do objeto, observando, ainda, as obrigações a seguir dispostas:</w:t>
      </w:r>
      <w:r w:rsidDel="00000000" w:rsidR="00000000" w:rsidRPr="00000000">
        <w:rPr>
          <w:rtl w:val="0"/>
        </w:rPr>
      </w:r>
    </w:p>
    <w:p w:rsidR="00000000" w:rsidDel="00000000" w:rsidP="00000000" w:rsidRDefault="00000000" w:rsidRPr="00000000" w14:paraId="00000277">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11.1.1. Entregar o objeto, quando for o caso, acompanhado do manual do usuário, com uma versão em português, e da relação da rede de assistência técnica autorizada;</w:t>
      </w:r>
      <w:r w:rsidDel="00000000" w:rsidR="00000000" w:rsidRPr="00000000">
        <w:rPr>
          <w:rtl w:val="0"/>
        </w:rPr>
      </w:r>
    </w:p>
    <w:p w:rsidR="00000000" w:rsidDel="00000000" w:rsidP="00000000" w:rsidRDefault="00000000" w:rsidRPr="00000000" w14:paraId="00000278">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11.1.2. Responsabilizar-se pelos vícios e danos decorrentes do objeto, de acordo com o Código de Defesa do Consumidor ;</w:t>
      </w:r>
      <w:r w:rsidDel="00000000" w:rsidR="00000000" w:rsidRPr="00000000">
        <w:rPr>
          <w:rtl w:val="0"/>
        </w:rPr>
      </w:r>
    </w:p>
    <w:p w:rsidR="00000000" w:rsidDel="00000000" w:rsidP="00000000" w:rsidRDefault="00000000" w:rsidRPr="00000000" w14:paraId="00000279">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11.1.3. Comunicar ao contratante, no prazo máximo de 24 (vinte e quatro) horas que antecede a data da entrega, os motivos que impossibilitem o cumprimento do prazo previsto, com a devida comprovação;</w:t>
      </w:r>
    </w:p>
    <w:p w:rsidR="00000000" w:rsidDel="00000000" w:rsidP="00000000" w:rsidRDefault="00000000" w:rsidRPr="00000000" w14:paraId="0000027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11.1.4. Atender às determinações regulares emitidas pelo fiscal ou gestor da contratação ou autoridade superior e prestar todo esclarecimento ou informação por eles solicitados;</w:t>
      </w:r>
    </w:p>
    <w:p w:rsidR="00000000" w:rsidDel="00000000" w:rsidP="00000000" w:rsidRDefault="00000000" w:rsidRPr="00000000" w14:paraId="0000027B">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11.1.5. Reparar, corrigir, remover, reconstruir ou substituir, às suas expensas, no total ou em parte, no prazo fixado pelo fiscal do contrato, os bens nos quais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27C">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Del="00000000" w:rsidR="00000000" w:rsidRPr="00000000">
        <w:rPr>
          <w:rtl w:val="0"/>
        </w:rPr>
      </w:r>
    </w:p>
    <w:p w:rsidR="00000000" w:rsidDel="00000000" w:rsidP="00000000" w:rsidRDefault="00000000" w:rsidRPr="00000000" w14:paraId="0000027D">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11.1.7.Quando não for possível a verificação da regularidade no Sistema de Cadastramento Unificado de Fornecedores(SICAF), ou no Certificado de Registro Cadastral (CRC) do Estado do Ceará, o contratado deverá entregar ao setor responsável pela fiscalização do instrumento equivalente de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Del="00000000" w:rsidR="00000000" w:rsidRPr="00000000">
        <w:rPr>
          <w:rtl w:val="0"/>
        </w:rPr>
      </w:r>
    </w:p>
    <w:p w:rsidR="00000000" w:rsidDel="00000000" w:rsidP="00000000" w:rsidRDefault="00000000" w:rsidRPr="00000000" w14:paraId="0000027E">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color w:val="000000"/>
          <w:sz w:val="22"/>
          <w:szCs w:val="22"/>
          <w:rtl w:val="0"/>
        </w:rPr>
        <w:t xml:space="preserve">11.1.8.</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w:t>
      </w:r>
      <w:r w:rsidDel="00000000" w:rsidR="00000000" w:rsidRPr="00000000">
        <w:rPr>
          <w:rtl w:val="0"/>
        </w:rPr>
      </w:r>
    </w:p>
    <w:p w:rsidR="00000000" w:rsidDel="00000000" w:rsidP="00000000" w:rsidRDefault="00000000" w:rsidRPr="00000000" w14:paraId="0000027F">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11.1.9. Atender além dos critérios de sustentabilidade eventualmente inseridos na descrição do objeto, atender ainda os seguintes requisitos de sustentabilidade.</w:t>
      </w:r>
    </w:p>
    <w:p w:rsidR="00000000" w:rsidDel="00000000" w:rsidP="00000000" w:rsidRDefault="00000000" w:rsidRPr="00000000" w14:paraId="00000280">
      <w:pPr>
        <w:spacing w:after="60" w:before="60" w:line="288"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11.1.9.1. Dar preferência a insumos com origem ambientalmente regular dos recursos naturais utilizados; menor geração de resíduos; e preferência por materiais, tecnologias e matérias-primas de origem local.</w:t>
      </w:r>
    </w:p>
    <w:p w:rsidR="00000000" w:rsidDel="00000000" w:rsidP="00000000" w:rsidRDefault="00000000" w:rsidRPr="00000000" w14:paraId="0000028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11.1.10. Comunicar ao fiscal, no prazo de 24 (vinte e quatro) horas, qualquer ocorrência anormal ou acidente que se verifique no local da execução do objeto.</w:t>
      </w:r>
    </w:p>
    <w:p w:rsidR="00000000" w:rsidDel="00000000" w:rsidP="00000000" w:rsidRDefault="00000000" w:rsidRPr="00000000" w14:paraId="0000028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11.1.11. 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28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11.1.12. Manter durante a vigência contratual, em compatibilidade com as obrigações assumidas, todas as condições exigidas para habilitação na licitação.</w:t>
      </w:r>
    </w:p>
    <w:p w:rsidR="00000000" w:rsidDel="00000000" w:rsidP="00000000" w:rsidRDefault="00000000" w:rsidRPr="00000000" w14:paraId="0000028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11.1.13. Cumprir, durante todo o período de execução contratual, a reserva de cargos prevista em lei para pessoa com deficiência, para reabilitado da Previdência Social ou para aprendiz, bem como as reservas de cargos previstas em lei e em outras normas específicas.</w:t>
      </w:r>
    </w:p>
    <w:p w:rsidR="00000000" w:rsidDel="00000000" w:rsidP="00000000" w:rsidRDefault="00000000" w:rsidRPr="00000000" w14:paraId="0000028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11.1.13.1. Comprovar as reservas de cargos e vagas a que se referem o subitem acima, no prazo fixado pelo fiscal, com a indicação dos empregados que preencheram as referidas vagas conforme disposto no art. 116, parágrafo único da Lei nº 14.133/2021.</w:t>
      </w:r>
    </w:p>
    <w:p w:rsidR="00000000" w:rsidDel="00000000" w:rsidP="00000000" w:rsidRDefault="00000000" w:rsidRPr="00000000" w14:paraId="0000028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11.1.14. Guardar sigilo sobre todas as informações obtidas em decorrência do cumprimento contratual.</w:t>
      </w:r>
    </w:p>
    <w:p w:rsidR="00000000" w:rsidDel="00000000" w:rsidP="00000000" w:rsidRDefault="00000000" w:rsidRPr="00000000" w14:paraId="00000287">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hyperlink r:id="rId34">
        <w:r w:rsidDel="00000000" w:rsidR="00000000" w:rsidRPr="00000000">
          <w:rPr>
            <w:rFonts w:ascii="Arial" w:cs="Arial" w:eastAsia="Arial" w:hAnsi="Arial"/>
            <w:color w:val="000000"/>
            <w:sz w:val="22"/>
            <w:szCs w:val="22"/>
            <w:rtl w:val="0"/>
          </w:rPr>
          <w:t xml:space="preserve">.</w:t>
        </w:r>
      </w:hyperlink>
      <w:r w:rsidDel="00000000" w:rsidR="00000000" w:rsidRPr="00000000">
        <w:rPr>
          <w:rtl w:val="0"/>
        </w:rPr>
      </w:r>
    </w:p>
    <w:p w:rsidR="00000000" w:rsidDel="00000000" w:rsidP="00000000" w:rsidRDefault="00000000" w:rsidRPr="00000000" w14:paraId="0000028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11.1.16.</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289">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11.1.17. Promover, se for o caso, a guarda, manutenção e vigilância de materiais, ferramentas, e tudo o que for necessário à execução do objeto.</w:t>
      </w:r>
    </w:p>
    <w:p w:rsidR="00000000" w:rsidDel="00000000" w:rsidP="00000000" w:rsidRDefault="00000000" w:rsidRPr="00000000" w14:paraId="0000028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11.1.18. Providenciar a substituição de qualquer profissional envolvido na execução do objeto contratual, cuja conduta seja considerada indesejável pela fiscalização do contratante.</w:t>
      </w:r>
    </w:p>
    <w:p w:rsidR="00000000" w:rsidDel="00000000" w:rsidP="00000000" w:rsidRDefault="00000000" w:rsidRPr="00000000" w14:paraId="0000028B">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11.1.19. Respeitar os princípios de proteção de dados pessoais elencados na Lei Geral de Proteção de Dados, Lei nº 13.709 de 14 de agosto de 2018 e suas alterações.</w:t>
      </w:r>
    </w:p>
    <w:p w:rsidR="00000000" w:rsidDel="00000000" w:rsidP="00000000" w:rsidRDefault="00000000" w:rsidRPr="00000000" w14:paraId="0000028C">
      <w:pPr>
        <w:widowControl w:val="0"/>
        <w:pBdr>
          <w:top w:color="000000" w:space="0" w:sz="0" w:val="none"/>
          <w:left w:color="000000" w:space="0" w:sz="0" w:val="none"/>
          <w:bottom w:color="000000" w:space="0" w:sz="0" w:val="none"/>
          <w:right w:color="000000" w:space="0" w:sz="0" w:val="none"/>
          <w:between w:color="000000" w:space="0" w:sz="0" w:val="none"/>
        </w:pBdr>
        <w:tabs>
          <w:tab w:val="left" w:leader="none" w:pos="-2184"/>
          <w:tab w:val="left" w:leader="none" w:pos="1077"/>
        </w:tabs>
        <w:spacing w:after="60" w:before="60" w:lineRule="auto"/>
        <w:ind w:left="283.4645669291337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12. CRITÉRIOS DE SELEÇÃO DO FORNECEDOR</w:t>
      </w:r>
    </w:p>
    <w:p w:rsidR="00000000" w:rsidDel="00000000" w:rsidP="00000000" w:rsidRDefault="00000000" w:rsidRPr="00000000" w14:paraId="0000028D">
      <w:pPr>
        <w:tabs>
          <w:tab w:val="left" w:leader="none" w:pos="-2170"/>
          <w:tab w:val="left" w:leader="none" w:pos="1091"/>
        </w:tabs>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12.1. Para fins de habilitação, deverá o licitante comprovar os seguintes requisitos:</w:t>
      </w:r>
      <w:r w:rsidDel="00000000" w:rsidR="00000000" w:rsidRPr="00000000">
        <w:rPr>
          <w:rtl w:val="0"/>
        </w:rPr>
      </w:r>
    </w:p>
    <w:p w:rsidR="00000000" w:rsidDel="00000000" w:rsidP="00000000" w:rsidRDefault="00000000" w:rsidRPr="00000000" w14:paraId="0000028E">
      <w:pPr>
        <w:widowControl w:val="0"/>
        <w:tabs>
          <w:tab w:val="left" w:leader="none" w:pos="488"/>
        </w:tabs>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Habilitação jurídica</w:t>
      </w:r>
      <w:r w:rsidDel="00000000" w:rsidR="00000000" w:rsidRPr="00000000">
        <w:rPr>
          <w:rtl w:val="0"/>
        </w:rPr>
      </w:r>
    </w:p>
    <w:p w:rsidR="00000000" w:rsidDel="00000000" w:rsidP="00000000" w:rsidRDefault="00000000" w:rsidRPr="00000000" w14:paraId="0000028F">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 A documentação relativa à habilitação jurídica consistirá em:</w:t>
      </w:r>
    </w:p>
    <w:p w:rsidR="00000000" w:rsidDel="00000000" w:rsidP="00000000" w:rsidRDefault="00000000" w:rsidRPr="00000000" w14:paraId="00000290">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12.2.1. Pessoa física: cédula de identidade (RG) ou documento equivalente que, por força de lei, tenha validade para fins de identificação em todo o território nacional;</w:t>
      </w:r>
    </w:p>
    <w:p w:rsidR="00000000" w:rsidDel="00000000" w:rsidP="00000000" w:rsidRDefault="00000000" w:rsidRPr="00000000" w14:paraId="00000291">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12.2.2. Empresário individual: inscrição no Registro Público de Empresas Mercantis, a cargo da Junta Comercial da respectiva sede;</w:t>
      </w:r>
    </w:p>
    <w:p w:rsidR="00000000" w:rsidDel="00000000" w:rsidP="00000000" w:rsidRDefault="00000000" w:rsidRPr="00000000" w14:paraId="00000292">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12.2.3. Microempreendedor Individual - MEI: Certificado da Condição de Microempreendedor Individual - CCMEI, cuja aceitação ficará condicionada à verificação da autenticidade no sítio </w:t>
      </w:r>
      <w:hyperlink r:id="rId35">
        <w:r w:rsidDel="00000000" w:rsidR="00000000" w:rsidRPr="00000000">
          <w:rPr>
            <w:rFonts w:ascii="Arial" w:cs="Arial" w:eastAsia="Arial" w:hAnsi="Arial"/>
            <w:color w:val="000000"/>
            <w:sz w:val="22"/>
            <w:szCs w:val="22"/>
            <w:rtl w:val="0"/>
          </w:rPr>
          <w:t xml:space="preserve">https://www.gov.br/empresas-e-negocios/pt-br/empreendedor</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93">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294">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12.2.5.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Del="00000000" w:rsidR="00000000" w:rsidRPr="00000000">
        <w:rPr>
          <w:rtl w:val="0"/>
        </w:rPr>
      </w:r>
    </w:p>
    <w:p w:rsidR="00000000" w:rsidDel="00000000" w:rsidP="00000000" w:rsidRDefault="00000000" w:rsidRPr="00000000" w14:paraId="00000295">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12.2.6.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296">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12.2.7.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297">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12.2.8. Sociedade cooperativa: ata de fundação e estatuto social, com a ata da assembleia que o aprovou, devidamente arquivado na Junta Comercial ou inscrito no Registro Civil das Pessoas Jurídicas da respectiva sede, além do registro de que trata o art. 107 da Lei nº 5.764/1971.</w:t>
      </w:r>
      <w:r w:rsidDel="00000000" w:rsidR="00000000" w:rsidRPr="00000000">
        <w:rPr>
          <w:rtl w:val="0"/>
        </w:rPr>
      </w:r>
    </w:p>
    <w:p w:rsidR="00000000" w:rsidDel="00000000" w:rsidP="00000000" w:rsidRDefault="00000000" w:rsidRPr="00000000" w14:paraId="00000298">
      <w:pPr>
        <w:widowControl w:val="0"/>
        <w:tabs>
          <w:tab w:val="left" w:leader="none" w:pos="488"/>
        </w:tabs>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b w:val="1"/>
          <w:color w:val="000000"/>
          <w:sz w:val="22"/>
          <w:szCs w:val="22"/>
          <w:rtl w:val="0"/>
        </w:rPr>
        <w:t xml:space="preserve">Habilitações fiscal, social e trabalhista</w:t>
      </w:r>
      <w:r w:rsidDel="00000000" w:rsidR="00000000" w:rsidRPr="00000000">
        <w:rPr>
          <w:rtl w:val="0"/>
        </w:rPr>
      </w:r>
    </w:p>
    <w:p w:rsidR="00000000" w:rsidDel="00000000" w:rsidP="00000000" w:rsidRDefault="00000000" w:rsidRPr="00000000" w14:paraId="00000299">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 As habilitações fiscal, social e trabalhista serão aferidas mediante a verificação dos seguintes requisitos:</w:t>
      </w:r>
      <w:r w:rsidDel="00000000" w:rsidR="00000000" w:rsidRPr="00000000">
        <w:rPr>
          <w:rtl w:val="0"/>
        </w:rPr>
      </w:r>
    </w:p>
    <w:p w:rsidR="00000000" w:rsidDel="00000000" w:rsidP="00000000" w:rsidRDefault="00000000" w:rsidRPr="00000000" w14:paraId="0000029A">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12.3.1. A inscrição no Cadastro de Pessoas Físicas (CPF) ou no Cadastro Nacional da Pessoa Jurídica (CNPJ);</w:t>
      </w:r>
      <w:r w:rsidDel="00000000" w:rsidR="00000000" w:rsidRPr="00000000">
        <w:rPr>
          <w:rtl w:val="0"/>
        </w:rPr>
      </w:r>
    </w:p>
    <w:p w:rsidR="00000000" w:rsidDel="00000000" w:rsidP="00000000" w:rsidRDefault="00000000" w:rsidRPr="00000000" w14:paraId="0000029B">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12.3.2. A inscrição no cadastro de contribuintes estadual e/ou municipal, se houver, relativo ao domicílio ou sede do licitante, pertinente ao seu ramo de atividade e compatível com o objeto contratual;</w:t>
      </w:r>
      <w:r w:rsidDel="00000000" w:rsidR="00000000" w:rsidRPr="00000000">
        <w:rPr>
          <w:rtl w:val="0"/>
        </w:rPr>
      </w:r>
    </w:p>
    <w:p w:rsidR="00000000" w:rsidDel="00000000" w:rsidP="00000000" w:rsidRDefault="00000000" w:rsidRPr="00000000" w14:paraId="0000029C">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12.3.3. A regularidade perante a fazenda federal, estadual e/ou municipal do domicílio ou sede do licitante, ou outra equivalente, na forma da lei;</w:t>
      </w:r>
      <w:r w:rsidDel="00000000" w:rsidR="00000000" w:rsidRPr="00000000">
        <w:rPr>
          <w:rtl w:val="0"/>
        </w:rPr>
      </w:r>
    </w:p>
    <w:p w:rsidR="00000000" w:rsidDel="00000000" w:rsidP="00000000" w:rsidRDefault="00000000" w:rsidRPr="00000000" w14:paraId="0000029D">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12.3.4. A regularidade relativa à seguridade social e ao FGTS, que demonstre cumprimento dos encargos sociais instituídos por lei;</w:t>
      </w:r>
      <w:r w:rsidDel="00000000" w:rsidR="00000000" w:rsidRPr="00000000">
        <w:rPr>
          <w:rtl w:val="0"/>
        </w:rPr>
      </w:r>
    </w:p>
    <w:p w:rsidR="00000000" w:rsidDel="00000000" w:rsidP="00000000" w:rsidRDefault="00000000" w:rsidRPr="00000000" w14:paraId="0000029E">
      <w:pPr>
        <w:spacing w:after="57" w:before="57" w:lineRule="auto"/>
        <w:ind w:left="283.46456692913375" w:firstLine="0"/>
        <w:jc w:val="both"/>
        <w:rPr>
          <w:rFonts w:ascii="Cumberland AMT" w:cs="Cumberland AMT" w:eastAsia="Cumberland AMT" w:hAnsi="Cumberland AMT"/>
          <w:color w:val="000000"/>
          <w:sz w:val="24"/>
          <w:szCs w:val="24"/>
        </w:rPr>
      </w:pPr>
      <w:r w:rsidDel="00000000" w:rsidR="00000000" w:rsidRPr="00000000">
        <w:rPr>
          <w:rFonts w:ascii="Arial" w:cs="Arial" w:eastAsia="Arial" w:hAnsi="Arial"/>
          <w:color w:val="000000"/>
          <w:sz w:val="22"/>
          <w:szCs w:val="22"/>
          <w:rtl w:val="0"/>
        </w:rPr>
        <w:t xml:space="preserve">12.3.5. A regularidade perante a Justiça do Trabalho, mediante a apresentação de certidão negativa ou positiva com efeito de negativa, nos termos do Título VII-A da Consolidação das Leis do Trabalho, aprovada pelo Decreto-Lei nº 5.452/1943;</w:t>
      </w:r>
      <w:r w:rsidDel="00000000" w:rsidR="00000000" w:rsidRPr="00000000">
        <w:rPr>
          <w:rtl w:val="0"/>
        </w:rPr>
      </w:r>
    </w:p>
    <w:p w:rsidR="00000000" w:rsidDel="00000000" w:rsidP="00000000" w:rsidRDefault="00000000" w:rsidRPr="00000000" w14:paraId="0000029F">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12.3.6. O cumprimento do disposto no inciso XXXIII do art. 7º da Constituição Federal.</w:t>
      </w:r>
      <w:r w:rsidDel="00000000" w:rsidR="00000000" w:rsidRPr="00000000">
        <w:rPr>
          <w:rtl w:val="0"/>
        </w:rPr>
      </w:r>
    </w:p>
    <w:p w:rsidR="00000000" w:rsidDel="00000000" w:rsidP="00000000" w:rsidRDefault="00000000" w:rsidRPr="00000000" w14:paraId="000002A0">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12.4.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r w:rsidDel="00000000" w:rsidR="00000000" w:rsidRPr="00000000">
        <w:rPr>
          <w:rtl w:val="0"/>
        </w:rPr>
      </w:r>
    </w:p>
    <w:p w:rsidR="00000000" w:rsidDel="00000000" w:rsidP="00000000" w:rsidRDefault="00000000" w:rsidRPr="00000000" w14:paraId="000002A1">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12.5.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r w:rsidDel="00000000" w:rsidR="00000000" w:rsidRPr="00000000">
        <w:rPr>
          <w:rtl w:val="0"/>
        </w:rPr>
      </w:r>
    </w:p>
    <w:p w:rsidR="00000000" w:rsidDel="00000000" w:rsidP="00000000" w:rsidRDefault="00000000" w:rsidRPr="00000000" w14:paraId="000002A2">
      <w:pPr>
        <w:spacing w:after="57" w:before="57" w:lineRule="auto"/>
        <w:ind w:left="283.46456692913375" w:firstLine="0"/>
        <w:jc w:val="both"/>
        <w:rPr>
          <w:rFonts w:ascii="Liberation Serif" w:cs="Liberation Serif" w:eastAsia="Liberation Serif" w:hAnsi="Liberation Serif"/>
          <w:color w:val="000000"/>
          <w:sz w:val="24"/>
          <w:szCs w:val="24"/>
        </w:rPr>
      </w:pPr>
      <w:r w:rsidDel="00000000" w:rsidR="00000000" w:rsidRPr="00000000">
        <w:rPr>
          <w:rFonts w:ascii="Arial" w:cs="Arial" w:eastAsia="Arial" w:hAnsi="Arial"/>
          <w:color w:val="000000"/>
          <w:sz w:val="22"/>
          <w:szCs w:val="22"/>
          <w:rtl w:val="0"/>
        </w:rPr>
        <w:t xml:space="preserve">12.6. Os documentos enumerados no subitem 12.14, poderão ser substituídos ou supridos, no todo ou em parte, por outros meios hábeis a comprovar a regularidade do licitante, inclusive por meio eletrônico. Quanto à comprovação de atendimento do disposto nos subitens 12.3.3, 12.3.4 e 12.3.5 deverá ser feita na forma da legislação específica.</w:t>
      </w:r>
      <w:r w:rsidDel="00000000" w:rsidR="00000000" w:rsidRPr="00000000">
        <w:rPr>
          <w:rtl w:val="0"/>
        </w:rPr>
      </w:r>
    </w:p>
    <w:p w:rsidR="00000000" w:rsidDel="00000000" w:rsidP="00000000" w:rsidRDefault="00000000" w:rsidRPr="00000000" w14:paraId="000002A3">
      <w:pPr>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12.7. Para os Estados e Municípios que emitam prova de regularidade fiscal em separado, os proponentes deverão apresentar as respectivas certidões.</w:t>
      </w:r>
    </w:p>
    <w:p w:rsidR="00000000" w:rsidDel="00000000" w:rsidP="00000000" w:rsidRDefault="00000000" w:rsidRPr="00000000" w14:paraId="000002A4">
      <w:pPr>
        <w:spacing w:after="60" w:before="60"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12.8. As microempresas e empresas de pequeno porte deverão encaminhar a documentação de habilitação, ainda que haja alguma restrição de regularidade fiscal e trabalhista, nos termos do art. 43, § 1º da Lei Complementar nº 123, de 2006.</w:t>
      </w:r>
    </w:p>
    <w:p w:rsidR="00000000" w:rsidDel="00000000" w:rsidP="00000000" w:rsidRDefault="00000000" w:rsidRPr="00000000" w14:paraId="000002A5">
      <w:pPr>
        <w:spacing w:after="60" w:before="60" w:line="276"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12.9.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rsidR="00000000" w:rsidDel="00000000" w:rsidP="00000000" w:rsidRDefault="00000000" w:rsidRPr="00000000" w14:paraId="000002A6">
      <w:pPr>
        <w:spacing w:after="60" w:before="60" w:line="276" w:lineRule="auto"/>
        <w:ind w:left="283.46456692913375"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12</w:t>
      </w:r>
      <w:r w:rsidDel="00000000" w:rsidR="00000000" w:rsidRPr="00000000">
        <w:rPr>
          <w:rFonts w:ascii="Arial" w:cs="Arial" w:eastAsia="Arial" w:hAnsi="Arial"/>
          <w:color w:val="000000"/>
          <w:sz w:val="22"/>
          <w:szCs w:val="22"/>
          <w:highlight w:val="white"/>
          <w:rtl w:val="0"/>
        </w:rPr>
        <w:t xml:space="preserve">.10. A não comprovação da regularidade fiscal e trabalhista, até o final do prazo estabelecido, implicará a decadência do direito, sem prejuízo das sanções cabíveis, sendo facultado ao pregoeiro convocar os licitantes remanescentes, por ordem de classificação.</w:t>
      </w:r>
    </w:p>
    <w:p w:rsidR="00000000" w:rsidDel="00000000" w:rsidP="00000000" w:rsidRDefault="00000000" w:rsidRPr="00000000" w14:paraId="000002A7">
      <w:pPr>
        <w:spacing w:after="60" w:before="60" w:line="276"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12.11. </w:t>
      </w:r>
      <w:r w:rsidDel="00000000" w:rsidR="00000000" w:rsidRPr="00000000">
        <w:rPr>
          <w:rFonts w:ascii="Arial" w:cs="Arial" w:eastAsia="Arial" w:hAnsi="Arial"/>
          <w:color w:val="000000"/>
          <w:sz w:val="22"/>
          <w:szCs w:val="22"/>
          <w:rtl w:val="0"/>
        </w:rPr>
        <w:t xml:space="preserve">Os documentos relativos à regularidade fiscal somente serão exigidos, em qualquer caso, em momento posterior ao julgamento das propostas, e apenas do licitante melhor classificado.</w:t>
      </w:r>
    </w:p>
    <w:p w:rsidR="00000000" w:rsidDel="00000000" w:rsidP="00000000" w:rsidRDefault="00000000" w:rsidRPr="00000000" w14:paraId="000002A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13. DAS OBRIGAÇÕES PERTINENTES À LEI GERAL DE PROTEÇÃO DE DADOS PESSOAIS (LGPD)</w:t>
      </w:r>
    </w:p>
    <w:p w:rsidR="00000000" w:rsidDel="00000000" w:rsidP="00000000" w:rsidRDefault="00000000" w:rsidRPr="00000000" w14:paraId="000002A9">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br w:type="textWrapping"/>
        <w:t xml:space="preserve">13.1.1. O contratado somente poderá tratar dados pessoais nos limites e finalidades exclusivas do cumprimento de suas obrigações com base no presente instrumento e jamais poderá realizar o tratamento para fins distintos do fornecimento dos bens ou execução dos serviços especificados no certame ou no contrato administrativo ou instrumento equivalente.</w:t>
      </w:r>
    </w:p>
    <w:p w:rsidR="00000000" w:rsidDel="00000000" w:rsidP="00000000" w:rsidRDefault="00000000" w:rsidRPr="00000000" w14:paraId="000002AA">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13.2.  O tratamento de dados pessoais será realizado de acordo com as hipóteses de tratamento previstas nos artigos 7º, 11, 14, 23, 24 e 26 da LGPD e somente para propósitos legítimos, específicos, explícitos e informados ao titular, observando a persecução do interesse público e os princípios do art.</w:t>
      </w:r>
      <w:hyperlink r:id="rId36">
        <w:r w:rsidDel="00000000" w:rsidR="00000000" w:rsidRPr="00000000">
          <w:rPr>
            <w:rFonts w:ascii="Arial" w:cs="Arial" w:eastAsia="Arial" w:hAnsi="Arial"/>
            <w:color w:val="000000"/>
            <w:sz w:val="22"/>
            <w:szCs w:val="22"/>
            <w:rtl w:val="0"/>
          </w:rPr>
          <w:t xml:space="preserve">6º</w:t>
        </w:r>
      </w:hyperlink>
      <w:r w:rsidDel="00000000" w:rsidR="00000000" w:rsidRPr="00000000">
        <w:rPr>
          <w:rFonts w:ascii="Arial" w:cs="Arial" w:eastAsia="Arial" w:hAnsi="Arial"/>
          <w:color w:val="000000"/>
          <w:sz w:val="22"/>
          <w:szCs w:val="22"/>
          <w:rtl w:val="0"/>
        </w:rPr>
        <w:t xml:space="preserve"> da LGPD e 37 da Constituição Federal de 1988.</w:t>
        <w:br w:type="textWrapping"/>
        <w:t xml:space="preserve">13.3. O contratado deverá indicar, no prazo máximo de 5 (cinco) dias úteis da publicação do contrato, a identidade e informações de contato do seu Encarregado de Proteção de Dados, bem como, se aplicável, o </w:t>
        <w:tab/>
        <w:t xml:space="preserve">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br w:type="textWrapping"/>
        <w:t xml:space="preserve">13.4.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tab/>
        <w:br w:type="textWrapping"/>
        <w:t xml:space="preserve">13.5. O contratado não poderá disponibilizar ou transmitir a terceiros, sem prévia autorização por escrito, informação, dados pessoais ou base de dados a que tenha acesso em razão do cumprimento do objeto deste instrumento contratual.</w:t>
        <w:br w:type="textWrapping"/>
        <w:t xml:space="preserve">13.5.1.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w:t>
        <w:tab/>
        <w:t xml:space="preserve">disponibilidade dos dados.</w:t>
      </w:r>
    </w:p>
    <w:p w:rsidR="00000000" w:rsidDel="00000000" w:rsidP="00000000" w:rsidRDefault="00000000" w:rsidRPr="00000000" w14:paraId="000002AB">
      <w:pPr>
        <w:widowControl w:val="0"/>
        <w:tabs>
          <w:tab w:val="left" w:leader="none" w:pos="-2184"/>
          <w:tab w:val="left" w:leader="none" w:pos="1077"/>
        </w:tabs>
        <w:spacing w:after="57" w:before="57"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13.5.2. As partes se obrigam a zelar pelo sigilo dos dados, garantindo que apenas as pessoas que efetivamente precisam acessá-los o façam, </w:t>
        <w:tab/>
        <w:t xml:space="preserve">submetendo-as, em todo caso, ao dever de confidencialidade.</w:t>
        <w:br w:type="textWrapping"/>
        <w:t xml:space="preserve">13.6. Ocorrendo o término do tratamento dos dados nos termos do</w:t>
      </w:r>
      <w:hyperlink r:id="rId37">
        <w:r w:rsidDel="00000000" w:rsidR="00000000" w:rsidRPr="00000000">
          <w:rPr>
            <w:rFonts w:ascii="Arial" w:cs="Arial" w:eastAsia="Arial" w:hAnsi="Arial"/>
            <w:color w:val="000000"/>
            <w:sz w:val="22"/>
            <w:szCs w:val="22"/>
            <w:rtl w:val="0"/>
          </w:rPr>
          <w:t xml:space="preserve"> art. 15 da LGPD</w:t>
        </w:r>
      </w:hyperlink>
      <w:r w:rsidDel="00000000" w:rsidR="00000000" w:rsidRPr="00000000">
        <w:rPr>
          <w:rFonts w:ascii="Arial" w:cs="Arial" w:eastAsia="Arial" w:hAnsi="Arial"/>
          <w:color w:val="000000"/>
          <w:sz w:val="22"/>
          <w:szCs w:val="22"/>
          <w:rtl w:val="0"/>
        </w:rPr>
        <w:t xml:space="preserve"> é  dever do contratado eliminá-los, com exceção das hipóteses do</w:t>
      </w:r>
      <w:hyperlink r:id="rId38">
        <w:r w:rsidDel="00000000" w:rsidR="00000000" w:rsidRPr="00000000">
          <w:rPr>
            <w:rFonts w:ascii="Arial" w:cs="Arial" w:eastAsia="Arial" w:hAnsi="Arial"/>
            <w:color w:val="000000"/>
            <w:sz w:val="22"/>
            <w:szCs w:val="22"/>
            <w:rtl w:val="0"/>
          </w:rPr>
          <w:t xml:space="preserve"> art. 16 da m</w:t>
        </w:r>
      </w:hyperlink>
      <w:r w:rsidDel="00000000" w:rsidR="00000000" w:rsidRPr="00000000">
        <w:rPr>
          <w:rFonts w:ascii="Arial" w:cs="Arial" w:eastAsia="Arial" w:hAnsi="Arial"/>
          <w:color w:val="000000"/>
          <w:sz w:val="22"/>
          <w:szCs w:val="22"/>
          <w:rtl w:val="0"/>
        </w:rPr>
        <w:t xml:space="preserve">esma </w:t>
        <w:tab/>
        <w:t xml:space="preserve">lei, incluindo aquelas em que houver necessidade de guarda de documentação para fins de comprovação do cumprimento de obrigações legais ou contratuais e somente enquanto não prescritas essas obrigações.</w:t>
        <w:br w:type="textWrapping"/>
        <w:t xml:space="preserve">13.6.1. O contratado não poderá deter cópias ou backups, informações, dados pessoais </w:t>
        <w:tab/>
        <w:t xml:space="preserve">e/ou base de dados a que tenha tido acesso durante a execução do </w:t>
        <w:tab/>
        <w:t xml:space="preserve">cumprimento do objeto deste instrumento contratual. </w:t>
        <w:tab/>
        <w:br w:type="textWrapping"/>
        <w:t xml:space="preserve">13.6.2.</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O </w:t>
        <w:tab/>
        <w:t xml:space="preserve">contratado deverá eliminar os dados pessoais a que tiver conhecimento ou posse em razão do cumprimento do objeto deste instrumento contratual tão </w:t>
        <w:tab/>
        <w:t xml:space="preserve">logo não haja necessidade de seu tratamento.</w:t>
        <w:br w:type="textWrapping"/>
        <w:t xml:space="preserve">13.6.3. O </w:t>
        <w:tab/>
        <w:t xml:space="preserve">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ou instrumento equivalente, restando autorizada a conservação apenas nas hipóteses legalmente previstas,</w:t>
        <w:tab/>
        <w:br w:type="textWrapping"/>
        <w:t xml:space="preserve">13.7. Caso as partes necessitem subcontratar atividades relacionadas ao </w:t>
        <w:tab/>
        <w:t xml:space="preserve">certame, contrato ou instrumento equivalente em que haja tratamento dos dados, deverão exigir a vinculação do subcontratado (suboperador) aos critérios definidos neste </w:t>
        <w:tab/>
        <w:t xml:space="preserve">instrumento, fazendo-o assinar um termo de adesão ao presente instrumento. </w:t>
        <w:tab/>
        <w:br w:type="textWrapping"/>
        <w:t xml:space="preserve">13.7.1. O contratante deverá ser informado no prazo de 5 (cinco) dias úteis sobre todos os contratos ou instrumento equivalente de subcontratação (suboperadores) firmados ou que venham a ser celebrados pelo contratado.</w:t>
        <w:tab/>
        <w:br w:type="textWrapping"/>
        <w:t xml:space="preserve">13.7.2. Em caso de subcontratação, o contratado e o subcontratado responderão em regime de solidariedade por eventuais danos causados aos titulares, o contratante e a terceiros, em virtude de qualquer conduta comissiva ou omissiva inerente ao tratamento dos dados.</w:t>
      </w:r>
    </w:p>
    <w:p w:rsidR="00000000" w:rsidDel="00000000" w:rsidP="00000000" w:rsidRDefault="00000000" w:rsidRPr="00000000" w14:paraId="000002AC">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13.7.3. O contratado deverá assegurar que o subcontratado oferecerá o mesmo nível de segurança dos dados, produzindo e guardando evidências disso;</w:t>
      </w:r>
    </w:p>
    <w:p w:rsidR="00000000" w:rsidDel="00000000" w:rsidP="00000000" w:rsidRDefault="00000000" w:rsidRPr="00000000" w14:paraId="000002AD">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13.8. As partes devem adotar boas práticas de governança e medidas técnicas e administrativas em relação ao tratamento dos dados, compatíveis com a estrutura, a escala e o volume de suas operações, bem como a sensibilidade dos dados tratados.</w:t>
      </w:r>
    </w:p>
    <w:p w:rsidR="00000000" w:rsidDel="00000000" w:rsidP="00000000" w:rsidRDefault="00000000" w:rsidRPr="00000000" w14:paraId="000002AE">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13.8.1. É dever do contratado orientar e treinar seus empregados sobre os deveres, requisitos e responsabilidades decorrentes da LGPD, inclusive dará conhecimento formal aos seus empregados das obrigações e condições acordadas neste subitem.</w:t>
      </w:r>
    </w:p>
    <w:p w:rsidR="00000000" w:rsidDel="00000000" w:rsidP="00000000" w:rsidRDefault="00000000" w:rsidRPr="00000000" w14:paraId="000002AF">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13.8.2. O contratado se responsabilizará por assegurar que todos os seus colaboradores, consultores, e/ou fornecedores que, no exercício das suas atividades, tenham acesso e/ou conhecimento da informação e/ou dos dados pessoais, agirão de acordo com o presente instrumento,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rsidR="00000000" w:rsidDel="00000000" w:rsidP="00000000" w:rsidRDefault="00000000" w:rsidRPr="00000000" w14:paraId="000002B0">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13.8.3. O contratado deverá promover a revogação de todos os privilégios de acesso aos sistemas, informações e recursos do contratante, em caso de desligamento de funcionário das atividades inerentes à execução contratual.</w:t>
      </w:r>
    </w:p>
    <w:p w:rsidR="00000000" w:rsidDel="00000000" w:rsidP="00000000" w:rsidRDefault="00000000" w:rsidRPr="00000000" w14:paraId="000002B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13.9. Em caso de incidente de segurança em relação aos dados tratados neste instrumento, que comprometa a confidencialidade, a integridade e a disponibilidade dos dados, a parte que sofreu o incidente deverá comunicar imediatamente a ocorrência a partir de uma notificação que conterá, no mínimo:</w:t>
      </w:r>
    </w:p>
    <w:p w:rsidR="00000000" w:rsidDel="00000000" w:rsidP="00000000" w:rsidRDefault="00000000" w:rsidRPr="00000000" w14:paraId="000002B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Data e hora do incidente;</w:t>
      </w:r>
    </w:p>
    <w:p w:rsidR="00000000" w:rsidDel="00000000" w:rsidP="00000000" w:rsidRDefault="00000000" w:rsidRPr="00000000" w14:paraId="000002B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Data e hora da ciência pela parte responsável;</w:t>
      </w:r>
    </w:p>
    <w:p w:rsidR="00000000" w:rsidDel="00000000" w:rsidP="00000000" w:rsidRDefault="00000000" w:rsidRPr="00000000" w14:paraId="000002B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 Descrição dos dados pessoais afetados;</w:t>
      </w:r>
    </w:p>
    <w:p w:rsidR="00000000" w:rsidDel="00000000" w:rsidP="00000000" w:rsidRDefault="00000000" w:rsidRPr="00000000" w14:paraId="000002B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 Número de titulares afetados;</w:t>
      </w:r>
    </w:p>
    <w:p w:rsidR="00000000" w:rsidDel="00000000" w:rsidP="00000000" w:rsidRDefault="00000000" w:rsidRPr="00000000" w14:paraId="000002B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 Relação dos titulares envolvidos;</w:t>
      </w:r>
    </w:p>
    <w:p w:rsidR="00000000" w:rsidDel="00000000" w:rsidP="00000000" w:rsidRDefault="00000000" w:rsidRPr="00000000" w14:paraId="000002B7">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 Riscos relacionados ao incidente;</w:t>
      </w:r>
    </w:p>
    <w:p w:rsidR="00000000" w:rsidDel="00000000" w:rsidP="00000000" w:rsidRDefault="00000000" w:rsidRPr="00000000" w14:paraId="000002B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 Indicação das medidas técnicas e de segurança utilizadas para a proteção dos dados;</w:t>
      </w:r>
    </w:p>
    <w:p w:rsidR="00000000" w:rsidDel="00000000" w:rsidP="00000000" w:rsidRDefault="00000000" w:rsidRPr="00000000" w14:paraId="000002B9">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 Motivos da demora, no caso de a comunicação não haver sido imediata;</w:t>
      </w:r>
    </w:p>
    <w:p w:rsidR="00000000" w:rsidDel="00000000" w:rsidP="00000000" w:rsidRDefault="00000000" w:rsidRPr="00000000" w14:paraId="000002B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Medidas que foram ou que serão adotadas para reverter ou mitigar os efeitos do prejuízo;</w:t>
      </w:r>
    </w:p>
    <w:p w:rsidR="00000000" w:rsidDel="00000000" w:rsidP="00000000" w:rsidRDefault="00000000" w:rsidRPr="00000000" w14:paraId="000002BB">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j) O contato do Encarregado de Proteção de Dados ou de outra pessoa junto a qual seja possível obter maiores informações sobre o ocorrido;</w:t>
      </w:r>
    </w:p>
    <w:p w:rsidR="00000000" w:rsidDel="00000000" w:rsidP="00000000" w:rsidRDefault="00000000" w:rsidRPr="00000000" w14:paraId="000002BC">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13.9.1. Na hipótese descrita acima, as partes atuarão em regime de cooperação para:</w:t>
      </w:r>
    </w:p>
    <w:p w:rsidR="00000000" w:rsidDel="00000000" w:rsidP="00000000" w:rsidRDefault="00000000" w:rsidRPr="00000000" w14:paraId="000002BD">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Definir e implementar as medidas necessárias para fazer cessar o incidente e minimizar seus impactos;</w:t>
      </w:r>
    </w:p>
    <w:p w:rsidR="00000000" w:rsidDel="00000000" w:rsidP="00000000" w:rsidRDefault="00000000" w:rsidRPr="00000000" w14:paraId="000002BE">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Prover as informações necessárias à apuração do ocorrido no menor prazo possível;</w:t>
      </w:r>
    </w:p>
    <w:p w:rsidR="00000000" w:rsidDel="00000000" w:rsidP="00000000" w:rsidRDefault="00000000" w:rsidRPr="00000000" w14:paraId="000002BF">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 Definir o padrão de respostas a serem dadas aos titulares, terceiros, à ANPD e demais autoridades competentes.</w:t>
      </w:r>
    </w:p>
    <w:p w:rsidR="00000000" w:rsidDel="00000000" w:rsidP="00000000" w:rsidRDefault="00000000" w:rsidRPr="00000000" w14:paraId="000002C0">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13.10. Os dados obtidos em razão deste instrumento serão armazenados em um banco de dados seguro, com garantia de registro das transações realizadas na aplicação de acesso (log), adequado controle baseado em função (</w:t>
      </w:r>
      <w:r w:rsidDel="00000000" w:rsidR="00000000" w:rsidRPr="00000000">
        <w:rPr>
          <w:rFonts w:ascii="Arial" w:cs="Arial" w:eastAsia="Arial" w:hAnsi="Arial"/>
          <w:i w:val="1"/>
          <w:color w:val="000000"/>
          <w:sz w:val="22"/>
          <w:szCs w:val="22"/>
          <w:rtl w:val="0"/>
        </w:rPr>
        <w:t xml:space="preserve">role based access control</w:t>
      </w:r>
      <w:r w:rsidDel="00000000" w:rsidR="00000000" w:rsidRPr="00000000">
        <w:rPr>
          <w:rFonts w:ascii="Arial" w:cs="Arial" w:eastAsia="Arial" w:hAnsi="Arial"/>
          <w:color w:val="000000"/>
          <w:sz w:val="22"/>
          <w:szCs w:val="22"/>
          <w:rtl w:val="0"/>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rsidR="00000000" w:rsidDel="00000000" w:rsidP="00000000" w:rsidRDefault="00000000" w:rsidRPr="00000000" w14:paraId="000002C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13.11. A critério do contratante, o contratado poderá ser provocado a colaborar na elaboração do Relatório de Impacto à Proteção de Dados Pessoais, conforme a sensibilidade e o risco inerente dos bens e/ou serviços objeto deste instrumento, no tocante a dados pessoais.</w:t>
      </w:r>
    </w:p>
    <w:p w:rsidR="00000000" w:rsidDel="00000000" w:rsidP="00000000" w:rsidRDefault="00000000" w:rsidRPr="00000000" w14:paraId="000002C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13.12. O contratado indenizará o contratante, em razão do não cumprimento por parte do contratado das obrigações previstas nas leis, normas, regulamentos e recomendações das autoridades de proteção de dados com relação ao presente instrumento, de quaisquer danos, prejuízos, custos e despesas, incluindo-se honorários advocatícios, multas, penalidades e eventuais dispêndios investigativos relativos a demandas administrativas ou judiciais propostas em face do contratante a esse título.</w:t>
      </w:r>
    </w:p>
    <w:p w:rsidR="00000000" w:rsidDel="00000000" w:rsidP="00000000" w:rsidRDefault="00000000" w:rsidRPr="00000000" w14:paraId="000002C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13.13. Em caso de responsabilização do Estado por danos e/ou violações à LGPD decorrentes do objeto da contratação, deverá ser apurado os danos que efetivamente cada uma das partes causarem ao titular dos dados, para fins de assegurar o direito de regresso do Estado nos termos da legislação.</w:t>
      </w:r>
    </w:p>
    <w:p w:rsidR="00000000" w:rsidDel="00000000" w:rsidP="00000000" w:rsidRDefault="00000000" w:rsidRPr="00000000" w14:paraId="000002C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13.13.1. O contratante poderá realizar diligência para aferir o cumprimento dessa cláusula, devendo o contratado atender prontamente eventuais pedidos de comprovação formulados.</w:t>
      </w:r>
    </w:p>
    <w:p w:rsidR="00000000" w:rsidDel="00000000" w:rsidP="00000000" w:rsidRDefault="00000000" w:rsidRPr="00000000" w14:paraId="000002C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13.14. Os contratos, convênios ou instrumento equivalente de que trata o § 1º do art. 26 da Lei nº 13.709/2018 deverão ser comunicados à ANPD.</w:t>
      </w:r>
    </w:p>
    <w:p w:rsidR="00000000" w:rsidDel="00000000" w:rsidP="00000000" w:rsidRDefault="00000000" w:rsidRPr="00000000" w14:paraId="000002C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13.15. Este instrumento pode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2C7">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14. DAS INFRAÇÕES E SANÇÕES ADMINISTRATIVAS, QUANDO O CONTRATANTE FOR ÓRGÃO DA ADMINISTRAÇÃO DIRETA</w:t>
      </w:r>
    </w:p>
    <w:p w:rsidR="00000000" w:rsidDel="00000000" w:rsidP="00000000" w:rsidRDefault="00000000" w:rsidRPr="00000000" w14:paraId="000002C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 Comete infração administrativa, nos termos da Lei nº 14.133/2021, o contratado que:</w:t>
      </w:r>
    </w:p>
    <w:p w:rsidR="00000000" w:rsidDel="00000000" w:rsidP="00000000" w:rsidRDefault="00000000" w:rsidRPr="00000000" w14:paraId="000002C9">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14.1.1. Der causa à inexecução parcial da contratação;</w:t>
      </w:r>
    </w:p>
    <w:p w:rsidR="00000000" w:rsidDel="00000000" w:rsidP="00000000" w:rsidRDefault="00000000" w:rsidRPr="00000000" w14:paraId="000002C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14.1.2. Der causa à inexecução parcial da contratação que cause grave dano à Administração ou ao funcionamento dos serviços públicos ou ao interesse coletivo;</w:t>
      </w:r>
    </w:p>
    <w:p w:rsidR="00000000" w:rsidDel="00000000" w:rsidP="00000000" w:rsidRDefault="00000000" w:rsidRPr="00000000" w14:paraId="000002CB">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14.1.3. Der causa à inexecução total da contratação;</w:t>
      </w:r>
    </w:p>
    <w:p w:rsidR="00000000" w:rsidDel="00000000" w:rsidP="00000000" w:rsidRDefault="00000000" w:rsidRPr="00000000" w14:paraId="000002CC">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14.1.4.</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Ensejar o retardamento da execução ou da entrega do objeto da contratação sem motivo justificado;</w:t>
      </w:r>
    </w:p>
    <w:p w:rsidR="00000000" w:rsidDel="00000000" w:rsidP="00000000" w:rsidRDefault="00000000" w:rsidRPr="00000000" w14:paraId="000002CD">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14.1.5. Apresentar documentação falsa ou prestar declaração falsa durante a execução da contratação;</w:t>
      </w:r>
    </w:p>
    <w:p w:rsidR="00000000" w:rsidDel="00000000" w:rsidP="00000000" w:rsidRDefault="00000000" w:rsidRPr="00000000" w14:paraId="000002CE">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14.1.6. Praticar ato fraudulento na execução da contratação;</w:t>
      </w:r>
    </w:p>
    <w:p w:rsidR="00000000" w:rsidDel="00000000" w:rsidP="00000000" w:rsidRDefault="00000000" w:rsidRPr="00000000" w14:paraId="000002CF">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14.1.7. Comportar-se de modo inidôneo ou cometer fraude de qualquer natureza;</w:t>
      </w:r>
    </w:p>
    <w:p w:rsidR="00000000" w:rsidDel="00000000" w:rsidP="00000000" w:rsidRDefault="00000000" w:rsidRPr="00000000" w14:paraId="000002D0">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14.1.8. Praticar ato lesivo previsto no art. 5º da Lei nº 12.846/2013.</w:t>
      </w:r>
    </w:p>
    <w:p w:rsidR="00000000" w:rsidDel="00000000" w:rsidP="00000000" w:rsidRDefault="00000000" w:rsidRPr="00000000" w14:paraId="000002D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 Serão aplicadas ao contratado que incorrer nas infrações acima descritas as seguintes sanções:</w:t>
      </w:r>
    </w:p>
    <w:p w:rsidR="00000000" w:rsidDel="00000000" w:rsidP="00000000" w:rsidRDefault="00000000" w:rsidRPr="00000000" w14:paraId="000002D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14.2.1. Advertência, quando o contratado der causa à inexecução parcial da contratação, sempre que não se justificar a imposição de penalidade mais grave;</w:t>
      </w:r>
    </w:p>
    <w:p w:rsidR="00000000" w:rsidDel="00000000" w:rsidP="00000000" w:rsidRDefault="00000000" w:rsidRPr="00000000" w14:paraId="000002D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14.2.2. Impedimento de licitar e contratar, quando praticadas as condutas descritas nos subitens 14.1.2, 14.1.3 e 14.1.4, deste instrumento, sempre que não se justificar a imposição de penalidade mais grave;</w:t>
      </w:r>
    </w:p>
    <w:p w:rsidR="00000000" w:rsidDel="00000000" w:rsidP="00000000" w:rsidRDefault="00000000" w:rsidRPr="00000000" w14:paraId="000002D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14.2.3. Declaração de inidoneidade para licitar e contratar, quando praticadas as condutas descritas nos subitens 14.1.5, 14.1.6, 14.1.7 e 14.1.8 deste instrumento, bem como nos subitens 14.1.2,14.1.3 e 14.1.4, que justifiquem a imposição de penalidade mais grave.</w:t>
      </w:r>
    </w:p>
    <w:p w:rsidR="00000000" w:rsidDel="00000000" w:rsidP="00000000" w:rsidRDefault="00000000" w:rsidRPr="00000000" w14:paraId="000002D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14.2.4. Multa:</w:t>
      </w:r>
    </w:p>
    <w:p w:rsidR="00000000" w:rsidDel="00000000" w:rsidP="00000000" w:rsidRDefault="00000000" w:rsidRPr="00000000" w14:paraId="000002D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14.2.4.1. Moratória de 0,5% (cinco décimos por cento) por dia de atraso injustificado sobre o valor da parcela inadimplida, até o limite de 30 (trinta) dias.</w:t>
      </w:r>
    </w:p>
    <w:p w:rsidR="00000000" w:rsidDel="00000000" w:rsidP="00000000" w:rsidRDefault="00000000" w:rsidRPr="00000000" w14:paraId="000002D7">
      <w:pPr>
        <w:widowControl w:val="0"/>
        <w:tabs>
          <w:tab w:val="left" w:leader="none" w:pos="-2184"/>
          <w:tab w:val="left" w:leader="none" w:pos="1077"/>
        </w:tabs>
        <w:spacing w:after="60" w:before="60" w:line="276"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14.2.4.2. O atraso superior a 60 (sessenta) dias autoriza a Administração a promover a extinção do contrato por descumprimento ou cumprimento irregular de suas cláusulas, conforme dispõe o inciso I do art. 137 da Lei nº 14.133/2021.</w:t>
      </w:r>
    </w:p>
    <w:p w:rsidR="00000000" w:rsidDel="00000000" w:rsidP="00000000" w:rsidRDefault="00000000" w:rsidRPr="00000000" w14:paraId="000002D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14.2.4.3. Compensatória de 20% (vinte por cento) sobre o valor total da contratação, no caso de inexecução total do objeto.</w:t>
      </w:r>
    </w:p>
    <w:p w:rsidR="00000000" w:rsidDel="00000000" w:rsidP="00000000" w:rsidRDefault="00000000" w:rsidRPr="00000000" w14:paraId="000002D9">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.3. A aplicação das sanções previstas neste instrumento não exclui, em hipótese alguma, a obrigação de reparação integral do dano causado ao contratante.</w:t>
      </w:r>
    </w:p>
    <w:p w:rsidR="00000000" w:rsidDel="00000000" w:rsidP="00000000" w:rsidRDefault="00000000" w:rsidRPr="00000000" w14:paraId="000002D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.4. Todas as sanções previstas neste instrumento poderão ser aplicadas cumulativamente com a multa.</w:t>
      </w:r>
    </w:p>
    <w:p w:rsidR="00000000" w:rsidDel="00000000" w:rsidP="00000000" w:rsidRDefault="00000000" w:rsidRPr="00000000" w14:paraId="000002DB">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.4.1. Antes da aplicação da multa será facultada a defesa do interessado no prazo de 15 (quinze) dias úteis, contado da data de sua intimação.</w:t>
      </w:r>
    </w:p>
    <w:p w:rsidR="00000000" w:rsidDel="00000000" w:rsidP="00000000" w:rsidRDefault="00000000" w:rsidRPr="00000000" w14:paraId="000002DC">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.5. A aplicação das sanções realizar-se-á em processo administrativo que assegure o contraditório e a ampla defesa ao contratado, observando-se o procedimento previsto no </w:t>
      </w:r>
      <w:r w:rsidDel="00000000" w:rsidR="00000000" w:rsidRPr="00000000">
        <w:rPr>
          <w:rFonts w:ascii="Arial" w:cs="Arial" w:eastAsia="Arial" w:hAnsi="Arial"/>
          <w:i w:val="1"/>
          <w:color w:val="000000"/>
          <w:sz w:val="22"/>
          <w:szCs w:val="22"/>
          <w:rtl w:val="0"/>
        </w:rPr>
        <w:t xml:space="preserve">caput</w:t>
      </w:r>
      <w:r w:rsidDel="00000000" w:rsidR="00000000" w:rsidRPr="00000000">
        <w:rPr>
          <w:rFonts w:ascii="Arial" w:cs="Arial" w:eastAsia="Arial" w:hAnsi="Arial"/>
          <w:color w:val="000000"/>
          <w:sz w:val="22"/>
          <w:szCs w:val="22"/>
          <w:rtl w:val="0"/>
        </w:rPr>
        <w:t xml:space="preserve"> e parágrafos do</w:t>
      </w:r>
      <w:hyperlink r:id="rId39">
        <w:r w:rsidDel="00000000" w:rsidR="00000000" w:rsidRPr="00000000">
          <w:rPr>
            <w:rFonts w:ascii="Arial" w:cs="Arial" w:eastAsia="Arial" w:hAnsi="Arial"/>
            <w:color w:val="000000"/>
            <w:sz w:val="22"/>
            <w:szCs w:val="22"/>
            <w:rtl w:val="0"/>
          </w:rPr>
          <w:t xml:space="preserve"> art. 158 da Lei nº 14.133/2021</w:t>
        </w:r>
      </w:hyperlink>
      <w:r w:rsidDel="00000000" w:rsidR="00000000" w:rsidRPr="00000000">
        <w:rPr>
          <w:rFonts w:ascii="Arial" w:cs="Arial" w:eastAsia="Arial" w:hAnsi="Arial"/>
          <w:color w:val="000000"/>
          <w:sz w:val="22"/>
          <w:szCs w:val="22"/>
          <w:rtl w:val="0"/>
        </w:rPr>
        <w:t xml:space="preserve">, para as penalidades de impedimento de licitar e contratar e de declaração de inidoneidade para licitar ou contratar.</w:t>
      </w:r>
    </w:p>
    <w:p w:rsidR="00000000" w:rsidDel="00000000" w:rsidP="00000000" w:rsidRDefault="00000000" w:rsidRPr="00000000" w14:paraId="000002DD">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.6. Na aplicação das sanções serão considerados:</w:t>
      </w:r>
    </w:p>
    <w:p w:rsidR="00000000" w:rsidDel="00000000" w:rsidP="00000000" w:rsidRDefault="00000000" w:rsidRPr="00000000" w14:paraId="000002DE">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14.6.1. A natureza e a gravidade da infração cometida;</w:t>
      </w:r>
    </w:p>
    <w:p w:rsidR="00000000" w:rsidDel="00000000" w:rsidP="00000000" w:rsidRDefault="00000000" w:rsidRPr="00000000" w14:paraId="000002DF">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14.6.2. As peculiaridades do caso concreto;</w:t>
      </w:r>
    </w:p>
    <w:p w:rsidR="00000000" w:rsidDel="00000000" w:rsidP="00000000" w:rsidRDefault="00000000" w:rsidRPr="00000000" w14:paraId="000002E0">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14.6.3.</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As circunstâncias agravantes ou atenuantes;</w:t>
      </w:r>
    </w:p>
    <w:p w:rsidR="00000000" w:rsidDel="00000000" w:rsidP="00000000" w:rsidRDefault="00000000" w:rsidRPr="00000000" w14:paraId="000002E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14.6.4. Os danos que dela provierem para o contratante;</w:t>
      </w:r>
    </w:p>
    <w:p w:rsidR="00000000" w:rsidDel="00000000" w:rsidP="00000000" w:rsidRDefault="00000000" w:rsidRPr="00000000" w14:paraId="000002E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.6.5. A implantação ou o aperfeiçoamento de programa de integridade, conforme normas e orientações dos órgãos de controle.</w:t>
      </w:r>
    </w:p>
    <w:p w:rsidR="00000000" w:rsidDel="00000000" w:rsidP="00000000" w:rsidRDefault="00000000" w:rsidRPr="00000000" w14:paraId="000002E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14.7. Os atos previstos como infrações administrativas na</w:t>
      </w:r>
      <w:hyperlink r:id="rId40">
        <w:r w:rsidDel="00000000" w:rsidR="00000000" w:rsidRPr="00000000">
          <w:rPr>
            <w:rFonts w:ascii="Arial" w:cs="Arial" w:eastAsia="Arial" w:hAnsi="Arial"/>
            <w:color w:val="000000"/>
            <w:sz w:val="22"/>
            <w:szCs w:val="22"/>
            <w:rtl w:val="0"/>
          </w:rPr>
          <w:t xml:space="preserve"> Lei nº 14.133/2021</w:t>
        </w:r>
      </w:hyperlink>
      <w:r w:rsidDel="00000000" w:rsidR="00000000" w:rsidRPr="00000000">
        <w:rPr>
          <w:rFonts w:ascii="Arial" w:cs="Arial" w:eastAsia="Arial" w:hAnsi="Arial"/>
          <w:color w:val="000000"/>
          <w:sz w:val="22"/>
          <w:szCs w:val="22"/>
          <w:rtl w:val="0"/>
        </w:rPr>
        <w:t xml:space="preserve">, ou em outras leis de licitações e contratos da Administração Pública que também sejam tipificados como atos lesivos na</w:t>
      </w:r>
      <w:hyperlink r:id="rId41">
        <w:r w:rsidDel="00000000" w:rsidR="00000000" w:rsidRPr="00000000">
          <w:rPr>
            <w:rFonts w:ascii="Arial" w:cs="Arial" w:eastAsia="Arial" w:hAnsi="Arial"/>
            <w:color w:val="000000"/>
            <w:sz w:val="22"/>
            <w:szCs w:val="22"/>
            <w:rtl w:val="0"/>
          </w:rPr>
          <w:t xml:space="preserve"> Lei nº 12.846/2013</w:t>
        </w:r>
      </w:hyperlink>
      <w:r w:rsidDel="00000000" w:rsidR="00000000" w:rsidRPr="00000000">
        <w:rPr>
          <w:rFonts w:ascii="Arial" w:cs="Arial" w:eastAsia="Arial" w:hAnsi="Arial"/>
          <w:color w:val="000000"/>
          <w:sz w:val="22"/>
          <w:szCs w:val="22"/>
          <w:rtl w:val="0"/>
        </w:rPr>
        <w:t xml:space="preserve">, serão apurados e julgados conjuntamente, nos mesmos autos, observados o rito procedimental e autoridade competente definidos na referida Lei.</w:t>
      </w:r>
    </w:p>
    <w:p w:rsidR="00000000" w:rsidDel="00000000" w:rsidP="00000000" w:rsidRDefault="00000000" w:rsidRPr="00000000" w14:paraId="000002E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14.8. A personalidade jurídica do contratado poderá ser desconsiderada sempre que utilizada com abuso do direito para facilitar, encobrir ou dissimular a prática dos atos ilícitos previstos neste instrumento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000000" w:rsidDel="00000000" w:rsidP="00000000" w:rsidRDefault="00000000" w:rsidRPr="00000000" w14:paraId="000002E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Cadastral(CRC) do Estado do Ceará.</w:t>
      </w:r>
    </w:p>
    <w:p w:rsidR="00000000" w:rsidDel="00000000" w:rsidP="00000000" w:rsidRDefault="00000000" w:rsidRPr="00000000" w14:paraId="000002E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14</w:t>
      </w:r>
      <w:r w:rsidDel="00000000" w:rsidR="00000000" w:rsidRPr="00000000">
        <w:rPr>
          <w:rFonts w:ascii="Arial" w:cs="Arial" w:eastAsia="Arial" w:hAnsi="Arial"/>
          <w:color w:val="000000"/>
          <w:sz w:val="22"/>
          <w:szCs w:val="22"/>
          <w:rtl w:val="0"/>
        </w:rPr>
        <w:t xml:space="preserve">.10.</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As sanções de impedimento de licitar e contratar e declaração de inidoneidade para licitar ou contratar são passíveis de reabilitação na forma do</w:t>
      </w:r>
      <w:hyperlink r:id="rId42">
        <w:r w:rsidDel="00000000" w:rsidR="00000000" w:rsidRPr="00000000">
          <w:rPr>
            <w:rFonts w:ascii="Arial" w:cs="Arial" w:eastAsia="Arial" w:hAnsi="Arial"/>
            <w:color w:val="000000"/>
            <w:sz w:val="22"/>
            <w:szCs w:val="22"/>
            <w:rtl w:val="0"/>
          </w:rPr>
          <w:t xml:space="preserve"> art. 163 da Lei nº 14.133/2021</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2E7">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14.11. Os débitos do contratado para com o contratante, resultantes de multa administrativa e/ou indenizações, não inscritos em dívida ativa, poderão ser compensados, total ou parcialmente, com os créditos devidos pelo referido órgão decorrentes deste mesmo instrumento ou de outros contratos administrativos ou instrumento equivalente que o contratado possua com o mesmo órgão ora contratante.</w:t>
      </w:r>
    </w:p>
    <w:p w:rsidR="00000000" w:rsidDel="00000000" w:rsidP="00000000" w:rsidRDefault="00000000" w:rsidRPr="00000000" w14:paraId="000002E8">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14.11.1. Na impossibilidade do pagamento da multa por meio de descontos dos créditos existentes ou da garantia contratual, o contratado recolherá a multa por meio de Documento de Arrecadação Estadual (DAE), podendo ser substituído por outro instrumento legal, em nome do contratante, se não o fizer, será cobrada em processo de execução.</w:t>
      </w:r>
    </w:p>
    <w:p w:rsidR="00000000" w:rsidDel="00000000" w:rsidP="00000000" w:rsidRDefault="00000000" w:rsidRPr="00000000" w14:paraId="000002E9">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15. DAS INFRAÇÕES E SANÇÕES ADMINISTRATIVAS, QUANDO O CONTRATANTE FOR EMPRESA PÚBLICA OU SOCIEDADE DE ECONOMIA MISTA</w:t>
      </w:r>
    </w:p>
    <w:p w:rsidR="00000000" w:rsidDel="00000000" w:rsidP="00000000" w:rsidRDefault="00000000" w:rsidRPr="00000000" w14:paraId="000002EA">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15.1. Pela inexecução total ou parcial da contratação a empresa pública ou a sociedade de economia mista poderá, garantida a prévia defesa, aplicar ao contratado as seguintes sanções:</w:t>
      </w:r>
    </w:p>
    <w:p w:rsidR="00000000" w:rsidDel="00000000" w:rsidP="00000000" w:rsidRDefault="00000000" w:rsidRPr="00000000" w14:paraId="000002EB">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 advertência;</w:t>
      </w:r>
    </w:p>
    <w:p w:rsidR="00000000" w:rsidDel="00000000" w:rsidP="00000000" w:rsidRDefault="00000000" w:rsidRPr="00000000" w14:paraId="000002EC">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 - multa, na forma a seguir:</w:t>
      </w:r>
    </w:p>
    <w:p w:rsidR="00000000" w:rsidDel="00000000" w:rsidP="00000000" w:rsidRDefault="00000000" w:rsidRPr="00000000" w14:paraId="000002ED">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Moratória de 0,5% (cinco décimos por cento) por dia de atraso injustificado sobre o valor da parcela inadimplida, até o limite de 30 (trinta) dias.</w:t>
      </w:r>
    </w:p>
    <w:p w:rsidR="00000000" w:rsidDel="00000000" w:rsidP="00000000" w:rsidRDefault="00000000" w:rsidRPr="00000000" w14:paraId="000002EE">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Compensatória de 20% (vinte por cento) sobre o valor total da contratação, no caso de inexecução total do objeto.</w:t>
      </w:r>
    </w:p>
    <w:p w:rsidR="00000000" w:rsidDel="00000000" w:rsidP="00000000" w:rsidRDefault="00000000" w:rsidRPr="00000000" w14:paraId="000002EF">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III - suspensão temporária de participação em licitação e impedimento de contratar com a entidade sancionadora, por prazo não superior a 2 (dois) anos.</w:t>
      </w:r>
    </w:p>
    <w:p w:rsidR="00000000" w:rsidDel="00000000" w:rsidP="00000000" w:rsidRDefault="00000000" w:rsidRPr="00000000" w14:paraId="000002F0">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15.2. Se a multa aplicada for superior ao valor da garantia prestada, além da perda desta, responderá o contratado pela sua diferença, que será descontada dos pagamentos eventualmente devidos pela empresa pública ou pela sociedade de economia mista ou cobrada judicialmente.</w:t>
      </w:r>
    </w:p>
    <w:p w:rsidR="00000000" w:rsidDel="00000000" w:rsidP="00000000" w:rsidRDefault="00000000" w:rsidRPr="00000000" w14:paraId="000002F1">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15.3. As sanções previstas nos incisos I e III do subitem 15.1 poderão ser aplicadas juntamente com a do inciso II, devendo a defesa prévia do interessado, no respectivo processo, ser apresentada no prazo de 10 (dez) dias úteis.</w:t>
      </w:r>
    </w:p>
    <w:p w:rsidR="00000000" w:rsidDel="00000000" w:rsidP="00000000" w:rsidRDefault="00000000" w:rsidRPr="00000000" w14:paraId="000002F2">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15.4. As sanções previstas no inciso III subitem 15.1 poderão também ser aplicadas às empresas ou aos profissionais que, em razão dos contratos regidos pela Lei Federal nº 13.303/2016:</w:t>
      </w:r>
    </w:p>
    <w:p w:rsidR="00000000" w:rsidDel="00000000" w:rsidP="00000000" w:rsidRDefault="00000000" w:rsidRPr="00000000" w14:paraId="000002F3">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 tenham sofrido condenação definitiva por praticarem, por meios dolosos, fraude fiscal no recolhimento de quaisquer tributos;</w:t>
      </w:r>
    </w:p>
    <w:p w:rsidR="00000000" w:rsidDel="00000000" w:rsidP="00000000" w:rsidRDefault="00000000" w:rsidRPr="00000000" w14:paraId="000002F4">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 - tenham praticado atos ilícitos visando a frustrar os objetivos da licitação;</w:t>
      </w:r>
    </w:p>
    <w:p w:rsidR="00000000" w:rsidDel="00000000" w:rsidP="00000000" w:rsidRDefault="00000000" w:rsidRPr="00000000" w14:paraId="000002F5">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III - demonstrem não possuir idoneidade para contratar com a empresa pública ou a sociedade de economia mista em virtude de atos ilícitos praticados.</w:t>
      </w:r>
    </w:p>
    <w:p w:rsidR="00000000" w:rsidDel="00000000" w:rsidP="00000000" w:rsidRDefault="00000000" w:rsidRPr="00000000" w14:paraId="000002F6">
      <w:pPr>
        <w:widowControl w:val="0"/>
        <w:tabs>
          <w:tab w:val="left" w:leader="none" w:pos="-2184"/>
          <w:tab w:val="left" w:leader="none" w:pos="1077"/>
        </w:tabs>
        <w:spacing w:after="60" w:before="60" w:lineRule="auto"/>
        <w:ind w:left="283.46456692913375" w:right="135.472440944883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15.5. Na impossibilidade do pagamento da multa por meio de descontos dos créditos existentes ou da garantia contratual, o contratado recolherá a multa por meio de depósito bancário, podendo ser substituído por outro instrumento legal, em nome do contratante, se não o fizer, será cobrada em processo de execução.</w:t>
      </w:r>
    </w:p>
    <w:p w:rsidR="00000000" w:rsidDel="00000000" w:rsidP="00000000" w:rsidRDefault="00000000" w:rsidRPr="00000000" w14:paraId="000002F7">
      <w:pPr>
        <w:spacing w:after="57" w:before="57" w:lineRule="auto"/>
        <w:ind w:left="283.46456692913375"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highlight w:val="white"/>
          <w:rtl w:val="0"/>
        </w:rPr>
        <w:t xml:space="preserve">16. DA ADEQUAÇÃO ORÇAMENTÁRIA</w:t>
      </w:r>
      <w:r w:rsidDel="00000000" w:rsidR="00000000" w:rsidRPr="00000000">
        <w:rPr>
          <w:rtl w:val="0"/>
        </w:rPr>
      </w:r>
    </w:p>
    <w:p w:rsidR="00000000" w:rsidDel="00000000" w:rsidP="00000000" w:rsidRDefault="00000000" w:rsidRPr="00000000" w14:paraId="000002F8">
      <w:pPr>
        <w:tabs>
          <w:tab w:val="left" w:leader="none" w:pos="-2184"/>
          <w:tab w:val="left" w:leader="none" w:pos="1077"/>
        </w:tabs>
        <w:spacing w:after="57" w:before="57" w:lineRule="auto"/>
        <w:ind w:left="283.4645669291337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16.1. A indicação da dotação orçamentária somente será exigida para a formalização do instrumento equivalente de contrato, conforme art. 103 do Decreto Estadual nº 35.067/2022 c/c §4º, art. 7º, do Decreto Estadual nº 35.323/2023.</w:t>
      </w:r>
    </w:p>
    <w:p w:rsidR="00000000" w:rsidDel="00000000" w:rsidP="00000000" w:rsidRDefault="00000000" w:rsidRPr="00000000" w14:paraId="000002F9">
      <w:pPr>
        <w:widowControl w:val="0"/>
        <w:tabs>
          <w:tab w:val="left" w:leader="none" w:pos="-2184"/>
          <w:tab w:val="left" w:leader="none" w:pos="1077"/>
        </w:tabs>
        <w:spacing w:after="57" w:before="57" w:lineRule="auto"/>
        <w:ind w:left="283.46456692913375" w:right="135.4724409448835"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17. DOS ANEXOS DO TERMO DE REFERÊNCIA</w:t>
      </w:r>
      <w:r w:rsidDel="00000000" w:rsidR="00000000" w:rsidRPr="00000000">
        <w:rPr>
          <w:rtl w:val="0"/>
        </w:rPr>
      </w:r>
    </w:p>
    <w:p w:rsidR="00000000" w:rsidDel="00000000" w:rsidP="00000000" w:rsidRDefault="00000000" w:rsidRPr="00000000" w14:paraId="000002FA">
      <w:pPr>
        <w:widowControl w:val="0"/>
        <w:ind w:left="283.46456692913375" w:right="135.4724409448835"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ANEXO A – ÓRGÃOS E ENTIDADES PARTICIPANTES.</w:t>
      </w:r>
    </w:p>
    <w:p w:rsidR="00000000" w:rsidDel="00000000" w:rsidP="00000000" w:rsidRDefault="00000000" w:rsidRPr="00000000" w14:paraId="000002FB">
      <w:pPr>
        <w:widowControl w:val="0"/>
        <w:tabs>
          <w:tab w:val="left" w:leader="none" w:pos="360"/>
        </w:tabs>
        <w:ind w:left="283.46456692913375" w:right="135.4724409448835"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ANEXO B – ADESÃO AO REGISTRO DE PREÇOS.</w:t>
      </w:r>
    </w:p>
    <w:p w:rsidR="00000000" w:rsidDel="00000000" w:rsidP="00000000" w:rsidRDefault="00000000" w:rsidRPr="00000000" w14:paraId="000002FC">
      <w:pPr>
        <w:widowControl w:val="0"/>
        <w:spacing w:after="57" w:before="57" w:lineRule="auto"/>
        <w:ind w:right="135.4724409448835"/>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D">
      <w:pPr>
        <w:widowControl w:val="0"/>
        <w:tabs>
          <w:tab w:val="left" w:leader="none" w:pos="360"/>
        </w:tabs>
        <w:spacing w:after="57" w:before="57" w:lineRule="auto"/>
        <w:ind w:left="283.46456692913375" w:right="135.4724409448835"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E">
      <w:pPr>
        <w:tabs>
          <w:tab w:val="left" w:leader="none" w:pos="2520"/>
        </w:tabs>
        <w:spacing w:after="57" w:before="57" w:lineRule="auto"/>
        <w:ind w:left="283.46456692913375" w:right="135.472440944883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FF">
      <w:pPr>
        <w:tabs>
          <w:tab w:val="left" w:leader="none" w:pos="2520"/>
        </w:tabs>
        <w:spacing w:after="57" w:before="57" w:lineRule="auto"/>
        <w:ind w:left="283.46456692913375" w:right="135.472440944883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00">
      <w:pPr>
        <w:tabs>
          <w:tab w:val="left" w:leader="none" w:pos="2520"/>
        </w:tabs>
        <w:spacing w:after="57" w:before="57" w:lineRule="auto"/>
        <w:ind w:left="283.46456692913375" w:right="135.4724409448835" w:firstLine="0"/>
        <w:jc w:val="both"/>
        <w:rPr>
          <w:rFonts w:ascii="Arial" w:cs="Arial" w:eastAsia="Arial" w:hAnsi="Arial"/>
          <w:color w:val="000000"/>
          <w:sz w:val="22"/>
          <w:szCs w:val="22"/>
        </w:rPr>
        <w:sectPr>
          <w:type w:val="continuous"/>
          <w:pgSz w:h="16838" w:w="11906" w:orient="portrait"/>
          <w:pgMar w:bottom="1133.8582677165355" w:top="1984.2519685039372" w:left="850.3937007874016" w:right="1417.3228346456694" w:header="340" w:footer="397"/>
        </w:sectPr>
      </w:pPr>
      <w:r w:rsidDel="00000000" w:rsidR="00000000" w:rsidRPr="00000000">
        <w:rPr>
          <w:rtl w:val="0"/>
        </w:rPr>
      </w:r>
    </w:p>
    <w:p w:rsidR="00000000" w:rsidDel="00000000" w:rsidP="00000000" w:rsidRDefault="00000000" w:rsidRPr="00000000" w14:paraId="00000301">
      <w:pPr>
        <w:spacing w:after="57" w:before="57" w:lineRule="auto"/>
        <w:ind w:left="0" w:firstLine="0"/>
        <w:jc w:val="left"/>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02">
      <w:pPr>
        <w:spacing w:after="57" w:before="57" w:lineRule="auto"/>
        <w:ind w:left="283.46456692913375" w:firstLine="0"/>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ANEXO A – ÓRGÃOS E ENTIDADES PARTICIPANTES</w:t>
      </w:r>
    </w:p>
    <w:p w:rsidR="00000000" w:rsidDel="00000000" w:rsidP="00000000" w:rsidRDefault="00000000" w:rsidRPr="00000000" w14:paraId="00000303">
      <w:pPr>
        <w:spacing w:after="57" w:before="57" w:lineRule="auto"/>
        <w:ind w:left="283.46456692913375" w:hanging="141.73228346456688"/>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4">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Pr>
        <w:drawing>
          <wp:inline distB="114300" distT="114300" distL="114300" distR="114300">
            <wp:extent cx="5538788" cy="4867275"/>
            <wp:effectExtent b="0" l="0" r="0" t="0"/>
            <wp:docPr id="75" name="image4.png"/>
            <a:graphic>
              <a:graphicData uri="http://schemas.openxmlformats.org/drawingml/2006/picture">
                <pic:pic>
                  <pic:nvPicPr>
                    <pic:cNvPr id="0" name="image4.png"/>
                    <pic:cNvPicPr preferRelativeResize="0"/>
                  </pic:nvPicPr>
                  <pic:blipFill>
                    <a:blip r:embed="rId43"/>
                    <a:srcRect b="0" l="0" r="0" t="0"/>
                    <a:stretch>
                      <a:fillRect/>
                    </a:stretch>
                  </pic:blipFill>
                  <pic:spPr>
                    <a:xfrm>
                      <a:off x="0" y="0"/>
                      <a:ext cx="5538788" cy="4867275"/>
                    </a:xfrm>
                    <a:prstGeom prst="rect"/>
                    <a:ln/>
                  </pic:spPr>
                </pic:pic>
              </a:graphicData>
            </a:graphic>
          </wp:inline>
        </w:drawing>
      </w:r>
      <w:r w:rsidDel="00000000" w:rsidR="00000000" w:rsidRPr="00000000">
        <w:rPr>
          <w:rtl w:val="0"/>
        </w:rPr>
      </w:r>
    </w:p>
    <w:p w:rsidR="00000000" w:rsidDel="00000000" w:rsidP="00000000" w:rsidRDefault="00000000" w:rsidRPr="00000000" w14:paraId="00000305">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6">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7">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8">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9">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A">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B">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C">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D">
      <w:pPr>
        <w:widowControl w:val="0"/>
        <w:spacing w:after="57" w:before="57" w:lineRule="auto"/>
        <w:ind w:left="283.46456692913375" w:firstLine="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E">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F">
      <w:pPr>
        <w:widowControl w:val="0"/>
        <w:spacing w:after="57" w:before="57" w:lineRule="auto"/>
        <w:ind w:left="283.46456692913375" w:firstLine="0"/>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0">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1">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2">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3">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4">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5">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Pr>
        <w:drawing>
          <wp:inline distB="114300" distT="114300" distL="114300" distR="114300">
            <wp:extent cx="5548313" cy="4924425"/>
            <wp:effectExtent b="0" l="0" r="0" t="0"/>
            <wp:docPr id="74" name="image5.png"/>
            <a:graphic>
              <a:graphicData uri="http://schemas.openxmlformats.org/drawingml/2006/picture">
                <pic:pic>
                  <pic:nvPicPr>
                    <pic:cNvPr id="0" name="image5.png"/>
                    <pic:cNvPicPr preferRelativeResize="0"/>
                  </pic:nvPicPr>
                  <pic:blipFill>
                    <a:blip r:embed="rId44"/>
                    <a:srcRect b="0" l="0" r="0" t="0"/>
                    <a:stretch>
                      <a:fillRect/>
                    </a:stretch>
                  </pic:blipFill>
                  <pic:spPr>
                    <a:xfrm>
                      <a:off x="0" y="0"/>
                      <a:ext cx="5548313" cy="4924425"/>
                    </a:xfrm>
                    <a:prstGeom prst="rect"/>
                    <a:ln/>
                  </pic:spPr>
                </pic:pic>
              </a:graphicData>
            </a:graphic>
          </wp:inline>
        </w:drawing>
      </w:r>
      <w:r w:rsidDel="00000000" w:rsidR="00000000" w:rsidRPr="00000000">
        <w:rPr>
          <w:rtl w:val="0"/>
        </w:rPr>
      </w:r>
    </w:p>
    <w:p w:rsidR="00000000" w:rsidDel="00000000" w:rsidP="00000000" w:rsidRDefault="00000000" w:rsidRPr="00000000" w14:paraId="00000316">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7">
      <w:pPr>
        <w:widowControl w:val="0"/>
        <w:spacing w:after="57" w:before="57" w:lineRule="auto"/>
        <w:ind w:left="0" w:hanging="42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8">
      <w:pPr>
        <w:widowControl w:val="0"/>
        <w:spacing w:after="57" w:before="57" w:lineRule="auto"/>
        <w:ind w:left="283.46456692913375"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9">
      <w:pPr>
        <w:widowControl w:val="0"/>
        <w:spacing w:after="57" w:before="57" w:lineRule="auto"/>
        <w:ind w:left="283.46456692913375" w:firstLine="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Pr>
        <w:drawing>
          <wp:inline distB="114300" distT="114300" distL="114300" distR="114300">
            <wp:extent cx="5731200" cy="1422400"/>
            <wp:effectExtent b="0" l="0" r="0" t="0"/>
            <wp:docPr id="78" name="image3.png"/>
            <a:graphic>
              <a:graphicData uri="http://schemas.openxmlformats.org/drawingml/2006/picture">
                <pic:pic>
                  <pic:nvPicPr>
                    <pic:cNvPr id="0" name="image3.png"/>
                    <pic:cNvPicPr preferRelativeResize="0"/>
                  </pic:nvPicPr>
                  <pic:blipFill>
                    <a:blip r:embed="rId45"/>
                    <a:srcRect b="0" l="0" r="0" t="0"/>
                    <a:stretch>
                      <a:fillRect/>
                    </a:stretch>
                  </pic:blipFill>
                  <pic:spPr>
                    <a:xfrm>
                      <a:off x="0" y="0"/>
                      <a:ext cx="5731200" cy="1422400"/>
                    </a:xfrm>
                    <a:prstGeom prst="rect"/>
                    <a:ln/>
                  </pic:spPr>
                </pic:pic>
              </a:graphicData>
            </a:graphic>
          </wp:inline>
        </w:drawing>
      </w:r>
      <w:r w:rsidDel="00000000" w:rsidR="00000000" w:rsidRPr="00000000">
        <w:rPr>
          <w:rtl w:val="0"/>
        </w:rPr>
      </w:r>
    </w:p>
    <w:p w:rsidR="00000000" w:rsidDel="00000000" w:rsidP="00000000" w:rsidRDefault="00000000" w:rsidRPr="00000000" w14:paraId="0000031A">
      <w:pPr>
        <w:widowControl w:val="0"/>
        <w:spacing w:after="57" w:before="57" w:lineRule="auto"/>
        <w:ind w:left="283.46456692913375" w:firstLine="0"/>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B">
      <w:pPr>
        <w:widowControl w:val="0"/>
        <w:spacing w:after="57" w:before="57" w:lineRule="auto"/>
        <w:ind w:left="141.73228346456688" w:hanging="425.1968503937007"/>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C">
      <w:pPr>
        <w:widowControl w:val="0"/>
        <w:spacing w:after="57" w:before="57" w:lineRule="auto"/>
        <w:ind w:left="283.46456692913375" w:firstLine="0"/>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D">
      <w:pPr>
        <w:widowControl w:val="0"/>
        <w:spacing w:after="57" w:before="57" w:lineRule="auto"/>
        <w:ind w:left="283.4645669291337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1E">
      <w:pPr>
        <w:widowControl w:val="0"/>
        <w:spacing w:after="57" w:before="57" w:lineRule="auto"/>
        <w:ind w:left="283.46456692913375"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1F">
      <w:pPr>
        <w:widowControl w:val="0"/>
        <w:spacing w:after="57" w:before="57" w:lineRule="auto"/>
        <w:ind w:left="283.46456692913375" w:firstLine="0"/>
        <w:jc w:val="both"/>
        <w:rPr>
          <w:rFonts w:ascii="Arial" w:cs="Arial" w:eastAsia="Arial" w:hAnsi="Arial"/>
          <w:b w:val="1"/>
          <w:color w:val="000000"/>
          <w:sz w:val="22"/>
          <w:szCs w:val="22"/>
        </w:rPr>
      </w:pPr>
      <w:r w:rsidDel="00000000" w:rsidR="00000000" w:rsidRPr="00000000">
        <w:rPr>
          <w:rtl w:val="0"/>
        </w:rPr>
      </w:r>
    </w:p>
    <w:sdt>
      <w:sdtPr>
        <w:id w:val="357172549"/>
        <w:tag w:val="goog_rdk_0"/>
      </w:sdtPr>
      <w:sdtContent>
        <w:p w:rsidR="00000000" w:rsidDel="00000000" w:rsidP="00000000" w:rsidRDefault="00000000" w:rsidRPr="00000000" w14:paraId="00000320">
          <w:pPr>
            <w:keepNext w:val="1"/>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283.46456692913375"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B – ADESÃO AO REGISTRO DE PREÇOS</w:t>
          </w:r>
        </w:p>
      </w:sdtContent>
    </w:sdt>
    <w:p w:rsidR="00000000" w:rsidDel="00000000" w:rsidP="00000000" w:rsidRDefault="00000000" w:rsidRPr="00000000" w14:paraId="00000321">
      <w:pPr>
        <w:widowControl w:val="0"/>
        <w:rPr>
          <w:color w:val="000000"/>
        </w:rPr>
      </w:pPr>
      <w:r w:rsidDel="00000000" w:rsidR="00000000" w:rsidRPr="00000000">
        <w:rPr>
          <w:color w:val="000000"/>
          <w:sz w:val="22"/>
          <w:szCs w:val="22"/>
        </w:rPr>
        <w:drawing>
          <wp:inline distB="114300" distT="114300" distL="114300" distR="114300">
            <wp:extent cx="5643563" cy="4800600"/>
            <wp:effectExtent b="0" l="0" r="0" t="0"/>
            <wp:docPr id="77" name="image2.png"/>
            <a:graphic>
              <a:graphicData uri="http://schemas.openxmlformats.org/drawingml/2006/picture">
                <pic:pic>
                  <pic:nvPicPr>
                    <pic:cNvPr id="0" name="image2.png"/>
                    <pic:cNvPicPr preferRelativeResize="0"/>
                  </pic:nvPicPr>
                  <pic:blipFill>
                    <a:blip r:embed="rId46"/>
                    <a:srcRect b="0" l="0" r="0" t="0"/>
                    <a:stretch>
                      <a:fillRect/>
                    </a:stretch>
                  </pic:blipFill>
                  <pic:spPr>
                    <a:xfrm>
                      <a:off x="0" y="0"/>
                      <a:ext cx="5643563" cy="4800600"/>
                    </a:xfrm>
                    <a:prstGeom prst="rect"/>
                    <a:ln/>
                  </pic:spPr>
                </pic:pic>
              </a:graphicData>
            </a:graphic>
          </wp:inline>
        </w:drawing>
      </w:r>
      <w:r w:rsidDel="00000000" w:rsidR="00000000" w:rsidRPr="00000000">
        <w:rPr>
          <w:rtl w:val="0"/>
        </w:rPr>
      </w:r>
    </w:p>
    <w:p w:rsidR="00000000" w:rsidDel="00000000" w:rsidP="00000000" w:rsidRDefault="00000000" w:rsidRPr="00000000" w14:paraId="00000322">
      <w:pPr>
        <w:widowControl w:val="0"/>
        <w:ind w:left="283.46456692913375" w:firstLine="0"/>
        <w:rPr>
          <w:color w:val="000000"/>
        </w:rPr>
      </w:pPr>
      <w:r w:rsidDel="00000000" w:rsidR="00000000" w:rsidRPr="00000000">
        <w:rPr>
          <w:rtl w:val="0"/>
        </w:rPr>
      </w:r>
    </w:p>
    <w:p w:rsidR="00000000" w:rsidDel="00000000" w:rsidP="00000000" w:rsidRDefault="00000000" w:rsidRPr="00000000" w14:paraId="00000323">
      <w:pPr>
        <w:widowControl w:val="0"/>
        <w:ind w:left="283.46456692913375" w:firstLine="0"/>
        <w:jc w:val="center"/>
        <w:rPr>
          <w:color w:val="000000"/>
        </w:rPr>
      </w:pPr>
      <w:r w:rsidDel="00000000" w:rsidR="00000000" w:rsidRPr="00000000">
        <w:rPr>
          <w:rtl w:val="0"/>
        </w:rPr>
      </w:r>
    </w:p>
    <w:p w:rsidR="00000000" w:rsidDel="00000000" w:rsidP="00000000" w:rsidRDefault="00000000" w:rsidRPr="00000000" w14:paraId="00000324">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5">
      <w:pPr>
        <w:spacing w:after="57" w:before="57" w:lineRule="auto"/>
        <w:ind w:left="-141" w:right="133" w:firstLine="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Pr>
        <w:drawing>
          <wp:inline distB="114300" distT="114300" distL="114300" distR="114300">
            <wp:extent cx="5795963" cy="1133475"/>
            <wp:effectExtent b="0" l="0" r="0" t="0"/>
            <wp:docPr id="79" name="image1.png"/>
            <a:graphic>
              <a:graphicData uri="http://schemas.openxmlformats.org/drawingml/2006/picture">
                <pic:pic>
                  <pic:nvPicPr>
                    <pic:cNvPr id="0" name="image1.png"/>
                    <pic:cNvPicPr preferRelativeResize="0"/>
                  </pic:nvPicPr>
                  <pic:blipFill>
                    <a:blip r:embed="rId47"/>
                    <a:srcRect b="0" l="0" r="0" t="0"/>
                    <a:stretch>
                      <a:fillRect/>
                    </a:stretch>
                  </pic:blipFill>
                  <pic:spPr>
                    <a:xfrm>
                      <a:off x="0" y="0"/>
                      <a:ext cx="5795963" cy="1133475"/>
                    </a:xfrm>
                    <a:prstGeom prst="rect"/>
                    <a:ln/>
                  </pic:spPr>
                </pic:pic>
              </a:graphicData>
            </a:graphic>
          </wp:inline>
        </w:drawing>
      </w:r>
      <w:r w:rsidDel="00000000" w:rsidR="00000000" w:rsidRPr="00000000">
        <w:rPr>
          <w:rtl w:val="0"/>
        </w:rPr>
      </w:r>
    </w:p>
    <w:p w:rsidR="00000000" w:rsidDel="00000000" w:rsidP="00000000" w:rsidRDefault="00000000" w:rsidRPr="00000000" w14:paraId="00000326">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7">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8">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9">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A">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B">
      <w:pPr>
        <w:widowControl w:val="0"/>
        <w:spacing w:after="57" w:before="57" w:lineRule="auto"/>
        <w:ind w:left="283.46456692913375" w:firstLine="0"/>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C">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D">
      <w:pPr>
        <w:widowControl w:val="0"/>
        <w:spacing w:after="57" w:before="57" w:lineRule="auto"/>
        <w:ind w:left="283.46456692913375" w:firstLine="0"/>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2E">
      <w:pPr>
        <w:widowControl w:val="0"/>
        <w:spacing w:after="57" w:before="57" w:lineRule="auto"/>
        <w:ind w:left="283.46456692913375" w:firstLine="0"/>
        <w:jc w:val="center"/>
        <w:rPr>
          <w:rFonts w:ascii="Arial" w:cs="Arial" w:eastAsia="Arial" w:hAnsi="Arial"/>
          <w:b w:val="1"/>
          <w:color w:val="000000"/>
          <w:sz w:val="22"/>
          <w:szCs w:val="22"/>
        </w:rPr>
        <w:sectPr>
          <w:type w:val="nextPage"/>
          <w:pgSz w:h="16838" w:w="11906" w:orient="portrait"/>
          <w:pgMar w:bottom="1133.8582677165355" w:top="1984.2519685039372" w:left="1440" w:right="1440" w:header="340" w:footer="397"/>
        </w:sectPr>
      </w:pP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II - CARTA PROPOSTA</w:t>
      </w: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À</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Central de Licitações do Estado do Ceará</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Pregão Eletrônico </w:t>
      </w:r>
      <w:r w:rsidDel="00000000" w:rsidR="00000000" w:rsidRPr="00000000">
        <w:rPr>
          <w:rFonts w:ascii="Arial" w:cs="Arial" w:eastAsia="Arial" w:hAnsi="Arial"/>
          <w:color w:val="000000"/>
          <w:sz w:val="22"/>
          <w:szCs w:val="22"/>
          <w:rtl w:val="0"/>
        </w:rPr>
        <w:t xml:space="preserve">Nº 20250026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/SEPLAG</w:t>
      </w: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proposta encontra-se em conformidade com as informações previstas no edital e seus Anexos.</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Identificação do licitante:</w:t>
      </w:r>
      <w:r w:rsidDel="00000000" w:rsidR="00000000" w:rsidRPr="00000000">
        <w:rPr>
          <w:rtl w:val="0"/>
        </w:rPr>
      </w:r>
    </w:p>
    <w:p w:rsidR="00000000" w:rsidDel="00000000" w:rsidP="00000000" w:rsidRDefault="00000000" w:rsidRPr="00000000" w14:paraId="000003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57" w:before="57" w:line="240" w:lineRule="auto"/>
        <w:ind w:left="720" w:right="133"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Razão Social: </w:t>
      </w:r>
    </w:p>
    <w:p w:rsidR="00000000" w:rsidDel="00000000" w:rsidP="00000000" w:rsidRDefault="00000000" w:rsidRPr="00000000" w14:paraId="000003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57" w:before="57" w:line="240" w:lineRule="auto"/>
        <w:ind w:left="720" w:right="133"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CPF/CNPJ e Inscrição Estadual:</w:t>
      </w:r>
    </w:p>
    <w:p w:rsidR="00000000" w:rsidDel="00000000" w:rsidP="00000000" w:rsidRDefault="00000000" w:rsidRPr="00000000" w14:paraId="000003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57" w:before="57" w:line="240" w:lineRule="auto"/>
        <w:ind w:left="720" w:right="133"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Endereço completo:</w:t>
      </w:r>
    </w:p>
    <w:p w:rsidR="00000000" w:rsidDel="00000000" w:rsidP="00000000" w:rsidRDefault="00000000" w:rsidRPr="00000000" w14:paraId="000003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57" w:before="57" w:line="240" w:lineRule="auto"/>
        <w:ind w:left="720" w:right="133"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Representante Legal (nome, nacionalidade, estado civil, profissão, RG, CPF, domicílio):</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Telefone, celular, fax, e-mail:</w:t>
      </w: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Condições Gerais da Proposta:</w:t>
      </w:r>
      <w:r w:rsidDel="00000000" w:rsidR="00000000" w:rsidRPr="00000000">
        <w:rPr>
          <w:rtl w:val="0"/>
        </w:rPr>
      </w:r>
    </w:p>
    <w:p w:rsidR="00000000" w:rsidDel="00000000" w:rsidP="00000000" w:rsidRDefault="00000000" w:rsidRPr="00000000" w14:paraId="000003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57" w:before="57" w:line="240" w:lineRule="auto"/>
        <w:ind w:left="720" w:right="133"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presente proposta é válida por ______ (______) dias, contados da data de sua emissão.</w:t>
      </w: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720" w:right="133"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Formação do Preço:</w:t>
      </w:r>
      <w:r w:rsidDel="00000000" w:rsidR="00000000" w:rsidRPr="00000000">
        <w:rPr>
          <w:rtl w:val="0"/>
        </w:rPr>
      </w:r>
    </w:p>
    <w:tbl>
      <w:tblPr>
        <w:tblStyle w:val="Table2"/>
        <w:tblW w:w="9534.999999999998" w:type="dxa"/>
        <w:jc w:val="left"/>
        <w:tblInd w:w="-104.0" w:type="dxa"/>
        <w:tblBorders>
          <w:top w:color="000001" w:space="0" w:sz="8" w:val="single"/>
          <w:left w:color="000001" w:space="0" w:sz="8" w:val="single"/>
          <w:bottom w:color="000001" w:space="0" w:sz="8" w:val="single"/>
          <w:right w:color="000001" w:space="0" w:sz="8" w:val="single"/>
          <w:insideH w:color="000001" w:space="0" w:sz="8" w:val="single"/>
          <w:insideV w:color="000001" w:space="0" w:sz="8" w:val="single"/>
        </w:tblBorders>
        <w:tblLayout w:type="fixed"/>
        <w:tblLook w:val="0000"/>
      </w:tblPr>
      <w:tblGrid>
        <w:gridCol w:w="849"/>
        <w:gridCol w:w="2038"/>
        <w:gridCol w:w="1075"/>
        <w:gridCol w:w="1988"/>
        <w:gridCol w:w="1138"/>
        <w:gridCol w:w="1359"/>
        <w:gridCol w:w="1088"/>
        <w:tblGridChange w:id="0">
          <w:tblGrid>
            <w:gridCol w:w="849"/>
            <w:gridCol w:w="2038"/>
            <w:gridCol w:w="1075"/>
            <w:gridCol w:w="1988"/>
            <w:gridCol w:w="1138"/>
            <w:gridCol w:w="1359"/>
            <w:gridCol w:w="1088"/>
          </w:tblGrid>
        </w:tblGridChange>
      </w:tblGrid>
      <w:tr>
        <w:trPr>
          <w:cantSplit w:val="1"/>
          <w:trHeight w:val="340" w:hRule="atLeast"/>
          <w:tblHeader w:val="1"/>
        </w:trPr>
        <w:tc>
          <w:tcPr>
            <w:gridSpan w:val="7"/>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41">
            <w:pPr>
              <w:keepNext w:val="1"/>
              <w:keepLines w:val="0"/>
              <w:widowControl w:val="0"/>
              <w:numPr>
                <w:ilvl w:val="1"/>
                <w:numId w:val="1"/>
              </w:numPr>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ITEM_____</w:t>
            </w:r>
          </w:p>
        </w:tc>
      </w:tr>
      <w:tr>
        <w:trPr>
          <w:cantSplit w:val="1"/>
          <w:tblHeader w:val="1"/>
        </w:trPr>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ITEM</w:t>
            </w: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ESPECIFICAÇÃO</w:t>
            </w:r>
            <w:r w:rsidDel="00000000" w:rsidR="00000000" w:rsidRPr="00000000">
              <w:rPr>
                <w:rtl w:val="0"/>
              </w:rPr>
            </w:r>
          </w:p>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MARCA</w:t>
            </w: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UNIDADE DE FORNECIMENTO </w:t>
            </w: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w:t>
            </w: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VALOR UNITÁRIO (R$)</w:t>
            </w: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bfbfbf" w:val="clear"/>
          </w:tcPr>
          <w:p w:rsidR="00000000" w:rsidDel="00000000" w:rsidP="00000000" w:rsidRDefault="00000000" w:rsidRPr="00000000" w14:paraId="0000034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VALOR TOTAL (R$)</w:t>
            </w:r>
            <w:r w:rsidDel="00000000" w:rsidR="00000000" w:rsidRPr="00000000">
              <w:rPr>
                <w:rtl w:val="0"/>
              </w:rPr>
            </w:r>
          </w:p>
        </w:tc>
      </w:tr>
      <w:tr>
        <w:trPr>
          <w:cantSplit w:val="1"/>
          <w:tblHeader w:val="1"/>
        </w:trPr>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gridSpan w:val="7"/>
            <w:tcBorders>
              <w:top w:color="000001" w:space="0" w:sz="8" w:val="single"/>
              <w:left w:color="000001" w:space="0" w:sz="8" w:val="single"/>
              <w:bottom w:color="000001" w:space="0" w:sz="8" w:val="single"/>
              <w:right w:color="000001" w:space="0" w:sz="8" w:val="single"/>
            </w:tcBorders>
            <w:shd w:fill="auto" w:val="clear"/>
          </w:tcPr>
          <w:p w:rsidR="00000000" w:rsidDel="00000000" w:rsidP="00000000" w:rsidRDefault="00000000" w:rsidRPr="00000000" w14:paraId="0000035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VALOR GLOBAL R$</w:t>
            </w:r>
          </w:p>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Valor por extenso (________________________)</w:t>
            </w:r>
          </w:p>
        </w:tc>
      </w:tr>
    </w:tbl>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DECLARO, sob as sanções administrativas cabíveis, inclusive as criminais e sob as penas da lei, que toda documentação anexada ao sistema é autêntica.</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Local e data </w:t>
      </w: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Assinatura do representante legal </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(Nome e cargo)</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left"/>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highlight w:val="darkBlue"/>
          <w:u w:val="none"/>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III - MINUTA DA ATA DE REGISTRO DE PREÇOS</w:t>
      </w: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41" w:right="13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ATA DE REGISTRO DE PREÇOS Nº___ /20__</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PREGÃO ELETRÔNICO </w:t>
      </w:r>
      <w:r w:rsidDel="00000000" w:rsidR="00000000" w:rsidRPr="00000000">
        <w:rPr>
          <w:rFonts w:ascii="Arial" w:cs="Arial" w:eastAsia="Arial" w:hAnsi="Arial"/>
          <w:b w:val="1"/>
          <w:color w:val="000000"/>
          <w:sz w:val="22"/>
          <w:szCs w:val="22"/>
          <w:rtl w:val="0"/>
        </w:rPr>
        <w:t xml:space="preserve">Nº 20250026</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/SEPLAG</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color w:val="000000"/>
          <w:sz w:val="22"/>
          <w:szCs w:val="22"/>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NUP </w:t>
      </w:r>
      <w:r w:rsidDel="00000000" w:rsidR="00000000" w:rsidRPr="00000000">
        <w:rPr>
          <w:rFonts w:ascii="Arial" w:cs="Arial" w:eastAsia="Arial" w:hAnsi="Arial"/>
          <w:color w:val="000000"/>
          <w:sz w:val="22"/>
          <w:szCs w:val="22"/>
          <w:rtl w:val="0"/>
        </w:rPr>
        <w:t xml:space="preserve">46001.007565/2025-75</w:t>
      </w: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Ao(s) ____ dia(s) do mês de ___________ de 20__, na sede da Secretaria de Planejamento e Gestão, foi lavrada a presente Ata de Registro de Preços, conforme deliberação da Ata do Pregão Eletrônico </w:t>
      </w:r>
      <w:r w:rsidDel="00000000" w:rsidR="00000000" w:rsidRPr="00000000">
        <w:rPr>
          <w:rFonts w:ascii="Arial" w:cs="Arial" w:eastAsia="Arial" w:hAnsi="Arial"/>
          <w:color w:val="000000"/>
          <w:sz w:val="22"/>
          <w:szCs w:val="22"/>
          <w:rtl w:val="0"/>
        </w:rPr>
        <w:t xml:space="preserve">Nº 20250026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/SEPLAG do respectivo resultado homologado, publicado no Diário Oficial do Estado em _______, às fls __, do Processo NUP</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color w:val="000000"/>
          <w:sz w:val="22"/>
          <w:szCs w:val="22"/>
          <w:rtl w:val="0"/>
        </w:rPr>
        <w:t xml:space="preserve">46001.007565/2025-75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que vai assinada pelo titular do(a) ____________</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gestor(a) do Registro de Preços, pelos representantes legais dos detentores do registro de preços, todos qualificados e relacionados ao final, a qual será regida pelas cláusulas e condições seguintes:</w:t>
      </w:r>
      <w:r w:rsidDel="00000000" w:rsidR="00000000" w:rsidRPr="00000000">
        <w:rPr>
          <w:rtl w:val="0"/>
        </w:rPr>
      </w:r>
    </w:p>
    <w:p w:rsidR="00000000" w:rsidDel="00000000" w:rsidP="00000000" w:rsidRDefault="00000000" w:rsidRPr="00000000" w14:paraId="00000375">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DO OBJETO</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A presente Ata tem por objeto o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Registro de Preço para futuras e eventuais aquisições</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de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color w:val="000000"/>
          <w:sz w:val="22"/>
          <w:szCs w:val="22"/>
          <w:rtl w:val="0"/>
        </w:rPr>
        <w:t xml:space="preserve">Material de Consumo – Utensílios de Limpeza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cujas especificações e quantitativos encontram-se detalhados no Anexo I – Termo de Referência do edital de Pregão Eletrônico </w:t>
      </w:r>
      <w:r w:rsidDel="00000000" w:rsidR="00000000" w:rsidRPr="00000000">
        <w:rPr>
          <w:rFonts w:ascii="Arial" w:cs="Arial" w:eastAsia="Arial" w:hAnsi="Arial"/>
          <w:color w:val="000000"/>
          <w:sz w:val="22"/>
          <w:szCs w:val="22"/>
          <w:rtl w:val="0"/>
        </w:rPr>
        <w:t xml:space="preserve">Nº 20240026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/SEPLAG que passa a fazer parte desta Ata, com as propostas de preços apresentadas pelos detentores de preços registrados classificados em primeiro lugar, conforme consta nos autos do Processo nº </w:t>
      </w:r>
      <w:r w:rsidDel="00000000" w:rsidR="00000000" w:rsidRPr="00000000">
        <w:rPr>
          <w:rFonts w:ascii="Arial" w:cs="Arial" w:eastAsia="Arial" w:hAnsi="Arial"/>
          <w:color w:val="000000"/>
          <w:sz w:val="22"/>
          <w:szCs w:val="22"/>
          <w:rtl w:val="0"/>
        </w:rPr>
        <w:t xml:space="preserve">46001.007565/2025-75</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Este instrumento não obriga a Administração a firmar contratações, exclusivamente por seu intermédio, podendo realizar licitações específicas, obedecida a legislação pertinente, sem que, desse fato, caiba recurso ou indenização de qualquer espécie aos detentores do registro de preços, sendo-lhes assegurado a preferência, em igualdade de condições.</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DA FUNDAMENTAÇÃO LEGAL</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O presente instrumento fundamenta-se:</w:t>
      </w: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1"/>
        </w:tabs>
        <w:spacing w:after="57" w:before="57" w:line="240" w:lineRule="auto"/>
        <w:ind w:left="0" w:right="11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 No Pregão Eletrônico </w:t>
      </w:r>
      <w:r w:rsidDel="00000000" w:rsidR="00000000" w:rsidRPr="00000000">
        <w:rPr>
          <w:rFonts w:ascii="Arial" w:cs="Arial" w:eastAsia="Arial" w:hAnsi="Arial"/>
          <w:color w:val="000000"/>
          <w:sz w:val="22"/>
          <w:szCs w:val="22"/>
          <w:rtl w:val="0"/>
        </w:rPr>
        <w:t xml:space="preserve">Nº 20250026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-SEPLAG.</w:t>
      </w: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1224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 - Nos termos do Decreto Estadual nº 35.323, de 24/02/2023, publicado no D.O.E de 28/02/2023 e suas alterações.</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III - Na Lei Federal nº 14.133, de 1º de abril de 2021.</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DO ÓRGÃO OU ENTIDADE GERENCIADORA E DOS PARTICIPANTES</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Compete ao órgão ou entidade gerenciadora desta Ata, o controle e a administração do sistema de registro de preços, em especial o contido no art. 17 do Decreto nº 35.323/2023.</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O órgão ou entidade gerenciadora desta Ata será a Secretaria do Planejamento e Gestão - SEPLAG</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Os órgãos e entidades participantes desta ata de registro de preços poderão realizar contratações decorrentes de remanejamento de quantitativos ou valores cedidos por outros participantes, mediante autorização por meio de ferramenta informatizada, disponibilizada pela SEPLAG, desde que limitadas ao objeto licitado.</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Aos órgãos e entidades participantes, compete observar o contido no art. 18 do mesmo decreto de que trata o item 3.1 acima.</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0"/>
          <w:tab w:val="left" w:leader="none" w:pos="23040"/>
        </w:tabs>
        <w:spacing w:after="57" w:before="57" w:line="240" w:lineRule="auto"/>
        <w:ind w:left="0" w:right="113"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DA ADESÃO À ATA DE REGISTRO DE PREÇOS</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Durante a vigência desta ata, os órgãos ou entidades do Poder Executivo estadual participantes desta ou na condição de interessados, poderão realizar contratações decorrentes de remanejamento de quantitativo ou valores cedidos por outros participantes, mediante autorização prévia do órgão ou entidade gerenciadora, dispensada a elaboração do ETP.</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4.1.1. Caso o remanejamento seja para entrega de bem em município diferente do estabelecido no edital, caberá ao beneficiário da ata de registro de preços, observadas as condições nela fixadas, optar pela aceitação ou não do remanejamento dos itens.</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4.1.2. Os órgãos e entidades do Poder Executivo estadual e de outros entes federativos, não participantes desta ata de registro de preços, poderão realizar contratações decorrentes desta, na condição de interessados sem remanejamento, mediante autorização prévia do órgão ou entidade gerenciadora e do detentor do preço registrado.</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4.1.2.1. A faculdade conferida de que trata este item estará limitada a órgãos e entidades da Administração Pública estadual, distrital e municipal que, na condição de não participantes, desejarem aderir à ata de registro de preços de órgão ou entidade gerenciadora do Poder Executivo estadual.</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4.1.3. A adesão a ata observará os seguintes requisitos:</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Apresentação de justificativa da vantagem da adesão;</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 Demonstração de que os valores registrados estão compatíveis com os valores praticados pelo mercado na forma do art. 21 do Decreto nº 35.323/2023; e</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III- Consulta e aceitação prévias do órgão ou da entidade gerenciadora e do detentor do preço registrado.</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4.1.3.1. A autorização do órgão ou entidade gerenciadora apenas será realizada após a aceitação da adesão do detentor do preço registrado.</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44.1.3.2. O órgão ou entidade gerenciadora poderá rejeitar adesões caso elas possam acarretar prejuízo à execução de seus próprios contratos ou instrumento equivalente ou à sua capacidade de gerenciamento.</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4.1.3.3. As aquisições ou contratações adicionais não poderão exceder, por órgão ou entidade, a 50% (cinquenta por cento) do total dos quantitativos dos itens registrados para o órgão gerenciador e para os órgãos participantes.</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4.1.3.4. O quantitativo decorrente das adesões à ata de registro de preços a que se refere o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item</w:t>
      </w:r>
      <w:r w:rsidDel="00000000" w:rsidR="00000000" w:rsidRPr="00000000">
        <w:rPr>
          <w:rFonts w:ascii="Arial" w:cs="Arial" w:eastAsia="Arial" w:hAnsi="Arial"/>
          <w:b w:val="0"/>
          <w:i w:val="0"/>
          <w:smallCaps w:val="0"/>
          <w:strike w:val="0"/>
          <w:color w:val="000000"/>
          <w:sz w:val="22"/>
          <w:szCs w:val="22"/>
          <w:highlight w:val="darkMagenta"/>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anterior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não poderá exceder, na totalidade, ao dobro do quantitativo de cada item registrado na ata de registro de preços para o órgão gerenciador e órgãos participantes, independentemente do número de órgãos não participantes que aderirem.</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4.1.4. O órgão ou entidade não participante deverá efetivar a aquisição ou contratação solicitada em at</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é 90 (noventa) dias, contados a pa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rtir da autorização do órgão ou entidade gerenciadora, observado o prazo de vigência da ata.</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DA VALIDADE DA ATA, DA FORMALIZAÇÃO DO </w:t>
      </w: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INSTRUMENTO EQUIVALENTE E DO CADASTRO DE RESERVA</w:t>
      </w:r>
      <w:r w:rsidDel="00000000" w:rsidR="00000000" w:rsidRPr="00000000">
        <w:rPr>
          <w:rtl w:val="0"/>
        </w:rPr>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 </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É vedado efetuar acréscimos nos quantitativos ou valores fixados pela ata de registro de preços, inclusive o acréscimo de que trata o art. 125 da Lei nº 14.133/2021.</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 A duração da contratação decorrente desta ata de registro de preços é de até 30 (trinta) dias, contado do recebimento da ordem de fornecimento ou instrumento equivalente, na forma do inciso X do art. 6º c/c inciso II do art. 95 da Lei n° 14.133/2021.</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5.3.1. O instrumento equivalente de contrato deverá ser assinado no prazo de vigência desta ata.</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5.4. Na formalização do instrumento equivalente de contrato deverá haver a indicação da disponibilidade dos créditos orçamentários respectivos.</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 Após a homologação da licitação, o licitante mais bem classificado, será convocado para assinar a ata de registro de preços, no prazo e nas condições estabelecidas no edital de licitação, sob pena de decair o direito, sem prejuízo das sanções previstas no edital e na Lei nº 14.133/2021. </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5.5.1. O prazo de convocação poderá ser prorrogado 1 (uma) vez, por igual período, mediante solicitação do licitante convocado, desde que apresentada dentro do prazo, devidamente justificada, e que a justificativa seja aceita pela Administração.</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5.5.2. A ata de registro de preços poderá ser assinada por certificação digital.</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5.5.3. Serão observadas ainda as seguintes condições para a formalização da ata de registro de preços: </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Serão registrados na ata os preços e os quantitativos do adjudicatário, que oferecer na proposta o quantitativo máximo estabelecido no Termo de Referência.</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 Será incluído na ata, na forma do anexo único, o registro dos licitantes que:</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Aceitarem cotar os bens com preços iguais aos do adjudicatário, observada a classificação da licitação, que comporão o cadastro de reserva; e</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  Mantiverem sua proposta original. </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III- Será obedecida nas contratações a ordem de classificação dos licitantes registrados na ata.</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O registro tem por objetivo a formação de cadastro de reserva para o caso de impossibilidade de atendimento pelo signatário da ata.</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 Para fins da ordem de classificação, os licitantes que aceitarem reduzir suas propostas para o preço do adjudicatário antecederão aqueles que mantiverem sua proposta original.</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 A convocação dos licitantes do cadastro de reserva ocorrerá quando o licitante vencedor não assinar a ata de registro de preços no prazo e nas condições estabelecidas no edital, ou na hipótese do cancelamento do preço registrado na forma do art. 25 do Decreto nº 35.323/2021.</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5.6.1. A habilitação dos licitantes do cadastro reserva somente será realizada quando caracterizada a necessidade da contratação.</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5.7. O preço registrado com indicação dos licitantes será divulgado no Diário Oficial do Estado e ficará disponibilizado durante a vigência da ata de registro de preços.</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5.8. Na hipótese da inexistência do cadastro de reserva, a Administração, observados o valor estimado e sua eventual atualização nos termos do edital, poderá:</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Convocar para negociação os demais licitantes remanescentes cujos preços foram registrados sem redução, observada a ordem de classificação, com vistas à obtenção de preço melhor, mesmo que acima do preço do adjudicatário; ou</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 Adjudicar e firmar o instrumento equivalente de contrato nas condições ofertadas pelos licitantes remanescentes, atendida a ordem classificatória, quando frustrada a negociação de melhor condição.</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5.9. A existência de preços registrados implicará compromisso do detentor do preço para a contratação, nas condições estabelecidas, mas não obrigará a Administração a contratar, facultada a realização de licitação específica para a demanda pretendida, desde que devidamente justificada.</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DA ALTERAÇÃO OU ATUALIZAÇÃO DOS PREÇOS REGISTRADOS, DA NEGOCIAÇÃO, DA SUBSTITUIÇÃO DA MARCA OU MODELO E DA ALTERAÇÃO DE DADOS CONSTITUTIVOS DO DETENTOR DE PREÇOS.</w:t>
      </w: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Os preços registrados serão fixos e irreajustáveis durante a vigência da ata, exceto em decorrência das disposições contidas no art. 23 do Decreto nº 35.323/2023.</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6.1.1. Os preços registrados são os preços unitários ofertados nas proposta</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 dos detentores de preços, os quais estão relacionados no anexo único desta ata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servirão de base para futuras contratações, observadas as condições de mercado.</w:t>
      </w: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6.1.2. Os preços registrados poderão ainda ser alterados ou atualizados em caso de criação, alteração ou extinção de quaisquer tributos ou encargos legais ou a superveniência de disposições legais, com comprovada repercussão sobre os preços registrados;</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Na hipótese de o preço registrado tornar-se superior ao preço praticado no mercado por motivo superveniente, o órgão ou entidade gerenciadora convocará o fornecedor para negociar a redução do preço registrado.</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 Caso não aceite reduzir seu preço aos valores praticados pelo mercado, o detentor do preço registrado será liberado do compromisso assumido quanto ao item registrado, sem aplicação de penalidades administrativas. Nesta hipótese, o gerenciador convocará os detentores de preços do cadastro de reserva ou, se não houver, os remanescentes que atenderem os termos do disposto nos §§ 3º, 5º e 6º do artigo 12 do Decreto nº 35.323/2023, na ordem de classificação, para assegurar igual oportunidade de negociação.</w:t>
      </w: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6.3.1. Não havendo êxito nas negociações, o órgão ou entidade gerenciadora procederá ao cancelamento dos itens registrados, ou se for o caso, da Ata de registro de preços, adotando as medidas cabíveis para obtenção de contratação mais vantajosa.</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6.4. Caso haja alteração do preço registrado, o órgão ou entidade gerenciadora comunicará o fato aos órgãos ou entidades participantes.</w:t>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6.4.1. A alteração do preço registrado não altera automaticamente o preço do contrato decorrente da ata de registro de preços, cuja revisão deverá ser feita pelo órgão ou entidade contratante, observadas as disposições legais incidentes sobre o contrato.</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 O detentor do registro de preços poderá solicitar ao órgão ou entidade gerenciadora:</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 Substituição da marca ou modelo do item registrado por outra equivalente ou de qualidade superior, mantendo o mesmo preço e as mesmas especificações, desde que comprovada a inviabilidade do fornecimento da marca ou modelo originalmente registrado e que permaneça vantajosidade para a Administração;</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II - Alteração da razão social ou outro dado constitutivo, mediante apresentação de termo aditivo ao documento de constituição da empresa.</w:t>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6.5.1. No caso de deferimento das solicitações, o órgão ou entidade gerenciadora fará a alteração na ata e comunicará aos órgãos ou entidades participantes para alteração do contrato.</w:t>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DO CANCELAMENTO DO REGISTRO DE PREÇOS</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O registro de preços será cancelado nas hipóteses previstas no art. 25 do Decreto nº 35.323/2023.</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 O cancelamento de preço registrado, será formalizado por despacho da autoridade competente do órgão ou entidade gerenciadora, assegurado o direito à ampla defesa e ao contraditório, e sua comunicação será feita por escrito, juntando-se a cópia nos autos que deram origem ao registro de preços.</w:t>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7.3. No caso de ser ignorado, incerto ou inacessível o endereço do detentor do preço registrado, a comunicação será feita mediante publicação no Diário Oficial do Estado (DOE), considerando-se cancelado o preço registrado a partir da data da publicação.</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7.4. Antes de cancelar o item ou revogar a ata, o órgão ou entidade gerenciadora deverá tomar providências no sentido de que não haja descontinuidade no fornecimento de bens.</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7.5. Não sendo conveniente realizar novo processo de registro de preços, o órgão ou entidade gerenciadora deverá apresentar aos órgãos ou entidades participantes as justificativas que motivaram a não realização do mesmo e orientar sobre as ações para o novo processo de contratação.</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 DAS PENALIDADES</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8.1. Compete ao órgão ou entidade gerenciadora, aplicar, garantida a ampla defesa e o contraditório, as penalidades decorrentes do descumprimento do pactuado nesta ata de registro de preços, nos processos que impliquem em impedimento de licitar e contratar e declaração de inidoneidade para licitar ou contratar, conforme disposto no inciso IV do art. 17 do Decreto nº 35.323/2023,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sem prejuízo das sanções legais nas esferas civil e criminal.</w:t>
      </w: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8.2. As sanções previstas no item anterior, serão aplicadas ao adjudicatário que injustificadamente se recusar assinar a ata de registro de preços, caracterizando-se o descumprimento total das obrigações assumidas. Aplicam-se às mesmas sanções aos integrantes do cadastro de reserva no registro de preços e os remanescentes com preços registrados.</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8.3. O detentor de preço registrado recolherá a multa por meio de Documento de Arrecadação Estadual (DAE), ou se for o caso, por meio de depósito bancário  podendo ser substituído por outro instrumento legal, em nome da contratante, se não o fizer, será cobrada em processo de execução.</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 DAS DISPOSIÇÕES GERAIS</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75"/>
        </w:tabs>
        <w:spacing w:after="57" w:before="57"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9.1. As condições gerais da contratação, tais como o prazo para entrega e recebimento do objeto, obrigações do contratante e contratado, condições de pagamento, penalidades e demais condições, encontram-se definidas no Termo de Referência.</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75"/>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9.2. No caso de adjudicação por preço global de grupo de itens, só será admitida a contratação de parte de itens do grupo se houver prévia pesquisa de mercado e demonstração de sua vantagem para o órgão ou a entidade, conforme  §6º do art. 20 do Decreto nº 35.323/2023.</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 DO FORO</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Fica eleito o foro do município da contratante, para conhecer das questões relacionadas com a presente Ata que não possam ser resolvidas pelos meios administrativos.</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Assinam esta Ata, os signatários relacionados e qualificados a seguir, os quais firmam o compromisso de zelar pelo fiel cumprimento das suas cláusulas e condições.</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Signatários:</w:t>
      </w:r>
    </w:p>
    <w:tbl>
      <w:tblPr>
        <w:tblStyle w:val="Table3"/>
        <w:tblW w:w="9598.0" w:type="dxa"/>
        <w:jc w:val="left"/>
        <w:tblInd w:w="-103.0" w:type="dxa"/>
        <w:tblBorders>
          <w:top w:color="000001" w:space="0" w:sz="4" w:val="single"/>
          <w:left w:color="000001" w:space="0" w:sz="4" w:val="single"/>
          <w:bottom w:color="000001" w:space="0" w:sz="4" w:val="single"/>
          <w:insideH w:color="000001" w:space="0" w:sz="4" w:val="single"/>
        </w:tblBorders>
        <w:tblLayout w:type="fixed"/>
        <w:tblLook w:val="0000"/>
      </w:tblPr>
      <w:tblGrid>
        <w:gridCol w:w="1917"/>
        <w:gridCol w:w="1748"/>
        <w:gridCol w:w="1098"/>
        <w:gridCol w:w="1518"/>
        <w:gridCol w:w="1666"/>
        <w:gridCol w:w="1651"/>
        <w:tblGridChange w:id="0">
          <w:tblGrid>
            <w:gridCol w:w="1917"/>
            <w:gridCol w:w="1748"/>
            <w:gridCol w:w="1098"/>
            <w:gridCol w:w="1518"/>
            <w:gridCol w:w="1666"/>
            <w:gridCol w:w="1651"/>
          </w:tblGrid>
        </w:tblGridChange>
      </w:tblGrid>
      <w:tr>
        <w:trPr>
          <w:cantSplit w:val="1"/>
          <w:trHeight w:val="476" w:hRule="atLeast"/>
          <w:tblHeader w:val="1"/>
        </w:trPr>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Órgão ou Entidade Gerenciadora da Ata.</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Nome do Titular</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Cargo</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CPF</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RG</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vAlign w:val="center"/>
          </w:tcPr>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Assinatura</w:t>
            </w: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r>
    </w:tbl>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1"/>
          <w:color w:val="000000"/>
          <w:u w:val="none"/>
          <w:shd w:fill="auto" w:val="clear"/>
          <w:vertAlign w:val="baseline"/>
        </w:rPr>
      </w:pPr>
      <w:r w:rsidDel="00000000" w:rsidR="00000000" w:rsidRPr="00000000">
        <w:rPr>
          <w:rtl w:val="0"/>
        </w:rPr>
      </w:r>
    </w:p>
    <w:tbl>
      <w:tblPr>
        <w:tblStyle w:val="Table4"/>
        <w:tblW w:w="9641.0" w:type="dxa"/>
        <w:jc w:val="left"/>
        <w:tblInd w:w="-103.0" w:type="dxa"/>
        <w:tblBorders>
          <w:top w:color="000001" w:space="0" w:sz="4" w:val="single"/>
          <w:left w:color="000001" w:space="0" w:sz="4" w:val="single"/>
          <w:bottom w:color="000001" w:space="0" w:sz="4" w:val="single"/>
          <w:insideH w:color="000001" w:space="0" w:sz="4" w:val="single"/>
        </w:tblBorders>
        <w:tblLayout w:type="fixed"/>
        <w:tblLook w:val="0000"/>
      </w:tblPr>
      <w:tblGrid>
        <w:gridCol w:w="1878"/>
        <w:gridCol w:w="1793"/>
        <w:gridCol w:w="1099"/>
        <w:gridCol w:w="1523"/>
        <w:gridCol w:w="1669"/>
        <w:gridCol w:w="1679"/>
        <w:tblGridChange w:id="0">
          <w:tblGrid>
            <w:gridCol w:w="1878"/>
            <w:gridCol w:w="1793"/>
            <w:gridCol w:w="1099"/>
            <w:gridCol w:w="1523"/>
            <w:gridCol w:w="1669"/>
            <w:gridCol w:w="1679"/>
          </w:tblGrid>
        </w:tblGridChange>
      </w:tblGrid>
      <w:tr>
        <w:trPr>
          <w:cantSplit w:val="1"/>
          <w:tblHeader w:val="1"/>
        </w:trPr>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Detentores  Adjudicatários do Reg. de Preços </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Nome do Representante</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Cargo</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CPF</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RG</w:t>
            </w:r>
          </w:p>
        </w:tc>
        <w:tc>
          <w:tcPr>
            <w:tcBorders>
              <w:top w:color="000001" w:space="0" w:sz="4" w:val="single"/>
              <w:left w:color="000001" w:space="0" w:sz="4" w:val="single"/>
              <w:bottom w:color="000001" w:space="0" w:sz="4" w:val="single"/>
              <w:right w:color="000001" w:space="0" w:sz="4" w:val="single"/>
            </w:tcBorders>
            <w:shd w:fill="auto" w:val="clear"/>
            <w:vAlign w:val="center"/>
          </w:tcPr>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Assinatura</w:t>
            </w:r>
          </w:p>
        </w:tc>
      </w:tr>
      <w:tr>
        <w:trPr>
          <w:cantSplit w:val="1"/>
          <w:tblHeader w:val="1"/>
        </w:trPr>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D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Mar>
              <w:top w:w="55.0" w:type="dxa"/>
              <w:left w:w="35.0" w:type="dxa"/>
              <w:bottom w:w="55.0" w:type="dxa"/>
              <w:right w:w="55.0" w:type="dxa"/>
            </w:tcMar>
          </w:tcPr>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tc>
      </w:tr>
    </w:tbl>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firmeza e validade do pactuado, a presente Ata foi lavrada em ___ (____)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(preencher com a data)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vias de igual teor, que, depois de lida e achada em ordem, vai assinada pelas partes e encaminhada cópia aos  órgãos e entidades participantes, se houver. </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Fortaleza/CE, ___ de ___________ de 20___</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ÚNICO DA ATA DE REGISTRO DE PREÇOS Nº___ /20__ - MAPA DE PREÇOS DOS BENS</w:t>
      </w:r>
      <w:r w:rsidDel="00000000" w:rsidR="00000000" w:rsidRPr="00000000">
        <w:rPr>
          <w:rtl w:val="0"/>
        </w:rPr>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Este documento é parte integrante da Ata de Registro de Preços acima referenciada, celebrada entre a Secretaria do Planejamento e Gestão do Estado do Ceará – SEPLAG/COGEC e os fornecedores, cujos preços estão a seguir registrados por item, em face da realização do Pregão Eletrônico </w:t>
      </w:r>
      <w:r w:rsidDel="00000000" w:rsidR="00000000" w:rsidRPr="00000000">
        <w:rPr>
          <w:rFonts w:ascii="Arial" w:cs="Arial" w:eastAsia="Arial" w:hAnsi="Arial"/>
          <w:color w:val="000000"/>
          <w:sz w:val="22"/>
          <w:szCs w:val="22"/>
          <w:rtl w:val="0"/>
        </w:rPr>
        <w:t xml:space="preserve">Nº 20250026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/SEPLAG, seguido da relação do órgãos e entidades participantes.</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Constam ainda registrados os preços dos fornecedores que aceitaram cotar os itens com preços iguais ao adjudicatário e os que mantiveram sua proposta original:</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Relação dos fornecedores adjudicatários.</w:t>
      </w:r>
      <w:r w:rsidDel="00000000" w:rsidR="00000000" w:rsidRPr="00000000">
        <w:rPr>
          <w:rtl w:val="0"/>
        </w:rPr>
      </w:r>
    </w:p>
    <w:tbl>
      <w:tblPr>
        <w:tblStyle w:val="Table5"/>
        <w:tblW w:w="9611.000000000002" w:type="dxa"/>
        <w:jc w:val="left"/>
        <w:tblInd w:w="-147.0" w:type="dxa"/>
        <w:tblBorders>
          <w:top w:color="000001" w:space="0" w:sz="4" w:val="single"/>
          <w:left w:color="000001" w:space="0" w:sz="4" w:val="single"/>
          <w:bottom w:color="000001" w:space="0" w:sz="4" w:val="single"/>
          <w:insideH w:color="000001" w:space="0" w:sz="4" w:val="single"/>
        </w:tblBorders>
        <w:tblLayout w:type="fixed"/>
        <w:tblLook w:val="0000"/>
      </w:tblPr>
      <w:tblGrid>
        <w:gridCol w:w="849"/>
        <w:gridCol w:w="800"/>
        <w:gridCol w:w="1813"/>
        <w:gridCol w:w="1702"/>
        <w:gridCol w:w="787"/>
        <w:gridCol w:w="1025"/>
        <w:gridCol w:w="963"/>
        <w:gridCol w:w="1672"/>
        <w:tblGridChange w:id="0">
          <w:tblGrid>
            <w:gridCol w:w="849"/>
            <w:gridCol w:w="800"/>
            <w:gridCol w:w="1813"/>
            <w:gridCol w:w="1702"/>
            <w:gridCol w:w="787"/>
            <w:gridCol w:w="1025"/>
            <w:gridCol w:w="963"/>
            <w:gridCol w:w="1672"/>
          </w:tblGrid>
        </w:tblGridChange>
      </w:tblGrid>
      <w:tr>
        <w:trPr>
          <w:cantSplit w:val="1"/>
          <w:tblHeader w:val="1"/>
        </w:trPr>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Item</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Cód Item</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Especificação do Item</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Fornecedores </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Máx</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3F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Min.</w:t>
            </w:r>
          </w:p>
        </w:tc>
        <w:tc>
          <w:tcPr>
            <w:tcBorders>
              <w:top w:color="000001" w:space="0" w:sz="4" w:val="single"/>
              <w:left w:color="000001" w:space="0" w:sz="4" w:val="single"/>
              <w:bottom w:color="000001" w:space="0" w:sz="4" w:val="single"/>
              <w:right w:color="000001" w:space="0" w:sz="4" w:val="single"/>
            </w:tcBorders>
            <w:shd w:fill="auto" w:val="clear"/>
            <w:vAlign w:val="center"/>
          </w:tcPr>
          <w:p w:rsidR="00000000" w:rsidDel="00000000" w:rsidP="00000000" w:rsidRDefault="00000000" w:rsidRPr="00000000" w14:paraId="000003F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Preço Registrado</w:t>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3F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3F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0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Relação dos Órgãos e Entidades Participantes da Ata.</w:t>
      </w:r>
    </w:p>
    <w:tbl>
      <w:tblPr>
        <w:tblStyle w:val="Table6"/>
        <w:tblW w:w="9575.0" w:type="dxa"/>
        <w:jc w:val="left"/>
        <w:tblInd w:w="-125.0" w:type="dxa"/>
        <w:tblBorders>
          <w:top w:color="000001" w:space="0" w:sz="4" w:val="single"/>
          <w:left w:color="000001" w:space="0" w:sz="4" w:val="single"/>
          <w:bottom w:color="000001" w:space="0" w:sz="4" w:val="single"/>
          <w:insideH w:color="000001" w:space="0" w:sz="4" w:val="single"/>
        </w:tblBorders>
        <w:tblLayout w:type="fixed"/>
        <w:tblLook w:val="0000"/>
      </w:tblPr>
      <w:tblGrid>
        <w:gridCol w:w="788"/>
        <w:gridCol w:w="4020"/>
        <w:gridCol w:w="4767"/>
        <w:tblGridChange w:id="0">
          <w:tblGrid>
            <w:gridCol w:w="788"/>
            <w:gridCol w:w="4020"/>
            <w:gridCol w:w="4767"/>
          </w:tblGrid>
        </w:tblGridChange>
      </w:tblGrid>
      <w:tr>
        <w:trPr>
          <w:cantSplit w:val="1"/>
          <w:trHeight w:val="296" w:hRule="atLeast"/>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Seq</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Órgão/Entidade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0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ENDEREÇO</w:t>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0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1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Relação de fornecedores, segundo a ordem de classificação, que aceitaram cotar os itens com preços iguais aos do adjudicatário (Cadastro Reserva).</w:t>
      </w:r>
    </w:p>
    <w:tbl>
      <w:tblPr>
        <w:tblStyle w:val="Table7"/>
        <w:tblW w:w="9626.0" w:type="dxa"/>
        <w:jc w:val="left"/>
        <w:tblInd w:w="-162.0" w:type="dxa"/>
        <w:tblBorders>
          <w:top w:color="000001" w:space="0" w:sz="4" w:val="single"/>
          <w:left w:color="000001" w:space="0" w:sz="4" w:val="single"/>
          <w:bottom w:color="000001" w:space="0" w:sz="4" w:val="single"/>
          <w:insideH w:color="000001" w:space="0" w:sz="4" w:val="single"/>
        </w:tblBorders>
        <w:tblLayout w:type="fixed"/>
        <w:tblLook w:val="0000"/>
      </w:tblPr>
      <w:tblGrid>
        <w:gridCol w:w="787"/>
        <w:gridCol w:w="862"/>
        <w:gridCol w:w="1750"/>
        <w:gridCol w:w="1765"/>
        <w:gridCol w:w="850"/>
        <w:gridCol w:w="1012"/>
        <w:gridCol w:w="1201"/>
        <w:gridCol w:w="1399"/>
        <w:tblGridChange w:id="0">
          <w:tblGrid>
            <w:gridCol w:w="787"/>
            <w:gridCol w:w="862"/>
            <w:gridCol w:w="1750"/>
            <w:gridCol w:w="1765"/>
            <w:gridCol w:w="850"/>
            <w:gridCol w:w="1012"/>
            <w:gridCol w:w="1201"/>
            <w:gridCol w:w="1399"/>
          </w:tblGrid>
        </w:tblGridChange>
      </w:tblGrid>
      <w:tr>
        <w:trPr>
          <w:cantSplit w:val="1"/>
          <w:tblHeader w:val="1"/>
        </w:trPr>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Item</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Cód Item</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Especificação do Item</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Fornecedores </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Máx</w:t>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1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Min.</w:t>
            </w:r>
          </w:p>
        </w:tc>
        <w:tc>
          <w:tcPr>
            <w:tcBorders>
              <w:top w:color="000001" w:space="0" w:sz="4" w:val="single"/>
              <w:left w:color="000001" w:space="0" w:sz="4" w:val="single"/>
              <w:bottom w:color="000001" w:space="0" w:sz="4" w:val="single"/>
              <w:right w:color="000001" w:space="0" w:sz="4" w:val="single"/>
            </w:tcBorders>
            <w:shd w:fill="auto" w:val="clear"/>
            <w:vAlign w:val="center"/>
          </w:tcPr>
          <w:p w:rsidR="00000000" w:rsidDel="00000000" w:rsidP="00000000" w:rsidRDefault="00000000" w:rsidRPr="00000000" w14:paraId="0000041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Preço Registrado</w:t>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1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1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2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2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2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Relação de fornecedores, segundo a ordem de classificação, que mantiveram sua proposta original (Remanescentes):</w:t>
      </w:r>
    </w:p>
    <w:tbl>
      <w:tblPr>
        <w:tblStyle w:val="Table8"/>
        <w:tblW w:w="9626.0" w:type="dxa"/>
        <w:jc w:val="left"/>
        <w:tblInd w:w="-162.0" w:type="dxa"/>
        <w:tblBorders>
          <w:top w:color="000001" w:space="0" w:sz="4" w:val="single"/>
          <w:left w:color="000001" w:space="0" w:sz="4" w:val="single"/>
          <w:bottom w:color="000001" w:space="0" w:sz="4" w:val="single"/>
          <w:insideH w:color="000001" w:space="0" w:sz="4" w:val="single"/>
        </w:tblBorders>
        <w:tblLayout w:type="fixed"/>
        <w:tblLook w:val="0000"/>
      </w:tblPr>
      <w:tblGrid>
        <w:gridCol w:w="787"/>
        <w:gridCol w:w="862"/>
        <w:gridCol w:w="1815"/>
        <w:gridCol w:w="1699"/>
        <w:gridCol w:w="850"/>
        <w:gridCol w:w="1012"/>
        <w:gridCol w:w="1202"/>
        <w:gridCol w:w="1399"/>
        <w:tblGridChange w:id="0">
          <w:tblGrid>
            <w:gridCol w:w="787"/>
            <w:gridCol w:w="862"/>
            <w:gridCol w:w="1815"/>
            <w:gridCol w:w="1699"/>
            <w:gridCol w:w="850"/>
            <w:gridCol w:w="1012"/>
            <w:gridCol w:w="1202"/>
            <w:gridCol w:w="1399"/>
          </w:tblGrid>
        </w:tblGridChange>
      </w:tblGrid>
      <w:tr>
        <w:trPr>
          <w:cantSplit w:val="1"/>
          <w:tblHeader w:val="1"/>
        </w:trPr>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2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Item</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Cód Item</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Especificação do Item</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Fornecedores </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Máx</w:t>
            </w:r>
            <w:r w:rsidDel="00000000" w:rsidR="00000000" w:rsidRPr="00000000">
              <w:rPr>
                <w:rtl w:val="0"/>
              </w:rPr>
            </w:r>
          </w:p>
        </w:tc>
        <w:tc>
          <w:tcPr>
            <w:tcBorders>
              <w:top w:color="000001" w:space="0" w:sz="4" w:val="single"/>
              <w:left w:color="000001" w:space="0" w:sz="4" w:val="single"/>
              <w:bottom w:color="000001" w:space="0" w:sz="4" w:val="single"/>
            </w:tcBorders>
            <w:shd w:fill="auto" w:val="clear"/>
            <w:vAlign w:val="center"/>
          </w:tcPr>
          <w:p w:rsidR="00000000" w:rsidDel="00000000" w:rsidP="00000000" w:rsidRDefault="00000000" w:rsidRPr="00000000" w14:paraId="0000043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Quant. Min.</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vAlign w:val="center"/>
          </w:tcPr>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Preço Registrado</w:t>
            </w: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B">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3E">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3F">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0">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1">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2">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3">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445">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446">
            <w:pPr>
              <w:keepNext w:val="0"/>
              <w:keepLines w:val="0"/>
              <w:widowControl w:val="1"/>
              <w:pBdr>
                <w:top w:space="0" w:sz="0" w:val="nil"/>
                <w:left w:space="0" w:sz="0" w:val="nil"/>
                <w:bottom w:space="0" w:sz="0" w:val="nil"/>
                <w:right w:space="0" w:sz="0" w:val="nil"/>
                <w:between w:space="0" w:sz="0" w:val="nil"/>
              </w:pBdr>
              <w:shd w:fill="auto" w:val="clear"/>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113" w:firstLine="0"/>
        <w:jc w:val="left"/>
        <w:rPr>
          <w:rFonts w:ascii="Arial" w:cs="Arial" w:eastAsia="Arial" w:hAnsi="Arial"/>
          <w:b w:val="0"/>
          <w:i w:val="0"/>
          <w:smallCaps w:val="0"/>
          <w:strike w:val="0"/>
          <w:color w:val="000000"/>
          <w:sz w:val="22"/>
          <w:szCs w:val="22"/>
          <w:u w:val="none"/>
          <w:shd w:fill="auto" w:val="clear"/>
          <w:vertAlign w:val="baseline"/>
        </w:rPr>
        <w:sectPr>
          <w:type w:val="continuous"/>
          <w:pgSz w:h="16838" w:w="11906" w:orient="portrait"/>
          <w:pgMar w:bottom="1133.8582677165355" w:top="1984.2519685039372" w:left="1440" w:right="1440" w:header="340" w:footer="397"/>
        </w:sectPr>
      </w:pPr>
      <w:r w:rsidDel="00000000" w:rsidR="00000000" w:rsidRPr="00000000">
        <w:rPr>
          <w:rtl w:val="0"/>
        </w:rPr>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continuous"/>
          <w:pgSz w:h="16838" w:w="11906" w:orient="portrait"/>
          <w:pgMar w:bottom="1133.8582677165355" w:top="1984.2519685039372" w:left="1134" w:right="1134" w:header="340" w:footer="397"/>
        </w:sectPr>
      </w:pPr>
      <w:r w:rsidDel="00000000" w:rsidR="00000000" w:rsidRPr="00000000">
        <w:rPr>
          <w:rtl w:val="0"/>
        </w:rPr>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sectPr>
      <w:type w:val="continuous"/>
      <w:pgSz w:h="16838" w:w="11906" w:orient="portrait"/>
      <w:pgMar w:bottom="1133.8582677165355" w:top="1984.2519685039372" w:left="1134" w:right="1134" w:header="340" w:footer="39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umberland AMT"/>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Pregão Eletrônico </w:t>
    </w:r>
    <w:r w:rsidDel="00000000" w:rsidR="00000000" w:rsidRPr="00000000">
      <w:rPr>
        <w:rFonts w:ascii="Arial" w:cs="Arial" w:eastAsia="Arial" w:hAnsi="Arial"/>
        <w:b w:val="1"/>
        <w:color w:val="000000"/>
        <w:sz w:val="16"/>
        <w:szCs w:val="16"/>
        <w:rtl w:val="0"/>
      </w:rPr>
      <w:t xml:space="preserve">Nº 20250026</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 SEPLAG/COGEC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559"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2138363</wp:posOffset>
          </wp:positionH>
          <wp:positionV relativeFrom="paragraph">
            <wp:posOffset>-95249</wp:posOffset>
          </wp:positionV>
          <wp:extent cx="1433513" cy="1047750"/>
          <wp:effectExtent b="0" l="0" r="0" t="0"/>
          <wp:wrapSquare wrapText="bothSides" distB="0" distT="0" distL="0" distR="0"/>
          <wp:docPr id="76"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433513" cy="1047750"/>
                  </a:xfrm>
                  <a:prstGeom prst="rect"/>
                  <a:ln/>
                </pic:spPr>
              </pic:pic>
            </a:graphicData>
          </a:graphic>
        </wp:anchor>
      </w:drawing>
    </w:r>
  </w:p>
  <w:p w:rsidR="00000000" w:rsidDel="00000000" w:rsidP="00000000" w:rsidRDefault="00000000" w:rsidRPr="00000000" w14:paraId="000004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559"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559"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3."/>
      <w:lvlJc w:val="left"/>
      <w:pPr>
        <w:ind w:left="0" w:firstLine="0"/>
      </w:pPr>
      <w:rPr/>
    </w:lvl>
    <w:lvl w:ilvl="3">
      <w:start w:val="1"/>
      <w:numFmt w:val="decimal"/>
      <w:lvlText w:val=""/>
      <w:lvlJc w:val="left"/>
      <w:pPr>
        <w:ind w:left="0" w:firstLine="0"/>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abstractNum w:abstractNumId="2">
    <w:lvl w:ilvl="0">
      <w:start w:val="1"/>
      <w:numFmt w:val="bullet"/>
      <w:lvlText w:val="l"/>
      <w:lvlJc w:val="left"/>
      <w:pPr>
        <w:ind w:left="720" w:hanging="360"/>
      </w:pPr>
      <w:rPr>
        <w:b w:val="0"/>
        <w:sz w:val="22"/>
        <w:szCs w:val="22"/>
        <w:u w:val="none"/>
      </w:rPr>
    </w:lvl>
    <w:lvl w:ilvl="1">
      <w:start w:val="1"/>
      <w:numFmt w:val="bullet"/>
      <w:lvlText w:val="l"/>
      <w:lvlJc w:val="left"/>
      <w:pPr>
        <w:ind w:left="1440" w:hanging="360"/>
      </w:pPr>
      <w:rPr>
        <w:u w:val="none"/>
      </w:rPr>
    </w:lvl>
    <w:lvl w:ilvl="2">
      <w:start w:val="1"/>
      <w:numFmt w:val="bullet"/>
      <w:lvlText w:val="■"/>
      <w:lvlJc w:val="left"/>
      <w:pPr>
        <w:ind w:left="2160" w:hanging="360"/>
      </w:pPr>
      <w:rPr>
        <w:u w:val="none"/>
      </w:rPr>
    </w:lvl>
    <w:lvl w:ilvl="3">
      <w:start w:val="1"/>
      <w:numFmt w:val="bullet"/>
      <w:lvlText w:val="l"/>
      <w:lvlJc w:val="left"/>
      <w:pPr>
        <w:ind w:left="2880" w:hanging="360"/>
      </w:pPr>
      <w:rPr>
        <w:u w:val="none"/>
      </w:rPr>
    </w:lvl>
    <w:lvl w:ilvl="4">
      <w:start w:val="1"/>
      <w:numFmt w:val="bullet"/>
      <w:lvlText w:val="l"/>
      <w:lvlJc w:val="left"/>
      <w:pPr>
        <w:ind w:left="3600" w:hanging="360"/>
      </w:pPr>
      <w:rPr>
        <w:u w:val="none"/>
      </w:rPr>
    </w:lvl>
    <w:lvl w:ilvl="5">
      <w:start w:val="1"/>
      <w:numFmt w:val="bullet"/>
      <w:lvlText w:val="■"/>
      <w:lvlJc w:val="left"/>
      <w:pPr>
        <w:ind w:left="4320" w:hanging="360"/>
      </w:pPr>
      <w:rPr>
        <w:u w:val="none"/>
      </w:rPr>
    </w:lvl>
    <w:lvl w:ilvl="6">
      <w:start w:val="1"/>
      <w:numFmt w:val="bullet"/>
      <w:lvlText w:val="l"/>
      <w:lvlJc w:val="left"/>
      <w:pPr>
        <w:ind w:left="5040" w:hanging="360"/>
      </w:pPr>
      <w:rPr>
        <w:u w:val="none"/>
      </w:rPr>
    </w:lvl>
    <w:lvl w:ilvl="7">
      <w:start w:val="1"/>
      <w:numFmt w:val="bullet"/>
      <w:lvlText w:val="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l"/>
      <w:lvlJc w:val="left"/>
      <w:pPr>
        <w:ind w:left="720" w:hanging="360"/>
      </w:pPr>
      <w:rPr>
        <w:b w:val="0"/>
        <w:sz w:val="22"/>
        <w:szCs w:val="22"/>
        <w:u w:val="none"/>
      </w:rPr>
    </w:lvl>
    <w:lvl w:ilvl="1">
      <w:start w:val="1"/>
      <w:numFmt w:val="bullet"/>
      <w:lvlText w:val="l"/>
      <w:lvlJc w:val="left"/>
      <w:pPr>
        <w:ind w:left="1440" w:hanging="360"/>
      </w:pPr>
      <w:rPr>
        <w:u w:val="none"/>
      </w:rPr>
    </w:lvl>
    <w:lvl w:ilvl="2">
      <w:start w:val="1"/>
      <w:numFmt w:val="bullet"/>
      <w:lvlText w:val="■"/>
      <w:lvlJc w:val="left"/>
      <w:pPr>
        <w:ind w:left="2160" w:hanging="360"/>
      </w:pPr>
      <w:rPr>
        <w:u w:val="none"/>
      </w:rPr>
    </w:lvl>
    <w:lvl w:ilvl="3">
      <w:start w:val="1"/>
      <w:numFmt w:val="bullet"/>
      <w:lvlText w:val="l"/>
      <w:lvlJc w:val="left"/>
      <w:pPr>
        <w:ind w:left="2880" w:hanging="360"/>
      </w:pPr>
      <w:rPr>
        <w:u w:val="none"/>
      </w:rPr>
    </w:lvl>
    <w:lvl w:ilvl="4">
      <w:start w:val="1"/>
      <w:numFmt w:val="bullet"/>
      <w:lvlText w:val="l"/>
      <w:lvlJc w:val="left"/>
      <w:pPr>
        <w:ind w:left="3600" w:hanging="360"/>
      </w:pPr>
      <w:rPr>
        <w:u w:val="none"/>
      </w:rPr>
    </w:lvl>
    <w:lvl w:ilvl="5">
      <w:start w:val="1"/>
      <w:numFmt w:val="bullet"/>
      <w:lvlText w:val="■"/>
      <w:lvlJc w:val="left"/>
      <w:pPr>
        <w:ind w:left="4320" w:hanging="360"/>
      </w:pPr>
      <w:rPr>
        <w:u w:val="none"/>
      </w:rPr>
    </w:lvl>
    <w:lvl w:ilvl="6">
      <w:start w:val="1"/>
      <w:numFmt w:val="bullet"/>
      <w:lvlText w:val="l"/>
      <w:lvlJc w:val="left"/>
      <w:pPr>
        <w:ind w:left="5040" w:hanging="360"/>
      </w:pPr>
      <w:rPr>
        <w:u w:val="none"/>
      </w:rPr>
    </w:lvl>
    <w:lvl w:ilvl="7">
      <w:start w:val="1"/>
      <w:numFmt w:val="bullet"/>
      <w:lvlText w:val="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l"/>
      <w:lvlJc w:val="left"/>
      <w:pPr>
        <w:ind w:left="720" w:hanging="360"/>
      </w:pPr>
      <w:rPr>
        <w:b w:val="0"/>
        <w:sz w:val="22"/>
        <w:szCs w:val="22"/>
        <w:u w:val="none"/>
      </w:rPr>
    </w:lvl>
    <w:lvl w:ilvl="1">
      <w:start w:val="1"/>
      <w:numFmt w:val="bullet"/>
      <w:lvlText w:val="l"/>
      <w:lvlJc w:val="left"/>
      <w:pPr>
        <w:ind w:left="1440" w:hanging="360"/>
      </w:pPr>
      <w:rPr>
        <w:u w:val="none"/>
      </w:rPr>
    </w:lvl>
    <w:lvl w:ilvl="2">
      <w:start w:val="1"/>
      <w:numFmt w:val="bullet"/>
      <w:lvlText w:val="■"/>
      <w:lvlJc w:val="left"/>
      <w:pPr>
        <w:ind w:left="2160" w:hanging="360"/>
      </w:pPr>
      <w:rPr>
        <w:u w:val="none"/>
      </w:rPr>
    </w:lvl>
    <w:lvl w:ilvl="3">
      <w:start w:val="1"/>
      <w:numFmt w:val="bullet"/>
      <w:lvlText w:val="l"/>
      <w:lvlJc w:val="left"/>
      <w:pPr>
        <w:ind w:left="2880" w:hanging="360"/>
      </w:pPr>
      <w:rPr>
        <w:u w:val="none"/>
      </w:rPr>
    </w:lvl>
    <w:lvl w:ilvl="4">
      <w:start w:val="1"/>
      <w:numFmt w:val="bullet"/>
      <w:lvlText w:val="l"/>
      <w:lvlJc w:val="left"/>
      <w:pPr>
        <w:ind w:left="3600" w:hanging="360"/>
      </w:pPr>
      <w:rPr>
        <w:u w:val="none"/>
      </w:rPr>
    </w:lvl>
    <w:lvl w:ilvl="5">
      <w:start w:val="1"/>
      <w:numFmt w:val="bullet"/>
      <w:lvlText w:val="■"/>
      <w:lvlJc w:val="left"/>
      <w:pPr>
        <w:ind w:left="4320" w:hanging="360"/>
      </w:pPr>
      <w:rPr>
        <w:u w:val="none"/>
      </w:rPr>
    </w:lvl>
    <w:lvl w:ilvl="6">
      <w:start w:val="1"/>
      <w:numFmt w:val="bullet"/>
      <w:lvlText w:val="l"/>
      <w:lvlJc w:val="left"/>
      <w:pPr>
        <w:ind w:left="5040" w:hanging="360"/>
      </w:pPr>
      <w:rPr>
        <w:u w:val="none"/>
      </w:rPr>
    </w:lvl>
    <w:lvl w:ilvl="7">
      <w:start w:val="1"/>
      <w:numFmt w:val="bullet"/>
      <w:lvlText w:val="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pPr>
    <w:rPr>
      <w:rFonts w:ascii="Arial" w:cs="Arial" w:eastAsia="Arial" w:hAnsi="Arial"/>
      <w:b w:val="1"/>
      <w:i w:val="0"/>
      <w:smallCaps w:val="0"/>
      <w:strike w:val="0"/>
      <w:color w:val="000000"/>
      <w:sz w:val="23"/>
      <w:szCs w:val="23"/>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6" w:right="0" w:hanging="576"/>
      <w:jc w:val="left"/>
    </w:pPr>
    <w:rPr>
      <w:rFonts w:ascii="Arial" w:cs="Arial" w:eastAsia="Arial" w:hAnsi="Arial"/>
      <w:b w:val="1"/>
      <w:i w:val="0"/>
      <w:smallCaps w:val="0"/>
      <w:strike w:val="0"/>
      <w:color w:val="000000"/>
      <w:sz w:val="23"/>
      <w:szCs w:val="23"/>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993"/>
      <w:jc w:val="left"/>
    </w:pPr>
    <w:rPr>
      <w:rFonts w:ascii="Arial" w:cs="Arial" w:eastAsia="Arial" w:hAnsi="Arial"/>
      <w:b w:val="1"/>
      <w:i w:val="0"/>
      <w:smallCaps w:val="0"/>
      <w:strike w:val="0"/>
      <w:color w:val="000000"/>
      <w:sz w:val="23"/>
      <w:szCs w:val="23"/>
      <w:u w:val="none"/>
      <w:shd w:fill="auto" w:val="clear"/>
      <w:vertAlign w:val="baseline"/>
    </w:rPr>
  </w:style>
  <w:style w:type="paragraph" w:styleId="Heading4">
    <w:name w:val="heading 4"/>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1"/>
      <w:i w:val="0"/>
      <w:smallCaps w:val="0"/>
      <w:strike w:val="0"/>
      <w:color w:val="000000"/>
      <w:sz w:val="23"/>
      <w:szCs w:val="23"/>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8" w:right="0" w:hanging="1008"/>
      <w:jc w:val="center"/>
    </w:pPr>
    <w:rPr>
      <w:rFonts w:ascii="Arial" w:cs="Arial" w:eastAsia="Arial" w:hAnsi="Arial"/>
      <w:b w:val="1"/>
      <w:i w:val="0"/>
      <w:smallCaps w:val="0"/>
      <w:strike w:val="0"/>
      <w:color w:val="00000a"/>
      <w:sz w:val="23"/>
      <w:szCs w:val="23"/>
      <w:u w:val="non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2" w:right="0" w:hanging="1152"/>
      <w:jc w:val="both"/>
    </w:pPr>
    <w:rPr>
      <w:rFonts w:ascii="Arial" w:cs="Arial" w:eastAsia="Arial" w:hAnsi="Arial"/>
      <w:b w:val="1"/>
      <w:i w:val="0"/>
      <w:smallCaps w:val="0"/>
      <w:strike w:val="0"/>
      <w:color w:val="000000"/>
      <w:sz w:val="23"/>
      <w:szCs w:val="23"/>
      <w:u w:val="none"/>
      <w:shd w:fill="auto" w:val="clear"/>
      <w:vertAlign w:val="baseline"/>
    </w:rPr>
  </w:style>
  <w:style w:type="paragraph" w:styleId="Title">
    <w:name w:val="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a"/>
      <w:sz w:val="72"/>
      <w:szCs w:val="72"/>
      <w:u w:val="none"/>
      <w:shd w:fill="auto" w:val="clear"/>
      <w:vertAlign w:val="baseline"/>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qFormat w:val="1"/>
    <w:rPr/>
  </w:style>
  <w:style w:type="character" w:styleId="TextodebaloChar" w:customStyle="1">
    <w:name w:val="Texto de balão Char"/>
    <w:basedOn w:val="DefaultParagraphFont"/>
    <w:link w:val="Textodebalo"/>
    <w:uiPriority w:val="99"/>
    <w:semiHidden w:val="1"/>
    <w:qFormat w:val="1"/>
    <w:rsid w:val="00C666DB"/>
    <w:rPr>
      <w:rFonts w:ascii="Tahoma" w:cs="Tahoma" w:hAnsi="Tahoma"/>
      <w:sz w:val="16"/>
      <w:szCs w:val="16"/>
    </w:rPr>
  </w:style>
  <w:style w:type="character" w:styleId="ListLabel1">
    <w:name w:val="ListLabel 1"/>
    <w:qFormat w:val="1"/>
    <w:rPr>
      <w:rFonts w:ascii="Arial" w:hAnsi="Arial"/>
      <w:sz w:val="22"/>
      <w:u w:val="none"/>
    </w:rPr>
  </w:style>
  <w:style w:type="character" w:styleId="ListLabel2">
    <w:name w:val="ListLabel 2"/>
    <w:qFormat w:val="1"/>
    <w:rPr>
      <w:u w:val="none"/>
    </w:rPr>
  </w:style>
  <w:style w:type="character" w:styleId="ListLabel3">
    <w:name w:val="ListLabel 3"/>
    <w:qFormat w:val="1"/>
    <w:rPr>
      <w:u w:val="none"/>
    </w:rPr>
  </w:style>
  <w:style w:type="character" w:styleId="ListLabel4">
    <w:name w:val="ListLabel 4"/>
    <w:qFormat w:val="1"/>
    <w:rPr>
      <w:u w:val="none"/>
    </w:rPr>
  </w:style>
  <w:style w:type="character" w:styleId="ListLabel5">
    <w:name w:val="ListLabel 5"/>
    <w:qFormat w:val="1"/>
    <w:rPr>
      <w:u w:val="none"/>
    </w:rPr>
  </w:style>
  <w:style w:type="character" w:styleId="ListLabel6">
    <w:name w:val="ListLabel 6"/>
    <w:qFormat w:val="1"/>
    <w:rPr>
      <w:u w:val="none"/>
    </w:rPr>
  </w:style>
  <w:style w:type="character" w:styleId="ListLabel7">
    <w:name w:val="ListLabel 7"/>
    <w:qFormat w:val="1"/>
    <w:rPr>
      <w:u w:val="none"/>
    </w:rPr>
  </w:style>
  <w:style w:type="character" w:styleId="ListLabel8">
    <w:name w:val="ListLabel 8"/>
    <w:qFormat w:val="1"/>
    <w:rPr>
      <w:u w:val="none"/>
    </w:rPr>
  </w:style>
  <w:style w:type="character" w:styleId="ListLabel9">
    <w:name w:val="ListLabel 9"/>
    <w:qFormat w:val="1"/>
    <w:rPr>
      <w:u w:val="none"/>
    </w:rPr>
  </w:style>
  <w:style w:type="character" w:styleId="ListLabel10">
    <w:name w:val="ListLabel 10"/>
    <w:qFormat w:val="1"/>
    <w:rPr>
      <w:rFonts w:ascii="Arial" w:hAnsi="Arial"/>
      <w:sz w:val="22"/>
      <w:u w:val="none"/>
    </w:rPr>
  </w:style>
  <w:style w:type="character" w:styleId="ListLabel11">
    <w:name w:val="ListLabel 11"/>
    <w:qFormat w:val="1"/>
    <w:rPr>
      <w:u w:val="none"/>
    </w:rPr>
  </w:style>
  <w:style w:type="character" w:styleId="ListLabel12">
    <w:name w:val="ListLabel 12"/>
    <w:qFormat w:val="1"/>
    <w:rPr>
      <w:u w:val="none"/>
    </w:rPr>
  </w:style>
  <w:style w:type="character" w:styleId="ListLabel13">
    <w:name w:val="ListLabel 13"/>
    <w:qFormat w:val="1"/>
    <w:rPr>
      <w:u w:val="none"/>
    </w:rPr>
  </w:style>
  <w:style w:type="character" w:styleId="ListLabel14">
    <w:name w:val="ListLabel 14"/>
    <w:qFormat w:val="1"/>
    <w:rPr>
      <w:u w:val="none"/>
    </w:rPr>
  </w:style>
  <w:style w:type="character" w:styleId="ListLabel15">
    <w:name w:val="ListLabel 15"/>
    <w:qFormat w:val="1"/>
    <w:rPr>
      <w:u w:val="none"/>
    </w:rPr>
  </w:style>
  <w:style w:type="character" w:styleId="ListLabel16">
    <w:name w:val="ListLabel 16"/>
    <w:qFormat w:val="1"/>
    <w:rPr>
      <w:u w:val="none"/>
    </w:rPr>
  </w:style>
  <w:style w:type="character" w:styleId="ListLabel17">
    <w:name w:val="ListLabel 17"/>
    <w:qFormat w:val="1"/>
    <w:rPr>
      <w:u w:val="none"/>
    </w:rPr>
  </w:style>
  <w:style w:type="character" w:styleId="ListLabel18">
    <w:name w:val="ListLabel 18"/>
    <w:qFormat w:val="1"/>
    <w:rPr>
      <w:u w:val="none"/>
    </w:rPr>
  </w:style>
  <w:style w:type="character" w:styleId="ListLabel19">
    <w:name w:val="ListLabel 19"/>
    <w:qFormat w:val="1"/>
    <w:rPr>
      <w:rFonts w:ascii="Arial" w:hAnsi="Arial"/>
      <w:sz w:val="22"/>
      <w:u w:val="none"/>
    </w:rPr>
  </w:style>
  <w:style w:type="character" w:styleId="ListLabel20">
    <w:name w:val="ListLabel 20"/>
    <w:qFormat w:val="1"/>
    <w:rPr>
      <w:u w:val="none"/>
    </w:rPr>
  </w:style>
  <w:style w:type="character" w:styleId="ListLabel21">
    <w:name w:val="ListLabel 21"/>
    <w:qFormat w:val="1"/>
    <w:rPr>
      <w:u w:val="none"/>
    </w:rPr>
  </w:style>
  <w:style w:type="character" w:styleId="ListLabel22">
    <w:name w:val="ListLabel 22"/>
    <w:qFormat w:val="1"/>
    <w:rPr>
      <w:u w:val="none"/>
    </w:rPr>
  </w:style>
  <w:style w:type="character" w:styleId="ListLabel23">
    <w:name w:val="ListLabel 23"/>
    <w:qFormat w:val="1"/>
    <w:rPr>
      <w:u w:val="none"/>
    </w:rPr>
  </w:style>
  <w:style w:type="character" w:styleId="ListLabel24">
    <w:name w:val="ListLabel 24"/>
    <w:qFormat w:val="1"/>
    <w:rPr>
      <w:u w:val="none"/>
    </w:rPr>
  </w:style>
  <w:style w:type="character" w:styleId="ListLabel25">
    <w:name w:val="ListLabel 25"/>
    <w:qFormat w:val="1"/>
    <w:rPr>
      <w:u w:val="none"/>
    </w:rPr>
  </w:style>
  <w:style w:type="character" w:styleId="ListLabel26">
    <w:name w:val="ListLabel 26"/>
    <w:qFormat w:val="1"/>
    <w:rPr>
      <w:u w:val="none"/>
    </w:rPr>
  </w:style>
  <w:style w:type="character" w:styleId="ListLabel27">
    <w:name w:val="ListLabel 27"/>
    <w:qFormat w:val="1"/>
    <w:rPr>
      <w:u w:val="none"/>
    </w:rPr>
  </w:style>
  <w:style w:type="character" w:styleId="ListLabel28">
    <w:name w:val="ListLabel 28"/>
    <w:qFormat w:val="1"/>
    <w:rPr>
      <w:rFonts w:ascii="Arial" w:cs="Arial" w:eastAsia="Arial" w:hAnsi="Arial"/>
      <w:sz w:val="22"/>
      <w:szCs w:val="22"/>
      <w:u w:val="single"/>
    </w:rPr>
  </w:style>
  <w:style w:type="character" w:styleId="LinkdaInternet">
    <w:name w:val="Link da Internet"/>
    <w:rPr>
      <w:color w:val="000080"/>
      <w:u w:val="single"/>
      <w:lang w:bidi="zxx" w:eastAsia="zxx" w:val="zxx"/>
    </w:rPr>
  </w:style>
  <w:style w:type="character" w:styleId="ListLabel29">
    <w:name w:val="ListLabel 29"/>
    <w:qFormat w:val="1"/>
    <w:rPr>
      <w:rFonts w:ascii="Arial" w:cs="Arial" w:eastAsia="Arial" w:hAnsi="Arial"/>
      <w:sz w:val="22"/>
      <w:szCs w:val="22"/>
    </w:rPr>
  </w:style>
  <w:style w:type="character" w:styleId="ListLabel30">
    <w:name w:val="ListLabel 30"/>
    <w:qFormat w:val="1"/>
    <w:rPr>
      <w:rFonts w:ascii="Arial" w:cs="Arial" w:eastAsia="Arial" w:hAnsi="Arial"/>
      <w:sz w:val="22"/>
      <w:szCs w:val="22"/>
      <w:highlight w:val="white"/>
    </w:rPr>
  </w:style>
  <w:style w:type="character" w:styleId="ListLabel31">
    <w:name w:val="ListLabel 31"/>
    <w:qFormat w:val="1"/>
    <w:rPr>
      <w:rFonts w:ascii="Arial" w:cs="Arial" w:eastAsia="Arial" w:hAnsi="Arial"/>
      <w:i w:val="1"/>
    </w:rPr>
  </w:style>
  <w:style w:type="character" w:styleId="ListLabel32">
    <w:name w:val="ListLabel 32"/>
    <w:qFormat w:val="1"/>
    <w:rPr>
      <w:rFonts w:ascii="Arial" w:cs="Wingdings" w:hAnsi="Arial"/>
      <w:sz w:val="22"/>
      <w:u w:val="none"/>
    </w:rPr>
  </w:style>
  <w:style w:type="character" w:styleId="ListLabel33">
    <w:name w:val="ListLabel 33"/>
    <w:qFormat w:val="1"/>
    <w:rPr>
      <w:rFonts w:cs="Wingdings 2"/>
      <w:u w:val="none"/>
    </w:rPr>
  </w:style>
  <w:style w:type="character" w:styleId="ListLabel34">
    <w:name w:val="ListLabel 34"/>
    <w:qFormat w:val="1"/>
    <w:rPr>
      <w:rFonts w:cs="OpenSymbol"/>
      <w:u w:val="none"/>
    </w:rPr>
  </w:style>
  <w:style w:type="character" w:styleId="ListLabel35">
    <w:name w:val="ListLabel 35"/>
    <w:qFormat w:val="1"/>
    <w:rPr>
      <w:rFonts w:cs="Wingdings"/>
      <w:u w:val="none"/>
    </w:rPr>
  </w:style>
  <w:style w:type="character" w:styleId="ListLabel36">
    <w:name w:val="ListLabel 36"/>
    <w:qFormat w:val="1"/>
    <w:rPr>
      <w:rFonts w:cs="Wingdings 2"/>
      <w:u w:val="none"/>
    </w:rPr>
  </w:style>
  <w:style w:type="character" w:styleId="ListLabel37">
    <w:name w:val="ListLabel 37"/>
    <w:qFormat w:val="1"/>
    <w:rPr>
      <w:rFonts w:cs="OpenSymbol"/>
      <w:u w:val="none"/>
    </w:rPr>
  </w:style>
  <w:style w:type="character" w:styleId="ListLabel38">
    <w:name w:val="ListLabel 38"/>
    <w:qFormat w:val="1"/>
    <w:rPr>
      <w:rFonts w:cs="Wingdings"/>
      <w:u w:val="none"/>
    </w:rPr>
  </w:style>
  <w:style w:type="character" w:styleId="ListLabel39">
    <w:name w:val="ListLabel 39"/>
    <w:qFormat w:val="1"/>
    <w:rPr>
      <w:rFonts w:cs="Wingdings 2"/>
      <w:u w:val="none"/>
    </w:rPr>
  </w:style>
  <w:style w:type="character" w:styleId="ListLabel40">
    <w:name w:val="ListLabel 40"/>
    <w:qFormat w:val="1"/>
    <w:rPr>
      <w:rFonts w:cs="OpenSymbol"/>
      <w:u w:val="none"/>
    </w:rPr>
  </w:style>
  <w:style w:type="character" w:styleId="ListLabel41">
    <w:name w:val="ListLabel 41"/>
    <w:qFormat w:val="1"/>
    <w:rPr>
      <w:rFonts w:ascii="Arial" w:cs="Wingdings" w:hAnsi="Arial"/>
      <w:sz w:val="22"/>
      <w:u w:val="none"/>
    </w:rPr>
  </w:style>
  <w:style w:type="character" w:styleId="ListLabel42">
    <w:name w:val="ListLabel 42"/>
    <w:qFormat w:val="1"/>
    <w:rPr>
      <w:rFonts w:cs="Wingdings 2"/>
      <w:u w:val="none"/>
    </w:rPr>
  </w:style>
  <w:style w:type="character" w:styleId="ListLabel43">
    <w:name w:val="ListLabel 43"/>
    <w:qFormat w:val="1"/>
    <w:rPr>
      <w:rFonts w:cs="OpenSymbol"/>
      <w:u w:val="none"/>
    </w:rPr>
  </w:style>
  <w:style w:type="character" w:styleId="ListLabel44">
    <w:name w:val="ListLabel 44"/>
    <w:qFormat w:val="1"/>
    <w:rPr>
      <w:rFonts w:cs="Wingdings"/>
      <w:u w:val="none"/>
    </w:rPr>
  </w:style>
  <w:style w:type="character" w:styleId="ListLabel45">
    <w:name w:val="ListLabel 45"/>
    <w:qFormat w:val="1"/>
    <w:rPr>
      <w:rFonts w:cs="Wingdings 2"/>
      <w:u w:val="none"/>
    </w:rPr>
  </w:style>
  <w:style w:type="character" w:styleId="ListLabel46">
    <w:name w:val="ListLabel 46"/>
    <w:qFormat w:val="1"/>
    <w:rPr>
      <w:rFonts w:cs="OpenSymbol"/>
      <w:u w:val="none"/>
    </w:rPr>
  </w:style>
  <w:style w:type="character" w:styleId="ListLabel47">
    <w:name w:val="ListLabel 47"/>
    <w:qFormat w:val="1"/>
    <w:rPr>
      <w:rFonts w:cs="Wingdings"/>
      <w:u w:val="none"/>
    </w:rPr>
  </w:style>
  <w:style w:type="character" w:styleId="ListLabel48">
    <w:name w:val="ListLabel 48"/>
    <w:qFormat w:val="1"/>
    <w:rPr>
      <w:rFonts w:cs="Wingdings 2"/>
      <w:u w:val="none"/>
    </w:rPr>
  </w:style>
  <w:style w:type="character" w:styleId="ListLabel49">
    <w:name w:val="ListLabel 49"/>
    <w:qFormat w:val="1"/>
    <w:rPr>
      <w:rFonts w:cs="OpenSymbol"/>
      <w:u w:val="none"/>
    </w:rPr>
  </w:style>
  <w:style w:type="character" w:styleId="ListLabel50">
    <w:name w:val="ListLabel 50"/>
    <w:qFormat w:val="1"/>
    <w:rPr>
      <w:rFonts w:ascii="Arial" w:cs="Wingdings" w:hAnsi="Arial"/>
      <w:sz w:val="22"/>
      <w:u w:val="none"/>
    </w:rPr>
  </w:style>
  <w:style w:type="character" w:styleId="ListLabel51">
    <w:name w:val="ListLabel 51"/>
    <w:qFormat w:val="1"/>
    <w:rPr>
      <w:rFonts w:cs="Wingdings 2"/>
      <w:u w:val="none"/>
    </w:rPr>
  </w:style>
  <w:style w:type="character" w:styleId="ListLabel52">
    <w:name w:val="ListLabel 52"/>
    <w:qFormat w:val="1"/>
    <w:rPr>
      <w:rFonts w:cs="OpenSymbol"/>
      <w:u w:val="none"/>
    </w:rPr>
  </w:style>
  <w:style w:type="character" w:styleId="ListLabel53">
    <w:name w:val="ListLabel 53"/>
    <w:qFormat w:val="1"/>
    <w:rPr>
      <w:rFonts w:cs="Wingdings"/>
      <w:u w:val="none"/>
    </w:rPr>
  </w:style>
  <w:style w:type="character" w:styleId="ListLabel54">
    <w:name w:val="ListLabel 54"/>
    <w:qFormat w:val="1"/>
    <w:rPr>
      <w:rFonts w:cs="Wingdings 2"/>
      <w:u w:val="none"/>
    </w:rPr>
  </w:style>
  <w:style w:type="character" w:styleId="ListLabel55">
    <w:name w:val="ListLabel 55"/>
    <w:qFormat w:val="1"/>
    <w:rPr>
      <w:rFonts w:cs="OpenSymbol"/>
      <w:u w:val="none"/>
    </w:rPr>
  </w:style>
  <w:style w:type="character" w:styleId="ListLabel56">
    <w:name w:val="ListLabel 56"/>
    <w:qFormat w:val="1"/>
    <w:rPr>
      <w:rFonts w:cs="Wingdings"/>
      <w:u w:val="none"/>
    </w:rPr>
  </w:style>
  <w:style w:type="character" w:styleId="ListLabel57">
    <w:name w:val="ListLabel 57"/>
    <w:qFormat w:val="1"/>
    <w:rPr>
      <w:rFonts w:cs="Wingdings 2"/>
      <w:u w:val="none"/>
    </w:rPr>
  </w:style>
  <w:style w:type="character" w:styleId="ListLabel58">
    <w:name w:val="ListLabel 58"/>
    <w:qFormat w:val="1"/>
    <w:rPr>
      <w:rFonts w:cs="OpenSymbol"/>
      <w:u w:val="none"/>
    </w:rPr>
  </w:style>
  <w:style w:type="character" w:styleId="ListLabel59">
    <w:name w:val="ListLabel 59"/>
    <w:qFormat w:val="1"/>
    <w:rPr>
      <w:rFonts w:ascii="Arial" w:cs="Arial" w:eastAsia="Arial" w:hAnsi="Arial"/>
      <w:sz w:val="22"/>
      <w:szCs w:val="22"/>
      <w:u w:val="single"/>
    </w:rPr>
  </w:style>
  <w:style w:type="character" w:styleId="ListLabel60">
    <w:name w:val="ListLabel 60"/>
    <w:qFormat w:val="1"/>
    <w:rPr>
      <w:rFonts w:ascii="Arial" w:cs="Arial" w:eastAsia="Arial" w:hAnsi="Arial"/>
      <w:sz w:val="22"/>
      <w:szCs w:val="22"/>
    </w:rPr>
  </w:style>
  <w:style w:type="character" w:styleId="ListLabel61">
    <w:name w:val="ListLabel 61"/>
    <w:qFormat w:val="1"/>
    <w:rPr>
      <w:rFonts w:ascii="Arial" w:cs="Arial" w:eastAsia="Arial" w:hAnsi="Arial"/>
      <w:sz w:val="22"/>
      <w:szCs w:val="22"/>
      <w:highlight w:val="white"/>
    </w:rPr>
  </w:style>
  <w:style w:type="character" w:styleId="ListLabel62">
    <w:name w:val="ListLabel 62"/>
    <w:qFormat w:val="1"/>
    <w:rPr>
      <w:rFonts w:ascii="Arial" w:cs="Arial" w:eastAsia="Arial" w:hAnsi="Arial"/>
      <w:sz w:val="20"/>
      <w:szCs w:val="20"/>
    </w:rPr>
  </w:style>
  <w:style w:type="character" w:styleId="ListLabel63">
    <w:name w:val="ListLabel 63"/>
    <w:qFormat w:val="1"/>
    <w:rPr>
      <w:rFonts w:ascii="Arial" w:cs="Arial" w:eastAsia="Arial" w:hAnsi="Arial"/>
      <w:i w:val="1"/>
      <w:sz w:val="20"/>
      <w:szCs w:val="20"/>
    </w:rPr>
  </w:style>
  <w:style w:type="character" w:styleId="ListLabel64">
    <w:name w:val="ListLabel 64"/>
    <w:qFormat w:val="1"/>
    <w:rPr>
      <w:rFonts w:ascii="Arial" w:cs="Wingdings" w:hAnsi="Arial"/>
      <w:sz w:val="22"/>
      <w:u w:val="none"/>
    </w:rPr>
  </w:style>
  <w:style w:type="character" w:styleId="ListLabel65">
    <w:name w:val="ListLabel 65"/>
    <w:qFormat w:val="1"/>
    <w:rPr>
      <w:rFonts w:cs="Wingdings 2"/>
      <w:u w:val="none"/>
    </w:rPr>
  </w:style>
  <w:style w:type="character" w:styleId="ListLabel66">
    <w:name w:val="ListLabel 66"/>
    <w:qFormat w:val="1"/>
    <w:rPr>
      <w:rFonts w:cs="OpenSymbol"/>
      <w:u w:val="none"/>
    </w:rPr>
  </w:style>
  <w:style w:type="character" w:styleId="ListLabel67">
    <w:name w:val="ListLabel 67"/>
    <w:qFormat w:val="1"/>
    <w:rPr>
      <w:rFonts w:cs="Wingdings"/>
      <w:u w:val="none"/>
    </w:rPr>
  </w:style>
  <w:style w:type="character" w:styleId="ListLabel68">
    <w:name w:val="ListLabel 68"/>
    <w:qFormat w:val="1"/>
    <w:rPr>
      <w:rFonts w:cs="Wingdings 2"/>
      <w:u w:val="none"/>
    </w:rPr>
  </w:style>
  <w:style w:type="character" w:styleId="ListLabel69">
    <w:name w:val="ListLabel 69"/>
    <w:qFormat w:val="1"/>
    <w:rPr>
      <w:rFonts w:cs="OpenSymbol"/>
      <w:u w:val="none"/>
    </w:rPr>
  </w:style>
  <w:style w:type="character" w:styleId="ListLabel70">
    <w:name w:val="ListLabel 70"/>
    <w:qFormat w:val="1"/>
    <w:rPr>
      <w:rFonts w:cs="Wingdings"/>
      <w:u w:val="none"/>
    </w:rPr>
  </w:style>
  <w:style w:type="character" w:styleId="ListLabel71">
    <w:name w:val="ListLabel 71"/>
    <w:qFormat w:val="1"/>
    <w:rPr>
      <w:rFonts w:cs="Wingdings 2"/>
      <w:u w:val="none"/>
    </w:rPr>
  </w:style>
  <w:style w:type="character" w:styleId="ListLabel72">
    <w:name w:val="ListLabel 72"/>
    <w:qFormat w:val="1"/>
    <w:rPr>
      <w:rFonts w:cs="OpenSymbol"/>
      <w:u w:val="none"/>
    </w:rPr>
  </w:style>
  <w:style w:type="character" w:styleId="ListLabel73">
    <w:name w:val="ListLabel 73"/>
    <w:qFormat w:val="1"/>
    <w:rPr>
      <w:rFonts w:ascii="Arial" w:cs="Wingdings" w:hAnsi="Arial"/>
      <w:sz w:val="22"/>
      <w:u w:val="none"/>
    </w:rPr>
  </w:style>
  <w:style w:type="character" w:styleId="ListLabel74">
    <w:name w:val="ListLabel 74"/>
    <w:qFormat w:val="1"/>
    <w:rPr>
      <w:rFonts w:cs="Wingdings 2"/>
      <w:u w:val="none"/>
    </w:rPr>
  </w:style>
  <w:style w:type="character" w:styleId="ListLabel75">
    <w:name w:val="ListLabel 75"/>
    <w:qFormat w:val="1"/>
    <w:rPr>
      <w:rFonts w:cs="OpenSymbol"/>
      <w:u w:val="none"/>
    </w:rPr>
  </w:style>
  <w:style w:type="character" w:styleId="ListLabel76">
    <w:name w:val="ListLabel 76"/>
    <w:qFormat w:val="1"/>
    <w:rPr>
      <w:rFonts w:cs="Wingdings"/>
      <w:u w:val="none"/>
    </w:rPr>
  </w:style>
  <w:style w:type="character" w:styleId="ListLabel77">
    <w:name w:val="ListLabel 77"/>
    <w:qFormat w:val="1"/>
    <w:rPr>
      <w:rFonts w:cs="Wingdings 2"/>
      <w:u w:val="none"/>
    </w:rPr>
  </w:style>
  <w:style w:type="character" w:styleId="ListLabel78">
    <w:name w:val="ListLabel 78"/>
    <w:qFormat w:val="1"/>
    <w:rPr>
      <w:rFonts w:cs="OpenSymbol"/>
      <w:u w:val="none"/>
    </w:rPr>
  </w:style>
  <w:style w:type="character" w:styleId="ListLabel79">
    <w:name w:val="ListLabel 79"/>
    <w:qFormat w:val="1"/>
    <w:rPr>
      <w:rFonts w:cs="Wingdings"/>
      <w:u w:val="none"/>
    </w:rPr>
  </w:style>
  <w:style w:type="character" w:styleId="ListLabel80">
    <w:name w:val="ListLabel 80"/>
    <w:qFormat w:val="1"/>
    <w:rPr>
      <w:rFonts w:cs="Wingdings 2"/>
      <w:u w:val="none"/>
    </w:rPr>
  </w:style>
  <w:style w:type="character" w:styleId="ListLabel81">
    <w:name w:val="ListLabel 81"/>
    <w:qFormat w:val="1"/>
    <w:rPr>
      <w:rFonts w:cs="OpenSymbol"/>
      <w:u w:val="none"/>
    </w:rPr>
  </w:style>
  <w:style w:type="character" w:styleId="ListLabel82">
    <w:name w:val="ListLabel 82"/>
    <w:qFormat w:val="1"/>
    <w:rPr>
      <w:rFonts w:ascii="Arial" w:cs="Wingdings" w:hAnsi="Arial"/>
      <w:sz w:val="22"/>
      <w:u w:val="none"/>
    </w:rPr>
  </w:style>
  <w:style w:type="character" w:styleId="ListLabel83">
    <w:name w:val="ListLabel 83"/>
    <w:qFormat w:val="1"/>
    <w:rPr>
      <w:rFonts w:cs="Wingdings 2"/>
      <w:u w:val="none"/>
    </w:rPr>
  </w:style>
  <w:style w:type="character" w:styleId="ListLabel84">
    <w:name w:val="ListLabel 84"/>
    <w:qFormat w:val="1"/>
    <w:rPr>
      <w:rFonts w:cs="OpenSymbol"/>
      <w:u w:val="none"/>
    </w:rPr>
  </w:style>
  <w:style w:type="character" w:styleId="ListLabel85">
    <w:name w:val="ListLabel 85"/>
    <w:qFormat w:val="1"/>
    <w:rPr>
      <w:rFonts w:cs="Wingdings"/>
      <w:u w:val="none"/>
    </w:rPr>
  </w:style>
  <w:style w:type="character" w:styleId="ListLabel86">
    <w:name w:val="ListLabel 86"/>
    <w:qFormat w:val="1"/>
    <w:rPr>
      <w:rFonts w:cs="Wingdings 2"/>
      <w:u w:val="none"/>
    </w:rPr>
  </w:style>
  <w:style w:type="character" w:styleId="ListLabel87">
    <w:name w:val="ListLabel 87"/>
    <w:qFormat w:val="1"/>
    <w:rPr>
      <w:rFonts w:cs="OpenSymbol"/>
      <w:u w:val="none"/>
    </w:rPr>
  </w:style>
  <w:style w:type="character" w:styleId="ListLabel88">
    <w:name w:val="ListLabel 88"/>
    <w:qFormat w:val="1"/>
    <w:rPr>
      <w:rFonts w:cs="Wingdings"/>
      <w:u w:val="none"/>
    </w:rPr>
  </w:style>
  <w:style w:type="character" w:styleId="ListLabel89">
    <w:name w:val="ListLabel 89"/>
    <w:qFormat w:val="1"/>
    <w:rPr>
      <w:rFonts w:cs="Wingdings 2"/>
      <w:u w:val="none"/>
    </w:rPr>
  </w:style>
  <w:style w:type="character" w:styleId="ListLabel90">
    <w:name w:val="ListLabel 90"/>
    <w:qFormat w:val="1"/>
    <w:rPr>
      <w:rFonts w:cs="OpenSymbol"/>
      <w:u w:val="none"/>
    </w:rPr>
  </w:style>
  <w:style w:type="character" w:styleId="ListLabel91">
    <w:name w:val="ListLabel 91"/>
    <w:qFormat w:val="1"/>
    <w:rPr>
      <w:rFonts w:ascii="Arial" w:cs="Arial" w:eastAsia="Arial" w:hAnsi="Arial"/>
      <w:sz w:val="22"/>
      <w:szCs w:val="22"/>
      <w:u w:val="single"/>
    </w:rPr>
  </w:style>
  <w:style w:type="character" w:styleId="ListLabel92">
    <w:name w:val="ListLabel 92"/>
    <w:qFormat w:val="1"/>
    <w:rPr>
      <w:rFonts w:ascii="Arial" w:cs="Arial" w:eastAsia="Arial" w:hAnsi="Arial"/>
      <w:sz w:val="22"/>
      <w:szCs w:val="22"/>
    </w:rPr>
  </w:style>
  <w:style w:type="character" w:styleId="ListLabel93">
    <w:name w:val="ListLabel 93"/>
    <w:qFormat w:val="1"/>
    <w:rPr>
      <w:rFonts w:ascii="Arial" w:cs="Arial" w:eastAsia="Arial" w:hAnsi="Arial"/>
      <w:sz w:val="22"/>
      <w:szCs w:val="22"/>
      <w:highlight w:val="white"/>
    </w:rPr>
  </w:style>
  <w:style w:type="character" w:styleId="ListLabel94">
    <w:name w:val="ListLabel 94"/>
    <w:qFormat w:val="1"/>
    <w:rPr>
      <w:rFonts w:ascii="Arial" w:cs="Arial" w:eastAsia="Arial" w:hAnsi="Arial"/>
      <w:i w:val="1"/>
      <w:sz w:val="22"/>
      <w:szCs w:val="22"/>
    </w:rPr>
  </w:style>
  <w:style w:type="character" w:styleId="ListLabel95">
    <w:name w:val="ListLabel 95"/>
    <w:qFormat w:val="1"/>
    <w:rPr>
      <w:rFonts w:ascii="Arial" w:cs="Wingdings" w:hAnsi="Arial"/>
      <w:sz w:val="22"/>
      <w:u w:val="none"/>
    </w:rPr>
  </w:style>
  <w:style w:type="character" w:styleId="ListLabel96">
    <w:name w:val="ListLabel 96"/>
    <w:qFormat w:val="1"/>
    <w:rPr>
      <w:rFonts w:cs="Wingdings 2"/>
      <w:u w:val="none"/>
    </w:rPr>
  </w:style>
  <w:style w:type="character" w:styleId="ListLabel97">
    <w:name w:val="ListLabel 97"/>
    <w:qFormat w:val="1"/>
    <w:rPr>
      <w:rFonts w:cs="OpenSymbol"/>
      <w:u w:val="none"/>
    </w:rPr>
  </w:style>
  <w:style w:type="character" w:styleId="ListLabel98">
    <w:name w:val="ListLabel 98"/>
    <w:qFormat w:val="1"/>
    <w:rPr>
      <w:rFonts w:cs="Wingdings"/>
      <w:u w:val="none"/>
    </w:rPr>
  </w:style>
  <w:style w:type="character" w:styleId="ListLabel99">
    <w:name w:val="ListLabel 99"/>
    <w:qFormat w:val="1"/>
    <w:rPr>
      <w:rFonts w:cs="Wingdings 2"/>
      <w:u w:val="none"/>
    </w:rPr>
  </w:style>
  <w:style w:type="character" w:styleId="ListLabel100">
    <w:name w:val="ListLabel 100"/>
    <w:qFormat w:val="1"/>
    <w:rPr>
      <w:rFonts w:cs="OpenSymbol"/>
      <w:u w:val="none"/>
    </w:rPr>
  </w:style>
  <w:style w:type="character" w:styleId="ListLabel101">
    <w:name w:val="ListLabel 101"/>
    <w:qFormat w:val="1"/>
    <w:rPr>
      <w:rFonts w:cs="Wingdings"/>
      <w:u w:val="none"/>
    </w:rPr>
  </w:style>
  <w:style w:type="character" w:styleId="ListLabel102">
    <w:name w:val="ListLabel 102"/>
    <w:qFormat w:val="1"/>
    <w:rPr>
      <w:rFonts w:cs="Wingdings 2"/>
      <w:u w:val="none"/>
    </w:rPr>
  </w:style>
  <w:style w:type="character" w:styleId="ListLabel103">
    <w:name w:val="ListLabel 103"/>
    <w:qFormat w:val="1"/>
    <w:rPr>
      <w:rFonts w:cs="OpenSymbol"/>
      <w:u w:val="none"/>
    </w:rPr>
  </w:style>
  <w:style w:type="character" w:styleId="ListLabel104">
    <w:name w:val="ListLabel 104"/>
    <w:qFormat w:val="1"/>
    <w:rPr>
      <w:rFonts w:ascii="Arial" w:cs="Wingdings" w:hAnsi="Arial"/>
      <w:sz w:val="22"/>
      <w:u w:val="none"/>
    </w:rPr>
  </w:style>
  <w:style w:type="character" w:styleId="ListLabel105">
    <w:name w:val="ListLabel 105"/>
    <w:qFormat w:val="1"/>
    <w:rPr>
      <w:rFonts w:cs="Wingdings 2"/>
      <w:u w:val="none"/>
    </w:rPr>
  </w:style>
  <w:style w:type="character" w:styleId="ListLabel106">
    <w:name w:val="ListLabel 106"/>
    <w:qFormat w:val="1"/>
    <w:rPr>
      <w:rFonts w:cs="OpenSymbol"/>
      <w:u w:val="none"/>
    </w:rPr>
  </w:style>
  <w:style w:type="character" w:styleId="ListLabel107">
    <w:name w:val="ListLabel 107"/>
    <w:qFormat w:val="1"/>
    <w:rPr>
      <w:rFonts w:cs="Wingdings"/>
      <w:u w:val="none"/>
    </w:rPr>
  </w:style>
  <w:style w:type="character" w:styleId="ListLabel108">
    <w:name w:val="ListLabel 108"/>
    <w:qFormat w:val="1"/>
    <w:rPr>
      <w:rFonts w:cs="Wingdings 2"/>
      <w:u w:val="none"/>
    </w:rPr>
  </w:style>
  <w:style w:type="character" w:styleId="ListLabel109">
    <w:name w:val="ListLabel 109"/>
    <w:qFormat w:val="1"/>
    <w:rPr>
      <w:rFonts w:cs="OpenSymbol"/>
      <w:u w:val="none"/>
    </w:rPr>
  </w:style>
  <w:style w:type="character" w:styleId="ListLabel110">
    <w:name w:val="ListLabel 110"/>
    <w:qFormat w:val="1"/>
    <w:rPr>
      <w:rFonts w:cs="Wingdings"/>
      <w:u w:val="none"/>
    </w:rPr>
  </w:style>
  <w:style w:type="character" w:styleId="ListLabel111">
    <w:name w:val="ListLabel 111"/>
    <w:qFormat w:val="1"/>
    <w:rPr>
      <w:rFonts w:cs="Wingdings 2"/>
      <w:u w:val="none"/>
    </w:rPr>
  </w:style>
  <w:style w:type="character" w:styleId="ListLabel112">
    <w:name w:val="ListLabel 112"/>
    <w:qFormat w:val="1"/>
    <w:rPr>
      <w:rFonts w:cs="OpenSymbol"/>
      <w:u w:val="none"/>
    </w:rPr>
  </w:style>
  <w:style w:type="character" w:styleId="ListLabel113">
    <w:name w:val="ListLabel 113"/>
    <w:qFormat w:val="1"/>
    <w:rPr>
      <w:rFonts w:ascii="Arial" w:cs="Wingdings" w:hAnsi="Arial"/>
      <w:sz w:val="22"/>
      <w:u w:val="none"/>
    </w:rPr>
  </w:style>
  <w:style w:type="character" w:styleId="ListLabel114">
    <w:name w:val="ListLabel 114"/>
    <w:qFormat w:val="1"/>
    <w:rPr>
      <w:rFonts w:cs="Wingdings 2"/>
      <w:u w:val="none"/>
    </w:rPr>
  </w:style>
  <w:style w:type="character" w:styleId="ListLabel115">
    <w:name w:val="ListLabel 115"/>
    <w:qFormat w:val="1"/>
    <w:rPr>
      <w:rFonts w:cs="OpenSymbol"/>
      <w:u w:val="none"/>
    </w:rPr>
  </w:style>
  <w:style w:type="character" w:styleId="ListLabel116">
    <w:name w:val="ListLabel 116"/>
    <w:qFormat w:val="1"/>
    <w:rPr>
      <w:rFonts w:cs="Wingdings"/>
      <w:u w:val="none"/>
    </w:rPr>
  </w:style>
  <w:style w:type="character" w:styleId="ListLabel117">
    <w:name w:val="ListLabel 117"/>
    <w:qFormat w:val="1"/>
    <w:rPr>
      <w:rFonts w:cs="Wingdings 2"/>
      <w:u w:val="none"/>
    </w:rPr>
  </w:style>
  <w:style w:type="character" w:styleId="ListLabel118">
    <w:name w:val="ListLabel 118"/>
    <w:qFormat w:val="1"/>
    <w:rPr>
      <w:rFonts w:cs="OpenSymbol"/>
      <w:u w:val="none"/>
    </w:rPr>
  </w:style>
  <w:style w:type="character" w:styleId="ListLabel119">
    <w:name w:val="ListLabel 119"/>
    <w:qFormat w:val="1"/>
    <w:rPr>
      <w:rFonts w:cs="Wingdings"/>
      <w:u w:val="none"/>
    </w:rPr>
  </w:style>
  <w:style w:type="character" w:styleId="ListLabel120">
    <w:name w:val="ListLabel 120"/>
    <w:qFormat w:val="1"/>
    <w:rPr>
      <w:rFonts w:cs="Wingdings 2"/>
      <w:u w:val="none"/>
    </w:rPr>
  </w:style>
  <w:style w:type="character" w:styleId="ListLabel121">
    <w:name w:val="ListLabel 121"/>
    <w:qFormat w:val="1"/>
    <w:rPr>
      <w:rFonts w:cs="OpenSymbol"/>
      <w:u w:val="none"/>
    </w:rPr>
  </w:style>
  <w:style w:type="character" w:styleId="ListLabel122">
    <w:name w:val="ListLabel 122"/>
    <w:qFormat w:val="1"/>
    <w:rPr>
      <w:rFonts w:ascii="Arial" w:cs="Arial" w:eastAsia="Arial" w:hAnsi="Arial"/>
      <w:sz w:val="22"/>
      <w:szCs w:val="22"/>
      <w:u w:val="single"/>
    </w:rPr>
  </w:style>
  <w:style w:type="character" w:styleId="ListLabel123">
    <w:name w:val="ListLabel 123"/>
    <w:qFormat w:val="1"/>
    <w:rPr>
      <w:rFonts w:ascii="Arial" w:cs="Arial" w:eastAsia="Arial" w:hAnsi="Arial"/>
      <w:sz w:val="22"/>
      <w:szCs w:val="22"/>
    </w:rPr>
  </w:style>
  <w:style w:type="character" w:styleId="ListLabel124">
    <w:name w:val="ListLabel 124"/>
    <w:qFormat w:val="1"/>
    <w:rPr>
      <w:rFonts w:ascii="Arial" w:cs="Arial" w:eastAsia="Arial" w:hAnsi="Arial"/>
      <w:sz w:val="22"/>
      <w:szCs w:val="22"/>
      <w:highlight w:val="white"/>
    </w:rPr>
  </w:style>
  <w:style w:type="character" w:styleId="ListLabel125">
    <w:name w:val="ListLabel 125"/>
    <w:qFormat w:val="1"/>
    <w:rPr>
      <w:rFonts w:ascii="Arial" w:cs="Arial" w:eastAsia="Arial" w:hAnsi="Arial"/>
      <w:i w:val="1"/>
      <w:sz w:val="22"/>
      <w:szCs w:val="22"/>
    </w:rPr>
  </w:style>
  <w:style w:type="character" w:styleId="ListLabel126">
    <w:name w:val="ListLabel 126"/>
    <w:qFormat w:val="1"/>
    <w:rPr>
      <w:rFonts w:ascii="Arial" w:cs="Wingdings" w:hAnsi="Arial"/>
      <w:sz w:val="22"/>
      <w:u w:val="none"/>
    </w:rPr>
  </w:style>
  <w:style w:type="character" w:styleId="ListLabel127">
    <w:name w:val="ListLabel 127"/>
    <w:qFormat w:val="1"/>
    <w:rPr>
      <w:rFonts w:cs="Wingdings 2"/>
      <w:u w:val="none"/>
    </w:rPr>
  </w:style>
  <w:style w:type="character" w:styleId="ListLabel128">
    <w:name w:val="ListLabel 128"/>
    <w:qFormat w:val="1"/>
    <w:rPr>
      <w:rFonts w:cs="OpenSymbol"/>
      <w:u w:val="none"/>
    </w:rPr>
  </w:style>
  <w:style w:type="character" w:styleId="ListLabel129">
    <w:name w:val="ListLabel 129"/>
    <w:qFormat w:val="1"/>
    <w:rPr>
      <w:rFonts w:cs="Wingdings"/>
      <w:u w:val="none"/>
    </w:rPr>
  </w:style>
  <w:style w:type="character" w:styleId="ListLabel130">
    <w:name w:val="ListLabel 130"/>
    <w:qFormat w:val="1"/>
    <w:rPr>
      <w:rFonts w:cs="Wingdings 2"/>
      <w:u w:val="none"/>
    </w:rPr>
  </w:style>
  <w:style w:type="character" w:styleId="ListLabel131">
    <w:name w:val="ListLabel 131"/>
    <w:qFormat w:val="1"/>
    <w:rPr>
      <w:rFonts w:cs="OpenSymbol"/>
      <w:u w:val="none"/>
    </w:rPr>
  </w:style>
  <w:style w:type="character" w:styleId="ListLabel132">
    <w:name w:val="ListLabel 132"/>
    <w:qFormat w:val="1"/>
    <w:rPr>
      <w:rFonts w:cs="Wingdings"/>
      <w:u w:val="none"/>
    </w:rPr>
  </w:style>
  <w:style w:type="character" w:styleId="ListLabel133">
    <w:name w:val="ListLabel 133"/>
    <w:qFormat w:val="1"/>
    <w:rPr>
      <w:rFonts w:cs="Wingdings 2"/>
      <w:u w:val="none"/>
    </w:rPr>
  </w:style>
  <w:style w:type="character" w:styleId="ListLabel134">
    <w:name w:val="ListLabel 134"/>
    <w:qFormat w:val="1"/>
    <w:rPr>
      <w:rFonts w:cs="OpenSymbol"/>
      <w:u w:val="none"/>
    </w:rPr>
  </w:style>
  <w:style w:type="character" w:styleId="ListLabel135">
    <w:name w:val="ListLabel 135"/>
    <w:qFormat w:val="1"/>
    <w:rPr>
      <w:rFonts w:ascii="Arial" w:cs="Wingdings" w:hAnsi="Arial"/>
      <w:sz w:val="22"/>
      <w:u w:val="none"/>
    </w:rPr>
  </w:style>
  <w:style w:type="character" w:styleId="ListLabel136">
    <w:name w:val="ListLabel 136"/>
    <w:qFormat w:val="1"/>
    <w:rPr>
      <w:rFonts w:cs="Wingdings 2"/>
      <w:u w:val="none"/>
    </w:rPr>
  </w:style>
  <w:style w:type="character" w:styleId="ListLabel137">
    <w:name w:val="ListLabel 137"/>
    <w:qFormat w:val="1"/>
    <w:rPr>
      <w:rFonts w:cs="OpenSymbol"/>
      <w:u w:val="none"/>
    </w:rPr>
  </w:style>
  <w:style w:type="character" w:styleId="ListLabel138">
    <w:name w:val="ListLabel 138"/>
    <w:qFormat w:val="1"/>
    <w:rPr>
      <w:rFonts w:cs="Wingdings"/>
      <w:u w:val="none"/>
    </w:rPr>
  </w:style>
  <w:style w:type="character" w:styleId="ListLabel139">
    <w:name w:val="ListLabel 139"/>
    <w:qFormat w:val="1"/>
    <w:rPr>
      <w:rFonts w:cs="Wingdings 2"/>
      <w:u w:val="none"/>
    </w:rPr>
  </w:style>
  <w:style w:type="character" w:styleId="ListLabel140">
    <w:name w:val="ListLabel 140"/>
    <w:qFormat w:val="1"/>
    <w:rPr>
      <w:rFonts w:cs="OpenSymbol"/>
      <w:u w:val="none"/>
    </w:rPr>
  </w:style>
  <w:style w:type="character" w:styleId="ListLabel141">
    <w:name w:val="ListLabel 141"/>
    <w:qFormat w:val="1"/>
    <w:rPr>
      <w:rFonts w:cs="Wingdings"/>
      <w:u w:val="none"/>
    </w:rPr>
  </w:style>
  <w:style w:type="character" w:styleId="ListLabel142">
    <w:name w:val="ListLabel 142"/>
    <w:qFormat w:val="1"/>
    <w:rPr>
      <w:rFonts w:cs="Wingdings 2"/>
      <w:u w:val="none"/>
    </w:rPr>
  </w:style>
  <w:style w:type="character" w:styleId="ListLabel143">
    <w:name w:val="ListLabel 143"/>
    <w:qFormat w:val="1"/>
    <w:rPr>
      <w:rFonts w:cs="OpenSymbol"/>
      <w:u w:val="none"/>
    </w:rPr>
  </w:style>
  <w:style w:type="character" w:styleId="ListLabel144">
    <w:name w:val="ListLabel 144"/>
    <w:qFormat w:val="1"/>
    <w:rPr>
      <w:rFonts w:ascii="Arial" w:cs="Wingdings" w:hAnsi="Arial"/>
      <w:sz w:val="22"/>
      <w:u w:val="none"/>
    </w:rPr>
  </w:style>
  <w:style w:type="character" w:styleId="ListLabel145">
    <w:name w:val="ListLabel 145"/>
    <w:qFormat w:val="1"/>
    <w:rPr>
      <w:rFonts w:cs="Wingdings 2"/>
      <w:u w:val="none"/>
    </w:rPr>
  </w:style>
  <w:style w:type="character" w:styleId="ListLabel146">
    <w:name w:val="ListLabel 146"/>
    <w:qFormat w:val="1"/>
    <w:rPr>
      <w:rFonts w:cs="OpenSymbol"/>
      <w:u w:val="none"/>
    </w:rPr>
  </w:style>
  <w:style w:type="character" w:styleId="ListLabel147">
    <w:name w:val="ListLabel 147"/>
    <w:qFormat w:val="1"/>
    <w:rPr>
      <w:rFonts w:cs="Wingdings"/>
      <w:u w:val="none"/>
    </w:rPr>
  </w:style>
  <w:style w:type="character" w:styleId="ListLabel148">
    <w:name w:val="ListLabel 148"/>
    <w:qFormat w:val="1"/>
    <w:rPr>
      <w:rFonts w:cs="Wingdings 2"/>
      <w:u w:val="none"/>
    </w:rPr>
  </w:style>
  <w:style w:type="character" w:styleId="ListLabel149">
    <w:name w:val="ListLabel 149"/>
    <w:qFormat w:val="1"/>
    <w:rPr>
      <w:rFonts w:cs="OpenSymbol"/>
      <w:u w:val="none"/>
    </w:rPr>
  </w:style>
  <w:style w:type="character" w:styleId="ListLabel150">
    <w:name w:val="ListLabel 150"/>
    <w:qFormat w:val="1"/>
    <w:rPr>
      <w:rFonts w:cs="Wingdings"/>
      <w:u w:val="none"/>
    </w:rPr>
  </w:style>
  <w:style w:type="character" w:styleId="ListLabel151">
    <w:name w:val="ListLabel 151"/>
    <w:qFormat w:val="1"/>
    <w:rPr>
      <w:rFonts w:cs="Wingdings 2"/>
      <w:u w:val="none"/>
    </w:rPr>
  </w:style>
  <w:style w:type="character" w:styleId="ListLabel152">
    <w:name w:val="ListLabel 152"/>
    <w:qFormat w:val="1"/>
    <w:rPr>
      <w:rFonts w:cs="OpenSymbol"/>
      <w:u w:val="none"/>
    </w:rPr>
  </w:style>
  <w:style w:type="character" w:styleId="ListLabel153">
    <w:name w:val="ListLabel 153"/>
    <w:qFormat w:val="1"/>
    <w:rPr>
      <w:rFonts w:ascii="Arial" w:cs="Arial" w:eastAsia="Arial" w:hAnsi="Arial"/>
      <w:sz w:val="22"/>
      <w:szCs w:val="22"/>
      <w:u w:val="single"/>
    </w:rPr>
  </w:style>
  <w:style w:type="character" w:styleId="ListLabel154">
    <w:name w:val="ListLabel 154"/>
    <w:qFormat w:val="1"/>
    <w:rPr>
      <w:rFonts w:ascii="Arial" w:cs="Arial" w:eastAsia="Arial" w:hAnsi="Arial"/>
      <w:sz w:val="22"/>
      <w:szCs w:val="22"/>
    </w:rPr>
  </w:style>
  <w:style w:type="character" w:styleId="ListLabel155">
    <w:name w:val="ListLabel 155"/>
    <w:qFormat w:val="1"/>
    <w:rPr>
      <w:rFonts w:ascii="Arial" w:cs="Arial" w:eastAsia="Arial" w:hAnsi="Arial"/>
      <w:sz w:val="22"/>
      <w:szCs w:val="22"/>
      <w:highlight w:val="white"/>
    </w:rPr>
  </w:style>
  <w:style w:type="character" w:styleId="ListLabel156">
    <w:name w:val="ListLabel 156"/>
    <w:qFormat w:val="1"/>
    <w:rPr>
      <w:rFonts w:ascii="Arial" w:cs="Arial" w:eastAsia="Arial" w:hAnsi="Arial"/>
      <w:i w:val="1"/>
      <w:sz w:val="22"/>
      <w:szCs w:val="22"/>
    </w:rPr>
  </w:style>
  <w:style w:type="character" w:styleId="ListLabel157">
    <w:name w:val="ListLabel 157"/>
    <w:qFormat w:val="1"/>
    <w:rPr>
      <w:rFonts w:ascii="Arial" w:cs="Wingdings" w:hAnsi="Arial"/>
      <w:sz w:val="22"/>
      <w:u w:val="none"/>
    </w:rPr>
  </w:style>
  <w:style w:type="character" w:styleId="ListLabel158">
    <w:name w:val="ListLabel 158"/>
    <w:qFormat w:val="1"/>
    <w:rPr>
      <w:rFonts w:cs="Wingdings 2"/>
      <w:u w:val="none"/>
    </w:rPr>
  </w:style>
  <w:style w:type="character" w:styleId="ListLabel159">
    <w:name w:val="ListLabel 159"/>
    <w:qFormat w:val="1"/>
    <w:rPr>
      <w:rFonts w:cs="OpenSymbol"/>
      <w:u w:val="none"/>
    </w:rPr>
  </w:style>
  <w:style w:type="character" w:styleId="ListLabel160">
    <w:name w:val="ListLabel 160"/>
    <w:qFormat w:val="1"/>
    <w:rPr>
      <w:rFonts w:cs="Wingdings"/>
      <w:u w:val="none"/>
    </w:rPr>
  </w:style>
  <w:style w:type="character" w:styleId="ListLabel161">
    <w:name w:val="ListLabel 161"/>
    <w:qFormat w:val="1"/>
    <w:rPr>
      <w:rFonts w:cs="Wingdings 2"/>
      <w:u w:val="none"/>
    </w:rPr>
  </w:style>
  <w:style w:type="character" w:styleId="ListLabel162">
    <w:name w:val="ListLabel 162"/>
    <w:qFormat w:val="1"/>
    <w:rPr>
      <w:rFonts w:cs="OpenSymbol"/>
      <w:u w:val="none"/>
    </w:rPr>
  </w:style>
  <w:style w:type="character" w:styleId="ListLabel163">
    <w:name w:val="ListLabel 163"/>
    <w:qFormat w:val="1"/>
    <w:rPr>
      <w:rFonts w:cs="Wingdings"/>
      <w:u w:val="none"/>
    </w:rPr>
  </w:style>
  <w:style w:type="character" w:styleId="ListLabel164">
    <w:name w:val="ListLabel 164"/>
    <w:qFormat w:val="1"/>
    <w:rPr>
      <w:rFonts w:cs="Wingdings 2"/>
      <w:u w:val="none"/>
    </w:rPr>
  </w:style>
  <w:style w:type="character" w:styleId="ListLabel165">
    <w:name w:val="ListLabel 165"/>
    <w:qFormat w:val="1"/>
    <w:rPr>
      <w:rFonts w:cs="OpenSymbol"/>
      <w:u w:val="none"/>
    </w:rPr>
  </w:style>
  <w:style w:type="character" w:styleId="ListLabel166">
    <w:name w:val="ListLabel 166"/>
    <w:qFormat w:val="1"/>
    <w:rPr>
      <w:rFonts w:ascii="Arial" w:cs="Wingdings" w:hAnsi="Arial"/>
      <w:sz w:val="22"/>
      <w:u w:val="none"/>
    </w:rPr>
  </w:style>
  <w:style w:type="character" w:styleId="ListLabel167">
    <w:name w:val="ListLabel 167"/>
    <w:qFormat w:val="1"/>
    <w:rPr>
      <w:rFonts w:cs="Wingdings 2"/>
      <w:u w:val="none"/>
    </w:rPr>
  </w:style>
  <w:style w:type="character" w:styleId="ListLabel168">
    <w:name w:val="ListLabel 168"/>
    <w:qFormat w:val="1"/>
    <w:rPr>
      <w:rFonts w:cs="OpenSymbol"/>
      <w:u w:val="none"/>
    </w:rPr>
  </w:style>
  <w:style w:type="character" w:styleId="ListLabel169">
    <w:name w:val="ListLabel 169"/>
    <w:qFormat w:val="1"/>
    <w:rPr>
      <w:rFonts w:cs="Wingdings"/>
      <w:u w:val="none"/>
    </w:rPr>
  </w:style>
  <w:style w:type="character" w:styleId="ListLabel170">
    <w:name w:val="ListLabel 170"/>
    <w:qFormat w:val="1"/>
    <w:rPr>
      <w:rFonts w:cs="Wingdings 2"/>
      <w:u w:val="none"/>
    </w:rPr>
  </w:style>
  <w:style w:type="character" w:styleId="ListLabel171">
    <w:name w:val="ListLabel 171"/>
    <w:qFormat w:val="1"/>
    <w:rPr>
      <w:rFonts w:cs="OpenSymbol"/>
      <w:u w:val="none"/>
    </w:rPr>
  </w:style>
  <w:style w:type="character" w:styleId="ListLabel172">
    <w:name w:val="ListLabel 172"/>
    <w:qFormat w:val="1"/>
    <w:rPr>
      <w:rFonts w:cs="Wingdings"/>
      <w:u w:val="none"/>
    </w:rPr>
  </w:style>
  <w:style w:type="character" w:styleId="ListLabel173">
    <w:name w:val="ListLabel 173"/>
    <w:qFormat w:val="1"/>
    <w:rPr>
      <w:rFonts w:cs="Wingdings 2"/>
      <w:u w:val="none"/>
    </w:rPr>
  </w:style>
  <w:style w:type="character" w:styleId="ListLabel174">
    <w:name w:val="ListLabel 174"/>
    <w:qFormat w:val="1"/>
    <w:rPr>
      <w:rFonts w:cs="OpenSymbol"/>
      <w:u w:val="none"/>
    </w:rPr>
  </w:style>
  <w:style w:type="character" w:styleId="ListLabel175">
    <w:name w:val="ListLabel 175"/>
    <w:qFormat w:val="1"/>
    <w:rPr>
      <w:rFonts w:ascii="Arial" w:cs="Wingdings" w:hAnsi="Arial"/>
      <w:sz w:val="22"/>
      <w:u w:val="none"/>
    </w:rPr>
  </w:style>
  <w:style w:type="character" w:styleId="ListLabel176">
    <w:name w:val="ListLabel 176"/>
    <w:qFormat w:val="1"/>
    <w:rPr>
      <w:rFonts w:cs="Wingdings 2"/>
      <w:u w:val="none"/>
    </w:rPr>
  </w:style>
  <w:style w:type="character" w:styleId="ListLabel177">
    <w:name w:val="ListLabel 177"/>
    <w:qFormat w:val="1"/>
    <w:rPr>
      <w:rFonts w:cs="OpenSymbol"/>
      <w:u w:val="none"/>
    </w:rPr>
  </w:style>
  <w:style w:type="character" w:styleId="ListLabel178">
    <w:name w:val="ListLabel 178"/>
    <w:qFormat w:val="1"/>
    <w:rPr>
      <w:rFonts w:cs="Wingdings"/>
      <w:u w:val="none"/>
    </w:rPr>
  </w:style>
  <w:style w:type="character" w:styleId="ListLabel179">
    <w:name w:val="ListLabel 179"/>
    <w:qFormat w:val="1"/>
    <w:rPr>
      <w:rFonts w:cs="Wingdings 2"/>
      <w:u w:val="none"/>
    </w:rPr>
  </w:style>
  <w:style w:type="character" w:styleId="ListLabel180">
    <w:name w:val="ListLabel 180"/>
    <w:qFormat w:val="1"/>
    <w:rPr>
      <w:rFonts w:cs="OpenSymbol"/>
      <w:u w:val="none"/>
    </w:rPr>
  </w:style>
  <w:style w:type="character" w:styleId="ListLabel181">
    <w:name w:val="ListLabel 181"/>
    <w:qFormat w:val="1"/>
    <w:rPr>
      <w:rFonts w:cs="Wingdings"/>
      <w:u w:val="none"/>
    </w:rPr>
  </w:style>
  <w:style w:type="character" w:styleId="ListLabel182">
    <w:name w:val="ListLabel 182"/>
    <w:qFormat w:val="1"/>
    <w:rPr>
      <w:rFonts w:cs="Wingdings 2"/>
      <w:u w:val="none"/>
    </w:rPr>
  </w:style>
  <w:style w:type="character" w:styleId="ListLabel183">
    <w:name w:val="ListLabel 183"/>
    <w:qFormat w:val="1"/>
    <w:rPr>
      <w:rFonts w:cs="OpenSymbol"/>
      <w:u w:val="none"/>
    </w:rPr>
  </w:style>
  <w:style w:type="character" w:styleId="ListLabel184">
    <w:name w:val="ListLabel 184"/>
    <w:qFormat w:val="1"/>
    <w:rPr>
      <w:rFonts w:ascii="Arial" w:cs="Arial" w:eastAsia="Arial" w:hAnsi="Arial"/>
      <w:sz w:val="22"/>
      <w:szCs w:val="22"/>
      <w:u w:val="single"/>
    </w:rPr>
  </w:style>
  <w:style w:type="character" w:styleId="ListLabel185">
    <w:name w:val="ListLabel 185"/>
    <w:qFormat w:val="1"/>
    <w:rPr>
      <w:rFonts w:ascii="Arial" w:cs="Arial" w:eastAsia="Arial" w:hAnsi="Arial"/>
      <w:sz w:val="22"/>
      <w:szCs w:val="22"/>
    </w:rPr>
  </w:style>
  <w:style w:type="character" w:styleId="ListLabel186">
    <w:name w:val="ListLabel 186"/>
    <w:qFormat w:val="1"/>
    <w:rPr>
      <w:rFonts w:ascii="Arial" w:cs="Arial" w:eastAsia="Arial" w:hAnsi="Arial"/>
      <w:sz w:val="22"/>
      <w:szCs w:val="22"/>
      <w:highlight w:val="white"/>
    </w:rPr>
  </w:style>
  <w:style w:type="character" w:styleId="ListLabel187">
    <w:name w:val="ListLabel 187"/>
    <w:qFormat w:val="1"/>
    <w:rPr>
      <w:rFonts w:ascii="Arial" w:cs="Arial" w:eastAsia="Arial" w:hAnsi="Arial"/>
      <w:i w:val="1"/>
      <w:sz w:val="22"/>
      <w:szCs w:val="22"/>
    </w:rPr>
  </w:style>
  <w:style w:type="character" w:styleId="ListLabel188">
    <w:name w:val="ListLabel 188"/>
    <w:qFormat w:val="1"/>
    <w:rPr>
      <w:rFonts w:ascii="Arial" w:cs="Wingdings" w:hAnsi="Arial"/>
      <w:sz w:val="22"/>
      <w:u w:val="none"/>
    </w:rPr>
  </w:style>
  <w:style w:type="character" w:styleId="ListLabel189">
    <w:name w:val="ListLabel 189"/>
    <w:qFormat w:val="1"/>
    <w:rPr>
      <w:rFonts w:cs="Wingdings 2"/>
      <w:u w:val="none"/>
    </w:rPr>
  </w:style>
  <w:style w:type="character" w:styleId="ListLabel190">
    <w:name w:val="ListLabel 190"/>
    <w:qFormat w:val="1"/>
    <w:rPr>
      <w:rFonts w:cs="OpenSymbol"/>
      <w:u w:val="none"/>
    </w:rPr>
  </w:style>
  <w:style w:type="character" w:styleId="ListLabel191">
    <w:name w:val="ListLabel 191"/>
    <w:qFormat w:val="1"/>
    <w:rPr>
      <w:rFonts w:cs="Wingdings"/>
      <w:u w:val="none"/>
    </w:rPr>
  </w:style>
  <w:style w:type="character" w:styleId="ListLabel192">
    <w:name w:val="ListLabel 192"/>
    <w:qFormat w:val="1"/>
    <w:rPr>
      <w:rFonts w:cs="Wingdings 2"/>
      <w:u w:val="none"/>
    </w:rPr>
  </w:style>
  <w:style w:type="character" w:styleId="ListLabel193">
    <w:name w:val="ListLabel 193"/>
    <w:qFormat w:val="1"/>
    <w:rPr>
      <w:rFonts w:cs="OpenSymbol"/>
      <w:u w:val="none"/>
    </w:rPr>
  </w:style>
  <w:style w:type="character" w:styleId="ListLabel194">
    <w:name w:val="ListLabel 194"/>
    <w:qFormat w:val="1"/>
    <w:rPr>
      <w:rFonts w:cs="Wingdings"/>
      <w:u w:val="none"/>
    </w:rPr>
  </w:style>
  <w:style w:type="character" w:styleId="ListLabel195">
    <w:name w:val="ListLabel 195"/>
    <w:qFormat w:val="1"/>
    <w:rPr>
      <w:rFonts w:cs="Wingdings 2"/>
      <w:u w:val="none"/>
    </w:rPr>
  </w:style>
  <w:style w:type="character" w:styleId="ListLabel196">
    <w:name w:val="ListLabel 196"/>
    <w:qFormat w:val="1"/>
    <w:rPr>
      <w:rFonts w:cs="OpenSymbol"/>
      <w:u w:val="none"/>
    </w:rPr>
  </w:style>
  <w:style w:type="character" w:styleId="ListLabel197">
    <w:name w:val="ListLabel 197"/>
    <w:qFormat w:val="1"/>
    <w:rPr>
      <w:rFonts w:ascii="Arial" w:cs="Wingdings" w:hAnsi="Arial"/>
      <w:sz w:val="22"/>
      <w:u w:val="none"/>
    </w:rPr>
  </w:style>
  <w:style w:type="character" w:styleId="ListLabel198">
    <w:name w:val="ListLabel 198"/>
    <w:qFormat w:val="1"/>
    <w:rPr>
      <w:rFonts w:cs="Wingdings 2"/>
      <w:u w:val="none"/>
    </w:rPr>
  </w:style>
  <w:style w:type="character" w:styleId="ListLabel199">
    <w:name w:val="ListLabel 199"/>
    <w:qFormat w:val="1"/>
    <w:rPr>
      <w:rFonts w:cs="OpenSymbol"/>
      <w:u w:val="none"/>
    </w:rPr>
  </w:style>
  <w:style w:type="character" w:styleId="ListLabel200">
    <w:name w:val="ListLabel 200"/>
    <w:qFormat w:val="1"/>
    <w:rPr>
      <w:rFonts w:cs="Wingdings"/>
      <w:u w:val="none"/>
    </w:rPr>
  </w:style>
  <w:style w:type="character" w:styleId="ListLabel201">
    <w:name w:val="ListLabel 201"/>
    <w:qFormat w:val="1"/>
    <w:rPr>
      <w:rFonts w:cs="Wingdings 2"/>
      <w:u w:val="none"/>
    </w:rPr>
  </w:style>
  <w:style w:type="character" w:styleId="ListLabel202">
    <w:name w:val="ListLabel 202"/>
    <w:qFormat w:val="1"/>
    <w:rPr>
      <w:rFonts w:cs="OpenSymbol"/>
      <w:u w:val="none"/>
    </w:rPr>
  </w:style>
  <w:style w:type="character" w:styleId="ListLabel203">
    <w:name w:val="ListLabel 203"/>
    <w:qFormat w:val="1"/>
    <w:rPr>
      <w:rFonts w:cs="Wingdings"/>
      <w:u w:val="none"/>
    </w:rPr>
  </w:style>
  <w:style w:type="character" w:styleId="ListLabel204">
    <w:name w:val="ListLabel 204"/>
    <w:qFormat w:val="1"/>
    <w:rPr>
      <w:rFonts w:cs="Wingdings 2"/>
      <w:u w:val="none"/>
    </w:rPr>
  </w:style>
  <w:style w:type="character" w:styleId="ListLabel205">
    <w:name w:val="ListLabel 205"/>
    <w:qFormat w:val="1"/>
    <w:rPr>
      <w:rFonts w:cs="OpenSymbol"/>
      <w:u w:val="none"/>
    </w:rPr>
  </w:style>
  <w:style w:type="character" w:styleId="ListLabel206">
    <w:name w:val="ListLabel 206"/>
    <w:qFormat w:val="1"/>
    <w:rPr>
      <w:rFonts w:ascii="Arial" w:cs="Wingdings" w:hAnsi="Arial"/>
      <w:sz w:val="22"/>
      <w:u w:val="none"/>
    </w:rPr>
  </w:style>
  <w:style w:type="character" w:styleId="ListLabel207">
    <w:name w:val="ListLabel 207"/>
    <w:qFormat w:val="1"/>
    <w:rPr>
      <w:rFonts w:cs="Wingdings 2"/>
      <w:u w:val="none"/>
    </w:rPr>
  </w:style>
  <w:style w:type="character" w:styleId="ListLabel208">
    <w:name w:val="ListLabel 208"/>
    <w:qFormat w:val="1"/>
    <w:rPr>
      <w:rFonts w:cs="OpenSymbol"/>
      <w:u w:val="none"/>
    </w:rPr>
  </w:style>
  <w:style w:type="character" w:styleId="ListLabel209">
    <w:name w:val="ListLabel 209"/>
    <w:qFormat w:val="1"/>
    <w:rPr>
      <w:rFonts w:cs="Wingdings"/>
      <w:u w:val="none"/>
    </w:rPr>
  </w:style>
  <w:style w:type="character" w:styleId="ListLabel210">
    <w:name w:val="ListLabel 210"/>
    <w:qFormat w:val="1"/>
    <w:rPr>
      <w:rFonts w:cs="Wingdings 2"/>
      <w:u w:val="none"/>
    </w:rPr>
  </w:style>
  <w:style w:type="character" w:styleId="ListLabel211">
    <w:name w:val="ListLabel 211"/>
    <w:qFormat w:val="1"/>
    <w:rPr>
      <w:rFonts w:cs="OpenSymbol"/>
      <w:u w:val="none"/>
    </w:rPr>
  </w:style>
  <w:style w:type="character" w:styleId="ListLabel212">
    <w:name w:val="ListLabel 212"/>
    <w:qFormat w:val="1"/>
    <w:rPr>
      <w:rFonts w:cs="Wingdings"/>
      <w:u w:val="none"/>
    </w:rPr>
  </w:style>
  <w:style w:type="character" w:styleId="ListLabel213">
    <w:name w:val="ListLabel 213"/>
    <w:qFormat w:val="1"/>
    <w:rPr>
      <w:rFonts w:cs="Wingdings 2"/>
      <w:u w:val="none"/>
    </w:rPr>
  </w:style>
  <w:style w:type="character" w:styleId="ListLabel214">
    <w:name w:val="ListLabel 214"/>
    <w:qFormat w:val="1"/>
    <w:rPr>
      <w:rFonts w:cs="OpenSymbol"/>
      <w:u w:val="none"/>
    </w:rPr>
  </w:style>
  <w:style w:type="character" w:styleId="ListLabel215">
    <w:name w:val="ListLabel 215"/>
    <w:qFormat w:val="1"/>
    <w:rPr>
      <w:rFonts w:ascii="Arial" w:cs="Arial" w:eastAsia="Arial" w:hAnsi="Arial"/>
      <w:sz w:val="22"/>
      <w:szCs w:val="22"/>
      <w:u w:val="single"/>
    </w:rPr>
  </w:style>
  <w:style w:type="character" w:styleId="ListLabel216">
    <w:name w:val="ListLabel 216"/>
    <w:qFormat w:val="1"/>
    <w:rPr>
      <w:rFonts w:ascii="Arial" w:cs="Arial" w:eastAsia="Arial" w:hAnsi="Arial"/>
      <w:sz w:val="22"/>
      <w:szCs w:val="22"/>
    </w:rPr>
  </w:style>
  <w:style w:type="character" w:styleId="ListLabel217">
    <w:name w:val="ListLabel 217"/>
    <w:qFormat w:val="1"/>
    <w:rPr>
      <w:rFonts w:ascii="Arial" w:cs="Arial" w:eastAsia="Arial" w:hAnsi="Arial"/>
      <w:sz w:val="22"/>
      <w:szCs w:val="22"/>
      <w:highlight w:val="white"/>
    </w:rPr>
  </w:style>
  <w:style w:type="character" w:styleId="ListLabel218">
    <w:name w:val="ListLabel 218"/>
    <w:qFormat w:val="1"/>
    <w:rPr>
      <w:rFonts w:ascii="Arial" w:cs="Arial" w:eastAsia="Arial" w:hAnsi="Arial"/>
      <w:i w:val="1"/>
      <w:sz w:val="22"/>
      <w:szCs w:val="22"/>
    </w:rPr>
  </w:style>
  <w:style w:type="character" w:styleId="Fontepargpadro">
    <w:name w:val="Fonte parág. padrão"/>
    <w:qFormat w:val="1"/>
    <w:rPr/>
  </w:style>
  <w:style w:type="character" w:styleId="ListLabel219">
    <w:name w:val="ListLabel 219"/>
    <w:qFormat w:val="1"/>
    <w:rPr>
      <w:rFonts w:ascii="Arial" w:cs="Wingdings" w:hAnsi="Arial"/>
      <w:sz w:val="22"/>
      <w:u w:val="none"/>
    </w:rPr>
  </w:style>
  <w:style w:type="character" w:styleId="ListLabel220">
    <w:name w:val="ListLabel 220"/>
    <w:qFormat w:val="1"/>
    <w:rPr>
      <w:rFonts w:cs="Wingdings 2"/>
      <w:u w:val="none"/>
    </w:rPr>
  </w:style>
  <w:style w:type="character" w:styleId="ListLabel221">
    <w:name w:val="ListLabel 221"/>
    <w:qFormat w:val="1"/>
    <w:rPr>
      <w:rFonts w:cs="OpenSymbol"/>
      <w:u w:val="none"/>
    </w:rPr>
  </w:style>
  <w:style w:type="character" w:styleId="ListLabel222">
    <w:name w:val="ListLabel 222"/>
    <w:qFormat w:val="1"/>
    <w:rPr>
      <w:rFonts w:cs="Wingdings"/>
      <w:u w:val="none"/>
    </w:rPr>
  </w:style>
  <w:style w:type="character" w:styleId="ListLabel223">
    <w:name w:val="ListLabel 223"/>
    <w:qFormat w:val="1"/>
    <w:rPr>
      <w:rFonts w:cs="Wingdings 2"/>
      <w:u w:val="none"/>
    </w:rPr>
  </w:style>
  <w:style w:type="character" w:styleId="ListLabel224">
    <w:name w:val="ListLabel 224"/>
    <w:qFormat w:val="1"/>
    <w:rPr>
      <w:rFonts w:cs="OpenSymbol"/>
      <w:u w:val="none"/>
    </w:rPr>
  </w:style>
  <w:style w:type="character" w:styleId="ListLabel225">
    <w:name w:val="ListLabel 225"/>
    <w:qFormat w:val="1"/>
    <w:rPr>
      <w:rFonts w:cs="Wingdings"/>
      <w:u w:val="none"/>
    </w:rPr>
  </w:style>
  <w:style w:type="character" w:styleId="ListLabel226">
    <w:name w:val="ListLabel 226"/>
    <w:qFormat w:val="1"/>
    <w:rPr>
      <w:rFonts w:cs="Wingdings 2"/>
      <w:u w:val="none"/>
    </w:rPr>
  </w:style>
  <w:style w:type="character" w:styleId="ListLabel227">
    <w:name w:val="ListLabel 227"/>
    <w:qFormat w:val="1"/>
    <w:rPr>
      <w:rFonts w:cs="OpenSymbol"/>
      <w:u w:val="none"/>
    </w:rPr>
  </w:style>
  <w:style w:type="character" w:styleId="ListLabel228">
    <w:name w:val="ListLabel 228"/>
    <w:qFormat w:val="1"/>
    <w:rPr>
      <w:rFonts w:ascii="Arial" w:cs="Wingdings" w:hAnsi="Arial"/>
      <w:sz w:val="22"/>
      <w:u w:val="none"/>
    </w:rPr>
  </w:style>
  <w:style w:type="character" w:styleId="ListLabel229">
    <w:name w:val="ListLabel 229"/>
    <w:qFormat w:val="1"/>
    <w:rPr>
      <w:rFonts w:cs="Wingdings 2"/>
      <w:u w:val="none"/>
    </w:rPr>
  </w:style>
  <w:style w:type="character" w:styleId="ListLabel230">
    <w:name w:val="ListLabel 230"/>
    <w:qFormat w:val="1"/>
    <w:rPr>
      <w:rFonts w:cs="OpenSymbol"/>
      <w:u w:val="none"/>
    </w:rPr>
  </w:style>
  <w:style w:type="character" w:styleId="ListLabel231">
    <w:name w:val="ListLabel 231"/>
    <w:qFormat w:val="1"/>
    <w:rPr>
      <w:rFonts w:cs="Wingdings"/>
      <w:u w:val="none"/>
    </w:rPr>
  </w:style>
  <w:style w:type="character" w:styleId="ListLabel232">
    <w:name w:val="ListLabel 232"/>
    <w:qFormat w:val="1"/>
    <w:rPr>
      <w:rFonts w:cs="Wingdings 2"/>
      <w:u w:val="none"/>
    </w:rPr>
  </w:style>
  <w:style w:type="character" w:styleId="ListLabel233">
    <w:name w:val="ListLabel 233"/>
    <w:qFormat w:val="1"/>
    <w:rPr>
      <w:rFonts w:cs="OpenSymbol"/>
      <w:u w:val="none"/>
    </w:rPr>
  </w:style>
  <w:style w:type="character" w:styleId="ListLabel234">
    <w:name w:val="ListLabel 234"/>
    <w:qFormat w:val="1"/>
    <w:rPr>
      <w:rFonts w:cs="Wingdings"/>
      <w:u w:val="none"/>
    </w:rPr>
  </w:style>
  <w:style w:type="character" w:styleId="ListLabel235">
    <w:name w:val="ListLabel 235"/>
    <w:qFormat w:val="1"/>
    <w:rPr>
      <w:rFonts w:cs="Wingdings 2"/>
      <w:u w:val="none"/>
    </w:rPr>
  </w:style>
  <w:style w:type="character" w:styleId="ListLabel236">
    <w:name w:val="ListLabel 236"/>
    <w:qFormat w:val="1"/>
    <w:rPr>
      <w:rFonts w:cs="OpenSymbol"/>
      <w:u w:val="none"/>
    </w:rPr>
  </w:style>
  <w:style w:type="character" w:styleId="ListLabel237">
    <w:name w:val="ListLabel 237"/>
    <w:qFormat w:val="1"/>
    <w:rPr>
      <w:rFonts w:ascii="Arial" w:cs="Wingdings" w:hAnsi="Arial"/>
      <w:sz w:val="22"/>
      <w:u w:val="none"/>
    </w:rPr>
  </w:style>
  <w:style w:type="character" w:styleId="ListLabel238">
    <w:name w:val="ListLabel 238"/>
    <w:qFormat w:val="1"/>
    <w:rPr>
      <w:rFonts w:cs="Wingdings 2"/>
      <w:u w:val="none"/>
    </w:rPr>
  </w:style>
  <w:style w:type="character" w:styleId="ListLabel239">
    <w:name w:val="ListLabel 239"/>
    <w:qFormat w:val="1"/>
    <w:rPr>
      <w:rFonts w:cs="OpenSymbol"/>
      <w:u w:val="none"/>
    </w:rPr>
  </w:style>
  <w:style w:type="character" w:styleId="ListLabel240">
    <w:name w:val="ListLabel 240"/>
    <w:qFormat w:val="1"/>
    <w:rPr>
      <w:rFonts w:cs="Wingdings"/>
      <w:u w:val="none"/>
    </w:rPr>
  </w:style>
  <w:style w:type="character" w:styleId="ListLabel241">
    <w:name w:val="ListLabel 241"/>
    <w:qFormat w:val="1"/>
    <w:rPr>
      <w:rFonts w:cs="Wingdings 2"/>
      <w:u w:val="none"/>
    </w:rPr>
  </w:style>
  <w:style w:type="character" w:styleId="ListLabel242">
    <w:name w:val="ListLabel 242"/>
    <w:qFormat w:val="1"/>
    <w:rPr>
      <w:rFonts w:cs="OpenSymbol"/>
      <w:u w:val="none"/>
    </w:rPr>
  </w:style>
  <w:style w:type="character" w:styleId="ListLabel243">
    <w:name w:val="ListLabel 243"/>
    <w:qFormat w:val="1"/>
    <w:rPr>
      <w:rFonts w:cs="Wingdings"/>
      <w:u w:val="none"/>
    </w:rPr>
  </w:style>
  <w:style w:type="character" w:styleId="ListLabel244">
    <w:name w:val="ListLabel 244"/>
    <w:qFormat w:val="1"/>
    <w:rPr>
      <w:rFonts w:cs="Wingdings 2"/>
      <w:u w:val="none"/>
    </w:rPr>
  </w:style>
  <w:style w:type="character" w:styleId="ListLabel245">
    <w:name w:val="ListLabel 245"/>
    <w:qFormat w:val="1"/>
    <w:rPr>
      <w:rFonts w:cs="OpenSymbol"/>
      <w:u w:val="none"/>
    </w:rPr>
  </w:style>
  <w:style w:type="character" w:styleId="ListLabel246">
    <w:name w:val="ListLabel 246"/>
    <w:qFormat w:val="1"/>
    <w:rPr>
      <w:rFonts w:ascii="Arial" w:cs="Arial" w:eastAsia="Arial" w:hAnsi="Arial"/>
      <w:sz w:val="22"/>
      <w:szCs w:val="22"/>
      <w:u w:val="single"/>
    </w:rPr>
  </w:style>
  <w:style w:type="character" w:styleId="ListLabel247">
    <w:name w:val="ListLabel 247"/>
    <w:qFormat w:val="1"/>
    <w:rPr>
      <w:rFonts w:ascii="Arial" w:cs="Arial" w:eastAsia="Arial" w:hAnsi="Arial"/>
      <w:sz w:val="22"/>
      <w:szCs w:val="22"/>
    </w:rPr>
  </w:style>
  <w:style w:type="character" w:styleId="ListLabel248">
    <w:name w:val="ListLabel 248"/>
    <w:qFormat w:val="1"/>
    <w:rPr>
      <w:rFonts w:ascii="Arial" w:cs="Arial" w:eastAsia="Arial" w:hAnsi="Arial"/>
      <w:sz w:val="22"/>
      <w:szCs w:val="22"/>
      <w:highlight w:val="white"/>
    </w:rPr>
  </w:style>
  <w:style w:type="character" w:styleId="ListLabel249">
    <w:name w:val="ListLabel 249"/>
    <w:qFormat w:val="1"/>
    <w:rPr>
      <w:rFonts w:ascii="Arial" w:cs="Arial" w:eastAsia="Arial" w:hAnsi="Arial"/>
      <w:i w:val="1"/>
      <w:sz w:val="22"/>
      <w:szCs w:val="22"/>
    </w:rPr>
  </w:style>
  <w:style w:type="character" w:styleId="ListLabel250">
    <w:name w:val="ListLabel 250"/>
    <w:qFormat w:val="1"/>
    <w:rPr>
      <w:rFonts w:ascii="Arial" w:cs="Wingdings" w:hAnsi="Arial"/>
      <w:sz w:val="22"/>
      <w:u w:val="none"/>
    </w:rPr>
  </w:style>
  <w:style w:type="character" w:styleId="ListLabel251">
    <w:name w:val="ListLabel 251"/>
    <w:qFormat w:val="1"/>
    <w:rPr>
      <w:rFonts w:cs="Wingdings 2"/>
      <w:u w:val="none"/>
    </w:rPr>
  </w:style>
  <w:style w:type="character" w:styleId="ListLabel252">
    <w:name w:val="ListLabel 252"/>
    <w:qFormat w:val="1"/>
    <w:rPr>
      <w:rFonts w:cs="OpenSymbol"/>
      <w:u w:val="none"/>
    </w:rPr>
  </w:style>
  <w:style w:type="character" w:styleId="ListLabel253">
    <w:name w:val="ListLabel 253"/>
    <w:qFormat w:val="1"/>
    <w:rPr>
      <w:rFonts w:cs="Wingdings"/>
      <w:u w:val="none"/>
    </w:rPr>
  </w:style>
  <w:style w:type="character" w:styleId="ListLabel254">
    <w:name w:val="ListLabel 254"/>
    <w:qFormat w:val="1"/>
    <w:rPr>
      <w:rFonts w:cs="Wingdings 2"/>
      <w:u w:val="none"/>
    </w:rPr>
  </w:style>
  <w:style w:type="character" w:styleId="ListLabel255">
    <w:name w:val="ListLabel 255"/>
    <w:qFormat w:val="1"/>
    <w:rPr>
      <w:rFonts w:cs="OpenSymbol"/>
      <w:u w:val="none"/>
    </w:rPr>
  </w:style>
  <w:style w:type="character" w:styleId="ListLabel256">
    <w:name w:val="ListLabel 256"/>
    <w:qFormat w:val="1"/>
    <w:rPr>
      <w:rFonts w:cs="Wingdings"/>
      <w:u w:val="none"/>
    </w:rPr>
  </w:style>
  <w:style w:type="character" w:styleId="ListLabel257">
    <w:name w:val="ListLabel 257"/>
    <w:qFormat w:val="1"/>
    <w:rPr>
      <w:rFonts w:cs="Wingdings 2"/>
      <w:u w:val="none"/>
    </w:rPr>
  </w:style>
  <w:style w:type="character" w:styleId="ListLabel258">
    <w:name w:val="ListLabel 258"/>
    <w:qFormat w:val="1"/>
    <w:rPr>
      <w:rFonts w:cs="OpenSymbol"/>
      <w:u w:val="none"/>
    </w:rPr>
  </w:style>
  <w:style w:type="character" w:styleId="ListLabel259">
    <w:name w:val="ListLabel 259"/>
    <w:qFormat w:val="1"/>
    <w:rPr>
      <w:rFonts w:ascii="Arial" w:cs="Wingdings" w:hAnsi="Arial"/>
      <w:sz w:val="22"/>
      <w:u w:val="none"/>
    </w:rPr>
  </w:style>
  <w:style w:type="character" w:styleId="ListLabel260">
    <w:name w:val="ListLabel 260"/>
    <w:qFormat w:val="1"/>
    <w:rPr>
      <w:rFonts w:cs="Wingdings 2"/>
      <w:u w:val="none"/>
    </w:rPr>
  </w:style>
  <w:style w:type="character" w:styleId="ListLabel261">
    <w:name w:val="ListLabel 261"/>
    <w:qFormat w:val="1"/>
    <w:rPr>
      <w:rFonts w:cs="OpenSymbol"/>
      <w:u w:val="none"/>
    </w:rPr>
  </w:style>
  <w:style w:type="character" w:styleId="ListLabel262">
    <w:name w:val="ListLabel 262"/>
    <w:qFormat w:val="1"/>
    <w:rPr>
      <w:rFonts w:cs="Wingdings"/>
      <w:u w:val="none"/>
    </w:rPr>
  </w:style>
  <w:style w:type="character" w:styleId="ListLabel263">
    <w:name w:val="ListLabel 263"/>
    <w:qFormat w:val="1"/>
    <w:rPr>
      <w:rFonts w:cs="Wingdings 2"/>
      <w:u w:val="none"/>
    </w:rPr>
  </w:style>
  <w:style w:type="character" w:styleId="ListLabel264">
    <w:name w:val="ListLabel 264"/>
    <w:qFormat w:val="1"/>
    <w:rPr>
      <w:rFonts w:cs="OpenSymbol"/>
      <w:u w:val="none"/>
    </w:rPr>
  </w:style>
  <w:style w:type="character" w:styleId="ListLabel265">
    <w:name w:val="ListLabel 265"/>
    <w:qFormat w:val="1"/>
    <w:rPr>
      <w:rFonts w:cs="Wingdings"/>
      <w:u w:val="none"/>
    </w:rPr>
  </w:style>
  <w:style w:type="character" w:styleId="ListLabel266">
    <w:name w:val="ListLabel 266"/>
    <w:qFormat w:val="1"/>
    <w:rPr>
      <w:rFonts w:cs="Wingdings 2"/>
      <w:u w:val="none"/>
    </w:rPr>
  </w:style>
  <w:style w:type="character" w:styleId="ListLabel267">
    <w:name w:val="ListLabel 267"/>
    <w:qFormat w:val="1"/>
    <w:rPr>
      <w:rFonts w:cs="OpenSymbol"/>
      <w:u w:val="none"/>
    </w:rPr>
  </w:style>
  <w:style w:type="character" w:styleId="ListLabel268">
    <w:name w:val="ListLabel 268"/>
    <w:qFormat w:val="1"/>
    <w:rPr>
      <w:rFonts w:ascii="Arial" w:cs="Wingdings" w:hAnsi="Arial"/>
      <w:sz w:val="22"/>
      <w:u w:val="none"/>
    </w:rPr>
  </w:style>
  <w:style w:type="character" w:styleId="ListLabel269">
    <w:name w:val="ListLabel 269"/>
    <w:qFormat w:val="1"/>
    <w:rPr>
      <w:rFonts w:cs="Wingdings 2"/>
      <w:u w:val="none"/>
    </w:rPr>
  </w:style>
  <w:style w:type="character" w:styleId="ListLabel270">
    <w:name w:val="ListLabel 270"/>
    <w:qFormat w:val="1"/>
    <w:rPr>
      <w:rFonts w:cs="OpenSymbol"/>
      <w:u w:val="none"/>
    </w:rPr>
  </w:style>
  <w:style w:type="character" w:styleId="ListLabel271">
    <w:name w:val="ListLabel 271"/>
    <w:qFormat w:val="1"/>
    <w:rPr>
      <w:rFonts w:cs="Wingdings"/>
      <w:u w:val="none"/>
    </w:rPr>
  </w:style>
  <w:style w:type="character" w:styleId="ListLabel272">
    <w:name w:val="ListLabel 272"/>
    <w:qFormat w:val="1"/>
    <w:rPr>
      <w:rFonts w:cs="Wingdings 2"/>
      <w:u w:val="none"/>
    </w:rPr>
  </w:style>
  <w:style w:type="character" w:styleId="ListLabel273">
    <w:name w:val="ListLabel 273"/>
    <w:qFormat w:val="1"/>
    <w:rPr>
      <w:rFonts w:cs="OpenSymbol"/>
      <w:u w:val="none"/>
    </w:rPr>
  </w:style>
  <w:style w:type="character" w:styleId="ListLabel274">
    <w:name w:val="ListLabel 274"/>
    <w:qFormat w:val="1"/>
    <w:rPr>
      <w:rFonts w:cs="Wingdings"/>
      <w:u w:val="none"/>
    </w:rPr>
  </w:style>
  <w:style w:type="character" w:styleId="ListLabel275">
    <w:name w:val="ListLabel 275"/>
    <w:qFormat w:val="1"/>
    <w:rPr>
      <w:rFonts w:cs="Wingdings 2"/>
      <w:u w:val="none"/>
    </w:rPr>
  </w:style>
  <w:style w:type="character" w:styleId="ListLabel276">
    <w:name w:val="ListLabel 276"/>
    <w:qFormat w:val="1"/>
    <w:rPr>
      <w:rFonts w:cs="OpenSymbol"/>
      <w:u w:val="none"/>
    </w:rPr>
  </w:style>
  <w:style w:type="character" w:styleId="ListLabel277">
    <w:name w:val="ListLabel 277"/>
    <w:qFormat w:val="1"/>
    <w:rPr>
      <w:rFonts w:ascii="Arial" w:cs="Arial" w:eastAsia="Arial" w:hAnsi="Arial"/>
      <w:sz w:val="22"/>
      <w:szCs w:val="22"/>
      <w:u w:val="single"/>
    </w:rPr>
  </w:style>
  <w:style w:type="character" w:styleId="ListLabel278">
    <w:name w:val="ListLabel 278"/>
    <w:qFormat w:val="1"/>
    <w:rPr>
      <w:rFonts w:ascii="Arial" w:cs="Arial" w:eastAsia="Arial" w:hAnsi="Arial"/>
      <w:sz w:val="22"/>
      <w:szCs w:val="22"/>
    </w:rPr>
  </w:style>
  <w:style w:type="character" w:styleId="ListLabel279">
    <w:name w:val="ListLabel 279"/>
    <w:qFormat w:val="1"/>
    <w:rPr>
      <w:rFonts w:ascii="Arial" w:cs="Arial" w:eastAsia="Arial" w:hAnsi="Arial"/>
      <w:sz w:val="22"/>
      <w:szCs w:val="22"/>
      <w:highlight w:val="white"/>
    </w:rPr>
  </w:style>
  <w:style w:type="character" w:styleId="ListLabel280">
    <w:name w:val="ListLabel 280"/>
    <w:qFormat w:val="1"/>
    <w:rPr>
      <w:rFonts w:ascii="Arial" w:cs="Arial" w:eastAsia="Arial" w:hAnsi="Arial"/>
      <w:i w:val="1"/>
      <w:sz w:val="22"/>
      <w:szCs w:val="22"/>
    </w:rPr>
  </w:style>
  <w:style w:type="character" w:styleId="ListLabel281">
    <w:name w:val="ListLabel 281"/>
    <w:qFormat w:val="1"/>
    <w:rPr>
      <w:rFonts w:ascii="Arial" w:hAnsi="Arial"/>
      <w:b w:val="0"/>
      <w:sz w:val="22"/>
      <w:szCs w:val="22"/>
      <w:u w:val="none"/>
    </w:rPr>
  </w:style>
  <w:style w:type="character" w:styleId="ListLabel282">
    <w:name w:val="ListLabel 282"/>
    <w:qFormat w:val="1"/>
    <w:rPr>
      <w:u w:val="none"/>
    </w:rPr>
  </w:style>
  <w:style w:type="character" w:styleId="ListLabel283">
    <w:name w:val="ListLabel 283"/>
    <w:qFormat w:val="1"/>
    <w:rPr>
      <w:u w:val="none"/>
    </w:rPr>
  </w:style>
  <w:style w:type="character" w:styleId="ListLabel284">
    <w:name w:val="ListLabel 284"/>
    <w:qFormat w:val="1"/>
    <w:rPr>
      <w:u w:val="none"/>
    </w:rPr>
  </w:style>
  <w:style w:type="character" w:styleId="ListLabel285">
    <w:name w:val="ListLabel 285"/>
    <w:qFormat w:val="1"/>
    <w:rPr>
      <w:u w:val="none"/>
    </w:rPr>
  </w:style>
  <w:style w:type="character" w:styleId="ListLabel286">
    <w:name w:val="ListLabel 286"/>
    <w:qFormat w:val="1"/>
    <w:rPr>
      <w:u w:val="none"/>
    </w:rPr>
  </w:style>
  <w:style w:type="character" w:styleId="ListLabel287">
    <w:name w:val="ListLabel 287"/>
    <w:qFormat w:val="1"/>
    <w:rPr>
      <w:u w:val="none"/>
    </w:rPr>
  </w:style>
  <w:style w:type="character" w:styleId="ListLabel288">
    <w:name w:val="ListLabel 288"/>
    <w:qFormat w:val="1"/>
    <w:rPr>
      <w:u w:val="none"/>
    </w:rPr>
  </w:style>
  <w:style w:type="character" w:styleId="ListLabel289">
    <w:name w:val="ListLabel 289"/>
    <w:qFormat w:val="1"/>
    <w:rPr>
      <w:u w:val="none"/>
    </w:rPr>
  </w:style>
  <w:style w:type="character" w:styleId="ListLabel290">
    <w:name w:val="ListLabel 290"/>
    <w:qFormat w:val="1"/>
    <w:rPr>
      <w:rFonts w:ascii="Arial" w:hAnsi="Arial"/>
      <w:b w:val="0"/>
      <w:sz w:val="22"/>
      <w:szCs w:val="22"/>
      <w:u w:val="none"/>
    </w:rPr>
  </w:style>
  <w:style w:type="character" w:styleId="ListLabel291">
    <w:name w:val="ListLabel 291"/>
    <w:qFormat w:val="1"/>
    <w:rPr>
      <w:u w:val="none"/>
    </w:rPr>
  </w:style>
  <w:style w:type="character" w:styleId="ListLabel292">
    <w:name w:val="ListLabel 292"/>
    <w:qFormat w:val="1"/>
    <w:rPr>
      <w:u w:val="none"/>
    </w:rPr>
  </w:style>
  <w:style w:type="character" w:styleId="ListLabel293">
    <w:name w:val="ListLabel 293"/>
    <w:qFormat w:val="1"/>
    <w:rPr>
      <w:u w:val="none"/>
    </w:rPr>
  </w:style>
  <w:style w:type="character" w:styleId="ListLabel294">
    <w:name w:val="ListLabel 294"/>
    <w:qFormat w:val="1"/>
    <w:rPr>
      <w:u w:val="none"/>
    </w:rPr>
  </w:style>
  <w:style w:type="character" w:styleId="ListLabel295">
    <w:name w:val="ListLabel 295"/>
    <w:qFormat w:val="1"/>
    <w:rPr>
      <w:u w:val="none"/>
    </w:rPr>
  </w:style>
  <w:style w:type="character" w:styleId="ListLabel296">
    <w:name w:val="ListLabel 296"/>
    <w:qFormat w:val="1"/>
    <w:rPr>
      <w:u w:val="none"/>
    </w:rPr>
  </w:style>
  <w:style w:type="character" w:styleId="ListLabel297">
    <w:name w:val="ListLabel 297"/>
    <w:qFormat w:val="1"/>
    <w:rPr>
      <w:u w:val="none"/>
    </w:rPr>
  </w:style>
  <w:style w:type="character" w:styleId="ListLabel298">
    <w:name w:val="ListLabel 298"/>
    <w:qFormat w:val="1"/>
    <w:rPr>
      <w:u w:val="none"/>
    </w:rPr>
  </w:style>
  <w:style w:type="character" w:styleId="ListLabel299">
    <w:name w:val="ListLabel 299"/>
    <w:qFormat w:val="1"/>
    <w:rPr>
      <w:rFonts w:ascii="Arial" w:hAnsi="Arial"/>
      <w:b w:val="0"/>
      <w:sz w:val="22"/>
      <w:szCs w:val="22"/>
      <w:u w:val="none"/>
    </w:rPr>
  </w:style>
  <w:style w:type="character" w:styleId="ListLabel300">
    <w:name w:val="ListLabel 300"/>
    <w:qFormat w:val="1"/>
    <w:rPr>
      <w:u w:val="none"/>
    </w:rPr>
  </w:style>
  <w:style w:type="character" w:styleId="ListLabel301">
    <w:name w:val="ListLabel 301"/>
    <w:qFormat w:val="1"/>
    <w:rPr>
      <w:u w:val="none"/>
    </w:rPr>
  </w:style>
  <w:style w:type="character" w:styleId="ListLabel302">
    <w:name w:val="ListLabel 302"/>
    <w:qFormat w:val="1"/>
    <w:rPr>
      <w:u w:val="none"/>
    </w:rPr>
  </w:style>
  <w:style w:type="character" w:styleId="ListLabel303">
    <w:name w:val="ListLabel 303"/>
    <w:qFormat w:val="1"/>
    <w:rPr>
      <w:u w:val="none"/>
    </w:rPr>
  </w:style>
  <w:style w:type="character" w:styleId="ListLabel304">
    <w:name w:val="ListLabel 304"/>
    <w:qFormat w:val="1"/>
    <w:rPr>
      <w:u w:val="none"/>
    </w:rPr>
  </w:style>
  <w:style w:type="character" w:styleId="ListLabel305">
    <w:name w:val="ListLabel 305"/>
    <w:qFormat w:val="1"/>
    <w:rPr>
      <w:u w:val="none"/>
    </w:rPr>
  </w:style>
  <w:style w:type="character" w:styleId="ListLabel306">
    <w:name w:val="ListLabel 306"/>
    <w:qFormat w:val="1"/>
    <w:rPr>
      <w:u w:val="none"/>
    </w:rPr>
  </w:style>
  <w:style w:type="character" w:styleId="ListLabel307">
    <w:name w:val="ListLabel 307"/>
    <w:qFormat w:val="1"/>
    <w:rPr>
      <w:u w:val="none"/>
    </w:rPr>
  </w:style>
  <w:style w:type="character" w:styleId="ListLabel308">
    <w:name w:val="ListLabel 308"/>
    <w:qFormat w:val="1"/>
    <w:rPr>
      <w:rFonts w:ascii="Arial" w:cs="Arial" w:eastAsia="Arial" w:hAnsi="Arial"/>
      <w:b w:val="0"/>
      <w:i w:val="0"/>
      <w:caps w:val="0"/>
      <w:smallCaps w:val="0"/>
      <w:strike w:val="0"/>
      <w:dstrike w:val="0"/>
      <w:position w:val="0"/>
      <w:sz w:val="22"/>
      <w:szCs w:val="22"/>
      <w:u w:val="single"/>
      <w:vertAlign w:val="baseline"/>
    </w:rPr>
  </w:style>
  <w:style w:type="character" w:styleId="ListLabel309">
    <w:name w:val="ListLabel 309"/>
    <w:qFormat w:val="1"/>
    <w:rPr>
      <w:rFonts w:ascii="Arial" w:cs="Arial" w:eastAsia="Arial" w:hAnsi="Arial"/>
      <w:b w:val="0"/>
      <w:i w:val="0"/>
      <w:caps w:val="0"/>
      <w:smallCaps w:val="0"/>
      <w:strike w:val="0"/>
      <w:dstrike w:val="0"/>
      <w:position w:val="0"/>
      <w:sz w:val="22"/>
      <w:szCs w:val="22"/>
      <w:u w:val="none"/>
      <w:vertAlign w:val="baseline"/>
    </w:rPr>
  </w:style>
  <w:style w:type="character" w:styleId="ListLabel310">
    <w:name w:val="ListLabel 310"/>
    <w:qFormat w:val="1"/>
    <w:rPr>
      <w:rFonts w:ascii="Arial" w:cs="Arial" w:eastAsia="Arial" w:hAnsi="Arial"/>
      <w:b w:val="0"/>
      <w:i w:val="0"/>
      <w:caps w:val="0"/>
      <w:smallCaps w:val="0"/>
      <w:strike w:val="0"/>
      <w:dstrike w:val="0"/>
      <w:position w:val="0"/>
      <w:sz w:val="22"/>
      <w:szCs w:val="22"/>
      <w:highlight w:val="white"/>
      <w:u w:val="none"/>
      <w:vertAlign w:val="baseline"/>
    </w:rPr>
  </w:style>
  <w:style w:type="character" w:styleId="ListLabel311">
    <w:name w:val="ListLabel 311"/>
    <w:qFormat w:val="1"/>
    <w:rPr>
      <w:rFonts w:ascii="Arial" w:cs="Arial" w:eastAsia="Arial" w:hAnsi="Arial"/>
      <w:sz w:val="22"/>
      <w:szCs w:val="22"/>
    </w:rPr>
  </w:style>
  <w:style w:type="character" w:styleId="ListLabel312">
    <w:name w:val="ListLabel 312"/>
    <w:qFormat w:val="1"/>
    <w:rPr>
      <w:rFonts w:ascii="Arial" w:cs="Arial" w:eastAsia="Arial" w:hAnsi="Arial"/>
      <w:sz w:val="22"/>
      <w:szCs w:val="22"/>
      <w:u w:val="single"/>
    </w:rPr>
  </w:style>
  <w:style w:type="character" w:styleId="ListLabel313">
    <w:name w:val="ListLabel 313"/>
    <w:qFormat w:val="1"/>
    <w:rPr>
      <w:rFonts w:ascii="Arial" w:cs="Wingdings" w:hAnsi="Arial"/>
      <w:b w:val="0"/>
      <w:sz w:val="22"/>
      <w:szCs w:val="22"/>
      <w:u w:val="none"/>
    </w:rPr>
  </w:style>
  <w:style w:type="character" w:styleId="ListLabel314">
    <w:name w:val="ListLabel 314"/>
    <w:qFormat w:val="1"/>
    <w:rPr>
      <w:rFonts w:cs="Wingdings"/>
      <w:u w:val="none"/>
    </w:rPr>
  </w:style>
  <w:style w:type="character" w:styleId="ListLabel315">
    <w:name w:val="ListLabel 315"/>
    <w:qFormat w:val="1"/>
    <w:rPr>
      <w:rFonts w:cs="OpenSymbol"/>
      <w:u w:val="none"/>
    </w:rPr>
  </w:style>
  <w:style w:type="character" w:styleId="ListLabel316">
    <w:name w:val="ListLabel 316"/>
    <w:qFormat w:val="1"/>
    <w:rPr>
      <w:rFonts w:cs="Wingdings"/>
      <w:u w:val="none"/>
    </w:rPr>
  </w:style>
  <w:style w:type="character" w:styleId="ListLabel317">
    <w:name w:val="ListLabel 317"/>
    <w:qFormat w:val="1"/>
    <w:rPr>
      <w:rFonts w:cs="Wingdings"/>
      <w:u w:val="none"/>
    </w:rPr>
  </w:style>
  <w:style w:type="character" w:styleId="ListLabel318">
    <w:name w:val="ListLabel 318"/>
    <w:qFormat w:val="1"/>
    <w:rPr>
      <w:rFonts w:cs="OpenSymbol"/>
      <w:u w:val="none"/>
    </w:rPr>
  </w:style>
  <w:style w:type="character" w:styleId="ListLabel319">
    <w:name w:val="ListLabel 319"/>
    <w:qFormat w:val="1"/>
    <w:rPr>
      <w:rFonts w:cs="Wingdings"/>
      <w:u w:val="none"/>
    </w:rPr>
  </w:style>
  <w:style w:type="character" w:styleId="ListLabel320">
    <w:name w:val="ListLabel 320"/>
    <w:qFormat w:val="1"/>
    <w:rPr>
      <w:rFonts w:cs="Wingdings"/>
      <w:u w:val="none"/>
    </w:rPr>
  </w:style>
  <w:style w:type="character" w:styleId="ListLabel321">
    <w:name w:val="ListLabel 321"/>
    <w:qFormat w:val="1"/>
    <w:rPr>
      <w:rFonts w:cs="OpenSymbol"/>
      <w:u w:val="none"/>
    </w:rPr>
  </w:style>
  <w:style w:type="character" w:styleId="ListLabel322">
    <w:name w:val="ListLabel 322"/>
    <w:qFormat w:val="1"/>
    <w:rPr>
      <w:rFonts w:ascii="Arial" w:cs="Wingdings" w:hAnsi="Arial"/>
      <w:b w:val="0"/>
      <w:sz w:val="22"/>
      <w:szCs w:val="22"/>
      <w:u w:val="none"/>
    </w:rPr>
  </w:style>
  <w:style w:type="character" w:styleId="ListLabel323">
    <w:name w:val="ListLabel 323"/>
    <w:qFormat w:val="1"/>
    <w:rPr>
      <w:rFonts w:cs="Wingdings"/>
      <w:u w:val="none"/>
    </w:rPr>
  </w:style>
  <w:style w:type="character" w:styleId="ListLabel324">
    <w:name w:val="ListLabel 324"/>
    <w:qFormat w:val="1"/>
    <w:rPr>
      <w:rFonts w:cs="OpenSymbol"/>
      <w:u w:val="none"/>
    </w:rPr>
  </w:style>
  <w:style w:type="character" w:styleId="ListLabel325">
    <w:name w:val="ListLabel 325"/>
    <w:qFormat w:val="1"/>
    <w:rPr>
      <w:rFonts w:cs="Wingdings"/>
      <w:u w:val="none"/>
    </w:rPr>
  </w:style>
  <w:style w:type="character" w:styleId="ListLabel326">
    <w:name w:val="ListLabel 326"/>
    <w:qFormat w:val="1"/>
    <w:rPr>
      <w:rFonts w:cs="Wingdings"/>
      <w:u w:val="none"/>
    </w:rPr>
  </w:style>
  <w:style w:type="character" w:styleId="ListLabel327">
    <w:name w:val="ListLabel 327"/>
    <w:qFormat w:val="1"/>
    <w:rPr>
      <w:rFonts w:cs="OpenSymbol"/>
      <w:u w:val="none"/>
    </w:rPr>
  </w:style>
  <w:style w:type="character" w:styleId="ListLabel328">
    <w:name w:val="ListLabel 328"/>
    <w:qFormat w:val="1"/>
    <w:rPr>
      <w:rFonts w:cs="Wingdings"/>
      <w:u w:val="none"/>
    </w:rPr>
  </w:style>
  <w:style w:type="character" w:styleId="ListLabel329">
    <w:name w:val="ListLabel 329"/>
    <w:qFormat w:val="1"/>
    <w:rPr>
      <w:rFonts w:cs="Wingdings"/>
      <w:u w:val="none"/>
    </w:rPr>
  </w:style>
  <w:style w:type="character" w:styleId="ListLabel330">
    <w:name w:val="ListLabel 330"/>
    <w:qFormat w:val="1"/>
    <w:rPr>
      <w:rFonts w:cs="OpenSymbol"/>
      <w:u w:val="none"/>
    </w:rPr>
  </w:style>
  <w:style w:type="character" w:styleId="ListLabel331">
    <w:name w:val="ListLabel 331"/>
    <w:qFormat w:val="1"/>
    <w:rPr>
      <w:rFonts w:ascii="Arial" w:cs="Wingdings" w:hAnsi="Arial"/>
      <w:b w:val="0"/>
      <w:sz w:val="22"/>
      <w:szCs w:val="22"/>
      <w:u w:val="none"/>
    </w:rPr>
  </w:style>
  <w:style w:type="character" w:styleId="ListLabel332">
    <w:name w:val="ListLabel 332"/>
    <w:qFormat w:val="1"/>
    <w:rPr>
      <w:rFonts w:cs="Wingdings"/>
      <w:u w:val="none"/>
    </w:rPr>
  </w:style>
  <w:style w:type="character" w:styleId="ListLabel333">
    <w:name w:val="ListLabel 333"/>
    <w:qFormat w:val="1"/>
    <w:rPr>
      <w:rFonts w:cs="OpenSymbol"/>
      <w:u w:val="none"/>
    </w:rPr>
  </w:style>
  <w:style w:type="character" w:styleId="ListLabel334">
    <w:name w:val="ListLabel 334"/>
    <w:qFormat w:val="1"/>
    <w:rPr>
      <w:rFonts w:cs="Wingdings"/>
      <w:u w:val="none"/>
    </w:rPr>
  </w:style>
  <w:style w:type="character" w:styleId="ListLabel335">
    <w:name w:val="ListLabel 335"/>
    <w:qFormat w:val="1"/>
    <w:rPr>
      <w:rFonts w:cs="Wingdings"/>
      <w:u w:val="none"/>
    </w:rPr>
  </w:style>
  <w:style w:type="character" w:styleId="ListLabel336">
    <w:name w:val="ListLabel 336"/>
    <w:qFormat w:val="1"/>
    <w:rPr>
      <w:rFonts w:cs="OpenSymbol"/>
      <w:u w:val="none"/>
    </w:rPr>
  </w:style>
  <w:style w:type="character" w:styleId="ListLabel337">
    <w:name w:val="ListLabel 337"/>
    <w:qFormat w:val="1"/>
    <w:rPr>
      <w:rFonts w:cs="Wingdings"/>
      <w:u w:val="none"/>
    </w:rPr>
  </w:style>
  <w:style w:type="character" w:styleId="ListLabel338">
    <w:name w:val="ListLabel 338"/>
    <w:qFormat w:val="1"/>
    <w:rPr>
      <w:rFonts w:cs="Wingdings"/>
      <w:u w:val="none"/>
    </w:rPr>
  </w:style>
  <w:style w:type="character" w:styleId="ListLabel339">
    <w:name w:val="ListLabel 339"/>
    <w:qFormat w:val="1"/>
    <w:rPr>
      <w:rFonts w:cs="OpenSymbol"/>
      <w:u w:val="none"/>
    </w:rPr>
  </w:style>
  <w:style w:type="character" w:styleId="ListLabel340">
    <w:name w:val="ListLabel 340"/>
    <w:qFormat w:val="1"/>
    <w:rPr>
      <w:rFonts w:ascii="Arial" w:cs="Arial" w:eastAsia="Arial" w:hAnsi="Arial"/>
      <w:b w:val="0"/>
      <w:i w:val="0"/>
      <w:caps w:val="0"/>
      <w:smallCaps w:val="0"/>
      <w:strike w:val="0"/>
      <w:dstrike w:val="0"/>
      <w:position w:val="0"/>
      <w:sz w:val="22"/>
      <w:szCs w:val="22"/>
      <w:u w:val="single"/>
      <w:vertAlign w:val="baseline"/>
    </w:rPr>
  </w:style>
  <w:style w:type="character" w:styleId="ListLabel341">
    <w:name w:val="ListLabel 341"/>
    <w:qFormat w:val="1"/>
    <w:rPr>
      <w:rFonts w:ascii="Arial" w:cs="Arial" w:eastAsia="Arial" w:hAnsi="Arial"/>
      <w:b w:val="0"/>
      <w:i w:val="0"/>
      <w:caps w:val="0"/>
      <w:smallCaps w:val="0"/>
      <w:strike w:val="0"/>
      <w:dstrike w:val="0"/>
      <w:position w:val="0"/>
      <w:sz w:val="22"/>
      <w:szCs w:val="22"/>
      <w:u w:val="none"/>
      <w:vertAlign w:val="baseline"/>
    </w:rPr>
  </w:style>
  <w:style w:type="character" w:styleId="ListLabel342">
    <w:name w:val="ListLabel 342"/>
    <w:qFormat w:val="1"/>
    <w:rPr>
      <w:rFonts w:ascii="Arial" w:cs="Arial" w:eastAsia="Arial" w:hAnsi="Arial"/>
      <w:b w:val="0"/>
      <w:i w:val="0"/>
      <w:caps w:val="0"/>
      <w:smallCaps w:val="0"/>
      <w:strike w:val="0"/>
      <w:dstrike w:val="0"/>
      <w:position w:val="0"/>
      <w:sz w:val="22"/>
      <w:szCs w:val="22"/>
      <w:highlight w:val="white"/>
      <w:u w:val="none"/>
      <w:vertAlign w:val="baseline"/>
    </w:rPr>
  </w:style>
  <w:style w:type="character" w:styleId="ListLabel343">
    <w:name w:val="ListLabel 343"/>
    <w:qFormat w:val="1"/>
    <w:rPr>
      <w:rFonts w:ascii="Arial" w:cs="Arial" w:eastAsia="Arial" w:hAnsi="Arial"/>
      <w:sz w:val="22"/>
      <w:szCs w:val="22"/>
    </w:rPr>
  </w:style>
  <w:style w:type="character" w:styleId="ListLabel344">
    <w:name w:val="ListLabel 344"/>
    <w:qFormat w:val="1"/>
    <w:rPr>
      <w:rFonts w:ascii="Arial" w:cs="Arial" w:eastAsia="Arial" w:hAnsi="Arial"/>
      <w:sz w:val="22"/>
      <w:szCs w:val="22"/>
      <w:u w:val="single"/>
    </w:rPr>
  </w:style>
  <w:style w:type="character" w:styleId="ListLabel345">
    <w:name w:val="ListLabel 345"/>
    <w:qFormat w:val="1"/>
    <w:rPr>
      <w:rFonts w:ascii="Arial" w:cs="Wingdings" w:hAnsi="Arial"/>
      <w:b w:val="0"/>
      <w:sz w:val="22"/>
      <w:szCs w:val="22"/>
      <w:u w:val="none"/>
    </w:rPr>
  </w:style>
  <w:style w:type="character" w:styleId="ListLabel346">
    <w:name w:val="ListLabel 346"/>
    <w:qFormat w:val="1"/>
    <w:rPr>
      <w:rFonts w:cs="Wingdings"/>
      <w:u w:val="none"/>
    </w:rPr>
  </w:style>
  <w:style w:type="character" w:styleId="ListLabel347">
    <w:name w:val="ListLabel 347"/>
    <w:qFormat w:val="1"/>
    <w:rPr>
      <w:rFonts w:cs="OpenSymbol"/>
      <w:u w:val="none"/>
    </w:rPr>
  </w:style>
  <w:style w:type="character" w:styleId="ListLabel348">
    <w:name w:val="ListLabel 348"/>
    <w:qFormat w:val="1"/>
    <w:rPr>
      <w:rFonts w:cs="Wingdings"/>
      <w:u w:val="none"/>
    </w:rPr>
  </w:style>
  <w:style w:type="character" w:styleId="ListLabel349">
    <w:name w:val="ListLabel 349"/>
    <w:qFormat w:val="1"/>
    <w:rPr>
      <w:rFonts w:cs="Wingdings"/>
      <w:u w:val="none"/>
    </w:rPr>
  </w:style>
  <w:style w:type="character" w:styleId="ListLabel350">
    <w:name w:val="ListLabel 350"/>
    <w:qFormat w:val="1"/>
    <w:rPr>
      <w:rFonts w:cs="OpenSymbol"/>
      <w:u w:val="none"/>
    </w:rPr>
  </w:style>
  <w:style w:type="character" w:styleId="ListLabel351">
    <w:name w:val="ListLabel 351"/>
    <w:qFormat w:val="1"/>
    <w:rPr>
      <w:rFonts w:cs="Wingdings"/>
      <w:u w:val="none"/>
    </w:rPr>
  </w:style>
  <w:style w:type="character" w:styleId="ListLabel352">
    <w:name w:val="ListLabel 352"/>
    <w:qFormat w:val="1"/>
    <w:rPr>
      <w:rFonts w:cs="Wingdings"/>
      <w:u w:val="none"/>
    </w:rPr>
  </w:style>
  <w:style w:type="character" w:styleId="ListLabel353">
    <w:name w:val="ListLabel 353"/>
    <w:qFormat w:val="1"/>
    <w:rPr>
      <w:rFonts w:cs="OpenSymbol"/>
      <w:u w:val="none"/>
    </w:rPr>
  </w:style>
  <w:style w:type="character" w:styleId="ListLabel354">
    <w:name w:val="ListLabel 354"/>
    <w:qFormat w:val="1"/>
    <w:rPr>
      <w:rFonts w:ascii="Arial" w:cs="Wingdings" w:hAnsi="Arial"/>
      <w:b w:val="0"/>
      <w:sz w:val="22"/>
      <w:szCs w:val="22"/>
      <w:u w:val="none"/>
    </w:rPr>
  </w:style>
  <w:style w:type="character" w:styleId="ListLabel355">
    <w:name w:val="ListLabel 355"/>
    <w:qFormat w:val="1"/>
    <w:rPr>
      <w:rFonts w:cs="Wingdings"/>
      <w:u w:val="none"/>
    </w:rPr>
  </w:style>
  <w:style w:type="character" w:styleId="ListLabel356">
    <w:name w:val="ListLabel 356"/>
    <w:qFormat w:val="1"/>
    <w:rPr>
      <w:rFonts w:cs="OpenSymbol"/>
      <w:u w:val="none"/>
    </w:rPr>
  </w:style>
  <w:style w:type="character" w:styleId="ListLabel357">
    <w:name w:val="ListLabel 357"/>
    <w:qFormat w:val="1"/>
    <w:rPr>
      <w:rFonts w:cs="Wingdings"/>
      <w:u w:val="none"/>
    </w:rPr>
  </w:style>
  <w:style w:type="character" w:styleId="ListLabel358">
    <w:name w:val="ListLabel 358"/>
    <w:qFormat w:val="1"/>
    <w:rPr>
      <w:rFonts w:cs="Wingdings"/>
      <w:u w:val="none"/>
    </w:rPr>
  </w:style>
  <w:style w:type="character" w:styleId="ListLabel359">
    <w:name w:val="ListLabel 359"/>
    <w:qFormat w:val="1"/>
    <w:rPr>
      <w:rFonts w:cs="OpenSymbol"/>
      <w:u w:val="none"/>
    </w:rPr>
  </w:style>
  <w:style w:type="character" w:styleId="ListLabel360">
    <w:name w:val="ListLabel 360"/>
    <w:qFormat w:val="1"/>
    <w:rPr>
      <w:rFonts w:cs="Wingdings"/>
      <w:u w:val="none"/>
    </w:rPr>
  </w:style>
  <w:style w:type="character" w:styleId="ListLabel361">
    <w:name w:val="ListLabel 361"/>
    <w:qFormat w:val="1"/>
    <w:rPr>
      <w:rFonts w:cs="Wingdings"/>
      <w:u w:val="none"/>
    </w:rPr>
  </w:style>
  <w:style w:type="character" w:styleId="ListLabel362">
    <w:name w:val="ListLabel 362"/>
    <w:qFormat w:val="1"/>
    <w:rPr>
      <w:rFonts w:cs="OpenSymbol"/>
      <w:u w:val="none"/>
    </w:rPr>
  </w:style>
  <w:style w:type="character" w:styleId="ListLabel363">
    <w:name w:val="ListLabel 363"/>
    <w:qFormat w:val="1"/>
    <w:rPr>
      <w:rFonts w:ascii="Arial" w:cs="Wingdings" w:hAnsi="Arial"/>
      <w:b w:val="0"/>
      <w:sz w:val="22"/>
      <w:szCs w:val="22"/>
      <w:u w:val="none"/>
    </w:rPr>
  </w:style>
  <w:style w:type="character" w:styleId="ListLabel364">
    <w:name w:val="ListLabel 364"/>
    <w:qFormat w:val="1"/>
    <w:rPr>
      <w:rFonts w:cs="Wingdings"/>
      <w:u w:val="none"/>
    </w:rPr>
  </w:style>
  <w:style w:type="character" w:styleId="ListLabel365">
    <w:name w:val="ListLabel 365"/>
    <w:qFormat w:val="1"/>
    <w:rPr>
      <w:rFonts w:cs="OpenSymbol"/>
      <w:u w:val="none"/>
    </w:rPr>
  </w:style>
  <w:style w:type="character" w:styleId="ListLabel366">
    <w:name w:val="ListLabel 366"/>
    <w:qFormat w:val="1"/>
    <w:rPr>
      <w:rFonts w:cs="Wingdings"/>
      <w:u w:val="none"/>
    </w:rPr>
  </w:style>
  <w:style w:type="character" w:styleId="ListLabel367">
    <w:name w:val="ListLabel 367"/>
    <w:qFormat w:val="1"/>
    <w:rPr>
      <w:rFonts w:cs="Wingdings"/>
      <w:u w:val="none"/>
    </w:rPr>
  </w:style>
  <w:style w:type="character" w:styleId="ListLabel368">
    <w:name w:val="ListLabel 368"/>
    <w:qFormat w:val="1"/>
    <w:rPr>
      <w:rFonts w:cs="OpenSymbol"/>
      <w:u w:val="none"/>
    </w:rPr>
  </w:style>
  <w:style w:type="character" w:styleId="ListLabel369">
    <w:name w:val="ListLabel 369"/>
    <w:qFormat w:val="1"/>
    <w:rPr>
      <w:rFonts w:cs="Wingdings"/>
      <w:u w:val="none"/>
    </w:rPr>
  </w:style>
  <w:style w:type="character" w:styleId="ListLabel370">
    <w:name w:val="ListLabel 370"/>
    <w:qFormat w:val="1"/>
    <w:rPr>
      <w:rFonts w:cs="Wingdings"/>
      <w:u w:val="none"/>
    </w:rPr>
  </w:style>
  <w:style w:type="character" w:styleId="ListLabel371">
    <w:name w:val="ListLabel 371"/>
    <w:qFormat w:val="1"/>
    <w:rPr>
      <w:rFonts w:cs="OpenSymbol"/>
      <w:u w:val="none"/>
    </w:rPr>
  </w:style>
  <w:style w:type="character" w:styleId="ListLabel372">
    <w:name w:val="ListLabel 372"/>
    <w:qFormat w:val="1"/>
    <w:rPr>
      <w:rFonts w:ascii="Arial" w:cs="Arial" w:eastAsia="Arial" w:hAnsi="Arial"/>
      <w:b w:val="0"/>
      <w:i w:val="0"/>
      <w:caps w:val="0"/>
      <w:smallCaps w:val="0"/>
      <w:strike w:val="0"/>
      <w:dstrike w:val="0"/>
      <w:position w:val="0"/>
      <w:sz w:val="22"/>
      <w:szCs w:val="22"/>
      <w:u w:val="single"/>
      <w:vertAlign w:val="baseline"/>
    </w:rPr>
  </w:style>
  <w:style w:type="character" w:styleId="ListLabel373">
    <w:name w:val="ListLabel 373"/>
    <w:qFormat w:val="1"/>
    <w:rPr>
      <w:rFonts w:ascii="Arial" w:cs="Arial" w:eastAsia="Arial" w:hAnsi="Arial"/>
      <w:b w:val="0"/>
      <w:i w:val="0"/>
      <w:caps w:val="0"/>
      <w:smallCaps w:val="0"/>
      <w:strike w:val="0"/>
      <w:dstrike w:val="0"/>
      <w:position w:val="0"/>
      <w:sz w:val="22"/>
      <w:szCs w:val="22"/>
      <w:u w:val="none"/>
      <w:vertAlign w:val="baseline"/>
    </w:rPr>
  </w:style>
  <w:style w:type="character" w:styleId="ListLabel374">
    <w:name w:val="ListLabel 374"/>
    <w:qFormat w:val="1"/>
    <w:rPr>
      <w:rFonts w:ascii="Arial" w:cs="Arial" w:eastAsia="Arial" w:hAnsi="Arial"/>
      <w:b w:val="0"/>
      <w:i w:val="0"/>
      <w:caps w:val="0"/>
      <w:smallCaps w:val="0"/>
      <w:strike w:val="0"/>
      <w:dstrike w:val="0"/>
      <w:position w:val="0"/>
      <w:sz w:val="22"/>
      <w:szCs w:val="22"/>
      <w:highlight w:val="white"/>
      <w:u w:val="none"/>
      <w:vertAlign w:val="baseline"/>
    </w:rPr>
  </w:style>
  <w:style w:type="character" w:styleId="ListLabel375">
    <w:name w:val="ListLabel 375"/>
    <w:qFormat w:val="1"/>
    <w:rPr>
      <w:rFonts w:ascii="Arial" w:cs="Arial" w:eastAsia="Arial" w:hAnsi="Arial"/>
      <w:sz w:val="22"/>
      <w:szCs w:val="22"/>
    </w:rPr>
  </w:style>
  <w:style w:type="character" w:styleId="ListLabel376">
    <w:name w:val="ListLabel 376"/>
    <w:qFormat w:val="1"/>
    <w:rPr>
      <w:rFonts w:ascii="Arial" w:cs="Arial" w:eastAsia="Arial" w:hAnsi="Arial"/>
      <w:sz w:val="22"/>
      <w:szCs w:val="22"/>
      <w:u w:val="single"/>
    </w:rPr>
  </w:style>
  <w:style w:type="paragraph" w:styleId="Ttulo">
    <w:name w:val="Título"/>
    <w:basedOn w:val="Normal"/>
    <w:next w:val="Corpodetexto"/>
    <w:qFormat w:val="1"/>
    <w:pPr>
      <w:keepNext w:val="1"/>
      <w:widowControl w:val="0"/>
      <w:bidi w:val="0"/>
      <w:spacing w:after="120" w:before="240"/>
      <w:jc w:val="left"/>
    </w:pPr>
    <w:rPr>
      <w:rFonts w:ascii="Liberation Sans" w:cs="Mangal" w:eastAsia="Arial Unicode MS" w:hAnsi="Liberation Sans"/>
      <w:color w:val="00000a"/>
      <w:kern w:val="0"/>
      <w:sz w:val="28"/>
      <w:szCs w:val="28"/>
      <w:lang w:bidi="hi-IN" w:eastAsia="zh-CN" w:val="pt-BR"/>
    </w:rPr>
  </w:style>
  <w:style w:type="paragraph" w:styleId="Corpodetexto">
    <w:name w:val="Body Text"/>
    <w:basedOn w:val="Normal"/>
    <w:pPr>
      <w:widowControl w:val="0"/>
      <w:bidi w:val="0"/>
      <w:spacing w:after="140" w:before="0" w:line="276" w:lineRule="auto"/>
      <w:jc w:val="left"/>
    </w:pPr>
    <w:rPr>
      <w:rFonts w:ascii="Calibri" w:cs="Mangal" w:eastAsia="Arial Unicode MS" w:hAnsi="Calibri"/>
      <w:color w:val="00000a"/>
      <w:kern w:val="0"/>
      <w:sz w:val="20"/>
      <w:szCs w:val="20"/>
      <w:lang w:bidi="hi-IN" w:eastAsia="zh-CN" w:val="pt-BR"/>
    </w:rPr>
  </w:style>
  <w:style w:type="paragraph" w:styleId="Lista">
    <w:name w:val="List"/>
    <w:basedOn w:val="Corpodetexto"/>
    <w:pPr/>
    <w:rPr>
      <w:rFonts w:cs="Mangal"/>
    </w:rPr>
  </w:style>
  <w:style w:type="paragraph" w:styleId="Legenda">
    <w:name w:val="Caption"/>
    <w:basedOn w:val="Normal"/>
    <w:qFormat w:val="1"/>
    <w:pPr>
      <w:widowControl w:val="0"/>
      <w:suppressLineNumbers w:val="1"/>
      <w:bidi w:val="0"/>
      <w:spacing w:after="120" w:before="120"/>
      <w:jc w:val="left"/>
    </w:pPr>
    <w:rPr>
      <w:rFonts w:ascii="Calibri" w:cs="Mangal" w:eastAsia="Arial Unicode MS" w:hAnsi="Calibri"/>
      <w:i w:val="1"/>
      <w:iCs w:val="1"/>
      <w:color w:val="00000a"/>
      <w:kern w:val="0"/>
      <w:sz w:val="24"/>
      <w:szCs w:val="24"/>
      <w:lang w:bidi="hi-IN" w:eastAsia="zh-CN" w:val="pt-BR"/>
    </w:rPr>
  </w:style>
  <w:style w:type="paragraph" w:styleId="Ndice">
    <w:name w:val="Índice"/>
    <w:basedOn w:val="Normal"/>
    <w:qFormat w:val="1"/>
    <w:pPr>
      <w:widowControl w:val="0"/>
      <w:suppressLineNumbers w:val="1"/>
      <w:bidi w:val="0"/>
      <w:jc w:val="left"/>
    </w:pPr>
    <w:rPr>
      <w:rFonts w:ascii="Calibri" w:cs="Mangal" w:eastAsia="Arial Unicode MS" w:hAnsi="Calibri"/>
      <w:color w:val="00000a"/>
      <w:kern w:val="0"/>
      <w:sz w:val="20"/>
      <w:szCs w:val="20"/>
      <w:lang w:bidi="hi-IN" w:eastAsia="zh-CN" w:val="pt-BR"/>
    </w:rPr>
  </w:style>
  <w:style w:type="paragraph" w:styleId="LOnormal1" w:default="1">
    <w:name w:val="LO-normal1"/>
    <w:qFormat w:val="1"/>
    <w:pPr>
      <w:widowControl w:val="1"/>
      <w:bidi w:val="0"/>
      <w:jc w:val="left"/>
    </w:pPr>
    <w:rPr>
      <w:rFonts w:ascii="Calibri" w:cs="Mangal" w:eastAsia="Arial Unicode MS" w:hAnsi="Calibri"/>
      <w:color w:val="00000a"/>
      <w:kern w:val="0"/>
      <w:sz w:val="20"/>
      <w:szCs w:val="20"/>
      <w:lang w:bidi="hi-IN" w:eastAsia="zh-CN" w:val="pt-BR"/>
    </w:rPr>
  </w:style>
  <w:style w:type="paragraph" w:styleId="LOnormal" w:customStyle="1">
    <w:name w:val="LO-normal"/>
    <w:qFormat w:val="1"/>
    <w:rsid w:val="00D62F89"/>
    <w:pPr>
      <w:widowControl w:val="1"/>
      <w:bidi w:val="0"/>
      <w:jc w:val="left"/>
    </w:pPr>
    <w:rPr>
      <w:rFonts w:ascii="Times New Roman" w:cs="Times New Roman" w:eastAsia="Times New Roman" w:hAnsi="Times New Roman"/>
      <w:color w:val="00000a"/>
      <w:kern w:val="0"/>
      <w:sz w:val="20"/>
      <w:szCs w:val="20"/>
      <w:lang w:bidi="ar-SA" w:eastAsia="pt-BR" w:val="pt-BR"/>
    </w:rPr>
  </w:style>
  <w:style w:type="paragraph" w:styleId="BalloonText">
    <w:name w:val="Balloon Text"/>
    <w:basedOn w:val="LOnormal1"/>
    <w:link w:val="TextodebaloChar"/>
    <w:uiPriority w:val="99"/>
    <w:semiHidden w:val="1"/>
    <w:unhideWhenUsed w:val="1"/>
    <w:qFormat w:val="1"/>
    <w:rsid w:val="00C666DB"/>
    <w:pPr/>
    <w:rPr>
      <w:rFonts w:ascii="Tahoma" w:cs="Tahoma" w:hAnsi="Tahoma"/>
      <w:sz w:val="16"/>
      <w:szCs w:val="16"/>
    </w:rPr>
  </w:style>
  <w:style w:type="paragraph" w:styleId="Cabealho">
    <w:name w:val="Header"/>
    <w:basedOn w:val="LOnormal1"/>
    <w:pPr/>
    <w:rPr/>
  </w:style>
  <w:style w:type="paragraph" w:styleId="Rodap">
    <w:name w:val="Footer"/>
    <w:basedOn w:val="LOnormal1"/>
    <w:pPr/>
    <w:rPr/>
  </w:style>
  <w:style w:type="paragraph" w:styleId="Contedodatabela">
    <w:name w:val="Conteúdo da tabela"/>
    <w:basedOn w:val="LOnormal1"/>
    <w:qFormat w:val="1"/>
    <w:pPr>
      <w:suppressLineNumbers w:val="1"/>
    </w:pPr>
    <w:rPr/>
  </w:style>
  <w:style w:type="paragraph" w:styleId="Ttulodetabela">
    <w:name w:val="Título de tabela"/>
    <w:basedOn w:val="Contedodatabela"/>
    <w:qFormat w:val="1"/>
    <w:pPr>
      <w:suppressLineNumbers w:val="1"/>
      <w:jc w:val="center"/>
    </w:pPr>
    <w:rPr>
      <w:b w:val="1"/>
      <w:bCs w:val="1"/>
    </w:rPr>
  </w:style>
  <w:style w:type="numbering" w:styleId="NoList" w:default="1">
    <w:name w:val="No List"/>
    <w:uiPriority w:val="99"/>
    <w:semiHidden w:val="1"/>
    <w:unhideWhenUsed w:val="1"/>
    <w:qFormat w:val="1"/>
  </w:style>
  <w:style w:type="table" w:styleId="TableNormal" w:default="1">
    <w:name w:val="Table Normal"/>
  </w:style>
  <w:style w:type="table" w:styleId="TableNormal" w:default="1">
    <w:name w:val="Table Normal"/>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table" w:styleId="TableNormal" w:customStyle="1">
    <w:name w:val="Table Normal"/>
    <w:rsid w:val="00D62F89"/>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07.0" w:type="dxa"/>
        <w:bottom w:w="0.0" w:type="dxa"/>
        <w:right w:w="108.0" w:type="dxa"/>
      </w:tblCellMar>
    </w:tblPr>
  </w:style>
  <w:style w:type="table" w:styleId="Table2">
    <w:basedOn w:val="TableNormal"/>
    <w:tblPr>
      <w:tblStyleRowBandSize w:val="1"/>
      <w:tblStyleColBandSize w:val="1"/>
      <w:tblCellMar>
        <w:top w:w="0.0" w:type="dxa"/>
        <w:left w:w="107.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i w:val="1"/>
      <w:smallCaps w:val="0"/>
      <w:strike w:val="0"/>
      <w:color w:val="000000"/>
      <w:sz w:val="28"/>
      <w:szCs w:val="28"/>
      <w:u w:val="none"/>
      <w:shd w:fill="auto" w:val="clear"/>
      <w:vertAlign w:val="baseline"/>
    </w:r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163" TargetMode="External"/><Relationship Id="rId41"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44" Type="http://schemas.openxmlformats.org/officeDocument/2006/relationships/image" Target="media/image5.png"/><Relationship Id="rId21" Type="http://schemas.openxmlformats.org/officeDocument/2006/relationships/hyperlink" Target="http://www.planalto.gov.br/ccivil_03/_ato2019-2022/2021/lei/L14133.htm" TargetMode="External"/><Relationship Id="rId43" Type="http://schemas.openxmlformats.org/officeDocument/2006/relationships/image" Target="media/image4.png"/><Relationship Id="rId24" Type="http://schemas.openxmlformats.org/officeDocument/2006/relationships/hyperlink" Target="https://www.portaltransparencia.gov.br/sancoes/ceis" TargetMode="External"/><Relationship Id="rId46" Type="http://schemas.openxmlformats.org/officeDocument/2006/relationships/image" Target="media/image2.png"/><Relationship Id="rId23" Type="http://schemas.openxmlformats.org/officeDocument/2006/relationships/hyperlink" Target="http://www.planalto.gov.br/ccivil_03/_ato2019-2022/2021/lei/L14133.htm#art14" TargetMode="External"/><Relationship Id="rId45"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16" TargetMode="External"/><Relationship Id="rId26" Type="http://schemas.openxmlformats.org/officeDocument/2006/relationships/hyperlink" Target="http://www.planalto.gov.br/ccivil_03/_ato2019-2022/2021/lei/L14133.htm#art165" TargetMode="External"/><Relationship Id="rId25" Type="http://schemas.openxmlformats.org/officeDocument/2006/relationships/hyperlink" Target="https://www.portaltransparencia.gov.br/sancoes" TargetMode="External"/><Relationship Id="rId47" Type="http://schemas.openxmlformats.org/officeDocument/2006/relationships/image" Target="media/image1.png"/><Relationship Id="rId28" Type="http://schemas.openxmlformats.org/officeDocument/2006/relationships/hyperlink" Target="https://www.planalto.gov.br/ccivil_03/_ato2011-2014/2013/lei/l12846.htm#art5" TargetMode="External"/><Relationship Id="rId27" Type="http://schemas.openxmlformats.org/officeDocument/2006/relationships/hyperlink" Target="https://www.planalto.gov.br/ccivil_03/_ato2011-2014/2013/lei/l12846.htm#art5"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planalto.gov.br/ccivil_03/_ato2011-2014/2013/lei/l12846.htm#art5" TargetMode="External"/><Relationship Id="rId7" Type="http://schemas.openxmlformats.org/officeDocument/2006/relationships/hyperlink" Target="mailto:licitacao@pge.ce.gov.br" TargetMode="External"/><Relationship Id="rId8" Type="http://schemas.openxmlformats.org/officeDocument/2006/relationships/hyperlink" Target="http://www.gov.br/compras" TargetMode="External"/><Relationship Id="rId31" Type="http://schemas.openxmlformats.org/officeDocument/2006/relationships/hyperlink" Target="http://www.planalto.gov.br/ccivil_03/_ato2019-2022/2021/lei/L14133.htm#art156%C2%A75" TargetMode="External"/><Relationship Id="rId3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3" Type="http://schemas.openxmlformats.org/officeDocument/2006/relationships/footer" Target="footer1.xml"/><Relationship Id="rId10" Type="http://schemas.openxmlformats.org/officeDocument/2006/relationships/hyperlink" Target="https://www.planalto.gov.br/ccivil_03/leis/lcp/lcp123.htm" TargetMode="External"/><Relationship Id="rId32"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12"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art124" TargetMode="External"/><Relationship Id="rId15"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5-2018/2018/lei/l13709.htm#art15" TargetMode="External"/><Relationship Id="rId14" Type="http://schemas.openxmlformats.org/officeDocument/2006/relationships/hyperlink" Target="https://www.planalto.gov.br/ccivil_03/constituicao/constituicaocompilado.htm#art7" TargetMode="External"/><Relationship Id="rId36" Type="http://schemas.openxmlformats.org/officeDocument/2006/relationships/hyperlink" Target="https://www.planalto.gov.br/ccivil_03/_ato2015-2018/2018/lei/l13709.htm#art6" TargetMode="External"/><Relationship Id="rId17" Type="http://schemas.openxmlformats.org/officeDocument/2006/relationships/hyperlink" Target="https://www.planalto.gov.br/ccivil_03/leis/lcp/lcp123.htm#art3" TargetMode="External"/><Relationship Id="rId39" Type="http://schemas.openxmlformats.org/officeDocument/2006/relationships/hyperlink" Target="http://www.planalto.gov.br/ccivil_03/_ato2019-2022/2021/lei/L14133.htm#art158" TargetMode="External"/><Relationship Id="rId16" Type="http://schemas.openxmlformats.org/officeDocument/2006/relationships/hyperlink" Target="http://www.planalto.gov.br/ccivil_03/_ato2019-2022/2021/lei/L14133.htm#art16" TargetMode="External"/><Relationship Id="rId38" Type="http://schemas.openxmlformats.org/officeDocument/2006/relationships/hyperlink" Target="https://www.planalto.gov.br/ccivil_03/_ato2015-2018/2018/lei/l13709.htm#art16" TargetMode="External"/><Relationship Id="rId19"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37PvN3LAIhtCV6IEp6ZnCdPB7w==">CgMxLjAaDQoBMBIICgYIBTICCAEyCWguMzBqMHpsbDIJaC4xZm9iOXRlMgloLjN6bnlzaDcyCWguMmV0OTJwMDgAciExejN2NE92WkFUYmZKOG56dFc2YzRKOUV6Nzg5RjZPQXU=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2024-04-24T14:03:00Z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lpwstr>0</vt:lpwstr>
  </property>
  <property fmtid="{D5CDD505-2E9C-101B-9397-08002B2CF9AE}" pid="4" name="HyperlinksChanged">
    <vt:lpwstr>false</vt:lpwstr>
  </property>
  <property fmtid="{D5CDD505-2E9C-101B-9397-08002B2CF9AE}" pid="5" name="Informa??es 1">
    <vt:lpwstr>Informa??es 1</vt:lpwstr>
  </property>
  <property fmtid="{D5CDD505-2E9C-101B-9397-08002B2CF9AE}" pid="6" name="Informa??es 2">
    <vt:lpwstr>Informa??es 2</vt:lpwstr>
  </property>
  <property fmtid="{D5CDD505-2E9C-101B-9397-08002B2CF9AE}" pid="7" name="Informa??es 3">
    <vt:lpwstr>Informa??es 3</vt:lpwstr>
  </property>
  <property fmtid="{D5CDD505-2E9C-101B-9397-08002B2CF9AE}" pid="8" name="Informa??es 4">
    <vt:lpwstr>Informa??es 4</vt:lpwstr>
  </property>
  <property fmtid="{D5CDD505-2E9C-101B-9397-08002B2CF9AE}" pid="9" name="LinksUpToDate">
    <vt:lpwstr>false</vt:lpwstr>
  </property>
  <property fmtid="{D5CDD505-2E9C-101B-9397-08002B2CF9AE}" pid="10" name="ScaleCrop">
    <vt:lpwstr>false</vt:lpwstr>
  </property>
  <property fmtid="{D5CDD505-2E9C-101B-9397-08002B2CF9AE}" pid="11" name="ShareDoc">
    <vt:lpwstr>false</vt:lpwstr>
  </property>
</Properties>
</file>