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media/image2.png" ContentType="image/png"/>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2.xml.rels" ContentType="application/vnd.openxmlformats-package.relationships+xml"/>
  <Override PartName="/word/_rels/header3.xml.rels" ContentType="application/vnd.openxmlformats-package.relationships+xml"/>
  <Override PartName="/word/_rels/footer2.xml.rels" ContentType="application/vnd.openxmlformats-package.relationships+xml"/>
  <Override PartName="/word/_rels/footer3.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Subttulo"/>
        <w:spacing w:lineRule="auto" w:line="240" w:before="0" w:after="0"/>
        <w:rPr>
          <w:rFonts w:cs="Arial"/>
          <w:b/>
        </w:rPr>
      </w:pPr>
      <w:r>
        <w:rPr>
          <w:rFonts w:cs="Arial"/>
          <w:b/>
          <w:bCs/>
          <w:sz w:val="22"/>
          <w:szCs w:val="22"/>
        </w:rPr>
        <w:t>Concorrência Eletrônica nº</w:t>
      </w:r>
      <w:r>
        <w:rPr>
          <w:rFonts w:cs="Arial"/>
          <w:b/>
          <w:bCs/>
          <w:color w:val="FF0000"/>
          <w:sz w:val="22"/>
          <w:szCs w:val="22"/>
        </w:rPr>
        <w:t xml:space="preserve"> </w:t>
      </w:r>
      <w:r>
        <w:rPr>
          <w:rFonts w:cs="Arial"/>
          <w:b/>
          <w:bCs/>
          <w:color w:val="000000"/>
          <w:sz w:val="22"/>
          <w:szCs w:val="22"/>
        </w:rPr>
        <w:t>2026001</w:t>
      </w:r>
      <w:r>
        <w:rPr>
          <w:rFonts w:cs="Arial"/>
          <w:b/>
          <w:bCs/>
          <w:color w:val="000000"/>
          <w:sz w:val="22"/>
          <w:szCs w:val="22"/>
        </w:rPr>
        <w:t>5</w:t>
      </w:r>
      <w:r>
        <w:rPr>
          <w:rFonts w:cs="Arial"/>
          <w:b/>
          <w:bCs/>
          <w:color w:val="000000"/>
          <w:sz w:val="22"/>
          <w:szCs w:val="22"/>
        </w:rPr>
        <w:t xml:space="preserve"> </w:t>
      </w:r>
      <w:r>
        <w:rPr>
          <w:rFonts w:cs="Arial"/>
          <w:b/>
          <w:bCs/>
          <w:sz w:val="22"/>
          <w:szCs w:val="22"/>
        </w:rPr>
        <w:t>– CIDADES/COREV</w:t>
      </w:r>
    </w:p>
    <w:p>
      <w:pPr>
        <w:pStyle w:val="Western"/>
        <w:jc w:val="center"/>
        <w:rPr>
          <w:rFonts w:ascii="Arial" w:hAnsi="Arial" w:eastAsia="Times New Roman" w:cs="Arial"/>
          <w:b/>
          <w:color w:val="FF0000"/>
          <w:sz w:val="24"/>
          <w:szCs w:val="24"/>
          <w:lang w:val="pt-BR" w:eastAsia="pt-BR"/>
        </w:rPr>
      </w:pPr>
      <w:r>
        <w:rPr>
          <w:rFonts w:cs="Arial" w:ascii="Arial" w:hAnsi="Arial"/>
          <w:b/>
          <w:sz w:val="22"/>
          <w:szCs w:val="22"/>
        </w:rPr>
        <w:t>NUP n°</w:t>
      </w:r>
      <w:r>
        <w:rPr>
          <w:rFonts w:eastAsia="Helvetica" w:cs="Arial" w:ascii="Arial" w:hAnsi="Arial"/>
          <w:b/>
          <w:bCs/>
          <w:i w:val="false"/>
          <w:iCs w:val="false"/>
          <w:caps w:val="false"/>
          <w:smallCaps w:val="false"/>
          <w:color w:val="000000"/>
          <w:spacing w:val="0"/>
          <w:sz w:val="22"/>
          <w:szCs w:val="22"/>
          <w:shd w:fill="FFFFFF" w:val="clear"/>
          <w:lang w:val="pt-BR" w:eastAsia="pt-BR"/>
        </w:rPr>
        <w:t xml:space="preserve"> </w:t>
      </w:r>
      <w:r>
        <w:rPr>
          <w:rFonts w:eastAsia="Times New Roman" w:cs="Arial" w:ascii="Arial" w:hAnsi="Arial"/>
          <w:b/>
          <w:bCs/>
          <w:i w:val="false"/>
          <w:iCs w:val="false"/>
          <w:caps w:val="false"/>
          <w:smallCaps w:val="false"/>
          <w:color w:val="000000"/>
          <w:spacing w:val="0"/>
          <w:kern w:val="0"/>
          <w:sz w:val="22"/>
          <w:szCs w:val="22"/>
          <w:shd w:fill="FFFFFF" w:val="clear"/>
          <w:lang w:val="pt-BR" w:eastAsia="pt-BR" w:bidi="ar-SA"/>
        </w:rPr>
        <w:t>43001.006594/2026-11</w:t>
      </w:r>
    </w:p>
    <w:p>
      <w:pPr>
        <w:pStyle w:val="NormalWeb"/>
        <w:spacing w:before="57" w:after="57"/>
        <w:jc w:val="center"/>
        <w:rPr>
          <w:rFonts w:eastAsia="Times New Roman"/>
          <w:color w:val="auto"/>
          <w:sz w:val="24"/>
          <w:lang w:val="pt-BR" w:eastAsia="pt-BR"/>
        </w:rPr>
      </w:pPr>
      <w:r>
        <w:rPr>
          <w:rFonts w:eastAsia="Microsoft YaHei" w:cs="Arial" w:ascii="Arial" w:hAnsi="Arial"/>
          <w:b/>
          <w:bCs/>
          <w:color w:val="auto"/>
          <w:sz w:val="22"/>
          <w:szCs w:val="22"/>
          <w:lang w:val="pt-BR"/>
        </w:rPr>
        <w:t xml:space="preserve">UASG: </w:t>
      </w:r>
    </w:p>
    <w:p>
      <w:pPr>
        <w:pStyle w:val="Subttulo"/>
        <w:spacing w:lineRule="auto" w:line="240" w:before="0" w:after="0"/>
        <w:rPr>
          <w:rFonts w:cs="Arial"/>
        </w:rPr>
      </w:pPr>
      <w:r>
        <w:rPr>
          <w:rFonts w:cs="Arial"/>
          <w:b/>
          <w:bCs/>
          <w:color w:val="000000"/>
          <w:sz w:val="22"/>
          <w:szCs w:val="22"/>
          <w:shd w:fill="FFFFFF" w:val="clear"/>
        </w:rPr>
        <w:t xml:space="preserve">Número Comprasnet: </w:t>
      </w:r>
    </w:p>
    <w:p>
      <w:pPr>
        <w:pStyle w:val="Subttulo"/>
        <w:spacing w:lineRule="auto" w:line="240" w:before="0" w:after="0"/>
        <w:rPr>
          <w:rFonts w:cs="Arial"/>
        </w:rPr>
      </w:pPr>
      <w:r>
        <w:rPr>
          <w:rFonts w:cs="Arial"/>
        </w:rPr>
      </w:r>
    </w:p>
    <w:p>
      <w:pPr>
        <w:pStyle w:val="Textbody"/>
        <w:spacing w:lineRule="auto" w:line="240" w:before="0" w:after="0"/>
        <w:rPr>
          <w:rFonts w:cs="Arial"/>
        </w:rPr>
      </w:pPr>
      <w:r>
        <w:rPr>
          <w:rFonts w:cs="Arial"/>
        </w:rPr>
        <w:t xml:space="preserve">A </w:t>
      </w:r>
      <w:r>
        <w:rPr>
          <w:rFonts w:cs="Arial"/>
          <w:b/>
          <w:bCs/>
        </w:rPr>
        <w:t>Secretaria das Cidades</w:t>
      </w:r>
      <w:r>
        <w:rPr>
          <w:rFonts w:cs="Arial"/>
        </w:rPr>
        <w:t>,</w:t>
      </w:r>
      <w:r>
        <w:rPr>
          <w:rFonts w:cs="Arial"/>
          <w:color w:val="000000"/>
        </w:rPr>
        <w:t xml:space="preserve"> por intermédio da Comissão de Contratação 01, designada por ato do Governador do Estado pelo Decreto n° 35.422, de 10 de maio de 2023</w:t>
      </w:r>
      <w:r>
        <w:rPr>
          <w:rFonts w:cs="Arial"/>
        </w:rPr>
        <w:t>, que ora integra os autos, torna público que realizará licitação na modalidade CONCORRÊNCIA, na forma eletrônica.</w:t>
      </w:r>
    </w:p>
    <w:p>
      <w:pPr>
        <w:pStyle w:val="Ttulo112"/>
        <w:spacing w:lineRule="auto" w:line="240" w:before="0" w:after="0"/>
        <w:ind w:left="0" w:hanging="0"/>
        <w:rPr>
          <w:rFonts w:cs="Arial"/>
          <w:sz w:val="22"/>
          <w:szCs w:val="22"/>
        </w:rPr>
      </w:pPr>
      <w:r>
        <w:rPr>
          <w:rFonts w:cs="Arial"/>
          <w:sz w:val="22"/>
          <w:szCs w:val="22"/>
        </w:rPr>
      </w:r>
    </w:p>
    <w:p>
      <w:pPr>
        <w:pStyle w:val="Ttulo112"/>
        <w:spacing w:lineRule="auto" w:line="240" w:before="0" w:after="0"/>
        <w:ind w:left="0" w:hanging="0"/>
        <w:rPr>
          <w:rFonts w:cs="Arial"/>
          <w:sz w:val="22"/>
          <w:szCs w:val="22"/>
        </w:rPr>
      </w:pPr>
      <w:r>
        <w:rPr>
          <w:rFonts w:cs="Arial"/>
          <w:sz w:val="22"/>
          <w:szCs w:val="22"/>
        </w:rPr>
        <w:t>1. DO CRITÉRIO DE JULGAMENTO E DO MODO DE DISPUTA</w:t>
      </w:r>
    </w:p>
    <w:p>
      <w:pPr>
        <w:pStyle w:val="Textbody"/>
        <w:spacing w:lineRule="auto" w:line="240" w:before="0" w:after="0"/>
        <w:rPr/>
      </w:pPr>
      <w:r>
        <w:rPr/>
        <w:t>1.1. O critério de julgamento será o de Menor Preço por item, conforme Especificações Técnicas constantes no Anexo I.</w:t>
      </w:r>
    </w:p>
    <w:p>
      <w:pPr>
        <w:pStyle w:val="Textbody"/>
        <w:spacing w:lineRule="auto" w:line="240" w:before="0" w:after="0"/>
        <w:rPr/>
      </w:pPr>
      <w:r>
        <w:rPr/>
        <w:t>1.2. O modo de disputa será o Fechado e Aberto.</w:t>
      </w:r>
    </w:p>
    <w:p>
      <w:pPr>
        <w:pStyle w:val="Ttulo112"/>
        <w:spacing w:lineRule="auto" w:line="240" w:before="0" w:after="0"/>
        <w:ind w:left="0" w:hanging="0"/>
        <w:rPr>
          <w:rFonts w:eastAsia="Arial" w:cs="Verdana"/>
          <w:sz w:val="22"/>
          <w:szCs w:val="22"/>
          <w:lang w:eastAsia="ar-SA"/>
        </w:rPr>
      </w:pPr>
      <w:r>
        <w:rPr>
          <w:rFonts w:eastAsia="Arial" w:cs="Verdana"/>
          <w:sz w:val="22"/>
          <w:szCs w:val="22"/>
          <w:lang w:eastAsia="ar-SA"/>
        </w:rPr>
      </w:r>
    </w:p>
    <w:p>
      <w:pPr>
        <w:pStyle w:val="Ttulo112"/>
        <w:spacing w:lineRule="auto" w:line="240" w:before="0" w:after="0"/>
        <w:ind w:left="0" w:hanging="0"/>
        <w:rPr>
          <w:rFonts w:eastAsia="Arial" w:cs="Verdana"/>
          <w:sz w:val="22"/>
          <w:szCs w:val="22"/>
          <w:lang w:eastAsia="ar-SA"/>
        </w:rPr>
      </w:pPr>
      <w:r>
        <w:rPr>
          <w:rFonts w:eastAsia="Arial" w:cs="Verdana"/>
          <w:sz w:val="22"/>
          <w:szCs w:val="22"/>
          <w:lang w:eastAsia="ar-SA"/>
        </w:rPr>
        <w:t>2. DO REGIME DE EXECUÇÃO INDIRETA</w:t>
      </w:r>
    </w:p>
    <w:p>
      <w:pPr>
        <w:pStyle w:val="Textbody"/>
        <w:spacing w:lineRule="auto" w:line="240" w:before="0" w:after="0"/>
        <w:rPr>
          <w:szCs w:val="22"/>
        </w:rPr>
      </w:pPr>
      <w:r>
        <w:rPr>
          <w:szCs w:val="22"/>
        </w:rPr>
        <w:t xml:space="preserve">2.1. </w:t>
      </w:r>
      <w:r>
        <w:rPr>
          <w:szCs w:val="22"/>
          <w:lang w:eastAsia="ar-SA"/>
        </w:rPr>
        <w:t>O</w:t>
      </w:r>
      <w:r>
        <w:rPr>
          <w:szCs w:val="22"/>
        </w:rPr>
        <w:t xml:space="preserve"> regime de execução indireta se dará por Empreitada por Preço Unitário.</w:t>
      </w:r>
    </w:p>
    <w:p>
      <w:pPr>
        <w:pStyle w:val="Ttulo112"/>
        <w:spacing w:lineRule="auto" w:line="240" w:before="0" w:after="0"/>
        <w:ind w:left="0" w:hanging="0"/>
        <w:rPr>
          <w:sz w:val="22"/>
          <w:szCs w:val="22"/>
        </w:rPr>
      </w:pPr>
      <w:r>
        <w:rPr>
          <w:sz w:val="22"/>
          <w:szCs w:val="22"/>
        </w:rPr>
      </w:r>
    </w:p>
    <w:p>
      <w:pPr>
        <w:pStyle w:val="Ttulo112"/>
        <w:spacing w:lineRule="auto" w:line="240" w:before="0" w:after="0"/>
        <w:ind w:left="0" w:hanging="0"/>
        <w:rPr>
          <w:sz w:val="22"/>
          <w:szCs w:val="22"/>
        </w:rPr>
      </w:pPr>
      <w:r>
        <w:rPr>
          <w:sz w:val="22"/>
          <w:szCs w:val="22"/>
        </w:rPr>
        <w:t>3. DA BASE LEGAL</w:t>
      </w:r>
    </w:p>
    <w:p>
      <w:pPr>
        <w:pStyle w:val="Textbody"/>
        <w:spacing w:lineRule="auto" w:line="240" w:before="0" w:after="0"/>
        <w:rPr/>
      </w:pPr>
      <w:r>
        <w:rPr/>
        <w:t>3.1.</w:t>
      </w:r>
      <w:r>
        <w:rPr>
          <w:sz w:val="22"/>
          <w:szCs w:val="22"/>
        </w:rPr>
        <w:t xml:space="preserve"> A licitação se encontra baseada na Lei Federal nº 14.133, de 1º de abril de 2021, e suas alterações; Lei Estadual nº 18.417, de 11 de julho de 2023; Lei Complementar nº 123, de 14 de dezembro de 2006; Lei Complementar Estadual nº 65, de 3 de janeiro de 2008, Lei Complementar Estadual nº 134, de 7 de abril de 2014, Decreto Estadual nº 35.067, de 21 de dezembro de 2022 e suas alterações, Decreto Estadual nº 35.283, de 19 de janeiro de 2023, Decreto Estadual nº 35.726, de 30 de outubro de 2023, Portaria PGE/GAB nº 36, de 8 de março de 2024 e demais legislação aplicável e, ainda, de acordo com as condições estabelecidas neste edital e seus anexos.</w:t>
      </w:r>
    </w:p>
    <w:p>
      <w:pPr>
        <w:pStyle w:val="Ttulo112"/>
        <w:spacing w:lineRule="auto" w:line="240" w:before="0" w:after="0"/>
        <w:ind w:left="0" w:hanging="0"/>
        <w:rPr>
          <w:rFonts w:cs="Arial"/>
          <w:sz w:val="22"/>
          <w:szCs w:val="22"/>
        </w:rPr>
      </w:pPr>
      <w:r>
        <w:rPr>
          <w:rFonts w:cs="Arial"/>
          <w:sz w:val="22"/>
          <w:szCs w:val="22"/>
        </w:rPr>
      </w:r>
    </w:p>
    <w:p>
      <w:pPr>
        <w:pStyle w:val="Ttulo112"/>
        <w:spacing w:lineRule="auto" w:line="240" w:before="0" w:after="0"/>
        <w:ind w:left="0" w:hanging="0"/>
        <w:rPr>
          <w:rFonts w:cs="Arial"/>
          <w:sz w:val="22"/>
          <w:szCs w:val="22"/>
        </w:rPr>
      </w:pPr>
      <w:r>
        <w:rPr>
          <w:rFonts w:cs="Arial"/>
          <w:sz w:val="22"/>
          <w:szCs w:val="22"/>
        </w:rPr>
        <w:t>4. DO OBJETO</w:t>
      </w:r>
    </w:p>
    <w:p>
      <w:pPr>
        <w:pStyle w:val="Recuodecorpodetexto21"/>
        <w:tabs>
          <w:tab w:val="clear" w:pos="708"/>
          <w:tab w:val="left" w:pos="0" w:leader="none"/>
        </w:tabs>
        <w:ind w:hanging="0"/>
        <w:rPr>
          <w:sz w:val="22"/>
          <w:szCs w:val="22"/>
        </w:rPr>
      </w:pPr>
      <w:r>
        <w:rPr>
          <w:sz w:val="22"/>
          <w:szCs w:val="22"/>
        </w:rPr>
        <w:t xml:space="preserve">4.1. O objeto da licitação é a prestação dos serviços de </w:t>
      </w:r>
      <w:r>
        <w:rPr>
          <w:rFonts w:eastAsia="ArialMT" w:cs="Arial"/>
          <w:sz w:val="22"/>
          <w:szCs w:val="22"/>
        </w:rPr>
        <w:t xml:space="preserve">Execução de Obra </w:t>
      </w:r>
      <w:r>
        <w:rPr>
          <w:rFonts w:eastAsia="ArialMT" w:cs="Arial"/>
          <w:sz w:val="22"/>
          <w:szCs w:val="22"/>
          <w:lang w:val="pt-BR"/>
        </w:rPr>
        <w:t>de Urbanização e Qualificação do Afluente 01 do Rio Maranguapinho</w:t>
      </w:r>
      <w:r>
        <w:rPr>
          <w:rFonts w:eastAsia="ArialMT" w:cs="Arial"/>
          <w:sz w:val="22"/>
          <w:szCs w:val="22"/>
        </w:rPr>
        <w:t>, no Município de Fortaleza, Estado do Ceará, no âmbito do</w:t>
      </w:r>
      <w:r>
        <w:rPr>
          <w:rFonts w:eastAsia="ArialMT" w:cs="Arial"/>
          <w:sz w:val="22"/>
          <w:szCs w:val="22"/>
          <w:lang w:val="pt-BR"/>
        </w:rPr>
        <w:t xml:space="preserve"> Projeto</w:t>
      </w:r>
      <w:bookmarkStart w:id="0" w:name="_GoBack"/>
      <w:bookmarkEnd w:id="0"/>
      <w:r>
        <w:rPr>
          <w:rFonts w:eastAsia="ArialMT" w:cs="Arial"/>
          <w:sz w:val="22"/>
          <w:szCs w:val="22"/>
          <w:lang w:val="pt-BR"/>
        </w:rPr>
        <w:t xml:space="preserve"> Afluentes do Rio</w:t>
      </w:r>
      <w:r>
        <w:rPr>
          <w:rFonts w:eastAsia="ArialMT" w:cs="Arial"/>
          <w:sz w:val="22"/>
          <w:szCs w:val="22"/>
        </w:rPr>
        <w:t xml:space="preserve"> Maranguapinho</w:t>
      </w:r>
      <w:r>
        <w:rPr>
          <w:sz w:val="22"/>
          <w:szCs w:val="22"/>
        </w:rPr>
        <w:t>,</w:t>
      </w:r>
      <w:r>
        <w:rPr>
          <w:color w:val="00B0F0"/>
          <w:sz w:val="22"/>
          <w:szCs w:val="22"/>
        </w:rPr>
        <w:t xml:space="preserve"> </w:t>
      </w:r>
      <w:r>
        <w:rPr>
          <w:sz w:val="22"/>
          <w:szCs w:val="22"/>
        </w:rPr>
        <w:t>nas condições estabelecidas neste edital e seus anexos.</w:t>
      </w:r>
    </w:p>
    <w:p>
      <w:pPr>
        <w:pStyle w:val="Textbody"/>
        <w:spacing w:lineRule="auto" w:line="240" w:before="0" w:after="0"/>
        <w:rPr>
          <w:sz w:val="22"/>
          <w:szCs w:val="22"/>
        </w:rPr>
      </w:pPr>
      <w:r>
        <w:rPr>
          <w:sz w:val="22"/>
          <w:szCs w:val="22"/>
        </w:rPr>
        <w:t xml:space="preserve">4.2. A licitação será realizada conforme Anexo I – </w:t>
      </w:r>
      <w:r>
        <w:rPr>
          <w:rFonts w:cs="Verdana"/>
          <w:color w:val="00000A"/>
          <w:sz w:val="22"/>
          <w:szCs w:val="22"/>
        </w:rPr>
        <w:t>Especificações Técnicas</w:t>
      </w:r>
      <w:r>
        <w:rPr>
          <w:sz w:val="22"/>
          <w:szCs w:val="22"/>
        </w:rPr>
        <w:t>, devendo o licitante oferecer proposta para todos os itens que a compõe.</w:t>
      </w:r>
    </w:p>
    <w:p>
      <w:pPr>
        <w:pStyle w:val="Textbody"/>
        <w:spacing w:lineRule="auto" w:line="240" w:before="0" w:after="0"/>
        <w:rPr>
          <w:sz w:val="22"/>
          <w:szCs w:val="22"/>
        </w:rPr>
      </w:pPr>
      <w:r>
        <w:rPr>
          <w:sz w:val="22"/>
          <w:szCs w:val="22"/>
        </w:rPr>
        <w:t>4.3.</w:t>
      </w:r>
      <w:r>
        <w:rPr>
          <w:color w:val="000000"/>
          <w:sz w:val="22"/>
          <w:szCs w:val="22"/>
        </w:rPr>
        <w:t xml:space="preserve"> O Anexo I – </w:t>
      </w:r>
      <w:r>
        <w:rPr>
          <w:rFonts w:cs="Verdana"/>
          <w:color w:val="000000"/>
          <w:sz w:val="22"/>
          <w:szCs w:val="22"/>
        </w:rPr>
        <w:t>Especificações Técnicas</w:t>
      </w:r>
      <w:r>
        <w:rPr>
          <w:color w:val="000000"/>
          <w:sz w:val="22"/>
          <w:szCs w:val="22"/>
        </w:rPr>
        <w:t xml:space="preserve"> é composto pelos Anexos: </w:t>
      </w:r>
      <w:r>
        <w:rPr>
          <w:rFonts w:cs="Arial"/>
          <w:color w:val="000000"/>
          <w:sz w:val="22"/>
          <w:szCs w:val="22"/>
          <w:shd w:fill="FFFFFF" w:val="clear"/>
        </w:rPr>
        <w:t xml:space="preserve">I.A; I.B; I.C; I.D;  I.E ; </w:t>
      </w:r>
      <w:r>
        <w:rPr>
          <w:color w:val="000000"/>
          <w:sz w:val="22"/>
          <w:szCs w:val="22"/>
        </w:rPr>
        <w:t>I.F; IG; IH; II;IJ; IK.</w:t>
      </w:r>
    </w:p>
    <w:p>
      <w:pPr>
        <w:pStyle w:val="Ttulo112"/>
        <w:spacing w:lineRule="auto" w:line="240" w:before="0" w:after="0"/>
        <w:ind w:left="0" w:hanging="0"/>
        <w:rPr>
          <w:sz w:val="22"/>
          <w:szCs w:val="22"/>
        </w:rPr>
      </w:pPr>
      <w:r>
        <w:rPr>
          <w:sz w:val="22"/>
          <w:szCs w:val="22"/>
        </w:rPr>
      </w:r>
    </w:p>
    <w:p>
      <w:pPr>
        <w:pStyle w:val="Ttulo112"/>
        <w:spacing w:lineRule="auto" w:line="240" w:before="0" w:after="0"/>
        <w:ind w:left="0" w:hanging="0"/>
        <w:rPr>
          <w:sz w:val="22"/>
          <w:szCs w:val="22"/>
        </w:rPr>
      </w:pPr>
      <w:r>
        <w:rPr>
          <w:sz w:val="22"/>
          <w:szCs w:val="22"/>
        </w:rPr>
        <w:t>5. DO ACESSO AO EDITAL, DO LOCAL DE REALIZAÇÃO E DA COMISSÃO DE CONTRATAÇÃO.</w:t>
      </w:r>
    </w:p>
    <w:p>
      <w:pPr>
        <w:pStyle w:val="Textbody"/>
        <w:spacing w:lineRule="auto" w:line="240" w:before="0" w:after="0"/>
        <w:rPr/>
      </w:pPr>
      <w:r>
        <w:rPr/>
        <w:t xml:space="preserve">5.1. Este edital está disponível gratuitamente nos sítios </w:t>
      </w:r>
      <w:hyperlink r:id="rId2">
        <w:r>
          <w:rPr>
            <w:rStyle w:val="LinkdaInternet"/>
          </w:rPr>
          <w:t>www.portalcompras.ce.gov.br</w:t>
        </w:r>
      </w:hyperlink>
      <w:r>
        <w:rPr/>
        <w:t xml:space="preserve"> e </w:t>
      </w:r>
      <w:hyperlink r:id="rId3">
        <w:r>
          <w:rPr>
            <w:rStyle w:val="LinkdaInternet"/>
          </w:rPr>
          <w:t>https://www.gov.br/compras/pt-br/acesso-a-informacao/consulta-detalhada</w:t>
        </w:r>
      </w:hyperlink>
      <w:r>
        <w:rPr/>
        <w:t>.</w:t>
      </w:r>
    </w:p>
    <w:p>
      <w:pPr>
        <w:pStyle w:val="Textbody"/>
        <w:spacing w:lineRule="auto" w:line="240" w:before="0" w:after="0"/>
        <w:rPr/>
      </w:pPr>
      <w:r>
        <w:rPr/>
        <w:t xml:space="preserve">5.2. O certame será realizado por meio do sistema do </w:t>
      </w:r>
      <w:r>
        <w:rPr>
          <w:szCs w:val="22"/>
        </w:rPr>
        <w:t>Compras.gov.br</w:t>
      </w:r>
      <w:r>
        <w:rPr/>
        <w:t xml:space="preserve">, no endereço eletrônico </w:t>
      </w:r>
      <w:hyperlink r:id="rId4">
        <w:r>
          <w:rPr>
            <w:rStyle w:val="LinkdaInternet"/>
          </w:rPr>
          <w:t>https://www.comprasnet.gov.br/seguro/loginPortal.asp</w:t>
        </w:r>
      </w:hyperlink>
      <w:r>
        <w:rPr/>
        <w:t>, pela Comissão de Contratação 01.</w:t>
      </w:r>
    </w:p>
    <w:p>
      <w:pPr>
        <w:pStyle w:val="Standard"/>
        <w:jc w:val="both"/>
        <w:rPr>
          <w:rFonts w:ascii="Arial" w:hAnsi="Arial" w:cs="Arial"/>
          <w:sz w:val="22"/>
          <w:szCs w:val="22"/>
        </w:rPr>
      </w:pPr>
      <w:r>
        <w:rPr>
          <w:rFonts w:cs="Arial" w:ascii="Arial" w:hAnsi="Arial"/>
          <w:sz w:val="22"/>
          <w:szCs w:val="22"/>
        </w:rPr>
        <w:t>5.3</w:t>
      </w:r>
      <w:r>
        <w:rPr>
          <w:rFonts w:cs="Arial" w:ascii="Arial" w:hAnsi="Arial"/>
          <w:color w:val="CE181E"/>
          <w:sz w:val="22"/>
          <w:szCs w:val="22"/>
        </w:rPr>
        <w:t xml:space="preserve">. </w:t>
      </w:r>
      <w:r>
        <w:rPr>
          <w:rFonts w:cs="Arial" w:ascii="Arial" w:hAnsi="Arial"/>
          <w:sz w:val="22"/>
          <w:szCs w:val="22"/>
        </w:rPr>
        <w:t>A audiência requerida por representante de licitante ou interessado em participar de licitação, com o fito de despachar sobre recurso ou impugnação de sua autoria junto à Central de Licitações da Procuradoria-Geral do Estado, será realizada conforme disposto</w:t>
      </w:r>
      <w:r>
        <w:rPr>
          <w:rFonts w:cs="Arial" w:ascii="Arial" w:hAnsi="Arial"/>
          <w:color w:val="000000"/>
          <w:sz w:val="22"/>
          <w:szCs w:val="22"/>
        </w:rPr>
        <w:t xml:space="preserve"> na Portaria/PGE nº 38/2022, publicada na pg. 18 do DOE de 17/03/2022.</w:t>
      </w:r>
    </w:p>
    <w:p>
      <w:pPr>
        <w:pStyle w:val="Textbody"/>
        <w:spacing w:lineRule="auto" w:line="240" w:before="0" w:after="0"/>
        <w:rPr/>
      </w:pPr>
      <w:r>
        <w:rPr/>
        <w:t xml:space="preserve">5.4. A Comissão de Contratação atende pelo telefone de nº (85) 3459-6387 e pelo e-mail: </w:t>
      </w:r>
      <w:hyperlink r:id="rId5">
        <w:r>
          <w:rPr>
            <w:rStyle w:val="LinkdaInternet"/>
          </w:rPr>
          <w:t>licitacao@pge.ce.gov.br</w:t>
        </w:r>
      </w:hyperlink>
      <w:r>
        <w:rPr/>
        <w:t>.</w:t>
      </w:r>
    </w:p>
    <w:p>
      <w:pPr>
        <w:pStyle w:val="Ttulo112"/>
        <w:spacing w:lineRule="auto" w:line="240" w:before="0" w:after="0"/>
        <w:ind w:left="0" w:hanging="0"/>
        <w:rPr>
          <w:sz w:val="22"/>
          <w:szCs w:val="22"/>
        </w:rPr>
      </w:pPr>
      <w:r>
        <w:rPr>
          <w:sz w:val="22"/>
          <w:szCs w:val="22"/>
        </w:rPr>
      </w:r>
    </w:p>
    <w:p>
      <w:pPr>
        <w:pStyle w:val="Ttulo112"/>
        <w:spacing w:lineRule="auto" w:line="240" w:before="0" w:after="0"/>
        <w:ind w:left="0" w:hanging="0"/>
        <w:rPr>
          <w:sz w:val="22"/>
          <w:szCs w:val="22"/>
        </w:rPr>
      </w:pPr>
      <w:r>
        <w:rPr>
          <w:sz w:val="22"/>
          <w:szCs w:val="22"/>
        </w:rPr>
        <w:t>6. DAS DATAS E HORÁRIOS DO CERTAME</w:t>
      </w:r>
    </w:p>
    <w:p>
      <w:pPr>
        <w:pStyle w:val="Textbody"/>
        <w:spacing w:lineRule="auto" w:line="240" w:before="0" w:after="0"/>
        <w:rPr/>
      </w:pPr>
      <w:r>
        <w:rPr/>
        <w:t>6.1. INÍCIO DO ACOLHIMENTO DAS PROPOSTAS</w:t>
      </w:r>
      <w:r>
        <w:rPr>
          <w:szCs w:val="22"/>
        </w:rPr>
        <w:t>:</w:t>
      </w:r>
      <w:r>
        <w:rPr>
          <w:b/>
          <w:bCs/>
          <w:szCs w:val="22"/>
        </w:rPr>
        <w:t xml:space="preserve"> </w:t>
      </w:r>
      <w:r>
        <w:rPr>
          <w:szCs w:val="22"/>
        </w:rPr>
        <w:t>_____/______/20___</w:t>
      </w:r>
    </w:p>
    <w:p>
      <w:pPr>
        <w:pStyle w:val="Textbody"/>
        <w:spacing w:lineRule="auto" w:line="240" w:before="0" w:after="0"/>
        <w:rPr/>
      </w:pPr>
      <w:r>
        <w:rPr/>
        <w:t>6.2. DATA DE ABERTURA DAS PROPOSTAS</w:t>
      </w:r>
      <w:r>
        <w:rPr>
          <w:szCs w:val="22"/>
        </w:rPr>
        <w:t>: _____/______/20___, às ______.</w:t>
      </w:r>
    </w:p>
    <w:p>
      <w:pPr>
        <w:pStyle w:val="Textbody"/>
        <w:spacing w:lineRule="auto" w:line="240" w:before="0" w:after="0"/>
        <w:rPr/>
      </w:pPr>
      <w:r>
        <w:rPr/>
        <w:t>6.3. INÍCIO DA SESSÃO DE DISPUTA DE PREÇOS</w:t>
      </w:r>
      <w:r>
        <w:rPr>
          <w:rFonts w:cs="Arial"/>
          <w:szCs w:val="22"/>
        </w:rPr>
        <w:t>: _____/______/20___, às ______.</w:t>
      </w:r>
    </w:p>
    <w:p>
      <w:pPr>
        <w:pStyle w:val="Textbody"/>
        <w:spacing w:lineRule="auto" w:line="240" w:before="0" w:after="0"/>
        <w:rPr/>
      </w:pPr>
      <w:r>
        <w:rPr/>
        <w:t>6.4. REFERÊNCIA DE TEMPO: Para todas as referências de tempo utilizadas pelo sistema será observado o horário de Brasília/DF.</w:t>
      </w:r>
    </w:p>
    <w:p>
      <w:pPr>
        <w:pStyle w:val="Textbody"/>
        <w:spacing w:lineRule="auto" w:line="240" w:before="0" w:after="0"/>
        <w:rPr/>
      </w:pPr>
      <w:r>
        <w:rPr/>
        <w:t>6.5. Na hipótese de não haver expediente ou ocorrendo qualquer fato superveniente que impeça a realização do certame na data prevista, a sessão será remarcada, para no mínimo 48h a contar da respectiva data, exceto quando remarcada automaticamente pelo próprio sistema eletrônico.</w:t>
      </w:r>
    </w:p>
    <w:p>
      <w:pPr>
        <w:pStyle w:val="Ttulo112"/>
        <w:spacing w:lineRule="auto" w:line="240" w:before="0" w:after="0"/>
        <w:ind w:left="0" w:hanging="0"/>
        <w:rPr>
          <w:sz w:val="22"/>
          <w:szCs w:val="22"/>
        </w:rPr>
      </w:pPr>
      <w:r>
        <w:rPr>
          <w:sz w:val="22"/>
          <w:szCs w:val="22"/>
        </w:rPr>
      </w:r>
    </w:p>
    <w:p>
      <w:pPr>
        <w:pStyle w:val="Ttulo112"/>
        <w:spacing w:lineRule="auto" w:line="240" w:before="0" w:after="0"/>
        <w:ind w:left="0" w:hanging="0"/>
        <w:rPr>
          <w:sz w:val="22"/>
          <w:szCs w:val="22"/>
        </w:rPr>
      </w:pPr>
      <w:r>
        <w:rPr>
          <w:sz w:val="22"/>
          <w:szCs w:val="22"/>
        </w:rPr>
        <w:t>7. DO ENDEREÇO E HORÁRIO DA CENTRAL DE LICITAÇÕES</w:t>
      </w:r>
    </w:p>
    <w:p>
      <w:pPr>
        <w:pStyle w:val="Textbody"/>
        <w:spacing w:lineRule="auto" w:line="240" w:before="0" w:after="0"/>
        <w:rPr>
          <w:szCs w:val="22"/>
        </w:rPr>
      </w:pPr>
      <w:r>
        <w:rPr>
          <w:szCs w:val="22"/>
        </w:rPr>
        <w:t>7.1. Central de Licitações/PGE, Av. Dr. José Martins Rodrigues, nº 150, Bairro Edson Queiroz, Fortaleza – Ceará, CEP. 60811-520, CNPJ nº 06.622.070/0001-68.</w:t>
      </w:r>
    </w:p>
    <w:p>
      <w:pPr>
        <w:pStyle w:val="Textbody"/>
        <w:spacing w:lineRule="auto" w:line="240" w:before="0" w:after="0"/>
        <w:rPr>
          <w:szCs w:val="22"/>
        </w:rPr>
      </w:pPr>
      <w:r>
        <w:rPr>
          <w:szCs w:val="22"/>
        </w:rPr>
        <w:t>7.2. Horário de expediente da Central de Licitações: das 8h às 12h e das 14h às 18h.</w:t>
      </w:r>
    </w:p>
    <w:p>
      <w:pPr>
        <w:pStyle w:val="Ttulo112"/>
        <w:spacing w:lineRule="auto" w:line="240" w:before="0" w:after="0"/>
        <w:ind w:left="0" w:hanging="0"/>
        <w:rPr>
          <w:sz w:val="22"/>
          <w:szCs w:val="22"/>
        </w:rPr>
      </w:pPr>
      <w:r>
        <w:rPr>
          <w:sz w:val="22"/>
          <w:szCs w:val="22"/>
        </w:rPr>
      </w:r>
    </w:p>
    <w:p>
      <w:pPr>
        <w:pStyle w:val="Ttulo112"/>
        <w:spacing w:lineRule="auto" w:line="240" w:before="0" w:after="0"/>
        <w:ind w:left="0" w:hanging="0"/>
        <w:rPr>
          <w:sz w:val="22"/>
          <w:szCs w:val="22"/>
        </w:rPr>
      </w:pPr>
      <w:r>
        <w:rPr>
          <w:sz w:val="22"/>
          <w:szCs w:val="22"/>
        </w:rPr>
        <w:t>8. DA ADEQUAÇÃO ORÇAMENTÁRIA</w:t>
      </w:r>
    </w:p>
    <w:p>
      <w:pPr>
        <w:pStyle w:val="Textbody"/>
        <w:spacing w:lineRule="auto" w:line="240" w:before="0" w:after="0"/>
        <w:rPr>
          <w:color w:val="000000"/>
        </w:rPr>
      </w:pPr>
      <w:r>
        <w:rPr>
          <w:color w:val="000000"/>
          <w:szCs w:val="22"/>
        </w:rPr>
        <w:t>8.1. As despesas decorrentes da presente contratação correrão a conta de recursos específicos consignados no Orçamento Geral do Estado.</w:t>
      </w:r>
    </w:p>
    <w:p>
      <w:pPr>
        <w:pStyle w:val="Textbody"/>
        <w:spacing w:lineRule="auto" w:line="240" w:before="0" w:after="0"/>
        <w:rPr>
          <w:color w:val="000000"/>
        </w:rPr>
      </w:pPr>
      <w:r>
        <w:rPr>
          <w:color w:val="000000"/>
        </w:rPr>
        <w:t>8.2. A contratação será atendida pela seguinte dotação:</w:t>
      </w:r>
    </w:p>
    <w:p>
      <w:pPr>
        <w:pStyle w:val="Textbody"/>
        <w:spacing w:lineRule="auto" w:line="240" w:before="0" w:after="0"/>
        <w:rPr>
          <w:color w:val="000000"/>
        </w:rPr>
      </w:pPr>
      <w:r>
        <w:rPr>
          <w:rFonts w:eastAsia="Arial" w:cs="Arial"/>
          <w:color w:val="000000"/>
          <w:szCs w:val="22"/>
        </w:rPr>
        <w:t>8.2.1. Gestão/Unidade: 43100001;</w:t>
      </w:r>
    </w:p>
    <w:p>
      <w:pPr>
        <w:pStyle w:val="Textbody"/>
        <w:spacing w:lineRule="auto" w:line="240" w:before="0" w:after="0"/>
        <w:rPr>
          <w:color w:val="000000"/>
        </w:rPr>
      </w:pPr>
      <w:r>
        <w:rPr>
          <w:rFonts w:eastAsia="Arial" w:cs="Arial"/>
          <w:color w:val="000000"/>
          <w:szCs w:val="22"/>
        </w:rPr>
        <w:t>8.2.2. Fonte de Recursos: 7002200082</w:t>
      </w:r>
      <w:r>
        <w:rPr>
          <w:rFonts w:eastAsia="Arial" w:cs="Arial"/>
          <w:color w:val="000000"/>
          <w:szCs w:val="22"/>
          <w:lang w:val="pt-BR"/>
        </w:rPr>
        <w:t xml:space="preserve">.1; </w:t>
      </w:r>
      <w:r>
        <w:rPr>
          <w:rFonts w:eastAsia="Arial" w:cs="Arial"/>
          <w:color w:val="000000"/>
          <w:szCs w:val="22"/>
        </w:rPr>
        <w:t xml:space="preserve"> 5009100000</w:t>
      </w:r>
      <w:r>
        <w:rPr>
          <w:rFonts w:eastAsia="Arial" w:cs="Arial"/>
          <w:color w:val="000000"/>
          <w:szCs w:val="22"/>
          <w:lang w:val="pt-BR"/>
        </w:rPr>
        <w:t xml:space="preserve">.7 e </w:t>
      </w:r>
      <w:r>
        <w:rPr>
          <w:color w:val="000000"/>
        </w:rPr>
        <w:t xml:space="preserve">5009100000.0 </w:t>
      </w:r>
    </w:p>
    <w:p>
      <w:pPr>
        <w:pStyle w:val="Standard"/>
        <w:jc w:val="both"/>
        <w:rPr>
          <w:color w:val="000000"/>
        </w:rPr>
      </w:pPr>
      <w:r>
        <w:rPr>
          <w:rFonts w:eastAsia="Arial" w:cs="Arial" w:ascii="Arial" w:hAnsi="Arial"/>
          <w:color w:val="000000"/>
          <w:sz w:val="22"/>
          <w:szCs w:val="22"/>
        </w:rPr>
        <w:t>8.2.3. Programa de Trabalho: 311;</w:t>
      </w:r>
    </w:p>
    <w:p>
      <w:pPr>
        <w:pStyle w:val="Textbody"/>
        <w:spacing w:lineRule="auto" w:line="240" w:before="0" w:after="0"/>
        <w:rPr>
          <w:color w:val="000000"/>
        </w:rPr>
      </w:pPr>
      <w:r>
        <w:rPr>
          <w:rFonts w:eastAsia="Arial" w:cs="Arial"/>
          <w:color w:val="000000"/>
          <w:szCs w:val="22"/>
        </w:rPr>
        <w:t>8.2.4. Elemento de Despesa: 449051;</w:t>
      </w:r>
    </w:p>
    <w:p>
      <w:pPr>
        <w:pStyle w:val="Ttulo112"/>
        <w:spacing w:lineRule="auto" w:line="240" w:before="0" w:after="0"/>
        <w:ind w:left="0" w:hanging="0"/>
        <w:rPr>
          <w:sz w:val="22"/>
          <w:szCs w:val="22"/>
        </w:rPr>
      </w:pPr>
      <w:r>
        <w:rPr>
          <w:sz w:val="22"/>
          <w:szCs w:val="22"/>
        </w:rPr>
      </w:r>
    </w:p>
    <w:p>
      <w:pPr>
        <w:pStyle w:val="Ttulo112"/>
        <w:spacing w:lineRule="auto" w:line="240" w:before="0" w:after="0"/>
        <w:ind w:left="0" w:hanging="0"/>
        <w:rPr>
          <w:sz w:val="22"/>
          <w:szCs w:val="22"/>
        </w:rPr>
      </w:pPr>
      <w:r>
        <w:rPr>
          <w:sz w:val="22"/>
          <w:szCs w:val="22"/>
        </w:rPr>
        <w:t>9. DA PARTICIPAÇÃO</w:t>
      </w:r>
    </w:p>
    <w:p>
      <w:pPr>
        <w:pStyle w:val="Textbody"/>
        <w:spacing w:lineRule="auto" w:line="240" w:before="0" w:after="0"/>
        <w:rPr/>
      </w:pPr>
      <w:r>
        <w:rPr>
          <w:rFonts w:cs="Arial"/>
          <w:szCs w:val="22"/>
        </w:rPr>
        <w:t xml:space="preserve">9.1. Poderão participar deste certame os interessados que estiverem previamente credenciados no </w:t>
      </w:r>
      <w:r>
        <w:rPr>
          <w:rFonts w:eastAsia="Arial" w:cs="Arial"/>
          <w:szCs w:val="22"/>
        </w:rPr>
        <w:t xml:space="preserve">Sistema de Cadastramento Unificado de Fornecedores </w:t>
      </w:r>
      <w:r>
        <w:rPr>
          <w:rFonts w:cs="Arial"/>
          <w:szCs w:val="22"/>
        </w:rPr>
        <w:t>(SICAF) disponível no Portal Nacional de Contratações Públicas (PNCP) e no Sistema de Compras do Governo Federal (</w:t>
      </w:r>
      <w:hyperlink r:id="rId6">
        <w:r>
          <w:rPr>
            <w:rStyle w:val="LinkdaInternet"/>
            <w:rFonts w:cs="Arial"/>
            <w:szCs w:val="22"/>
          </w:rPr>
          <w:t>www.gov.br/compras</w:t>
        </w:r>
      </w:hyperlink>
      <w:r>
        <w:rPr>
          <w:rFonts w:cs="Arial"/>
          <w:szCs w:val="22"/>
        </w:rPr>
        <w:t>), por meio de Certificado Digital conferido pela Infraestrutura de Chaves Públicas Brasileira – ICP - Brasil.</w:t>
      </w:r>
    </w:p>
    <w:p>
      <w:pPr>
        <w:pStyle w:val="Textbody"/>
        <w:spacing w:lineRule="auto" w:line="240" w:before="0" w:after="0"/>
        <w:rPr>
          <w:rFonts w:cs="Arial"/>
          <w:szCs w:val="22"/>
        </w:rPr>
      </w:pPr>
      <w:r>
        <w:rPr>
          <w:rFonts w:cs="Arial"/>
          <w:szCs w:val="22"/>
        </w:rPr>
        <w:t>9.1.1. A participação implica a aceitação integral dos termos deste edital.</w:t>
      </w:r>
    </w:p>
    <w:p>
      <w:pPr>
        <w:pStyle w:val="Textbody"/>
        <w:spacing w:lineRule="auto" w:line="240" w:before="0" w:after="0"/>
        <w:rPr>
          <w:rFonts w:cs="Arial"/>
          <w:szCs w:val="22"/>
        </w:rPr>
      </w:pPr>
      <w:r>
        <w:rPr>
          <w:rFonts w:cs="Arial"/>
          <w:szCs w:val="22"/>
        </w:rPr>
        <w:t>9.2. É de responsabilidade do cadastrado conferir a exatidão dos seus dados cadastrais nos sistemas relacionados no subitem anterior e mantê-los atualizados junto aos órgãos responsáveis pela informação, devendo proceder, imediatamente, à correção ou à alteração dos registros tão logo identifique incorreção ou aqueles se tornem desatualizados.</w:t>
      </w:r>
    </w:p>
    <w:p>
      <w:pPr>
        <w:pStyle w:val="Textbody"/>
        <w:spacing w:lineRule="auto" w:line="240" w:before="0" w:after="0"/>
        <w:rPr>
          <w:color w:val="00000A"/>
          <w:szCs w:val="22"/>
        </w:rPr>
      </w:pPr>
      <w:r>
        <w:rPr>
          <w:color w:val="00000A"/>
          <w:szCs w:val="22"/>
        </w:rPr>
        <w:t>9.3. O licitante responsabiliza-se exclusiva e formalmente pelas transações efetuadas em seu nome, assumindo como firmes e verdadeiras suas propostas e seus lances, inclusive os atos praticados diretamente ou por seu representante, excluída a responsabilidade do provedor do sistema ou da Central de Licitações responsável pelo processamento das licitações, por eventuais danos decorrentes de uso indevido das credenciais de acesso, ainda que por terceiros.</w:t>
      </w:r>
    </w:p>
    <w:p>
      <w:pPr>
        <w:pStyle w:val="Textbody"/>
        <w:spacing w:lineRule="auto" w:line="240" w:before="0" w:after="0"/>
        <w:rPr/>
      </w:pPr>
      <w:r>
        <w:rPr>
          <w:color w:val="00000A"/>
          <w:szCs w:val="22"/>
        </w:rPr>
        <w:t xml:space="preserve">9.3.1. </w:t>
      </w:r>
      <w:r>
        <w:rPr>
          <w:rFonts w:cs="Verdana"/>
          <w:color w:val="00000A"/>
          <w:szCs w:val="22"/>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pPr>
        <w:pStyle w:val="Textbody"/>
        <w:spacing w:lineRule="auto" w:line="240" w:before="0" w:after="0"/>
        <w:rPr>
          <w:rFonts w:cs="Verdana"/>
          <w:color w:val="00000A"/>
          <w:szCs w:val="22"/>
        </w:rPr>
      </w:pPr>
      <w:r>
        <w:rPr>
          <w:rFonts w:cs="Verdana"/>
          <w:color w:val="00000A"/>
          <w:szCs w:val="22"/>
        </w:rPr>
        <w:t>9.3.2. O licitante deverá comunicar imediatamente ao provedor do sistema qualquer acontecimento que possa comprometer o sigilo ou a segurança, para imediato bloqueio de acesso.</w:t>
      </w:r>
    </w:p>
    <w:p>
      <w:pPr>
        <w:pStyle w:val="Textbody"/>
        <w:spacing w:lineRule="auto" w:line="240" w:before="0" w:after="0"/>
        <w:rPr/>
      </w:pPr>
      <w:r>
        <w:rPr>
          <w:rFonts w:eastAsia="Arial" w:cs="Arial"/>
          <w:b/>
          <w:bCs/>
          <w:szCs w:val="22"/>
        </w:rPr>
        <w:t xml:space="preserve">9.5. </w:t>
      </w:r>
      <w:r>
        <w:rPr>
          <w:rFonts w:cs="Arial"/>
          <w:b/>
          <w:bCs/>
          <w:szCs w:val="22"/>
        </w:rPr>
        <w:t>Não poderão disputar esta licitação:</w:t>
      </w:r>
    </w:p>
    <w:p>
      <w:pPr>
        <w:pStyle w:val="Textbody"/>
        <w:spacing w:lineRule="auto" w:line="240" w:before="0" w:after="0"/>
        <w:rPr/>
      </w:pPr>
      <w:r>
        <w:rPr>
          <w:rFonts w:eastAsia="Arial" w:cs="Arial"/>
          <w:szCs w:val="22"/>
        </w:rPr>
        <w:t>9.5.1. A</w:t>
      </w:r>
      <w:r>
        <w:rPr>
          <w:rFonts w:eastAsia="Arial" w:cs="Arial"/>
          <w:szCs w:val="22"/>
          <w:shd w:fill="FFFFFF" w:val="clear"/>
        </w:rPr>
        <w:t>quele que não atenda às condições deste edital e seus anexos;</w:t>
      </w:r>
    </w:p>
    <w:p>
      <w:pPr>
        <w:pStyle w:val="Textbody"/>
        <w:spacing w:lineRule="auto" w:line="240" w:before="0" w:after="0"/>
        <w:rPr/>
      </w:pPr>
      <w:r>
        <w:rPr/>
        <w:t>9.5.2. Empresa em estado de insolvência civil, sob processo de falência, dissolução, fusão, cisão, incorporação e liquidação.</w:t>
      </w:r>
    </w:p>
    <w:p>
      <w:pPr>
        <w:pStyle w:val="Textbody"/>
        <w:spacing w:lineRule="auto" w:line="240" w:before="0" w:after="0"/>
        <w:rPr/>
      </w:pPr>
      <w:r>
        <w:rPr/>
        <w:t>9.5.3. P</w:t>
      </w:r>
      <w:r>
        <w:rPr>
          <w:rFonts w:cs="Arial"/>
          <w:shd w:fill="FFFFFF" w:val="clear"/>
        </w:rPr>
        <w:t>essoa física ou jurídica que se encontre, ao tempo da licitação, impossibilitada de participar da licitação em decorrência de sanção que lhe foi imposta, observado o §1º do art. 14 da Lei nº 14.133/2021;</w:t>
      </w:r>
    </w:p>
    <w:p>
      <w:pPr>
        <w:pStyle w:val="Textbody"/>
        <w:spacing w:lineRule="auto" w:line="240" w:before="0" w:after="0"/>
        <w:rPr>
          <w:rFonts w:eastAsia="CourierNewPSMT" w:cs="CourierNewPSMT"/>
        </w:rPr>
      </w:pPr>
      <w:r>
        <w:rPr>
          <w:rFonts w:eastAsia="CourierNewPSMT" w:cs="CourierNewPSMT"/>
        </w:rPr>
        <w:t>9.5.4. Agente público do órgão ou entidade licitante, devendo ser observadas as situações que possam configurar conflito de interesses no exercício ou após o exercício do cargo ou emprego, nos termos da legislação que disciplina a matéria. A vedação é estendida a terceiros que auxilie a condução da contratação na qualidade de profissional especializado ou funcionário ou representante de empresa que preste assessoria técnica.</w:t>
      </w:r>
    </w:p>
    <w:p>
      <w:pPr>
        <w:pStyle w:val="Textbody"/>
        <w:spacing w:lineRule="auto" w:line="240" w:before="0" w:after="0"/>
        <w:rPr/>
      </w:pPr>
      <w:r>
        <w:rPr/>
        <w:t>9.5.5. Empresa estrangeira não autorizada a comercializar no país;</w:t>
      </w:r>
    </w:p>
    <w:p>
      <w:pPr>
        <w:pStyle w:val="Textbody"/>
        <w:spacing w:lineRule="auto" w:line="240" w:before="0" w:after="0"/>
        <w:rPr/>
      </w:pPr>
      <w:r>
        <w:rPr>
          <w:rFonts w:eastAsia="CourierNewPSMT" w:cs="Arial"/>
          <w:szCs w:val="22"/>
          <w:shd w:fill="FFFFFF" w:val="clear"/>
        </w:rPr>
        <w:t xml:space="preserve">9.5.6. </w:t>
      </w:r>
      <w:r>
        <w:rPr>
          <w:rFonts w:eastAsia="CourierNewPSMT" w:cs="Arial"/>
          <w:bCs/>
          <w:szCs w:val="22"/>
          <w:shd w:fill="FFFFFF" w:val="clear"/>
        </w:rPr>
        <w:t>Empresa ou sociedade cooperativa cujo estatuto ou contrato social não inclua em seu objetivo social atividade compatível com o objeto do certame,</w:t>
      </w:r>
      <w:r>
        <w:rPr>
          <w:rFonts w:eastAsia="CourierNewPSMT" w:cs="Arial"/>
          <w:bCs/>
          <w:szCs w:val="22"/>
        </w:rPr>
        <w:t xml:space="preserve"> e ainda, que não atendam o art. 16 da Lei nº 14.133/2021;</w:t>
      </w:r>
    </w:p>
    <w:p>
      <w:pPr>
        <w:pStyle w:val="Textbody"/>
        <w:spacing w:lineRule="auto" w:line="240" w:before="0" w:after="0"/>
        <w:rPr>
          <w:rFonts w:eastAsia="CourierNewPSMT" w:cs="CourierNewPSMT"/>
          <w:szCs w:val="22"/>
          <w:shd w:fill="FFFFFF" w:val="clear"/>
        </w:rPr>
      </w:pPr>
      <w:r>
        <w:rPr>
          <w:rFonts w:eastAsia="CourierNewPSMT" w:cs="CourierNewPSMT"/>
          <w:szCs w:val="22"/>
          <w:shd w:fill="FFFFFF" w:val="clear"/>
        </w:rPr>
        <w:t>9.5.7. Organizações da Sociedade Civil de Interesse Público – OSCIP, atuando nessa condição;</w:t>
      </w:r>
    </w:p>
    <w:p>
      <w:pPr>
        <w:pStyle w:val="Textbody"/>
        <w:spacing w:lineRule="auto" w:line="240" w:before="0" w:after="0"/>
        <w:rPr>
          <w:rFonts w:eastAsia="CourierNewPSMT" w:cs="CourierNewPSMT"/>
          <w:szCs w:val="22"/>
          <w:shd w:fill="FFFFFF" w:val="clear"/>
        </w:rPr>
      </w:pPr>
      <w:r>
        <w:rPr>
          <w:rFonts w:eastAsia="CourierNewPSMT" w:cs="CourierNewPSMT"/>
          <w:szCs w:val="22"/>
          <w:shd w:fill="FFFFFF" w:val="clear"/>
        </w:rPr>
        <w:t>9.5.8. Empresas controladoras, controladas ou coligadas, nos termos da Lei nº 6.404, de 15 de dezembro de 1976, concorrendo entre si;</w:t>
      </w:r>
    </w:p>
    <w:p>
      <w:pPr>
        <w:pStyle w:val="Textbody"/>
        <w:spacing w:lineRule="auto" w:line="240" w:before="0" w:after="0"/>
        <w:rPr>
          <w:rFonts w:eastAsia="CourierNewPSMT" w:cs="CourierNewPSMT"/>
          <w:szCs w:val="22"/>
          <w:shd w:fill="FFFFFF" w:val="clear"/>
        </w:rPr>
      </w:pPr>
      <w:r>
        <w:rPr>
          <w:rFonts w:eastAsia="CourierNewPSMT" w:cs="CourierNewPSMT"/>
          <w:szCs w:val="22"/>
          <w:shd w:fill="FFFFFF" w:val="clear"/>
        </w:rPr>
        <w:t>9.5.9.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Textbody"/>
        <w:spacing w:lineRule="auto" w:line="240" w:before="0" w:after="0"/>
        <w:rPr/>
      </w:pPr>
      <w:r>
        <w:rPr>
          <w:rFonts w:eastAsia="CourierNewPSMT" w:cs="CourierNewPSMT"/>
          <w:szCs w:val="22"/>
          <w:shd w:fill="FFFFFF" w:val="clear"/>
        </w:rPr>
        <w:t xml:space="preserve">9.5.10. </w:t>
      </w:r>
      <w:r>
        <w:rPr>
          <w:rFonts w:eastAsia="CourierNewPSMT" w:cs="CourierNewPSMT"/>
          <w:szCs w:val="22"/>
        </w:rPr>
        <w:t>P</w:t>
      </w:r>
      <w:r>
        <w:rPr>
          <w:rFonts w:eastAsia="CourierNewPSMT" w:cs="Arial"/>
          <w:szCs w:val="22"/>
        </w:rPr>
        <w:t>essoa física</w:t>
      </w:r>
      <w:r>
        <w:rPr>
          <w:rFonts w:eastAsia="CourierNewPSMT" w:cs="Arial"/>
          <w:szCs w:val="22"/>
          <w:shd w:fill="FFFFFF" w:val="clear"/>
        </w:rPr>
        <w:t xml:space="preserve">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Textbody"/>
        <w:spacing w:lineRule="auto" w:line="240" w:before="0" w:after="0"/>
        <w:rPr/>
      </w:pPr>
      <w:r>
        <w:rPr>
          <w:rFonts w:eastAsia="CourierNewPSMT" w:cs="CourierNewPSMT"/>
          <w:szCs w:val="22"/>
          <w:shd w:fill="FFFFFF" w:val="clear"/>
        </w:rPr>
        <w:t>9.5.11. E</w:t>
      </w:r>
      <w:r>
        <w:rPr>
          <w:rFonts w:eastAsia="CourierNewPSMT" w:cs="Arial"/>
          <w:szCs w:val="22"/>
          <w:shd w:fill="FFFFFF" w:val="clear"/>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Textbody"/>
        <w:spacing w:lineRule="auto" w:line="240" w:before="0" w:after="0"/>
        <w:rPr>
          <w:rFonts w:eastAsia="CourierNewPSMT" w:cs="CourierNewPSMT"/>
          <w:szCs w:val="22"/>
          <w:shd w:fill="FFFFFF" w:val="clear"/>
        </w:rPr>
      </w:pPr>
      <w:r>
        <w:rPr>
          <w:rFonts w:eastAsia="CourierNewPSMT" w:cs="CourierNewPSMT"/>
          <w:szCs w:val="22"/>
          <w:shd w:fill="FFFFFF" w:val="clear"/>
        </w:rPr>
        <w:t>9.5.12. Autor do anteprojeto, do projeto básico ou do projeto executivo, pessoa física ou jurídica, quando a licitação versar sobre obra, serviços ou fornecimento de bens a ele relacionados;</w:t>
      </w:r>
    </w:p>
    <w:p>
      <w:pPr>
        <w:pStyle w:val="Textbody"/>
        <w:spacing w:lineRule="auto" w:line="240" w:before="0" w:after="0"/>
        <w:rPr>
          <w:rFonts w:eastAsia="CourierNewPSMT" w:cs="CourierNewPSMT"/>
          <w:szCs w:val="22"/>
          <w:shd w:fill="FFFFFF" w:val="clear"/>
        </w:rPr>
      </w:pPr>
      <w:r>
        <w:rPr>
          <w:rFonts w:eastAsia="CourierNewPSMT" w:cs="CourierNewPSMT"/>
          <w:szCs w:val="22"/>
          <w:shd w:fill="FFFFFF" w:val="clear"/>
        </w:rPr>
        <w:t>9.5.12.1. Equiparam-se aos autores do projeto as empresas integrantes do mesmo grupo econômico;</w:t>
      </w:r>
    </w:p>
    <w:p>
      <w:pPr>
        <w:pStyle w:val="Textbody"/>
        <w:spacing w:lineRule="auto" w:line="240" w:before="0" w:after="0"/>
        <w:rPr/>
      </w:pPr>
      <w:r>
        <w:rPr>
          <w:rFonts w:eastAsia="CourierNewPSMT" w:cs="CourierNewPSMT"/>
          <w:szCs w:val="22"/>
        </w:rPr>
        <w:t>9.</w:t>
      </w:r>
      <w:r>
        <w:rPr>
          <w:rFonts w:eastAsia="CourierNewPSMT" w:cs="CourierNewPSMT"/>
          <w:szCs w:val="22"/>
          <w:shd w:fill="FFFFFF" w:val="clear"/>
        </w:rPr>
        <w:t>5</w:t>
      </w:r>
      <w:r>
        <w:rPr>
          <w:rFonts w:eastAsia="CourierNewPSMT" w:cs="CourierNewPSMT"/>
          <w:szCs w:val="22"/>
        </w:rPr>
        <w:t>.13. Pessoa física ou jurídica que integre o rol de pessoas sancionadas nas hipóteses do §5º do art.14 da Lei nº 14.133/2021, ou que seja declarada inidônea nos termos da referida Lei.</w:t>
      </w:r>
    </w:p>
    <w:p>
      <w:pPr>
        <w:pStyle w:val="Textbody"/>
        <w:spacing w:lineRule="auto" w:line="240" w:before="0" w:after="0"/>
        <w:rPr/>
      </w:pPr>
      <w:r>
        <w:rPr>
          <w:rFonts w:eastAsia="CourierNewPSMT" w:cs="CourierNewPSMT"/>
          <w:szCs w:val="22"/>
        </w:rPr>
        <w:t xml:space="preserve">9.6. </w:t>
      </w:r>
      <w:r>
        <w:rPr>
          <w:rFonts w:eastAsia="CourierNewPSMT" w:cs="Arial"/>
          <w:szCs w:val="22"/>
          <w:shd w:fill="FFFFFF" w:val="clear"/>
        </w:rPr>
        <w:t xml:space="preserve">É permitida a participação </w:t>
      </w:r>
      <w:r>
        <w:rPr>
          <w:rFonts w:eastAsia="CourierNewPSMT" w:cs="Arial"/>
          <w:szCs w:val="22"/>
        </w:rPr>
        <w:t>de consórcio, nos termos do Decreto Estadual nº 35.067/2022 e o art. 15 da Lei Federal nº 14.133/2021, observadas as seguintes normas:</w:t>
      </w:r>
    </w:p>
    <w:p>
      <w:pPr>
        <w:pStyle w:val="Textbody"/>
        <w:spacing w:lineRule="auto" w:line="240" w:before="0" w:after="0"/>
        <w:rPr>
          <w:rFonts w:eastAsia="CourierNewPSMT" w:cs="Arial"/>
          <w:szCs w:val="22"/>
        </w:rPr>
      </w:pPr>
      <w:r>
        <w:rPr>
          <w:rFonts w:eastAsia="CourierNewPSMT" w:cs="Arial"/>
          <w:szCs w:val="22"/>
        </w:rPr>
        <w:t>9.6.1. Indicação da empresa líder do consórcio, que será responsável por sua representação perante a Administração;</w:t>
      </w:r>
    </w:p>
    <w:p>
      <w:pPr>
        <w:pStyle w:val="Textbody"/>
        <w:spacing w:lineRule="auto" w:line="240" w:before="0" w:after="0"/>
        <w:rPr>
          <w:rFonts w:eastAsia="CourierNewPSMT" w:cs="Arial"/>
          <w:szCs w:val="22"/>
        </w:rPr>
      </w:pPr>
      <w:r>
        <w:rPr>
          <w:rFonts w:eastAsia="CourierNewPSMT" w:cs="Arial"/>
          <w:szCs w:val="22"/>
        </w:rPr>
        <w:t>9.6.1.1. No consórcio de empresas brasileiras e estrangeiras, a liderança caberá, obrigatoriamente, à empresa brasileira;</w:t>
      </w:r>
    </w:p>
    <w:p>
      <w:pPr>
        <w:pStyle w:val="Textbody"/>
        <w:spacing w:lineRule="auto" w:line="240" w:before="0" w:after="0"/>
        <w:rPr>
          <w:rFonts w:eastAsia="CourierNewPSMT" w:cs="Arial"/>
          <w:szCs w:val="22"/>
        </w:rPr>
      </w:pPr>
      <w:r>
        <w:rPr>
          <w:rFonts w:eastAsia="CourierNewPSMT" w:cs="Arial"/>
          <w:szCs w:val="22"/>
        </w:rPr>
        <w:t>9.6.2. Comprovação de compromisso público ou particular de constituição de consórcio, subscrito pelos consorciados;</w:t>
      </w:r>
    </w:p>
    <w:p>
      <w:pPr>
        <w:pStyle w:val="Textbody"/>
        <w:spacing w:lineRule="auto" w:line="240" w:before="0" w:after="0"/>
        <w:rPr>
          <w:rFonts w:eastAsia="CourierNewPSMT" w:cs="Arial"/>
          <w:szCs w:val="22"/>
        </w:rPr>
      </w:pPr>
      <w:r>
        <w:rPr>
          <w:rFonts w:eastAsia="CourierNewPSMT" w:cs="Arial"/>
          <w:szCs w:val="22"/>
        </w:rPr>
        <w:t>9.6.2.1. O licitante vencedor fica obrigado a promover, antes da celebração do contrato, a constituição e o registro do consórcio, devendo comprovar o arquivamento na Junta Comercial e a inscrição no Cadastro Nacional de Pessoa Jurídica – CNPJ;</w:t>
      </w:r>
    </w:p>
    <w:p>
      <w:pPr>
        <w:pStyle w:val="Textbody"/>
        <w:spacing w:lineRule="auto" w:line="240" w:before="0" w:after="0"/>
        <w:rPr>
          <w:rFonts w:eastAsia="CourierNewPSMT" w:cs="Arial"/>
          <w:szCs w:val="22"/>
        </w:rPr>
      </w:pPr>
      <w:r>
        <w:rPr>
          <w:rFonts w:eastAsia="CourierNewPSMT" w:cs="Arial"/>
          <w:szCs w:val="22"/>
        </w:rPr>
        <w:t>9.6.3. Impedimento de a empresa consorciada participar, na mesma licitação, de mais de um consórcio ou de forma isolada;</w:t>
      </w:r>
    </w:p>
    <w:p>
      <w:pPr>
        <w:pStyle w:val="Textbody"/>
        <w:spacing w:lineRule="auto" w:line="240" w:before="0" w:after="0"/>
        <w:rPr>
          <w:rFonts w:eastAsia="CourierNewPSMT" w:cs="Arial"/>
          <w:szCs w:val="22"/>
        </w:rPr>
      </w:pPr>
      <w:r>
        <w:rPr>
          <w:rFonts w:eastAsia="CourierNewPSMT" w:cs="Arial"/>
          <w:szCs w:val="22"/>
        </w:rPr>
        <w:t>9.6.4. Os atos praticados em consórcio, tanto na fase de licitação quanto na de execução do contrato, possuem responsabilidade solidária de todos os seus integrantes;</w:t>
      </w:r>
    </w:p>
    <w:p>
      <w:pPr>
        <w:pStyle w:val="Textbody"/>
        <w:spacing w:lineRule="auto" w:line="240" w:before="0" w:after="0"/>
        <w:rPr>
          <w:rFonts w:eastAsia="CourierNewPSMT" w:cs="Arial"/>
          <w:szCs w:val="22"/>
        </w:rPr>
      </w:pPr>
      <w:r>
        <w:rPr>
          <w:rFonts w:eastAsia="CourierNewPSMT" w:cs="Arial"/>
          <w:szCs w:val="22"/>
        </w:rPr>
        <w:t>9.6.4.1. O compromisso de constituição de consórcio e o contrato a ser celebrado pelo consórcio vencedor deverão conter cláusula de responsabilidade solidária;</w:t>
      </w:r>
    </w:p>
    <w:p>
      <w:pPr>
        <w:pStyle w:val="Textbody"/>
        <w:spacing w:lineRule="auto" w:line="240" w:before="0" w:after="0"/>
        <w:rPr>
          <w:rFonts w:eastAsia="CourierNewPSMT" w:cs="Arial"/>
          <w:szCs w:val="22"/>
        </w:rPr>
      </w:pPr>
      <w:r>
        <w:rPr>
          <w:rFonts w:eastAsia="CourierNewPSMT" w:cs="Arial"/>
          <w:szCs w:val="22"/>
        </w:rPr>
        <w:t>9.6.5.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w:t>
      </w:r>
    </w:p>
    <w:p>
      <w:pPr>
        <w:pStyle w:val="Textbody"/>
        <w:spacing w:lineRule="auto" w:line="240" w:before="0" w:after="0"/>
        <w:rPr>
          <w:rFonts w:eastAsia="CourierNewPSMT" w:cs="Arial"/>
          <w:szCs w:val="22"/>
        </w:rPr>
      </w:pPr>
      <w:r>
        <w:rPr>
          <w:rFonts w:eastAsia="CourierNewPSMT" w:cs="Arial"/>
          <w:szCs w:val="22"/>
        </w:rPr>
        <w:t>9.6.6. A habilitação técnica, quando exigida, será feita por meio do somatório dos quantitativos de cada consorciado e, para efeito de habilitação econômico-financeira, quando exigida, será observado o somatório dos valores de cada consorciado, na proporção de sua respectiva participação;</w:t>
      </w:r>
    </w:p>
    <w:p>
      <w:pPr>
        <w:pStyle w:val="Textbody"/>
        <w:spacing w:lineRule="auto" w:line="240" w:before="0" w:after="0"/>
        <w:rPr>
          <w:rFonts w:eastAsia="CourierNewPSMT" w:cs="Arial"/>
          <w:szCs w:val="22"/>
        </w:rPr>
      </w:pPr>
      <w:r>
        <w:rPr>
          <w:rFonts w:eastAsia="CourierNewPSMT" w:cs="Arial"/>
          <w:szCs w:val="22"/>
        </w:rPr>
        <w:t>9.6.6.1. Para cumprimento do subitem anterior, faz-se necessário também a demonstração, por todos os consorciados, do atendimento aos requisitos contábeis definidos neste edital e/ou seus anexos, quando houver.</w:t>
      </w:r>
    </w:p>
    <w:p>
      <w:pPr>
        <w:pStyle w:val="Textbody"/>
        <w:spacing w:lineRule="auto" w:line="240" w:before="0" w:after="0"/>
        <w:rPr>
          <w:rFonts w:eastAsia="CourierNewPSMT" w:cs="Arial"/>
          <w:szCs w:val="22"/>
        </w:rPr>
      </w:pPr>
      <w:r>
        <w:rPr>
          <w:rFonts w:eastAsia="CourierNewPSMT" w:cs="Arial"/>
          <w:szCs w:val="22"/>
        </w:rPr>
        <w:t>9.6.7. Para o consórcio haverá um acréscimo de 10% (dez por cento) sobre o valor exigido de licitante individual para a habilitação econômico-financeira.</w:t>
      </w:r>
    </w:p>
    <w:p>
      <w:pPr>
        <w:pStyle w:val="Textbody"/>
        <w:spacing w:lineRule="auto" w:line="240" w:before="0" w:after="0"/>
        <w:rPr>
          <w:rFonts w:eastAsia="CourierNewPSMT" w:cs="Arial"/>
          <w:szCs w:val="22"/>
        </w:rPr>
      </w:pPr>
      <w:r>
        <w:rPr>
          <w:rFonts w:eastAsia="CourierNewPSMT" w:cs="Arial"/>
          <w:szCs w:val="22"/>
        </w:rPr>
        <w:t>9.6.7.1. O acréscimo previsto no subitem anterior não se aplica aos consórcios compostos, em sua totalidade, de microempresas e empresas de pequeno porte.</w:t>
      </w:r>
    </w:p>
    <w:p>
      <w:pPr>
        <w:pStyle w:val="Ttulo112"/>
        <w:spacing w:lineRule="auto" w:line="240" w:before="0" w:after="0"/>
        <w:ind w:left="0" w:hanging="0"/>
        <w:rPr>
          <w:sz w:val="22"/>
          <w:szCs w:val="22"/>
        </w:rPr>
      </w:pPr>
      <w:r>
        <w:rPr>
          <w:sz w:val="22"/>
          <w:szCs w:val="22"/>
        </w:rPr>
      </w:r>
    </w:p>
    <w:p>
      <w:pPr>
        <w:pStyle w:val="Ttulo112"/>
        <w:spacing w:lineRule="auto" w:line="240" w:before="0" w:after="0"/>
        <w:ind w:left="0" w:hanging="0"/>
        <w:rPr/>
      </w:pPr>
      <w:r>
        <w:rPr>
          <w:sz w:val="22"/>
          <w:szCs w:val="22"/>
        </w:rPr>
        <w:t xml:space="preserve">10. </w:t>
      </w:r>
      <w:r>
        <w:rPr>
          <w:rFonts w:eastAsia="Times New Roman" w:cs="Verdana"/>
          <w:color w:val="00000A"/>
          <w:sz w:val="22"/>
          <w:szCs w:val="22"/>
        </w:rPr>
        <w:t>DA IMPUGNAÇÃO AO EDITAL E DO PEDIDO DE ESCLARECIMENTO</w:t>
      </w:r>
    </w:p>
    <w:p>
      <w:pPr>
        <w:pStyle w:val="Textbody"/>
        <w:spacing w:lineRule="auto" w:line="240" w:before="0" w:after="0"/>
        <w:rPr/>
      </w:pPr>
      <w:r>
        <w:rPr/>
        <w:t xml:space="preserve">10.1. </w:t>
      </w:r>
      <w:r>
        <w:rPr>
          <w:color w:val="00000A"/>
        </w:rPr>
        <w:t xml:space="preserve">Qualquer pessoa é parte legítima para impugnar este edital por irregularidade na aplicação da </w:t>
      </w:r>
      <w:hyperlink r:id="rId7">
        <w:r>
          <w:rPr>
            <w:rStyle w:val="LinkdaInternet"/>
            <w:color w:val="00000A"/>
            <w:u w:val="none"/>
          </w:rPr>
          <w:t>Lei Federal nº 14.133/2021</w:t>
        </w:r>
      </w:hyperlink>
      <w:r>
        <w:rPr>
          <w:color w:val="00000A"/>
        </w:rPr>
        <w:t>, ou para solicitar esclarecimento sobre seus termos, devendo encaminhar o pedido até 3 (três) dias úteis antes da data da abertura do certame, no endereço eletrônico citado no subitem 10.3 abaixo.</w:t>
      </w:r>
    </w:p>
    <w:p>
      <w:pPr>
        <w:pStyle w:val="Textbody"/>
        <w:spacing w:lineRule="auto" w:line="240" w:before="0" w:after="0"/>
        <w:rPr/>
      </w:pPr>
      <w:r>
        <w:rPr/>
        <w:t xml:space="preserve">10.2. </w:t>
      </w:r>
      <w:r>
        <w:rPr>
          <w:color w:val="00000A"/>
        </w:rPr>
        <w:t>A resposta à impugnação ou ao pedido de esclarecimento será divulgada por meio do sistema utilizado na realização do certame, no prazo de até 3 (três) dias úteis contado da data de recebimento do pedido, limitado ao último dia útil anterior à data da sessão pública. As respostas divulgadas vincularão os participantes e a Administração.</w:t>
      </w:r>
    </w:p>
    <w:p>
      <w:pPr>
        <w:pStyle w:val="Textbody"/>
        <w:spacing w:lineRule="auto" w:line="240" w:before="0" w:after="0"/>
        <w:rPr>
          <w:color w:val="00000A"/>
        </w:rPr>
      </w:pPr>
      <w:r>
        <w:rPr>
          <w:color w:val="00000A"/>
        </w:rPr>
        <w:t>10.2.1. As decisões da Comissão se darão com embasamento nos pareceres e laudos emitidos pelas áreas técnicas e jurídicas do órgão e entidade promotora da licitação nos termos dos §§ 1º, 2º e 3º do art. 24 do Decreto Estadual nº 35.067/2022.</w:t>
      </w:r>
    </w:p>
    <w:p>
      <w:pPr>
        <w:pStyle w:val="Textbody"/>
        <w:spacing w:lineRule="auto" w:line="240" w:before="0" w:after="0"/>
        <w:rPr>
          <w:color w:val="00000A"/>
        </w:rPr>
      </w:pPr>
      <w:r>
        <w:rPr>
          <w:color w:val="00000A"/>
        </w:rPr>
        <w:t>10.2.2. Na impossibilidade de resposta à impugnação no prazo citado no subitem 10.2, a Comissão poderá adiar a abertura da sessão pública, mediante aviso no sistema utilizado na realização do certame.</w:t>
      </w:r>
    </w:p>
    <w:p>
      <w:pPr>
        <w:pStyle w:val="Textbody"/>
        <w:spacing w:lineRule="auto" w:line="240" w:before="0" w:after="0"/>
        <w:rPr/>
      </w:pPr>
      <w:r>
        <w:rPr>
          <w:color w:val="00000A"/>
        </w:rPr>
        <w:t xml:space="preserve">10.3. A impugnação e o pedido de esclarecimento deverão ser realizados exclusivamente por meio eletrônico, </w:t>
      </w:r>
      <w:r>
        <w:rPr/>
        <w:t>no endereço cel01@pge.ce.gov.br, até as 23h59min d</w:t>
      </w:r>
      <w:r>
        <w:rPr>
          <w:color w:val="00000A"/>
        </w:rPr>
        <w:t>o prazo citado no subitem 10.2</w:t>
      </w:r>
      <w:r>
        <w:rPr/>
        <w:t>, com a informação do nº da Concorrência, o órgão ou entidade promotor da licitação e a Comissão responsável.</w:t>
      </w:r>
    </w:p>
    <w:p>
      <w:pPr>
        <w:pStyle w:val="Textbody"/>
        <w:spacing w:lineRule="auto" w:line="240" w:before="0" w:after="0"/>
        <w:rPr/>
      </w:pPr>
      <w:r>
        <w:rPr/>
        <w:t>10.3.1. As impugnações apresentadas deverão ser subscritas por representante legal mediante comprovação, sob pena do seu não conhecimento.</w:t>
      </w:r>
    </w:p>
    <w:p>
      <w:pPr>
        <w:pStyle w:val="Textbody"/>
        <w:spacing w:lineRule="auto" w:line="240" w:before="0" w:after="0"/>
        <w:rPr/>
      </w:pPr>
      <w:r>
        <w:rPr/>
        <w:t xml:space="preserve">10.4. </w:t>
      </w:r>
      <w:r>
        <w:rPr>
          <w:color w:val="00000A"/>
        </w:rPr>
        <w:t>As impugnações e pedidos de esclarecimentos não suspendem os prazos previstos no certame, excetuando-se em casos excepcionais, devidamente motivados pela Comissão nos autos do processo licitatório.</w:t>
      </w:r>
    </w:p>
    <w:p>
      <w:pPr>
        <w:pStyle w:val="Textbody"/>
        <w:spacing w:lineRule="auto" w:line="240" w:before="0" w:after="0"/>
        <w:rPr>
          <w:color w:val="00000A"/>
        </w:rPr>
      </w:pPr>
      <w:r>
        <w:rPr>
          <w:color w:val="00000A"/>
        </w:rPr>
        <w:t>10.5. Acolhida a impugnação, será definida e publicada nova data para a realização do certame, exceto quando a alteração não comprometer a formulação das propostas.</w:t>
      </w:r>
    </w:p>
    <w:p>
      <w:pPr>
        <w:pStyle w:val="Ttulo112"/>
        <w:spacing w:lineRule="auto" w:line="240" w:before="0" w:after="0"/>
        <w:ind w:left="0" w:hanging="0"/>
        <w:rPr>
          <w:rFonts w:eastAsia="Times New Roman" w:cs="Verdana"/>
          <w:sz w:val="22"/>
          <w:szCs w:val="22"/>
          <w:shd w:fill="FFFFFF" w:val="clear"/>
        </w:rPr>
      </w:pPr>
      <w:r>
        <w:rPr>
          <w:rFonts w:eastAsia="Times New Roman" w:cs="Verdana"/>
          <w:sz w:val="22"/>
          <w:szCs w:val="22"/>
          <w:shd w:fill="FFFFFF" w:val="clear"/>
        </w:rPr>
      </w:r>
    </w:p>
    <w:p>
      <w:pPr>
        <w:pStyle w:val="Ttulo112"/>
        <w:spacing w:lineRule="auto" w:line="240" w:before="0" w:after="0"/>
        <w:ind w:left="0" w:hanging="0"/>
        <w:rPr>
          <w:color w:val="000000"/>
        </w:rPr>
      </w:pPr>
      <w:r>
        <w:rPr>
          <w:rFonts w:eastAsia="Times New Roman" w:cs="Verdana"/>
          <w:color w:val="000000"/>
          <w:sz w:val="22"/>
          <w:szCs w:val="22"/>
          <w:shd w:fill="FFFFFF" w:val="clear"/>
        </w:rPr>
        <w:t xml:space="preserve">11. DA </w:t>
      </w:r>
      <w:r>
        <w:rPr>
          <w:rFonts w:eastAsia="Times New Roman"/>
          <w:color w:val="000000"/>
          <w:sz w:val="22"/>
          <w:szCs w:val="22"/>
          <w:shd w:fill="FFFFFF" w:val="clear"/>
          <w:lang w:eastAsia="ar-SA"/>
        </w:rPr>
        <w:t>ESTIMATIVA DO VALOR DA</w:t>
      </w:r>
      <w:r>
        <w:rPr>
          <w:rFonts w:eastAsia="Times New Roman"/>
          <w:color w:val="000000"/>
          <w:sz w:val="22"/>
          <w:szCs w:val="22"/>
          <w:lang w:eastAsia="ar-SA"/>
        </w:rPr>
        <w:t xml:space="preserve"> CONTRATAÇÃO</w:t>
      </w:r>
    </w:p>
    <w:p>
      <w:pPr>
        <w:pStyle w:val="Textbody"/>
        <w:tabs>
          <w:tab w:val="clear" w:pos="708"/>
          <w:tab w:val="left" w:pos="2520" w:leader="none"/>
        </w:tabs>
        <w:snapToGrid w:val="false"/>
        <w:spacing w:lineRule="auto" w:line="240" w:before="0" w:after="0"/>
        <w:rPr>
          <w:color w:val="000000"/>
        </w:rPr>
      </w:pPr>
      <w:r>
        <w:rPr>
          <w:color w:val="000000"/>
        </w:rPr>
        <w:t xml:space="preserve">11.1. O custo estimado total da contratação é de </w:t>
      </w:r>
      <w:r>
        <w:rPr>
          <w:rFonts w:cs="Arial"/>
          <w:b/>
          <w:bCs/>
          <w:color w:val="000000"/>
          <w:sz w:val="22"/>
          <w:szCs w:val="22"/>
          <w:lang w:bidi="hi-IN"/>
        </w:rPr>
        <w:t xml:space="preserve">R$ </w:t>
      </w:r>
      <w:r>
        <w:rPr>
          <w:rFonts w:eastAsia="Calibri" w:cs="Arial"/>
          <w:b/>
          <w:bCs/>
          <w:color w:val="000000"/>
          <w:sz w:val="22"/>
          <w:szCs w:val="22"/>
          <w:lang w:bidi="hi-IN"/>
        </w:rPr>
        <w:t>14.494.160,93</w:t>
      </w:r>
      <w:r>
        <w:rPr>
          <w:rFonts w:eastAsia="Calibri" w:cs="Arial"/>
          <w:color w:val="000000"/>
          <w:sz w:val="22"/>
          <w:szCs w:val="22"/>
          <w:lang w:bidi="hi-IN"/>
        </w:rPr>
        <w:t xml:space="preserve">  (quatorze milhões, quatrocentos e noventa e quatro mil, cento e sessenta reais e noventa e três centavos)</w:t>
      </w:r>
      <w:r>
        <w:rPr>
          <w:rFonts w:cs="Arial"/>
          <w:color w:val="000000"/>
          <w:szCs w:val="22"/>
        </w:rPr>
        <w:t xml:space="preserve">, </w:t>
      </w:r>
      <w:r>
        <w:rPr>
          <w:color w:val="000000"/>
        </w:rPr>
        <w:t xml:space="preserve">conforme os custos unitários apostos no Anexo I – </w:t>
      </w:r>
      <w:r>
        <w:rPr>
          <w:rFonts w:cs="Verdana"/>
          <w:color w:val="000000"/>
          <w:lang w:eastAsia="ar-SA"/>
        </w:rPr>
        <w:t>Especificações Técnicas</w:t>
      </w:r>
      <w:r>
        <w:rPr>
          <w:color w:val="000000"/>
          <w:lang w:eastAsia="ar-SA"/>
        </w:rPr>
        <w:t>.</w:t>
      </w:r>
    </w:p>
    <w:p>
      <w:pPr>
        <w:pStyle w:val="Textbody"/>
        <w:tabs>
          <w:tab w:val="clear" w:pos="708"/>
          <w:tab w:val="left" w:pos="2520" w:leader="none"/>
        </w:tabs>
        <w:snapToGrid w:val="false"/>
        <w:spacing w:lineRule="auto" w:line="240" w:before="0" w:after="0"/>
        <w:rPr>
          <w:color w:val="000000"/>
        </w:rPr>
      </w:pPr>
      <w:r>
        <w:rPr>
          <w:color w:val="000000"/>
        </w:rPr>
      </w:r>
    </w:p>
    <w:p>
      <w:pPr>
        <w:pStyle w:val="Corpodotexto"/>
        <w:widowControl/>
        <w:tabs>
          <w:tab w:val="clear" w:pos="708"/>
          <w:tab w:val="left" w:pos="2520" w:leader="none"/>
        </w:tabs>
        <w:snapToGrid w:val="false"/>
        <w:spacing w:lineRule="auto" w:line="240" w:before="57" w:after="57"/>
        <w:ind w:left="0" w:right="0" w:hanging="0"/>
        <w:jc w:val="both"/>
        <w:rPr/>
      </w:pPr>
      <w:r>
        <w:rPr>
          <w:rStyle w:val="LinkdaInternet"/>
          <w:rFonts w:eastAsia="Arial" w:cs="Arial" w:ascii="Arial" w:hAnsi="Arial"/>
          <w:b/>
          <w:bCs/>
          <w:i w:val="false"/>
          <w:iCs w:val="false"/>
          <w:strike w:val="false"/>
          <w:dstrike w:val="false"/>
          <w:color w:val="000000"/>
          <w:sz w:val="22"/>
          <w:szCs w:val="22"/>
          <w:u w:val="none"/>
          <w:effect w:val="none"/>
          <w:shd w:fill="auto" w:val="clear"/>
          <w:lang w:val="pt-BR" w:eastAsia="en-US" w:bidi="ar-SA"/>
        </w:rPr>
        <w:t>Da Matriz de Risco</w:t>
      </w:r>
    </w:p>
    <w:p>
      <w:pPr>
        <w:pStyle w:val="Corpodotexto"/>
        <w:spacing w:lineRule="auto" w:line="240" w:before="57" w:after="57"/>
        <w:ind w:left="0" w:right="0" w:hanging="0"/>
        <w:jc w:val="both"/>
        <w:rPr/>
      </w:pPr>
      <w:r>
        <w:rPr>
          <w:rStyle w:val="Fontepargpadro"/>
          <w:rFonts w:eastAsia="Times New Roman" w:cs="Arial" w:ascii="Arial" w:hAnsi="Arial"/>
          <w:b w:val="false"/>
          <w:bCs w:val="false"/>
          <w:i w:val="false"/>
          <w:iCs w:val="false"/>
          <w:strike w:val="false"/>
          <w:dstrike w:val="false"/>
          <w:color w:val="000000"/>
          <w:sz w:val="22"/>
          <w:szCs w:val="22"/>
          <w:u w:val="none"/>
          <w:effect w:val="none"/>
          <w:shd w:fill="auto" w:val="clear"/>
          <w:lang w:val="pt-PT" w:eastAsia="ar-SA" w:bidi="ar-SA"/>
        </w:rPr>
        <w:t>11</w:t>
      </w:r>
      <w:r>
        <w:rPr>
          <w:rStyle w:val="Fontepargpadro"/>
          <w:rFonts w:eastAsia="Times New Roman" w:cs="Arial" w:ascii="Arial" w:hAnsi="Arial"/>
          <w:b w:val="false"/>
          <w:bCs w:val="false"/>
          <w:i w:val="false"/>
          <w:iCs w:val="false"/>
          <w:color w:val="000000"/>
          <w:sz w:val="22"/>
          <w:szCs w:val="22"/>
          <w:shd w:fill="auto" w:val="clear"/>
          <w:lang w:val="pt-BR" w:eastAsia="ar-SA" w:bidi="ar-SA"/>
        </w:rPr>
        <w:t xml:space="preserve">.2. A estimativa de custo levou em consideração o risco envolvido na contratação e sua alocação entre contratante e contratado. </w:t>
      </w:r>
      <w:r>
        <w:rPr>
          <w:rFonts w:eastAsia="Calibri" w:cs="Arial" w:ascii="Arial" w:hAnsi="Arial"/>
          <w:color w:val="000000"/>
          <w:kern w:val="0"/>
          <w:sz w:val="22"/>
          <w:szCs w:val="22"/>
          <w:lang w:val="pt-BR" w:eastAsia="zh-CN" w:bidi="hi-IN"/>
        </w:rPr>
        <w:t>A presente Matriz de Riscos integra o instrumento convocatório e o futuro contrato, estabelecendo a alocação dos riscos decorrentes da execução do objeto entre a Contratada, a Contratante e, quando aplicável, de forma compartilhada entre as partes.</w:t>
      </w:r>
    </w:p>
    <w:p>
      <w:pPr>
        <w:pStyle w:val="Corpodotexto"/>
        <w:tabs>
          <w:tab w:val="clear" w:pos="708"/>
          <w:tab w:val="left" w:pos="2520" w:leader="none"/>
        </w:tabs>
        <w:suppressAutoHyphens w:val="true"/>
        <w:snapToGrid w:val="false"/>
        <w:spacing w:lineRule="auto" w:line="240"/>
        <w:jc w:val="both"/>
        <w:rPr>
          <w:rFonts w:ascii="Arial" w:hAnsi="Arial" w:eastAsia="Calibri" w:cs="Arial"/>
          <w:color w:val="000000"/>
          <w:sz w:val="22"/>
          <w:szCs w:val="22"/>
        </w:rPr>
      </w:pPr>
      <w:r>
        <w:rPr>
          <w:rStyle w:val="Strong"/>
          <w:rFonts w:eastAsia="Calibri" w:cs="Arial" w:ascii="Arial" w:hAnsi="Arial"/>
          <w:b w:val="false"/>
          <w:bCs w:val="false"/>
          <w:color w:val="000000"/>
          <w:sz w:val="22"/>
          <w:szCs w:val="22"/>
        </w:rPr>
        <w:t>11.3.</w:t>
      </w:r>
      <w:r>
        <w:rPr>
          <w:rFonts w:eastAsia="Calibri" w:cs="Arial" w:ascii="Arial" w:hAnsi="Arial"/>
          <w:b w:val="false"/>
          <w:bCs w:val="false"/>
          <w:color w:val="000000"/>
          <w:sz w:val="22"/>
          <w:szCs w:val="22"/>
        </w:rPr>
        <w:t xml:space="preserve"> </w:t>
      </w:r>
      <w:r>
        <w:rPr>
          <w:rFonts w:eastAsia="Calibri" w:cs="Arial" w:ascii="Arial" w:hAnsi="Arial"/>
          <w:color w:val="000000"/>
          <w:sz w:val="22"/>
          <w:szCs w:val="22"/>
        </w:rPr>
        <w:t>A alocação dos riscos estabelecida nesta Matriz deverá ser considerada na elaboração das propostas, na execução contratual e na análise de eventuais solicitações de alteração contratual, prorrogação de prazo ou recomposição do equilíbrio econômico-financeiro.</w:t>
      </w:r>
    </w:p>
    <w:p>
      <w:pPr>
        <w:pStyle w:val="Corpodotexto"/>
        <w:tabs>
          <w:tab w:val="clear" w:pos="708"/>
          <w:tab w:val="left" w:pos="2520" w:leader="none"/>
        </w:tabs>
        <w:suppressAutoHyphens w:val="true"/>
        <w:snapToGrid w:val="false"/>
        <w:spacing w:lineRule="auto" w:line="240"/>
        <w:jc w:val="both"/>
        <w:rPr>
          <w:rFonts w:ascii="Arial" w:hAnsi="Arial" w:eastAsia="Calibri" w:cs="Arial"/>
          <w:color w:val="000000"/>
          <w:sz w:val="22"/>
          <w:szCs w:val="22"/>
        </w:rPr>
      </w:pPr>
      <w:r>
        <w:rPr>
          <w:rFonts w:eastAsia="Calibri" w:cs="Arial" w:ascii="Arial" w:hAnsi="Arial"/>
          <w:color w:val="000000"/>
          <w:sz w:val="22"/>
          <w:szCs w:val="22"/>
        </w:rPr>
      </w:r>
    </w:p>
    <w:p>
      <w:pPr>
        <w:pStyle w:val="Corpodotexto"/>
        <w:widowControl/>
        <w:tabs>
          <w:tab w:val="clear" w:pos="708"/>
          <w:tab w:val="left" w:pos="2520" w:leader="none"/>
        </w:tabs>
        <w:suppressAutoHyphens w:val="true"/>
        <w:overflowPunct w:val="false"/>
        <w:bidi w:val="0"/>
        <w:snapToGrid w:val="false"/>
        <w:spacing w:lineRule="auto" w:line="240"/>
        <w:jc w:val="both"/>
        <w:textAlignment w:val="baseline"/>
        <w:rPr/>
      </w:pPr>
      <w:r>
        <w:rPr>
          <w:rStyle w:val="Fontepargpadro"/>
          <w:rFonts w:eastAsia="Calibri" w:cs="Arial" w:ascii="Arial" w:hAnsi="Arial"/>
          <w:i w:val="false"/>
          <w:iCs w:val="false"/>
          <w:color w:val="000000"/>
          <w:kern w:val="0"/>
          <w:sz w:val="22"/>
          <w:szCs w:val="22"/>
          <w:u w:val="none"/>
          <w:lang w:val="pt-BR" w:eastAsia="zh-CN" w:bidi="hi-IN"/>
        </w:rPr>
        <w:t>11</w:t>
      </w:r>
      <w:r>
        <w:rPr>
          <w:rStyle w:val="LinkdaInternet"/>
          <w:rFonts w:eastAsia="Calibri" w:cs="Arial" w:ascii="Arial" w:hAnsi="Arial"/>
          <w:i w:val="false"/>
          <w:iCs w:val="false"/>
          <w:color w:val="000000"/>
          <w:kern w:val="0"/>
          <w:sz w:val="22"/>
          <w:szCs w:val="22"/>
          <w:u w:val="none"/>
          <w:lang w:val="pt-BR" w:eastAsia="zh-CN" w:bidi="hi-IN"/>
        </w:rPr>
        <w:t>.4. Constituem riscos a serem suportados pelo contratante:</w:t>
      </w:r>
    </w:p>
    <w:p>
      <w:pPr>
        <w:pStyle w:val="Corpodotexto"/>
        <w:widowControl/>
        <w:tabs>
          <w:tab w:val="clear" w:pos="708"/>
          <w:tab w:val="left" w:pos="2520" w:leader="none"/>
        </w:tabs>
        <w:suppressAutoHyphens w:val="true"/>
        <w:overflowPunct w:val="false"/>
        <w:bidi w:val="0"/>
        <w:snapToGrid w:val="false"/>
        <w:spacing w:lineRule="auto" w:line="240"/>
        <w:jc w:val="both"/>
        <w:textAlignment w:val="baseline"/>
        <w:rPr/>
      </w:pPr>
      <w:r>
        <w:rPr>
          <w:rStyle w:val="LinkdaInternet"/>
          <w:rFonts w:eastAsia="Calibri" w:cs="Arial" w:ascii="Arial" w:hAnsi="Arial"/>
          <w:i w:val="false"/>
          <w:iCs w:val="false"/>
          <w:color w:val="000000"/>
          <w:kern w:val="0"/>
          <w:sz w:val="22"/>
          <w:szCs w:val="22"/>
          <w:u w:val="none"/>
          <w:lang w:val="pt-BR" w:eastAsia="zh-CN" w:bidi="hi-IN"/>
        </w:rPr>
        <w:t xml:space="preserve">I - </w:t>
      </w:r>
      <w:r>
        <w:rPr>
          <w:rStyle w:val="Strong"/>
          <w:rFonts w:eastAsia="Calibri" w:cs="Arial" w:ascii="Arial" w:hAnsi="Arial"/>
          <w:b w:val="false"/>
          <w:bCs w:val="false"/>
          <w:i w:val="false"/>
          <w:iCs w:val="false"/>
          <w:color w:val="000000"/>
          <w:kern w:val="0"/>
          <w:sz w:val="22"/>
          <w:szCs w:val="22"/>
          <w:u w:val="none"/>
          <w:lang w:val="pt-BR" w:eastAsia="zh-CN" w:bidi="hi-IN"/>
        </w:rPr>
        <w:t xml:space="preserve">Alteração da solução originalmente prevista por solicitação da Contratante. </w:t>
      </w:r>
      <w:r>
        <w:rPr>
          <w:rStyle w:val="LinkdaInternet"/>
          <w:rFonts w:eastAsia="Calibri" w:cs="Arial" w:ascii="Arial" w:hAnsi="Arial"/>
          <w:b w:val="false"/>
          <w:bCs w:val="false"/>
          <w:i w:val="false"/>
          <w:iCs w:val="false"/>
          <w:color w:val="000000"/>
          <w:kern w:val="0"/>
          <w:sz w:val="22"/>
          <w:szCs w:val="22"/>
          <w:u w:val="none"/>
          <w:lang w:val="pt-BR" w:eastAsia="zh-CN" w:bidi="hi-IN"/>
        </w:rPr>
        <w:t>A Contratante assumirá os riscos decorrentes de alteração da solução originalmente estabelecida quando a modificação for determinada pela Administração e não decorrer de erro, omissão, inadequação ou falha imputável à Contratada. Os impactos decorrentes da alteração serão avaliados quanto aos efeitos sobre o custo e o prazo contratual, observadas as disposições da Lei Federal nº 14.133/2021 e as demais condições estabelecidas no contrato.</w:t>
      </w:r>
    </w:p>
    <w:p>
      <w:pPr>
        <w:pStyle w:val="Corpodotexto"/>
        <w:widowControl/>
        <w:tabs>
          <w:tab w:val="clear" w:pos="708"/>
          <w:tab w:val="left" w:pos="2520" w:leader="none"/>
        </w:tabs>
        <w:suppressAutoHyphens w:val="true"/>
        <w:overflowPunct w:val="false"/>
        <w:bidi w:val="0"/>
        <w:snapToGrid w:val="false"/>
        <w:spacing w:lineRule="auto" w:line="240"/>
        <w:jc w:val="both"/>
        <w:textAlignment w:val="baseline"/>
        <w:rPr/>
      </w:pPr>
      <w:r>
        <w:rPr>
          <w:rStyle w:val="Strong"/>
          <w:rFonts w:eastAsia="Calibri" w:cs="Arial" w:ascii="Arial" w:hAnsi="Arial"/>
          <w:b w:val="false"/>
          <w:bCs w:val="false"/>
          <w:i w:val="false"/>
          <w:iCs w:val="false"/>
          <w:color w:val="000000"/>
          <w:kern w:val="0"/>
          <w:sz w:val="22"/>
          <w:szCs w:val="22"/>
          <w:u w:val="none"/>
          <w:lang w:val="pt-BR" w:eastAsia="zh-CN" w:bidi="hi-IN"/>
        </w:rPr>
        <w:t xml:space="preserve">II - Indisponibilidade da fonte de recursos necessária à continuidade da contratação. </w:t>
      </w:r>
      <w:r>
        <w:rPr>
          <w:rStyle w:val="LinkdaInternet"/>
          <w:rFonts w:eastAsia="Calibri" w:cs="Arial" w:ascii="Arial" w:hAnsi="Arial"/>
          <w:b w:val="false"/>
          <w:bCs w:val="false"/>
          <w:i w:val="false"/>
          <w:iCs w:val="false"/>
          <w:color w:val="000000"/>
          <w:kern w:val="0"/>
          <w:sz w:val="22"/>
          <w:szCs w:val="22"/>
          <w:u w:val="none"/>
          <w:lang w:val="pt-BR" w:eastAsia="zh-CN" w:bidi="hi-IN"/>
        </w:rPr>
        <w:t>A Contratante assumirá os riscos decorrentes da indisponibilidade da fonte de recursos necessária à continuidade da contratação, quando o fato não decorrer de ato ou omissão imputável à Contratada.</w:t>
      </w:r>
    </w:p>
    <w:p>
      <w:pPr>
        <w:pStyle w:val="Corpodotexto"/>
        <w:widowControl/>
        <w:tabs>
          <w:tab w:val="clear" w:pos="708"/>
          <w:tab w:val="left" w:pos="2520" w:leader="none"/>
        </w:tabs>
        <w:suppressAutoHyphens w:val="true"/>
        <w:overflowPunct w:val="false"/>
        <w:bidi w:val="0"/>
        <w:snapToGrid w:val="false"/>
        <w:spacing w:lineRule="auto" w:line="240"/>
        <w:jc w:val="both"/>
        <w:textAlignment w:val="baseline"/>
        <w:rPr/>
      </w:pPr>
      <w:r>
        <w:rPr/>
      </w:r>
    </w:p>
    <w:p>
      <w:pPr>
        <w:pStyle w:val="Corpodotexto"/>
        <w:widowControl/>
        <w:tabs>
          <w:tab w:val="clear" w:pos="708"/>
          <w:tab w:val="left" w:pos="2520" w:leader="none"/>
        </w:tabs>
        <w:suppressAutoHyphens w:val="true"/>
        <w:overflowPunct w:val="false"/>
        <w:bidi w:val="0"/>
        <w:snapToGrid w:val="false"/>
        <w:spacing w:lineRule="auto" w:line="240"/>
        <w:jc w:val="both"/>
        <w:textAlignment w:val="baseline"/>
        <w:rPr/>
      </w:pPr>
      <w:r>
        <w:rPr>
          <w:rFonts w:eastAsia="Calibri" w:cs="Arial" w:ascii="Arial" w:hAnsi="Arial"/>
          <w:b w:val="false"/>
          <w:bCs w:val="false"/>
          <w:color w:val="000000"/>
          <w:kern w:val="0"/>
          <w:sz w:val="22"/>
          <w:szCs w:val="22"/>
          <w:lang w:val="pt-BR" w:eastAsia="zh-CN" w:bidi="hi-IN"/>
        </w:rPr>
        <w:t xml:space="preserve">11. 5. </w:t>
      </w:r>
      <w:r>
        <w:rPr>
          <w:rStyle w:val="LinkdaInternet"/>
          <w:rFonts w:eastAsia="Arial" w:cs="Arial" w:ascii="Arial" w:hAnsi="Arial"/>
          <w:b w:val="false"/>
          <w:bCs w:val="false"/>
          <w:i w:val="false"/>
          <w:iCs w:val="false"/>
          <w:color w:val="000000"/>
          <w:kern w:val="0"/>
          <w:sz w:val="22"/>
          <w:szCs w:val="22"/>
          <w:u w:val="none"/>
          <w:shd w:fill="auto" w:val="clear"/>
          <w:lang w:val="pt-BR"/>
        </w:rPr>
        <w:t>Constituem riscos a serem suportados pelo contratado:</w:t>
      </w:r>
    </w:p>
    <w:p>
      <w:pPr>
        <w:pStyle w:val="Ttulo3"/>
        <w:widowControl/>
        <w:tabs>
          <w:tab w:val="clear" w:pos="708"/>
          <w:tab w:val="left" w:pos="2520" w:leader="none"/>
        </w:tabs>
        <w:suppressAutoHyphens w:val="true"/>
        <w:overflowPunct w:val="false"/>
        <w:bidi w:val="0"/>
        <w:snapToGrid w:val="false"/>
        <w:spacing w:lineRule="auto" w:line="240" w:before="0" w:after="0"/>
        <w:ind w:left="0" w:hanging="0"/>
        <w:textAlignment w:val="baseline"/>
        <w:rPr>
          <w:rFonts w:ascii="Arial" w:hAnsi="Arial" w:eastAsia="Calibri" w:cs="Arial"/>
          <w:color w:val="000000"/>
          <w:sz w:val="22"/>
          <w:szCs w:val="22"/>
        </w:rPr>
      </w:pPr>
      <w:r>
        <w:rPr>
          <w:rStyle w:val="Strong"/>
          <w:rFonts w:eastAsia="Calibri" w:cs="Arial" w:ascii="Arial" w:hAnsi="Arial"/>
          <w:b w:val="false"/>
          <w:bCs w:val="false"/>
          <w:color w:val="000000"/>
          <w:sz w:val="22"/>
          <w:szCs w:val="22"/>
        </w:rPr>
        <w:t xml:space="preserve">I - Baixa qualificação técnica da empresa ou do corpo técnico para execução das atividades contratadas. </w:t>
      </w:r>
      <w:r>
        <w:rPr>
          <w:rFonts w:eastAsia="Calibri" w:cs="Arial" w:ascii="Arial" w:hAnsi="Arial"/>
          <w:b w:val="false"/>
          <w:bCs w:val="false"/>
          <w:color w:val="000000"/>
          <w:sz w:val="22"/>
          <w:szCs w:val="22"/>
        </w:rPr>
        <w:t>A Contratada será responsável pelas consequências decorrentes de insuficiência de qualificação técnica, inclusive aquelas relacionadas à execução inadequada, necessidade de correção ou refazimento de serviços, retrabalho, desperdícios, atrasos e demais prejuízos que lhe sejam imputáveis.</w:t>
      </w:r>
    </w:p>
    <w:p>
      <w:pPr>
        <w:pStyle w:val="Corpodotexto"/>
        <w:tabs>
          <w:tab w:val="clear" w:pos="708"/>
          <w:tab w:val="left" w:pos="2520" w:leader="none"/>
        </w:tabs>
        <w:suppressAutoHyphens w:val="true"/>
        <w:snapToGrid w:val="false"/>
        <w:spacing w:lineRule="auto" w:line="240"/>
        <w:jc w:val="both"/>
        <w:rPr>
          <w:rFonts w:ascii="Arial" w:hAnsi="Arial" w:eastAsia="Calibri" w:cs="Arial"/>
          <w:color w:val="000000"/>
          <w:sz w:val="22"/>
          <w:szCs w:val="22"/>
        </w:rPr>
      </w:pPr>
      <w:r>
        <w:rPr>
          <w:rStyle w:val="Strong"/>
          <w:rFonts w:eastAsia="Calibri" w:cs="Arial" w:ascii="Arial" w:hAnsi="Arial"/>
          <w:b w:val="false"/>
          <w:bCs w:val="false"/>
          <w:color w:val="000000"/>
          <w:sz w:val="22"/>
          <w:szCs w:val="22"/>
        </w:rPr>
        <w:t xml:space="preserve">II - Erros ou falhas na execução da obra ou dos serviços. </w:t>
      </w:r>
      <w:r>
        <w:rPr>
          <w:rFonts w:eastAsia="Calibri" w:cs="Arial" w:ascii="Arial" w:hAnsi="Arial"/>
          <w:b w:val="false"/>
          <w:bCs w:val="false"/>
          <w:color w:val="000000"/>
          <w:sz w:val="22"/>
          <w:szCs w:val="22"/>
        </w:rPr>
        <w:t>A Contratada será responsável pelos erros, falhas, inadequações ou desconformidades decorrentes da execução da obra ou dos serviços que lhe sejam imputáveis, incluindo os custos de correção, retrabalho, substituição, refazimento e demais providências necessárias à regularização dos serviços.</w:t>
      </w:r>
    </w:p>
    <w:p>
      <w:pPr>
        <w:pStyle w:val="Corpodotexto"/>
        <w:tabs>
          <w:tab w:val="clear" w:pos="708"/>
          <w:tab w:val="left" w:pos="2520" w:leader="none"/>
        </w:tabs>
        <w:suppressAutoHyphens w:val="true"/>
        <w:snapToGrid w:val="false"/>
        <w:spacing w:lineRule="auto" w:line="240"/>
        <w:jc w:val="both"/>
        <w:rPr>
          <w:rFonts w:ascii="Arial" w:hAnsi="Arial" w:eastAsia="Calibri" w:cs="Arial"/>
          <w:color w:val="000000"/>
          <w:sz w:val="22"/>
          <w:szCs w:val="22"/>
        </w:rPr>
      </w:pPr>
      <w:r>
        <w:rPr>
          <w:rStyle w:val="Strong"/>
          <w:rFonts w:eastAsia="Calibri" w:cs="Arial" w:ascii="Arial" w:hAnsi="Arial"/>
          <w:b w:val="false"/>
          <w:bCs w:val="false"/>
          <w:color w:val="000000"/>
          <w:sz w:val="22"/>
          <w:szCs w:val="22"/>
        </w:rPr>
        <w:t xml:space="preserve">III - Eventos durante a execução que impeçam o cumprimento dos prazos ou provoquem aumento de custos por fatos atribuíveis à Contratada. </w:t>
      </w:r>
      <w:r>
        <w:rPr>
          <w:rFonts w:eastAsia="Calibri" w:cs="Arial" w:ascii="Arial" w:hAnsi="Arial"/>
          <w:b w:val="false"/>
          <w:bCs w:val="false"/>
          <w:color w:val="000000"/>
          <w:sz w:val="22"/>
          <w:szCs w:val="22"/>
        </w:rPr>
        <w:t>A Contratada assumirá as consequências decorrentes de atos, fatos, omissões, falhas ou atrasos que lhe sejam imputáveis e que resultem em impedimento, atraso ou aumento dos custos de execução do objeto.</w:t>
      </w:r>
    </w:p>
    <w:p>
      <w:pPr>
        <w:pStyle w:val="Corpodotexto"/>
        <w:tabs>
          <w:tab w:val="clear" w:pos="708"/>
          <w:tab w:val="left" w:pos="2520" w:leader="none"/>
        </w:tabs>
        <w:suppressAutoHyphens w:val="true"/>
        <w:snapToGrid w:val="false"/>
        <w:spacing w:lineRule="auto" w:line="240"/>
        <w:jc w:val="both"/>
        <w:rPr>
          <w:rFonts w:ascii="Arial" w:hAnsi="Arial" w:eastAsia="Calibri" w:cs="Arial"/>
          <w:color w:val="000000"/>
          <w:sz w:val="22"/>
          <w:szCs w:val="22"/>
        </w:rPr>
      </w:pPr>
      <w:r>
        <w:rPr>
          <w:rStyle w:val="Strong"/>
          <w:rFonts w:eastAsia="Calibri" w:cs="Arial" w:ascii="Arial" w:hAnsi="Arial"/>
          <w:b w:val="false"/>
          <w:bCs w:val="false"/>
          <w:color w:val="000000"/>
          <w:sz w:val="22"/>
          <w:szCs w:val="22"/>
        </w:rPr>
        <w:t xml:space="preserve">IV - Plano de Gerenciamento de Resíduos da Construção Civil – PGRSCC em desconformidade com a legislação ou com as exigências da contratação. </w:t>
      </w:r>
      <w:r>
        <w:rPr>
          <w:rFonts w:eastAsia="Calibri" w:cs="Arial" w:ascii="Arial" w:hAnsi="Arial"/>
          <w:b w:val="false"/>
          <w:bCs w:val="false"/>
          <w:color w:val="000000"/>
          <w:sz w:val="22"/>
          <w:szCs w:val="22"/>
        </w:rPr>
        <w:t>A Contratada será responsável pela elaboração, manutenção e cumprimento do PGRSCC, naquilo que lhe for atribuído pelos documentos da contratação e pela legislação aplicável, respondendo pelas consequências decorrentes de sua desconformidade.</w:t>
      </w:r>
    </w:p>
    <w:p>
      <w:pPr>
        <w:pStyle w:val="Corpodotexto"/>
        <w:tabs>
          <w:tab w:val="clear" w:pos="708"/>
          <w:tab w:val="left" w:pos="2520" w:leader="none"/>
        </w:tabs>
        <w:suppressAutoHyphens w:val="true"/>
        <w:snapToGrid w:val="false"/>
        <w:spacing w:lineRule="auto" w:line="240"/>
        <w:jc w:val="both"/>
        <w:rPr>
          <w:rFonts w:ascii="Arial" w:hAnsi="Arial" w:eastAsia="Calibri" w:cs="Arial"/>
          <w:color w:val="000000"/>
          <w:sz w:val="22"/>
          <w:szCs w:val="22"/>
        </w:rPr>
      </w:pPr>
      <w:r>
        <w:rPr>
          <w:rStyle w:val="Strong"/>
          <w:rFonts w:eastAsia="Calibri" w:cs="Arial" w:ascii="Arial" w:hAnsi="Arial"/>
          <w:b w:val="false"/>
          <w:bCs w:val="false"/>
          <w:color w:val="000000"/>
          <w:sz w:val="22"/>
          <w:szCs w:val="22"/>
        </w:rPr>
        <w:t xml:space="preserve">V - Gestão inadequada dos resíduos da construção civil. </w:t>
      </w:r>
      <w:r>
        <w:rPr>
          <w:rFonts w:eastAsia="Calibri" w:cs="Arial" w:ascii="Arial" w:hAnsi="Arial"/>
          <w:b w:val="false"/>
          <w:bCs w:val="false"/>
          <w:color w:val="000000"/>
          <w:sz w:val="22"/>
          <w:szCs w:val="22"/>
        </w:rPr>
        <w:t>A Contratada será responsável pelas consequências decorrentes da gestão inadequada dos resíduos gerados na execução da obra, incluindo segregação, armazenamento, transporte, destinação e disposição em desconformidade com o PGRSCC, com a legislação ambiental ou com as determinações dos órgãos competentes. As multas, custos de correção, recuperação de áreas degradadas e demais consequências decorrentes de atos ou omissões imputáveis à Contratada serão de sua responsabilidade.</w:t>
      </w:r>
    </w:p>
    <w:p>
      <w:pPr>
        <w:pStyle w:val="Corpodotexto"/>
        <w:tabs>
          <w:tab w:val="clear" w:pos="708"/>
          <w:tab w:val="left" w:pos="2520" w:leader="none"/>
        </w:tabs>
        <w:suppressAutoHyphens w:val="true"/>
        <w:snapToGrid w:val="false"/>
        <w:spacing w:lineRule="auto" w:line="240"/>
        <w:jc w:val="both"/>
        <w:rPr>
          <w:rFonts w:ascii="Arial" w:hAnsi="Arial" w:eastAsia="Calibri" w:cs="Arial"/>
          <w:color w:val="000000"/>
          <w:sz w:val="22"/>
          <w:szCs w:val="22"/>
        </w:rPr>
      </w:pPr>
      <w:r>
        <w:rPr>
          <w:rStyle w:val="Strong"/>
          <w:rFonts w:eastAsia="Calibri" w:cs="Arial" w:ascii="Arial" w:hAnsi="Arial"/>
          <w:b w:val="false"/>
          <w:bCs w:val="false"/>
          <w:color w:val="000000"/>
          <w:sz w:val="22"/>
          <w:szCs w:val="22"/>
        </w:rPr>
        <w:t xml:space="preserve">VI -  Subestimação dos preços constantes da proposta da Contratada. </w:t>
      </w:r>
      <w:r>
        <w:rPr>
          <w:rFonts w:eastAsia="Calibri" w:cs="Arial" w:ascii="Arial" w:hAnsi="Arial"/>
          <w:b w:val="false"/>
          <w:bCs w:val="false"/>
          <w:color w:val="000000"/>
          <w:sz w:val="22"/>
          <w:szCs w:val="22"/>
        </w:rPr>
        <w:t>A Contratada assumirá o risco decorrente da subestimação dos preços apresentados em sua proposta, inclusive quando resultante de avaliação inadequada dos custos necessários à execução do objeto.</w:t>
      </w:r>
    </w:p>
    <w:p>
      <w:pPr>
        <w:pStyle w:val="Corpodotexto"/>
        <w:tabs>
          <w:tab w:val="clear" w:pos="708"/>
          <w:tab w:val="left" w:pos="2520" w:leader="none"/>
        </w:tabs>
        <w:suppressAutoHyphens w:val="true"/>
        <w:snapToGrid w:val="false"/>
        <w:spacing w:lineRule="auto" w:line="240"/>
        <w:jc w:val="both"/>
        <w:rPr>
          <w:rFonts w:ascii="Arial" w:hAnsi="Arial" w:eastAsia="Calibri" w:cs="Arial"/>
          <w:color w:val="000000"/>
          <w:sz w:val="22"/>
          <w:szCs w:val="22"/>
        </w:rPr>
      </w:pPr>
      <w:r>
        <w:rPr>
          <w:rStyle w:val="Strong"/>
          <w:rFonts w:eastAsia="Calibri" w:cs="Arial" w:ascii="Arial" w:hAnsi="Arial"/>
          <w:b w:val="false"/>
          <w:bCs w:val="false"/>
          <w:color w:val="000000"/>
          <w:sz w:val="22"/>
          <w:szCs w:val="22"/>
        </w:rPr>
        <w:t xml:space="preserve">VII - Erros ou omissões na elaboração da planilha de preços da Contratada. </w:t>
      </w:r>
      <w:r>
        <w:rPr>
          <w:rFonts w:eastAsia="Calibri" w:cs="Arial" w:ascii="Arial" w:hAnsi="Arial"/>
          <w:b w:val="false"/>
          <w:bCs w:val="false"/>
          <w:color w:val="000000"/>
          <w:sz w:val="22"/>
          <w:szCs w:val="22"/>
        </w:rPr>
        <w:t>A Contratada assumirá os riscos decorrentes de erros ou omissões na elaboração de sua proposta e respectiva planilha de preços, inclusive quanto à não consideração de insumos, serviços, mão de obra, equipamentos ou demais componentes necessários à execução do objeto, desde que tais elementos fossem previsíveis a partir dos documentos disponibilizados na licitação.</w:t>
      </w:r>
    </w:p>
    <w:p>
      <w:pPr>
        <w:pStyle w:val="Corpodotexto"/>
        <w:tabs>
          <w:tab w:val="clear" w:pos="708"/>
          <w:tab w:val="left" w:pos="2520" w:leader="none"/>
        </w:tabs>
        <w:suppressAutoHyphens w:val="true"/>
        <w:snapToGrid w:val="false"/>
        <w:spacing w:lineRule="auto" w:line="240"/>
        <w:jc w:val="both"/>
        <w:rPr>
          <w:rFonts w:ascii="Arial" w:hAnsi="Arial" w:eastAsia="Calibri" w:cs="Arial"/>
          <w:color w:val="000000"/>
          <w:sz w:val="22"/>
          <w:szCs w:val="22"/>
        </w:rPr>
      </w:pPr>
      <w:r>
        <w:rPr>
          <w:rStyle w:val="Strong"/>
          <w:rFonts w:eastAsia="Calibri" w:cs="Arial" w:ascii="Arial" w:hAnsi="Arial"/>
          <w:b w:val="false"/>
          <w:bCs w:val="false"/>
          <w:color w:val="000000"/>
          <w:sz w:val="22"/>
          <w:szCs w:val="22"/>
        </w:rPr>
        <w:t xml:space="preserve">VIII - Descumprimento de normas construtivas e de segurança. </w:t>
      </w:r>
      <w:r>
        <w:rPr>
          <w:rFonts w:eastAsia="Calibri" w:cs="Arial" w:ascii="Arial" w:hAnsi="Arial"/>
          <w:b w:val="false"/>
          <w:bCs w:val="false"/>
          <w:color w:val="000000"/>
          <w:sz w:val="22"/>
          <w:szCs w:val="22"/>
        </w:rPr>
        <w:t>A Contratada será responsável pelas consequências decorrentes do descumprimento das normas técnicas, construtivas, trabalhistas e de segurança aplicáveis à execução do objeto, inclusive as Normas Regulamentadoras pertinentes, respondendo pelas multas, custos de adequação, paralisações e demais consequências decorrentes de irregularidades que lhe sejam imputáveis.</w:t>
      </w:r>
    </w:p>
    <w:p>
      <w:pPr>
        <w:pStyle w:val="Ttulo3"/>
        <w:widowControl/>
        <w:tabs>
          <w:tab w:val="clear" w:pos="708"/>
          <w:tab w:val="left" w:pos="2520" w:leader="none"/>
        </w:tabs>
        <w:suppressAutoHyphens w:val="true"/>
        <w:overflowPunct w:val="false"/>
        <w:bidi w:val="0"/>
        <w:snapToGrid w:val="false"/>
        <w:spacing w:lineRule="auto" w:line="240" w:before="0" w:after="0"/>
        <w:ind w:left="0" w:hanging="0"/>
        <w:textAlignment w:val="baseline"/>
        <w:rPr>
          <w:rFonts w:ascii="Arial" w:hAnsi="Arial" w:eastAsia="Calibri" w:cs="Arial"/>
          <w:b w:val="false"/>
          <w:bCs w:val="false"/>
          <w:color w:val="000000"/>
          <w:sz w:val="22"/>
          <w:szCs w:val="22"/>
        </w:rPr>
      </w:pPr>
      <w:r>
        <w:rPr>
          <w:rFonts w:eastAsia="Calibri" w:cs="Arial" w:ascii="Arial" w:hAnsi="Arial"/>
          <w:b w:val="false"/>
          <w:bCs w:val="false"/>
          <w:color w:val="000000"/>
          <w:sz w:val="22"/>
          <w:szCs w:val="22"/>
        </w:rPr>
      </w:r>
    </w:p>
    <w:p>
      <w:pPr>
        <w:pStyle w:val="Ttulo3"/>
        <w:tabs>
          <w:tab w:val="clear" w:pos="708"/>
          <w:tab w:val="left" w:pos="2520" w:leader="none"/>
        </w:tabs>
        <w:suppressAutoHyphens w:val="true"/>
        <w:snapToGrid w:val="false"/>
        <w:spacing w:lineRule="auto" w:line="240"/>
        <w:ind w:left="0" w:hanging="0"/>
        <w:jc w:val="both"/>
        <w:rPr/>
      </w:pPr>
      <w:r>
        <w:rPr>
          <w:rFonts w:eastAsia="Calibri" w:cs="Arial" w:ascii="Arial" w:hAnsi="Arial"/>
          <w:b w:val="false"/>
          <w:bCs w:val="false"/>
          <w:color w:val="000000"/>
          <w:sz w:val="22"/>
          <w:szCs w:val="22"/>
        </w:rPr>
        <w:t xml:space="preserve">11.6 </w:t>
      </w:r>
      <w:r>
        <w:rPr>
          <w:rFonts w:eastAsia="Calibri" w:cs="Arial" w:ascii="Arial" w:hAnsi="Arial"/>
          <w:b w:val="false"/>
          <w:bCs w:val="false"/>
          <w:color w:val="000000"/>
          <w:kern w:val="0"/>
          <w:sz w:val="22"/>
          <w:szCs w:val="22"/>
          <w:lang w:val="pt-BR" w:eastAsia="zh-CN" w:bidi="hi-IN"/>
        </w:rPr>
        <w:t xml:space="preserve">Constituem riscos a serem compartilhados pelas partes, na proporção de </w:t>
      </w:r>
      <w:r>
        <w:rPr>
          <w:rStyle w:val="Strong"/>
          <w:rFonts w:eastAsia="Calibri" w:cs="Arial" w:ascii="Arial" w:hAnsi="Arial"/>
          <w:b w:val="false"/>
          <w:bCs w:val="false"/>
          <w:color w:val="000000"/>
          <w:kern w:val="0"/>
          <w:sz w:val="22"/>
          <w:szCs w:val="22"/>
          <w:lang w:val="pt-BR" w:eastAsia="zh-CN" w:bidi="hi-IN"/>
        </w:rPr>
        <w:t>50% (cinquenta por cento) para o Contratante e 50% (cinquenta por cento) para o Contratado</w:t>
      </w:r>
      <w:r>
        <w:rPr>
          <w:rFonts w:eastAsia="Calibri" w:cs="Arial" w:ascii="Arial" w:hAnsi="Arial"/>
          <w:b w:val="false"/>
          <w:bCs w:val="false"/>
          <w:color w:val="000000"/>
          <w:kern w:val="0"/>
          <w:sz w:val="22"/>
          <w:szCs w:val="22"/>
          <w:lang w:val="pt-BR" w:eastAsia="zh-CN" w:bidi="hi-IN"/>
        </w:rPr>
        <w:t xml:space="preserve">: </w:t>
      </w:r>
    </w:p>
    <w:p>
      <w:pPr>
        <w:pStyle w:val="Corpodotexto"/>
        <w:tabs>
          <w:tab w:val="clear" w:pos="708"/>
          <w:tab w:val="left" w:pos="2520" w:leader="none"/>
        </w:tabs>
        <w:suppressAutoHyphens w:val="true"/>
        <w:snapToGrid w:val="false"/>
        <w:spacing w:lineRule="auto" w:line="240"/>
        <w:jc w:val="both"/>
        <w:rPr>
          <w:rFonts w:ascii="Arial" w:hAnsi="Arial" w:eastAsia="Calibri" w:cs="Arial"/>
          <w:color w:val="000000"/>
          <w:sz w:val="22"/>
          <w:szCs w:val="22"/>
        </w:rPr>
      </w:pPr>
      <w:r>
        <w:rPr>
          <w:rStyle w:val="Strong"/>
          <w:rFonts w:eastAsia="Calibri" w:cs="Arial" w:ascii="Arial" w:hAnsi="Arial"/>
          <w:b w:val="false"/>
          <w:bCs w:val="false"/>
          <w:color w:val="000000"/>
          <w:sz w:val="22"/>
          <w:szCs w:val="22"/>
        </w:rPr>
        <w:t xml:space="preserve">I - Atrasos na liberação das frentes de obra ou paralisações decorrentes de fatos não atribuíveis à Contratada. </w:t>
      </w:r>
      <w:r>
        <w:rPr>
          <w:rFonts w:eastAsia="Calibri" w:cs="Arial" w:ascii="Arial" w:hAnsi="Arial"/>
          <w:color w:val="000000"/>
          <w:sz w:val="22"/>
          <w:szCs w:val="22"/>
        </w:rPr>
        <w:t>Os riscos decorrentes de atrasos na liberação das frentes de obra ou de paralisações ocasionadas por fatos não atribuíveis exclusivamente à Contratada serão compartilhados pelas partes. A responsabilidade e as respectivas consequências serão definidas conforme a causa efetivamente determinante do evento. Quando o atraso ou a paralisação decorrer de providência ou obrigação de responsabilidade da Contratante, as consequências serão suportadas pela Contratante. Quando decorrer de ato, omissão ou falha da Contratada, o evento será tratado como risco da Contratada. Quando decorrer da atuação de terceiros ou de circunstância externa não imputável exclusivamente a uma das partes, serão avaliados os impactos efetivamente comprovados e as medidas de prevenção e mitigação adotadas por cada parte.</w:t>
      </w:r>
    </w:p>
    <w:p>
      <w:pPr>
        <w:pStyle w:val="Corpodotexto"/>
        <w:tabs>
          <w:tab w:val="clear" w:pos="708"/>
          <w:tab w:val="left" w:pos="2520" w:leader="none"/>
        </w:tabs>
        <w:suppressAutoHyphens w:val="true"/>
        <w:snapToGrid w:val="false"/>
        <w:spacing w:lineRule="auto" w:line="240"/>
        <w:jc w:val="both"/>
        <w:rPr>
          <w:rFonts w:ascii="Arial" w:hAnsi="Arial" w:eastAsia="Calibri" w:cs="Arial"/>
          <w:color w:val="000000"/>
          <w:sz w:val="22"/>
          <w:szCs w:val="22"/>
        </w:rPr>
      </w:pPr>
      <w:r>
        <w:rPr>
          <w:rStyle w:val="Strong"/>
          <w:rFonts w:eastAsia="Calibri" w:cs="Arial" w:ascii="Arial" w:hAnsi="Arial"/>
          <w:b w:val="false"/>
          <w:bCs w:val="false"/>
          <w:color w:val="000000"/>
          <w:sz w:val="22"/>
          <w:szCs w:val="22"/>
        </w:rPr>
        <w:t xml:space="preserve">II - Licenciamento ambiental e respectivas condicionantes. </w:t>
      </w:r>
      <w:r>
        <w:rPr>
          <w:rFonts w:eastAsia="Calibri" w:cs="Arial" w:ascii="Arial" w:hAnsi="Arial"/>
          <w:color w:val="000000"/>
          <w:sz w:val="22"/>
          <w:szCs w:val="22"/>
        </w:rPr>
        <w:t>Os riscos relacionados ao licenciamento ambiental, às autorizações ambientais e ao cumprimento das respectivas condicionantes serão compartilhados entre as partes, observadas as responsabilidades especificamente atribuídas à Contratante e à Contratada nos documentos integrantes da contratação e nos atos dos órgãos competentes. A parte responsável pela obrigação que der causa ao evento suportará as respectivas consequências. Quando a ocorrência decorrer de atuação conjunta, de circunstância não imputável exclusivamente a uma das partes ou de determinação do órgão ambiental que produza efeitos sobre obrigações atribuídas a ambas, os impactos serão analisados de forma compartilhada, considerando-se a participação e a responsabilidade de cada parte. A ocorrência de exigência, condicionante ou determinação do órgão ambiental não implicará, por si só, alteração do valor contratual ou do prazo de execução, devendo ser demonstrados o evento, sua causa, a responsabilidade de cada parte e os impactos efetivamente produzidos.</w:t>
      </w:r>
    </w:p>
    <w:p>
      <w:pPr>
        <w:pStyle w:val="Corpodotexto"/>
        <w:tabs>
          <w:tab w:val="clear" w:pos="708"/>
          <w:tab w:val="left" w:pos="2520" w:leader="none"/>
        </w:tabs>
        <w:suppressAutoHyphens w:val="true"/>
        <w:snapToGrid w:val="false"/>
        <w:spacing w:lineRule="auto" w:line="240"/>
        <w:jc w:val="both"/>
        <w:rPr>
          <w:rFonts w:ascii="Arial" w:hAnsi="Arial" w:eastAsia="Calibri" w:cs="Arial"/>
          <w:color w:val="000000"/>
          <w:sz w:val="22"/>
          <w:szCs w:val="22"/>
        </w:rPr>
      </w:pPr>
      <w:r>
        <w:rPr>
          <w:rStyle w:val="Strong"/>
          <w:rFonts w:eastAsia="Calibri" w:cs="Arial" w:ascii="Arial" w:hAnsi="Arial"/>
          <w:b w:val="false"/>
          <w:bCs w:val="false"/>
          <w:color w:val="000000"/>
          <w:sz w:val="22"/>
          <w:szCs w:val="22"/>
        </w:rPr>
        <w:t>III - Eventos climáticos.</w:t>
      </w:r>
      <w:r>
        <w:rPr>
          <w:rStyle w:val="Strong"/>
          <w:rFonts w:eastAsia="Calibri" w:cs="Arial" w:ascii="Arial" w:hAnsi="Arial"/>
          <w:color w:val="000000"/>
          <w:sz w:val="22"/>
          <w:szCs w:val="22"/>
        </w:rPr>
        <w:t xml:space="preserve"> </w:t>
      </w:r>
      <w:r>
        <w:rPr>
          <w:rFonts w:eastAsia="Calibri" w:cs="Arial" w:ascii="Arial" w:hAnsi="Arial"/>
          <w:color w:val="000000"/>
          <w:sz w:val="22"/>
          <w:szCs w:val="22"/>
        </w:rPr>
        <w:t>A Contratada deverá considerar, na elaboração de sua proposta e no planejamento da execução do objeto, as condições climáticas ordinárias e previsíveis da região e os períodos de maior ocorrência de chuvas. Os eventos climáticos ordinários e previsíveis, compatíveis com os padrões históricos da localidade, constituirão risco ordinário da execução e deverão ser considerados pela Contratada na elaboração de sua proposta e de seu cronograma. Os eventos climáticos extraordinários que excedam os padrões históricos da localidade e que comprovadamente impeçam a execução dos serviços ou provoquem danos aos serviços executados serão tratados como riscos compartilhados. A caracterização da excepcionalidade deverá considerar, preferencialmente, dados oficiais disponíveis, inclusive aqueles divulgados pela Fundação Cearense de Meteorologia e Recursos Hídricos – FUNCEME. A ocorrência de evento climático extraordinário será analisada quanto aos impactos efetivamente produzidos sobre o prazo e os custos da contratação, considerando-se as medidas de prevenção e mitigação adotadas por cada parte. A ocorrência de evento climático não afastará a responsabilidade da Contratada quando os danos decorrerem de deficiência de execução, proteção, armazenamento, drenagem provisória ou de qualquer outra obrigação que lhe seja atribuída.</w:t>
      </w:r>
    </w:p>
    <w:p>
      <w:pPr>
        <w:pStyle w:val="Ttulo3"/>
        <w:tabs>
          <w:tab w:val="clear" w:pos="708"/>
          <w:tab w:val="left" w:pos="2520" w:leader="none"/>
        </w:tabs>
        <w:suppressAutoHyphens w:val="true"/>
        <w:snapToGrid w:val="false"/>
        <w:spacing w:lineRule="auto" w:line="240"/>
        <w:ind w:left="0" w:hanging="0"/>
        <w:jc w:val="both"/>
        <w:rPr>
          <w:rFonts w:ascii="Arial" w:hAnsi="Arial" w:eastAsia="Calibri" w:cs="Arial"/>
          <w:b w:val="false"/>
          <w:bCs w:val="false"/>
          <w:color w:val="000000"/>
          <w:sz w:val="22"/>
          <w:szCs w:val="22"/>
        </w:rPr>
      </w:pPr>
      <w:r>
        <w:rPr>
          <w:rFonts w:eastAsia="Calibri" w:cs="Arial" w:ascii="Arial" w:hAnsi="Arial"/>
          <w:b w:val="false"/>
          <w:bCs w:val="false"/>
          <w:color w:val="000000"/>
          <w:sz w:val="22"/>
          <w:szCs w:val="22"/>
        </w:rPr>
        <w:t>11.7. Disposições Gerais:</w:t>
      </w:r>
    </w:p>
    <w:p>
      <w:pPr>
        <w:pStyle w:val="Corpodotexto"/>
        <w:tabs>
          <w:tab w:val="clear" w:pos="708"/>
          <w:tab w:val="left" w:pos="2520" w:leader="none"/>
        </w:tabs>
        <w:suppressAutoHyphens w:val="true"/>
        <w:snapToGrid w:val="false"/>
        <w:spacing w:lineRule="auto" w:line="240"/>
        <w:jc w:val="both"/>
        <w:rPr>
          <w:rFonts w:ascii="Arial" w:hAnsi="Arial" w:eastAsia="Calibri" w:cs="Arial"/>
          <w:color w:val="000000"/>
          <w:sz w:val="22"/>
          <w:szCs w:val="22"/>
        </w:rPr>
      </w:pPr>
      <w:r>
        <w:rPr>
          <w:rStyle w:val="Strong"/>
          <w:rFonts w:eastAsia="Calibri" w:cs="Arial" w:ascii="Arial" w:hAnsi="Arial"/>
          <w:b w:val="false"/>
          <w:bCs w:val="false"/>
          <w:color w:val="000000"/>
          <w:sz w:val="22"/>
          <w:szCs w:val="22"/>
        </w:rPr>
        <w:t>I -</w:t>
      </w:r>
      <w:r>
        <w:rPr>
          <w:rFonts w:eastAsia="Calibri" w:cs="Arial" w:ascii="Arial" w:hAnsi="Arial"/>
          <w:b w:val="false"/>
          <w:bCs w:val="false"/>
          <w:color w:val="000000"/>
          <w:sz w:val="22"/>
          <w:szCs w:val="22"/>
        </w:rPr>
        <w:t xml:space="preserve"> </w:t>
      </w:r>
      <w:r>
        <w:rPr>
          <w:rFonts w:eastAsia="Calibri" w:cs="Arial" w:ascii="Arial" w:hAnsi="Arial"/>
          <w:color w:val="000000"/>
          <w:sz w:val="22"/>
          <w:szCs w:val="22"/>
        </w:rPr>
        <w:t>A materialização de risco expressamente alocado a uma das partes não implicará, por si só, transferência do risco à outra parte.</w:t>
      </w:r>
    </w:p>
    <w:p>
      <w:pPr>
        <w:pStyle w:val="Corpodotexto"/>
        <w:tabs>
          <w:tab w:val="clear" w:pos="708"/>
          <w:tab w:val="left" w:pos="2520" w:leader="none"/>
        </w:tabs>
        <w:suppressAutoHyphens w:val="true"/>
        <w:snapToGrid w:val="false"/>
        <w:spacing w:lineRule="auto" w:line="240"/>
        <w:jc w:val="both"/>
        <w:rPr>
          <w:rFonts w:ascii="Arial" w:hAnsi="Arial" w:eastAsia="Calibri" w:cs="Arial"/>
          <w:color w:val="000000"/>
          <w:sz w:val="22"/>
          <w:szCs w:val="22"/>
        </w:rPr>
      </w:pPr>
      <w:r>
        <w:rPr>
          <w:rStyle w:val="Strong"/>
          <w:rFonts w:eastAsia="Calibri" w:cs="Arial" w:ascii="Arial" w:hAnsi="Arial"/>
          <w:b w:val="false"/>
          <w:bCs w:val="false"/>
          <w:color w:val="000000"/>
          <w:sz w:val="22"/>
          <w:szCs w:val="22"/>
        </w:rPr>
        <w:t>II -</w:t>
      </w:r>
      <w:r>
        <w:rPr>
          <w:rFonts w:eastAsia="Calibri" w:cs="Arial" w:ascii="Arial" w:hAnsi="Arial"/>
          <w:b w:val="false"/>
          <w:bCs w:val="false"/>
          <w:color w:val="000000"/>
          <w:sz w:val="22"/>
          <w:szCs w:val="22"/>
        </w:rPr>
        <w:t xml:space="preserve"> </w:t>
      </w:r>
      <w:r>
        <w:rPr>
          <w:rFonts w:eastAsia="Calibri" w:cs="Arial" w:ascii="Arial" w:hAnsi="Arial"/>
          <w:color w:val="000000"/>
          <w:sz w:val="22"/>
          <w:szCs w:val="22"/>
        </w:rPr>
        <w:t>Os riscos alocados à Contratada deverão ser considerados na formação de sua proposta e, ressalvadas as hipóteses previstas na legislação e nesta Matriz, sua materialização não constituirá fundamento para recomposição do equilíbrio econômico-financeiro do contrato.</w:t>
      </w:r>
    </w:p>
    <w:p>
      <w:pPr>
        <w:pStyle w:val="Corpodotexto"/>
        <w:tabs>
          <w:tab w:val="clear" w:pos="708"/>
          <w:tab w:val="left" w:pos="2520" w:leader="none"/>
        </w:tabs>
        <w:suppressAutoHyphens w:val="true"/>
        <w:snapToGrid w:val="false"/>
        <w:spacing w:lineRule="auto" w:line="240"/>
        <w:jc w:val="both"/>
        <w:rPr>
          <w:rFonts w:ascii="Arial" w:hAnsi="Arial" w:eastAsia="Calibri" w:cs="Arial"/>
          <w:color w:val="000000"/>
          <w:sz w:val="22"/>
          <w:szCs w:val="22"/>
        </w:rPr>
      </w:pPr>
      <w:r>
        <w:rPr>
          <w:rStyle w:val="Strong"/>
          <w:rFonts w:eastAsia="Calibri" w:cs="Arial" w:ascii="Arial" w:hAnsi="Arial"/>
          <w:b w:val="false"/>
          <w:bCs w:val="false"/>
          <w:color w:val="000000"/>
          <w:sz w:val="22"/>
          <w:szCs w:val="22"/>
        </w:rPr>
        <w:t>III -</w:t>
      </w:r>
      <w:r>
        <w:rPr>
          <w:rFonts w:eastAsia="Calibri" w:cs="Arial" w:ascii="Arial" w:hAnsi="Arial"/>
          <w:b w:val="false"/>
          <w:bCs w:val="false"/>
          <w:color w:val="000000"/>
          <w:sz w:val="22"/>
          <w:szCs w:val="22"/>
        </w:rPr>
        <w:t xml:space="preserve"> </w:t>
      </w:r>
      <w:r>
        <w:rPr>
          <w:rFonts w:eastAsia="Calibri" w:cs="Arial" w:ascii="Arial" w:hAnsi="Arial"/>
          <w:color w:val="000000"/>
          <w:sz w:val="22"/>
          <w:szCs w:val="22"/>
        </w:rPr>
        <w:t>Os riscos alocados à Contratante serão analisados quanto aos seus efeitos sobre o prazo e os custos da contratação, desde que comprovados o evento, o nexo causal e o impacto efetivamente produzido.</w:t>
      </w:r>
    </w:p>
    <w:p>
      <w:pPr>
        <w:pStyle w:val="Corpodotexto"/>
        <w:tabs>
          <w:tab w:val="clear" w:pos="708"/>
          <w:tab w:val="left" w:pos="2520" w:leader="none"/>
        </w:tabs>
        <w:suppressAutoHyphens w:val="true"/>
        <w:snapToGrid w:val="false"/>
        <w:spacing w:lineRule="auto" w:line="240"/>
        <w:jc w:val="both"/>
        <w:rPr>
          <w:rFonts w:ascii="Arial" w:hAnsi="Arial" w:eastAsia="Calibri" w:cs="Arial"/>
          <w:color w:val="000000"/>
          <w:sz w:val="22"/>
          <w:szCs w:val="22"/>
        </w:rPr>
      </w:pPr>
      <w:r>
        <w:rPr>
          <w:rFonts w:eastAsia="Calibri" w:cs="Arial" w:ascii="Arial" w:hAnsi="Arial"/>
          <w:color w:val="000000"/>
          <w:sz w:val="22"/>
          <w:szCs w:val="22"/>
        </w:rPr>
        <w:t>IV - Nos riscos compartilhados, as consequências econômicas e temporais serão analisadas de acordo com a causa efetiva do evento, a participação de cada parte e as medidas de prevenção e mitigação adotadas.</w:t>
      </w:r>
    </w:p>
    <w:p>
      <w:pPr>
        <w:pStyle w:val="Corpodotexto"/>
        <w:tabs>
          <w:tab w:val="clear" w:pos="708"/>
          <w:tab w:val="left" w:pos="2520" w:leader="none"/>
        </w:tabs>
        <w:suppressAutoHyphens w:val="true"/>
        <w:snapToGrid w:val="false"/>
        <w:spacing w:lineRule="auto" w:line="240"/>
        <w:jc w:val="both"/>
        <w:rPr>
          <w:rFonts w:ascii="Arial" w:hAnsi="Arial" w:eastAsia="Calibri" w:cs="Arial"/>
          <w:color w:val="000000"/>
          <w:sz w:val="22"/>
          <w:szCs w:val="22"/>
        </w:rPr>
      </w:pPr>
      <w:r>
        <w:rPr>
          <w:rFonts w:eastAsia="Calibri" w:cs="Arial" w:ascii="Arial" w:hAnsi="Arial"/>
          <w:b w:val="false"/>
          <w:bCs w:val="false"/>
          <w:color w:val="000000"/>
          <w:sz w:val="22"/>
          <w:szCs w:val="22"/>
        </w:rPr>
        <w:t>V - A</w:t>
      </w:r>
      <w:r>
        <w:rPr>
          <w:rFonts w:eastAsia="Calibri" w:cs="Arial" w:ascii="Arial" w:hAnsi="Arial"/>
          <w:color w:val="000000"/>
          <w:sz w:val="22"/>
          <w:szCs w:val="22"/>
        </w:rPr>
        <w:t xml:space="preserve"> ocorrência de evento previsto nesta Matriz deverá ser formalmente comunicada pela parte que dele tiver conhecimento à outra parte, tão logo seja identificada, acompanhada, sempre que possível, de informações sobre sua causa, os serviços afetados, os impactos sobre o prazo e os custos e as medidas de mitigação adotadas.</w:t>
      </w:r>
    </w:p>
    <w:p>
      <w:pPr>
        <w:pStyle w:val="Corpodotexto"/>
        <w:tabs>
          <w:tab w:val="clear" w:pos="708"/>
          <w:tab w:val="left" w:pos="2520" w:leader="none"/>
        </w:tabs>
        <w:suppressAutoHyphens w:val="true"/>
        <w:snapToGrid w:val="false"/>
        <w:spacing w:lineRule="auto" w:line="240"/>
        <w:jc w:val="both"/>
        <w:rPr>
          <w:rFonts w:ascii="Arial" w:hAnsi="Arial" w:eastAsia="Calibri" w:cs="Arial"/>
          <w:color w:val="000000"/>
          <w:sz w:val="22"/>
          <w:szCs w:val="22"/>
        </w:rPr>
      </w:pPr>
      <w:r>
        <w:rPr>
          <w:rFonts w:eastAsia="Calibri" w:cs="Arial" w:ascii="Arial" w:hAnsi="Arial"/>
          <w:color w:val="000000"/>
          <w:sz w:val="22"/>
          <w:szCs w:val="22"/>
        </w:rPr>
        <w:t>VI - O reconhecimento de consequências decorrentes da materialização de qualquer risco dependerá da comprovação do evento, de sua causa, da responsabilidade atribuída nesta Matriz e dos impactos efetivamente produzidos.</w:t>
      </w:r>
    </w:p>
    <w:p>
      <w:pPr>
        <w:pStyle w:val="Corpodotexto"/>
        <w:tabs>
          <w:tab w:val="clear" w:pos="708"/>
          <w:tab w:val="left" w:pos="2520" w:leader="none"/>
        </w:tabs>
        <w:suppressAutoHyphens w:val="true"/>
        <w:snapToGrid w:val="false"/>
        <w:spacing w:lineRule="auto" w:line="240"/>
        <w:jc w:val="both"/>
        <w:rPr>
          <w:rFonts w:ascii="Arial" w:hAnsi="Arial" w:eastAsia="Calibri" w:cs="Arial"/>
          <w:color w:val="000000"/>
          <w:sz w:val="22"/>
          <w:szCs w:val="22"/>
        </w:rPr>
      </w:pPr>
      <w:r>
        <w:rPr>
          <w:rFonts w:eastAsia="Calibri" w:cs="Arial" w:ascii="Arial" w:hAnsi="Arial"/>
          <w:color w:val="000000"/>
          <w:sz w:val="22"/>
          <w:szCs w:val="22"/>
        </w:rPr>
        <w:t>VII - A fiscalização e o acompanhamento exercidos pela Contratante não implicam transferência à Administração dos riscos expressamente alocados à Contratada.</w:t>
      </w:r>
    </w:p>
    <w:p>
      <w:pPr>
        <w:pStyle w:val="Corpodotexto"/>
        <w:tabs>
          <w:tab w:val="clear" w:pos="708"/>
          <w:tab w:val="left" w:pos="2520" w:leader="none"/>
        </w:tabs>
        <w:suppressAutoHyphens w:val="true"/>
        <w:snapToGrid w:val="false"/>
        <w:spacing w:lineRule="auto" w:line="240"/>
        <w:jc w:val="both"/>
        <w:rPr>
          <w:rFonts w:ascii="Arial" w:hAnsi="Arial" w:eastAsia="Calibri" w:cs="Arial"/>
          <w:color w:val="000000"/>
          <w:sz w:val="22"/>
          <w:szCs w:val="22"/>
        </w:rPr>
      </w:pPr>
      <w:r>
        <w:rPr>
          <w:rStyle w:val="Strong"/>
          <w:rFonts w:eastAsia="Calibri" w:cs="Arial" w:ascii="Arial" w:hAnsi="Arial"/>
          <w:b w:val="false"/>
          <w:bCs w:val="false"/>
          <w:color w:val="000000"/>
          <w:sz w:val="22"/>
          <w:szCs w:val="22"/>
        </w:rPr>
        <w:t xml:space="preserve">VIII - </w:t>
      </w:r>
      <w:r>
        <w:rPr>
          <w:rFonts w:eastAsia="Calibri" w:cs="Arial" w:ascii="Arial" w:hAnsi="Arial"/>
          <w:color w:val="000000"/>
          <w:sz w:val="22"/>
          <w:szCs w:val="22"/>
        </w:rPr>
        <w:t xml:space="preserve"> Não serão reconhecidos como fundamento para recomposição do equilíbrio econômico-financeiro os eventos expressamente alocados à parte requerente, ressalvadas as hipóteses previstas na legislação aplicável.</w:t>
      </w:r>
    </w:p>
    <w:p>
      <w:pPr>
        <w:pStyle w:val="Corpodotexto"/>
        <w:tabs>
          <w:tab w:val="clear" w:pos="708"/>
          <w:tab w:val="left" w:pos="2520" w:leader="none"/>
        </w:tabs>
        <w:suppressAutoHyphens w:val="true"/>
        <w:snapToGrid w:val="false"/>
        <w:spacing w:lineRule="auto" w:line="240"/>
        <w:jc w:val="both"/>
        <w:rPr>
          <w:rFonts w:ascii="Arial" w:hAnsi="Arial" w:eastAsia="Calibri" w:cs="Arial"/>
          <w:color w:val="000000"/>
          <w:sz w:val="22"/>
          <w:szCs w:val="22"/>
        </w:rPr>
      </w:pPr>
      <w:r>
        <w:rPr>
          <w:rStyle w:val="Strong"/>
          <w:rFonts w:eastAsia="Calibri" w:cs="Arial" w:ascii="Arial" w:hAnsi="Arial"/>
          <w:b w:val="false"/>
          <w:bCs w:val="false"/>
          <w:color w:val="000000"/>
          <w:sz w:val="22"/>
          <w:szCs w:val="22"/>
        </w:rPr>
        <w:t>IX -</w:t>
      </w:r>
      <w:r>
        <w:rPr>
          <w:rFonts w:eastAsia="Calibri" w:cs="Arial" w:ascii="Arial" w:hAnsi="Arial"/>
          <w:color w:val="000000"/>
          <w:sz w:val="22"/>
          <w:szCs w:val="22"/>
        </w:rPr>
        <w:t xml:space="preserve"> A presente Matriz integra o edital e o instrumento contratual e deverá ser observada durante toda a execução do objeto.</w:t>
      </w:r>
    </w:p>
    <w:p>
      <w:pPr>
        <w:pStyle w:val="Corpodotexto"/>
        <w:tabs>
          <w:tab w:val="clear" w:pos="708"/>
          <w:tab w:val="left" w:pos="2520" w:leader="none"/>
        </w:tabs>
        <w:suppressAutoHyphens w:val="true"/>
        <w:snapToGrid w:val="false"/>
        <w:spacing w:lineRule="auto" w:line="240"/>
        <w:jc w:val="both"/>
        <w:rPr>
          <w:szCs w:val="22"/>
        </w:rPr>
      </w:pPr>
      <w:r>
        <w:rPr>
          <w:rStyle w:val="Strong"/>
          <w:rFonts w:eastAsia="Calibri" w:cs="Arial" w:ascii="Arial" w:hAnsi="Arial"/>
          <w:b w:val="false"/>
          <w:bCs w:val="false"/>
          <w:color w:val="000000"/>
          <w:sz w:val="22"/>
          <w:szCs w:val="22"/>
        </w:rPr>
        <w:t>X -</w:t>
      </w:r>
      <w:r>
        <w:rPr>
          <w:rFonts w:eastAsia="Calibri" w:cs="Arial" w:ascii="Arial" w:hAnsi="Arial"/>
          <w:color w:val="000000"/>
          <w:sz w:val="22"/>
          <w:szCs w:val="22"/>
        </w:rPr>
        <w:t xml:space="preserve"> A alocação dos riscos estabelecida nesta Matriz será considerada na análise de eventuais solicitações de alteração contratual, prorrogação de prazo ou recomposição do equilíbrio econômico-financeiro, observadas as disposições da Lei Federal nº 14.133/2021</w:t>
      </w:r>
    </w:p>
    <w:p>
      <w:pPr>
        <w:pStyle w:val="Textbody"/>
        <w:tabs>
          <w:tab w:val="clear" w:pos="708"/>
          <w:tab w:val="left" w:pos="2520" w:leader="none"/>
        </w:tabs>
        <w:snapToGrid w:val="false"/>
        <w:spacing w:lineRule="auto" w:line="240" w:before="0" w:after="0"/>
        <w:rPr>
          <w:b/>
        </w:rPr>
      </w:pPr>
      <w:r>
        <w:rPr>
          <w:b/>
          <w:szCs w:val="22"/>
        </w:rPr>
        <w:t xml:space="preserve">12. </w:t>
      </w:r>
      <w:r>
        <w:rPr>
          <w:rFonts w:cs="Arial"/>
          <w:b/>
          <w:szCs w:val="22"/>
        </w:rPr>
        <w:t xml:space="preserve">DA APRESENTAÇÃO DA PROPOSTA ELETRÔNICA E DOS DOCUMENTOS DE HABILITAÇÃO </w:t>
      </w:r>
    </w:p>
    <w:p>
      <w:pPr>
        <w:pStyle w:val="Textbody"/>
        <w:spacing w:lineRule="auto" w:line="240" w:before="0" w:after="0"/>
        <w:jc w:val="both"/>
        <w:rPr/>
      </w:pPr>
      <w:r>
        <w:rPr/>
        <w:t>12</w:t>
      </w:r>
      <w:r>
        <w:rPr>
          <w:rFonts w:cs="Verdana"/>
        </w:rPr>
        <w:t>.1. Na presente licitação, a fase de habilitação sucederá as fases de apresentação de propostas e lances e de julgamento.</w:t>
      </w:r>
    </w:p>
    <w:p>
      <w:pPr>
        <w:pStyle w:val="Textbody"/>
        <w:spacing w:lineRule="auto" w:line="240" w:before="0" w:after="0"/>
        <w:jc w:val="both"/>
        <w:rPr>
          <w:rFonts w:cs="Verdana"/>
        </w:rPr>
      </w:pPr>
      <w:r>
        <w:rPr>
          <w:rFonts w:cs="Verdana"/>
        </w:rPr>
        <w:t>12.1.1. 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Textbody"/>
        <w:spacing w:lineRule="auto" w:line="240" w:before="0" w:after="0"/>
        <w:jc w:val="both"/>
        <w:rPr/>
      </w:pPr>
      <w:r>
        <w:rPr>
          <w:rFonts w:cs="Verdana"/>
        </w:rPr>
        <w:t xml:space="preserve">12.2. Após o julgamento da proposta, o licitante vencedor deverá enviar no prazo de </w:t>
      </w:r>
      <w:r>
        <w:rPr>
          <w:rFonts w:eastAsia="Arial"/>
        </w:rPr>
        <w:t xml:space="preserve">24 (vinte e quatro) horas, </w:t>
      </w:r>
      <w:r>
        <w:rPr>
          <w:rStyle w:val="Fontepargpadro"/>
          <w:rFonts w:eastAsia="Cumberland AMT" w:cs="Verdana"/>
          <w:b w:val="false"/>
          <w:bCs w:val="false"/>
          <w:i w:val="false"/>
          <w:iCs w:val="false"/>
          <w:strike w:val="false"/>
          <w:dstrike w:val="false"/>
          <w:color w:val="000000"/>
          <w:sz w:val="22"/>
          <w:szCs w:val="22"/>
          <w:u w:val="none"/>
          <w:shd w:fill="auto" w:val="clear"/>
          <w:lang w:val="pt-BR"/>
        </w:rPr>
        <w:t>prorrogável uma vez por igual período,</w:t>
      </w:r>
      <w:r>
        <w:rPr>
          <w:rStyle w:val="Fontepargpadro"/>
          <w:rFonts w:eastAsia="Cumberland AMT" w:cs="Verdana"/>
          <w:b w:val="false"/>
          <w:bCs w:val="false"/>
          <w:i w:val="false"/>
          <w:iCs w:val="false"/>
          <w:strike w:val="false"/>
          <w:dstrike w:val="false"/>
          <w:color w:val="FF0000"/>
          <w:sz w:val="22"/>
          <w:szCs w:val="22"/>
          <w:u w:val="none"/>
          <w:shd w:fill="auto" w:val="clear"/>
          <w:lang w:val="pt-BR"/>
        </w:rPr>
        <w:t xml:space="preserve"> </w:t>
      </w:r>
      <w:r>
        <w:rPr>
          <w:rFonts w:cs="Verdana"/>
        </w:rPr>
        <w:t>contado da convocação da Comissão, os documentos de habilitação.</w:t>
      </w:r>
    </w:p>
    <w:p>
      <w:pPr>
        <w:pStyle w:val="Textbody"/>
        <w:spacing w:lineRule="auto" w:line="240" w:before="0" w:after="0"/>
        <w:jc w:val="both"/>
        <w:rPr/>
      </w:pPr>
      <w:r>
        <w:rPr>
          <w:rFonts w:eastAsia="Arial" w:cs="Verdana"/>
          <w:lang w:eastAsia="ar-SA"/>
        </w:rPr>
        <w:t xml:space="preserve">12.3. </w:t>
      </w:r>
      <w:r>
        <w:rPr>
          <w:rFonts w:cs="Verdana"/>
          <w:color w:val="00000A"/>
          <w:lang w:eastAsia="ar-SA"/>
        </w:rPr>
        <w:t>Após a entrega dos documentos para habilitação e/ou proposta, não será permitida a substituição ou a apresentação de novos documentos, salvo em sede de diligência conforme art. 64 da Lei nº 14.133/2021. O licitante deverá enviar os documentos complementares via sistema</w:t>
      </w:r>
      <w:r>
        <w:rPr>
          <w:rStyle w:val="LinkdaInternet"/>
          <w:rFonts w:eastAsia="Times New Roman" w:cs="Verdana"/>
          <w:b w:val="false"/>
          <w:bCs w:val="false"/>
          <w:i w:val="false"/>
          <w:iCs w:val="false"/>
          <w:strike w:val="false"/>
          <w:dstrike w:val="false"/>
          <w:color w:val="000000"/>
          <w:sz w:val="22"/>
          <w:szCs w:val="22"/>
          <w:u w:val="none"/>
          <w:shd w:fill="auto" w:val="clear"/>
          <w:lang w:val="pt-BR" w:eastAsia="ar-SA"/>
        </w:rPr>
        <w:t xml:space="preserve"> no prazo fixado na solicitação da comissão.</w:t>
      </w:r>
    </w:p>
    <w:p>
      <w:pPr>
        <w:pStyle w:val="Textbody"/>
        <w:spacing w:lineRule="auto" w:line="240" w:before="0" w:after="0"/>
        <w:rPr>
          <w:rFonts w:cs="Verdana"/>
          <w:color w:val="00000A"/>
          <w:lang w:eastAsia="ar-SA"/>
        </w:rPr>
      </w:pPr>
      <w:r>
        <w:rPr>
          <w:rFonts w:cs="Verdana"/>
          <w:color w:val="00000A"/>
          <w:lang w:eastAsia="ar-SA"/>
        </w:rPr>
        <w:t xml:space="preserve">12.3.1. </w:t>
      </w:r>
      <w:r>
        <w:rPr>
          <w:rStyle w:val="LinkdaInternet"/>
          <w:rFonts w:eastAsia="Times New Roman" w:cs="Verdana"/>
          <w:b w:val="false"/>
          <w:bCs w:val="false"/>
          <w:i w:val="false"/>
          <w:iCs w:val="false"/>
          <w:strike w:val="false"/>
          <w:dstrike w:val="false"/>
          <w:color w:val="000000"/>
          <w:sz w:val="22"/>
          <w:szCs w:val="22"/>
          <w:u w:val="none"/>
          <w:shd w:fill="auto" w:val="clear"/>
          <w:lang w:val="pt-BR" w:eastAsia="ar-SA"/>
        </w:rPr>
        <w:t>Quando o órgão/entidade demandante da licitação, vislumbrar a necessidade da realização de diligência, deverá encaminhar a respectiva solicitação Comissão por meio do sistema SUITE no processo original, para que esta promova sua realização no Compras.gov. A divulgação da diligência no referido sistema constitui condição indispensável para a produção de seus efeitos, conforme Acórdão nº 1.742/2026-Plenário-TCU.</w:t>
      </w:r>
    </w:p>
    <w:p>
      <w:pPr>
        <w:pStyle w:val="Textbody"/>
        <w:spacing w:lineRule="auto" w:line="240" w:before="0" w:after="0"/>
        <w:rPr/>
      </w:pPr>
      <w:r>
        <w:rPr>
          <w:rFonts w:cs="Arial"/>
          <w:color w:val="00000A"/>
          <w:lang w:eastAsia="ar-SA"/>
        </w:rPr>
        <w:t xml:space="preserve">12.3.2. </w:t>
      </w:r>
      <w:r>
        <w:rPr>
          <w:rFonts w:cs="Verdana"/>
          <w:color w:val="00000A"/>
          <w:lang w:eastAsia="ar-SA"/>
        </w:rPr>
        <w:t xml:space="preserve">Não se caracterizam documentos novos aqueles que venham a comprovar fatos existentes à época da abertura da sessão, com respaldo no previsto no </w:t>
      </w:r>
      <w:r>
        <w:rPr>
          <w:rFonts w:cs="Arial"/>
          <w:lang w:eastAsia="ar-SA"/>
        </w:rPr>
        <w:t>Acórdão 1211/2021-TCU-Plenário.</w:t>
      </w:r>
    </w:p>
    <w:p>
      <w:pPr>
        <w:pStyle w:val="Textbody"/>
        <w:spacing w:lineRule="auto" w:line="240" w:before="0" w:after="0"/>
        <w:rPr>
          <w:rFonts w:cs="Arial"/>
          <w:lang w:eastAsia="ar-SA"/>
        </w:rPr>
      </w:pPr>
      <w:r>
        <w:rPr>
          <w:rFonts w:cs="Arial"/>
          <w:color w:val="00000A"/>
          <w:lang w:eastAsia="ar-SA"/>
        </w:rPr>
        <w:t>12.3.3.</w:t>
      </w:r>
      <w:r>
        <w:rPr>
          <w:rFonts w:cs="Arial"/>
          <w:lang w:eastAsia="ar-SA"/>
        </w:rPr>
        <w:t>Realizada a diligência, o não envio das informações ou documentos no prazo estabelecido pela Comissão, ensejará a preclusão desse direito, resultando na inabilitação e/ou desclassificação do licitante.</w:t>
      </w:r>
    </w:p>
    <w:p>
      <w:pPr>
        <w:pStyle w:val="Textbody"/>
        <w:spacing w:lineRule="auto" w:line="240" w:before="0" w:after="0"/>
        <w:rPr>
          <w:rFonts w:cs="Arial"/>
          <w:color w:val="000000"/>
          <w:szCs w:val="22"/>
          <w:shd w:fill="FFFFFF" w:val="clear"/>
        </w:rPr>
      </w:pPr>
      <w:r>
        <w:rPr>
          <w:rFonts w:cs="Arial"/>
        </w:rPr>
        <w:t xml:space="preserve">12.4. </w:t>
      </w:r>
      <w:r>
        <w:rPr>
          <w:rFonts w:eastAsia="Cumberland AMT"/>
        </w:rPr>
        <w:t>A não apresentação de declarações formais e/ou termos de compromissos exigidos, não implicará a desclassificação ou inabilitação imediata do</w:t>
      </w:r>
      <w:r>
        <w:rPr>
          <w:rFonts w:eastAsia="Cumberland AMT"/>
          <w:color w:val="CE181E"/>
        </w:rPr>
        <w:t xml:space="preserve"> </w:t>
      </w:r>
      <w:r>
        <w:rPr>
          <w:rFonts w:eastAsia="Cumberland AMT"/>
        </w:rPr>
        <w:t>licitante. Compete a Comissão mediante diligência, conceder o mesmo prazo estabelecido no subitem 12.3 para o devido saneamento, em respeito aos princípios do formalismo moderado e da razoabilidade.</w:t>
      </w:r>
    </w:p>
    <w:p>
      <w:pPr>
        <w:pStyle w:val="Textbody"/>
        <w:spacing w:lineRule="auto" w:line="240" w:before="0" w:after="0"/>
        <w:rPr/>
      </w:pPr>
      <w:r>
        <w:rPr>
          <w:rFonts w:eastAsia="Cumberland AMT"/>
          <w:b/>
          <w:bCs/>
        </w:rPr>
        <w:t xml:space="preserve">12.5. </w:t>
      </w:r>
      <w:r>
        <w:rPr>
          <w:rFonts w:cs="Verdana"/>
          <w:b/>
          <w:bCs/>
        </w:rPr>
        <w:t>No cadastramento da proposta inicial, o licitante declarará, em campo próprio do sistema, que:</w:t>
      </w:r>
    </w:p>
    <w:p>
      <w:pPr>
        <w:pStyle w:val="Textbody"/>
        <w:spacing w:lineRule="auto" w:line="240" w:before="0" w:after="0"/>
        <w:rPr>
          <w:rFonts w:cs="Verdana"/>
        </w:rPr>
      </w:pPr>
      <w:r>
        <w:rPr>
          <w:rFonts w:cs="Verdana"/>
        </w:rPr>
        <w:t>12.5.1.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plenamente os requisitos de habilitação definidos no instrumento convocatório;</w:t>
      </w:r>
    </w:p>
    <w:p>
      <w:pPr>
        <w:pStyle w:val="Textbody"/>
        <w:spacing w:lineRule="auto" w:line="240" w:before="0" w:after="0"/>
        <w:rPr/>
      </w:pPr>
      <w:r>
        <w:rPr/>
        <w:t>12.5.2. Não emprega menor de 18 anos em trabalho noturno, perigoso ou insalubre e não emprega menor de 16 anos, salvo menor, a partir de 14 anos, na condição de aprendiz, nos termos do art.</w:t>
      </w:r>
      <w:r>
        <w:fldChar w:fldCharType="begin"/>
      </w:r>
      <w:r>
        <w:rPr>
          <w:rStyle w:val="LinkdaInternet"/>
        </w:rPr>
        <w:instrText xml:space="preserve"> HYPERLINK "https://www.planalto.gov.br/ccivil_03/constituicao/constituicaocompilado.htm" \l "art7"</w:instrText>
      </w:r>
      <w:r>
        <w:rPr>
          <w:rStyle w:val="LinkdaInternet"/>
        </w:rPr>
        <w:fldChar w:fldCharType="separate"/>
      </w:r>
      <w:r>
        <w:rPr>
          <w:rStyle w:val="LinkdaInternet"/>
        </w:rPr>
        <w:t xml:space="preserve"> 7°, XXXIII, da Constituição</w:t>
      </w:r>
      <w:r>
        <w:rPr>
          <w:rStyle w:val="LinkdaInternet"/>
        </w:rPr>
        <w:fldChar w:fldCharType="end"/>
      </w:r>
      <w:r>
        <w:rPr/>
        <w:t>;</w:t>
      </w:r>
    </w:p>
    <w:p>
      <w:pPr>
        <w:pStyle w:val="Textbody"/>
        <w:spacing w:lineRule="auto" w:line="240" w:before="0" w:after="0"/>
        <w:rPr/>
      </w:pPr>
      <w:r>
        <w:rPr/>
        <w:t>12</w:t>
      </w:r>
      <w:r>
        <w:rPr>
          <w:rFonts w:cs="Verdana"/>
        </w:rPr>
        <w:t xml:space="preserve">.5.3. Não possui, em sua cadeia produtiva, empregados executando trabalho degradante ou forçado, observando o disposto nos </w:t>
      </w:r>
      <w:hyperlink r:id="rId8">
        <w:r>
          <w:rPr>
            <w:rStyle w:val="LinkdaInternet"/>
            <w:rFonts w:cs="Verdana"/>
            <w:color w:val="00000A"/>
            <w:u w:val="none"/>
          </w:rPr>
          <w:t>incisos III e IV do art. 1º e no inciso III do art. 5º da Constituição Federal</w:t>
        </w:r>
      </w:hyperlink>
      <w:r>
        <w:rPr>
          <w:rFonts w:cs="Verdana"/>
        </w:rPr>
        <w:t>;</w:t>
      </w:r>
    </w:p>
    <w:p>
      <w:pPr>
        <w:pStyle w:val="Textbody"/>
        <w:spacing w:lineRule="auto" w:line="240" w:before="0" w:after="0"/>
        <w:rPr>
          <w:rFonts w:cs="Verdana"/>
        </w:rPr>
      </w:pPr>
      <w:r>
        <w:rPr>
          <w:rFonts w:cs="Verdana"/>
        </w:rPr>
        <w:t>12.5.4. Cumpre as exigências de reserva de cargos para pessoa com deficiência e para reabilitado da previdência social ou para aprendiz, bem como as reservas de cargo previstas em outras normas específicas, conforme disposto no art. 116 da Lei nº 14.133/2021;</w:t>
      </w:r>
    </w:p>
    <w:p>
      <w:pPr>
        <w:pStyle w:val="Normal"/>
        <w:spacing w:lineRule="auto" w:line="240" w:before="57" w:after="57"/>
        <w:ind w:left="0" w:right="0" w:hanging="0"/>
        <w:jc w:val="both"/>
        <w:rPr/>
      </w:pPr>
      <w:r>
        <w:rPr>
          <w:rStyle w:val="Fontepargpadro"/>
          <w:rFonts w:eastAsia="Times New Roman" w:cs="Verdana" w:ascii="Arial" w:hAnsi="Arial"/>
          <w:b/>
          <w:bCs/>
          <w:i w:val="false"/>
          <w:iCs w:val="false"/>
          <w:strike w:val="false"/>
          <w:dstrike w:val="false"/>
          <w:color w:val="000000"/>
          <w:sz w:val="22"/>
          <w:szCs w:val="22"/>
          <w:u w:val="none"/>
          <w:shd w:fill="auto" w:val="clear"/>
          <w:lang w:val="pt-BR"/>
        </w:rPr>
        <w:t>12.5.4.1. Quando solicitado pela Administração, a comprovação da reserva de cargo poderá se dar da seguinte forma:</w:t>
      </w:r>
    </w:p>
    <w:p>
      <w:pPr>
        <w:pStyle w:val="Normal"/>
        <w:spacing w:lineRule="auto" w:line="240" w:before="57" w:after="57"/>
        <w:ind w:left="0" w:right="0" w:hanging="0"/>
        <w:jc w:val="both"/>
        <w:rPr/>
      </w:pPr>
      <w:r>
        <w:rPr>
          <w:rStyle w:val="Fontepargpadro"/>
          <w:rFonts w:eastAsia="Times New Roman" w:cs="Verdana" w:ascii="Arial" w:hAnsi="Arial"/>
          <w:i w:val="false"/>
          <w:iCs w:val="false"/>
          <w:strike w:val="false"/>
          <w:dstrike w:val="false"/>
          <w:color w:val="000000"/>
          <w:sz w:val="22"/>
          <w:szCs w:val="22"/>
          <w:u w:val="none"/>
          <w:shd w:fill="auto" w:val="clear"/>
          <w:lang w:val="pt-BR"/>
        </w:rPr>
        <w:t>I – Realização de processos seletivos;</w:t>
      </w:r>
    </w:p>
    <w:p>
      <w:pPr>
        <w:pStyle w:val="Normal"/>
        <w:spacing w:lineRule="auto" w:line="240" w:before="57" w:after="57"/>
        <w:ind w:left="0" w:right="0" w:hanging="0"/>
        <w:jc w:val="both"/>
        <w:rPr/>
      </w:pPr>
      <w:r>
        <w:rPr>
          <w:rStyle w:val="Fontepargpadro"/>
          <w:rFonts w:eastAsia="Times New Roman" w:cs="Verdana" w:ascii="Arial" w:hAnsi="Arial"/>
          <w:i w:val="false"/>
          <w:iCs w:val="false"/>
          <w:strike w:val="false"/>
          <w:dstrike w:val="false"/>
          <w:color w:val="000000"/>
          <w:sz w:val="22"/>
          <w:szCs w:val="22"/>
          <w:u w:val="none"/>
          <w:shd w:fill="auto" w:val="clear"/>
          <w:lang w:val="pt-BR"/>
        </w:rPr>
        <w:t>II – Divulgação ampla das oportunidades de vagas em meios acessíveis, tais como: internet, rádio, televisão, jornais de grande circulação;</w:t>
      </w:r>
    </w:p>
    <w:p>
      <w:pPr>
        <w:pStyle w:val="Normal"/>
        <w:spacing w:lineRule="auto" w:line="240" w:before="57" w:after="57"/>
        <w:ind w:left="0" w:right="0" w:hanging="0"/>
        <w:jc w:val="both"/>
        <w:rPr/>
      </w:pPr>
      <w:r>
        <w:rPr>
          <w:rStyle w:val="Fontepargpadro"/>
          <w:rFonts w:eastAsia="Times New Roman" w:cs="Verdana" w:ascii="Arial" w:hAnsi="Arial"/>
          <w:i w:val="false"/>
          <w:iCs w:val="false"/>
          <w:strike w:val="false"/>
          <w:dstrike w:val="false"/>
          <w:color w:val="000000"/>
          <w:sz w:val="22"/>
          <w:szCs w:val="22"/>
          <w:u w:val="none"/>
          <w:shd w:fill="auto" w:val="clear"/>
          <w:lang w:val="pt-BR"/>
        </w:rPr>
        <w:t>III – Programas de inclusão promovidos pela licitante;</w:t>
      </w:r>
    </w:p>
    <w:p>
      <w:pPr>
        <w:pStyle w:val="Normal"/>
        <w:spacing w:lineRule="auto" w:line="240" w:before="57" w:after="57"/>
        <w:ind w:left="0" w:right="0" w:hanging="0"/>
        <w:jc w:val="both"/>
        <w:rPr/>
      </w:pPr>
      <w:r>
        <w:rPr>
          <w:rStyle w:val="Fontepargpadro"/>
          <w:rFonts w:eastAsia="Times New Roman" w:cs="Verdana" w:ascii="Arial" w:hAnsi="Arial"/>
          <w:i w:val="false"/>
          <w:iCs w:val="false"/>
          <w:strike w:val="false"/>
          <w:dstrike w:val="false"/>
          <w:color w:val="000000"/>
          <w:sz w:val="22"/>
          <w:szCs w:val="22"/>
          <w:u w:val="none"/>
          <w:shd w:fill="auto" w:val="clear"/>
          <w:lang w:val="pt-BR"/>
        </w:rPr>
        <w:t xml:space="preserve">IV – Parcerias com entidades especializadas na busca ativa por candidatos que se enquadrem nas condições previstas neste subitem. </w:t>
      </w:r>
    </w:p>
    <w:p>
      <w:pPr>
        <w:pStyle w:val="Normal"/>
        <w:spacing w:lineRule="auto" w:line="240" w:before="57" w:after="57"/>
        <w:ind w:left="0" w:right="0" w:hanging="0"/>
        <w:jc w:val="both"/>
        <w:rPr>
          <w:rFonts w:ascii="Arial" w:hAnsi="Arial" w:cs="Arial"/>
          <w:b w:val="false"/>
          <w:bCs w:val="false"/>
          <w:color w:val="000000"/>
          <w:sz w:val="22"/>
          <w:szCs w:val="22"/>
          <w:shd w:fill="FFFFFF" w:val="clear"/>
        </w:rPr>
      </w:pPr>
      <w:r>
        <w:rPr>
          <w:rStyle w:val="Fontepargpadro"/>
          <w:rFonts w:eastAsia="Times New Roman" w:cs="Verdana" w:ascii="Arial" w:hAnsi="Arial"/>
          <w:b w:val="false"/>
          <w:bCs w:val="false"/>
          <w:i w:val="false"/>
          <w:iCs w:val="false"/>
          <w:strike w:val="false"/>
          <w:dstrike w:val="false"/>
          <w:color w:val="000000"/>
          <w:sz w:val="22"/>
          <w:szCs w:val="22"/>
          <w:u w:val="none"/>
          <w:shd w:fill="auto" w:val="clear"/>
          <w:lang w:val="pt-BR"/>
        </w:rPr>
        <w:t>12.5.4.2. É admissível outros meios legais de prova que demonstrem esforços concretos para o preenchimento das vagas de que trata o subitem 12.5.4.</w:t>
      </w:r>
    </w:p>
    <w:p>
      <w:pPr>
        <w:pStyle w:val="Normal"/>
        <w:spacing w:lineRule="auto" w:line="240" w:before="57" w:after="57"/>
        <w:ind w:left="0" w:right="0" w:hanging="0"/>
        <w:jc w:val="both"/>
        <w:rPr>
          <w:rFonts w:ascii="Arial" w:hAnsi="Arial" w:cs="Arial"/>
          <w:b w:val="false"/>
          <w:bCs w:val="false"/>
          <w:color w:val="000000"/>
          <w:sz w:val="22"/>
          <w:szCs w:val="22"/>
          <w:shd w:fill="FFFFFF" w:val="clear"/>
        </w:rPr>
      </w:pPr>
      <w:r>
        <w:rPr>
          <w:rStyle w:val="Fontepargpadro"/>
          <w:rFonts w:eastAsia="Times New Roman" w:cs="Verdana" w:ascii="Arial" w:hAnsi="Arial"/>
          <w:b w:val="false"/>
          <w:bCs w:val="false"/>
          <w:i w:val="false"/>
          <w:iCs w:val="false"/>
          <w:strike w:val="false"/>
          <w:dstrike w:val="false"/>
          <w:color w:val="000000"/>
          <w:sz w:val="22"/>
          <w:szCs w:val="22"/>
          <w:u w:val="none"/>
          <w:shd w:fill="auto" w:val="clear"/>
          <w:lang w:val="pt-BR"/>
        </w:rPr>
        <w:t>12.5.5. Desenvolve programa de integridade nos termos previstos na Lei Federal nº 14.133/2021, quando for o caso;</w:t>
      </w:r>
    </w:p>
    <w:p>
      <w:pPr>
        <w:pStyle w:val="Textbody"/>
        <w:spacing w:lineRule="auto" w:line="240" w:before="0" w:after="0"/>
        <w:rPr/>
      </w:pPr>
      <w:r>
        <w:rPr>
          <w:rFonts w:cs="Verdana"/>
          <w:color w:val="00000A"/>
        </w:rPr>
        <w:t xml:space="preserve">12.6. A falsidade das declarações de que tratam os subitens 12.5.1 ao 12.5.5, sujeitará o licitante às sanções previstas na </w:t>
      </w:r>
      <w:hyperlink r:id="rId9">
        <w:r>
          <w:rPr>
            <w:rStyle w:val="LinkdaInternet"/>
            <w:rFonts w:cs="Verdana"/>
            <w:color w:val="00000A"/>
            <w:u w:val="none"/>
          </w:rPr>
          <w:t>Lei nº 14.133/2021</w:t>
        </w:r>
      </w:hyperlink>
      <w:r>
        <w:rPr>
          <w:rFonts w:cs="Verdana"/>
          <w:color w:val="00000A"/>
        </w:rPr>
        <w:t>, e neste edital.</w:t>
      </w:r>
    </w:p>
    <w:p>
      <w:pPr>
        <w:pStyle w:val="Textbody"/>
        <w:spacing w:lineRule="auto" w:line="240" w:before="0" w:after="0"/>
        <w:rPr>
          <w:rFonts w:cs="Verdana"/>
          <w:color w:val="00000A"/>
        </w:rPr>
      </w:pPr>
      <w:r>
        <w:rPr>
          <w:rFonts w:cs="Verdana"/>
          <w:color w:val="00000A"/>
        </w:rPr>
        <w:t>12.7. Os licitantes poderão retirar ou substituir a proposta no sistema, até a abertura da sessão pública.</w:t>
      </w:r>
    </w:p>
    <w:p>
      <w:pPr>
        <w:pStyle w:val="Textbody"/>
        <w:spacing w:lineRule="auto" w:line="240" w:before="0" w:after="0"/>
        <w:rPr/>
      </w:pPr>
      <w:r>
        <w:rPr/>
        <w:t>12.8. Não haverá ordem de classificação na etapa de apresentação da proposta e dos documentos de habilitação pelo licitante, o que ocorrerá somente após os procedimentos de abertura da sessão pública e da fase de envio de lances.</w:t>
      </w:r>
    </w:p>
    <w:p>
      <w:pPr>
        <w:pStyle w:val="Textbody"/>
        <w:spacing w:lineRule="auto" w:line="240" w:before="0" w:after="0"/>
        <w:rPr/>
      </w:pPr>
      <w:r>
        <w:rPr/>
      </w:r>
    </w:p>
    <w:p>
      <w:pPr>
        <w:pStyle w:val="Ttulo112"/>
        <w:spacing w:lineRule="auto" w:line="240" w:before="0" w:after="0"/>
        <w:ind w:left="0" w:hanging="0"/>
        <w:rPr>
          <w:sz w:val="22"/>
          <w:szCs w:val="22"/>
        </w:rPr>
      </w:pPr>
      <w:r>
        <w:rPr>
          <w:rFonts w:eastAsia="Times New Roman" w:cs="Verdana"/>
          <w:color w:val="00000A"/>
          <w:sz w:val="22"/>
          <w:szCs w:val="22"/>
        </w:rPr>
        <w:t>13. DO PREENCHIMENTO DA PROPOSTA</w:t>
      </w:r>
    </w:p>
    <w:p>
      <w:pPr>
        <w:pStyle w:val="Textbody"/>
        <w:spacing w:lineRule="auto" w:line="240" w:before="0" w:after="0"/>
        <w:rPr>
          <w:rFonts w:cs="Verdana"/>
          <w:color w:val="00000A"/>
        </w:rPr>
      </w:pPr>
      <w:r>
        <w:rPr>
          <w:rFonts w:cs="Verdana"/>
          <w:color w:val="00000A"/>
        </w:rPr>
        <w:t>13.1. O licitante deverá enviar sua proposta eletrônica com o preenchimento obrigatório de todos os campos solicitados no sistema.</w:t>
      </w:r>
    </w:p>
    <w:p>
      <w:pPr>
        <w:pStyle w:val="Textbody"/>
        <w:spacing w:lineRule="auto" w:line="240" w:before="0" w:after="0"/>
        <w:rPr/>
      </w:pPr>
      <w:r>
        <w:rPr>
          <w:rFonts w:cs="Verdana"/>
          <w:color w:val="00000A"/>
        </w:rPr>
        <w:t xml:space="preserve">13.1.1. </w:t>
      </w:r>
      <w:r>
        <w:rPr/>
        <w:t>O não preenchimento correto dos campos ensejará a desclassificação do licitante.</w:t>
      </w:r>
    </w:p>
    <w:p>
      <w:pPr>
        <w:pStyle w:val="Textbody"/>
        <w:spacing w:lineRule="auto" w:line="240" w:before="0" w:after="0"/>
        <w:rPr/>
      </w:pPr>
      <w:r>
        <w:rPr/>
        <w:t>13.1.2. Os preços deverão ser expressos em reais, com até 2 (duas) casas decimais.</w:t>
      </w:r>
    </w:p>
    <w:p>
      <w:pPr>
        <w:pStyle w:val="Textbody"/>
        <w:spacing w:lineRule="auto" w:line="240" w:before="0" w:after="0"/>
        <w:rPr>
          <w:rFonts w:cs="Arial"/>
          <w:color w:val="000000"/>
          <w:szCs w:val="22"/>
          <w:shd w:fill="FFFFFF" w:val="clear"/>
        </w:rPr>
      </w:pPr>
      <w:r>
        <w:rPr/>
        <w:t>13.1.3. Em caso de discordância entre os valores numéricos e por extenso, prevalecerão estes últimos.</w:t>
      </w:r>
    </w:p>
    <w:p>
      <w:pPr>
        <w:pStyle w:val="Textbody"/>
        <w:spacing w:lineRule="auto" w:line="240" w:before="0" w:after="0"/>
        <w:rPr>
          <w:rFonts w:cs="Verdana"/>
          <w:color w:val="00000A"/>
        </w:rPr>
      </w:pPr>
      <w:r>
        <w:rPr>
          <w:rFonts w:cs="Verdana"/>
          <w:color w:val="00000A"/>
        </w:rPr>
        <w:t>13.2. Todas as especificações do objeto contidas na proposta vinculam o licitante.</w:t>
      </w:r>
    </w:p>
    <w:p>
      <w:pPr>
        <w:pStyle w:val="Textbody"/>
        <w:spacing w:lineRule="auto" w:line="240" w:before="0" w:after="0"/>
        <w:rPr>
          <w:rFonts w:cs="Verdana"/>
          <w:color w:val="00000A"/>
        </w:rPr>
      </w:pPr>
      <w:r>
        <w:rPr>
          <w:rFonts w:cs="Verdana"/>
          <w:color w:val="00000A"/>
        </w:rPr>
        <w:t>13.3. Nos valores propostos estarão inclusos todos os custos operacionais, encargos previdenciários, trabalhistas, tributários, comerciais e quaisquer outros que incidam direta ou indiretamente na execução do objeto.</w:t>
      </w:r>
    </w:p>
    <w:p>
      <w:pPr>
        <w:pStyle w:val="Textbody"/>
        <w:spacing w:lineRule="auto" w:line="240" w:before="0" w:after="0"/>
        <w:rPr/>
      </w:pPr>
      <w:r>
        <w:rPr>
          <w:rFonts w:cs="Verdana"/>
          <w:color w:val="00000A"/>
        </w:rPr>
        <w:t xml:space="preserve">13.4. Os preços ofertados, </w:t>
      </w:r>
      <w:r>
        <w:rPr/>
        <w:t>tanto na proposta eletrônica,</w:t>
      </w:r>
      <w:r>
        <w:rPr>
          <w:rFonts w:cs="Verdana"/>
          <w:color w:val="00000A"/>
        </w:rPr>
        <w:t xml:space="preserve"> quanto na etapa de lances, serão de exclusiva responsabilidade do licitante, não lhe assistindo o direito de pleitear qualquer alteração, sob alegação de erro, omissão ou qualquer outro pretexto.</w:t>
      </w:r>
    </w:p>
    <w:p>
      <w:pPr>
        <w:pStyle w:val="Textbody"/>
        <w:spacing w:lineRule="auto" w:line="240" w:before="0" w:after="0"/>
        <w:rPr>
          <w:rFonts w:cs="Verdana"/>
          <w:color w:val="00000A"/>
        </w:rPr>
      </w:pPr>
      <w:r>
        <w:rPr>
          <w:rFonts w:cs="Verdana"/>
          <w:color w:val="00000A"/>
        </w:rPr>
        <w:t>13.5. Se o regime tributário da empresa implicar o recolhimento de tributos em percentuais variáveis, a cotação adequada será a que corresponde à média dos efetivos recolhimentos da empresa nos últimos doze meses.</w:t>
      </w:r>
    </w:p>
    <w:p>
      <w:pPr>
        <w:pStyle w:val="Textbody"/>
        <w:spacing w:lineRule="auto" w:line="240" w:before="0" w:after="0"/>
        <w:rPr>
          <w:rFonts w:cs="Verdana"/>
          <w:color w:val="00000A"/>
        </w:rPr>
      </w:pPr>
      <w:r>
        <w:rPr>
          <w:rFonts w:cs="Verdana"/>
          <w:color w:val="00000A"/>
        </w:rPr>
        <w:t>13.6. Independentemente do percentual de tributo inserido na planilha, no pagamento serão retidos na fonte os percentuais estabelecidos na legislação vigente.</w:t>
      </w:r>
    </w:p>
    <w:p>
      <w:pPr>
        <w:pStyle w:val="Textbody"/>
        <w:spacing w:lineRule="auto" w:line="240" w:before="0" w:after="0"/>
        <w:rPr>
          <w:rFonts w:cs="Verdana"/>
          <w:color w:val="00000A"/>
        </w:rPr>
      </w:pPr>
      <w:r>
        <w:rPr>
          <w:rFonts w:cs="Verdana"/>
          <w:color w:val="00000A"/>
        </w:rPr>
        <w:t>13.7. A apresentação das propostas implica obrigatoriedade do cumprimento das disposições nelas contidas, assumindo o proponente o compromisso de executar o objeto licitado nos seus termos, e quando for o caso, de fornecer os materiais, equipamentos, ferramentas e utensílios necessários em quantidades e qualidades adequadas à perfeita execução contratual.</w:t>
      </w:r>
    </w:p>
    <w:p>
      <w:pPr>
        <w:pStyle w:val="Textbody"/>
        <w:spacing w:lineRule="auto" w:line="240" w:before="0" w:after="0"/>
        <w:rPr>
          <w:rFonts w:cs="Verdana"/>
          <w:color w:val="00000A"/>
        </w:rPr>
      </w:pPr>
      <w:r>
        <w:rPr>
          <w:rFonts w:cs="Verdana"/>
          <w:color w:val="00000A"/>
        </w:rPr>
        <w:t>13.8. O prazo de validade da proposta não será inferior a 90 (noventa) dias, a contar da data de sua apresentação.</w:t>
      </w:r>
    </w:p>
    <w:p>
      <w:pPr>
        <w:pStyle w:val="Textbody"/>
        <w:spacing w:lineRule="auto" w:line="240" w:before="0" w:after="0"/>
        <w:rPr>
          <w:rFonts w:cs="Verdana"/>
          <w:color w:val="00000A"/>
        </w:rPr>
      </w:pPr>
      <w:r>
        <w:rPr>
          <w:rFonts w:cs="Verdana"/>
          <w:color w:val="00000A"/>
        </w:rPr>
        <w:t>13.9. Os licitantes devem respeitar os preços máximos estabelecidos pela Administração.</w:t>
      </w:r>
    </w:p>
    <w:p>
      <w:pPr>
        <w:pStyle w:val="Textbody"/>
        <w:spacing w:lineRule="auto" w:line="240" w:before="0" w:after="0"/>
        <w:rPr>
          <w:rFonts w:cs="Verdana"/>
          <w:color w:val="00000A"/>
        </w:rPr>
      </w:pPr>
      <w:r>
        <w:rPr>
          <w:rFonts w:cs="Verdana"/>
          <w:color w:val="00000A"/>
        </w:rPr>
        <w:t>13.10. O descumprimento das regras supramencionadas pela Administração por parte dos contratados pode ensejar a responsabilização pelos Tribunais de Contas e, após o devido processo legal, gerar as seguintes consequências: assinatura de prazo para a adoção das medidas necessárias ao exato cumprimento da lei, ou condenação dos agentes públicos responsáveis e do contratado ao pagamento dos prejuízos ao erário, caso verificada a ocorrência de superfaturamento ou sobrepreço na execução do contrato.</w:t>
      </w:r>
    </w:p>
    <w:p>
      <w:pPr>
        <w:pStyle w:val="Ttulo112"/>
        <w:spacing w:lineRule="auto" w:line="240" w:before="0" w:after="0"/>
        <w:ind w:left="0" w:hanging="0"/>
        <w:rPr>
          <w:rFonts w:eastAsia="Times New Roman" w:cs="Verdana"/>
          <w:color w:val="00000A"/>
          <w:sz w:val="22"/>
          <w:szCs w:val="22"/>
        </w:rPr>
      </w:pPr>
      <w:r>
        <w:rPr>
          <w:rFonts w:eastAsia="Times New Roman" w:cs="Verdana"/>
          <w:color w:val="00000A"/>
          <w:sz w:val="22"/>
          <w:szCs w:val="22"/>
        </w:rPr>
      </w:r>
    </w:p>
    <w:p>
      <w:pPr>
        <w:pStyle w:val="Ttulo112"/>
        <w:spacing w:lineRule="auto" w:line="240" w:before="0" w:after="0"/>
        <w:ind w:left="0" w:hanging="0"/>
        <w:rPr>
          <w:sz w:val="22"/>
          <w:szCs w:val="22"/>
        </w:rPr>
      </w:pPr>
      <w:r>
        <w:rPr>
          <w:rFonts w:eastAsia="Times New Roman" w:cs="Verdana"/>
          <w:color w:val="00000A"/>
          <w:sz w:val="22"/>
          <w:szCs w:val="22"/>
        </w:rPr>
        <w:t xml:space="preserve">14. </w:t>
      </w:r>
      <w:r>
        <w:rPr>
          <w:rFonts w:eastAsia="Times New Roman" w:cs="Arial"/>
          <w:sz w:val="22"/>
          <w:szCs w:val="22"/>
        </w:rPr>
        <w:t>DA ABERTURA DA SESSÃO, CLASSIFICAÇÃO DAS PROPOSTAS E FORMULAÇÃO DE LANCES.</w:t>
      </w:r>
    </w:p>
    <w:p>
      <w:pPr>
        <w:pStyle w:val="Textbody"/>
        <w:spacing w:lineRule="auto" w:line="240" w:before="0" w:after="0"/>
        <w:rPr/>
      </w:pPr>
      <w:r>
        <w:rPr>
          <w:rFonts w:cs="Arial"/>
        </w:rPr>
        <w:t>1</w:t>
      </w:r>
      <w:r>
        <w:rPr/>
        <w:t>4</w:t>
      </w:r>
      <w:r>
        <w:rPr>
          <w:rFonts w:cs="Arial"/>
        </w:rPr>
        <w:t xml:space="preserve">.1. A abertura da presente licitação dar-se-á automaticamente em sessão pública, por meio de sistema eletrônico, na data, horário e local indicados neste edital, </w:t>
      </w:r>
      <w:r>
        <w:rPr/>
        <w:t>vedada a identificação do licitante, sob pena de desclassificação.</w:t>
      </w:r>
    </w:p>
    <w:p>
      <w:pPr>
        <w:pStyle w:val="Textbody"/>
        <w:spacing w:lineRule="auto" w:line="240" w:before="0" w:after="0"/>
        <w:rPr/>
      </w:pPr>
      <w:r>
        <w:rPr/>
        <w:t xml:space="preserve">14.1.1. </w:t>
      </w:r>
      <w:r>
        <w:rPr>
          <w:rFonts w:cs="Arial"/>
        </w:rPr>
        <w:t>A desclassificação será sempre fundamentada e registrada no sistema, com acompanhamento em tempo real por todos os participantes.</w:t>
      </w:r>
    </w:p>
    <w:p>
      <w:pPr>
        <w:pStyle w:val="Textbody"/>
        <w:spacing w:lineRule="auto" w:line="240" w:before="0" w:after="0"/>
        <w:rPr/>
      </w:pPr>
      <w:r>
        <w:rPr>
          <w:rFonts w:cs="Arial"/>
        </w:rPr>
        <w:t>1</w:t>
      </w:r>
      <w:r>
        <w:rPr/>
        <w:t>4</w:t>
      </w:r>
      <w:r>
        <w:rPr>
          <w:rFonts w:cs="Arial"/>
        </w:rPr>
        <w:t>.1.2. A não desclassificação da proposta não impede o seu julgamento definitivo em sentido contrário, levado a efeito na fase de aceitação.</w:t>
      </w:r>
    </w:p>
    <w:p>
      <w:pPr>
        <w:pStyle w:val="Textbody"/>
        <w:spacing w:lineRule="auto" w:line="240" w:before="0" w:after="0"/>
        <w:rPr/>
      </w:pPr>
      <w:r>
        <w:rPr/>
        <w:t>14.2. O sistema ordenará automaticamente as propostas classificadas, sendo que somente estas participarão da fase de lances.</w:t>
      </w:r>
    </w:p>
    <w:p>
      <w:pPr>
        <w:pStyle w:val="Textbody"/>
        <w:spacing w:lineRule="auto" w:line="240" w:before="0" w:after="0"/>
        <w:rPr/>
      </w:pPr>
      <w:r>
        <w:rPr/>
        <w:t>14.3. O sistema disponibilizará campo próprio para troca de mensagens entre a Comissão e os licitantes.</w:t>
      </w:r>
    </w:p>
    <w:p>
      <w:pPr>
        <w:pStyle w:val="Textbody"/>
        <w:spacing w:lineRule="auto" w:line="240" w:before="0" w:after="0"/>
        <w:rPr/>
      </w:pPr>
      <w:r>
        <w:rPr/>
        <w:t>14.4. Iniciada a etapa competitiva, os licitantes deverão encaminhar os lances  exclusivamente por meio de sistema eletrônico, sendo imediatamente informados do seu recebimento e do valor consignado no registro.</w:t>
      </w:r>
    </w:p>
    <w:p>
      <w:pPr>
        <w:pStyle w:val="Textbody"/>
        <w:spacing w:lineRule="auto" w:line="240" w:before="0" w:after="0"/>
        <w:rPr/>
      </w:pPr>
      <w:r>
        <w:rPr/>
        <w:t>14.5. O lance deverá ser ofertado pelo valor unitário.</w:t>
      </w:r>
    </w:p>
    <w:p>
      <w:pPr>
        <w:pStyle w:val="Textbody"/>
        <w:spacing w:lineRule="auto" w:line="240" w:before="0" w:after="0"/>
        <w:rPr/>
      </w:pPr>
      <w:r>
        <w:rPr/>
        <w:t>14.6. Os licitantes poderão oferecer lances sucessivos, observando o horário fixado para abertura da sessão e as regras estabelecidas neste edital.</w:t>
      </w:r>
    </w:p>
    <w:p>
      <w:pPr>
        <w:pStyle w:val="Textbody"/>
        <w:spacing w:lineRule="auto" w:line="240" w:before="0" w:after="0"/>
        <w:rPr/>
      </w:pPr>
      <w:r>
        <w:rPr/>
        <w:t>14.7. O licitante poderá uma única vez, excluir seu último lance ofertado, no intervalo de quinze segundos após o registro no sistema, na hipótese de lance inconsistente ou inexequível.</w:t>
      </w:r>
    </w:p>
    <w:p>
      <w:pPr>
        <w:pStyle w:val="Textbody"/>
        <w:spacing w:lineRule="auto" w:line="240" w:before="0" w:after="0"/>
        <w:rPr/>
      </w:pPr>
      <w:r>
        <w:rPr/>
        <w:t xml:space="preserve">14.8. </w:t>
      </w:r>
      <w:r>
        <w:rPr>
          <w:rStyle w:val="Fontepargpadro"/>
          <w:rFonts w:eastAsia="Times New Roman"/>
          <w:i w:val="false"/>
          <w:iCs w:val="false"/>
          <w:strike w:val="false"/>
          <w:dstrike w:val="false"/>
          <w:color w:val="000000"/>
          <w:kern w:val="0"/>
          <w:position w:val="0"/>
          <w:sz w:val="22"/>
          <w:sz w:val="22"/>
          <w:szCs w:val="22"/>
          <w:u w:val="none"/>
          <w:vertAlign w:val="baseline"/>
          <w:lang w:val="pt-BR"/>
        </w:rPr>
        <w:t>A comissão poderá, durante a disputa, como medida excepcional, excluir a proposta ou o lance que possa comprometer, restringir ou frustrar o caráter competitivo do processo licitatório, mediante comunicação eletrônica automática via sistema, conforme disposto no § 3º do art. 37 do Decreto nº 35.067/2022.</w:t>
      </w:r>
    </w:p>
    <w:p>
      <w:pPr>
        <w:pStyle w:val="Textbody"/>
        <w:spacing w:lineRule="auto" w:line="240" w:before="0" w:after="0"/>
        <w:rPr/>
      </w:pPr>
      <w:r>
        <w:rPr/>
        <w:t>14.9. Os licitantes somente poderão oferecer lances de valor unitário inferior ao último por ele ofertado e registrado pelo sistema.</w:t>
      </w:r>
    </w:p>
    <w:p>
      <w:pPr>
        <w:pStyle w:val="Textbody"/>
        <w:spacing w:lineRule="auto" w:line="240" w:before="0" w:after="0"/>
        <w:rPr/>
      </w:pPr>
      <w:r>
        <w:rPr/>
        <w:t>14.10. O intervalo mínimo de diferença de valores entre os lances, que incidirá tanto em relação aos lances intermediários quanto em relação à proposta que cobrir a melhor oferta deverá ser de 1% (um por cento), utilizando como referência o valor unitário do item.</w:t>
      </w:r>
    </w:p>
    <w:p>
      <w:pPr>
        <w:pStyle w:val="Textbody"/>
        <w:spacing w:lineRule="auto" w:line="240" w:before="0" w:after="0"/>
        <w:rPr/>
      </w:pPr>
      <w:r>
        <w:rPr/>
        <w:t>14.11. Desde que disponibilizada a funcionalidade no sistema, o licitante poderá parametrizar o seu valor final mínimo quando do cadastramento da proposta e obedecerá às seguintes regras:</w:t>
      </w:r>
    </w:p>
    <w:p>
      <w:pPr>
        <w:pStyle w:val="Textbody"/>
        <w:spacing w:lineRule="auto" w:line="240" w:before="0" w:after="0"/>
        <w:rPr/>
      </w:pPr>
      <w:r>
        <w:rPr/>
        <w:t>14.11.1. A aplicação do intervalo mínimo de diferença de valores entre os lances, que incidirá tanto em relação aos lances intermediários quanto em relação ao lance que cobrir a melhor oferta; e</w:t>
      </w:r>
    </w:p>
    <w:p>
      <w:pPr>
        <w:pStyle w:val="Textbody"/>
        <w:spacing w:lineRule="auto" w:line="240" w:before="0" w:after="0"/>
        <w:rPr/>
      </w:pPr>
      <w:r>
        <w:rPr/>
        <w:t>14.11.2. Os lances serão de envio automático pelo sistema, respeitado o valor final mínimo estabelecido e o intervalo de que trata o subitem acima.</w:t>
      </w:r>
    </w:p>
    <w:p>
      <w:pPr>
        <w:pStyle w:val="Textbody"/>
        <w:spacing w:lineRule="auto" w:line="240" w:before="0" w:after="0"/>
        <w:rPr/>
      </w:pPr>
      <w:r>
        <w:rPr/>
        <w:t xml:space="preserve">14.12. O valor final mínimo parametrizado no sistema poderá ser alterado pelo licitante durante a fase de disputa, sendo vedado valor superior a lance já registrado por ele mesmo no sistema, quando adotado o critério de julgamento por menor preço; </w:t>
      </w:r>
    </w:p>
    <w:p>
      <w:pPr>
        <w:pStyle w:val="Textbody"/>
        <w:spacing w:lineRule="auto" w:line="240" w:before="0" w:after="0"/>
        <w:rPr/>
      </w:pPr>
      <w:r>
        <w:rPr/>
        <w:t>14.13. O valor final mínimo parametrizado na forma do subitem 14.11., possuirá caráter sigiloso para os demais licitantes e para</w:t>
      </w:r>
      <w:r>
        <w:rPr>
          <w:rFonts w:cs="Verdana"/>
          <w:color w:val="00000A"/>
        </w:rPr>
        <w:t xml:space="preserve"> o pregoeiro</w:t>
      </w:r>
      <w:r>
        <w:rPr/>
        <w:t>, podendo ser disponibilizado estrita e permanentemente aos órgãos de controle externo e interno.</w:t>
      </w:r>
    </w:p>
    <w:p>
      <w:pPr>
        <w:pStyle w:val="Textbody"/>
        <w:spacing w:lineRule="auto" w:line="240" w:before="0" w:after="0"/>
        <w:rPr>
          <w:b/>
          <w:bCs/>
        </w:rPr>
      </w:pPr>
      <w:r>
        <w:rPr>
          <w:b/>
          <w:bCs/>
        </w:rPr>
        <w:t>Modo de Disputa</w:t>
      </w:r>
    </w:p>
    <w:p>
      <w:pPr>
        <w:pStyle w:val="Textbody"/>
        <w:spacing w:lineRule="auto" w:line="240" w:before="0" w:after="0"/>
        <w:rPr/>
      </w:pPr>
      <w:r>
        <w:rPr/>
        <w:t xml:space="preserve">14.14. </w:t>
      </w:r>
      <w:r>
        <w:rPr>
          <w:rStyle w:val="Fontepargpadro"/>
          <w:rFonts w:eastAsia="Times New Roman" w:cs="Verdana"/>
          <w:b w:val="false"/>
          <w:bCs w:val="false"/>
          <w:i w:val="false"/>
          <w:iCs w:val="false"/>
          <w:strike w:val="false"/>
          <w:dstrike w:val="false"/>
          <w:color w:val="000000"/>
          <w:sz w:val="22"/>
          <w:szCs w:val="22"/>
          <w:u w:val="none"/>
          <w:shd w:fill="FFFFFF" w:val="clear"/>
          <w:lang w:val="pt-BR"/>
        </w:rPr>
        <w:t xml:space="preserve">Será adotado o modo de disputa </w:t>
      </w:r>
      <w:r>
        <w:rPr>
          <w:rStyle w:val="Fontepargpadro"/>
          <w:rFonts w:eastAsia="Times New Roman" w:cs="Verdana"/>
          <w:b/>
          <w:bCs/>
          <w:i w:val="false"/>
          <w:iCs w:val="false"/>
          <w:strike w:val="false"/>
          <w:dstrike w:val="false"/>
          <w:color w:val="000000"/>
          <w:sz w:val="22"/>
          <w:szCs w:val="22"/>
          <w:u w:val="none"/>
          <w:shd w:fill="FFFFFF" w:val="clear"/>
          <w:lang w:val="pt-BR"/>
        </w:rPr>
        <w:t>fechado e aberto,</w:t>
      </w:r>
      <w:r>
        <w:rPr>
          <w:rStyle w:val="Fontepargpadro"/>
          <w:rFonts w:eastAsia="Times New Roman" w:cs="Verdana"/>
          <w:b w:val="false"/>
          <w:bCs w:val="false"/>
          <w:i w:val="false"/>
          <w:iCs w:val="false"/>
          <w:strike w:val="false"/>
          <w:dstrike w:val="false"/>
          <w:color w:val="000000"/>
          <w:sz w:val="22"/>
          <w:szCs w:val="22"/>
          <w:u w:val="none"/>
          <w:shd w:fill="FFFFFF" w:val="clear"/>
          <w:lang w:val="pt-BR"/>
        </w:rPr>
        <w:t xml:space="preserve"> no qual somente serão classificadas automaticamente pelo sistema, para a etapa da disputa aberta, com a apresentação de lances públicos sucessivos, o licitante que apresentou a proposta de </w:t>
      </w:r>
      <w:r>
        <w:rPr>
          <w:rStyle w:val="Fontepargpadro"/>
          <w:rFonts w:eastAsia="Times New Roman" w:cs="Verdana"/>
          <w:b w:val="false"/>
          <w:bCs w:val="false"/>
          <w:i w:val="false"/>
          <w:iCs w:val="false"/>
          <w:strike w:val="false"/>
          <w:dstrike w:val="false"/>
          <w:color w:val="000000"/>
          <w:sz w:val="22"/>
          <w:szCs w:val="22"/>
          <w:u w:val="none"/>
          <w:shd w:fill="auto" w:val="clear"/>
          <w:lang w:val="pt-BR"/>
        </w:rPr>
        <w:t>menor preço</w:t>
      </w:r>
      <w:r>
        <w:rPr>
          <w:rStyle w:val="Fontepargpadro"/>
          <w:rFonts w:eastAsia="Times New Roman" w:cs="Verdana"/>
          <w:b w:val="false"/>
          <w:bCs w:val="false"/>
          <w:i w:val="false"/>
          <w:iCs w:val="false"/>
          <w:strike w:val="false"/>
          <w:dstrike w:val="false"/>
          <w:color w:val="000000"/>
          <w:sz w:val="22"/>
          <w:szCs w:val="22"/>
          <w:u w:val="none"/>
          <w:shd w:fill="FFFFFF" w:val="clear"/>
          <w:lang w:val="pt-BR"/>
        </w:rPr>
        <w:t xml:space="preserve"> e os licitantes das propostas até 10% (dez por cento) </w:t>
      </w:r>
      <w:r>
        <w:rPr>
          <w:rStyle w:val="Fontepargpadro"/>
          <w:rFonts w:eastAsia="Times New Roman" w:cs="Verdana"/>
          <w:b w:val="false"/>
          <w:bCs w:val="false"/>
          <w:i w:val="false"/>
          <w:iCs w:val="false"/>
          <w:strike w:val="false"/>
          <w:dstrike w:val="false"/>
          <w:color w:val="000000"/>
          <w:sz w:val="22"/>
          <w:szCs w:val="22"/>
          <w:u w:val="none"/>
          <w:shd w:fill="auto" w:val="clear"/>
          <w:lang w:val="pt-BR"/>
        </w:rPr>
        <w:t xml:space="preserve">superiores </w:t>
      </w:r>
      <w:r>
        <w:rPr>
          <w:rStyle w:val="Fontepargpadro"/>
          <w:rFonts w:eastAsia="Times New Roman" w:cs="Verdana"/>
          <w:b w:val="false"/>
          <w:bCs w:val="false"/>
          <w:i w:val="false"/>
          <w:iCs w:val="false"/>
          <w:strike w:val="false"/>
          <w:dstrike w:val="false"/>
          <w:color w:val="000000"/>
          <w:sz w:val="22"/>
          <w:szCs w:val="22"/>
          <w:u w:val="none"/>
          <w:shd w:fill="FFFFFF" w:val="clear"/>
          <w:lang w:val="pt-BR"/>
        </w:rPr>
        <w:t>àquela, conforme o critério de julgamento adotado, conforme art. 45, do Decreto Estadual n° 35.067/2022.</w:t>
      </w:r>
    </w:p>
    <w:p>
      <w:pPr>
        <w:pStyle w:val="Textbody"/>
        <w:spacing w:lineRule="auto" w:line="240" w:before="0" w:after="0"/>
        <w:rPr/>
      </w:pPr>
      <w:r>
        <w:rPr/>
        <w:t>14.14.1. Não havendo pelo menos 3 (três) propostas nas condições definidas no subitem acima, poderão os licitantes que apresentaram as três melhores propostas, consideradas as empatadas, oferecer novos lances sucessivos.</w:t>
      </w:r>
    </w:p>
    <w:p>
      <w:pPr>
        <w:pStyle w:val="Textbody"/>
        <w:spacing w:lineRule="auto" w:line="240" w:before="0" w:after="0"/>
        <w:rPr/>
      </w:pPr>
      <w:r>
        <w:rPr/>
        <w:t>14.14.2. A etapa de lances da sessão pública terá duração de dez minutos e, após isso, será prorrogada automaticamente pelo sistema quando houver lance ofertado nos últimos dois minutos do período de duração da sessão pública.</w:t>
      </w:r>
    </w:p>
    <w:p>
      <w:pPr>
        <w:pStyle w:val="Textbody"/>
        <w:spacing w:lineRule="auto" w:line="240" w:before="0" w:after="0"/>
        <w:rPr/>
      </w:pPr>
      <w:r>
        <w:rPr/>
        <w:t>14.14.3. A prorrogação automática da etapa de lances, de que trata o subitem anterior, será de dois minutos e ocorrerá sucessivamente sempre que houver lances enviados nesse período de prorrogação, inclusive no caso de lances intermediários.</w:t>
      </w:r>
    </w:p>
    <w:p>
      <w:pPr>
        <w:pStyle w:val="Textbody"/>
        <w:spacing w:lineRule="auto" w:line="240" w:before="0" w:after="0"/>
        <w:rPr/>
      </w:pPr>
      <w:r>
        <w:rPr>
          <w:shd w:fill="auto" w:val="clear"/>
        </w:rPr>
        <w:t xml:space="preserve">14.14.4. </w:t>
      </w:r>
      <w:r>
        <w:rPr/>
        <w:t>Não havendo novos lances na forma estabelecida nos subitens anteriores, a sessão pública encerrar-se-á automaticamente, e o sistema ordenará e divulgará os lances conforme a ordem final de classificação.</w:t>
      </w:r>
    </w:p>
    <w:p>
      <w:pPr>
        <w:pStyle w:val="Textbody"/>
        <w:spacing w:lineRule="auto" w:line="240" w:before="0" w:after="0"/>
        <w:rPr/>
      </w:pPr>
      <w:r>
        <w:rPr/>
        <w:t>14.14.5. Definida a melhor proposta, se a diferença em relação à proposta classificada em segundo lugar for de pelo menos 5% (cinco por cento), a Comissão poderá admitir o reinício da disputa aberta, para a definição das demais colocações.</w:t>
      </w:r>
    </w:p>
    <w:p>
      <w:pPr>
        <w:pStyle w:val="Textbody"/>
        <w:spacing w:lineRule="auto" w:line="240" w:before="0" w:after="0"/>
        <w:rPr/>
      </w:pPr>
      <w:r>
        <w:rPr/>
        <w:t>14.14.6. Após o reinício previsto no subitem supra, os licitantes serão convocados para apresentar lances intermediários.</w:t>
      </w:r>
    </w:p>
    <w:p>
      <w:pPr>
        <w:pStyle w:val="Textbody"/>
        <w:spacing w:lineRule="auto" w:line="240" w:before="0" w:after="0"/>
        <w:rPr/>
      </w:pPr>
      <w:r>
        <w:rPr/>
        <w:t xml:space="preserve">14.14.7. Encerrada a etapa de que trata o subitem anterior, o sistema ordenará e divulgará os lances segundo a ordem crescente, </w:t>
      </w:r>
      <w:r>
        <w:rPr>
          <w:rStyle w:val="Fontepargpadro"/>
          <w:rFonts w:eastAsia="Times New Roman"/>
          <w:i w:val="false"/>
          <w:iCs w:val="false"/>
          <w:strike w:val="false"/>
          <w:dstrike w:val="false"/>
          <w:color w:val="000000"/>
          <w:sz w:val="22"/>
          <w:szCs w:val="22"/>
          <w:u w:val="none"/>
          <w:lang w:val="pt-BR"/>
        </w:rPr>
        <w:t>conforme estabelecido no parágrafo único do art. 38 do Decreto nº 35.067/2022.</w:t>
      </w:r>
    </w:p>
    <w:p>
      <w:pPr>
        <w:pStyle w:val="Textbody"/>
        <w:spacing w:lineRule="auto" w:line="240" w:before="0" w:after="0"/>
        <w:rPr>
          <w:shd w:fill="FFFFFF" w:val="clear"/>
        </w:rPr>
      </w:pPr>
      <w:r>
        <w:rPr>
          <w:shd w:fill="FFFFFF" w:val="clear"/>
        </w:rPr>
        <w:t>14.15. Não serão aceitos dois ou mais lances de mesmo valor, prevalecendo aquele que for recebido e registrado em primeiro lugar.</w:t>
      </w:r>
    </w:p>
    <w:p>
      <w:pPr>
        <w:pStyle w:val="Textbody"/>
        <w:spacing w:lineRule="auto" w:line="240" w:before="0" w:after="0"/>
        <w:rPr>
          <w:shd w:fill="FFFFFF" w:val="clear"/>
        </w:rPr>
      </w:pPr>
      <w:r>
        <w:rPr>
          <w:shd w:fill="FFFFFF" w:val="clear"/>
        </w:rPr>
        <w:t>14.16. Durante o transcurso da sessão pública, os licitantes serão informados, em tempo real, do valor do menor lance registrado, vedada a identificação do licitante.</w:t>
      </w:r>
    </w:p>
    <w:p>
      <w:pPr>
        <w:pStyle w:val="Textbody"/>
        <w:spacing w:lineRule="auto" w:line="240" w:before="0" w:after="0"/>
        <w:rPr>
          <w:shd w:fill="FFFFFF" w:val="clear"/>
        </w:rPr>
      </w:pPr>
      <w:r>
        <w:rPr>
          <w:shd w:fill="FFFFFF" w:val="clear"/>
        </w:rPr>
        <w:t>14.17. No caso de desconexão com a Comissão, no decorrer da etapa competitiva da concorrência, o sistema eletrônico poderá permanecer acessível aos licitantes para a recepção dos lances.</w:t>
      </w:r>
    </w:p>
    <w:p>
      <w:pPr>
        <w:pStyle w:val="Textbody"/>
        <w:spacing w:lineRule="auto" w:line="240" w:before="0" w:after="0"/>
        <w:rPr/>
      </w:pPr>
      <w:r>
        <w:rPr>
          <w:shd w:fill="FFFFFF" w:val="clear"/>
        </w:rPr>
        <w:t xml:space="preserve">14.18. Quando a desconexão do sistema eletrônico para a Comissão persistir por tempo superior a dez minutos, a sessão pública será suspensa e reiniciada somente após decorridas </w:t>
      </w:r>
      <w:r>
        <w:rPr>
          <w:rFonts w:eastAsia="Arial" w:cs="Arial"/>
        </w:rPr>
        <w:t>24 (vinte e quatro) horas</w:t>
      </w:r>
      <w:r>
        <w:rPr>
          <w:shd w:fill="FFFFFF" w:val="clear"/>
        </w:rPr>
        <w:t xml:space="preserve"> da comunicação do fato pela Comissão aos participantes, no sítio eletrônico utilizado para divulgação.</w:t>
      </w:r>
    </w:p>
    <w:p>
      <w:pPr>
        <w:pStyle w:val="Textbody"/>
        <w:spacing w:lineRule="auto" w:line="240" w:before="0" w:after="0"/>
        <w:rPr>
          <w:shd w:fill="FFFFFF" w:val="clear"/>
        </w:rPr>
      </w:pPr>
      <w:r>
        <w:rPr>
          <w:shd w:fill="FFFFFF" w:val="clear"/>
        </w:rPr>
        <w:t>14.19. Caso o licitante não apresente lances, concorrerá com o valor de sua proposta.</w:t>
      </w:r>
    </w:p>
    <w:p>
      <w:pPr>
        <w:pStyle w:val="Textbody"/>
        <w:spacing w:lineRule="auto" w:line="240" w:before="0" w:after="0"/>
        <w:rPr/>
      </w:pPr>
      <w:r>
        <w:rPr/>
        <w:t>14.20. Só poderá haver empate entre propostas iguais, não seguidas de lances, ou entre lances finais da fase fechada do modo de disputa aberto e fechado.</w:t>
      </w:r>
    </w:p>
    <w:p>
      <w:pPr>
        <w:pStyle w:val="Textbody"/>
        <w:spacing w:lineRule="auto" w:line="240" w:before="0" w:after="0"/>
        <w:rPr>
          <w:color w:val="00B0F0"/>
        </w:rPr>
      </w:pPr>
      <w:r>
        <w:rPr>
          <w:shd w:fill="FFFFFF" w:val="clear"/>
        </w:rPr>
        <w:t>14.21. Em caso de empate entre duas ou mais propostas ou lances, serão utilizados os seguintes critérios de desempate, nesta ordem</w:t>
      </w:r>
      <w:r>
        <w:rPr>
          <w:color w:val="00B0F0"/>
          <w:shd w:fill="FFFFFF" w:val="clear"/>
        </w:rPr>
        <w:t>:</w:t>
      </w:r>
    </w:p>
    <w:p>
      <w:pPr>
        <w:pStyle w:val="Textbody"/>
        <w:spacing w:lineRule="auto" w:line="240" w:before="0" w:after="0"/>
        <w:rPr>
          <w:shd w:fill="FFFFFF" w:val="clear"/>
        </w:rPr>
      </w:pPr>
      <w:r>
        <w:rPr>
          <w:shd w:fill="FFFFFF" w:val="clear"/>
        </w:rPr>
        <w:t>14.21.1. Disputa final, hipótese em que os licitantes empatados poderão apresentar nova proposta ou lance em ato contínuo à classificação;</w:t>
      </w:r>
    </w:p>
    <w:p>
      <w:pPr>
        <w:pStyle w:val="Textbody"/>
        <w:spacing w:lineRule="auto" w:line="240" w:before="0" w:after="0"/>
        <w:rPr>
          <w:shd w:fill="FFFFFF" w:val="clear"/>
        </w:rPr>
      </w:pPr>
      <w:r>
        <w:rPr>
          <w:shd w:fill="FFFFFF" w:val="clear"/>
        </w:rPr>
        <w:t>14.21.2. Avaliação do desempenho contratual prévio dos licitantes, para a qual deverão preferencialmente ser utilizados registros cadastrais para efeito de atesto de cumprimento de obrigações previstos na Lei Federal nº 14.133/2021;</w:t>
      </w:r>
    </w:p>
    <w:p>
      <w:pPr>
        <w:pStyle w:val="Standard"/>
        <w:jc w:val="both"/>
        <w:rPr>
          <w:rFonts w:ascii="Arial" w:hAnsi="Arial" w:cs="Arial"/>
        </w:rPr>
      </w:pPr>
      <w:r>
        <w:rPr>
          <w:rFonts w:cs="Arial" w:ascii="Arial" w:hAnsi="Arial"/>
          <w:sz w:val="22"/>
          <w:szCs w:val="22"/>
          <w:shd w:fill="FFFFFF" w:val="clear"/>
        </w:rPr>
        <w:t>14.21.3.</w:t>
      </w:r>
      <w:r>
        <w:rPr>
          <w:rFonts w:cs="Arial" w:ascii="Arial" w:hAnsi="Arial"/>
          <w:shd w:fill="FFFFFF" w:val="clear"/>
        </w:rPr>
        <w:t xml:space="preserve"> </w:t>
      </w:r>
      <w:r>
        <w:rPr>
          <w:rFonts w:eastAsia="Times New Roman" w:cs="Arial" w:ascii="Arial" w:hAnsi="Arial"/>
          <w:sz w:val="22"/>
          <w:szCs w:val="22"/>
          <w:shd w:fill="FFFFFF" w:val="clear"/>
        </w:rPr>
        <w:t>Desenvolvimento pelo licitante de ações de equidade entre homens e mulheres no ambiente de trabalho, comprovado mediante a apresentação do Selo Empresa Amiga da Mulher, criado pela Lei Federal nº 14.682, de 20 de setembro de 2023 ou por quaisquer outros selos que representem ações de equidade entre homens e mulheres, criados pelos Estados e/ou Distrito Federal.</w:t>
      </w:r>
    </w:p>
    <w:p>
      <w:pPr>
        <w:pStyle w:val="Standard"/>
        <w:jc w:val="both"/>
        <w:rPr>
          <w:rFonts w:ascii="Arial" w:hAnsi="Arial" w:cs="Arial"/>
          <w:color w:val="000000"/>
          <w:sz w:val="22"/>
          <w:szCs w:val="22"/>
        </w:rPr>
      </w:pPr>
      <w:r>
        <w:rPr>
          <w:rFonts w:cs="Arial" w:ascii="Arial" w:hAnsi="Arial"/>
          <w:sz w:val="22"/>
          <w:szCs w:val="22"/>
          <w:shd w:fill="FFFFFF" w:val="clear"/>
        </w:rPr>
        <w:t>14.21.4.</w:t>
      </w:r>
      <w:r>
        <w:rPr>
          <w:rFonts w:cs="Arial" w:ascii="Arial" w:hAnsi="Arial"/>
          <w:shd w:fill="FFFFFF" w:val="clear"/>
        </w:rPr>
        <w:t xml:space="preserve"> </w:t>
      </w:r>
      <w:r>
        <w:rPr>
          <w:rFonts w:eastAsia="Times New Roman" w:cs="Arial" w:ascii="Arial" w:hAnsi="Arial"/>
          <w:sz w:val="22"/>
          <w:szCs w:val="22"/>
          <w:shd w:fill="FFFFFF" w:val="clear"/>
        </w:rPr>
        <w:t>Desenvolvimento pelo licitante de programa de integridade, co</w:t>
      </w:r>
      <w:r>
        <w:rPr>
          <w:rFonts w:eastAsia="Times New Roman" w:cs="Verdana" w:ascii="Arial" w:hAnsi="Arial"/>
          <w:sz w:val="22"/>
          <w:szCs w:val="22"/>
          <w:shd w:fill="FFFFFF" w:val="clear"/>
        </w:rPr>
        <w:t>nforme as diretrizes estabelecidas pela Controladoria Geral do Estado ou, em sua ausência, pela Controladoria Geral da União para as empresas privadas.</w:t>
      </w:r>
    </w:p>
    <w:p>
      <w:pPr>
        <w:pStyle w:val="Textbody"/>
        <w:spacing w:lineRule="auto" w:line="240" w:before="0" w:after="0"/>
        <w:rPr>
          <w:shd w:fill="FFFFFF" w:val="clear"/>
        </w:rPr>
      </w:pPr>
      <w:r>
        <w:rPr>
          <w:shd w:fill="FFFFFF" w:val="clear"/>
        </w:rPr>
        <w:t>14.22. Em igualdade de condições, se não houver desempate, será assegurada preferência, sucessivamente, aos bens e serviços produzidos ou prestados por:</w:t>
      </w:r>
    </w:p>
    <w:p>
      <w:pPr>
        <w:pStyle w:val="Textbody"/>
        <w:spacing w:lineRule="auto" w:line="240" w:before="0" w:after="0"/>
        <w:rPr>
          <w:shd w:fill="FFFFFF" w:val="clear"/>
        </w:rPr>
      </w:pPr>
      <w:r>
        <w:rPr>
          <w:shd w:fill="FFFFFF" w:val="clear"/>
        </w:rPr>
        <w:t>14.22.1. Empresas estabelecidas no território do Estado do Ceará;</w:t>
      </w:r>
    </w:p>
    <w:p>
      <w:pPr>
        <w:pStyle w:val="Textbody"/>
        <w:spacing w:lineRule="auto" w:line="240" w:before="0" w:after="0"/>
        <w:rPr>
          <w:shd w:fill="FFFFFF" w:val="clear"/>
        </w:rPr>
      </w:pPr>
      <w:r>
        <w:rPr>
          <w:shd w:fill="FFFFFF" w:val="clear"/>
        </w:rPr>
        <w:t>14.22.2. Empresas brasileiras;</w:t>
      </w:r>
    </w:p>
    <w:p>
      <w:pPr>
        <w:pStyle w:val="Textbody"/>
        <w:spacing w:lineRule="auto" w:line="240" w:before="0" w:after="0"/>
        <w:rPr>
          <w:shd w:fill="FFFFFF" w:val="clear"/>
        </w:rPr>
      </w:pPr>
      <w:r>
        <w:rPr>
          <w:shd w:fill="FFFFFF" w:val="clear"/>
        </w:rPr>
        <w:t>14.22.3. Empresas que invistam em pesquisa e no desenvolvimento de tecnologia no País;</w:t>
      </w:r>
    </w:p>
    <w:p>
      <w:pPr>
        <w:pStyle w:val="Textbody"/>
        <w:spacing w:lineRule="auto" w:line="240" w:before="0" w:after="0"/>
        <w:rPr>
          <w:shd w:fill="FFFFFF" w:val="clear"/>
        </w:rPr>
      </w:pPr>
      <w:r>
        <w:rPr>
          <w:shd w:fill="FFFFFF" w:val="clear"/>
        </w:rPr>
        <w:t>14.22.4. Empresas que comprovem a prática de mitigação, nos termos da Lei nº 12.187/2009.</w:t>
      </w:r>
    </w:p>
    <w:p>
      <w:pPr>
        <w:pStyle w:val="Textbody"/>
        <w:spacing w:lineRule="auto" w:line="240" w:before="0" w:after="0"/>
        <w:rPr>
          <w:rFonts w:eastAsia="Arial" w:cs="Calibri, 'Century Gothic'"/>
          <w:shd w:fill="FFFFFF" w:val="clear"/>
          <w:lang w:eastAsia="ar-SA"/>
        </w:rPr>
      </w:pPr>
      <w:r>
        <w:rPr>
          <w:shd w:fill="FFFFFF" w:val="clear"/>
        </w:rPr>
        <w:t xml:space="preserve">14.23. </w:t>
      </w:r>
      <w:r>
        <w:rPr>
          <w:rFonts w:eastAsia="Arial" w:cs="Calibri, 'Century Gothic'"/>
          <w:shd w:fill="FFFFFF" w:val="clear"/>
          <w:lang w:eastAsia="ar-SA"/>
        </w:rPr>
        <w:t>Permanecendo empate após aplicação de todos os critérios de desempate de que trata a lei, proceder-se-á o sorteio das propostas empatadas, via sistema Compras.gov.br, conforme Acórdão TCU nº 723/2024 Plenário.</w:t>
      </w:r>
    </w:p>
    <w:p>
      <w:pPr>
        <w:pStyle w:val="Textbody"/>
        <w:spacing w:lineRule="auto" w:line="240" w:before="0" w:after="0"/>
        <w:rPr>
          <w:shd w:fill="FFFFFF" w:val="clear"/>
        </w:rPr>
      </w:pPr>
      <w:r>
        <w:rPr>
          <w:shd w:fill="FFFFFF" w:val="clear"/>
        </w:rPr>
        <w:t xml:space="preserve">14.23.1. </w:t>
      </w:r>
      <w:r>
        <w:rPr>
          <w:rFonts w:eastAsia="Arial"/>
          <w:szCs w:val="22"/>
          <w:shd w:fill="FFFFFF" w:val="clear"/>
          <w:lang w:eastAsia="ar-SA"/>
        </w:rPr>
        <w:t>Na impossibilidade do sorteio via sistema compras.gov.br, serão adotadas as seguintes providências, a ser realizado em ato público:</w:t>
      </w:r>
    </w:p>
    <w:p>
      <w:pPr>
        <w:pStyle w:val="Textbody"/>
        <w:spacing w:lineRule="auto" w:line="240" w:before="0" w:after="0"/>
        <w:rPr>
          <w:rFonts w:eastAsia="Calibri, 'Century Gothic'" w:cs="Arial"/>
          <w:szCs w:val="22"/>
        </w:rPr>
      </w:pPr>
      <w:r>
        <w:rPr>
          <w:rFonts w:cs="Calibri, 'Century Gothic'"/>
          <w:shd w:fill="FFFFFF" w:val="clear"/>
        </w:rPr>
        <w:t>I - Será comunicado, por meio do sistema, a data, o horário, o sítio eletrônico onde será realizado o sorteio, bem como a plataforma de transmissão ao vivo;</w:t>
      </w:r>
    </w:p>
    <w:p>
      <w:pPr>
        <w:pStyle w:val="Textbody"/>
        <w:spacing w:lineRule="auto" w:line="240" w:before="0" w:after="0"/>
        <w:rPr>
          <w:rFonts w:eastAsia="Calibri, 'Century Gothic'" w:cs="Arial"/>
          <w:szCs w:val="22"/>
        </w:rPr>
      </w:pPr>
      <w:r>
        <w:rPr>
          <w:rFonts w:cs="Calibri, 'Century Gothic'"/>
          <w:shd w:fill="FFFFFF" w:val="clear"/>
        </w:rPr>
        <w:t xml:space="preserve">II - A data e o horário serão comunicados no prazo de </w:t>
      </w:r>
      <w:r>
        <w:rPr>
          <w:rFonts w:eastAsia="Arial" w:cs="Arial"/>
          <w:shd w:fill="FFFFFF" w:val="clear"/>
        </w:rPr>
        <w:t>24 (vinte e quatro) horas que antecedem a realização do sorteio;</w:t>
      </w:r>
    </w:p>
    <w:p>
      <w:pPr>
        <w:pStyle w:val="Standard"/>
        <w:jc w:val="both"/>
        <w:rPr>
          <w:rFonts w:ascii="Arial" w:hAnsi="Arial" w:eastAsia="Calibri, 'Century Gothic'" w:cs="Arial"/>
          <w:color w:val="00B0F0"/>
          <w:sz w:val="22"/>
          <w:szCs w:val="22"/>
        </w:rPr>
      </w:pPr>
      <w:r>
        <w:rPr>
          <w:rFonts w:cs="Calibri, 'Century Gothic'" w:ascii="Arial" w:hAnsi="Arial"/>
          <w:lang w:eastAsia="ar-SA"/>
        </w:rPr>
        <w:t xml:space="preserve">III - </w:t>
      </w:r>
      <w:r>
        <w:rPr>
          <w:rFonts w:cs="Calibri, 'Century Gothic'" w:ascii="Arial" w:hAnsi="Arial"/>
          <w:b w:val="false"/>
          <w:bCs w:val="false"/>
          <w:sz w:val="22"/>
          <w:szCs w:val="22"/>
          <w:lang w:eastAsia="ar-SA"/>
        </w:rPr>
        <w:t xml:space="preserve">O resultado do sorteio será registrado na ata da sessão pública, </w:t>
      </w:r>
      <w:r>
        <w:rPr>
          <w:rFonts w:eastAsia="Times New Roman" w:cs="Verdana" w:ascii="Arial" w:hAnsi="Arial"/>
          <w:b w:val="false"/>
          <w:bCs w:val="false"/>
          <w:sz w:val="22"/>
          <w:szCs w:val="22"/>
          <w:lang w:eastAsia="ar-SA"/>
        </w:rPr>
        <w:t>divulgado a todos os licitantes</w:t>
      </w:r>
      <w:r>
        <w:rPr>
          <w:rFonts w:cs="Calibri, 'Century Gothic'" w:ascii="Arial" w:hAnsi="Arial"/>
          <w:b w:val="false"/>
          <w:bCs w:val="false"/>
          <w:sz w:val="22"/>
          <w:szCs w:val="22"/>
          <w:lang w:eastAsia="ar-SA"/>
        </w:rPr>
        <w:t xml:space="preserve"> e anexado aos autos do processo licitatório</w:t>
      </w:r>
      <w:r>
        <w:rPr>
          <w:rFonts w:cs="Calibri, 'Century Gothic'" w:ascii="Arial" w:hAnsi="Arial"/>
          <w:b w:val="false"/>
          <w:bCs w:val="false"/>
          <w:color w:val="00B0F0"/>
          <w:sz w:val="22"/>
          <w:szCs w:val="22"/>
          <w:lang w:eastAsia="ar-SA"/>
        </w:rPr>
        <w:t>.</w:t>
      </w:r>
    </w:p>
    <w:p>
      <w:pPr>
        <w:pStyle w:val="Normal"/>
        <w:widowControl/>
        <w:bidi w:val="0"/>
        <w:spacing w:lineRule="auto" w:line="240" w:before="57" w:after="57"/>
        <w:ind w:left="0" w:right="0" w:hanging="0"/>
        <w:jc w:val="both"/>
        <w:rPr>
          <w:rFonts w:ascii="Arial" w:hAnsi="Arial" w:eastAsia="Calibri;Century Gothic" w:cs="Arial"/>
          <w:b w:val="false"/>
          <w:bCs w:val="false"/>
          <w:color w:val="000000"/>
          <w:sz w:val="22"/>
          <w:szCs w:val="22"/>
          <w:shd w:fill="auto" w:val="clear"/>
          <w:lang w:val="pt-BR" w:bidi="ar-SA"/>
        </w:rPr>
      </w:pPr>
      <w:r>
        <w:rPr>
          <w:rStyle w:val="Fontepargpadro"/>
          <w:rFonts w:eastAsia="Calibri;Century Gothic" w:cs="Calibri;Century Gothic" w:ascii="Arial" w:hAnsi="Arial"/>
          <w:b w:val="false"/>
          <w:bCs w:val="false"/>
          <w:i w:val="false"/>
          <w:iCs w:val="false"/>
          <w:strike w:val="false"/>
          <w:dstrike w:val="false"/>
          <w:color w:val="000000"/>
          <w:sz w:val="22"/>
          <w:szCs w:val="22"/>
          <w:u w:val="none"/>
          <w:shd w:fill="auto" w:val="clear"/>
          <w:lang w:val="pt-BR" w:bidi="ar-SA"/>
        </w:rPr>
        <w:t xml:space="preserve">14.24. </w:t>
      </w:r>
      <w:r>
        <w:rPr>
          <w:rStyle w:val="Fontepargpadro"/>
          <w:rFonts w:eastAsia="Arial" w:cs="Arial" w:ascii="Arial" w:hAnsi="Arial"/>
          <w:b w:val="false"/>
          <w:bCs w:val="false"/>
          <w:i w:val="false"/>
          <w:iCs w:val="false"/>
          <w:strike w:val="false"/>
          <w:dstrike w:val="false"/>
          <w:color w:val="000000"/>
          <w:kern w:val="0"/>
          <w:sz w:val="22"/>
          <w:szCs w:val="22"/>
          <w:u w:val="none"/>
          <w:shd w:fill="auto" w:val="clear"/>
          <w:lang w:val="pt-BR" w:eastAsia="ar-SA" w:bidi="ar-SA"/>
        </w:rPr>
        <w:t>Encerrada a etapa de disputa da sessão pública, os licitantes serão convocados pela comissão para, no prazo de 24 (vinte e quatro) horas, anexar no sistema da realização do certame o comprovante de recolhimento da garantia de propostas.</w:t>
      </w:r>
    </w:p>
    <w:p>
      <w:pPr>
        <w:pStyle w:val="Normal"/>
        <w:widowControl/>
        <w:bidi w:val="0"/>
        <w:spacing w:lineRule="auto" w:line="240" w:before="57" w:after="57"/>
        <w:ind w:left="0" w:right="0" w:hanging="0"/>
        <w:jc w:val="both"/>
        <w:rPr>
          <w:rFonts w:ascii="Arial" w:hAnsi="Arial" w:eastAsia="Calibri;Century Gothic" w:cs="Arial"/>
          <w:b w:val="false"/>
          <w:bCs w:val="false"/>
          <w:color w:val="000000"/>
          <w:sz w:val="22"/>
          <w:szCs w:val="22"/>
          <w:shd w:fill="auto" w:val="clear"/>
          <w:lang w:val="pt-BR" w:bidi="ar-SA"/>
        </w:rPr>
      </w:pPr>
      <w:r>
        <w:rPr>
          <w:rStyle w:val="Fontepargpadro"/>
          <w:rFonts w:eastAsia="Arial" w:cs="Arial" w:ascii="Arial" w:hAnsi="Arial"/>
          <w:b w:val="false"/>
          <w:bCs w:val="false"/>
          <w:i w:val="false"/>
          <w:iCs w:val="false"/>
          <w:strike w:val="false"/>
          <w:dstrike w:val="false"/>
          <w:color w:val="000000"/>
          <w:kern w:val="0"/>
          <w:sz w:val="22"/>
          <w:szCs w:val="22"/>
          <w:u w:val="none"/>
          <w:shd w:fill="auto" w:val="clear"/>
          <w:lang w:val="pt-BR" w:eastAsia="ar-SA" w:bidi="ar-SA"/>
        </w:rPr>
        <w:t xml:space="preserve">14.24.1. </w:t>
      </w:r>
      <w:r>
        <w:rPr>
          <w:rStyle w:val="Fontepargpadro"/>
          <w:rFonts w:eastAsia="Arial" w:cs="Arial" w:ascii="Arial" w:hAnsi="Arial"/>
          <w:b w:val="false"/>
          <w:bCs/>
          <w:i w:val="false"/>
          <w:iCs w:val="false"/>
          <w:strike w:val="false"/>
          <w:dstrike w:val="false"/>
          <w:color w:val="000000"/>
          <w:kern w:val="0"/>
          <w:sz w:val="22"/>
          <w:szCs w:val="22"/>
          <w:u w:val="none"/>
          <w:shd w:fill="auto" w:val="clear"/>
          <w:lang w:val="pt-BR" w:eastAsia="ar-SA" w:bidi="ar-SA"/>
        </w:rPr>
        <w:t xml:space="preserve">Somente poderão apresentar proposta readequada os licitantes que tenham recolhido, </w:t>
      </w:r>
      <w:r>
        <w:rPr>
          <w:rStyle w:val="Fontepargpadro"/>
          <w:rFonts w:eastAsia="Arial" w:cs="Arial" w:ascii="Arial" w:hAnsi="Arial"/>
          <w:b w:val="false"/>
          <w:bCs w:val="false"/>
          <w:i w:val="false"/>
          <w:iCs w:val="false"/>
          <w:strike w:val="false"/>
          <w:dstrike w:val="false"/>
          <w:color w:val="000000"/>
          <w:kern w:val="0"/>
          <w:sz w:val="22"/>
          <w:szCs w:val="22"/>
          <w:u w:val="none"/>
          <w:shd w:fill="auto" w:val="clear"/>
          <w:lang w:val="pt-BR" w:eastAsia="ar-SA" w:bidi="ar-SA"/>
        </w:rPr>
        <w:t>no prazo de até o dia da data da abertura do certame, quantia a título de garantia de proposta, correspondente à 1% (um por cento) do valor total estimado da licitação, orçado pela CONTRATANTE, sendo tal exigência considerada como requisito de PRÉ-HABILITAÇÃO, n</w:t>
      </w:r>
      <w:r>
        <w:rPr>
          <w:rStyle w:val="Fontepargpadro"/>
          <w:rFonts w:eastAsia="Arial" w:cs="Arial" w:ascii="Arial" w:hAnsi="Arial"/>
          <w:b w:val="false"/>
          <w:bCs/>
          <w:i w:val="false"/>
          <w:iCs w:val="false"/>
          <w:strike w:val="false"/>
          <w:dstrike w:val="false"/>
          <w:color w:val="000000"/>
          <w:kern w:val="0"/>
          <w:sz w:val="22"/>
          <w:szCs w:val="22"/>
          <w:u w:val="none"/>
          <w:shd w:fill="auto" w:val="clear"/>
          <w:lang w:val="pt-BR" w:eastAsia="ar-SA" w:bidi="ar-SA"/>
        </w:rPr>
        <w:t>os termos do art. 58 da Lei nº 14.133/2021 c/c o art. 34 do Decreto 35.067/2022. A referida garantia será prestada em uma das modalidades previstas no § 1º do art. 96 da referida lei, conforme § 4º do já citado art. 58.</w:t>
      </w:r>
    </w:p>
    <w:p>
      <w:pPr>
        <w:pStyle w:val="Normal"/>
        <w:widowControl/>
        <w:bidi w:val="0"/>
        <w:spacing w:lineRule="auto" w:line="240" w:before="57" w:after="57"/>
        <w:ind w:left="0" w:right="0" w:hanging="0"/>
        <w:jc w:val="both"/>
        <w:rPr>
          <w:rFonts w:ascii="Arial" w:hAnsi="Arial" w:eastAsia="Calibri;Century Gothic" w:cs="Arial"/>
          <w:b w:val="false"/>
          <w:bCs w:val="false"/>
          <w:color w:val="000000"/>
          <w:sz w:val="22"/>
          <w:szCs w:val="22"/>
          <w:shd w:fill="auto" w:val="clear"/>
          <w:lang w:val="pt-BR" w:bidi="ar-SA"/>
        </w:rPr>
      </w:pPr>
      <w:r>
        <w:rPr>
          <w:rStyle w:val="Fontepargpadro"/>
          <w:rFonts w:eastAsia="Arial" w:cs="Arial" w:ascii="Arial" w:hAnsi="Arial"/>
          <w:b w:val="false"/>
          <w:bCs/>
          <w:i w:val="false"/>
          <w:iCs w:val="false"/>
          <w:strike w:val="false"/>
          <w:dstrike w:val="false"/>
          <w:color w:val="000000"/>
          <w:kern w:val="0"/>
          <w:sz w:val="22"/>
          <w:szCs w:val="22"/>
          <w:u w:val="none"/>
          <w:shd w:fill="auto" w:val="clear"/>
          <w:lang w:val="pt-BR" w:eastAsia="ar-SA" w:bidi="ar-SA"/>
        </w:rPr>
        <w:t>14.24.1.1. A garantia de proposta de que trata o subitem anterior, deverá ser apresentada à contratante.</w:t>
      </w:r>
    </w:p>
    <w:p>
      <w:pPr>
        <w:pStyle w:val="Normal"/>
        <w:spacing w:lineRule="auto" w:line="240" w:before="57" w:after="57"/>
        <w:ind w:left="0" w:right="0" w:hanging="0"/>
        <w:jc w:val="both"/>
        <w:rPr/>
      </w:pPr>
      <w:r>
        <w:rPr>
          <w:rStyle w:val="Fontepargpadro"/>
          <w:rFonts w:eastAsia="Arial" w:cs="Arial" w:ascii="Arial" w:hAnsi="Arial"/>
          <w:b w:val="false"/>
          <w:bCs/>
          <w:i w:val="false"/>
          <w:iCs w:val="false"/>
          <w:strike w:val="false"/>
          <w:dstrike w:val="false"/>
          <w:color w:val="000000"/>
          <w:sz w:val="22"/>
          <w:szCs w:val="22"/>
          <w:u w:val="none"/>
          <w:shd w:fill="auto" w:val="clear"/>
          <w:lang w:eastAsia="ar-SA" w:bidi="ar-SA"/>
        </w:rPr>
        <w:t>14.25. A Comissão deverá negociar condições mais vantajosas com o primeiro colocado, vedada a negociação em condições diferentes das previstas neste edital.</w:t>
      </w:r>
    </w:p>
    <w:p>
      <w:pPr>
        <w:pStyle w:val="Textbody"/>
        <w:spacing w:lineRule="auto" w:line="240" w:before="0" w:after="0"/>
        <w:rPr>
          <w:color w:val="000000"/>
        </w:rPr>
      </w:pPr>
      <w:r>
        <w:rPr>
          <w:color w:val="000000"/>
          <w:shd w:fill="FFFFFF" w:val="clear"/>
        </w:rPr>
        <w:t>14.25.1. A negociação deverá ser feita com os demais licitantes, segundo a ordem de classificação inicialmente estabelecida, quando o primeiro colocado mesmo após a negociação for desclassificado em razão de sua proposta permanecer acima do preço máximo definido pela Administração.</w:t>
      </w:r>
    </w:p>
    <w:p>
      <w:pPr>
        <w:pStyle w:val="Textbody"/>
        <w:spacing w:lineRule="auto" w:line="240" w:before="0" w:after="0"/>
        <w:rPr>
          <w:color w:val="000000"/>
        </w:rPr>
      </w:pPr>
      <w:r>
        <w:rPr>
          <w:color w:val="000000"/>
          <w:shd w:fill="FFFFFF" w:val="clear"/>
        </w:rPr>
        <w:t>14.25.2. A negociação será realizada por meio do sistema, podendo ser acompanhada pelos demais licitantes.</w:t>
      </w:r>
    </w:p>
    <w:p>
      <w:pPr>
        <w:pStyle w:val="Textbody"/>
        <w:spacing w:lineRule="auto" w:line="240" w:before="0" w:after="0"/>
        <w:rPr>
          <w:color w:val="000000"/>
        </w:rPr>
      </w:pPr>
      <w:r>
        <w:rPr>
          <w:color w:val="000000"/>
          <w:shd w:fill="FFFFFF" w:val="clear"/>
        </w:rPr>
        <w:t>14.25.3. O resultado da negociação será divulgado a todos os licitantes e anexado aos autos do processo licitatório.</w:t>
      </w:r>
    </w:p>
    <w:p>
      <w:pPr>
        <w:pStyle w:val="Textbody"/>
        <w:spacing w:lineRule="auto" w:line="240" w:before="0" w:after="0"/>
        <w:rPr/>
      </w:pPr>
      <w:r>
        <w:rPr>
          <w:color w:val="000000"/>
          <w:shd w:fill="FFFFFF" w:val="clear"/>
        </w:rPr>
        <w:t xml:space="preserve">14.26. A proposta deverá conter todas as especificações do objeto em atendimento ao </w:t>
      </w:r>
      <w:r>
        <w:rPr>
          <w:b w:val="false"/>
          <w:bCs w:val="false"/>
          <w:color w:val="000000"/>
        </w:rPr>
        <w:t xml:space="preserve">Anexo I – </w:t>
      </w:r>
      <w:r>
        <w:rPr>
          <w:rFonts w:cs="Verdana"/>
          <w:b w:val="false"/>
          <w:bCs w:val="false"/>
          <w:color w:val="000000"/>
          <w:szCs w:val="22"/>
        </w:rPr>
        <w:t>Especificações Técnicas.</w:t>
      </w:r>
    </w:p>
    <w:p>
      <w:pPr>
        <w:pStyle w:val="Textbody"/>
        <w:spacing w:lineRule="auto" w:line="240" w:before="0" w:after="0"/>
        <w:rPr>
          <w:shd w:fill="FFFFFF" w:val="clear"/>
        </w:rPr>
      </w:pPr>
      <w:r>
        <w:rPr>
          <w:shd w:fill="FFFFFF" w:val="clear"/>
        </w:rPr>
        <w:t xml:space="preserve">14.27. </w:t>
      </w:r>
      <w:r>
        <w:rPr>
          <w:rStyle w:val="Fontepargpadro"/>
          <w:rFonts w:eastAsia="Times New Roman" w:cs="Verdana"/>
          <w:b w:val="false"/>
          <w:bCs w:val="false"/>
          <w:i w:val="false"/>
          <w:iCs w:val="false"/>
          <w:strike w:val="false"/>
          <w:dstrike w:val="false"/>
          <w:color w:val="000000"/>
          <w:sz w:val="22"/>
          <w:szCs w:val="22"/>
          <w:u w:val="none"/>
          <w:shd w:fill="auto" w:val="clear"/>
          <w:lang w:val="pt-BR"/>
        </w:rPr>
        <w:t xml:space="preserve">A Comissão solicitará ao licitante mais bem classificado para no prazo de </w:t>
      </w:r>
      <w:r>
        <w:rPr>
          <w:rStyle w:val="Fontepargpadro"/>
          <w:rFonts w:eastAsia="Arial" w:cs="Arial"/>
          <w:b w:val="false"/>
          <w:bCs w:val="false"/>
          <w:i w:val="false"/>
          <w:iCs w:val="false"/>
          <w:strike w:val="false"/>
          <w:dstrike w:val="false"/>
          <w:color w:val="000000"/>
          <w:sz w:val="22"/>
          <w:szCs w:val="22"/>
          <w:u w:val="none"/>
          <w:shd w:fill="auto" w:val="clear"/>
          <w:lang w:val="pt-BR"/>
        </w:rPr>
        <w:t>24 (vinte e quatro) horas</w:t>
      </w:r>
      <w:r>
        <w:rPr>
          <w:rStyle w:val="Fontepargpadro"/>
          <w:rFonts w:eastAsia="Times New Roman" w:cs="Verdana"/>
          <w:b w:val="false"/>
          <w:bCs w:val="false"/>
          <w:i w:val="false"/>
          <w:iCs w:val="false"/>
          <w:strike w:val="false"/>
          <w:dstrike w:val="false"/>
          <w:color w:val="000000"/>
          <w:sz w:val="22"/>
          <w:szCs w:val="22"/>
          <w:u w:val="none"/>
          <w:shd w:fill="auto" w:val="clear"/>
          <w:lang w:val="pt-BR"/>
        </w:rPr>
        <w:t xml:space="preserve">, </w:t>
      </w:r>
      <w:r>
        <w:rPr>
          <w:rStyle w:val="Fontepargpadro"/>
          <w:rFonts w:eastAsia="Cumberland AMT" w:cs="Verdana"/>
          <w:b w:val="false"/>
          <w:bCs w:val="false"/>
          <w:i w:val="false"/>
          <w:iCs w:val="false"/>
          <w:strike w:val="false"/>
          <w:dstrike w:val="false"/>
          <w:color w:val="000000"/>
          <w:sz w:val="22"/>
          <w:szCs w:val="22"/>
          <w:u w:val="none"/>
          <w:shd w:fill="auto" w:val="clear"/>
          <w:lang w:val="pt-BR"/>
        </w:rPr>
        <w:t xml:space="preserve">prorrogável uma vez por igual período na forma do art. 49 do Decreto Estadual nº 35.067/2022, </w:t>
      </w:r>
      <w:r>
        <w:rPr>
          <w:rStyle w:val="Fontepargpadro"/>
          <w:rFonts w:eastAsia="Times New Roman" w:cs="Verdana"/>
          <w:b w:val="false"/>
          <w:bCs w:val="false"/>
          <w:i w:val="false"/>
          <w:iCs w:val="false"/>
          <w:strike w:val="false"/>
          <w:dstrike w:val="false"/>
          <w:color w:val="000000"/>
          <w:sz w:val="22"/>
          <w:szCs w:val="22"/>
          <w:u w:val="none"/>
          <w:shd w:fill="auto" w:val="clear"/>
          <w:lang w:val="pt-BR"/>
        </w:rPr>
        <w:t xml:space="preserve">após a negociação realizada, anexar a proposta adequada ao último lance por ele </w:t>
      </w:r>
      <w:r>
        <w:rPr>
          <w:rStyle w:val="Fontepargpadro"/>
          <w:rFonts w:eastAsia="Times New Roman" w:cs="Arial"/>
          <w:b w:val="false"/>
          <w:bCs w:val="false"/>
          <w:i w:val="false"/>
          <w:iCs w:val="false"/>
          <w:strike w:val="false"/>
          <w:dstrike w:val="false"/>
          <w:color w:val="000000"/>
          <w:sz w:val="22"/>
          <w:szCs w:val="22"/>
          <w:u w:val="none"/>
          <w:shd w:fill="auto" w:val="clear"/>
          <w:lang w:val="pt-BR"/>
        </w:rPr>
        <w:t>acompanhada, do(s) documento(s) a ela pertinente(s) citado(s) no item abaixo.</w:t>
      </w:r>
    </w:p>
    <w:p>
      <w:pPr>
        <w:pStyle w:val="Textbody"/>
        <w:spacing w:lineRule="auto" w:line="240" w:before="0" w:after="0"/>
        <w:rPr/>
      </w:pPr>
      <w:r>
        <w:rPr>
          <w:shd w:fill="FFFFFF" w:val="clear"/>
        </w:rPr>
        <w:t xml:space="preserve">14.28. </w:t>
      </w:r>
      <w:r>
        <w:rPr>
          <w:b/>
          <w:shd w:fill="FFFFFF" w:val="clear"/>
        </w:rPr>
        <w:t>O licitante deverá anexar no sistema junto à proposta de preços</w:t>
      </w:r>
      <w:r>
        <w:rPr>
          <w:shd w:fill="FFFFFF" w:val="clear"/>
        </w:rPr>
        <w:t>:</w:t>
      </w:r>
    </w:p>
    <w:p>
      <w:pPr>
        <w:pStyle w:val="Textbody"/>
        <w:spacing w:lineRule="auto" w:line="240" w:before="0" w:after="0"/>
        <w:rPr/>
      </w:pPr>
      <w:r>
        <w:rPr>
          <w:shd w:fill="FFFFFF" w:val="clear"/>
        </w:rPr>
        <w:t xml:space="preserve">14.28.1. Carta Proposta, </w:t>
      </w:r>
      <w:r>
        <w:rPr>
          <w:color w:val="000000"/>
          <w:shd w:fill="FFFFFF" w:val="clear"/>
        </w:rPr>
        <w:t xml:space="preserve">conforme </w:t>
      </w:r>
      <w:r>
        <w:rPr>
          <w:b/>
          <w:color w:val="000000"/>
        </w:rPr>
        <w:t>Anexo II</w:t>
      </w:r>
      <w:r>
        <w:rPr>
          <w:b/>
          <w:color w:val="000000"/>
          <w:shd w:fill="FFFFFF" w:val="clear"/>
        </w:rPr>
        <w:t>.</w:t>
      </w:r>
    </w:p>
    <w:p>
      <w:pPr>
        <w:pStyle w:val="Textbody"/>
        <w:spacing w:lineRule="auto" w:line="240" w:before="0" w:after="0"/>
        <w:rPr>
          <w:color w:val="000000"/>
        </w:rPr>
      </w:pPr>
      <w:r>
        <w:rPr>
          <w:color w:val="000000"/>
          <w:shd w:fill="FFFFFF" w:val="clear"/>
        </w:rPr>
        <w:t xml:space="preserve">14.28.2. Planilhas de quantidades e preços e suas composições de preços unitários, seguindo integralmente os quantitativos e unidades de medida constantes no </w:t>
      </w:r>
      <w:r>
        <w:rPr>
          <w:b/>
          <w:color w:val="000000"/>
          <w:shd w:fill="FFFFFF" w:val="clear"/>
        </w:rPr>
        <w:t>Anexo ID das Especificações Técnicas.</w:t>
      </w:r>
    </w:p>
    <w:p>
      <w:pPr>
        <w:pStyle w:val="Textbody"/>
        <w:spacing w:lineRule="auto" w:line="240" w:before="0" w:after="0"/>
        <w:rPr>
          <w:color w:val="000000"/>
        </w:rPr>
      </w:pPr>
      <w:r>
        <w:rPr>
          <w:color w:val="000000"/>
          <w:shd w:fill="FFFFFF" w:val="clear"/>
        </w:rPr>
        <w:t xml:space="preserve">14.28.3. Planilha de composição analítica da taxa de BDI (serviços e materiais), </w:t>
      </w:r>
      <w:r>
        <w:rPr>
          <w:b/>
          <w:color w:val="000000"/>
          <w:shd w:fill="FFFFFF" w:val="clear"/>
        </w:rPr>
        <w:t>Anexo IG das Especificações Técnicas.</w:t>
      </w:r>
    </w:p>
    <w:p>
      <w:pPr>
        <w:pStyle w:val="Textbody"/>
        <w:spacing w:lineRule="auto" w:line="240" w:before="0" w:after="0"/>
        <w:rPr>
          <w:color w:val="000000"/>
        </w:rPr>
      </w:pPr>
      <w:r>
        <w:rPr>
          <w:color w:val="000000"/>
          <w:shd w:fill="FFFFFF" w:val="clear"/>
        </w:rPr>
        <w:t xml:space="preserve">14.28.4. Planilha de composição de encargos trabalhistas e sociais, </w:t>
      </w:r>
      <w:r>
        <w:rPr>
          <w:b/>
          <w:color w:val="000000"/>
          <w:shd w:fill="FFFFFF" w:val="clear"/>
        </w:rPr>
        <w:t>Anexo IE das Especificações Técnicas.</w:t>
      </w:r>
    </w:p>
    <w:p>
      <w:pPr>
        <w:pStyle w:val="Textbody"/>
        <w:spacing w:lineRule="auto" w:line="240" w:before="0" w:after="0"/>
        <w:rPr>
          <w:color w:val="000000"/>
        </w:rPr>
      </w:pPr>
      <w:r>
        <w:rPr>
          <w:color w:val="000000"/>
          <w:shd w:fill="FFFFFF" w:val="clear"/>
        </w:rPr>
        <w:t xml:space="preserve">14.28.5. Cronograma físico-financeiro, </w:t>
      </w:r>
      <w:r>
        <w:rPr>
          <w:b/>
          <w:color w:val="000000"/>
          <w:shd w:fill="FFFFFF" w:val="clear"/>
        </w:rPr>
        <w:t>Anexo IH das Especificações Técnicas.</w:t>
      </w:r>
    </w:p>
    <w:p>
      <w:pPr>
        <w:pStyle w:val="Textbody"/>
        <w:spacing w:lineRule="auto" w:line="240" w:before="0" w:after="0"/>
        <w:rPr/>
      </w:pPr>
      <w:r>
        <w:rPr>
          <w:shd w:fill="FFFFFF" w:val="clear"/>
        </w:rPr>
        <w:t xml:space="preserve">14.28.6. Os documentos listados nos itens </w:t>
      </w:r>
      <w:r>
        <w:rPr>
          <w:color w:val="000000"/>
          <w:shd w:fill="FFFFFF" w:val="clear"/>
        </w:rPr>
        <w:t>14.28.1 a 14.28.5</w:t>
      </w:r>
      <w:r>
        <w:rPr>
          <w:shd w:fill="FFFFFF" w:val="clear"/>
        </w:rPr>
        <w:t xml:space="preserve"> devem ser assinados por profissional competente, legalmente habilitado.</w:t>
      </w:r>
    </w:p>
    <w:p>
      <w:pPr>
        <w:pStyle w:val="Ttulo112"/>
        <w:spacing w:lineRule="auto" w:line="240" w:before="0" w:after="0"/>
        <w:ind w:left="0" w:hanging="0"/>
        <w:rPr>
          <w:sz w:val="22"/>
          <w:szCs w:val="22"/>
        </w:rPr>
      </w:pPr>
      <w:r>
        <w:rPr>
          <w:rFonts w:eastAsia="Times New Roman" w:cs="Verdana"/>
          <w:sz w:val="22"/>
          <w:szCs w:val="22"/>
        </w:rPr>
        <w:t>1</w:t>
      </w:r>
      <w:r>
        <w:rPr>
          <w:rFonts w:eastAsia="N117" w:cs="Arial"/>
          <w:sz w:val="22"/>
          <w:szCs w:val="22"/>
        </w:rPr>
        <w:t>5</w:t>
      </w:r>
      <w:r>
        <w:rPr>
          <w:rFonts w:eastAsia="Times New Roman" w:cs="Verdana"/>
          <w:sz w:val="22"/>
          <w:szCs w:val="22"/>
        </w:rPr>
        <w:t>. DA FASE DE JULGAMENTO</w:t>
      </w:r>
    </w:p>
    <w:p>
      <w:pPr>
        <w:pStyle w:val="Textbody"/>
        <w:spacing w:lineRule="auto" w:line="240" w:before="0" w:after="0"/>
        <w:rPr/>
      </w:pPr>
      <w:r>
        <w:rPr>
          <w:rFonts w:cs="Verdana"/>
        </w:rPr>
        <w:t xml:space="preserve">15.1. </w:t>
      </w:r>
      <w:bookmarkStart w:id="1" w:name="_Ref117019424"/>
      <w:r>
        <w:rPr>
          <w:rFonts w:cs="Verdana"/>
        </w:rPr>
        <w:t xml:space="preserve">Encerrada a etapa de negociação, a Comissão verificará se o licitante provisoriamente classificado em primeiro lugar atende às condições de participação no certame, observado o previsto no </w:t>
      </w:r>
      <w:r>
        <w:fldChar w:fldCharType="begin"/>
      </w:r>
      <w:r>
        <w:rPr>
          <w:rStyle w:val="LinkdaInternet"/>
          <w:u w:val="none"/>
          <w:rFonts w:cs="Verdana"/>
          <w:color w:val="00000A"/>
        </w:rPr>
        <w:instrText xml:space="preserve"> HYPERLINK "http://www.planalto.gov.br/ccivil_03/_ato2019-2022/2021/lei/L14133.htm" \l "art14"</w:instrText>
      </w:r>
      <w:r>
        <w:rPr>
          <w:rStyle w:val="LinkdaInternet"/>
          <w:u w:val="none"/>
          <w:rFonts w:cs="Verdana"/>
          <w:color w:val="00000A"/>
        </w:rPr>
        <w:fldChar w:fldCharType="separate"/>
      </w:r>
      <w:r>
        <w:rPr>
          <w:rStyle w:val="LinkdaInternet"/>
          <w:rFonts w:cs="Verdana"/>
          <w:color w:val="00000A"/>
          <w:u w:val="none"/>
        </w:rPr>
        <w:t>art. 14 da Lei nº 14.133/2021</w:t>
      </w:r>
      <w:r>
        <w:rPr>
          <w:rStyle w:val="LinkdaInternet"/>
          <w:u w:val="none"/>
          <w:rFonts w:cs="Verdana"/>
          <w:color w:val="00000A"/>
        </w:rPr>
        <w:fldChar w:fldCharType="end"/>
      </w:r>
      <w:r>
        <w:rPr>
          <w:rFonts w:cs="Verdana"/>
        </w:rPr>
        <w:t xml:space="preserve">, legislação correlata e no subitem 9.5 deste edital, </w:t>
      </w:r>
      <w:bookmarkEnd w:id="1"/>
      <w:r>
        <w:rPr>
          <w:rFonts w:cs="Verdana"/>
          <w:lang w:eastAsia="ar-SA"/>
        </w:rPr>
        <w:t>especialmente quanto à existência de sanção que impeça a participação no certame ou a futura contratação, mediante a consulta aos seguintes cadastros:</w:t>
      </w:r>
    </w:p>
    <w:p>
      <w:pPr>
        <w:pStyle w:val="Textbody"/>
        <w:spacing w:lineRule="auto" w:line="240" w:before="0" w:after="0"/>
        <w:rPr/>
      </w:pPr>
      <w:r>
        <w:rPr>
          <w:rFonts w:cs="Verdana"/>
          <w:lang w:eastAsia="ar-SA"/>
        </w:rPr>
        <w:t xml:space="preserve">I – </w:t>
      </w:r>
      <w:r>
        <w:rPr>
          <w:rFonts w:eastAsia="Arial"/>
          <w:lang w:eastAsia="ar-SA"/>
        </w:rPr>
        <w:t xml:space="preserve">Sistema de Cadastramento Unificado de Fornecedores </w:t>
      </w:r>
      <w:r>
        <w:rPr>
          <w:rFonts w:cs="Verdana"/>
          <w:lang w:eastAsia="ar-SA"/>
        </w:rPr>
        <w:t>(SICAF);</w:t>
      </w:r>
    </w:p>
    <w:p>
      <w:pPr>
        <w:pStyle w:val="Textbody"/>
        <w:spacing w:lineRule="auto" w:line="240" w:before="0" w:after="0"/>
        <w:rPr>
          <w:lang w:eastAsia="ar-SA"/>
        </w:rPr>
      </w:pPr>
      <w:r>
        <w:rPr>
          <w:lang w:eastAsia="ar-SA"/>
        </w:rPr>
        <w:t>II – Certificado de Registro Cadastral (CRC) CE.</w:t>
      </w:r>
    </w:p>
    <w:p>
      <w:pPr>
        <w:pStyle w:val="Textbody"/>
        <w:spacing w:lineRule="auto" w:line="240" w:before="0" w:after="0"/>
        <w:rPr/>
      </w:pPr>
      <w:r>
        <w:rPr>
          <w:rFonts w:cs="Arial"/>
          <w:szCs w:val="22"/>
          <w:lang w:eastAsia="ar-SA"/>
        </w:rPr>
        <w:t>III – Cadastro Nacional de Empresas Inidôneas e Suspensas (CEIS), mantido pela Controladoria - Geral da União (</w:t>
      </w:r>
      <w:hyperlink r:id="rId10">
        <w:r>
          <w:rPr>
            <w:rStyle w:val="LinkdaInternet"/>
            <w:rFonts w:cs="Arial"/>
            <w:color w:val="00000A"/>
            <w:szCs w:val="22"/>
            <w:u w:val="none"/>
            <w:lang w:eastAsia="ar-SA"/>
          </w:rPr>
          <w:t>https://www.portaltransparencia.gov.br/sancoes</w:t>
        </w:r>
      </w:hyperlink>
      <w:r>
        <w:rPr>
          <w:rFonts w:cs="Arial"/>
          <w:szCs w:val="22"/>
          <w:lang w:eastAsia="ar-SA"/>
        </w:rPr>
        <w:t>); e</w:t>
      </w:r>
    </w:p>
    <w:p>
      <w:pPr>
        <w:pStyle w:val="Textbody"/>
        <w:spacing w:lineRule="auto" w:line="240" w:before="0" w:after="0"/>
        <w:rPr/>
      </w:pPr>
      <w:r>
        <w:rPr>
          <w:rFonts w:cs="Arial"/>
          <w:lang w:eastAsia="ar-SA"/>
        </w:rPr>
        <w:t>IV – Cadastro Nacional de Empresas Punidas (CNEP), mantido pela Controladoria - Geral da União (</w:t>
      </w:r>
      <w:hyperlink r:id="rId11">
        <w:r>
          <w:rPr>
            <w:rStyle w:val="LinkdaInternet"/>
            <w:rFonts w:cs="Arial"/>
            <w:color w:val="00000A"/>
            <w:u w:val="none"/>
            <w:lang w:eastAsia="ar-SA"/>
          </w:rPr>
          <w:t>https://www.portaltransparencia.gov.br/sancoes</w:t>
        </w:r>
      </w:hyperlink>
      <w:r>
        <w:rPr>
          <w:rFonts w:cs="Arial"/>
          <w:lang w:eastAsia="ar-SA"/>
        </w:rPr>
        <w:t>).</w:t>
      </w:r>
    </w:p>
    <w:p>
      <w:pPr>
        <w:pStyle w:val="Textbody"/>
        <w:spacing w:lineRule="auto" w:line="240" w:before="0" w:after="0"/>
        <w:rPr/>
      </w:pPr>
      <w:r>
        <w:rPr/>
        <w:t>1</w:t>
      </w:r>
      <w:r>
        <w:rPr>
          <w:rFonts w:cs="Arial"/>
          <w:lang w:eastAsia="ar-SA"/>
        </w:rPr>
        <w:t xml:space="preserve">5.1.1 </w:t>
      </w:r>
      <w:r>
        <w:rPr>
          <w:rFonts w:cs="Verdana"/>
          <w:lang w:eastAsia="ar-SA"/>
        </w:rPr>
        <w:t>A consulta aos cadastros será realizada em nome da empresa licitante.</w:t>
      </w:r>
    </w:p>
    <w:p>
      <w:pPr>
        <w:pStyle w:val="Textbody"/>
        <w:spacing w:lineRule="auto" w:line="240" w:before="0" w:after="0"/>
        <w:rPr>
          <w:rFonts w:cs="Verdana"/>
          <w:lang w:eastAsia="ar-SA"/>
        </w:rPr>
      </w:pPr>
      <w:r>
        <w:rPr>
          <w:rFonts w:cs="Verdana"/>
          <w:lang w:eastAsia="ar-SA"/>
        </w:rPr>
        <w:t xml:space="preserve">15.1.2 </w:t>
      </w:r>
      <w:r>
        <w:rPr>
          <w:rStyle w:val="Fontepargpadro"/>
          <w:rFonts w:eastAsia="Arial" w:cs="Arial"/>
          <w:b w:val="false"/>
          <w:bCs w:val="false"/>
          <w:i w:val="false"/>
          <w:iCs w:val="false"/>
          <w:caps w:val="false"/>
          <w:smallCaps w:val="false"/>
          <w:strike w:val="false"/>
          <w:dstrike w:val="false"/>
          <w:color w:val="000000"/>
          <w:kern w:val="0"/>
          <w:position w:val="0"/>
          <w:sz w:val="22"/>
          <w:sz w:val="22"/>
          <w:szCs w:val="22"/>
          <w:u w:val="none"/>
          <w:shd w:fill="auto" w:val="clear"/>
          <w:vertAlign w:val="baseline"/>
          <w:lang w:val="pt-BR" w:eastAsia="ar-SA"/>
        </w:rPr>
        <w:t xml:space="preserve">A consulta no CNEP quanto às sanções previstas na Lei nº 8.429/1992, também ocorrerá no nome e no CPF do sócio majoritário da empresa licitante, se houver, por força do art. 12 da citada lei. </w:t>
      </w:r>
    </w:p>
    <w:p>
      <w:pPr>
        <w:pStyle w:val="Textbody"/>
        <w:spacing w:lineRule="auto" w:line="240" w:before="0" w:after="0"/>
        <w:rPr>
          <w:rFonts w:cs="Verdana"/>
          <w:lang w:eastAsia="ar-SA"/>
        </w:rPr>
      </w:pPr>
      <w:r>
        <w:rPr>
          <w:rFonts w:cs="Verdana"/>
          <w:lang w:eastAsia="ar-SA"/>
        </w:rPr>
        <w:t xml:space="preserve">15.2. </w:t>
      </w:r>
      <w:r>
        <w:rPr>
          <w:rStyle w:val="Fontepargpadro"/>
          <w:rFonts w:eastAsia="Arial" w:cs="Arial"/>
          <w:b w:val="false"/>
          <w:bCs w:val="false"/>
          <w:i w:val="false"/>
          <w:iCs w:val="false"/>
          <w:caps w:val="false"/>
          <w:smallCaps w:val="false"/>
          <w:strike w:val="false"/>
          <w:dstrike w:val="false"/>
          <w:color w:val="000000"/>
          <w:kern w:val="0"/>
          <w:position w:val="0"/>
          <w:sz w:val="22"/>
          <w:sz w:val="22"/>
          <w:szCs w:val="22"/>
          <w:u w:val="none"/>
          <w:shd w:fill="auto" w:val="clear"/>
          <w:vertAlign w:val="baseline"/>
          <w:lang w:val="pt-BR" w:eastAsia="ar-SA"/>
        </w:rPr>
        <w:t>Caso conste na Consulta de Situação do licitante a existência de Ocorrências Impeditivas Indiretas, a Comissão diligenciará para verificar se houve fraude por parte da empresa apontada no Relatório de Ocorrências Impeditivas Indiretas.</w:t>
      </w:r>
    </w:p>
    <w:p>
      <w:pPr>
        <w:pStyle w:val="Normal"/>
        <w:widowControl/>
        <w:tabs>
          <w:tab w:val="clear" w:pos="708"/>
          <w:tab w:val="center" w:pos="-1260" w:leader="none"/>
        </w:tabs>
        <w:spacing w:lineRule="auto" w:line="240" w:before="57" w:after="57"/>
        <w:ind w:left="0" w:right="0" w:hanging="0"/>
        <w:jc w:val="both"/>
        <w:rPr>
          <w:rFonts w:ascii="Arial" w:hAnsi="Arial" w:eastAsia="Arial" w:cs="Arial"/>
          <w:b w:val="false"/>
          <w:bCs w:val="false"/>
          <w:i w:val="false"/>
          <w:i w:val="false"/>
          <w:caps w:val="false"/>
          <w:smallCaps w:val="false"/>
          <w:strike w:val="false"/>
          <w:dstrike w:val="false"/>
          <w:color w:val="000000"/>
          <w:position w:val="0"/>
          <w:sz w:val="22"/>
          <w:sz w:val="22"/>
          <w:szCs w:val="22"/>
          <w:u w:val="none"/>
          <w:vertAlign w:val="baseline"/>
        </w:rPr>
      </w:pPr>
      <w:r>
        <w:rPr>
          <w:rStyle w:val="Fontepargpadro"/>
          <w:rFonts w:eastAsia="Arial" w:cs="Arial" w:ascii="Arial" w:hAnsi="Arial"/>
          <w:b w:val="false"/>
          <w:bCs w:val="false"/>
          <w:i w:val="false"/>
          <w:iCs w:val="false"/>
          <w:caps w:val="false"/>
          <w:smallCaps w:val="false"/>
          <w:strike w:val="false"/>
          <w:dstrike w:val="false"/>
          <w:color w:val="000000"/>
          <w:kern w:val="0"/>
          <w:position w:val="0"/>
          <w:sz w:val="22"/>
          <w:sz w:val="22"/>
          <w:szCs w:val="22"/>
          <w:u w:val="none"/>
          <w:shd w:fill="auto" w:val="clear"/>
          <w:vertAlign w:val="baseline"/>
          <w:lang w:val="pt-BR" w:eastAsia="ar-SA"/>
        </w:rPr>
        <w:t>15.2.1. A tentativa de burla será verificada por meio dos vínculos societários, linhas de fornecimento similares, dentre outros.</w:t>
      </w:r>
    </w:p>
    <w:p>
      <w:pPr>
        <w:pStyle w:val="Normal"/>
        <w:widowControl/>
        <w:tabs>
          <w:tab w:val="clear" w:pos="708"/>
          <w:tab w:val="center" w:pos="-1260" w:leader="none"/>
        </w:tabs>
        <w:spacing w:lineRule="auto" w:line="240" w:before="57" w:after="57"/>
        <w:ind w:left="0" w:right="0" w:hanging="0"/>
        <w:jc w:val="both"/>
        <w:rPr>
          <w:rFonts w:ascii="Arial" w:hAnsi="Arial" w:cs="Arial"/>
          <w:b w:val="false"/>
          <w:bCs w:val="false"/>
          <w:color w:val="000000"/>
          <w:sz w:val="22"/>
          <w:szCs w:val="22"/>
          <w:shd w:fill="FFFFFF" w:val="clear"/>
        </w:rPr>
      </w:pPr>
      <w:r>
        <w:rPr>
          <w:rStyle w:val="Fontepargpadro"/>
          <w:rFonts w:eastAsia="Arial" w:cs="Arial" w:ascii="Arial" w:hAnsi="Arial"/>
          <w:b w:val="false"/>
          <w:bCs w:val="false"/>
          <w:i w:val="false"/>
          <w:iCs w:val="false"/>
          <w:caps w:val="false"/>
          <w:smallCaps w:val="false"/>
          <w:strike w:val="false"/>
          <w:dstrike w:val="false"/>
          <w:color w:val="000000"/>
          <w:kern w:val="0"/>
          <w:position w:val="0"/>
          <w:sz w:val="22"/>
          <w:sz w:val="22"/>
          <w:szCs w:val="22"/>
          <w:u w:val="none"/>
          <w:shd w:fill="auto" w:val="clear"/>
          <w:vertAlign w:val="baseline"/>
          <w:lang w:val="pt-BR" w:eastAsia="ar-SA"/>
        </w:rPr>
        <w:t>15.2.2. O licitante será convocado para manifestação previamente a uma eventual desclassificação.</w:t>
      </w:r>
    </w:p>
    <w:p>
      <w:pPr>
        <w:pStyle w:val="Normal"/>
        <w:widowControl/>
        <w:tabs>
          <w:tab w:val="clear" w:pos="708"/>
          <w:tab w:val="center" w:pos="-1260" w:leader="none"/>
        </w:tabs>
        <w:spacing w:lineRule="auto" w:line="240" w:before="57" w:after="57"/>
        <w:ind w:left="0" w:right="0" w:hanging="0"/>
        <w:jc w:val="both"/>
        <w:rPr>
          <w:rFonts w:ascii="Arial" w:hAnsi="Arial" w:cs="Arial"/>
          <w:b w:val="false"/>
          <w:bCs w:val="false"/>
          <w:color w:val="000000"/>
          <w:sz w:val="22"/>
          <w:szCs w:val="22"/>
          <w:shd w:fill="FFFFFF" w:val="clear"/>
        </w:rPr>
      </w:pPr>
      <w:r>
        <w:rPr>
          <w:rStyle w:val="Fontepargpadro"/>
          <w:rFonts w:eastAsia="Arial" w:cs="Arial" w:ascii="Arial" w:hAnsi="Arial"/>
          <w:b w:val="false"/>
          <w:bCs w:val="false"/>
          <w:i w:val="false"/>
          <w:iCs w:val="false"/>
          <w:caps w:val="false"/>
          <w:smallCaps w:val="false"/>
          <w:strike w:val="false"/>
          <w:dstrike w:val="false"/>
          <w:color w:val="000000"/>
          <w:kern w:val="0"/>
          <w:position w:val="0"/>
          <w:sz w:val="22"/>
          <w:sz w:val="22"/>
          <w:szCs w:val="22"/>
          <w:u w:val="none"/>
          <w:shd w:fill="auto" w:val="clear"/>
          <w:vertAlign w:val="baseline"/>
          <w:lang w:val="pt-BR" w:eastAsia="ar-SA"/>
        </w:rPr>
        <w:t>15.2.3. Constatada a existência de sanção, o licitante será reputado inabilitado, por falta de condição de participação.</w:t>
      </w:r>
    </w:p>
    <w:p>
      <w:pPr>
        <w:pStyle w:val="Normal"/>
        <w:widowControl/>
        <w:tabs>
          <w:tab w:val="clear" w:pos="708"/>
          <w:tab w:val="center" w:pos="-1260" w:leader="none"/>
        </w:tabs>
        <w:spacing w:lineRule="auto" w:line="240" w:before="57" w:after="57"/>
        <w:ind w:left="0" w:right="0" w:hanging="0"/>
        <w:jc w:val="both"/>
        <w:rPr>
          <w:rFonts w:ascii="Arial" w:hAnsi="Arial" w:cs="Arial"/>
          <w:b w:val="false"/>
          <w:bCs w:val="false"/>
          <w:color w:val="000000"/>
          <w:sz w:val="22"/>
          <w:szCs w:val="22"/>
          <w:shd w:fill="FFFFFF" w:val="clear"/>
        </w:rPr>
      </w:pPr>
      <w:r>
        <w:rPr>
          <w:rStyle w:val="Fontepargpadro"/>
          <w:rFonts w:eastAsia="Arial" w:cs="Arial" w:ascii="Arial" w:hAnsi="Arial"/>
          <w:b w:val="false"/>
          <w:bCs w:val="false"/>
          <w:i w:val="false"/>
          <w:iCs w:val="false"/>
          <w:caps w:val="false"/>
          <w:smallCaps w:val="false"/>
          <w:strike w:val="false"/>
          <w:dstrike w:val="false"/>
          <w:color w:val="000000"/>
          <w:kern w:val="0"/>
          <w:position w:val="0"/>
          <w:sz w:val="22"/>
          <w:sz w:val="22"/>
          <w:szCs w:val="22"/>
          <w:u w:val="none"/>
          <w:shd w:fill="auto" w:val="clear"/>
          <w:vertAlign w:val="baseline"/>
          <w:lang w:val="pt-BR"/>
        </w:rPr>
        <w:t xml:space="preserve">15.3. </w:t>
      </w:r>
      <w:r>
        <w:rPr>
          <w:rStyle w:val="LinkdaInternet"/>
          <w:rFonts w:eastAsia="Times New Roman" w:cs="Verdana" w:ascii="Arial" w:hAnsi="Arial"/>
          <w:b w:val="false"/>
          <w:bCs w:val="false"/>
          <w:i w:val="false"/>
          <w:iCs w:val="false"/>
          <w:caps w:val="false"/>
          <w:smallCaps w:val="false"/>
          <w:strike w:val="false"/>
          <w:dstrike w:val="false"/>
          <w:color w:val="000000"/>
          <w:kern w:val="0"/>
          <w:position w:val="0"/>
          <w:sz w:val="22"/>
          <w:sz w:val="22"/>
          <w:szCs w:val="22"/>
          <w:u w:val="none"/>
          <w:shd w:fill="auto" w:val="clear"/>
          <w:vertAlign w:val="baseline"/>
          <w:lang w:val="pt-BR" w:eastAsia="ar-SA"/>
        </w:rPr>
        <w:t>As decisões da Comissão se darão baseadas nos pareceres e laudos, nos termos previstos no subitem</w:t>
      </w:r>
      <w:r>
        <w:rPr>
          <w:rStyle w:val="LinkdaInternet"/>
          <w:rFonts w:eastAsia="Times New Roman" w:cs="Verdana" w:ascii="Arial" w:hAnsi="Arial"/>
          <w:b/>
          <w:bCs/>
          <w:i w:val="false"/>
          <w:iCs w:val="false"/>
          <w:caps w:val="false"/>
          <w:smallCaps w:val="false"/>
          <w:strike w:val="false"/>
          <w:dstrike w:val="false"/>
          <w:color w:val="FF0000"/>
          <w:kern w:val="0"/>
          <w:position w:val="0"/>
          <w:sz w:val="22"/>
          <w:sz w:val="22"/>
          <w:szCs w:val="22"/>
          <w:u w:val="none"/>
          <w:shd w:fill="auto" w:val="clear"/>
          <w:vertAlign w:val="baseline"/>
          <w:lang w:val="pt-BR" w:eastAsia="ar-SA"/>
        </w:rPr>
        <w:t xml:space="preserve"> </w:t>
      </w:r>
      <w:r>
        <w:rPr>
          <w:rStyle w:val="LinkdaInternet"/>
          <w:rFonts w:eastAsia="Times New Roman" w:cs="Verdana" w:ascii="Arial" w:hAnsi="Arial"/>
          <w:b/>
          <w:bCs/>
          <w:i w:val="false"/>
          <w:iCs w:val="false"/>
          <w:caps w:val="false"/>
          <w:smallCaps w:val="false"/>
          <w:strike w:val="false"/>
          <w:dstrike w:val="false"/>
          <w:color w:val="000000"/>
          <w:kern w:val="0"/>
          <w:position w:val="0"/>
          <w:sz w:val="22"/>
          <w:sz w:val="22"/>
          <w:szCs w:val="22"/>
          <w:u w:val="none"/>
          <w:shd w:fill="auto" w:val="clear"/>
          <w:vertAlign w:val="baseline"/>
          <w:lang w:val="pt-BR" w:eastAsia="ar-SA"/>
        </w:rPr>
        <w:t>1</w:t>
      </w:r>
      <w:r>
        <w:rPr>
          <w:rStyle w:val="LinkdaInternet"/>
          <w:rFonts w:eastAsia="Times New Roman" w:cs="Verdana" w:ascii="Arial" w:hAnsi="Arial"/>
          <w:b/>
          <w:bCs/>
          <w:i w:val="false"/>
          <w:iCs w:val="false"/>
          <w:caps w:val="false"/>
          <w:smallCaps w:val="false"/>
          <w:strike w:val="false"/>
          <w:dstrike w:val="false"/>
          <w:color w:val="000000"/>
          <w:kern w:val="0"/>
          <w:position w:val="0"/>
          <w:sz w:val="22"/>
          <w:sz w:val="22"/>
          <w:szCs w:val="22"/>
          <w:u w:val="none"/>
          <w:shd w:fill="auto" w:val="clear"/>
          <w:vertAlign w:val="baseline"/>
          <w:lang w:val="pt-BR"/>
        </w:rPr>
        <w:t>0.2.1,</w:t>
      </w:r>
      <w:r>
        <w:rPr>
          <w:rStyle w:val="LinkdaInternet"/>
          <w:rFonts w:eastAsia="Times New Roman" w:cs="Verdana" w:ascii="Arial" w:hAnsi="Arial"/>
          <w:b w:val="false"/>
          <w:bCs w:val="false"/>
          <w:i w:val="false"/>
          <w:iCs w:val="false"/>
          <w:caps w:val="false"/>
          <w:smallCaps w:val="false"/>
          <w:strike w:val="false"/>
          <w:dstrike w:val="false"/>
          <w:color w:val="000000"/>
          <w:kern w:val="0"/>
          <w:position w:val="0"/>
          <w:sz w:val="22"/>
          <w:sz w:val="22"/>
          <w:szCs w:val="22"/>
          <w:u w:val="none"/>
          <w:shd w:fill="auto" w:val="clear"/>
          <w:vertAlign w:val="baseline"/>
          <w:lang w:val="pt-BR"/>
        </w:rPr>
        <w:t xml:space="preserve"> deste edital.</w:t>
      </w:r>
    </w:p>
    <w:p>
      <w:pPr>
        <w:pStyle w:val="Textbody"/>
        <w:spacing w:lineRule="auto" w:line="240" w:before="0" w:after="0"/>
        <w:rPr>
          <w:rFonts w:cs="Verdana"/>
          <w:lang w:eastAsia="ar-SA"/>
        </w:rPr>
      </w:pPr>
      <w:r>
        <w:rPr>
          <w:rFonts w:cs="Verdana"/>
          <w:lang w:eastAsia="ar-SA"/>
        </w:rPr>
        <w:t>15.4. Caso atendidas as condições de participação, será iniciado o procedimento de habilitação.</w:t>
      </w:r>
    </w:p>
    <w:p>
      <w:pPr>
        <w:pStyle w:val="Textbody"/>
        <w:spacing w:lineRule="auto" w:line="240" w:before="0" w:after="0"/>
        <w:rPr/>
      </w:pPr>
      <w:r>
        <w:rPr>
          <w:rFonts w:cs="Verdana"/>
          <w:color w:val="00000A"/>
          <w:lang w:eastAsia="ar-SA"/>
        </w:rPr>
        <w:t xml:space="preserve">15.5. Na hipótese de o licitante não atender às exigências para habilitação, </w:t>
      </w:r>
      <w:r>
        <w:rPr>
          <w:rFonts w:cs="Verdana"/>
          <w:lang w:eastAsia="ar-SA"/>
        </w:rPr>
        <w:t>a Comissão</w:t>
      </w:r>
      <w:r>
        <w:rPr>
          <w:rFonts w:cs="Verdana"/>
          <w:color w:val="00000A"/>
          <w:lang w:eastAsia="ar-SA"/>
        </w:rPr>
        <w:t xml:space="preserve"> examinará a proposta subsequente e assim sucessivamente, na ordem de classificação, até a apuração de uma proposta que atenda ao presente edital, observado o prazo disposto no subitem </w:t>
      </w:r>
      <w:r>
        <w:rPr>
          <w:rFonts w:cs="Verdana"/>
          <w:color w:val="000000"/>
          <w:lang w:eastAsia="ar-SA"/>
        </w:rPr>
        <w:t>14.27</w:t>
      </w:r>
      <w:r>
        <w:rPr>
          <w:rFonts w:cs="Verdana"/>
          <w:color w:val="FF0000"/>
          <w:lang w:eastAsia="ar-SA"/>
        </w:rPr>
        <w:t xml:space="preserve"> </w:t>
      </w:r>
      <w:r>
        <w:rPr>
          <w:rFonts w:cs="Verdana"/>
          <w:color w:val="00000A"/>
          <w:lang w:eastAsia="ar-SA"/>
        </w:rPr>
        <w:t>deste edital.</w:t>
      </w:r>
    </w:p>
    <w:p>
      <w:pPr>
        <w:pStyle w:val="Textbody"/>
        <w:spacing w:lineRule="auto" w:line="240" w:before="0" w:after="0"/>
        <w:rPr/>
      </w:pPr>
      <w:r>
        <w:rPr>
          <w:rFonts w:cs="Verdana"/>
          <w:color w:val="00000A"/>
          <w:lang w:eastAsia="ar-SA"/>
        </w:rPr>
        <w:t>15.6. As decisões da Comissão se darão baseadas nos pareceres e laudos, nos termos previstos no subitem 1</w:t>
      </w:r>
      <w:r>
        <w:rPr>
          <w:rFonts w:cs="Verdana"/>
          <w:color w:val="00000A"/>
        </w:rPr>
        <w:t>0.2.1, deste edital.</w:t>
      </w:r>
    </w:p>
    <w:p>
      <w:pPr>
        <w:pStyle w:val="Textbody"/>
        <w:spacing w:lineRule="auto" w:line="240" w:before="0" w:after="0"/>
        <w:rPr/>
      </w:pPr>
      <w:r>
        <w:rPr>
          <w:rFonts w:cs="Verdana"/>
          <w:color w:val="00000A"/>
          <w:lang w:eastAsia="ar-SA"/>
        </w:rPr>
        <w:t xml:space="preserve">15.7. </w:t>
      </w:r>
      <w:bookmarkStart w:id="2" w:name="_Ref1146655151"/>
      <w:r>
        <w:rPr>
          <w:rFonts w:cs="Verdana"/>
          <w:color w:val="00000A"/>
          <w:lang w:eastAsia="ar-SA"/>
        </w:rPr>
        <w:t>Somente serão disponibilizados para acesso público os documentos de habilitação do licitante cuja proposta atenda ao edital de licitação, após concluídos os procedimentos de que trata o subitem anterior</w:t>
      </w:r>
      <w:bookmarkEnd w:id="2"/>
      <w:r>
        <w:rPr>
          <w:rFonts w:cs="Verdana"/>
          <w:color w:val="00000A"/>
          <w:lang w:eastAsia="ar-SA"/>
        </w:rPr>
        <w:t>.</w:t>
      </w:r>
    </w:p>
    <w:p>
      <w:pPr>
        <w:pStyle w:val="Textbody"/>
        <w:spacing w:lineRule="auto" w:line="240" w:before="0" w:after="0"/>
        <w:rPr/>
      </w:pPr>
      <w:r>
        <w:rPr/>
      </w:r>
    </w:p>
    <w:p>
      <w:pPr>
        <w:pStyle w:val="Textbody"/>
        <w:spacing w:lineRule="auto" w:line="240" w:before="0" w:after="0"/>
        <w:rPr>
          <w:rFonts w:cs="Verdana"/>
          <w:b/>
          <w:bCs/>
          <w:szCs w:val="22"/>
        </w:rPr>
      </w:pPr>
      <w:r>
        <w:rPr>
          <w:rFonts w:cs="Verdana"/>
          <w:b/>
          <w:bCs/>
          <w:szCs w:val="22"/>
        </w:rPr>
      </w:r>
    </w:p>
    <w:p>
      <w:pPr>
        <w:pStyle w:val="Textbody"/>
        <w:spacing w:lineRule="auto" w:line="240" w:before="0" w:after="0"/>
        <w:rPr>
          <w:rFonts w:cs="Verdana"/>
          <w:b/>
          <w:bCs/>
          <w:szCs w:val="22"/>
        </w:rPr>
      </w:pPr>
      <w:r>
        <w:rPr>
          <w:rFonts w:cs="Verdana"/>
          <w:b/>
          <w:bCs/>
          <w:szCs w:val="22"/>
        </w:rPr>
        <w:t>15.8. Será desclassificada a proposta vencedora que:</w:t>
      </w:r>
    </w:p>
    <w:p>
      <w:pPr>
        <w:pStyle w:val="Textbody"/>
        <w:spacing w:lineRule="auto" w:line="240" w:before="0" w:after="0"/>
        <w:rPr/>
      </w:pPr>
      <w:r>
        <w:rPr>
          <w:rFonts w:cs="Verdana"/>
          <w:szCs w:val="22"/>
        </w:rPr>
        <w:t>15.8.1. C</w:t>
      </w:r>
      <w:r>
        <w:rPr>
          <w:szCs w:val="22"/>
        </w:rPr>
        <w:t>ontiver vícios insanáveis;</w:t>
      </w:r>
    </w:p>
    <w:p>
      <w:pPr>
        <w:pStyle w:val="Textbody"/>
        <w:spacing w:lineRule="auto" w:line="240" w:before="0" w:after="0"/>
        <w:rPr/>
      </w:pPr>
      <w:r>
        <w:rPr/>
        <w:t>15.8.2. Não obedecer às especificações técnicas contidas no Anexo I;</w:t>
      </w:r>
    </w:p>
    <w:p>
      <w:pPr>
        <w:pStyle w:val="Textbody"/>
        <w:spacing w:lineRule="auto" w:line="240" w:before="0" w:after="0"/>
        <w:rPr/>
      </w:pPr>
      <w:r>
        <w:rPr/>
        <w:t xml:space="preserve">15.8.3. Apresentar preços inexequíveis, preços unitários superiores aos da administração ou acima do preço máximo definido para a contratação. </w:t>
      </w:r>
      <w:r>
        <w:rPr>
          <w:rStyle w:val="Fontepargpadro"/>
          <w:rFonts w:eastAsia="Times New Roman" w:cs="Verdana"/>
          <w:b w:val="false"/>
          <w:bCs w:val="false"/>
          <w:i w:val="false"/>
          <w:iCs w:val="false"/>
          <w:caps w:val="false"/>
          <w:smallCaps w:val="false"/>
          <w:strike w:val="false"/>
          <w:dstrike w:val="false"/>
          <w:color w:val="000000"/>
          <w:spacing w:val="0"/>
          <w:kern w:val="2"/>
          <w:sz w:val="22"/>
          <w:szCs w:val="22"/>
          <w:u w:val="none"/>
          <w:effect w:val="none"/>
          <w:shd w:fill="auto" w:val="clear"/>
          <w:lang w:eastAsia="zxx" w:bidi="zxx"/>
        </w:rPr>
        <w:t>No caso de agrupamento de itens, a</w:t>
      </w:r>
      <w:r>
        <w:rPr>
          <w:rStyle w:val="Fontepargpadro"/>
          <w:rFonts w:eastAsia="Times New Roman" w:cs="Verdana"/>
          <w:b w:val="false"/>
          <w:bCs w:val="false"/>
          <w:i w:val="false"/>
          <w:iCs/>
          <w:caps w:val="false"/>
          <w:smallCaps w:val="false"/>
          <w:strike w:val="false"/>
          <w:dstrike w:val="false"/>
          <w:color w:val="000000"/>
          <w:spacing w:val="0"/>
          <w:kern w:val="2"/>
          <w:sz w:val="22"/>
          <w:szCs w:val="22"/>
          <w:u w:val="none"/>
          <w:effect w:val="none"/>
          <w:shd w:fill="auto" w:val="clear"/>
          <w:lang w:eastAsia="zxx" w:bidi="zxx"/>
        </w:rPr>
        <w:t xml:space="preserve"> proposta final para o grupo não poderá conter item com </w:t>
      </w:r>
      <w:r>
        <w:rPr>
          <w:rStyle w:val="Fontepargpadro"/>
          <w:rFonts w:eastAsia="Times New Roman" w:cs="Verdana"/>
          <w:b w:val="false"/>
          <w:bCs w:val="false"/>
          <w:i w:val="false"/>
          <w:iCs w:val="false"/>
          <w:caps w:val="false"/>
          <w:smallCaps w:val="false"/>
          <w:strike w:val="false"/>
          <w:dstrike w:val="false"/>
          <w:color w:val="000000"/>
          <w:spacing w:val="0"/>
          <w:kern w:val="2"/>
          <w:sz w:val="22"/>
          <w:szCs w:val="22"/>
          <w:u w:val="none"/>
          <w:effect w:val="none"/>
          <w:shd w:fill="auto" w:val="clear"/>
          <w:lang w:eastAsia="zxx" w:bidi="zxx"/>
        </w:rPr>
        <w:t>valor superior</w:t>
      </w:r>
      <w:r>
        <w:rPr>
          <w:rStyle w:val="Fontepargpadro"/>
          <w:rFonts w:eastAsia="Times New Roman" w:cs="Verdana"/>
          <w:b w:val="false"/>
          <w:bCs w:val="false"/>
          <w:i/>
          <w:iCs/>
          <w:caps w:val="false"/>
          <w:smallCaps w:val="false"/>
          <w:strike w:val="false"/>
          <w:dstrike w:val="false"/>
          <w:color w:val="000000"/>
          <w:spacing w:val="0"/>
          <w:kern w:val="2"/>
          <w:sz w:val="22"/>
          <w:szCs w:val="22"/>
          <w:u w:val="none"/>
          <w:effect w:val="none"/>
          <w:shd w:fill="auto" w:val="clear"/>
          <w:lang w:eastAsia="zxx" w:bidi="zxx"/>
        </w:rPr>
        <w:t xml:space="preserve"> </w:t>
      </w:r>
      <w:r>
        <w:rPr>
          <w:rStyle w:val="Fontepargpadro"/>
          <w:rFonts w:eastAsia="Times New Roman" w:cs="Verdana"/>
          <w:b w:val="false"/>
          <w:bCs w:val="false"/>
          <w:i w:val="false"/>
          <w:iCs/>
          <w:caps w:val="false"/>
          <w:smallCaps w:val="false"/>
          <w:strike w:val="false"/>
          <w:dstrike w:val="false"/>
          <w:color w:val="000000"/>
          <w:spacing w:val="0"/>
          <w:kern w:val="2"/>
          <w:sz w:val="22"/>
          <w:szCs w:val="22"/>
          <w:u w:val="none"/>
          <w:effect w:val="none"/>
          <w:shd w:fill="auto" w:val="clear"/>
          <w:lang w:eastAsia="zxx" w:bidi="zxx"/>
        </w:rPr>
        <w:t>ao estimado pela Administração.</w:t>
      </w:r>
    </w:p>
    <w:p>
      <w:pPr>
        <w:pStyle w:val="Textbody"/>
        <w:spacing w:lineRule="auto" w:line="240" w:before="0" w:after="0"/>
        <w:rPr/>
      </w:pPr>
      <w:r>
        <w:rPr/>
        <w:t>15.8.3.1. Caso se verifique na proposta de menor valor global a ocorrência de item com preço unitário superior ao estimado pela Administração, o licitante deverá apresentar relatório técnico circunstanciado justificando o preço unitário ofertado.</w:t>
      </w:r>
    </w:p>
    <w:p>
      <w:pPr>
        <w:pStyle w:val="Textbody"/>
        <w:spacing w:lineRule="auto" w:line="240" w:before="0" w:after="0"/>
        <w:rPr/>
      </w:pPr>
      <w:r>
        <w:rPr/>
        <w:t>15.8.3.2. Caso a justificativa apresentada pelo licitante não seja acatada pela Administração, o licitante deverá adequar sua proposta, com o valor unitário do orçamento elaborado pela Administração, sob pena de desclassificação da proposta.</w:t>
      </w:r>
    </w:p>
    <w:p>
      <w:pPr>
        <w:pStyle w:val="Textbody"/>
        <w:spacing w:lineRule="auto" w:line="240" w:before="0" w:after="0"/>
        <w:rPr/>
      </w:pPr>
      <w:r>
        <w:rPr>
          <w:rFonts w:cs="Verdana"/>
        </w:rPr>
        <w:t>1</w:t>
      </w:r>
      <w:r>
        <w:rPr/>
        <w:t>5</w:t>
      </w:r>
      <w:r>
        <w:rPr>
          <w:rFonts w:cs="Verdana"/>
        </w:rPr>
        <w:t>.8.4. Não tiver sua exequibilidade demonstrada, quando exigido pela Administração;</w:t>
      </w:r>
    </w:p>
    <w:p>
      <w:pPr>
        <w:pStyle w:val="Textbody"/>
        <w:spacing w:lineRule="auto" w:line="240" w:before="0" w:after="0"/>
        <w:rPr>
          <w:rFonts w:cs="Verdana"/>
        </w:rPr>
      </w:pPr>
      <w:r>
        <w:rPr>
          <w:rFonts w:cs="Verdana"/>
        </w:rPr>
        <w:t>15.8.5. Apresentar desconformidade com quaisquer outras exigências deste edital ou seus anexos, desde que insanável;</w:t>
      </w:r>
    </w:p>
    <w:p>
      <w:pPr>
        <w:pStyle w:val="Textbody"/>
        <w:spacing w:lineRule="auto" w:line="240" w:before="0" w:after="0"/>
        <w:rPr/>
      </w:pPr>
      <w:r>
        <w:rPr/>
        <w:t>15</w:t>
      </w:r>
      <w:r>
        <w:rPr>
          <w:rFonts w:cs="Arial"/>
        </w:rPr>
        <w:t>.9</w:t>
      </w:r>
      <w:r>
        <w:rPr>
          <w:rFonts w:cs="Arial"/>
          <w:color w:val="00B0F0"/>
        </w:rPr>
        <w:t>.</w:t>
      </w:r>
      <w:r>
        <w:rPr>
          <w:rFonts w:cs="Arial"/>
        </w:rPr>
        <w:t xml:space="preserve"> A ausência de documentos possíveis de serem verificados em sites oficiais, não é motivo de desclassificação.</w:t>
      </w:r>
    </w:p>
    <w:p>
      <w:pPr>
        <w:pStyle w:val="Textbody"/>
        <w:spacing w:lineRule="auto" w:line="240" w:before="0" w:after="0"/>
        <w:rPr>
          <w:rFonts w:cs="Verdana"/>
        </w:rPr>
      </w:pPr>
      <w:r>
        <w:rPr>
          <w:rFonts w:cs="Verdana"/>
        </w:rPr>
        <w:t>15.10.</w:t>
      </w:r>
      <w:r>
        <w:rPr>
          <w:rFonts w:cs="Verdana"/>
          <w:color w:val="000000"/>
        </w:rPr>
        <w:t xml:space="preserve"> </w:t>
      </w:r>
      <w:r>
        <w:rPr>
          <w:rStyle w:val="Fontepargpadro"/>
          <w:rFonts w:eastAsia="Times New Roman" w:cs="Verdana"/>
          <w:b w:val="false"/>
          <w:bCs w:val="false"/>
          <w:i w:val="false"/>
          <w:iCs w:val="false"/>
          <w:caps w:val="false"/>
          <w:smallCaps w:val="false"/>
          <w:strike w:val="false"/>
          <w:dstrike w:val="false"/>
          <w:color w:val="000000"/>
          <w:spacing w:val="0"/>
          <w:sz w:val="22"/>
          <w:szCs w:val="22"/>
          <w:u w:val="none"/>
          <w:shd w:fill="auto" w:val="clear"/>
          <w:lang w:val="pt-BR"/>
        </w:rPr>
        <w:t>A inexequibilidade da proposta possui caráter relativo, de modo que o seu reconhecimento não deverá ocorrer de forma sumária. Conforme disposto no art. 55 do Decreto Estadual nº 35.067/2022 (alterado pelo art. 1º do Decreto Estadual nº 36.863/2025) e em conformidade com o art. 59, III e § 2º da Lei nº 14.133/2021, a inviabilidade da oferta somente será confirmada após diligência que comprove:</w:t>
      </w:r>
    </w:p>
    <w:p>
      <w:pPr>
        <w:pStyle w:val="Corpodotexto"/>
        <w:widowControl/>
        <w:spacing w:lineRule="auto" w:line="240" w:before="57" w:after="57"/>
        <w:ind w:left="0" w:right="0" w:hanging="0"/>
        <w:jc w:val="both"/>
        <w:rPr/>
      </w:pPr>
      <w:r>
        <w:rPr>
          <w:rStyle w:val="Fontepargpadro"/>
          <w:rFonts w:eastAsia="Times New Roman" w:cs="Arial" w:ascii="Arial" w:hAnsi="Arial"/>
          <w:b w:val="false"/>
          <w:bCs w:val="false"/>
          <w:i w:val="false"/>
          <w:iCs w:val="false"/>
          <w:strike w:val="false"/>
          <w:dstrike w:val="false"/>
          <w:color w:val="000000"/>
          <w:sz w:val="22"/>
          <w:szCs w:val="22"/>
          <w:u w:val="none"/>
          <w:shd w:fill="auto" w:val="clear"/>
          <w:lang w:val="pt-BR"/>
        </w:rPr>
        <w:t>I – que o custo do licitante ultrapassa o valor da proposta; e</w:t>
      </w:r>
    </w:p>
    <w:p>
      <w:pPr>
        <w:pStyle w:val="Textbody"/>
        <w:spacing w:lineRule="auto" w:line="240" w:before="0" w:after="0"/>
        <w:rPr>
          <w:rFonts w:ascii="Arial" w:hAnsi="Arial" w:cs="Arial"/>
          <w:b w:val="false"/>
          <w:bCs w:val="false"/>
          <w:color w:val="000000"/>
          <w:sz w:val="22"/>
          <w:szCs w:val="22"/>
          <w:shd w:fill="FFFFFF" w:val="clear"/>
        </w:rPr>
      </w:pPr>
      <w:r>
        <w:rPr>
          <w:rStyle w:val="Fontepargpadro"/>
          <w:rFonts w:eastAsia="Times New Roman" w:cs="Arial"/>
          <w:b w:val="false"/>
          <w:bCs w:val="false"/>
          <w:i w:val="false"/>
          <w:iCs w:val="false"/>
          <w:caps w:val="false"/>
          <w:smallCaps w:val="false"/>
          <w:strike w:val="false"/>
          <w:dstrike w:val="false"/>
          <w:color w:val="000000"/>
          <w:spacing w:val="0"/>
          <w:sz w:val="22"/>
          <w:szCs w:val="22"/>
          <w:u w:val="none"/>
          <w:shd w:fill="auto" w:val="clear"/>
          <w:lang w:val="pt-BR"/>
        </w:rPr>
        <w:t>II – inexistirem custos de oportunidade capazes de justificar o vulto da oferta.</w:t>
      </w:r>
    </w:p>
    <w:p>
      <w:pPr>
        <w:pStyle w:val="Textbody"/>
        <w:spacing w:lineRule="auto" w:line="240" w:before="0" w:after="0"/>
        <w:rPr>
          <w:rFonts w:cs="Verdana"/>
        </w:rPr>
      </w:pPr>
      <w:r>
        <w:rPr>
          <w:rFonts w:cs="Verdana"/>
        </w:rPr>
      </w:r>
    </w:p>
    <w:p>
      <w:pPr>
        <w:pStyle w:val="Textbody"/>
        <w:spacing w:lineRule="auto" w:line="240" w:before="0" w:after="0"/>
        <w:rPr>
          <w:rFonts w:cs="Verdana"/>
        </w:rPr>
      </w:pPr>
      <w:r>
        <w:rPr>
          <w:rFonts w:cs="Verdana"/>
        </w:rPr>
        <w:t xml:space="preserve">15.11. </w:t>
      </w:r>
      <w:r>
        <w:rPr>
          <w:rFonts w:cs="Verdana"/>
          <w:b/>
          <w:bCs/>
        </w:rPr>
        <w:t>Além das disposições acima, a análise de exequibilidade e sobrepreço considerará o seguinte:</w:t>
      </w:r>
    </w:p>
    <w:p>
      <w:pPr>
        <w:pStyle w:val="Textbody"/>
        <w:spacing w:lineRule="auto" w:line="240" w:before="0" w:after="0"/>
        <w:rPr>
          <w:rFonts w:cs="Arial"/>
          <w:color w:val="000000"/>
          <w:szCs w:val="22"/>
          <w:shd w:fill="FFFFFF" w:val="clear"/>
        </w:rPr>
      </w:pPr>
      <w:r>
        <w:rPr>
          <w:rFonts w:cs="Verdana"/>
        </w:rPr>
        <w:t>15.10.1. A caracterização do sobrepreço se dará pela superação do valor global estimado e pela superação de custo unitário tido como relevante, conforme planilha anexa ao edital.</w:t>
      </w:r>
    </w:p>
    <w:p>
      <w:pPr>
        <w:pStyle w:val="Textbody"/>
        <w:spacing w:lineRule="auto" w:line="240" w:before="0" w:after="0"/>
        <w:rPr>
          <w:rFonts w:cs="Verdana"/>
        </w:rPr>
      </w:pPr>
      <w:r>
        <w:rPr>
          <w:rFonts w:cs="Verdana"/>
        </w:rPr>
        <w:t>15.10.2. Serão consideradas presumivelmente inexequíveis as propostas cujos valores forem inferiores a 75% (setenta e cinco por cento) do valor orçado pela Administração, independentemente do regime de execução.</w:t>
      </w:r>
    </w:p>
    <w:p>
      <w:pPr>
        <w:pStyle w:val="Standard"/>
        <w:jc w:val="both"/>
        <w:rPr>
          <w:rFonts w:ascii="Arial" w:hAnsi="Arial"/>
          <w:sz w:val="22"/>
          <w:szCs w:val="22"/>
        </w:rPr>
      </w:pPr>
      <w:r>
        <w:rPr>
          <w:rFonts w:ascii="Arial" w:hAnsi="Arial"/>
          <w:sz w:val="22"/>
          <w:szCs w:val="22"/>
        </w:rPr>
        <w:t>15.10.2.1. Os licitantes que tiverem seu preço abaixo do patamar previsto no item 15.10.2 deverão comprovar a exequibilidade da proposta através de documento</w:t>
      </w:r>
      <w:r>
        <w:rPr>
          <w:rFonts w:ascii="Arial" w:hAnsi="Arial"/>
          <w:sz w:val="22"/>
          <w:szCs w:val="22"/>
          <w:lang w:eastAsia="en-US"/>
        </w:rPr>
        <w:t>s</w:t>
      </w:r>
      <w:r>
        <w:rPr>
          <w:rFonts w:ascii="Arial" w:hAnsi="Arial"/>
          <w:sz w:val="22"/>
          <w:szCs w:val="22"/>
        </w:rPr>
        <w:t xml:space="preserve"> idôneos, tais como: cópia de contrato celebrados, notas fiscais, comprovantes fiscais, além de outros idôneos.</w:t>
      </w:r>
    </w:p>
    <w:p>
      <w:pPr>
        <w:pStyle w:val="Standard"/>
        <w:jc w:val="both"/>
        <w:rPr>
          <w:rFonts w:ascii="Arial" w:hAnsi="Arial"/>
          <w:sz w:val="22"/>
          <w:szCs w:val="22"/>
        </w:rPr>
      </w:pPr>
      <w:r>
        <w:rPr>
          <w:rFonts w:ascii="Arial" w:hAnsi="Arial"/>
          <w:sz w:val="22"/>
          <w:szCs w:val="22"/>
        </w:rPr>
        <w:t>15.10.2.1.1. Caso o licitante deseje comprovar a exequibilidade da proposta por meio da apresentação de cópias de contratos semelhantes, executados ou em execução, deverá observar o seguinte:</w:t>
      </w:r>
    </w:p>
    <w:p>
      <w:pPr>
        <w:pStyle w:val="Standard"/>
        <w:jc w:val="both"/>
        <w:rPr>
          <w:rFonts w:ascii="Arial" w:hAnsi="Arial"/>
          <w:sz w:val="22"/>
          <w:szCs w:val="22"/>
        </w:rPr>
      </w:pPr>
      <w:r>
        <w:rPr>
          <w:rFonts w:ascii="Arial" w:hAnsi="Arial"/>
          <w:sz w:val="22"/>
          <w:szCs w:val="22"/>
        </w:rPr>
        <w:t>1) O objeto do contrato paradigma deverá ser de igual natureza ou similar ao da licitação;</w:t>
      </w:r>
    </w:p>
    <w:p>
      <w:pPr>
        <w:pStyle w:val="Standard"/>
        <w:jc w:val="both"/>
        <w:rPr>
          <w:rFonts w:ascii="Arial" w:hAnsi="Arial"/>
          <w:sz w:val="22"/>
          <w:szCs w:val="22"/>
        </w:rPr>
      </w:pPr>
      <w:r>
        <w:rPr>
          <w:rFonts w:ascii="Arial" w:hAnsi="Arial"/>
          <w:sz w:val="22"/>
          <w:szCs w:val="22"/>
        </w:rPr>
        <w:t>2) O valor do contrato paradigma deverá também ser equivalente ao da licitação, assim entendido aquele que não seja inferior a 50% (cinquenta por cento) do preço estimado licitado;</w:t>
      </w:r>
    </w:p>
    <w:p>
      <w:pPr>
        <w:pStyle w:val="Standard"/>
        <w:jc w:val="both"/>
        <w:rPr>
          <w:rFonts w:ascii="Arial" w:hAnsi="Arial"/>
          <w:sz w:val="22"/>
          <w:szCs w:val="22"/>
        </w:rPr>
      </w:pPr>
      <w:r>
        <w:rPr>
          <w:rFonts w:ascii="Arial" w:hAnsi="Arial"/>
          <w:sz w:val="22"/>
          <w:szCs w:val="22"/>
        </w:rPr>
        <w:t xml:space="preserve">3) </w:t>
      </w:r>
      <w:r>
        <w:rPr>
          <w:rFonts w:ascii="Arial" w:hAnsi="Arial"/>
          <w:sz w:val="22"/>
          <w:szCs w:val="22"/>
          <w:shd w:fill="auto" w:val="clear"/>
        </w:rPr>
        <w:t>O contrato apresentado deverá vir acompanhado de documentos que comprovem o preço de referência, como o edital que serviu de base para a contratação ou declaração do órgão indicando o percentual de desconto praticado pelo licitante;</w:t>
      </w:r>
    </w:p>
    <w:p>
      <w:pPr>
        <w:pStyle w:val="Standard"/>
        <w:jc w:val="both"/>
        <w:rPr>
          <w:rFonts w:ascii="Arial" w:hAnsi="Arial"/>
          <w:sz w:val="22"/>
          <w:szCs w:val="22"/>
        </w:rPr>
      </w:pPr>
      <w:r>
        <w:rPr>
          <w:rFonts w:ascii="Arial" w:hAnsi="Arial"/>
          <w:sz w:val="22"/>
          <w:szCs w:val="22"/>
        </w:rPr>
        <w:t>4) Se a licitação da qual decorreu o contrato paradigma foi do tipo maior desconto, deverá ser informado o desconto praticado;</w:t>
      </w:r>
    </w:p>
    <w:p>
      <w:pPr>
        <w:pStyle w:val="Standard"/>
        <w:jc w:val="both"/>
        <w:rPr>
          <w:rFonts w:ascii="Arial" w:hAnsi="Arial"/>
          <w:sz w:val="22"/>
          <w:szCs w:val="22"/>
        </w:rPr>
      </w:pPr>
      <w:r>
        <w:rPr>
          <w:rFonts w:ascii="Arial" w:hAnsi="Arial"/>
          <w:sz w:val="22"/>
          <w:szCs w:val="22"/>
        </w:rPr>
        <w:t xml:space="preserve">5) No caso de o paradigma ser contrato de direito privado, a exequibilidade da proposta será </w:t>
      </w:r>
      <w:r>
        <w:rPr>
          <w:rFonts w:ascii="Arial" w:hAnsi="Arial"/>
          <w:color w:val="000000"/>
          <w:sz w:val="22"/>
          <w:szCs w:val="22"/>
        </w:rPr>
        <w:t xml:space="preserve">avaliada considerando os itens da composição de custos formadores da </w:t>
      </w:r>
      <w:r>
        <w:rPr>
          <w:rFonts w:ascii="Arial" w:hAnsi="Arial"/>
          <w:b/>
          <w:color w:val="000000"/>
          <w:sz w:val="22"/>
          <w:szCs w:val="22"/>
        </w:rPr>
        <w:t xml:space="preserve">Curva A, do </w:t>
      </w:r>
      <w:r>
        <w:rPr>
          <w:rFonts w:ascii="Arial" w:hAnsi="Arial"/>
          <w:b/>
          <w:i/>
          <w:iCs/>
          <w:color w:val="000000"/>
          <w:sz w:val="22"/>
          <w:szCs w:val="22"/>
        </w:rPr>
        <w:t>Anexo I.J</w:t>
      </w:r>
      <w:r>
        <w:rPr>
          <w:rFonts w:ascii="Arial" w:hAnsi="Arial"/>
          <w:b/>
          <w:color w:val="000000"/>
          <w:sz w:val="22"/>
          <w:szCs w:val="22"/>
        </w:rPr>
        <w:t>,</w:t>
      </w:r>
      <w:r>
        <w:rPr>
          <w:rFonts w:ascii="Arial" w:hAnsi="Arial"/>
          <w:color w:val="000000"/>
          <w:sz w:val="22"/>
          <w:szCs w:val="22"/>
        </w:rPr>
        <w:t xml:space="preserve"> desta Licitação, os quais deverão ser equivalentes ao da proposta vencedora, assim entendidos os que estiveram até 10% (dez por cento) abaixo do preço ofertado na licitação;</w:t>
      </w:r>
    </w:p>
    <w:p>
      <w:pPr>
        <w:pStyle w:val="Standard"/>
        <w:jc w:val="both"/>
        <w:rPr>
          <w:color w:val="000000"/>
        </w:rPr>
      </w:pPr>
      <w:r>
        <w:rPr>
          <w:rFonts w:ascii="Arial" w:hAnsi="Arial"/>
          <w:color w:val="000000"/>
          <w:sz w:val="22"/>
          <w:szCs w:val="22"/>
        </w:rPr>
        <w:t>6) Deverá o licitante apresentar declaração do contratante (paradigma) atestando a regular execução do contrato paradigma.</w:t>
      </w:r>
    </w:p>
    <w:p>
      <w:pPr>
        <w:pStyle w:val="Standard"/>
        <w:jc w:val="both"/>
        <w:rPr>
          <w:color w:val="000000"/>
        </w:rPr>
      </w:pPr>
      <w:r>
        <w:rPr>
          <w:rFonts w:ascii="Arial" w:hAnsi="Arial"/>
          <w:color w:val="000000"/>
          <w:sz w:val="22"/>
          <w:szCs w:val="22"/>
        </w:rPr>
        <w:t xml:space="preserve">15.10.2.1.2. Caso a comprovação da exequibilidade se dê através de notas fiscais de insumos, o licitante apresentará documentos fiscais referentes aos itens formadores da </w:t>
      </w:r>
      <w:r>
        <w:rPr>
          <w:rFonts w:ascii="Arial" w:hAnsi="Arial"/>
          <w:b/>
          <w:color w:val="000000"/>
          <w:sz w:val="22"/>
          <w:szCs w:val="22"/>
        </w:rPr>
        <w:t>curva A, Anexo I.J</w:t>
      </w:r>
      <w:r>
        <w:rPr>
          <w:rFonts w:ascii="Arial" w:hAnsi="Arial"/>
          <w:color w:val="000000"/>
          <w:sz w:val="22"/>
          <w:szCs w:val="22"/>
        </w:rPr>
        <w:t>, devendo os preços ser equivalentes, assim considerados aqueles dentro do limite de tolerância de 10% (dez por cento) abaixo do preço ofertado na licitação.</w:t>
      </w:r>
    </w:p>
    <w:p>
      <w:pPr>
        <w:pStyle w:val="Standard"/>
        <w:jc w:val="both"/>
        <w:rPr>
          <w:rFonts w:ascii="Arial" w:hAnsi="Arial"/>
          <w:sz w:val="22"/>
          <w:szCs w:val="22"/>
        </w:rPr>
      </w:pPr>
      <w:r>
        <w:rPr>
          <w:rFonts w:ascii="Arial" w:hAnsi="Arial"/>
          <w:color w:val="000000"/>
          <w:sz w:val="22"/>
          <w:szCs w:val="22"/>
        </w:rPr>
        <w:t xml:space="preserve">15.10.2.1.3. Alegando o licitante, para comprovação da exequibilidade, já possuir produto em estoque, estes deverão ter quantidades compatíveis com o consumo dos serviços em análise, o respectivo item deverá corresponder aos constantes da </w:t>
      </w:r>
      <w:r>
        <w:rPr>
          <w:rFonts w:ascii="Arial" w:hAnsi="Arial"/>
          <w:b/>
          <w:color w:val="000000"/>
          <w:sz w:val="22"/>
          <w:szCs w:val="22"/>
        </w:rPr>
        <w:t>curva A, anexo I.J</w:t>
      </w:r>
      <w:r>
        <w:rPr>
          <w:rFonts w:ascii="Arial" w:hAnsi="Arial"/>
          <w:color w:val="000000"/>
          <w:sz w:val="22"/>
          <w:szCs w:val="22"/>
        </w:rPr>
        <w:t>. Se a comprovação for parcial, ou seja, abranger somente alguns dos itens da referida curva</w:t>
      </w:r>
      <w:r>
        <w:rPr>
          <w:rFonts w:ascii="Arial" w:hAnsi="Arial"/>
          <w:sz w:val="22"/>
          <w:szCs w:val="22"/>
        </w:rPr>
        <w:t>, o licitante, em relação aos demais, precisará comprovar, por pesquisa de mercado, indicando-se a fonte, ou por contrato já executado, a exequibilidade dos mesmos itens, observado o limite de tolerância de 10% (dez por cento) abaixo do preço ofertado na licitação.</w:t>
      </w:r>
    </w:p>
    <w:p>
      <w:pPr>
        <w:pStyle w:val="Standard"/>
        <w:jc w:val="both"/>
        <w:rPr>
          <w:rFonts w:ascii="Arial" w:hAnsi="Arial"/>
          <w:sz w:val="22"/>
          <w:szCs w:val="22"/>
        </w:rPr>
      </w:pPr>
      <w:r>
        <w:rPr>
          <w:rFonts w:ascii="Arial" w:hAnsi="Arial"/>
          <w:sz w:val="22"/>
          <w:szCs w:val="22"/>
        </w:rPr>
        <w:t>15.10.2.2. Enquadrando-se a proposta no patamar de até 10% (dez por cento) da média dos preços ofertados na disputa da licitação, a aceitabilidade da proposta dar-se-á apenas mediante a apresentação pelo licitante de declaração atestando a exequibilidade do valor proposto.</w:t>
      </w:r>
    </w:p>
    <w:p>
      <w:pPr>
        <w:pStyle w:val="Standard"/>
        <w:jc w:val="both"/>
        <w:rPr>
          <w:rFonts w:ascii="Arial" w:hAnsi="Arial"/>
          <w:sz w:val="22"/>
          <w:szCs w:val="22"/>
        </w:rPr>
      </w:pPr>
      <w:r>
        <w:rPr>
          <w:rFonts w:ascii="Arial" w:hAnsi="Arial"/>
          <w:sz w:val="22"/>
          <w:szCs w:val="22"/>
        </w:rPr>
        <w:t xml:space="preserve">15.10.2.3. Recebida a </w:t>
      </w:r>
      <w:r>
        <w:rPr>
          <w:rFonts w:ascii="Arial" w:hAnsi="Arial"/>
          <w:sz w:val="22"/>
          <w:szCs w:val="22"/>
          <w:shd w:fill="auto" w:val="clear"/>
        </w:rPr>
        <w:t xml:space="preserve">proposta e detectado que o preço ofertado está abaixo do percentual previsto no item 15.10.2, </w:t>
      </w:r>
      <w:r>
        <w:rPr>
          <w:rFonts w:ascii="Arial" w:hAnsi="Arial"/>
          <w:sz w:val="22"/>
          <w:szCs w:val="22"/>
        </w:rPr>
        <w:t xml:space="preserve">a comissão de contratação diligenciará o licitante para que, no prazo de 24 (vinte e quatro) horas, comprove a exequibilidade conforme previsto em edital. A diligência transcreverá disposto nos itens </w:t>
      </w:r>
      <w:r>
        <w:rPr>
          <w:rFonts w:ascii="Arial" w:hAnsi="Arial"/>
          <w:sz w:val="22"/>
          <w:szCs w:val="22"/>
          <w:shd w:fill="auto" w:val="clear"/>
        </w:rPr>
        <w:t>15.10.2.1 e 15.10.2.2</w:t>
      </w:r>
      <w:r>
        <w:rPr>
          <w:rFonts w:ascii="Arial" w:hAnsi="Arial"/>
          <w:sz w:val="22"/>
          <w:szCs w:val="22"/>
        </w:rPr>
        <w:t xml:space="preserve"> e após os documentos recebidos, estes serão encaminhados ao órgão demandante para análise e emissão de parecer.</w:t>
      </w:r>
    </w:p>
    <w:p>
      <w:pPr>
        <w:pStyle w:val="Standard"/>
        <w:jc w:val="both"/>
        <w:rPr>
          <w:rFonts w:ascii="Arial" w:hAnsi="Arial"/>
          <w:sz w:val="22"/>
          <w:szCs w:val="22"/>
        </w:rPr>
      </w:pPr>
      <w:r>
        <w:rPr>
          <w:rFonts w:ascii="Arial" w:hAnsi="Arial"/>
          <w:sz w:val="22"/>
          <w:szCs w:val="22"/>
        </w:rPr>
        <w:t>15.10.2.4. Ausente qualquer documento após retorno do licitante, será permitida uma nova diligência, com o mesmo prazo dado anteriormente, e caso não satisfatório o cumprimento será  desclassificado. O exame da comissão de contratação não se dará sobre o conteúdo dos documentos, atendo-se apenas ao atendimento da diligência.</w:t>
      </w:r>
    </w:p>
    <w:p>
      <w:pPr>
        <w:pStyle w:val="Standard"/>
        <w:jc w:val="both"/>
        <w:rPr>
          <w:rFonts w:ascii="Arial" w:hAnsi="Arial" w:cs="Arial"/>
          <w:sz w:val="22"/>
          <w:szCs w:val="22"/>
          <w:shd w:fill="FFFFFF" w:val="clear"/>
        </w:rPr>
      </w:pPr>
      <w:r>
        <w:rPr>
          <w:rFonts w:eastAsia="Times New Roman" w:cs="Arial" w:ascii="Arial" w:hAnsi="Arial"/>
          <w:sz w:val="22"/>
          <w:szCs w:val="22"/>
        </w:rPr>
        <w:t>15.10.2.5. Entregue a documentação e não detectando a comissão de contratação aparente inconsistência formal, o processo será enviado ao órgão contratante para avaliação da exequibilidade. Verificando o órgão a necessidade de nova diligência, assim procederá, definindo o prazo de 24 (vinte e quadro) horas para resposta, após o que, não satisfatória a diligência, será desclassificado o licitante.</w:t>
      </w:r>
    </w:p>
    <w:p>
      <w:pPr>
        <w:pStyle w:val="Textbody"/>
        <w:spacing w:lineRule="auto" w:line="240" w:before="0" w:after="0"/>
        <w:rPr/>
      </w:pPr>
      <w:r>
        <w:rPr/>
        <w:t>15</w:t>
      </w:r>
      <w:r>
        <w:rPr>
          <w:rFonts w:cs="Verdana"/>
        </w:rPr>
        <w:t>.10.3.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pPr>
        <w:pStyle w:val="Normal"/>
        <w:widowControl/>
        <w:spacing w:lineRule="auto" w:line="240" w:before="57" w:after="57"/>
        <w:ind w:left="0" w:right="0" w:hanging="0"/>
        <w:jc w:val="both"/>
        <w:rPr>
          <w:rFonts w:ascii="Arial" w:hAnsi="Arial" w:cs="Arial"/>
          <w:b w:val="false"/>
          <w:bCs w:val="false"/>
          <w:color w:val="000000"/>
          <w:sz w:val="22"/>
          <w:szCs w:val="22"/>
          <w:shd w:fill="FFFFFF" w:val="clear"/>
        </w:rPr>
      </w:pPr>
      <w:r>
        <w:rPr>
          <w:rStyle w:val="Fontepargpadro"/>
          <w:rFonts w:eastAsia="Times New Roman" w:cs="Verdana" w:ascii="Arial" w:hAnsi="Arial"/>
          <w:b w:val="false"/>
          <w:bCs w:val="false"/>
          <w:i w:val="false"/>
          <w:iCs w:val="false"/>
          <w:strike w:val="false"/>
          <w:dstrike w:val="false"/>
          <w:color w:val="000000"/>
          <w:sz w:val="22"/>
          <w:szCs w:val="22"/>
          <w:u w:val="none"/>
          <w:shd w:fill="auto" w:val="clear"/>
          <w:lang w:val="pt-BR"/>
        </w:rPr>
        <w:t xml:space="preserve">15.10.3.1. A garantia adicional será apresentada no mesmo prazo e condições da garantia contratual, nos termos </w:t>
      </w:r>
      <w:r>
        <w:rPr>
          <w:rStyle w:val="Fontepargpadro"/>
          <w:rFonts w:eastAsia="Times New Roman" w:cs="Verdana" w:ascii="Arial" w:hAnsi="Arial"/>
          <w:b w:val="false"/>
          <w:bCs w:val="false"/>
          <w:i w:val="false"/>
          <w:iCs w:val="false"/>
          <w:strike w:val="false"/>
          <w:dstrike w:val="false"/>
          <w:color w:val="000000"/>
          <w:sz w:val="22"/>
          <w:szCs w:val="22"/>
          <w:u w:val="none"/>
          <w:shd w:fill="auto" w:val="clear"/>
          <w:lang w:val="pt-BR" w:eastAsia="ar-SA" w:bidi="ar-SA"/>
        </w:rPr>
        <w:t>d</w:t>
      </w:r>
      <w:r>
        <w:rPr>
          <w:rStyle w:val="Fontepargpadro"/>
          <w:rFonts w:eastAsia="Times New Roman" w:cs="Times New Roman" w:ascii="Arial" w:hAnsi="Arial"/>
          <w:b w:val="false"/>
          <w:bCs w:val="false"/>
          <w:i w:val="false"/>
          <w:iCs w:val="false"/>
          <w:strike w:val="false"/>
          <w:dstrike w:val="false"/>
          <w:color w:val="000000"/>
          <w:sz w:val="22"/>
          <w:szCs w:val="22"/>
          <w:u w:val="none"/>
          <w:shd w:fill="FFFFFF" w:val="clear"/>
          <w:lang w:val="pt-BR" w:eastAsia="ar-SA" w:bidi="ar-SA"/>
        </w:rPr>
        <w:t xml:space="preserve">o subitem </w:t>
      </w:r>
      <w:r>
        <w:rPr>
          <w:rStyle w:val="Fontepargpadro"/>
          <w:rFonts w:eastAsia="Times New Roman" w:cs="Times New Roman" w:ascii="Arial" w:hAnsi="Arial"/>
          <w:b w:val="false"/>
          <w:bCs w:val="false"/>
          <w:i w:val="false"/>
          <w:iCs w:val="false"/>
          <w:strike w:val="false"/>
          <w:dstrike w:val="false"/>
          <w:color w:val="000000"/>
          <w:sz w:val="22"/>
          <w:szCs w:val="22"/>
          <w:u w:val="none"/>
          <w:shd w:fill="auto" w:val="clear"/>
          <w:lang w:val="pt-BR" w:eastAsia="ar-SA" w:bidi="ar-SA"/>
        </w:rPr>
        <w:t>20.7.1 e 20.7.2</w:t>
      </w:r>
      <w:r>
        <w:rPr>
          <w:rStyle w:val="Fontepargpadro"/>
          <w:rFonts w:eastAsia="Times New Roman" w:cs="Times New Roman" w:ascii="Arial" w:hAnsi="Arial"/>
          <w:b w:val="false"/>
          <w:bCs w:val="false"/>
          <w:i w:val="false"/>
          <w:iCs w:val="false"/>
          <w:strike w:val="false"/>
          <w:dstrike w:val="false"/>
          <w:color w:val="000000"/>
          <w:sz w:val="22"/>
          <w:szCs w:val="22"/>
          <w:u w:val="none"/>
          <w:shd w:fill="FFFFFF" w:val="clear"/>
          <w:lang w:val="pt-BR" w:eastAsia="ar-SA" w:bidi="ar-SA"/>
        </w:rPr>
        <w:t xml:space="preserve"> deste edital e ainda, de acordo com a </w:t>
      </w:r>
      <w:r>
        <w:rPr>
          <w:rStyle w:val="Fontepargpadro"/>
          <w:rFonts w:eastAsia="Times New Roman" w:cs="Verdana" w:ascii="Arial" w:hAnsi="Arial"/>
          <w:b w:val="false"/>
          <w:bCs w:val="false"/>
          <w:i w:val="false"/>
          <w:iCs w:val="false"/>
          <w:strike w:val="false"/>
          <w:dstrike w:val="false"/>
          <w:color w:val="000000"/>
          <w:sz w:val="22"/>
          <w:szCs w:val="22"/>
          <w:u w:val="none"/>
          <w:shd w:fill="auto" w:val="clear"/>
          <w:lang w:val="pt-BR" w:eastAsia="ar-SA" w:bidi="ar-SA"/>
        </w:rPr>
        <w:t>cláusula décima segunda</w:t>
      </w:r>
      <w:r>
        <w:rPr>
          <w:rStyle w:val="Fontepargpadro"/>
          <w:rFonts w:eastAsia="Arial" w:cs="Arial" w:ascii="Arial" w:hAnsi="Arial"/>
          <w:b w:val="false"/>
          <w:bCs w:val="false"/>
          <w:i w:val="false"/>
          <w:iCs w:val="false"/>
          <w:strike w:val="false"/>
          <w:dstrike w:val="false"/>
          <w:color w:val="000000"/>
          <w:sz w:val="22"/>
          <w:szCs w:val="22"/>
          <w:u w:val="none"/>
          <w:shd w:fill="auto" w:val="clear"/>
          <w:lang w:val="pt-BR" w:eastAsia="ar-SA" w:bidi="ar-SA"/>
        </w:rPr>
        <w:t xml:space="preserve"> da minuta de contrato.</w:t>
      </w:r>
    </w:p>
    <w:p>
      <w:pPr>
        <w:pStyle w:val="Textbody"/>
        <w:spacing w:lineRule="auto" w:line="240" w:before="0" w:after="0"/>
        <w:rPr>
          <w:rFonts w:cs="Verdana"/>
        </w:rPr>
      </w:pPr>
      <w:r>
        <w:rPr>
          <w:rFonts w:cs="Verdana"/>
        </w:rPr>
        <w:t>15.11.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pPr>
        <w:pStyle w:val="Textbody"/>
        <w:spacing w:lineRule="auto" w:line="240" w:before="0" w:after="0"/>
        <w:rPr>
          <w:rFonts w:cs="Verdana"/>
        </w:rPr>
      </w:pPr>
      <w:r>
        <w:rPr>
          <w:rFonts w:cs="Verdana"/>
        </w:rPr>
        <w:t xml:space="preserve">15.12. </w:t>
      </w:r>
      <w:r>
        <w:rPr>
          <w:rStyle w:val="Fontepargpadro"/>
          <w:rFonts w:eastAsia="Times New Roman" w:cs="Verdana"/>
          <w:b w:val="false"/>
          <w:bCs w:val="false"/>
          <w:i w:val="false"/>
          <w:iCs w:val="false"/>
          <w:strike w:val="false"/>
          <w:dstrike w:val="false"/>
          <w:color w:val="000000"/>
          <w:sz w:val="22"/>
          <w:szCs w:val="22"/>
          <w:u w:val="none"/>
          <w:shd w:fill="auto" w:val="clear"/>
          <w:lang w:val="pt-BR"/>
        </w:rPr>
        <w:t>Erros no preenchimento da planilha não constituem motivo para a desclassificação da proposta. A planilha poderá ser ajustada pelo licitante, no prazo indicado pela comissão, desde que não haja majoração do preço e que se comprove que este é o bastante para arcar com todos os custos da contratação;</w:t>
      </w:r>
    </w:p>
    <w:p>
      <w:pPr>
        <w:pStyle w:val="Textbody"/>
        <w:spacing w:lineRule="auto" w:line="240" w:before="0" w:after="0"/>
        <w:rPr>
          <w:rFonts w:cs="Verdana"/>
        </w:rPr>
      </w:pPr>
      <w:r>
        <w:rPr>
          <w:rStyle w:val="Fontepargpadro"/>
          <w:rFonts w:eastAsia="Times New Roman" w:cs="Verdana"/>
          <w:b w:val="false"/>
          <w:bCs w:val="false"/>
          <w:i w:val="false"/>
          <w:iCs w:val="false"/>
          <w:strike w:val="false"/>
          <w:dstrike w:val="false"/>
          <w:color w:val="000000"/>
          <w:sz w:val="22"/>
          <w:szCs w:val="22"/>
          <w:u w:val="none"/>
          <w:shd w:fill="auto" w:val="clear"/>
          <w:lang w:val="pt-BR"/>
        </w:rPr>
        <w:t>15.12.1. O ajuste de que trata o item anterior se limita a sanar erros ou falhas que não alterem a substância das propostas;</w:t>
      </w:r>
    </w:p>
    <w:p>
      <w:pPr>
        <w:pStyle w:val="Textbody"/>
        <w:spacing w:lineRule="auto" w:line="240" w:before="0" w:after="0"/>
        <w:rPr>
          <w:rFonts w:cs="Verdana"/>
        </w:rPr>
      </w:pPr>
      <w:r>
        <w:rPr>
          <w:rFonts w:cs="Verdana"/>
        </w:rPr>
        <w:t>15.13. No caso de divergências entre as colunas da discriminação dos serviços, unidades e quantidades constantes nas propostas dos proponentes e aqueles constantes no Anexo deste Edital, prevalecerão as discriminações do referido Anexo, sujeitando-se o licitante a executar os serviços de acordo com as especificações e detalhamento constantes neste instrumento convocatório.</w:t>
      </w:r>
    </w:p>
    <w:p>
      <w:pPr>
        <w:pStyle w:val="Textbody"/>
        <w:spacing w:lineRule="auto" w:line="240" w:before="0" w:after="0"/>
        <w:rPr>
          <w:rFonts w:cs="Verdana"/>
        </w:rPr>
      </w:pPr>
      <w:r>
        <w:rPr>
          <w:rFonts w:cs="Verdana"/>
        </w:rPr>
        <w:t>15.14. O licitante deverá apresentar o mesmo preço unitário para serviços iguais. Caso o licitante apresente preços unitários diferentes para serviços iguais, será considerado o menor dos preços unitários apresentados, não se constituindo, de forma alguma, motivo para desclassificação.</w:t>
      </w:r>
    </w:p>
    <w:p>
      <w:pPr>
        <w:pStyle w:val="Ttulo112"/>
        <w:spacing w:lineRule="auto" w:line="240" w:before="0" w:after="0"/>
        <w:ind w:left="0" w:hanging="0"/>
        <w:rPr>
          <w:sz w:val="22"/>
          <w:szCs w:val="22"/>
        </w:rPr>
      </w:pPr>
      <w:r>
        <w:rPr>
          <w:sz w:val="22"/>
          <w:szCs w:val="22"/>
        </w:rPr>
      </w:r>
    </w:p>
    <w:p>
      <w:pPr>
        <w:pStyle w:val="Ttulo112"/>
        <w:spacing w:lineRule="auto" w:line="240" w:before="0" w:after="0"/>
        <w:ind w:left="0" w:hanging="0"/>
        <w:rPr>
          <w:sz w:val="22"/>
          <w:szCs w:val="22"/>
        </w:rPr>
      </w:pPr>
      <w:r>
        <w:rPr>
          <w:sz w:val="22"/>
          <w:szCs w:val="22"/>
        </w:rPr>
        <w:t>16. DA FASE DE HABILITAÇÃO</w:t>
      </w:r>
    </w:p>
    <w:p>
      <w:pPr>
        <w:pStyle w:val="Textbody"/>
        <w:spacing w:lineRule="auto" w:line="240" w:before="0" w:after="0"/>
        <w:rPr>
          <w:rFonts w:cs="Verdana"/>
        </w:rPr>
      </w:pPr>
      <w:r>
        <w:rPr>
          <w:rFonts w:cs="Verdana"/>
        </w:rPr>
        <w:t>16.1. A habilitação será verificada por meio do Sistema de Cadastramento Unificado de Fornecedores – SICAF, do Governo Federal ou do Certificado de Registro Cadastral (CRC) emitido pela Secretaria do Planejamento e Gestão (SEPLAG), do Estado do Ceará, nos documentos de habilitação por eles abrangidos.</w:t>
      </w:r>
    </w:p>
    <w:p>
      <w:pPr>
        <w:pStyle w:val="Textbody"/>
        <w:spacing w:lineRule="auto" w:line="240" w:before="0" w:after="0"/>
        <w:rPr>
          <w:rFonts w:cs="Verdana"/>
        </w:rPr>
      </w:pPr>
      <w:r>
        <w:rPr>
          <w:rFonts w:cs="Verdana"/>
        </w:rPr>
        <w:t>16.2. A verificação no Sistema de Cadastro Unificado de Fornecedores (SICAF) ou a exigência dos documentos nele não contidos, somente será feita em relação ao licitante provisoriamente vencedor.</w:t>
      </w:r>
    </w:p>
    <w:p>
      <w:pPr>
        <w:pStyle w:val="Textbody"/>
        <w:spacing w:lineRule="auto" w:line="240" w:before="0" w:after="0"/>
        <w:rPr>
          <w:rFonts w:cs="Verdana"/>
        </w:rPr>
      </w:pPr>
      <w:r>
        <w:rPr>
          <w:rFonts w:cs="Verdana"/>
        </w:rPr>
        <w:t>16.3. A verificação pela Comissão, em sítios eletrônicos oficiais de órgãos e entidades emissores de certidões constitui meio legal de prova, para fins de habilitação.</w:t>
      </w:r>
    </w:p>
    <w:p>
      <w:pPr>
        <w:pStyle w:val="Textbody"/>
        <w:spacing w:lineRule="auto" w:line="240" w:before="0" w:after="0"/>
        <w:rPr>
          <w:highlight w:val="none"/>
          <w:shd w:fill="auto" w:val="clear"/>
        </w:rPr>
      </w:pPr>
      <w:r>
        <w:rPr>
          <w:rFonts w:cs="Verdana"/>
          <w:shd w:fill="auto" w:val="clear"/>
        </w:rPr>
        <w:t>16.4. Como condição prévia ao exame da documentação de habilitação do licitante detentor da proposta classificada em primeiro lugar, a Comissão verificará o eventual descumprimento das condições de participação previstas neste edital.</w:t>
      </w:r>
    </w:p>
    <w:p>
      <w:pPr>
        <w:pStyle w:val="Textbody"/>
        <w:spacing w:lineRule="auto" w:line="240" w:before="0" w:after="0"/>
        <w:rPr>
          <w:rFonts w:cs="Verdana"/>
        </w:rPr>
      </w:pPr>
      <w:r>
        <w:rPr>
          <w:rFonts w:cs="Verdana"/>
        </w:rPr>
        <w:t>16.5. Constatada a existência de sanção e/ou eventual descumprimento das condições de participação, a Comissão reputará o licitante inabilitado.</w:t>
      </w:r>
    </w:p>
    <w:p>
      <w:pPr>
        <w:pStyle w:val="Textoprformatado"/>
        <w:bidi w:val="0"/>
        <w:spacing w:lineRule="auto" w:line="240" w:before="57" w:after="57"/>
        <w:ind w:left="0" w:right="0" w:hanging="0"/>
        <w:jc w:val="both"/>
        <w:rPr>
          <w:b w:val="false"/>
          <w:bCs w:val="false"/>
          <w:color w:val="000000"/>
          <w:sz w:val="22"/>
          <w:szCs w:val="22"/>
          <w:shd w:fill="auto" w:val="clear"/>
        </w:rPr>
      </w:pPr>
      <w:r>
        <w:rPr>
          <w:rStyle w:val="Fontepargpadro"/>
          <w:rFonts w:eastAsia="Cumberland AMT" w:cs="Arial" w:ascii="Arial" w:hAnsi="Arial"/>
          <w:b w:val="false"/>
          <w:bCs w:val="false"/>
          <w:color w:val="000000"/>
          <w:sz w:val="22"/>
          <w:szCs w:val="22"/>
          <w:shd w:fill="auto" w:val="clear"/>
          <w:lang w:val="pt-BR"/>
        </w:rPr>
        <w:t xml:space="preserve">16.6. </w:t>
      </w:r>
      <w:r>
        <w:rPr>
          <w:rStyle w:val="Fontepargpadro"/>
          <w:rFonts w:eastAsia="Cumberland AMT" w:cs="Cumberland AMT" w:ascii="Arial" w:hAnsi="Arial"/>
          <w:b w:val="false"/>
          <w:bCs w:val="false"/>
          <w:i w:val="false"/>
          <w:iCs w:val="false"/>
          <w:color w:val="000000"/>
          <w:kern w:val="0"/>
          <w:position w:val="0"/>
          <w:sz w:val="22"/>
          <w:sz w:val="22"/>
          <w:szCs w:val="22"/>
          <w:shd w:fill="auto" w:val="clear"/>
          <w:vertAlign w:val="baseline"/>
          <w:lang w:val="pt-BR"/>
        </w:rPr>
        <w:t xml:space="preserve">Os documentos de habilitação deverão ser apresentados ou pela matriz ou pela filial que estiver participando do certame, </w:t>
      </w:r>
      <w:r>
        <w:rPr>
          <w:rStyle w:val="Fontepargpadro"/>
          <w:rFonts w:eastAsia="Cumberland AMT" w:cs="Arial" w:ascii="Arial" w:hAnsi="Arial"/>
          <w:b w:val="false"/>
          <w:bCs w:val="false"/>
          <w:i w:val="false"/>
          <w:iCs w:val="false"/>
          <w:color w:val="000000"/>
          <w:kern w:val="0"/>
          <w:position w:val="0"/>
          <w:sz w:val="22"/>
          <w:sz w:val="22"/>
          <w:szCs w:val="22"/>
          <w:shd w:fill="auto" w:val="clear"/>
          <w:vertAlign w:val="baseline"/>
          <w:lang w:val="pt-BR"/>
        </w:rPr>
        <w:t>com exceção dos documentos que são válidos tanto para matriz como para as filiais como é o caso dos atestados de capacidade técnica. O contrato será celebrado com a sede que apresentou a documentação.</w:t>
      </w:r>
    </w:p>
    <w:p>
      <w:pPr>
        <w:pStyle w:val="Corpodotexto"/>
        <w:bidi w:val="0"/>
        <w:spacing w:lineRule="auto" w:line="240" w:before="57" w:after="57"/>
        <w:ind w:left="0" w:right="0" w:hanging="0"/>
        <w:jc w:val="both"/>
        <w:rPr/>
      </w:pPr>
      <w:r>
        <w:rPr>
          <w:rStyle w:val="Fontepargpadro"/>
          <w:rFonts w:eastAsia="Cumberland AMT" w:cs="Cumberland AMT" w:ascii="Arial" w:hAnsi="Arial"/>
          <w:b w:val="false"/>
          <w:bCs w:val="false"/>
          <w:i w:val="false"/>
          <w:iCs w:val="false"/>
          <w:color w:val="000000"/>
          <w:kern w:val="0"/>
          <w:position w:val="0"/>
          <w:sz w:val="22"/>
          <w:sz w:val="22"/>
          <w:szCs w:val="22"/>
          <w:shd w:fill="FFFFFF" w:val="clear"/>
          <w:vertAlign w:val="baseline"/>
          <w:lang w:val="pt-BR"/>
        </w:rPr>
        <w:t>16</w:t>
      </w:r>
      <w:r>
        <w:rPr>
          <w:rStyle w:val="Fontepargpadro"/>
          <w:rFonts w:eastAsia="Cumberland AMT" w:cs="Arial" w:ascii="Arial" w:hAnsi="Arial"/>
          <w:b w:val="false"/>
          <w:bCs w:val="false"/>
          <w:i w:val="false"/>
          <w:iCs w:val="false"/>
          <w:color w:val="000000"/>
          <w:kern w:val="0"/>
          <w:position w:val="0"/>
          <w:sz w:val="22"/>
          <w:sz w:val="22"/>
          <w:szCs w:val="22"/>
          <w:shd w:fill="auto" w:val="clear"/>
          <w:vertAlign w:val="baseline"/>
          <w:lang w:val="pt-BR"/>
        </w:rPr>
        <w:t xml:space="preserve">.7. O documento obtido através de </w:t>
      </w:r>
      <w:r>
        <w:rPr>
          <w:rStyle w:val="Fontepargpadro"/>
          <w:rFonts w:eastAsia="Cumberland AMT" w:cs="Arial" w:ascii="Arial" w:hAnsi="Arial"/>
          <w:b w:val="false"/>
          <w:bCs w:val="false"/>
          <w:i/>
          <w:iCs w:val="false"/>
          <w:color w:val="000000"/>
          <w:kern w:val="0"/>
          <w:position w:val="0"/>
          <w:sz w:val="22"/>
          <w:sz w:val="22"/>
          <w:szCs w:val="22"/>
          <w:shd w:fill="auto" w:val="clear"/>
          <w:vertAlign w:val="baseline"/>
          <w:lang w:val="pt-BR"/>
        </w:rPr>
        <w:t>sítios</w:t>
      </w:r>
      <w:r>
        <w:rPr>
          <w:rStyle w:val="Fontepargpadro"/>
          <w:rFonts w:eastAsia="Cumberland AMT" w:cs="Arial" w:ascii="Arial" w:hAnsi="Arial"/>
          <w:b w:val="false"/>
          <w:bCs w:val="false"/>
          <w:i w:val="false"/>
          <w:iCs w:val="false"/>
          <w:color w:val="000000"/>
          <w:kern w:val="0"/>
          <w:position w:val="0"/>
          <w:sz w:val="22"/>
          <w:sz w:val="22"/>
          <w:szCs w:val="22"/>
          <w:shd w:fill="auto" w:val="clear"/>
          <w:vertAlign w:val="baseline"/>
          <w:lang w:val="pt-BR"/>
        </w:rPr>
        <w:t xml:space="preserve"> oficiais, que esteja condicionado à aceitação via internet, terá sua autenticidade verificada pela Comissão.</w:t>
      </w:r>
    </w:p>
    <w:p>
      <w:pPr>
        <w:pStyle w:val="Textoprformatado"/>
        <w:bidi w:val="0"/>
        <w:spacing w:lineRule="auto" w:line="240" w:before="57" w:after="57"/>
        <w:ind w:left="0" w:right="0" w:hanging="0"/>
        <w:jc w:val="both"/>
        <w:rPr>
          <w:b w:val="false"/>
          <w:bCs w:val="false"/>
          <w:color w:val="000000"/>
          <w:sz w:val="22"/>
          <w:szCs w:val="22"/>
          <w:shd w:fill="auto" w:val="clear"/>
        </w:rPr>
      </w:pPr>
      <w:r>
        <w:rPr>
          <w:rStyle w:val="Fontepargpadro"/>
          <w:rFonts w:eastAsia="Cumberland AMT" w:cs="Cumberland AMT" w:ascii="Arial" w:hAnsi="Arial"/>
          <w:b w:val="false"/>
          <w:bCs w:val="false"/>
          <w:i w:val="false"/>
          <w:iCs w:val="false"/>
          <w:strike w:val="false"/>
          <w:dstrike w:val="false"/>
          <w:color w:val="000000"/>
          <w:kern w:val="0"/>
          <w:position w:val="0"/>
          <w:sz w:val="22"/>
          <w:sz w:val="22"/>
          <w:szCs w:val="22"/>
          <w:u w:val="none"/>
          <w:shd w:fill="FFFFFF" w:val="clear"/>
          <w:vertAlign w:val="baseline"/>
          <w:lang w:val="pt-BR"/>
        </w:rPr>
        <w:t>16</w:t>
      </w:r>
      <w:r>
        <w:rPr>
          <w:rStyle w:val="Fontepargpadro"/>
          <w:rFonts w:eastAsia="Cumberland AMT" w:cs="Arial" w:ascii="Arial" w:hAnsi="Arial"/>
          <w:b w:val="false"/>
          <w:bCs w:val="false"/>
          <w:i w:val="false"/>
          <w:iCs w:val="false"/>
          <w:strike w:val="false"/>
          <w:dstrike w:val="false"/>
          <w:color w:val="000000"/>
          <w:kern w:val="0"/>
          <w:position w:val="0"/>
          <w:sz w:val="22"/>
          <w:sz w:val="22"/>
          <w:szCs w:val="22"/>
          <w:u w:val="none"/>
          <w:shd w:fill="auto" w:val="clear"/>
          <w:vertAlign w:val="baseline"/>
          <w:lang w:val="pt-BR"/>
        </w:rPr>
        <w:t>.8. Os documentos têm que se encontrar dentro do prazo de validade. Na hipótese de o documento não constar expressamente a validade, este deverá ser acompanhado de declaração ou regulamentação do órgão emissor que disponha sobre sua validade. Na ausência de tal declaração ou regulamentação, o documento será considerado válido pelo prazo de 90 (noventa) dias, contados a partir da data de sua emissão, quando se tratar de documentos referentes à habilitação fiscal e econômico-financeira.</w:t>
      </w:r>
    </w:p>
    <w:p>
      <w:pPr>
        <w:pStyle w:val="Textbody"/>
        <w:spacing w:lineRule="auto" w:line="240" w:before="0" w:after="0"/>
        <w:rPr>
          <w:rFonts w:cs="Verdana"/>
          <w:b/>
          <w:bCs/>
        </w:rPr>
      </w:pPr>
      <w:r>
        <w:rPr>
          <w:rFonts w:cs="Verdana"/>
          <w:b/>
          <w:bCs/>
        </w:rPr>
        <w:t>Habilitação jurídica</w:t>
      </w:r>
    </w:p>
    <w:p>
      <w:pPr>
        <w:pStyle w:val="Textbody"/>
        <w:spacing w:lineRule="auto" w:line="240" w:before="0" w:after="0"/>
        <w:rPr>
          <w:rFonts w:cs="Verdana"/>
        </w:rPr>
      </w:pPr>
      <w:r>
        <w:rPr>
          <w:rFonts w:cs="Verdana"/>
        </w:rPr>
        <w:t>16.9. A documentação relativa à habilitação jurídica consistirá em:</w:t>
      </w:r>
    </w:p>
    <w:p>
      <w:pPr>
        <w:pStyle w:val="Textbody"/>
        <w:spacing w:lineRule="auto" w:line="240" w:before="0" w:after="0"/>
        <w:rPr>
          <w:rFonts w:cs="Verdana"/>
        </w:rPr>
      </w:pPr>
      <w:r>
        <w:rPr>
          <w:rFonts w:cs="Verdana"/>
        </w:rPr>
        <w:t>16.9.1. Empresário individual: inscrição no Registro Público de Empresas Mercantis, a cargo da Junta Comercial da respectiva sede;</w:t>
      </w:r>
    </w:p>
    <w:p>
      <w:pPr>
        <w:pStyle w:val="Textbody"/>
        <w:spacing w:lineRule="auto" w:line="240" w:before="0" w:after="0"/>
        <w:rPr>
          <w:rFonts w:cs="Verdana"/>
        </w:rPr>
      </w:pPr>
      <w:r>
        <w:rPr>
          <w:rFonts w:cs="Verdana"/>
        </w:rPr>
        <w:t>16.9.2. Microempreendedor Individual – MEI: Certificado da Condição de Microempreendedor Individual – CCMEI, cuja aceitação ficará condicionada à verificação da autenticidade no sítio https://www.gov.br/empresas-e-negocios/pt-br/empreendedor;</w:t>
      </w:r>
    </w:p>
    <w:p>
      <w:pPr>
        <w:pStyle w:val="Textbody"/>
        <w:spacing w:lineRule="auto" w:line="240" w:before="0" w:after="0"/>
        <w:rPr>
          <w:rFonts w:cs="Verdana"/>
        </w:rPr>
      </w:pPr>
      <w:r>
        <w:rPr>
          <w:rFonts w:cs="Verdana"/>
        </w:rPr>
        <w:t>16.9.3.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pPr>
        <w:pStyle w:val="Textbody"/>
        <w:spacing w:lineRule="auto" w:line="240" w:before="0" w:after="0"/>
        <w:rPr>
          <w:rFonts w:cs="Verdana"/>
        </w:rPr>
      </w:pPr>
      <w:r>
        <w:rPr>
          <w:rFonts w:cs="Verdana"/>
        </w:rPr>
        <w:t>16.9.4.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pPr>
        <w:pStyle w:val="Textbody"/>
        <w:spacing w:lineRule="auto" w:line="240" w:before="0" w:after="0"/>
        <w:rPr>
          <w:rFonts w:cs="Verdana"/>
        </w:rPr>
      </w:pPr>
      <w:r>
        <w:rPr>
          <w:rFonts w:cs="Verdana"/>
        </w:rPr>
        <w:t>16.9.5. Sociedade simples: inscrição do ato constitutivo no Registro Civil de Pessoas Jurídicas do local de sua sede, acompanhada de documento comprobatório de seus administradores;</w:t>
      </w:r>
    </w:p>
    <w:p>
      <w:pPr>
        <w:pStyle w:val="Textbody"/>
        <w:spacing w:lineRule="auto" w:line="240" w:before="0" w:after="0"/>
        <w:rPr>
          <w:rFonts w:cs="Verdana"/>
        </w:rPr>
      </w:pPr>
      <w:r>
        <w:rPr>
          <w:rFonts w:cs="Verdana"/>
        </w:rPr>
        <w:t>16.9.6.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Textbody"/>
        <w:spacing w:lineRule="auto" w:line="240" w:before="0" w:after="0"/>
        <w:rPr>
          <w:rFonts w:cs="Verdana"/>
        </w:rPr>
      </w:pPr>
      <w:r>
        <w:rPr>
          <w:rFonts w:cs="Verdana"/>
        </w:rPr>
        <w:t>16.9.7. Sociedade cooperativa: ata de fundação e estatuto social, com a ata da assembleia que o aprovou, devidamente arquivado na Junta Comercial ou inscrito no Registro Civil das Pessoas Jurídicas da respectiva sede, além do registro de que trata o art. 107 da Lei nº 5.764/1971;</w:t>
      </w:r>
    </w:p>
    <w:p>
      <w:pPr>
        <w:pStyle w:val="Textbody"/>
        <w:spacing w:lineRule="auto" w:line="240" w:before="0" w:after="0"/>
        <w:rPr>
          <w:rFonts w:cs="Arial"/>
          <w:color w:val="00000A"/>
          <w:szCs w:val="22"/>
        </w:rPr>
      </w:pPr>
      <w:r>
        <w:rPr>
          <w:rFonts w:cs="Arial"/>
          <w:color w:val="00000A"/>
          <w:szCs w:val="22"/>
        </w:rPr>
        <w:t>16.9.8. Em caso de consórcio, as empresas consorciadas apresentarão instrumento público ou particular de compromisso de constituição de consórcio, com a indicação do nome do consórcio e indicação da empresa líder, que será a responsável principal perante a CONTRATANTE, sem prejuízo da responsabilidade solidária das empresas consorciadas, tanto durante as fases da licitação quanto na execução do contrato. A empresa líder terá poderes para requerer, transferir, receber e dar quitação, subscrevendo em nome do Consórcio todos os atos referentes à execução do Contrato. Respeitadas as demais condições legais e as constantes deste Edital, poderão participar da presente licitação empresas brasileiras ou em consórcio.</w:t>
      </w:r>
    </w:p>
    <w:p>
      <w:pPr>
        <w:pStyle w:val="Textbody"/>
        <w:spacing w:lineRule="auto" w:line="240" w:before="0" w:after="0"/>
        <w:rPr>
          <w:rFonts w:cs="Arial"/>
          <w:color w:val="00000A"/>
          <w:szCs w:val="22"/>
        </w:rPr>
      </w:pPr>
      <w:r>
        <w:rPr>
          <w:rFonts w:cs="Arial"/>
          <w:color w:val="00000A"/>
          <w:szCs w:val="22"/>
        </w:rPr>
      </w:r>
    </w:p>
    <w:p>
      <w:pPr>
        <w:pStyle w:val="Textbody"/>
        <w:spacing w:lineRule="auto" w:line="240" w:before="0" w:after="0"/>
        <w:rPr>
          <w:rFonts w:cs="Arial"/>
          <w:b/>
          <w:bCs/>
          <w:color w:val="00000A"/>
          <w:szCs w:val="22"/>
        </w:rPr>
      </w:pPr>
      <w:r>
        <w:rPr>
          <w:rFonts w:cs="Arial"/>
          <w:b/>
          <w:bCs/>
          <w:color w:val="00000A"/>
          <w:szCs w:val="22"/>
        </w:rPr>
        <w:t>Qualificação técnica</w:t>
      </w:r>
    </w:p>
    <w:p>
      <w:pPr>
        <w:pStyle w:val="Textbody"/>
        <w:spacing w:lineRule="auto" w:line="240" w:before="0" w:after="0"/>
        <w:rPr>
          <w:rFonts w:cs="Arial"/>
          <w:color w:val="00000A"/>
          <w:szCs w:val="22"/>
        </w:rPr>
      </w:pPr>
      <w:r>
        <w:rPr>
          <w:rFonts w:cs="Arial"/>
          <w:color w:val="00000A"/>
          <w:szCs w:val="22"/>
        </w:rPr>
        <w:t>16.10. A documentação relativa à qualificação técnico-profissional e técnico-operacional nos termos do art. 67 da Lei Federal nº 14.133/2021 será restrita a:</w:t>
      </w:r>
    </w:p>
    <w:p>
      <w:pPr>
        <w:pStyle w:val="Textbody"/>
        <w:spacing w:lineRule="auto" w:line="240" w:before="0" w:after="0"/>
        <w:rPr>
          <w:rFonts w:cs="Arial"/>
          <w:b/>
          <w:bCs/>
          <w:color w:val="00000A"/>
          <w:szCs w:val="22"/>
        </w:rPr>
      </w:pPr>
      <w:r>
        <w:rPr>
          <w:rFonts w:cs="Arial"/>
          <w:b/>
          <w:bCs/>
          <w:color w:val="00000A"/>
          <w:szCs w:val="22"/>
        </w:rPr>
      </w:r>
    </w:p>
    <w:p>
      <w:pPr>
        <w:pStyle w:val="Textbody"/>
        <w:spacing w:lineRule="auto" w:line="240" w:before="0" w:after="0"/>
        <w:rPr>
          <w:color w:val="000000"/>
        </w:rPr>
      </w:pPr>
      <w:r>
        <w:rPr>
          <w:rFonts w:cs="Arial"/>
          <w:b/>
          <w:bCs/>
          <w:color w:val="000000"/>
          <w:szCs w:val="22"/>
        </w:rPr>
        <w:t>Técnico-profissional</w:t>
      </w:r>
    </w:p>
    <w:p>
      <w:pPr>
        <w:pStyle w:val="Textoprformatado"/>
        <w:jc w:val="both"/>
        <w:rPr>
          <w:color w:val="000000"/>
        </w:rPr>
      </w:pPr>
      <w:r>
        <w:rPr>
          <w:rFonts w:eastAsia="Times New Roman" w:cs="Arial" w:ascii="Arial" w:hAnsi="Arial"/>
          <w:color w:val="000000"/>
          <w:sz w:val="22"/>
          <w:szCs w:val="22"/>
        </w:rPr>
        <w:t>16.11.1.</w:t>
      </w:r>
      <w:r>
        <w:rPr>
          <w:rFonts w:eastAsia="Times New Roman" w:cs="Arial"/>
          <w:color w:val="000000"/>
          <w:szCs w:val="22"/>
        </w:rPr>
        <w:t xml:space="preserve"> </w:t>
      </w:r>
      <w:r>
        <w:rPr>
          <w:rFonts w:eastAsia="Arial" w:cs="Verdana" w:ascii="Arial" w:hAnsi="Arial"/>
          <w:color w:val="000000"/>
          <w:sz w:val="22"/>
          <w:szCs w:val="22"/>
          <w:lang w:eastAsia="ar-SA"/>
        </w:rPr>
        <w:t>Comprovação de o licitante possuir como responsável técnico</w:t>
      </w:r>
      <w:r>
        <w:rPr>
          <w:rFonts w:eastAsia="Arial" w:cs="Arial" w:ascii="Arial" w:hAnsi="Arial"/>
          <w:color w:val="000000"/>
          <w:sz w:val="22"/>
          <w:szCs w:val="22"/>
          <w:lang w:eastAsia="ar-SA"/>
        </w:rPr>
        <w:t xml:space="preserve"> na data prevista para entrega dos documentos, profissional (is) devidamente registrado no CREA ou CAU, conforme o caso, detentor (es) de Certidão de Acervo Técnico com registro de atestado, que comprove a execução de obras ou serviços de características técnicas semelhantes as do objeto da presente licitação.</w:t>
      </w:r>
    </w:p>
    <w:p>
      <w:pPr>
        <w:pStyle w:val="Textoprformatado"/>
        <w:jc w:val="both"/>
        <w:rPr>
          <w:color w:val="000000"/>
        </w:rPr>
      </w:pPr>
      <w:r>
        <w:rPr>
          <w:rFonts w:ascii="Arial" w:hAnsi="Arial"/>
          <w:color w:val="000000"/>
          <w:sz w:val="22"/>
          <w:szCs w:val="22"/>
          <w:shd w:fill="FFFFFF" w:val="clear"/>
          <w:lang w:eastAsia="ar-SA"/>
        </w:rPr>
        <w:t>16</w:t>
      </w:r>
      <w:r>
        <w:rPr>
          <w:rFonts w:eastAsia="Arial" w:cs="Verdana" w:ascii="Arial" w:hAnsi="Arial"/>
          <w:color w:val="000000"/>
          <w:sz w:val="22"/>
          <w:szCs w:val="22"/>
          <w:lang w:eastAsia="ar-SA"/>
        </w:rPr>
        <w:t>.11.1.1. A vinculação do profissional com o licitante poderá ser comprovada por meio de relações de trabalho, contratos de prestação de serviços, vínculo societário entre a empresa e o profissional especializado, ou mesmo declaração de contratação futura do profissional. Essa declaração deve ser acompanhada de declaração de anuência do profissional.</w:t>
      </w:r>
    </w:p>
    <w:p>
      <w:pPr>
        <w:pStyle w:val="Textoprformatado"/>
        <w:jc w:val="both"/>
        <w:rPr>
          <w:color w:val="000000"/>
        </w:rPr>
      </w:pPr>
      <w:r>
        <w:rPr>
          <w:rFonts w:ascii="Arial" w:hAnsi="Arial"/>
          <w:color w:val="000000"/>
          <w:sz w:val="22"/>
          <w:szCs w:val="22"/>
          <w:shd w:fill="FFFFFF" w:val="clear"/>
          <w:lang w:eastAsia="ar-SA"/>
        </w:rPr>
        <w:t>16</w:t>
      </w:r>
      <w:r>
        <w:rPr>
          <w:rFonts w:eastAsia="Arial" w:cs="Verdana" w:ascii="Arial" w:hAnsi="Arial"/>
          <w:color w:val="000000"/>
          <w:sz w:val="22"/>
          <w:szCs w:val="22"/>
          <w:lang w:eastAsia="ar-SA"/>
        </w:rPr>
        <w:t>.11.1.2. Quando se tratar de dirigente ou sócio da empresa licitante, tal comprovação será feita por meio do ato constitutivo e certidão do CREA ou CAU, conforme o caso.</w:t>
      </w:r>
    </w:p>
    <w:p>
      <w:pPr>
        <w:pStyle w:val="Textoprformatado"/>
        <w:jc w:val="both"/>
        <w:rPr>
          <w:color w:val="000000"/>
        </w:rPr>
      </w:pPr>
      <w:r>
        <w:rPr>
          <w:rFonts w:ascii="Arial" w:hAnsi="Arial"/>
          <w:color w:val="000000"/>
          <w:sz w:val="22"/>
          <w:szCs w:val="22"/>
          <w:shd w:fill="FFFFFF" w:val="clear"/>
          <w:lang w:eastAsia="ar-SA"/>
        </w:rPr>
        <w:t>16</w:t>
      </w:r>
      <w:r>
        <w:rPr>
          <w:rFonts w:eastAsia="Arial" w:cs="Verdana" w:ascii="Arial" w:hAnsi="Arial"/>
          <w:color w:val="000000"/>
          <w:sz w:val="22"/>
          <w:szCs w:val="22"/>
          <w:lang w:eastAsia="ar-SA"/>
        </w:rPr>
        <w:t>.11.1.3. Não serão admitidos certidões ou atestados de responsabilidade técnica de profissionais que, na forma de regulamento, tenham dado causa à aplicação das sanções previstas nos incisos III e IV do caput do art. 156 da Lei nº 14.133/2021 em decorrência de orientação proposta, de prescrição técnica ou de qualquer ato profissional de sua responsabilidade.</w:t>
      </w:r>
    </w:p>
    <w:p>
      <w:pPr>
        <w:pStyle w:val="Textoprformatado"/>
        <w:jc w:val="both"/>
        <w:rPr>
          <w:color w:val="000000"/>
        </w:rPr>
      </w:pPr>
      <w:r>
        <w:rPr>
          <w:rFonts w:ascii="Arial" w:hAnsi="Arial"/>
          <w:color w:val="000000"/>
          <w:sz w:val="22"/>
          <w:szCs w:val="22"/>
          <w:shd w:fill="FFFFFF" w:val="clear"/>
          <w:lang w:eastAsia="ar-SA"/>
        </w:rPr>
        <w:t>16</w:t>
      </w:r>
      <w:r>
        <w:rPr>
          <w:rFonts w:eastAsia="Arial" w:cs="Verdana" w:ascii="Arial" w:hAnsi="Arial"/>
          <w:color w:val="000000"/>
          <w:sz w:val="22"/>
          <w:szCs w:val="22"/>
          <w:lang w:eastAsia="ar-SA"/>
        </w:rPr>
        <w:t xml:space="preserve">.11.1.4. Para fins da comprovação de que trata o subitem </w:t>
      </w:r>
      <w:r>
        <w:rPr>
          <w:rFonts w:ascii="Arial" w:hAnsi="Arial"/>
          <w:color w:val="000000"/>
          <w:sz w:val="22"/>
          <w:szCs w:val="22"/>
          <w:shd w:fill="FFFFFF" w:val="clear"/>
          <w:lang w:eastAsia="ar-SA"/>
        </w:rPr>
        <w:t>16</w:t>
      </w:r>
      <w:r>
        <w:rPr>
          <w:rFonts w:eastAsia="Arial" w:cs="Verdana" w:ascii="Arial" w:hAnsi="Arial"/>
          <w:color w:val="000000"/>
          <w:sz w:val="22"/>
          <w:szCs w:val="22"/>
          <w:lang w:eastAsia="ar-SA"/>
        </w:rPr>
        <w:t>.3.1, os atestados ou certidões</w:t>
      </w:r>
      <w:r>
        <w:rPr>
          <w:rFonts w:eastAsia="Arial" w:cs="Arial" w:ascii="Arial" w:hAnsi="Arial"/>
          <w:color w:val="000000"/>
          <w:sz w:val="22"/>
          <w:szCs w:val="22"/>
          <w:lang w:eastAsia="ar-SA"/>
        </w:rPr>
        <w:t xml:space="preserve"> </w:t>
      </w:r>
      <w:r>
        <w:rPr>
          <w:rFonts w:eastAsia="Arial" w:cs="Verdana" w:ascii="Arial" w:hAnsi="Arial"/>
          <w:color w:val="000000"/>
          <w:sz w:val="22"/>
          <w:szCs w:val="22"/>
          <w:lang w:eastAsia="ar-SA"/>
        </w:rPr>
        <w:t>deverão dizer respeito às seguintes parcelas de maior relevância ou de valor significativo do objeto:</w:t>
      </w:r>
    </w:p>
    <w:p>
      <w:pPr>
        <w:pStyle w:val="Textoprformatado"/>
        <w:jc w:val="both"/>
        <w:rPr>
          <w:color w:val="C9211E"/>
        </w:rPr>
      </w:pPr>
      <w:r>
        <w:rPr>
          <w:color w:val="C9211E"/>
        </w:rPr>
      </w:r>
    </w:p>
    <w:tbl>
      <w:tblPr>
        <w:tblW w:w="9041" w:type="dxa"/>
        <w:jc w:val="left"/>
        <w:tblInd w:w="28" w:type="dxa"/>
        <w:tblLayout w:type="fixed"/>
        <w:tblCellMar>
          <w:top w:w="28" w:type="dxa"/>
          <w:left w:w="28" w:type="dxa"/>
          <w:bottom w:w="28" w:type="dxa"/>
          <w:right w:w="0" w:type="dxa"/>
        </w:tblCellMar>
      </w:tblPr>
      <w:tblGrid>
        <w:gridCol w:w="1749"/>
        <w:gridCol w:w="3896"/>
        <w:gridCol w:w="3396"/>
      </w:tblGrid>
      <w:tr>
        <w:trPr>
          <w:trHeight w:val="314" w:hRule="atLeast"/>
        </w:trPr>
        <w:tc>
          <w:tcPr>
            <w:tcW w:w="1749" w:type="dxa"/>
            <w:tcBorders>
              <w:top w:val="single" w:sz="2" w:space="0" w:color="000000"/>
              <w:left w:val="single" w:sz="2" w:space="0" w:color="000000"/>
              <w:bottom w:val="single" w:sz="2" w:space="0" w:color="000000"/>
            </w:tcBorders>
            <w:shd w:fill="B2B2B2" w:val="clear"/>
            <w:vAlign w:val="center"/>
          </w:tcPr>
          <w:p>
            <w:pPr>
              <w:pStyle w:val="Contedodatabela"/>
              <w:widowControl w:val="false"/>
              <w:suppressLineNumbers/>
              <w:suppressAutoHyphens w:val="true"/>
              <w:overflowPunct w:val="false"/>
              <w:bidi w:val="0"/>
              <w:spacing w:before="0" w:after="226"/>
              <w:ind w:left="283" w:right="227" w:hanging="0"/>
              <w:jc w:val="center"/>
              <w:textAlignment w:val="baseline"/>
              <w:rPr>
                <w:rFonts w:ascii="Calibri;sans-serif" w:hAnsi="Calibri;sans-serif" w:eastAsia="Cumberland AMT" w:cs="Cumberland AMT"/>
                <w:b/>
                <w:color w:val="000000"/>
                <w:sz w:val="18"/>
                <w:szCs w:val="18"/>
                <w:lang w:bidi="ar-SA"/>
              </w:rPr>
            </w:pPr>
            <w:r>
              <w:rPr>
                <w:rFonts w:eastAsia="Cumberland AMT" w:cs="Cumberland AMT" w:ascii="Calibri;sans-serif" w:hAnsi="Calibri;sans-serif"/>
                <w:b/>
                <w:color w:val="000000"/>
                <w:sz w:val="18"/>
                <w:szCs w:val="18"/>
                <w:lang w:bidi="ar-SA"/>
              </w:rPr>
              <w:t>ITEM</w:t>
            </w:r>
          </w:p>
        </w:tc>
        <w:tc>
          <w:tcPr>
            <w:tcW w:w="3896" w:type="dxa"/>
            <w:tcBorders>
              <w:top w:val="single" w:sz="2" w:space="0" w:color="000000"/>
              <w:left w:val="single" w:sz="2" w:space="0" w:color="000000"/>
              <w:bottom w:val="single" w:sz="2" w:space="0" w:color="000000"/>
            </w:tcBorders>
            <w:shd w:fill="B2B2B2" w:val="clear"/>
            <w:vAlign w:val="center"/>
          </w:tcPr>
          <w:p>
            <w:pPr>
              <w:pStyle w:val="Contedodatabela"/>
              <w:widowControl w:val="false"/>
              <w:suppressAutoHyphens w:val="true"/>
              <w:spacing w:before="0" w:after="226"/>
              <w:ind w:left="0" w:right="0" w:hanging="0"/>
              <w:jc w:val="center"/>
              <w:rPr>
                <w:rFonts w:ascii="Calibri;sans-serif" w:hAnsi="Calibri;sans-serif" w:eastAsia="Cumberland AMT" w:cs="Cumberland AMT"/>
                <w:b/>
                <w:color w:val="000000"/>
                <w:sz w:val="18"/>
                <w:szCs w:val="18"/>
                <w:lang w:bidi="ar-SA"/>
              </w:rPr>
            </w:pPr>
            <w:r>
              <w:rPr>
                <w:rFonts w:eastAsia="Cumberland AMT" w:cs="Cumberland AMT" w:ascii="Calibri;sans-serif" w:hAnsi="Calibri;sans-serif"/>
                <w:b/>
                <w:color w:val="000000"/>
                <w:sz w:val="18"/>
                <w:szCs w:val="18"/>
                <w:lang w:bidi="ar-SA"/>
              </w:rPr>
              <w:t>SERVIÇO</w:t>
            </w:r>
          </w:p>
        </w:tc>
        <w:tc>
          <w:tcPr>
            <w:tcW w:w="3396" w:type="dxa"/>
            <w:tcBorders>
              <w:top w:val="single" w:sz="2" w:space="0" w:color="000000"/>
              <w:left w:val="single" w:sz="2" w:space="0" w:color="000000"/>
              <w:bottom w:val="single" w:sz="2" w:space="0" w:color="000000"/>
            </w:tcBorders>
            <w:shd w:fill="B2B2B2" w:val="clear"/>
            <w:vAlign w:val="center"/>
          </w:tcPr>
          <w:p>
            <w:pPr>
              <w:pStyle w:val="Contedodatabela"/>
              <w:widowControl w:val="false"/>
              <w:suppressAutoHyphens w:val="true"/>
              <w:spacing w:before="0" w:after="226"/>
              <w:ind w:left="0" w:right="0" w:hanging="0"/>
              <w:jc w:val="center"/>
              <w:rPr>
                <w:rFonts w:ascii="Calibri;sans-serif" w:hAnsi="Calibri;sans-serif" w:eastAsia="Cumberland AMT" w:cs="Cumberland AMT"/>
                <w:b/>
                <w:color w:val="000000"/>
                <w:sz w:val="18"/>
                <w:szCs w:val="18"/>
                <w:lang w:bidi="ar-SA"/>
              </w:rPr>
            </w:pPr>
            <w:r>
              <w:rPr>
                <w:rFonts w:eastAsia="Cumberland AMT" w:cs="Cumberland AMT" w:ascii="Calibri;sans-serif" w:hAnsi="Calibri;sans-serif"/>
                <w:b/>
                <w:color w:val="000000"/>
                <w:sz w:val="18"/>
                <w:szCs w:val="18"/>
                <w:lang w:bidi="ar-SA"/>
              </w:rPr>
              <w:t>UNIDADE</w:t>
            </w:r>
          </w:p>
        </w:tc>
      </w:tr>
      <w:tr>
        <w:trPr>
          <w:trHeight w:val="926" w:hRule="atLeast"/>
        </w:trPr>
        <w:tc>
          <w:tcPr>
            <w:tcW w:w="1749" w:type="dxa"/>
            <w:tcBorders>
              <w:left w:val="single" w:sz="2" w:space="0" w:color="000000"/>
              <w:bottom w:val="single" w:sz="2" w:space="0" w:color="000000"/>
            </w:tcBorders>
            <w:tcMar>
              <w:top w:w="0" w:type="dxa"/>
            </w:tcMar>
            <w:vAlign w:val="center"/>
          </w:tcPr>
          <w:p>
            <w:pPr>
              <w:pStyle w:val="Contedodatabela"/>
              <w:widowControl w:val="false"/>
              <w:suppressAutoHyphens w:val="true"/>
              <w:spacing w:before="0" w:after="283"/>
              <w:ind w:left="0" w:right="0" w:hanging="0"/>
              <w:jc w:val="center"/>
              <w:rPr>
                <w:rFonts w:ascii="Calibri;sans-serif" w:hAnsi="Calibri;sans-serif" w:eastAsia="Cumberland AMT" w:cs="Cumberland AMT"/>
                <w:color w:val="000000"/>
                <w:sz w:val="18"/>
                <w:szCs w:val="18"/>
                <w:lang w:bidi="ar-SA"/>
              </w:rPr>
            </w:pPr>
            <w:r>
              <w:rPr>
                <w:rFonts w:eastAsia="Cumberland AMT" w:cs="Cumberland AMT" w:ascii="Calibri;sans-serif" w:hAnsi="Calibri;sans-serif"/>
                <w:color w:val="000000"/>
                <w:sz w:val="18"/>
                <w:szCs w:val="18"/>
                <w:lang w:bidi="ar-SA"/>
              </w:rPr>
              <w:t>1</w:t>
            </w:r>
          </w:p>
        </w:tc>
        <w:tc>
          <w:tcPr>
            <w:tcW w:w="3896" w:type="dxa"/>
            <w:tcBorders>
              <w:left w:val="single" w:sz="2" w:space="0" w:color="000000"/>
              <w:bottom w:val="single" w:sz="2" w:space="0" w:color="000000"/>
            </w:tcBorders>
            <w:tcMar>
              <w:top w:w="0" w:type="dxa"/>
            </w:tcMar>
            <w:vAlign w:val="center"/>
          </w:tcPr>
          <w:p>
            <w:pPr>
              <w:pStyle w:val="Contedodatabela"/>
              <w:widowControl w:val="false"/>
              <w:suppressAutoHyphens w:val="true"/>
              <w:spacing w:before="0" w:after="226"/>
              <w:ind w:left="0" w:right="0" w:hanging="0"/>
              <w:jc w:val="left"/>
              <w:rPr>
                <w:rFonts w:ascii="Calibri;sans-serif" w:hAnsi="Calibri;sans-serif" w:eastAsia="Cumberland AMT" w:cs="Cumberland AMT"/>
                <w:color w:val="000000"/>
                <w:sz w:val="18"/>
                <w:szCs w:val="18"/>
                <w:lang w:bidi="ar-SA"/>
              </w:rPr>
            </w:pPr>
            <w:r>
              <w:rPr>
                <w:rFonts w:eastAsia="Cumberland AMT" w:cs="Cumberland AMT" w:ascii="Calibri;sans-serif" w:hAnsi="Calibri;sans-serif"/>
                <w:color w:val="000000"/>
                <w:sz w:val="18"/>
                <w:szCs w:val="18"/>
                <w:lang w:bidi="ar-SA"/>
              </w:rPr>
              <w:t>EXECUÇÃO DE ARMAÇÃO DE ESTRUTURAS DE CANAIS DE CONCRETO ARMADO UTILIZANDO AÇO</w:t>
            </w:r>
          </w:p>
        </w:tc>
        <w:tc>
          <w:tcPr>
            <w:tcW w:w="3396" w:type="dxa"/>
            <w:tcBorders>
              <w:left w:val="single" w:sz="2" w:space="0" w:color="000000"/>
              <w:bottom w:val="single" w:sz="2" w:space="0" w:color="000000"/>
            </w:tcBorders>
            <w:tcMar>
              <w:top w:w="0" w:type="dxa"/>
            </w:tcMar>
            <w:vAlign w:val="center"/>
          </w:tcPr>
          <w:p>
            <w:pPr>
              <w:pStyle w:val="Contedodatabela"/>
              <w:widowControl w:val="false"/>
              <w:suppressAutoHyphens w:val="true"/>
              <w:spacing w:before="0" w:after="283"/>
              <w:ind w:left="0" w:right="0" w:hanging="0"/>
              <w:jc w:val="center"/>
              <w:rPr>
                <w:rFonts w:ascii="Calibri;sans-serif" w:hAnsi="Calibri;sans-serif" w:eastAsia="Cumberland AMT" w:cs="Cumberland AMT"/>
                <w:color w:val="000000"/>
                <w:sz w:val="18"/>
                <w:szCs w:val="18"/>
                <w:lang w:bidi="ar-SA"/>
              </w:rPr>
            </w:pPr>
            <w:r>
              <w:rPr>
                <w:rFonts w:eastAsia="Cumberland AMT" w:cs="Cumberland AMT" w:ascii="Calibri;sans-serif" w:hAnsi="Calibri;sans-serif"/>
                <w:color w:val="000000"/>
                <w:sz w:val="18"/>
                <w:szCs w:val="18"/>
                <w:lang w:bidi="ar-SA"/>
              </w:rPr>
              <w:t>KG</w:t>
            </w:r>
          </w:p>
        </w:tc>
      </w:tr>
      <w:tr>
        <w:trPr>
          <w:trHeight w:val="957" w:hRule="atLeast"/>
        </w:trPr>
        <w:tc>
          <w:tcPr>
            <w:tcW w:w="1749" w:type="dxa"/>
            <w:tcBorders>
              <w:left w:val="single" w:sz="2" w:space="0" w:color="000000"/>
              <w:bottom w:val="single" w:sz="2" w:space="0" w:color="000000"/>
            </w:tcBorders>
            <w:tcMar>
              <w:top w:w="0" w:type="dxa"/>
            </w:tcMar>
            <w:vAlign w:val="center"/>
          </w:tcPr>
          <w:p>
            <w:pPr>
              <w:pStyle w:val="Contedodatabela"/>
              <w:widowControl w:val="false"/>
              <w:suppressAutoHyphens w:val="true"/>
              <w:spacing w:before="0" w:after="226"/>
              <w:ind w:left="0" w:right="0" w:hanging="0"/>
              <w:jc w:val="center"/>
              <w:rPr>
                <w:rFonts w:ascii="Calibri;sans-serif" w:hAnsi="Calibri;sans-serif" w:eastAsia="Cumberland AMT" w:cs="Cumberland AMT"/>
                <w:color w:val="000000"/>
                <w:sz w:val="18"/>
                <w:szCs w:val="18"/>
                <w:lang w:bidi="ar-SA"/>
              </w:rPr>
            </w:pPr>
            <w:r>
              <w:rPr>
                <w:rFonts w:eastAsia="Cumberland AMT" w:cs="Cumberland AMT" w:ascii="Calibri;sans-serif" w:hAnsi="Calibri;sans-serif"/>
                <w:color w:val="000000"/>
                <w:sz w:val="18"/>
                <w:szCs w:val="18"/>
                <w:lang w:bidi="ar-SA"/>
              </w:rPr>
              <w:t>2</w:t>
            </w:r>
          </w:p>
        </w:tc>
        <w:tc>
          <w:tcPr>
            <w:tcW w:w="3896" w:type="dxa"/>
            <w:tcBorders>
              <w:left w:val="single" w:sz="2" w:space="0" w:color="000000"/>
              <w:bottom w:val="single" w:sz="2" w:space="0" w:color="000000"/>
            </w:tcBorders>
            <w:tcMar>
              <w:top w:w="0" w:type="dxa"/>
            </w:tcMar>
            <w:vAlign w:val="center"/>
          </w:tcPr>
          <w:p>
            <w:pPr>
              <w:pStyle w:val="Contedodatabela"/>
              <w:widowControl w:val="false"/>
              <w:suppressAutoHyphens w:val="true"/>
              <w:spacing w:before="0" w:after="226"/>
              <w:ind w:left="0" w:right="0" w:hanging="0"/>
              <w:jc w:val="left"/>
              <w:rPr>
                <w:rFonts w:ascii="Calibri;sans-serif" w:hAnsi="Calibri;sans-serif" w:eastAsia="Cumberland AMT" w:cs="Cumberland AMT"/>
                <w:color w:val="000000"/>
                <w:sz w:val="18"/>
                <w:szCs w:val="18"/>
                <w:lang w:bidi="ar-SA"/>
              </w:rPr>
            </w:pPr>
            <w:r>
              <w:rPr>
                <w:rFonts w:eastAsia="Cumberland AMT" w:cs="Cumberland AMT" w:ascii="Calibri;sans-serif" w:hAnsi="Calibri;sans-serif"/>
                <w:color w:val="000000"/>
                <w:sz w:val="18"/>
                <w:szCs w:val="18"/>
                <w:lang w:bidi="ar-SA"/>
              </w:rPr>
              <w:t>GUARDA CORPO C/ CORRIMÃO EM TUBO DE AÇO GALVANIZADO 2.1/2" (M) MONTAGEM E INSTALAÇÃO</w:t>
            </w:r>
          </w:p>
        </w:tc>
        <w:tc>
          <w:tcPr>
            <w:tcW w:w="3396" w:type="dxa"/>
            <w:tcBorders>
              <w:left w:val="single" w:sz="2" w:space="0" w:color="000000"/>
              <w:bottom w:val="single" w:sz="2" w:space="0" w:color="000000"/>
            </w:tcBorders>
            <w:tcMar>
              <w:top w:w="0" w:type="dxa"/>
            </w:tcMar>
            <w:vAlign w:val="center"/>
          </w:tcPr>
          <w:p>
            <w:pPr>
              <w:pStyle w:val="Contedodatabela"/>
              <w:widowControl w:val="false"/>
              <w:suppressAutoHyphens w:val="true"/>
              <w:spacing w:before="0" w:after="226"/>
              <w:ind w:left="0" w:right="0" w:hanging="0"/>
              <w:jc w:val="center"/>
              <w:rPr>
                <w:rFonts w:ascii="Calibri;sans-serif" w:hAnsi="Calibri;sans-serif" w:eastAsia="Cumberland AMT" w:cs="Cumberland AMT"/>
                <w:color w:val="000000"/>
                <w:sz w:val="18"/>
                <w:szCs w:val="18"/>
                <w:lang w:bidi="ar-SA"/>
              </w:rPr>
            </w:pPr>
            <w:r>
              <w:rPr>
                <w:rFonts w:eastAsia="Cumberland AMT" w:cs="Cumberland AMT" w:ascii="Calibri;sans-serif" w:hAnsi="Calibri;sans-serif"/>
                <w:color w:val="000000"/>
                <w:sz w:val="18"/>
                <w:szCs w:val="18"/>
                <w:lang w:bidi="ar-SA"/>
              </w:rPr>
              <w:t>M</w:t>
            </w:r>
          </w:p>
        </w:tc>
      </w:tr>
      <w:tr>
        <w:trPr>
          <w:trHeight w:val="885" w:hRule="atLeast"/>
        </w:trPr>
        <w:tc>
          <w:tcPr>
            <w:tcW w:w="1749" w:type="dxa"/>
            <w:tcBorders>
              <w:left w:val="single" w:sz="2" w:space="0" w:color="000000"/>
              <w:bottom w:val="single" w:sz="2" w:space="0" w:color="000000"/>
            </w:tcBorders>
            <w:tcMar>
              <w:top w:w="0" w:type="dxa"/>
            </w:tcMar>
            <w:vAlign w:val="center"/>
          </w:tcPr>
          <w:p>
            <w:pPr>
              <w:pStyle w:val="Contedodatabela"/>
              <w:widowControl w:val="false"/>
              <w:suppressAutoHyphens w:val="true"/>
              <w:spacing w:before="0" w:after="226"/>
              <w:ind w:left="0" w:right="0" w:hanging="0"/>
              <w:jc w:val="center"/>
              <w:rPr>
                <w:rFonts w:ascii="Calibri;sans-serif" w:hAnsi="Calibri;sans-serif" w:eastAsia="Cumberland AMT" w:cs="Cumberland AMT"/>
                <w:color w:val="000000"/>
                <w:sz w:val="18"/>
                <w:szCs w:val="18"/>
                <w:lang w:bidi="ar-SA"/>
              </w:rPr>
            </w:pPr>
            <w:r>
              <w:rPr>
                <w:rFonts w:eastAsia="Cumberland AMT" w:cs="Cumberland AMT" w:ascii="Calibri;sans-serif" w:hAnsi="Calibri;sans-serif"/>
                <w:color w:val="000000"/>
                <w:sz w:val="18"/>
                <w:szCs w:val="18"/>
                <w:lang w:bidi="ar-SA"/>
              </w:rPr>
              <w:t>3</w:t>
            </w:r>
          </w:p>
        </w:tc>
        <w:tc>
          <w:tcPr>
            <w:tcW w:w="3896" w:type="dxa"/>
            <w:tcBorders>
              <w:left w:val="single" w:sz="2" w:space="0" w:color="000000"/>
              <w:bottom w:val="single" w:sz="2" w:space="0" w:color="000000"/>
            </w:tcBorders>
            <w:tcMar>
              <w:top w:w="0" w:type="dxa"/>
            </w:tcMar>
            <w:vAlign w:val="center"/>
          </w:tcPr>
          <w:p>
            <w:pPr>
              <w:pStyle w:val="Contedodatabela"/>
              <w:widowControl w:val="false"/>
              <w:suppressAutoHyphens w:val="true"/>
              <w:spacing w:before="0" w:after="226"/>
              <w:ind w:left="0" w:right="0" w:hanging="0"/>
              <w:jc w:val="left"/>
              <w:rPr>
                <w:rFonts w:ascii="Calibri;sans-serif" w:hAnsi="Calibri;sans-serif" w:eastAsia="Cumberland AMT" w:cs="Cumberland AMT"/>
                <w:color w:val="000000"/>
                <w:sz w:val="18"/>
                <w:szCs w:val="18"/>
                <w:lang w:bidi="ar-SA"/>
              </w:rPr>
            </w:pPr>
            <w:r>
              <w:rPr>
                <w:rFonts w:eastAsia="Cumberland AMT" w:cs="Cumberland AMT" w:ascii="Calibri;sans-serif" w:hAnsi="Calibri;sans-serif"/>
                <w:color w:val="000000"/>
                <w:sz w:val="18"/>
                <w:szCs w:val="18"/>
                <w:lang w:bidi="ar-SA"/>
              </w:rPr>
              <w:t>EXECUÇÃO DE PAVIMENTO EM PISO INTERTRAVADO, COM BLOCO 16 FACES DE 22 X 11 CM, ESPESSURA 8 CM. AF_10/2022</w:t>
            </w:r>
          </w:p>
        </w:tc>
        <w:tc>
          <w:tcPr>
            <w:tcW w:w="3396" w:type="dxa"/>
            <w:tcBorders>
              <w:left w:val="single" w:sz="2" w:space="0" w:color="000000"/>
              <w:bottom w:val="single" w:sz="2" w:space="0" w:color="000000"/>
            </w:tcBorders>
            <w:tcMar>
              <w:top w:w="0" w:type="dxa"/>
            </w:tcMar>
            <w:vAlign w:val="center"/>
          </w:tcPr>
          <w:p>
            <w:pPr>
              <w:pStyle w:val="Contedodatabela"/>
              <w:widowControl w:val="false"/>
              <w:suppressAutoHyphens w:val="true"/>
              <w:spacing w:before="0" w:after="226"/>
              <w:ind w:left="0" w:right="0" w:hanging="0"/>
              <w:jc w:val="center"/>
              <w:rPr>
                <w:rFonts w:ascii="Calibri;sans-serif" w:hAnsi="Calibri;sans-serif" w:eastAsia="Cumberland AMT" w:cs="Cumberland AMT"/>
                <w:color w:val="000000"/>
                <w:sz w:val="18"/>
                <w:szCs w:val="18"/>
                <w:lang w:bidi="ar-SA"/>
              </w:rPr>
            </w:pPr>
            <w:r>
              <w:rPr>
                <w:rFonts w:eastAsia="Cumberland AMT" w:cs="Cumberland AMT" w:ascii="Calibri;sans-serif" w:hAnsi="Calibri;sans-serif"/>
                <w:color w:val="000000"/>
                <w:sz w:val="18"/>
                <w:szCs w:val="18"/>
                <w:lang w:bidi="ar-SA"/>
              </w:rPr>
              <w:t>M2</w:t>
            </w:r>
          </w:p>
        </w:tc>
      </w:tr>
      <w:tr>
        <w:trPr>
          <w:trHeight w:val="825" w:hRule="atLeast"/>
        </w:trPr>
        <w:tc>
          <w:tcPr>
            <w:tcW w:w="1749" w:type="dxa"/>
            <w:tcBorders>
              <w:left w:val="single" w:sz="2" w:space="0" w:color="000000"/>
              <w:bottom w:val="single" w:sz="2" w:space="0" w:color="000000"/>
            </w:tcBorders>
            <w:tcMar>
              <w:top w:w="0" w:type="dxa"/>
            </w:tcMar>
            <w:vAlign w:val="center"/>
          </w:tcPr>
          <w:p>
            <w:pPr>
              <w:pStyle w:val="Contedodatabela"/>
              <w:widowControl w:val="false"/>
              <w:suppressAutoHyphens w:val="true"/>
              <w:spacing w:before="0" w:after="226"/>
              <w:ind w:left="0" w:right="0" w:hanging="0"/>
              <w:jc w:val="center"/>
              <w:rPr>
                <w:rFonts w:ascii="Calibri;sans-serif" w:hAnsi="Calibri;sans-serif" w:eastAsia="Cumberland AMT" w:cs="Cumberland AMT"/>
                <w:color w:val="000000"/>
                <w:sz w:val="18"/>
                <w:szCs w:val="18"/>
                <w:lang w:bidi="ar-SA"/>
              </w:rPr>
            </w:pPr>
            <w:r>
              <w:rPr>
                <w:rFonts w:eastAsia="Cumberland AMT" w:cs="Cumberland AMT" w:ascii="Calibri;sans-serif" w:hAnsi="Calibri;sans-serif"/>
                <w:color w:val="000000"/>
                <w:sz w:val="18"/>
                <w:szCs w:val="18"/>
                <w:lang w:bidi="ar-SA"/>
              </w:rPr>
              <w:t>4</w:t>
            </w:r>
          </w:p>
        </w:tc>
        <w:tc>
          <w:tcPr>
            <w:tcW w:w="3896" w:type="dxa"/>
            <w:tcBorders>
              <w:left w:val="single" w:sz="2" w:space="0" w:color="000000"/>
              <w:bottom w:val="single" w:sz="2" w:space="0" w:color="000000"/>
            </w:tcBorders>
            <w:tcMar>
              <w:top w:w="0" w:type="dxa"/>
            </w:tcMar>
            <w:vAlign w:val="center"/>
          </w:tcPr>
          <w:p>
            <w:pPr>
              <w:pStyle w:val="Contedodatabela"/>
              <w:widowControl w:val="false"/>
              <w:suppressAutoHyphens w:val="true"/>
              <w:spacing w:before="0" w:after="226"/>
              <w:ind w:left="0" w:right="0" w:hanging="0"/>
              <w:jc w:val="left"/>
              <w:rPr>
                <w:rFonts w:ascii="Calibri;sans-serif" w:hAnsi="Calibri;sans-serif" w:eastAsia="Cumberland AMT" w:cs="Cumberland AMT"/>
                <w:color w:val="000000"/>
                <w:sz w:val="18"/>
                <w:szCs w:val="18"/>
                <w:lang w:bidi="ar-SA"/>
              </w:rPr>
            </w:pPr>
            <w:r>
              <w:rPr>
                <w:rFonts w:eastAsia="Cumberland AMT" w:cs="Cumberland AMT" w:ascii="Calibri;sans-serif" w:hAnsi="Calibri;sans-serif"/>
                <w:color w:val="000000"/>
                <w:sz w:val="18"/>
                <w:szCs w:val="18"/>
                <w:lang w:bidi="ar-SA"/>
              </w:rPr>
              <w:t>EXECUÇÃO DE PASSEIO EM PISO INTERTRAVADO, COM BLOCO RETANGULAR COLORIDO DE 20 X 10 CM, ESPESSURA 6 CM. AF_10/2022</w:t>
            </w:r>
          </w:p>
        </w:tc>
        <w:tc>
          <w:tcPr>
            <w:tcW w:w="3396" w:type="dxa"/>
            <w:tcBorders>
              <w:left w:val="single" w:sz="2" w:space="0" w:color="000000"/>
              <w:bottom w:val="single" w:sz="2" w:space="0" w:color="000000"/>
            </w:tcBorders>
            <w:tcMar>
              <w:top w:w="0" w:type="dxa"/>
            </w:tcMar>
            <w:vAlign w:val="center"/>
          </w:tcPr>
          <w:p>
            <w:pPr>
              <w:pStyle w:val="Contedodatabela"/>
              <w:widowControl w:val="false"/>
              <w:suppressAutoHyphens w:val="true"/>
              <w:spacing w:before="0" w:after="226"/>
              <w:ind w:left="0" w:right="0" w:hanging="0"/>
              <w:jc w:val="center"/>
              <w:rPr>
                <w:rFonts w:ascii="Calibri;sans-serif" w:hAnsi="Calibri;sans-serif" w:eastAsia="Cumberland AMT" w:cs="Cumberland AMT"/>
                <w:color w:val="000000"/>
                <w:sz w:val="18"/>
                <w:szCs w:val="18"/>
                <w:lang w:bidi="ar-SA"/>
              </w:rPr>
            </w:pPr>
            <w:r>
              <w:rPr>
                <w:rFonts w:eastAsia="Cumberland AMT" w:cs="Cumberland AMT" w:ascii="Calibri;sans-serif" w:hAnsi="Calibri;sans-serif"/>
                <w:color w:val="000000"/>
                <w:sz w:val="18"/>
                <w:szCs w:val="18"/>
                <w:lang w:bidi="ar-SA"/>
              </w:rPr>
              <w:t>M2</w:t>
            </w:r>
          </w:p>
        </w:tc>
      </w:tr>
    </w:tbl>
    <w:p>
      <w:pPr>
        <w:pStyle w:val="Textoprformatado"/>
        <w:jc w:val="both"/>
        <w:rPr>
          <w:color w:val="C9211E"/>
        </w:rPr>
      </w:pPr>
      <w:r>
        <w:rPr>
          <w:color w:val="C9211E"/>
        </w:rPr>
      </w:r>
    </w:p>
    <w:p>
      <w:pPr>
        <w:pStyle w:val="Textoprformatado"/>
        <w:jc w:val="both"/>
        <w:rPr>
          <w:color w:val="C9211E"/>
        </w:rPr>
      </w:pPr>
      <w:r>
        <w:rPr>
          <w:rFonts w:eastAsia="Arial" w:cs="Verdana" w:ascii="Arial" w:hAnsi="Arial"/>
          <w:color w:val="000000"/>
          <w:sz w:val="22"/>
          <w:szCs w:val="22"/>
          <w:shd w:fill="FFFFFF" w:val="clear"/>
          <w:lang w:eastAsia="ar-SA"/>
        </w:rPr>
        <w:t>16</w:t>
      </w:r>
      <w:r>
        <w:rPr>
          <w:rFonts w:eastAsia="Arial" w:cs="Verdana" w:ascii="Arial" w:hAnsi="Arial"/>
          <w:color w:val="000000"/>
          <w:sz w:val="22"/>
          <w:szCs w:val="22"/>
          <w:lang w:eastAsia="ar-SA"/>
        </w:rPr>
        <w:t>.11.1.5.</w:t>
      </w:r>
      <w:r>
        <w:rPr>
          <w:rFonts w:eastAsia="Arial" w:cs="Verdana" w:ascii="Arial" w:hAnsi="Arial"/>
          <w:sz w:val="22"/>
          <w:szCs w:val="22"/>
          <w:lang w:eastAsia="ar-SA"/>
        </w:rPr>
        <w:t xml:space="preserve"> </w:t>
      </w:r>
      <w:r>
        <w:rPr>
          <w:rFonts w:eastAsia="Times New Roman" w:cs="Bookman Old Style" w:ascii="Arial" w:hAnsi="Arial"/>
          <w:color w:val="000000"/>
          <w:kern w:val="0"/>
          <w:sz w:val="22"/>
          <w:szCs w:val="20"/>
          <w:lang w:val="pt-BR" w:eastAsia="zh-CN" w:bidi="ar-SA"/>
        </w:rPr>
        <w:t>As exigências de qualificação técnico-profissional estabelecidas neste edital foram definidas em estrita observância ao disposto no art. 67, caput e §1º, da Lei nº 14.133/2021, tendo por finalidade assegurar que o profissional responsável técnico indicado pela licitante detenha experiência prévia compatível com a complexidade, natureza e porte do objeto licitado, sem impor restrições indevidas à competitividade do certame.</w:t>
      </w:r>
    </w:p>
    <w:p>
      <w:pPr>
        <w:pStyle w:val="Textoprformatado"/>
        <w:jc w:val="both"/>
        <w:rPr>
          <w:color w:val="C9211E"/>
        </w:rPr>
      </w:pPr>
      <w:r>
        <w:rPr>
          <w:rFonts w:eastAsia="Arial" w:cs="Verdana" w:ascii="Arial" w:hAnsi="Arial"/>
          <w:color w:val="000000"/>
          <w:kern w:val="0"/>
          <w:sz w:val="22"/>
          <w:szCs w:val="22"/>
          <w:shd w:fill="FFFFFF" w:val="clear"/>
          <w:lang w:val="pt-BR" w:eastAsia="ar-SA" w:bidi="ar-SA"/>
        </w:rPr>
        <w:t>16</w:t>
      </w:r>
      <w:r>
        <w:rPr>
          <w:rFonts w:eastAsia="Arial" w:cs="Verdana" w:ascii="Arial" w:hAnsi="Arial"/>
          <w:color w:val="000000"/>
          <w:kern w:val="0"/>
          <w:sz w:val="22"/>
          <w:szCs w:val="22"/>
          <w:lang w:val="pt-BR" w:eastAsia="ar-SA" w:bidi="ar-SA"/>
        </w:rPr>
        <w:t>.11.1.6. Os serviços elencados refletem as principais atividades técnicas envolvidas na execução das obras de urbanização e qualificação dos afluentes do Rio Maranguapinho, compreendendo intervenções em meio urbano consolidado, com interferências físicas, execução de obras de canalização de cursos de águas urbanos, implantação de drenagem urbana, bem como serviços complementares de pavimentação, passeios e logística de transporte de materiais, todos inerentes e indissociáveis da adequada execução do empreendimento.</w:t>
      </w:r>
    </w:p>
    <w:p>
      <w:pPr>
        <w:pStyle w:val="Textoprformatado"/>
        <w:widowControl/>
        <w:suppressAutoHyphens w:val="true"/>
        <w:overflowPunct w:val="false"/>
        <w:bidi w:val="0"/>
        <w:spacing w:before="0" w:after="0"/>
        <w:jc w:val="both"/>
        <w:textAlignment w:val="baseline"/>
        <w:rPr>
          <w:rFonts w:ascii="Arial" w:hAnsi="Arial" w:eastAsia="Arial" w:cs="Verdana"/>
          <w:color w:val="000000"/>
          <w:kern w:val="0"/>
          <w:sz w:val="22"/>
          <w:szCs w:val="22"/>
          <w:lang w:val="pt-BR" w:eastAsia="ar-SA" w:bidi="ar-SA"/>
        </w:rPr>
      </w:pPr>
      <w:r>
        <w:rPr>
          <w:rFonts w:eastAsia="Arial" w:cs="Verdana" w:ascii="Arial" w:hAnsi="Arial"/>
          <w:color w:val="000000"/>
          <w:kern w:val="0"/>
          <w:sz w:val="22"/>
          <w:szCs w:val="22"/>
          <w:shd w:fill="FFFFFF" w:val="clear"/>
          <w:lang w:val="pt-BR" w:eastAsia="ar-SA" w:bidi="ar-SA"/>
        </w:rPr>
        <w:t>16</w:t>
      </w:r>
      <w:r>
        <w:rPr>
          <w:rFonts w:eastAsia="Arial" w:cs="Verdana" w:ascii="Arial" w:hAnsi="Arial"/>
          <w:color w:val="000000"/>
          <w:kern w:val="0"/>
          <w:sz w:val="22"/>
          <w:szCs w:val="22"/>
          <w:lang w:val="pt-BR" w:eastAsia="ar-SA" w:bidi="ar-SA"/>
        </w:rPr>
        <w:t>.11.1.7. A exigência de comprovação de experiência em tais serviços atende ao entendimento consolidado do Tribunal de Contas da União, no sentido de que a Administração deve exigir atestados compatíveis em características, complexidade e porte com o objeto, de modo a mitigar riscos à execução contratual, resguardar o interesse público e assegurar a entrega da obra com qualidade e segurança.</w:t>
      </w:r>
    </w:p>
    <w:p>
      <w:pPr>
        <w:pStyle w:val="Textoprformatado"/>
        <w:widowControl/>
        <w:suppressAutoHyphens w:val="true"/>
        <w:overflowPunct w:val="false"/>
        <w:bidi w:val="0"/>
        <w:spacing w:before="0" w:after="0"/>
        <w:jc w:val="both"/>
        <w:textAlignment w:val="baseline"/>
        <w:rPr>
          <w:rFonts w:ascii="Arial" w:hAnsi="Arial" w:eastAsia="Arial" w:cs="Verdana"/>
          <w:color w:val="000000"/>
          <w:kern w:val="0"/>
          <w:sz w:val="22"/>
          <w:szCs w:val="22"/>
          <w:lang w:val="pt-BR" w:eastAsia="ar-SA" w:bidi="ar-SA"/>
        </w:rPr>
      </w:pPr>
      <w:r>
        <w:rPr>
          <w:rFonts w:eastAsia="Arial" w:cs="Verdana" w:ascii="Arial" w:hAnsi="Arial"/>
          <w:color w:val="000000"/>
          <w:kern w:val="0"/>
          <w:sz w:val="22"/>
          <w:szCs w:val="22"/>
          <w:shd w:fill="FFFFFF" w:val="clear"/>
          <w:lang w:val="pt-BR" w:eastAsia="ar-SA" w:bidi="ar-SA"/>
        </w:rPr>
        <w:t>16</w:t>
      </w:r>
      <w:r>
        <w:rPr>
          <w:rFonts w:eastAsia="Arial" w:cs="Verdana" w:ascii="Arial" w:hAnsi="Arial"/>
          <w:color w:val="000000"/>
          <w:kern w:val="0"/>
          <w:sz w:val="22"/>
          <w:szCs w:val="22"/>
          <w:lang w:val="pt-BR" w:eastAsia="ar-SA" w:bidi="ar-SA"/>
        </w:rPr>
        <w:t>.11.1.8. Ressalta-se, ainda, que as exigências foram estruturadas de forma proporcional e não excludente, permitindo a comprovação da capacidade técnica por meio de um ou mais atestados, registrados no conselho profissional competente, preservando-se a ampla competitividade, em consonância com os princípios da legalidade, isonomia, razoabilidade, eficiência e seleção da proposta mais vantajosa, previstos no art. 5º da Lei nº 14.133/2021.</w:t>
      </w:r>
    </w:p>
    <w:p>
      <w:pPr>
        <w:pStyle w:val="Normal"/>
        <w:jc w:val="both"/>
        <w:rPr>
          <w:color w:val="C9211E"/>
        </w:rPr>
      </w:pPr>
      <w:r>
        <w:rPr>
          <w:color w:val="C9211E"/>
        </w:rPr>
      </w:r>
    </w:p>
    <w:p>
      <w:pPr>
        <w:pStyle w:val="Textbody"/>
        <w:spacing w:lineRule="auto" w:line="240" w:before="0" w:after="0"/>
        <w:rPr>
          <w:color w:val="000000"/>
        </w:rPr>
      </w:pPr>
      <w:r>
        <w:rPr>
          <w:b/>
          <w:bCs/>
          <w:color w:val="000000"/>
        </w:rPr>
        <w:t>Técnico-operacional</w:t>
      </w:r>
    </w:p>
    <w:p>
      <w:pPr>
        <w:pStyle w:val="Textbody"/>
        <w:spacing w:lineRule="auto" w:line="240" w:before="0" w:after="0"/>
        <w:rPr>
          <w:color w:val="000000"/>
        </w:rPr>
      </w:pPr>
      <w:r>
        <w:rPr>
          <w:color w:val="000000"/>
        </w:rPr>
        <w:t>16.11.2. Prova de inscrição ou registro do licitante, junto ao CREA ou CAU, conforme o caso, da localidade da sede do licitante, em plena validade;</w:t>
      </w:r>
    </w:p>
    <w:p>
      <w:pPr>
        <w:pStyle w:val="Textbody"/>
        <w:spacing w:lineRule="auto" w:line="240" w:before="0" w:after="0"/>
        <w:rPr>
          <w:color w:val="000000"/>
        </w:rPr>
      </w:pPr>
      <w:r>
        <w:rPr>
          <w:color w:val="000000"/>
        </w:rPr>
        <w:t>16.11.3. Comprovação da capacidade operacional para execução de obras ou serviços similares de complexidade tecnológica e operacional equivalente ou superior ao objeto desta contratação, por meio da apresentação de certidões ou atestados regularmente emitido(s) pelo conselho profissional competente.</w:t>
      </w:r>
    </w:p>
    <w:p>
      <w:pPr>
        <w:pStyle w:val="Textbody"/>
        <w:spacing w:lineRule="auto" w:line="240" w:before="0" w:after="0"/>
        <w:rPr>
          <w:color w:val="000000"/>
        </w:rPr>
      </w:pPr>
      <w:r>
        <w:rPr>
          <w:color w:val="000000"/>
        </w:rPr>
        <w:t xml:space="preserve">16.11.3.1. Para fins da comprovação de que trata o subitem </w:t>
      </w:r>
      <w:r>
        <w:rPr>
          <w:color w:val="000000"/>
          <w:shd w:fill="auto" w:val="clear"/>
        </w:rPr>
        <w:t>16.11.3,</w:t>
      </w:r>
      <w:r>
        <w:rPr>
          <w:color w:val="000000"/>
        </w:rPr>
        <w:t xml:space="preserve"> os atestados ou certidões deverão dizer respeito às seguintes parcelas de maior relevância ou de valor significativo do objeto:</w:t>
      </w:r>
    </w:p>
    <w:p>
      <w:pPr>
        <w:pStyle w:val="Textbody"/>
        <w:spacing w:lineRule="auto" w:line="240" w:before="0" w:after="0"/>
        <w:rPr>
          <w:color w:val="000000"/>
        </w:rPr>
      </w:pPr>
      <w:r>
        <w:rPr>
          <w:color w:val="000000"/>
        </w:rPr>
      </w:r>
    </w:p>
    <w:p>
      <w:pPr>
        <w:pStyle w:val="Textbody"/>
        <w:spacing w:lineRule="auto" w:line="240" w:before="0" w:after="0"/>
        <w:rPr>
          <w:color w:val="000000"/>
        </w:rPr>
      </w:pPr>
      <w:r>
        <w:rPr>
          <w:color w:val="000000"/>
        </w:rPr>
      </w:r>
    </w:p>
    <w:tbl>
      <w:tblPr>
        <w:tblW w:w="9355" w:type="dxa"/>
        <w:jc w:val="left"/>
        <w:tblInd w:w="-2" w:type="dxa"/>
        <w:tblLayout w:type="fixed"/>
        <w:tblCellMar>
          <w:top w:w="0" w:type="dxa"/>
          <w:left w:w="28" w:type="dxa"/>
          <w:bottom w:w="0" w:type="dxa"/>
          <w:right w:w="28" w:type="dxa"/>
        </w:tblCellMar>
      </w:tblPr>
      <w:tblGrid>
        <w:gridCol w:w="826"/>
        <w:gridCol w:w="3177"/>
        <w:gridCol w:w="841"/>
        <w:gridCol w:w="1450"/>
        <w:gridCol w:w="1726"/>
        <w:gridCol w:w="1334"/>
      </w:tblGrid>
      <w:tr>
        <w:trPr>
          <w:trHeight w:val="818" w:hRule="atLeast"/>
        </w:trPr>
        <w:tc>
          <w:tcPr>
            <w:tcW w:w="826" w:type="dxa"/>
            <w:tcBorders>
              <w:top w:val="single" w:sz="2" w:space="0" w:color="000000"/>
              <w:left w:val="single" w:sz="2" w:space="0" w:color="000000"/>
              <w:bottom w:val="single" w:sz="2" w:space="0" w:color="000000"/>
            </w:tcBorders>
            <w:shd w:fill="B2B2B2" w:val="clear"/>
            <w:vAlign w:val="center"/>
          </w:tcPr>
          <w:p>
            <w:pPr>
              <w:pStyle w:val="Normal"/>
              <w:widowControl w:val="false"/>
              <w:jc w:val="center"/>
              <w:rPr>
                <w:rFonts w:ascii="Calibri" w:hAnsi="Calibri" w:cs="Calibri"/>
                <w:b/>
                <w:sz w:val="18"/>
                <w:szCs w:val="18"/>
              </w:rPr>
            </w:pPr>
            <w:r>
              <w:rPr>
                <w:rFonts w:cs="Calibri" w:ascii="Calibri" w:hAnsi="Calibri"/>
                <w:b/>
                <w:sz w:val="18"/>
                <w:szCs w:val="18"/>
              </w:rPr>
              <w:t>ITEM</w:t>
            </w:r>
          </w:p>
        </w:tc>
        <w:tc>
          <w:tcPr>
            <w:tcW w:w="3177" w:type="dxa"/>
            <w:tcBorders>
              <w:top w:val="single" w:sz="2" w:space="0" w:color="000000"/>
              <w:left w:val="single" w:sz="2" w:space="0" w:color="000000"/>
              <w:bottom w:val="single" w:sz="2" w:space="0" w:color="000000"/>
            </w:tcBorders>
            <w:shd w:fill="B2B2B2" w:val="clear"/>
            <w:vAlign w:val="center"/>
          </w:tcPr>
          <w:p>
            <w:pPr>
              <w:pStyle w:val="Normal"/>
              <w:widowControl w:val="false"/>
              <w:jc w:val="center"/>
              <w:rPr>
                <w:rFonts w:ascii="Calibri" w:hAnsi="Calibri" w:cs="Calibri"/>
                <w:b/>
                <w:sz w:val="18"/>
                <w:szCs w:val="18"/>
              </w:rPr>
            </w:pPr>
            <w:r>
              <w:rPr>
                <w:rFonts w:cs="Calibri" w:ascii="Calibri" w:hAnsi="Calibri"/>
                <w:b/>
                <w:sz w:val="18"/>
                <w:szCs w:val="18"/>
              </w:rPr>
              <w:t>SERVIÇO</w:t>
            </w:r>
          </w:p>
        </w:tc>
        <w:tc>
          <w:tcPr>
            <w:tcW w:w="841" w:type="dxa"/>
            <w:tcBorders>
              <w:top w:val="single" w:sz="2" w:space="0" w:color="000000"/>
              <w:left w:val="single" w:sz="2" w:space="0" w:color="000000"/>
              <w:bottom w:val="single" w:sz="2" w:space="0" w:color="000000"/>
            </w:tcBorders>
            <w:shd w:fill="B2B2B2" w:val="clear"/>
            <w:vAlign w:val="center"/>
          </w:tcPr>
          <w:p>
            <w:pPr>
              <w:pStyle w:val="Normal"/>
              <w:widowControl w:val="false"/>
              <w:jc w:val="center"/>
              <w:rPr>
                <w:rFonts w:ascii="Calibri" w:hAnsi="Calibri" w:cs="Calibri"/>
                <w:b/>
                <w:sz w:val="18"/>
                <w:szCs w:val="18"/>
              </w:rPr>
            </w:pPr>
            <w:r>
              <w:rPr>
                <w:rFonts w:cs="Calibri" w:ascii="Calibri" w:hAnsi="Calibri"/>
                <w:b/>
                <w:sz w:val="18"/>
                <w:szCs w:val="18"/>
              </w:rPr>
              <w:t>UNIDADE</w:t>
            </w:r>
          </w:p>
        </w:tc>
        <w:tc>
          <w:tcPr>
            <w:tcW w:w="1450" w:type="dxa"/>
            <w:tcBorders>
              <w:top w:val="single" w:sz="2" w:space="0" w:color="000000"/>
              <w:left w:val="single" w:sz="2" w:space="0" w:color="000000"/>
              <w:bottom w:val="single" w:sz="2" w:space="0" w:color="000000"/>
            </w:tcBorders>
            <w:shd w:fill="B2B2B2" w:val="clear"/>
            <w:vAlign w:val="center"/>
          </w:tcPr>
          <w:p>
            <w:pPr>
              <w:pStyle w:val="Normal"/>
              <w:widowControl w:val="false"/>
              <w:jc w:val="center"/>
              <w:rPr>
                <w:rFonts w:ascii="Calibri" w:hAnsi="Calibri" w:cs="Calibri"/>
                <w:b/>
                <w:sz w:val="18"/>
                <w:szCs w:val="18"/>
              </w:rPr>
            </w:pPr>
            <w:r>
              <w:rPr>
                <w:rFonts w:cs="Calibri" w:ascii="Calibri" w:hAnsi="Calibri"/>
                <w:b/>
                <w:sz w:val="18"/>
                <w:szCs w:val="18"/>
              </w:rPr>
              <w:t>QUANTIDADE MÍNIMA</w:t>
            </w:r>
          </w:p>
        </w:tc>
        <w:tc>
          <w:tcPr>
            <w:tcW w:w="1726" w:type="dxa"/>
            <w:tcBorders>
              <w:top w:val="single" w:sz="2" w:space="0" w:color="000000"/>
              <w:left w:val="single" w:sz="2" w:space="0" w:color="000000"/>
              <w:bottom w:val="single" w:sz="2" w:space="0" w:color="000000"/>
            </w:tcBorders>
            <w:shd w:fill="B2B2B2" w:val="clear"/>
            <w:vAlign w:val="center"/>
          </w:tcPr>
          <w:p>
            <w:pPr>
              <w:pStyle w:val="Normal"/>
              <w:widowControl w:val="false"/>
              <w:jc w:val="center"/>
              <w:rPr>
                <w:rFonts w:ascii="Calibri" w:hAnsi="Calibri" w:cs="Calibri"/>
                <w:b/>
                <w:sz w:val="18"/>
                <w:szCs w:val="18"/>
              </w:rPr>
            </w:pPr>
            <w:r>
              <w:rPr>
                <w:rFonts w:cs="Calibri" w:ascii="Calibri" w:hAnsi="Calibri"/>
                <w:b/>
                <w:sz w:val="18"/>
                <w:szCs w:val="18"/>
              </w:rPr>
              <w:t>PERCENTUAL (%) DA QUANT. TOTAL ESTIMADA</w:t>
            </w:r>
          </w:p>
        </w:tc>
        <w:tc>
          <w:tcPr>
            <w:tcW w:w="1334" w:type="dxa"/>
            <w:tcBorders>
              <w:top w:val="single" w:sz="2" w:space="0" w:color="000000"/>
              <w:left w:val="single" w:sz="2" w:space="0" w:color="000000"/>
              <w:bottom w:val="single" w:sz="2" w:space="0" w:color="000000"/>
              <w:right w:val="single" w:sz="2" w:space="0" w:color="000000"/>
            </w:tcBorders>
            <w:shd w:fill="B2B2B2" w:val="clear"/>
            <w:vAlign w:val="center"/>
          </w:tcPr>
          <w:p>
            <w:pPr>
              <w:pStyle w:val="Normal"/>
              <w:widowControl w:val="false"/>
              <w:jc w:val="center"/>
              <w:rPr>
                <w:rFonts w:ascii="Calibri" w:hAnsi="Calibri" w:cs="Calibri"/>
                <w:b/>
                <w:sz w:val="18"/>
                <w:szCs w:val="18"/>
              </w:rPr>
            </w:pPr>
            <w:r>
              <w:rPr>
                <w:rFonts w:cs="Calibri" w:ascii="Calibri" w:hAnsi="Calibri"/>
                <w:b/>
                <w:sz w:val="18"/>
                <w:szCs w:val="18"/>
              </w:rPr>
              <w:t>PERCENTUAL (%) DO VALOR TOTAL ESTIMADO</w:t>
            </w:r>
          </w:p>
        </w:tc>
      </w:tr>
      <w:tr>
        <w:trPr>
          <w:trHeight w:val="696" w:hRule="atLeast"/>
        </w:trPr>
        <w:tc>
          <w:tcPr>
            <w:tcW w:w="826" w:type="dxa"/>
            <w:tcBorders>
              <w:left w:val="single" w:sz="2" w:space="0" w:color="000000"/>
              <w:bottom w:val="single" w:sz="2" w:space="0" w:color="000000"/>
            </w:tcBorders>
            <w:vAlign w:val="center"/>
          </w:tcPr>
          <w:p>
            <w:pPr>
              <w:pStyle w:val="Normal"/>
              <w:widowControl w:val="false"/>
              <w:spacing w:before="0" w:after="0"/>
              <w:jc w:val="left"/>
              <w:rPr>
                <w:rFonts w:ascii="Calibri" w:hAnsi="Calibri" w:cs="Calibri"/>
                <w:sz w:val="18"/>
                <w:szCs w:val="18"/>
              </w:rPr>
            </w:pPr>
            <w:r>
              <w:rPr>
                <w:rFonts w:cs="Calibri" w:ascii="Calibri" w:hAnsi="Calibri"/>
                <w:sz w:val="18"/>
                <w:szCs w:val="18"/>
              </w:rPr>
              <w:t>1</w:t>
            </w:r>
          </w:p>
        </w:tc>
        <w:tc>
          <w:tcPr>
            <w:tcW w:w="3177" w:type="dxa"/>
            <w:tcBorders>
              <w:left w:val="single" w:sz="2" w:space="0" w:color="000000"/>
              <w:bottom w:val="single" w:sz="2" w:space="0" w:color="000000"/>
            </w:tcBorders>
            <w:vAlign w:val="center"/>
          </w:tcPr>
          <w:p>
            <w:pPr>
              <w:pStyle w:val="Normal"/>
              <w:widowControl w:val="false"/>
              <w:spacing w:before="0" w:after="0"/>
              <w:jc w:val="left"/>
              <w:rPr>
                <w:rFonts w:ascii="Calibri" w:hAnsi="Calibri" w:eastAsia="SimSun" w:cs="Calibri"/>
                <w:color w:val="000000"/>
                <w:sz w:val="18"/>
                <w:szCs w:val="18"/>
              </w:rPr>
            </w:pPr>
            <w:r>
              <w:rPr>
                <w:rFonts w:eastAsia="SimSun" w:cs="Calibri" w:ascii="Calibri" w:hAnsi="Calibri"/>
                <w:color w:val="000000"/>
                <w:sz w:val="18"/>
                <w:szCs w:val="18"/>
              </w:rPr>
              <w:t>EXECUÇÃO DE ARMAÇÃO DE ESTRUTURAS DE CANAIS DE CONCRETO ARMADO UTILIZANDO AÇO</w:t>
            </w:r>
          </w:p>
        </w:tc>
        <w:tc>
          <w:tcPr>
            <w:tcW w:w="841" w:type="dxa"/>
            <w:tcBorders>
              <w:left w:val="single" w:sz="2" w:space="0" w:color="000000"/>
              <w:bottom w:val="single" w:sz="2" w:space="0" w:color="000000"/>
            </w:tcBorders>
            <w:vAlign w:val="center"/>
          </w:tcPr>
          <w:p>
            <w:pPr>
              <w:pStyle w:val="Normal"/>
              <w:widowControl w:val="false"/>
              <w:spacing w:before="0" w:after="0"/>
              <w:jc w:val="center"/>
              <w:rPr>
                <w:rFonts w:ascii="Calibri" w:hAnsi="Calibri" w:cs="Calibri"/>
                <w:sz w:val="18"/>
                <w:szCs w:val="18"/>
              </w:rPr>
            </w:pPr>
            <w:r>
              <w:rPr>
                <w:rFonts w:cs="Calibri" w:ascii="Calibri" w:hAnsi="Calibri"/>
                <w:sz w:val="18"/>
                <w:szCs w:val="18"/>
              </w:rPr>
              <w:t>KG</w:t>
            </w:r>
          </w:p>
        </w:tc>
        <w:tc>
          <w:tcPr>
            <w:tcW w:w="1450" w:type="dxa"/>
            <w:tcBorders>
              <w:left w:val="single" w:sz="2" w:space="0" w:color="000000"/>
              <w:bottom w:val="single" w:sz="2" w:space="0" w:color="000000"/>
            </w:tcBorders>
            <w:vAlign w:val="center"/>
          </w:tcPr>
          <w:p>
            <w:pPr>
              <w:pStyle w:val="Normal"/>
              <w:widowControl w:val="false"/>
              <w:spacing w:before="0" w:after="0"/>
              <w:jc w:val="center"/>
              <w:rPr/>
            </w:pPr>
            <w:r>
              <w:rPr>
                <w:rFonts w:eastAsia="Calibri" w:cs="Calibri" w:ascii="Calibri" w:hAnsi="Calibri"/>
                <w:sz w:val="18"/>
                <w:szCs w:val="18"/>
              </w:rPr>
              <w:t xml:space="preserve"> </w:t>
            </w:r>
            <w:r>
              <w:rPr>
                <w:rFonts w:cs="Calibri" w:ascii="Calibri" w:hAnsi="Calibri"/>
                <w:sz w:val="18"/>
                <w:szCs w:val="18"/>
              </w:rPr>
              <w:t>17.722,00</w:t>
            </w:r>
          </w:p>
        </w:tc>
        <w:tc>
          <w:tcPr>
            <w:tcW w:w="1726" w:type="dxa"/>
            <w:tcBorders>
              <w:left w:val="single" w:sz="2" w:space="0" w:color="000000"/>
              <w:bottom w:val="single" w:sz="2" w:space="0" w:color="000000"/>
            </w:tcBorders>
            <w:vAlign w:val="center"/>
          </w:tcPr>
          <w:p>
            <w:pPr>
              <w:pStyle w:val="Normal"/>
              <w:widowControl w:val="false"/>
              <w:spacing w:before="0" w:after="0"/>
              <w:jc w:val="center"/>
              <w:rPr>
                <w:rFonts w:ascii="Calibri" w:hAnsi="Calibri" w:cs="Calibri"/>
                <w:sz w:val="18"/>
                <w:szCs w:val="18"/>
              </w:rPr>
            </w:pPr>
            <w:r>
              <w:rPr>
                <w:rFonts w:cs="Calibri" w:ascii="Calibri" w:hAnsi="Calibri"/>
                <w:sz w:val="18"/>
                <w:szCs w:val="18"/>
              </w:rPr>
              <w:t>50%</w:t>
            </w:r>
          </w:p>
        </w:tc>
        <w:tc>
          <w:tcPr>
            <w:tcW w:w="1334" w:type="dxa"/>
            <w:tcBorders>
              <w:left w:val="single" w:sz="2" w:space="0" w:color="000000"/>
              <w:bottom w:val="single" w:sz="2" w:space="0" w:color="000000"/>
              <w:right w:val="single" w:sz="2" w:space="0" w:color="000000"/>
            </w:tcBorders>
            <w:vAlign w:val="center"/>
          </w:tcPr>
          <w:p>
            <w:pPr>
              <w:pStyle w:val="Normal"/>
              <w:widowControl w:val="false"/>
              <w:spacing w:before="0" w:after="0"/>
              <w:jc w:val="center"/>
              <w:rPr>
                <w:rFonts w:ascii="Calibri" w:hAnsi="Calibri" w:cs="Calibri"/>
                <w:sz w:val="18"/>
                <w:szCs w:val="18"/>
              </w:rPr>
            </w:pPr>
            <w:r>
              <w:rPr>
                <w:rFonts w:cs="Calibri" w:ascii="Calibri" w:hAnsi="Calibri"/>
                <w:sz w:val="18"/>
                <w:szCs w:val="18"/>
              </w:rPr>
              <w:t>4,08%</w:t>
            </w:r>
          </w:p>
        </w:tc>
      </w:tr>
      <w:tr>
        <w:trPr>
          <w:trHeight w:val="630" w:hRule="atLeast"/>
        </w:trPr>
        <w:tc>
          <w:tcPr>
            <w:tcW w:w="826" w:type="dxa"/>
            <w:tcBorders>
              <w:left w:val="single" w:sz="2" w:space="0" w:color="000000"/>
              <w:bottom w:val="single" w:sz="2" w:space="0" w:color="000000"/>
            </w:tcBorders>
            <w:vAlign w:val="center"/>
          </w:tcPr>
          <w:p>
            <w:pPr>
              <w:pStyle w:val="Normal"/>
              <w:widowControl w:val="false"/>
              <w:jc w:val="left"/>
              <w:rPr>
                <w:rFonts w:ascii="Calibri" w:hAnsi="Calibri" w:cs="Calibri"/>
                <w:sz w:val="18"/>
                <w:szCs w:val="18"/>
              </w:rPr>
            </w:pPr>
            <w:r>
              <w:rPr>
                <w:rFonts w:cs="Calibri" w:ascii="Calibri" w:hAnsi="Calibri"/>
                <w:sz w:val="18"/>
                <w:szCs w:val="18"/>
              </w:rPr>
              <w:t>2</w:t>
            </w:r>
          </w:p>
        </w:tc>
        <w:tc>
          <w:tcPr>
            <w:tcW w:w="3177" w:type="dxa"/>
            <w:tcBorders>
              <w:left w:val="single" w:sz="2" w:space="0" w:color="000000"/>
              <w:bottom w:val="single" w:sz="2" w:space="0" w:color="000000"/>
            </w:tcBorders>
            <w:vAlign w:val="center"/>
          </w:tcPr>
          <w:p>
            <w:pPr>
              <w:pStyle w:val="Normal"/>
              <w:widowControl w:val="false"/>
              <w:jc w:val="left"/>
              <w:rPr>
                <w:rFonts w:ascii="Calibri" w:hAnsi="Calibri" w:cs="Calibri"/>
                <w:sz w:val="18"/>
                <w:szCs w:val="18"/>
              </w:rPr>
            </w:pPr>
            <w:r>
              <w:rPr>
                <w:rFonts w:cs="Calibri" w:ascii="Calibri" w:hAnsi="Calibri"/>
                <w:sz w:val="18"/>
                <w:szCs w:val="18"/>
              </w:rPr>
              <w:t>GUARDA CORPO C/ CORRIMÃO EM TUBO DE AÇO GALVANIZADO 2.1/2" (M) MONTAGEM E INSTALAÇÃO</w:t>
            </w:r>
          </w:p>
        </w:tc>
        <w:tc>
          <w:tcPr>
            <w:tcW w:w="841" w:type="dxa"/>
            <w:tcBorders>
              <w:left w:val="single" w:sz="2" w:space="0" w:color="000000"/>
              <w:bottom w:val="single" w:sz="2" w:space="0" w:color="000000"/>
            </w:tcBorders>
            <w:vAlign w:val="center"/>
          </w:tcPr>
          <w:p>
            <w:pPr>
              <w:pStyle w:val="Normal"/>
              <w:widowControl w:val="false"/>
              <w:jc w:val="center"/>
              <w:rPr>
                <w:rFonts w:ascii="Calibri" w:hAnsi="Calibri" w:cs="Calibri"/>
                <w:sz w:val="18"/>
                <w:szCs w:val="18"/>
              </w:rPr>
            </w:pPr>
            <w:r>
              <w:rPr>
                <w:rFonts w:cs="Calibri" w:ascii="Calibri" w:hAnsi="Calibri"/>
                <w:sz w:val="18"/>
                <w:szCs w:val="18"/>
              </w:rPr>
              <w:t>M</w:t>
            </w:r>
          </w:p>
        </w:tc>
        <w:tc>
          <w:tcPr>
            <w:tcW w:w="1450" w:type="dxa"/>
            <w:tcBorders>
              <w:left w:val="single" w:sz="2" w:space="0" w:color="000000"/>
              <w:bottom w:val="single" w:sz="2" w:space="0" w:color="000000"/>
            </w:tcBorders>
            <w:vAlign w:val="center"/>
          </w:tcPr>
          <w:p>
            <w:pPr>
              <w:pStyle w:val="Normal"/>
              <w:widowControl w:val="false"/>
              <w:jc w:val="center"/>
              <w:rPr/>
            </w:pPr>
            <w:r>
              <w:rPr>
                <w:rFonts w:eastAsia="Calibri" w:cs="Calibri" w:ascii="Calibri" w:hAnsi="Calibri"/>
                <w:sz w:val="18"/>
                <w:szCs w:val="18"/>
              </w:rPr>
              <w:t xml:space="preserve"> </w:t>
            </w:r>
            <w:r>
              <w:rPr>
                <w:rFonts w:cs="Calibri" w:ascii="Calibri" w:hAnsi="Calibri"/>
                <w:sz w:val="18"/>
                <w:szCs w:val="18"/>
              </w:rPr>
              <w:t>1.344,50</w:t>
            </w:r>
          </w:p>
        </w:tc>
        <w:tc>
          <w:tcPr>
            <w:tcW w:w="1726" w:type="dxa"/>
            <w:tcBorders>
              <w:left w:val="single" w:sz="2" w:space="0" w:color="000000"/>
              <w:bottom w:val="single" w:sz="2" w:space="0" w:color="000000"/>
            </w:tcBorders>
            <w:vAlign w:val="center"/>
          </w:tcPr>
          <w:p>
            <w:pPr>
              <w:pStyle w:val="Normal"/>
              <w:widowControl w:val="false"/>
              <w:jc w:val="center"/>
              <w:rPr>
                <w:rFonts w:ascii="Calibri" w:hAnsi="Calibri" w:cs="Calibri"/>
                <w:sz w:val="18"/>
                <w:szCs w:val="18"/>
              </w:rPr>
            </w:pPr>
            <w:r>
              <w:rPr>
                <w:rFonts w:cs="Calibri" w:ascii="Calibri" w:hAnsi="Calibri"/>
                <w:sz w:val="18"/>
                <w:szCs w:val="18"/>
              </w:rPr>
              <w:t>50%</w:t>
            </w:r>
          </w:p>
        </w:tc>
        <w:tc>
          <w:tcPr>
            <w:tcW w:w="1334" w:type="dxa"/>
            <w:tcBorders>
              <w:left w:val="single" w:sz="2" w:space="0" w:color="000000"/>
              <w:bottom w:val="single" w:sz="2" w:space="0" w:color="000000"/>
              <w:right w:val="single" w:sz="2" w:space="0" w:color="000000"/>
            </w:tcBorders>
            <w:vAlign w:val="center"/>
          </w:tcPr>
          <w:p>
            <w:pPr>
              <w:pStyle w:val="Normal"/>
              <w:widowControl w:val="false"/>
              <w:jc w:val="center"/>
              <w:rPr>
                <w:rFonts w:ascii="Calibri" w:hAnsi="Calibri" w:cs="Calibri"/>
                <w:sz w:val="18"/>
                <w:szCs w:val="18"/>
              </w:rPr>
            </w:pPr>
            <w:r>
              <w:rPr>
                <w:rFonts w:cs="Calibri" w:ascii="Calibri" w:hAnsi="Calibri"/>
                <w:sz w:val="18"/>
                <w:szCs w:val="18"/>
              </w:rPr>
              <w:t>6,69%</w:t>
            </w:r>
          </w:p>
        </w:tc>
      </w:tr>
      <w:tr>
        <w:trPr>
          <w:trHeight w:val="885" w:hRule="atLeast"/>
        </w:trPr>
        <w:tc>
          <w:tcPr>
            <w:tcW w:w="826" w:type="dxa"/>
            <w:tcBorders>
              <w:left w:val="single" w:sz="2" w:space="0" w:color="000000"/>
              <w:bottom w:val="single" w:sz="2" w:space="0" w:color="000000"/>
            </w:tcBorders>
            <w:vAlign w:val="center"/>
          </w:tcPr>
          <w:p>
            <w:pPr>
              <w:pStyle w:val="Normal"/>
              <w:widowControl w:val="false"/>
              <w:jc w:val="left"/>
              <w:rPr>
                <w:rFonts w:ascii="Calibri" w:hAnsi="Calibri" w:cs="Calibri"/>
                <w:sz w:val="18"/>
                <w:szCs w:val="18"/>
              </w:rPr>
            </w:pPr>
            <w:r>
              <w:rPr>
                <w:rFonts w:cs="Calibri" w:ascii="Calibri" w:hAnsi="Calibri"/>
                <w:sz w:val="18"/>
                <w:szCs w:val="18"/>
              </w:rPr>
              <w:t>3</w:t>
            </w:r>
          </w:p>
        </w:tc>
        <w:tc>
          <w:tcPr>
            <w:tcW w:w="3177" w:type="dxa"/>
            <w:tcBorders>
              <w:left w:val="single" w:sz="2" w:space="0" w:color="000000"/>
              <w:bottom w:val="single" w:sz="2" w:space="0" w:color="000000"/>
            </w:tcBorders>
            <w:vAlign w:val="center"/>
          </w:tcPr>
          <w:p>
            <w:pPr>
              <w:pStyle w:val="Normal"/>
              <w:widowControl w:val="false"/>
              <w:jc w:val="left"/>
              <w:rPr>
                <w:rFonts w:ascii="Calibri" w:hAnsi="Calibri" w:cs="Calibri"/>
                <w:sz w:val="18"/>
                <w:szCs w:val="18"/>
              </w:rPr>
            </w:pPr>
            <w:r>
              <w:rPr>
                <w:rFonts w:cs="Calibri" w:ascii="Calibri" w:hAnsi="Calibri"/>
                <w:sz w:val="18"/>
                <w:szCs w:val="18"/>
              </w:rPr>
              <w:t>EXECUÇÃO DE PAVIMENTO EM PISO INTERTRAVADO, COM BLOCO 16 FACES DE 22 X 11 CM, ESPESSURA 8 CM. AF_10/2022</w:t>
            </w:r>
          </w:p>
        </w:tc>
        <w:tc>
          <w:tcPr>
            <w:tcW w:w="841" w:type="dxa"/>
            <w:tcBorders>
              <w:left w:val="single" w:sz="2" w:space="0" w:color="000000"/>
              <w:bottom w:val="single" w:sz="2" w:space="0" w:color="000000"/>
            </w:tcBorders>
            <w:vAlign w:val="center"/>
          </w:tcPr>
          <w:p>
            <w:pPr>
              <w:pStyle w:val="Normal"/>
              <w:widowControl w:val="false"/>
              <w:jc w:val="center"/>
              <w:rPr>
                <w:rFonts w:ascii="Calibri" w:hAnsi="Calibri" w:cs="Calibri"/>
                <w:sz w:val="18"/>
                <w:szCs w:val="18"/>
              </w:rPr>
            </w:pPr>
            <w:r>
              <w:rPr>
                <w:rFonts w:cs="Calibri" w:ascii="Calibri" w:hAnsi="Calibri"/>
                <w:sz w:val="18"/>
                <w:szCs w:val="18"/>
              </w:rPr>
              <w:t>M2</w:t>
            </w:r>
          </w:p>
        </w:tc>
        <w:tc>
          <w:tcPr>
            <w:tcW w:w="1450" w:type="dxa"/>
            <w:tcBorders>
              <w:left w:val="single" w:sz="2" w:space="0" w:color="000000"/>
              <w:bottom w:val="single" w:sz="2" w:space="0" w:color="000000"/>
            </w:tcBorders>
            <w:vAlign w:val="center"/>
          </w:tcPr>
          <w:p>
            <w:pPr>
              <w:pStyle w:val="Normal"/>
              <w:widowControl w:val="false"/>
              <w:jc w:val="center"/>
              <w:rPr/>
            </w:pPr>
            <w:r>
              <w:rPr>
                <w:rFonts w:eastAsia="Calibri" w:cs="Calibri" w:ascii="Calibri" w:hAnsi="Calibri"/>
                <w:sz w:val="18"/>
                <w:szCs w:val="18"/>
              </w:rPr>
              <w:t xml:space="preserve"> </w:t>
            </w:r>
            <w:r>
              <w:rPr>
                <w:rFonts w:cs="Calibri" w:ascii="Calibri" w:hAnsi="Calibri"/>
                <w:sz w:val="18"/>
                <w:szCs w:val="18"/>
              </w:rPr>
              <w:t>3.135,00</w:t>
            </w:r>
          </w:p>
        </w:tc>
        <w:tc>
          <w:tcPr>
            <w:tcW w:w="1726" w:type="dxa"/>
            <w:tcBorders>
              <w:left w:val="single" w:sz="2" w:space="0" w:color="000000"/>
              <w:bottom w:val="single" w:sz="2" w:space="0" w:color="000000"/>
            </w:tcBorders>
            <w:vAlign w:val="center"/>
          </w:tcPr>
          <w:p>
            <w:pPr>
              <w:pStyle w:val="Normal"/>
              <w:widowControl w:val="false"/>
              <w:jc w:val="center"/>
              <w:rPr>
                <w:rFonts w:ascii="Calibri" w:hAnsi="Calibri" w:cs="Calibri"/>
                <w:sz w:val="18"/>
                <w:szCs w:val="18"/>
              </w:rPr>
            </w:pPr>
            <w:r>
              <w:rPr>
                <w:rFonts w:cs="Calibri" w:ascii="Calibri" w:hAnsi="Calibri"/>
                <w:sz w:val="18"/>
                <w:szCs w:val="18"/>
              </w:rPr>
              <w:t>50%</w:t>
            </w:r>
          </w:p>
        </w:tc>
        <w:tc>
          <w:tcPr>
            <w:tcW w:w="1334" w:type="dxa"/>
            <w:tcBorders>
              <w:left w:val="single" w:sz="2" w:space="0" w:color="000000"/>
              <w:bottom w:val="single" w:sz="2" w:space="0" w:color="000000"/>
              <w:right w:val="single" w:sz="2" w:space="0" w:color="000000"/>
            </w:tcBorders>
            <w:vAlign w:val="center"/>
          </w:tcPr>
          <w:p>
            <w:pPr>
              <w:pStyle w:val="Normal"/>
              <w:widowControl w:val="false"/>
              <w:jc w:val="center"/>
              <w:rPr>
                <w:rFonts w:ascii="Calibri" w:hAnsi="Calibri" w:cs="Calibri"/>
                <w:sz w:val="18"/>
                <w:szCs w:val="18"/>
              </w:rPr>
            </w:pPr>
            <w:r>
              <w:rPr>
                <w:rFonts w:cs="Calibri" w:ascii="Calibri" w:hAnsi="Calibri"/>
                <w:sz w:val="18"/>
                <w:szCs w:val="18"/>
              </w:rPr>
              <w:t>5,17%</w:t>
            </w:r>
          </w:p>
        </w:tc>
      </w:tr>
      <w:tr>
        <w:trPr>
          <w:trHeight w:val="832" w:hRule="atLeast"/>
        </w:trPr>
        <w:tc>
          <w:tcPr>
            <w:tcW w:w="826" w:type="dxa"/>
            <w:tcBorders>
              <w:left w:val="single" w:sz="2" w:space="0" w:color="000000"/>
              <w:bottom w:val="single" w:sz="2" w:space="0" w:color="000000"/>
            </w:tcBorders>
            <w:vAlign w:val="center"/>
          </w:tcPr>
          <w:p>
            <w:pPr>
              <w:pStyle w:val="Normal"/>
              <w:widowControl w:val="false"/>
              <w:jc w:val="left"/>
              <w:rPr>
                <w:rFonts w:ascii="Calibri" w:hAnsi="Calibri" w:cs="Calibri"/>
                <w:sz w:val="18"/>
                <w:szCs w:val="18"/>
              </w:rPr>
            </w:pPr>
            <w:r>
              <w:rPr>
                <w:rFonts w:cs="Calibri" w:ascii="Calibri" w:hAnsi="Calibri"/>
                <w:sz w:val="18"/>
                <w:szCs w:val="18"/>
              </w:rPr>
              <w:t>4</w:t>
            </w:r>
          </w:p>
        </w:tc>
        <w:tc>
          <w:tcPr>
            <w:tcW w:w="3177" w:type="dxa"/>
            <w:tcBorders>
              <w:left w:val="single" w:sz="2" w:space="0" w:color="000000"/>
              <w:bottom w:val="single" w:sz="2" w:space="0" w:color="000000"/>
            </w:tcBorders>
            <w:vAlign w:val="center"/>
          </w:tcPr>
          <w:p>
            <w:pPr>
              <w:pStyle w:val="Normal"/>
              <w:widowControl w:val="false"/>
              <w:jc w:val="left"/>
              <w:rPr>
                <w:rFonts w:ascii="Calibri" w:hAnsi="Calibri" w:cs="Calibri"/>
                <w:sz w:val="18"/>
                <w:szCs w:val="18"/>
              </w:rPr>
            </w:pPr>
            <w:r>
              <w:rPr>
                <w:rFonts w:cs="Calibri" w:ascii="Calibri" w:hAnsi="Calibri"/>
                <w:sz w:val="18"/>
                <w:szCs w:val="18"/>
              </w:rPr>
              <w:t>EXECUÇÃO DE PASSEIO EM PISO INTERTRAVADO, COM BLOCO RETANGULAR COLORIDO DE 20 X 10 CM, ESPESSURA 6 CM. AF_10/2022</w:t>
            </w:r>
          </w:p>
        </w:tc>
        <w:tc>
          <w:tcPr>
            <w:tcW w:w="841" w:type="dxa"/>
            <w:tcBorders>
              <w:left w:val="single" w:sz="2" w:space="0" w:color="000000"/>
              <w:bottom w:val="single" w:sz="2" w:space="0" w:color="000000"/>
            </w:tcBorders>
            <w:vAlign w:val="center"/>
          </w:tcPr>
          <w:p>
            <w:pPr>
              <w:pStyle w:val="Normal"/>
              <w:widowControl w:val="false"/>
              <w:jc w:val="center"/>
              <w:rPr>
                <w:rFonts w:ascii="Calibri" w:hAnsi="Calibri" w:cs="Calibri"/>
                <w:sz w:val="18"/>
                <w:szCs w:val="18"/>
              </w:rPr>
            </w:pPr>
            <w:r>
              <w:rPr>
                <w:rFonts w:cs="Calibri" w:ascii="Calibri" w:hAnsi="Calibri"/>
                <w:sz w:val="18"/>
                <w:szCs w:val="18"/>
              </w:rPr>
              <w:t>M2</w:t>
            </w:r>
          </w:p>
        </w:tc>
        <w:tc>
          <w:tcPr>
            <w:tcW w:w="1450" w:type="dxa"/>
            <w:tcBorders>
              <w:left w:val="single" w:sz="2" w:space="0" w:color="000000"/>
              <w:bottom w:val="single" w:sz="2" w:space="0" w:color="000000"/>
            </w:tcBorders>
            <w:vAlign w:val="center"/>
          </w:tcPr>
          <w:p>
            <w:pPr>
              <w:pStyle w:val="Normal"/>
              <w:widowControl w:val="false"/>
              <w:jc w:val="center"/>
              <w:rPr/>
            </w:pPr>
            <w:r>
              <w:rPr>
                <w:rFonts w:eastAsia="Calibri" w:cs="Calibri" w:ascii="Calibri" w:hAnsi="Calibri"/>
                <w:sz w:val="18"/>
                <w:szCs w:val="18"/>
              </w:rPr>
              <w:t xml:space="preserve"> </w:t>
            </w:r>
            <w:r>
              <w:rPr>
                <w:rFonts w:cs="Calibri" w:ascii="Calibri" w:hAnsi="Calibri"/>
                <w:sz w:val="18"/>
                <w:szCs w:val="18"/>
              </w:rPr>
              <w:t>3.609,50</w:t>
            </w:r>
          </w:p>
        </w:tc>
        <w:tc>
          <w:tcPr>
            <w:tcW w:w="1726" w:type="dxa"/>
            <w:tcBorders>
              <w:left w:val="single" w:sz="2" w:space="0" w:color="000000"/>
              <w:bottom w:val="single" w:sz="2" w:space="0" w:color="000000"/>
            </w:tcBorders>
            <w:vAlign w:val="center"/>
          </w:tcPr>
          <w:p>
            <w:pPr>
              <w:pStyle w:val="Normal"/>
              <w:widowControl w:val="false"/>
              <w:jc w:val="center"/>
              <w:rPr>
                <w:rFonts w:ascii="Calibri" w:hAnsi="Calibri" w:cs="Calibri"/>
                <w:sz w:val="18"/>
                <w:szCs w:val="18"/>
              </w:rPr>
            </w:pPr>
            <w:r>
              <w:rPr>
                <w:rFonts w:cs="Calibri" w:ascii="Calibri" w:hAnsi="Calibri"/>
                <w:sz w:val="18"/>
                <w:szCs w:val="18"/>
              </w:rPr>
              <w:t>50%</w:t>
            </w:r>
          </w:p>
        </w:tc>
        <w:tc>
          <w:tcPr>
            <w:tcW w:w="1334" w:type="dxa"/>
            <w:tcBorders>
              <w:left w:val="single" w:sz="2" w:space="0" w:color="000000"/>
              <w:bottom w:val="single" w:sz="2" w:space="0" w:color="000000"/>
              <w:right w:val="single" w:sz="2" w:space="0" w:color="000000"/>
            </w:tcBorders>
            <w:vAlign w:val="center"/>
          </w:tcPr>
          <w:p>
            <w:pPr>
              <w:pStyle w:val="Normal"/>
              <w:widowControl w:val="false"/>
              <w:jc w:val="center"/>
              <w:rPr>
                <w:rFonts w:ascii="Calibri" w:hAnsi="Calibri" w:cs="Calibri"/>
                <w:sz w:val="18"/>
                <w:szCs w:val="18"/>
              </w:rPr>
            </w:pPr>
            <w:r>
              <w:rPr>
                <w:rFonts w:cs="Calibri" w:ascii="Calibri" w:hAnsi="Calibri"/>
                <w:sz w:val="18"/>
                <w:szCs w:val="18"/>
              </w:rPr>
              <w:t>7,18%</w:t>
            </w:r>
          </w:p>
        </w:tc>
      </w:tr>
    </w:tbl>
    <w:p>
      <w:pPr>
        <w:pStyle w:val="Normal"/>
        <w:spacing w:lineRule="auto" w:line="240" w:before="0" w:after="0"/>
        <w:rPr>
          <w:color w:val="C9211E"/>
        </w:rPr>
      </w:pPr>
      <w:r>
        <w:rPr>
          <w:color w:val="C9211E"/>
        </w:rPr>
      </w:r>
    </w:p>
    <w:p>
      <w:pPr>
        <w:pStyle w:val="Textbody"/>
        <w:spacing w:lineRule="auto" w:line="240" w:before="0" w:after="0"/>
        <w:rPr>
          <w:color w:val="000000"/>
        </w:rPr>
      </w:pPr>
      <w:r>
        <w:rPr>
          <w:color w:val="000000"/>
        </w:rPr>
        <w:t>16.11.3.2. Será admitida, para fins de comprovação de quantitativo mínimo, a apresentação e o somatório de diferentes atestados executados de forma concomitante.</w:t>
      </w:r>
    </w:p>
    <w:p>
      <w:pPr>
        <w:pStyle w:val="Textbody"/>
        <w:spacing w:lineRule="auto" w:line="240" w:before="0" w:after="0"/>
        <w:rPr>
          <w:color w:val="000000"/>
        </w:rPr>
      </w:pPr>
      <w:r>
        <w:rPr>
          <w:color w:val="000000"/>
        </w:rPr>
        <w:t>16.11.3.3. As exigências de qualificação técnico-operacional foram estabelecidas em conformidade com o art. 67, incisos I e II, e §1º, da Lei nº 14.133/2021, com o objetivo de assegurar que a empresa licitante detenha capacidade operacional efetiva, estrutura produtiva e experiência comprovada para a execução das obras de urbanização e qualificação dos afluentes do Rio Maranguapinho, que envolvem intervenções em meio urbano consolidado, obras de drenagem urbana, canalização, execução de estruturas em concreto armado, além de serviços complementares de pavimentação e passeios urbanos.</w:t>
      </w:r>
    </w:p>
    <w:p>
      <w:pPr>
        <w:pStyle w:val="Textbody"/>
        <w:spacing w:lineRule="auto" w:line="240" w:before="0" w:after="0"/>
        <w:rPr>
          <w:color w:val="000000"/>
        </w:rPr>
      </w:pPr>
      <w:r>
        <w:rPr>
          <w:color w:val="000000"/>
        </w:rPr>
        <w:t>16.11.3.4. As parcelas selecionadas para fins de atestação representam serviços estruturantes e essenciais ao desempenho global da obra, seja por seu valor individual significativo, seja por sua relevância técnica e funcional, uma vez que sua inadequada execução compromete a segurança, a durabilidade e a funcionalidade do empreendimento.</w:t>
      </w:r>
    </w:p>
    <w:p>
      <w:pPr>
        <w:pStyle w:val="Textbody"/>
        <w:spacing w:lineRule="auto" w:line="240" w:before="0" w:after="0"/>
        <w:rPr>
          <w:color w:val="000000"/>
        </w:rPr>
      </w:pPr>
      <w:r>
        <w:rPr>
          <w:color w:val="000000"/>
        </w:rPr>
        <w:t>16.11.3.5. A exigência de comprovação de experiência correspondente a 50% (cinquenta por cento) dos quantitativos estimados mostra-se proporcional ao porte e à complexidade da contratação, encontrando respaldo no entendimento consolidado do Tribunal de Contas da União, segundo o qual é legítima a fixação de quantitativos mínimos em atestados técnico-operacionais quando devidamente justificada e vinculada à mitigação dos riscos da execução contratual.</w:t>
      </w:r>
    </w:p>
    <w:p>
      <w:pPr>
        <w:pStyle w:val="Textbody"/>
        <w:spacing w:lineRule="auto" w:line="240" w:before="0" w:after="0"/>
        <w:rPr>
          <w:color w:val="000000"/>
        </w:rPr>
      </w:pPr>
      <w:r>
        <w:rPr>
          <w:color w:val="000000"/>
        </w:rPr>
        <w:t>16.11.3.6. Registra-se, ainda, que a exigência não se baseia exclusivamente no critério financeiro das parcelas, mas também em sua relevância técnica, em consonância com a interpretação sistemática do art. 67, §1º, da Lei nº 14.133/2021, segundo a qual serviço de menor expressão econômica podem constituir etapas críticas da execução, justificando sua inclusão como requisito de qualificação técnico-operacional.</w:t>
      </w:r>
    </w:p>
    <w:p>
      <w:pPr>
        <w:pStyle w:val="Textbody"/>
        <w:spacing w:lineRule="auto" w:line="240" w:before="0" w:after="0"/>
        <w:rPr>
          <w:color w:val="000000"/>
        </w:rPr>
      </w:pPr>
      <w:r>
        <w:rPr>
          <w:color w:val="000000"/>
        </w:rPr>
        <w:t>16.11.3.7. As empresas consorciadas deverão observar o disposto no subitem 9.6.6, deste edital.</w:t>
      </w:r>
    </w:p>
    <w:p>
      <w:pPr>
        <w:pStyle w:val="Textbody"/>
        <w:spacing w:lineRule="auto" w:line="240" w:before="0" w:after="0"/>
        <w:rPr>
          <w:color w:val="000000"/>
        </w:rPr>
      </w:pPr>
      <w:r>
        <w:rPr>
          <w:color w:val="000000"/>
        </w:rPr>
        <w:t>16.11.3.8. Os atestados de capacidade técnica poderão ser apresentados em nome da matriz ou da filial da empresa licitante.</w:t>
      </w:r>
    </w:p>
    <w:p>
      <w:pPr>
        <w:pStyle w:val="Textbody"/>
        <w:spacing w:lineRule="auto" w:line="240" w:before="0" w:after="0"/>
        <w:rPr>
          <w:color w:val="000000"/>
        </w:rPr>
      </w:pPr>
      <w:r>
        <w:rPr>
          <w:color w:val="000000"/>
        </w:rPr>
        <w:t>16.11.3.9. Considerando que na presente contratação o conhecimento prévio do local de execução é imprescindível para o atendimento pleno das condições e peculiaridades do objeto a ser contratado, o licitante deve atestar,</w:t>
      </w:r>
      <w:r>
        <w:rPr>
          <w:rFonts w:cs="Verdana"/>
          <w:color w:val="000000"/>
          <w:szCs w:val="22"/>
          <w:lang w:eastAsia="ar-SA"/>
        </w:rPr>
        <w:t xml:space="preserve"> nos termos do </w:t>
      </w:r>
      <w:r>
        <w:rPr>
          <w:rFonts w:cs="Verdana"/>
          <w:b/>
          <w:color w:val="000000"/>
          <w:szCs w:val="22"/>
          <w:lang w:eastAsia="ar-SA"/>
        </w:rPr>
        <w:t xml:space="preserve">Anexo IV – Modelo do Termo de </w:t>
      </w:r>
      <w:r>
        <w:rPr>
          <w:rFonts w:cs="Verdana"/>
          <w:b/>
          <w:color w:val="000000"/>
          <w:szCs w:val="22"/>
        </w:rPr>
        <w:t>Atestado</w:t>
      </w:r>
      <w:r>
        <w:rPr>
          <w:rFonts w:cs="Verdana"/>
          <w:b/>
          <w:color w:val="000000"/>
          <w:szCs w:val="22"/>
          <w:lang w:eastAsia="ar-SA"/>
        </w:rPr>
        <w:t xml:space="preserve"> de Vistoria</w:t>
      </w:r>
      <w:r>
        <w:rPr>
          <w:rFonts w:cs="Verdana"/>
          <w:color w:val="000000"/>
          <w:szCs w:val="22"/>
          <w:lang w:eastAsia="ar-SA"/>
        </w:rPr>
        <w:t xml:space="preserve">, </w:t>
      </w:r>
      <w:r>
        <w:rPr>
          <w:color w:val="000000"/>
        </w:rPr>
        <w:t>sob pena de inabilitação, que conhece o local e as condições de realização do serviço.</w:t>
      </w:r>
    </w:p>
    <w:p>
      <w:pPr>
        <w:pStyle w:val="HTMLPreformatted"/>
        <w:spacing w:lineRule="auto" w:line="240" w:before="57" w:after="57"/>
        <w:jc w:val="both"/>
        <w:rPr/>
      </w:pPr>
      <w:r>
        <w:rPr>
          <w:rFonts w:cs="Arial" w:ascii="Arial" w:hAnsi="Arial"/>
          <w:color w:val="000000"/>
          <w:sz w:val="22"/>
          <w:szCs w:val="22"/>
        </w:rPr>
        <w:t>16.11.3.10. O licitante que optar por realizar vistoria prévia terá disponibilizado pela Administração data e horário exclusivos, a ser agendada junto à COREV - Coordenadoria de Revitalização de Áreas Degradadas e Drenagem, da Secretaria das Cidades, através do email:</w:t>
      </w:r>
      <w:r>
        <w:rPr>
          <w:rFonts w:cs="Arial" w:ascii="Arial" w:hAnsi="Arial"/>
          <w:color w:val="000000"/>
          <w:sz w:val="22"/>
          <w:szCs w:val="22"/>
          <w:lang w:val="pt-BR"/>
        </w:rPr>
        <w:t xml:space="preserve"> </w:t>
      </w:r>
      <w:hyperlink r:id="rId12">
        <w:r>
          <w:rPr>
            <w:rStyle w:val="LinkdaInternet"/>
            <w:rFonts w:cs="Arial" w:ascii="Arial" w:hAnsi="Arial"/>
            <w:color w:val="000000"/>
            <w:sz w:val="22"/>
            <w:szCs w:val="22"/>
            <w:lang w:val="pt-BR"/>
          </w:rPr>
          <w:t>juary.oliveira@cidades.ce.gov.br</w:t>
        </w:r>
      </w:hyperlink>
      <w:r>
        <w:rPr>
          <w:rFonts w:cs="Arial" w:ascii="Arial" w:hAnsi="Arial"/>
          <w:color w:val="000000"/>
          <w:sz w:val="22"/>
          <w:szCs w:val="22"/>
          <w:lang w:val="pt-BR"/>
        </w:rPr>
        <w:t xml:space="preserve"> </w:t>
      </w:r>
      <w:r>
        <w:rPr>
          <w:rFonts w:cs="Arial" w:ascii="Arial" w:hAnsi="Arial"/>
          <w:color w:val="000000"/>
          <w:sz w:val="22"/>
          <w:szCs w:val="22"/>
        </w:rPr>
        <w:t xml:space="preserve">de modo que seu agendamento não coincida com o agendamento de outros licitantes. </w:t>
      </w:r>
    </w:p>
    <w:p>
      <w:pPr>
        <w:pStyle w:val="Textbody"/>
        <w:spacing w:lineRule="auto" w:line="240" w:before="0" w:after="0"/>
        <w:rPr>
          <w:color w:val="000000"/>
        </w:rPr>
      </w:pPr>
      <w:r>
        <w:rPr>
          <w:rFonts w:cs="Arial"/>
          <w:color w:val="000000"/>
          <w:sz w:val="22"/>
          <w:szCs w:val="22"/>
        </w:rPr>
        <w:t xml:space="preserve">16.11.3.11. </w:t>
      </w:r>
      <w:r>
        <w:rPr>
          <w:color w:val="000000"/>
        </w:rPr>
        <w:t xml:space="preserve">Caso o licitante opte por não realizar vistoria, </w:t>
      </w:r>
      <w:r>
        <w:rPr>
          <w:rFonts w:cs="Verdana"/>
          <w:color w:val="000000"/>
          <w:szCs w:val="22"/>
          <w:lang w:eastAsia="ar-SA"/>
        </w:rPr>
        <w:t xml:space="preserve">deverá prestar </w:t>
      </w:r>
      <w:r>
        <w:rPr>
          <w:color w:val="000000"/>
        </w:rPr>
        <w:t xml:space="preserve">declaração formal assinada pelo seu responsável técnico acerca do conhecimento pleno das condições e peculiaridades da contratação nos termos do </w:t>
      </w:r>
      <w:r>
        <w:rPr>
          <w:rFonts w:cs="Verdana"/>
          <w:color w:val="000000"/>
          <w:szCs w:val="22"/>
          <w:lang w:eastAsia="ar-SA"/>
        </w:rPr>
        <w:t xml:space="preserve">Anexo V – Modelo do Termo de Declaração </w:t>
      </w:r>
      <w:r>
        <w:rPr>
          <w:rFonts w:cs="Verdana"/>
          <w:color w:val="000000"/>
          <w:szCs w:val="22"/>
        </w:rPr>
        <w:t>de Renúncia à Vistoria.</w:t>
      </w:r>
    </w:p>
    <w:p>
      <w:pPr>
        <w:pStyle w:val="Textbody"/>
        <w:spacing w:lineRule="auto" w:line="240" w:before="0" w:after="0"/>
        <w:rPr>
          <w:color w:val="000000"/>
        </w:rPr>
      </w:pPr>
      <w:r>
        <w:rPr>
          <w:rFonts w:cs="Arial"/>
          <w:color w:val="000000"/>
          <w:sz w:val="22"/>
          <w:szCs w:val="22"/>
        </w:rPr>
        <w:t xml:space="preserve">16.11.3.12. </w:t>
      </w:r>
      <w:r>
        <w:rPr>
          <w:color w:val="000000"/>
        </w:rPr>
        <w:t>Para a vistoria, o representante legal da empresa ou responsável técnico deverá estar devidamente identificado, apresentando documento de identidade civil e documento expedido pela empresa comprovando sua habilitação para a realização da vistoria.</w:t>
      </w:r>
    </w:p>
    <w:p>
      <w:pPr>
        <w:pStyle w:val="HTMLPreformatted"/>
        <w:spacing w:lineRule="auto" w:line="240" w:before="57" w:after="57"/>
        <w:jc w:val="both"/>
        <w:rPr>
          <w:color w:val="000000"/>
        </w:rPr>
      </w:pPr>
      <w:r>
        <w:rPr>
          <w:rFonts w:cs="Arial" w:ascii="Arial" w:hAnsi="Arial"/>
          <w:color w:val="000000"/>
          <w:sz w:val="22"/>
          <w:szCs w:val="22"/>
        </w:rPr>
        <w:t xml:space="preserve">16.11.3.13. A realização de vistoria prévia será acompanhada por servidor designado para esse fim, de segunda a sexta-feira, das 08:00 h às 12:00 h. </w:t>
      </w:r>
    </w:p>
    <w:p>
      <w:pPr>
        <w:pStyle w:val="HTMLPreformatted"/>
        <w:spacing w:lineRule="auto" w:line="240" w:before="57" w:after="57"/>
        <w:jc w:val="both"/>
        <w:rPr>
          <w:b/>
          <w:bCs/>
        </w:rPr>
      </w:pPr>
      <w:r>
        <w:rPr>
          <w:b/>
          <w:bCs/>
        </w:rPr>
      </w:r>
    </w:p>
    <w:p>
      <w:pPr>
        <w:pStyle w:val="Textbody"/>
        <w:spacing w:lineRule="auto" w:line="240" w:before="0" w:after="0"/>
        <w:rPr>
          <w:color w:val="auto"/>
          <w:highlight w:val="none"/>
          <w:shd w:fill="auto" w:val="clear"/>
        </w:rPr>
      </w:pPr>
      <w:r>
        <w:rPr>
          <w:b/>
          <w:bCs/>
          <w:color w:val="000000"/>
          <w:shd w:fill="auto" w:val="clear"/>
        </w:rPr>
        <w:t>Habilitações fiscal, social e trabalhista.</w:t>
      </w:r>
    </w:p>
    <w:p>
      <w:pPr>
        <w:pStyle w:val="Textbody"/>
        <w:spacing w:lineRule="auto" w:line="240" w:before="0" w:after="0"/>
        <w:rPr/>
      </w:pPr>
      <w:r>
        <w:rPr/>
        <w:t>16.12. As habilitações fiscal, social e trabalhista serão aferidas mediante a verificação dos seguintes requisitos:</w:t>
      </w:r>
    </w:p>
    <w:p>
      <w:pPr>
        <w:pStyle w:val="Textbody"/>
        <w:spacing w:lineRule="auto" w:line="240" w:before="0" w:after="0"/>
        <w:rPr/>
      </w:pPr>
      <w:r>
        <w:rPr/>
        <w:t>16.12.1. A inscrição no cadastro nacional da pessoa jurídica (CNPJ);</w:t>
      </w:r>
    </w:p>
    <w:p>
      <w:pPr>
        <w:pStyle w:val="Textbody"/>
        <w:spacing w:lineRule="auto" w:line="240" w:before="0" w:after="0"/>
        <w:rPr/>
      </w:pPr>
      <w:r>
        <w:rPr/>
        <w:t>16.12.2. A inscrição no cadastro de contribuintes estadual e/ou municipal, se houver, relativo ao domicílio ou sede do licitante, pertinente ao seu ramo de atividade e compatível com o objeto contratual;</w:t>
      </w:r>
    </w:p>
    <w:p>
      <w:pPr>
        <w:pStyle w:val="Textbody"/>
        <w:spacing w:lineRule="auto" w:line="240" w:before="0" w:after="0"/>
        <w:rPr/>
      </w:pPr>
      <w:r>
        <w:rPr/>
        <w:t>16.12.3. A regularidade perante a fazenda federal, estadual e/ou municipal do domicílio ou sede do licitante, ou outra equivalente, na forma da lei;</w:t>
      </w:r>
    </w:p>
    <w:p>
      <w:pPr>
        <w:pStyle w:val="Textbody"/>
        <w:spacing w:lineRule="auto" w:line="240" w:before="0" w:after="0"/>
        <w:rPr/>
      </w:pPr>
      <w:r>
        <w:rPr/>
        <w:t>16.12.4. A regularidade relativa à seguridade social e ao FGTS, que demonstre cumprimento dos encargos sociais instituídos por lei;</w:t>
      </w:r>
    </w:p>
    <w:p>
      <w:pPr>
        <w:pStyle w:val="Textbody"/>
        <w:spacing w:lineRule="auto" w:line="240" w:before="0" w:after="0"/>
        <w:rPr/>
      </w:pPr>
      <w:r>
        <w:rPr/>
        <w:t>16.12.5. A regularidade perante a justiça do trabalho;</w:t>
      </w:r>
    </w:p>
    <w:p>
      <w:pPr>
        <w:pStyle w:val="Textbody"/>
        <w:spacing w:lineRule="auto" w:line="240" w:before="0" w:after="0"/>
        <w:rPr/>
      </w:pPr>
      <w:r>
        <w:rPr/>
        <w:t>16.12.6. O cumprimento do disposto no inciso XXXIII do art. 7º da Constituição Federal.</w:t>
      </w:r>
    </w:p>
    <w:p>
      <w:pPr>
        <w:pStyle w:val="Textbody"/>
        <w:spacing w:lineRule="auto" w:line="240" w:before="0" w:after="0"/>
        <w:rPr/>
      </w:pPr>
      <w:r>
        <w:rPr/>
        <w:t>16.13. Caso o licitante seja considerado isento dos tributos estaduais e/ou municipais relacionados ao objeto contratual, deverá comprovar tal condição mediante a apresentação de declaração da fazenda respectiva do seu domicílio ou sede, ou outra equivalente, na forma da lei.</w:t>
      </w:r>
    </w:p>
    <w:p>
      <w:pPr>
        <w:pStyle w:val="Textbody"/>
        <w:spacing w:lineRule="auto" w:line="240" w:before="0" w:after="0"/>
        <w:rPr/>
      </w:pPr>
      <w:r>
        <w:rPr/>
        <w:t>16.14. Os documentos enumerados no subitem</w:t>
      </w:r>
      <w:r>
        <w:rPr>
          <w:shd w:fill="auto" w:val="clear"/>
        </w:rPr>
        <w:t xml:space="preserve"> 16.12. p</w:t>
      </w:r>
      <w:r>
        <w:rPr/>
        <w:t>oderão ser substituídos ou supridos, no todo ou em parte, por outros meios hábeis a comprovar a regularidade do licitante, inclusive por meio eletrônico. Quanto a comprovação de atendimento do disposto nos subitens 16.12.3</w:t>
      </w:r>
      <w:r>
        <w:rPr>
          <w:shd w:fill="auto" w:val="clear"/>
        </w:rPr>
        <w:t xml:space="preserve">, 16.12.4 e 16.12.5 </w:t>
      </w:r>
      <w:r>
        <w:rPr/>
        <w:t>deverá ser feita na forma da legislação específica.</w:t>
      </w:r>
    </w:p>
    <w:p>
      <w:pPr>
        <w:pStyle w:val="Textbody"/>
        <w:spacing w:lineRule="auto" w:line="240" w:before="0" w:after="0"/>
        <w:rPr/>
      </w:pPr>
      <w:r>
        <w:rPr/>
        <w:t>16.15. Para os Estados e Municípios que emitam prova de regularidade fiscal em separado, os proponentes deverão apresentar as respectivas certidões.</w:t>
      </w:r>
    </w:p>
    <w:p>
      <w:pPr>
        <w:pStyle w:val="Textbody"/>
        <w:spacing w:lineRule="auto" w:line="240" w:before="0" w:after="0"/>
        <w:rPr/>
      </w:pPr>
      <w:r>
        <w:rPr/>
        <w:t>16.16. Os documentos relativos à regularidade fiscal somente serão exigidos, em qualquer caso, em momento posterior ao julgamento das propostas, e apenas do licitante melhor classificado.</w:t>
      </w:r>
    </w:p>
    <w:p>
      <w:pPr>
        <w:pStyle w:val="Textbody"/>
        <w:spacing w:lineRule="auto" w:line="240" w:before="0" w:after="0"/>
        <w:rPr>
          <w:b/>
          <w:bCs/>
        </w:rPr>
      </w:pPr>
      <w:r>
        <w:rPr>
          <w:b/>
          <w:bCs/>
        </w:rPr>
      </w:r>
    </w:p>
    <w:p>
      <w:pPr>
        <w:pStyle w:val="Textbody"/>
        <w:spacing w:lineRule="auto" w:line="240" w:before="0" w:after="0"/>
        <w:rPr>
          <w:b/>
          <w:bCs/>
        </w:rPr>
      </w:pPr>
      <w:r>
        <w:rPr>
          <w:b/>
          <w:bCs/>
        </w:rPr>
      </w:r>
    </w:p>
    <w:p>
      <w:pPr>
        <w:pStyle w:val="Textbody"/>
        <w:spacing w:lineRule="auto" w:line="240" w:before="0" w:after="0"/>
        <w:rPr>
          <w:b/>
          <w:bCs/>
        </w:rPr>
      </w:pPr>
      <w:r>
        <w:rPr>
          <w:b/>
          <w:bCs/>
        </w:rPr>
      </w:r>
    </w:p>
    <w:p>
      <w:pPr>
        <w:pStyle w:val="Textbody"/>
        <w:spacing w:lineRule="auto" w:line="240" w:before="0" w:after="0"/>
        <w:rPr>
          <w:b/>
          <w:bCs/>
        </w:rPr>
      </w:pPr>
      <w:r>
        <w:rPr>
          <w:b/>
          <w:bCs/>
        </w:rPr>
        <w:t>Habilitação econômico-financeira</w:t>
      </w:r>
    </w:p>
    <w:p>
      <w:pPr>
        <w:pStyle w:val="Textbody"/>
        <w:spacing w:lineRule="auto" w:line="240" w:before="0" w:after="0"/>
        <w:rPr/>
      </w:pPr>
      <w:r>
        <w:rPr/>
        <w:t>16.17. A habilitação econômica financeira será aferida mediante a apresentação da seguinte documentação:</w:t>
      </w:r>
    </w:p>
    <w:p>
      <w:pPr>
        <w:pStyle w:val="Textbody"/>
        <w:spacing w:lineRule="auto" w:line="240" w:before="0" w:after="0"/>
        <w:rPr/>
      </w:pPr>
      <w:r>
        <w:rPr/>
        <w:t>16.17.1. Certidão negativa de feitos sobre falência expedida pelo distribuidor da sede do licitante, exceto as sociedades cooperativas, conforme dispõe o art. 4º da Lei nº 5.764/1971. No caso de pessoa física ou de sociedade simples, certidão negativa de insolvência civil expedida pelo distribuidor do domicílio ou sede do licitante.</w:t>
      </w:r>
    </w:p>
    <w:p>
      <w:pPr>
        <w:pStyle w:val="Textbody"/>
        <w:spacing w:lineRule="auto" w:line="240" w:before="0" w:after="0"/>
        <w:rPr/>
      </w:pPr>
      <w:r>
        <w:rPr/>
        <w:t xml:space="preserve">16.17.1.1. </w:t>
      </w:r>
      <w:r>
        <w:rPr>
          <w:rStyle w:val="Fontepargpadro"/>
          <w:rFonts w:eastAsia="Arial" w:cs="Arial"/>
          <w:b w:val="false"/>
          <w:bCs w:val="false"/>
          <w:i w:val="false"/>
          <w:iCs w:val="false"/>
          <w:color w:val="000000"/>
          <w:kern w:val="0"/>
          <w:position w:val="0"/>
          <w:sz w:val="22"/>
          <w:sz w:val="22"/>
          <w:szCs w:val="22"/>
          <w:u w:val="none"/>
          <w:shd w:fill="auto" w:val="clear"/>
          <w:vertAlign w:val="baseline"/>
          <w:lang w:val="pt-BR" w:eastAsia="ar-SA" w:bidi="ar-SA"/>
        </w:rPr>
        <w:t xml:space="preserve">Na ausência da certidão negativa, o licitante em recuperação judicial deverá comprovar sua regularidade e viabilidade econômico-financeira </w:t>
      </w:r>
      <w:r>
        <w:rPr>
          <w:rStyle w:val="Strong"/>
          <w:rFonts w:eastAsia="Arial" w:cs="Arial"/>
          <w:b w:val="false"/>
          <w:bCs w:val="false"/>
          <w:i w:val="false"/>
          <w:iCs w:val="false"/>
          <w:color w:val="000000"/>
          <w:kern w:val="0"/>
          <w:position w:val="0"/>
          <w:sz w:val="22"/>
          <w:sz w:val="22"/>
          <w:szCs w:val="22"/>
          <w:u w:val="none"/>
          <w:shd w:fill="auto" w:val="clear"/>
          <w:vertAlign w:val="baseline"/>
          <w:lang w:val="pt-BR" w:eastAsia="ar-SA" w:bidi="ar-SA"/>
        </w:rPr>
        <w:t>mediante a apresentação de, ao menos, um dos seguintes documentos</w:t>
      </w:r>
      <w:r>
        <w:rPr>
          <w:rStyle w:val="Fontepargpadro"/>
          <w:rFonts w:eastAsia="Arial" w:cs="Arial"/>
          <w:b w:val="false"/>
          <w:bCs w:val="false"/>
          <w:i w:val="false"/>
          <w:iCs w:val="false"/>
          <w:color w:val="000000"/>
          <w:kern w:val="0"/>
          <w:position w:val="0"/>
          <w:sz w:val="22"/>
          <w:sz w:val="22"/>
          <w:szCs w:val="22"/>
          <w:u w:val="none"/>
          <w:shd w:fill="auto" w:val="clear"/>
          <w:vertAlign w:val="baseline"/>
          <w:lang w:val="pt-BR" w:eastAsia="ar-SA" w:bidi="ar-SA"/>
        </w:rPr>
        <w:t>: decisão judicial que reconheça a situação de recuperação judicial; plano de recuperação em execução; demonstrações contábeis atualizadas; e, quando aplicável, prestação de garantias adicionais ou substitutivas, na forma prevista neste edital e em Lei.</w:t>
      </w:r>
    </w:p>
    <w:p>
      <w:pPr>
        <w:pStyle w:val="Textbody"/>
        <w:spacing w:lineRule="auto" w:line="240" w:before="0" w:after="0"/>
        <w:rPr/>
      </w:pPr>
      <w:r>
        <w:rPr/>
        <w:t>16.17.2. Balanço patrimonial, demonstração de resultado de exercício e demais demonstrações contábeis dos 2 (dois) últimos exercícios sociais;</w:t>
      </w:r>
    </w:p>
    <w:p>
      <w:pPr>
        <w:pStyle w:val="Textbody"/>
        <w:spacing w:lineRule="auto" w:line="240" w:before="0" w:after="0"/>
        <w:rPr/>
      </w:pPr>
      <w:r>
        <w:rPr/>
        <w:t>16.17.2.1. No caso de a pessoa jurídica ter sido constituída há menos de 2 (dois) anos, a demonstração de resultado de exercício e demais demonstrações contábeis limitar-se-ão ao último exercício conforme dispõe o art. 69, § 6º da Lei nº 14.133/2021.</w:t>
      </w:r>
    </w:p>
    <w:p>
      <w:pPr>
        <w:pStyle w:val="Textbody"/>
        <w:spacing w:lineRule="auto" w:line="240" w:before="0" w:after="0"/>
        <w:rPr/>
      </w:pPr>
      <w:r>
        <w:rPr/>
        <w:t xml:space="preserve">16.17.2.2. </w:t>
      </w:r>
      <w:r>
        <w:rPr>
          <w:rStyle w:val="Fontepargpadro"/>
          <w:rFonts w:eastAsia="Cumberland AMT" w:cs="Cumberland AMT"/>
          <w:caps w:val="false"/>
          <w:smallCaps w:val="false"/>
          <w:color w:val="000000"/>
          <w:spacing w:val="0"/>
          <w:sz w:val="22"/>
          <w:szCs w:val="22"/>
          <w:shd w:fill="auto" w:val="clear"/>
          <w:lang w:val="pt-BR"/>
        </w:rPr>
        <w:t xml:space="preserve">As empresas criadas no exercício financeiro da licitação deverão atender a todas as exigências da habilitação e ficarão autorizadas a substituir os demonstrativos contábeis pelo balanço de abertura, conforme disposto no art. 65, §1º da Lei nº 14.133/2021. </w:t>
      </w:r>
    </w:p>
    <w:p>
      <w:pPr>
        <w:pStyle w:val="Textbody"/>
        <w:spacing w:lineRule="auto" w:line="240" w:before="0" w:after="0"/>
        <w:rPr/>
      </w:pPr>
      <w:r>
        <w:rPr/>
        <w:t>16.17.2.3.Tratando-se de pessoas jurídicas submetidas à Escrituração Contábil Digital (ECD) por meio do Sistema Público de Escrituração Digital (Sped), admite-se a apresentação da ECD, em observância à data limite definida nas Normas da Secretaria da Receita Federal.</w:t>
      </w:r>
    </w:p>
    <w:p>
      <w:pPr>
        <w:pStyle w:val="Textbody"/>
        <w:spacing w:lineRule="auto" w:line="240" w:before="0" w:after="0"/>
        <w:rPr/>
      </w:pPr>
      <w:r>
        <w:rPr/>
        <w:t>16.17.3. Índice de Liquidez Geral (LG) superior a 1 (um), comprovado mediante a apresentação pelo licitante de balanço patrimonial, demonstração de resultado de exercício e demais demonstrações contábeis dos 2 (dois) últimos exercícios sociais e obtidos pela aplicação das seguintes fórmulas: Liquidez Geral (LG) = (Ativo Circulante + Realizável a Longo Prazo) / (Passivo Circulante + Passivo Não Circulante).</w:t>
      </w:r>
    </w:p>
    <w:p>
      <w:pPr>
        <w:pStyle w:val="Textbody"/>
        <w:spacing w:lineRule="auto" w:line="240" w:before="0" w:after="0"/>
        <w:rPr/>
      </w:pPr>
      <w:r>
        <w:rPr/>
        <w:t>16.17.4. Patrimônio líquido mínimo de 10% (dez por cento) do valor estimado da contratação.</w:t>
      </w:r>
    </w:p>
    <w:p>
      <w:pPr>
        <w:pStyle w:val="Textbody"/>
        <w:spacing w:lineRule="auto" w:line="240" w:before="0" w:after="0"/>
        <w:rPr/>
      </w:pPr>
      <w:r>
        <w:rPr/>
        <w:t>16.18. As empresas criadas no exercício financeiro da licitação deverão atender a todas as exigências da habilitação e poderão substituir os demonstrativos contábeis pelo balanço de abertura conforme dispõe o art. 65, §1º da Lei nº 14.133/2021.</w:t>
      </w:r>
    </w:p>
    <w:p>
      <w:pPr>
        <w:pStyle w:val="Textbody"/>
        <w:spacing w:lineRule="auto" w:line="240" w:before="0" w:after="0"/>
        <w:rPr/>
      </w:pPr>
      <w:r>
        <w:rPr/>
        <w:t>16.19. As empresas consorciadas deverão observar o disposto no subitem 9.6.6</w:t>
      </w:r>
      <w:r>
        <w:rPr>
          <w:color w:val="0070C0"/>
        </w:rPr>
        <w:t>,</w:t>
      </w:r>
      <w:r>
        <w:rPr/>
        <w:t xml:space="preserve"> deste edital.</w:t>
      </w:r>
    </w:p>
    <w:p>
      <w:pPr>
        <w:pStyle w:val="Textbody"/>
        <w:spacing w:lineRule="auto" w:line="240" w:before="0" w:after="0"/>
        <w:rPr/>
      </w:pPr>
      <w:r>
        <w:rPr/>
        <w:t>16.20. Os documentos de habilitação deverão ser apresentados ou pela matriz ou pela filial que estiver participando do certame, com exceção dos documentos que são válidos tanto para matriz como para as filiais como é o caso dos atestados de capacidade técnica.</w:t>
      </w:r>
    </w:p>
    <w:p>
      <w:pPr>
        <w:pStyle w:val="Textbody"/>
        <w:spacing w:lineRule="auto" w:line="240" w:before="0" w:after="0"/>
        <w:rPr/>
      </w:pPr>
      <w:r>
        <w:rPr/>
        <w:t>16.21. O documento obtido através de sítios oficiais, que esteja condicionado à aceitação via internet, terá sua autenticidade verificada pela Comissão.</w:t>
      </w:r>
    </w:p>
    <w:p>
      <w:pPr>
        <w:pStyle w:val="Textbody"/>
        <w:spacing w:lineRule="auto" w:line="240" w:before="0" w:after="0"/>
        <w:rPr/>
      </w:pPr>
      <w:r>
        <w:rPr/>
        <w:t>16.21.1. Os documentos têm que se encontrar dentro do prazo de validade. Na hipótese de o documento não constar expressamente a validade, este deverá ser acompanhado de declaração ou regulamentação do órgão emissor que disponha sobre sua validade. Na ausência de tal declaração ou regulamentação, o documento será considerado válido pelo prazo de 90 (noventa) dias, contados a partir da data de sua emissão, quando se tratar de documentos referentes à habilitação fiscal e econômico-financeira.</w:t>
      </w:r>
    </w:p>
    <w:p>
      <w:pPr>
        <w:pStyle w:val="Ttulo112"/>
        <w:spacing w:lineRule="auto" w:line="240" w:before="0" w:after="0"/>
        <w:ind w:left="0" w:hanging="0"/>
        <w:rPr>
          <w:rFonts w:eastAsia="Times New Roman" w:cs="Verdana"/>
          <w:color w:val="00000A"/>
          <w:sz w:val="22"/>
          <w:szCs w:val="22"/>
          <w:shd w:fill="FFFFFF" w:val="clear"/>
        </w:rPr>
      </w:pPr>
      <w:r>
        <w:rPr>
          <w:rFonts w:eastAsia="Times New Roman" w:cs="Verdana"/>
          <w:color w:val="00000A"/>
          <w:sz w:val="22"/>
          <w:szCs w:val="22"/>
          <w:shd w:fill="FFFFFF" w:val="clear"/>
        </w:rPr>
      </w:r>
    </w:p>
    <w:p>
      <w:pPr>
        <w:pStyle w:val="Ttulo112"/>
        <w:spacing w:lineRule="auto" w:line="240" w:before="0" w:after="0"/>
        <w:ind w:left="0" w:hanging="0"/>
        <w:rPr>
          <w:sz w:val="22"/>
          <w:szCs w:val="22"/>
        </w:rPr>
      </w:pPr>
      <w:r>
        <w:rPr>
          <w:rFonts w:eastAsia="Times New Roman" w:cs="Verdana"/>
          <w:color w:val="00000A"/>
          <w:sz w:val="22"/>
          <w:szCs w:val="22"/>
          <w:shd w:fill="FFFFFF" w:val="clear"/>
        </w:rPr>
        <w:t>17. DOS RECURSOS</w:t>
      </w:r>
    </w:p>
    <w:p>
      <w:pPr>
        <w:pStyle w:val="Textbody"/>
        <w:spacing w:lineRule="auto" w:line="240" w:before="0" w:after="0"/>
        <w:rPr/>
      </w:pPr>
      <w:r>
        <w:rPr>
          <w:rFonts w:cs="Verdana"/>
          <w:color w:val="00000A"/>
          <w:shd w:fill="FFFFFF" w:val="clear"/>
        </w:rPr>
        <w:t xml:space="preserve">17.1. A interposição de recurso referente ao julgamento das propostas, à habilitação ou inabilitação de licitantes, à anulação ou revogação da licitação, observará o disposto no </w:t>
      </w:r>
      <w:r>
        <w:fldChar w:fldCharType="begin"/>
      </w:r>
      <w:r>
        <w:rPr>
          <w:rStyle w:val="LinkdaInternet"/>
          <w:u w:val="none"/>
          <w:shd w:fill="FFFFFF" w:val="clear"/>
          <w:rFonts w:cs="Verdana"/>
          <w:color w:val="00000A"/>
        </w:rPr>
        <w:instrText xml:space="preserve"> HYPERLINK "http://www.planalto.gov.br/ccivil_03/_ato2019-2022/2021/lei/L14133.htm" \l "art165"</w:instrText>
      </w:r>
      <w:r>
        <w:rPr>
          <w:rStyle w:val="LinkdaInternet"/>
          <w:u w:val="none"/>
          <w:shd w:fill="FFFFFF" w:val="clear"/>
          <w:rFonts w:cs="Verdana"/>
          <w:color w:val="00000A"/>
        </w:rPr>
        <w:fldChar w:fldCharType="separate"/>
      </w:r>
      <w:r>
        <w:rPr>
          <w:rStyle w:val="LinkdaInternet"/>
          <w:rFonts w:cs="Verdana"/>
          <w:color w:val="00000A"/>
          <w:u w:val="none"/>
          <w:shd w:fill="FFFFFF" w:val="clear"/>
        </w:rPr>
        <w:t>art. 165 da Lei nº 14.133/2021</w:t>
      </w:r>
      <w:r>
        <w:rPr>
          <w:rStyle w:val="LinkdaInternet"/>
          <w:u w:val="none"/>
          <w:shd w:fill="FFFFFF" w:val="clear"/>
          <w:rFonts w:cs="Verdana"/>
          <w:color w:val="00000A"/>
        </w:rPr>
        <w:fldChar w:fldCharType="end"/>
      </w:r>
      <w:r>
        <w:rPr>
          <w:rFonts w:cs="Verdana"/>
          <w:color w:val="00000A"/>
          <w:shd w:fill="FFFFFF" w:val="clear"/>
        </w:rPr>
        <w:t>.</w:t>
      </w:r>
    </w:p>
    <w:p>
      <w:pPr>
        <w:pStyle w:val="Textbody"/>
        <w:spacing w:lineRule="auto" w:line="240" w:before="0" w:after="0"/>
        <w:rPr>
          <w:rFonts w:cs="Verdana"/>
          <w:color w:val="00000A"/>
          <w:shd w:fill="FFFFFF" w:val="clear"/>
        </w:rPr>
      </w:pPr>
      <w:r>
        <w:rPr>
          <w:rFonts w:cs="Verdana"/>
          <w:color w:val="00000A"/>
          <w:shd w:fill="FFFFFF" w:val="clear"/>
        </w:rPr>
        <w:t xml:space="preserve">17.2. O prazo recursal é de 3 (três) dias úteis, contados da data de intimação ou de lavratura da ata de julgamento da proposta, ou da habilitação ou inabilitação, </w:t>
      </w:r>
      <w:r>
        <w:rPr>
          <w:rStyle w:val="LinkdaInternet"/>
          <w:rFonts w:eastAsia="Times New Roman" w:cs="Verdana"/>
          <w:b w:val="false"/>
          <w:bCs w:val="false"/>
          <w:i w:val="false"/>
          <w:iCs w:val="false"/>
          <w:strike w:val="false"/>
          <w:dstrike w:val="false"/>
          <w:color w:val="000000"/>
          <w:sz w:val="22"/>
          <w:szCs w:val="22"/>
          <w:u w:val="none"/>
          <w:shd w:fill="FFFFFF" w:val="clear"/>
          <w:lang w:val="pt-BR"/>
        </w:rPr>
        <w:t>conforme disposto no § 1º do art. 95 do Decreto nº 35.067/2022.</w:t>
      </w:r>
    </w:p>
    <w:p>
      <w:pPr>
        <w:pStyle w:val="Textbody"/>
        <w:spacing w:lineRule="auto" w:line="240" w:before="0" w:after="0"/>
        <w:rPr>
          <w:color w:val="00000A"/>
        </w:rPr>
      </w:pPr>
      <w:r>
        <w:rPr>
          <w:color w:val="00000A"/>
        </w:rPr>
        <w:t xml:space="preserve">17.3. </w:t>
      </w:r>
      <w:r>
        <w:rPr>
          <w:rStyle w:val="Fontepargpadro"/>
          <w:color w:val="000000"/>
          <w:sz w:val="22"/>
          <w:szCs w:val="22"/>
        </w:rPr>
        <w:t>Quando a decisão da Comissão importar em abertura de prazo recursal, será comunicada a retomada da sessão pública com, no mínimo, 24 (vinte e quatro) horas de antecedência, no sítio eletrônico utilizado para realização do certame.</w:t>
      </w:r>
    </w:p>
    <w:p>
      <w:pPr>
        <w:pStyle w:val="Normal"/>
        <w:spacing w:lineRule="auto" w:line="240" w:before="57" w:after="57"/>
        <w:jc w:val="both"/>
        <w:rPr/>
      </w:pPr>
      <w:r>
        <w:rPr>
          <w:rStyle w:val="LinkdaInternet"/>
          <w:rFonts w:eastAsia="Times New Roman" w:cs="Verdana" w:ascii="Arial" w:hAnsi="Arial"/>
          <w:color w:val="000000"/>
          <w:sz w:val="22"/>
          <w:szCs w:val="22"/>
          <w:u w:val="none"/>
          <w:shd w:fill="FFFFFF" w:val="clear"/>
          <w:lang w:val="pt-BR"/>
        </w:rPr>
        <w:t>17.3.1. Qualquer licitante poderá, durante o prazo de 10 (dez) minutos, de forma imediata após o término do julgamento das propostas e do ato de habilitação ou inabilitação, em campo próprio do sistema, manifestar sua intenção de recorrer, sob pena de preclusão, conforme disposto no caput do art. 95 do Decreto nº 35.067/2022.</w:t>
      </w:r>
    </w:p>
    <w:p>
      <w:pPr>
        <w:pStyle w:val="Textbody"/>
        <w:spacing w:lineRule="auto" w:line="240" w:before="0" w:after="0"/>
        <w:rPr>
          <w:rFonts w:cs="Verdana"/>
          <w:color w:val="00000A"/>
        </w:rPr>
      </w:pPr>
      <w:r>
        <w:rPr>
          <w:rFonts w:cs="Verdana"/>
          <w:color w:val="00000A"/>
        </w:rPr>
        <w:t>17.4. Os recursos deverão ser encaminhados em campo próprio do sistema.</w:t>
      </w:r>
    </w:p>
    <w:p>
      <w:pPr>
        <w:pStyle w:val="Textbody"/>
        <w:spacing w:lineRule="auto" w:line="240" w:before="0" w:after="0"/>
        <w:rPr>
          <w:rFonts w:cs="Verdana"/>
          <w:color w:val="00000A"/>
        </w:rPr>
      </w:pPr>
      <w:r>
        <w:rPr>
          <w:rFonts w:cs="Verdana"/>
          <w:color w:val="00000A"/>
        </w:rPr>
        <w:t>17.5.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pPr>
        <w:pStyle w:val="Textbody"/>
        <w:spacing w:lineRule="auto" w:line="240" w:before="0" w:after="0"/>
        <w:rPr>
          <w:rFonts w:cs="Verdana"/>
          <w:color w:val="00000A"/>
        </w:rPr>
      </w:pPr>
      <w:r>
        <w:rPr>
          <w:rFonts w:cs="Verdana"/>
          <w:color w:val="00000A"/>
        </w:rPr>
        <w:t>17.6. Os recursos interpostos fora do prazo não serão conhecidos.</w:t>
      </w:r>
    </w:p>
    <w:p>
      <w:pPr>
        <w:pStyle w:val="Textbody"/>
        <w:spacing w:lineRule="auto" w:line="240" w:before="0" w:after="0"/>
        <w:rPr>
          <w:rFonts w:cs="Verdana"/>
          <w:color w:val="00000A"/>
        </w:rPr>
      </w:pPr>
      <w:r>
        <w:rPr>
          <w:rFonts w:cs="Verdana"/>
          <w:color w:val="00000A"/>
        </w:rPr>
        <w:t>17.7.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pPr>
        <w:pStyle w:val="Textbody"/>
        <w:spacing w:lineRule="auto" w:line="240" w:before="0" w:after="0"/>
        <w:rPr/>
      </w:pPr>
      <w:r>
        <w:rPr>
          <w:rFonts w:cs="Verdana"/>
          <w:color w:val="00000A"/>
        </w:rPr>
        <w:t xml:space="preserve">17.7.1. </w:t>
      </w:r>
      <w:r>
        <w:rPr>
          <w:rFonts w:cs="Verdana"/>
        </w:rPr>
        <w:t xml:space="preserve">Caso o licitante entenda ser necessário o envio de documentos complementares para melhor entendimento das suas razões e/ou contrarrazões de recurso, deverá disponibilizar um </w:t>
      </w:r>
      <w:r>
        <w:rPr>
          <w:rFonts w:cs="Verdana"/>
          <w:i/>
          <w:iCs/>
        </w:rPr>
        <w:t>link</w:t>
      </w:r>
      <w:r>
        <w:rPr>
          <w:rFonts w:cs="Verdana"/>
        </w:rPr>
        <w:t xml:space="preserve"> no corpo da peça, de maneira que os referidos documentos sejam de acesso livre à Comissão e demais interessados.</w:t>
      </w:r>
    </w:p>
    <w:p>
      <w:pPr>
        <w:pStyle w:val="Textbody"/>
        <w:spacing w:lineRule="auto" w:line="240" w:before="0" w:after="0"/>
        <w:rPr>
          <w:rFonts w:cs="Verdana"/>
          <w:color w:val="00000A"/>
        </w:rPr>
      </w:pPr>
      <w:r>
        <w:rPr>
          <w:rFonts w:cs="Verdana"/>
          <w:color w:val="00000A"/>
        </w:rPr>
        <w:t>17.8. O recurso e o pedido de reconsideração terão efeito suspensivo do ato ou da decisão recorrida até que sobrevenha decisão final da autoridade competente.</w:t>
      </w:r>
    </w:p>
    <w:p>
      <w:pPr>
        <w:pStyle w:val="Textbody"/>
        <w:spacing w:lineRule="auto" w:line="240" w:before="0" w:after="0"/>
        <w:rPr>
          <w:rFonts w:cs="Verdana"/>
          <w:color w:val="00000A"/>
          <w:shd w:fill="FFFFFF" w:val="clear"/>
        </w:rPr>
      </w:pPr>
      <w:r>
        <w:rPr>
          <w:rFonts w:cs="Verdana"/>
          <w:color w:val="00000A"/>
          <w:shd w:fill="FFFFFF" w:val="clear"/>
        </w:rPr>
        <w:t>17.9. O acolhimento do recurso invalida tão somente os atos insuscetíveis de aproveitamento.</w:t>
      </w:r>
    </w:p>
    <w:p>
      <w:pPr>
        <w:pStyle w:val="Textbody"/>
        <w:spacing w:lineRule="auto" w:line="240" w:before="0" w:after="0"/>
        <w:rPr/>
      </w:pPr>
      <w:r>
        <w:rPr>
          <w:shd w:fill="FFFFFF" w:val="clear"/>
        </w:rPr>
        <w:t>17.10.</w:t>
      </w:r>
      <w:r>
        <w:rPr>
          <w:rFonts w:cs="Verdana"/>
          <w:shd w:fill="FFFFFF" w:val="clear"/>
        </w:rPr>
        <w:t xml:space="preserve"> </w:t>
      </w:r>
      <w:r>
        <w:rPr>
          <w:shd w:fill="FFFFFF" w:val="clear"/>
        </w:rPr>
        <w:t>Não serão conhecidos os recursos intempestivos e/ou subscritos por representante não habilitado legalmente ou não identificado no processo licitatório para responder pelo proponente.</w:t>
      </w:r>
    </w:p>
    <w:p>
      <w:pPr>
        <w:pStyle w:val="Textbody"/>
        <w:spacing w:lineRule="auto" w:line="240" w:before="0" w:after="0"/>
        <w:rPr>
          <w:rFonts w:cs="Verdana"/>
          <w:color w:val="00000A"/>
          <w:shd w:fill="FFFFFF" w:val="clear"/>
        </w:rPr>
      </w:pPr>
      <w:r>
        <w:rPr>
          <w:rFonts w:cs="Verdana"/>
          <w:color w:val="00000A"/>
          <w:shd w:fill="FFFFFF" w:val="clear"/>
        </w:rPr>
        <w:t>17.11. Os autos do processo permanecerão com vista franqueada aos interessados no Portal Nacional de Contratações Públicas (PNCP), naquilo que lhes couber e na Central de Licitações no endereço constante no subitem 7.1 deste edital.</w:t>
      </w:r>
    </w:p>
    <w:p>
      <w:pPr>
        <w:pStyle w:val="Ttulo112"/>
        <w:spacing w:lineRule="auto" w:line="240" w:before="0" w:after="0"/>
        <w:ind w:left="0" w:hanging="0"/>
        <w:rPr>
          <w:rFonts w:eastAsia="Times New Roman" w:cs="Verdana"/>
          <w:color w:val="00000A"/>
          <w:sz w:val="22"/>
          <w:szCs w:val="22"/>
          <w:shd w:fill="FFFFFF" w:val="clear"/>
        </w:rPr>
      </w:pPr>
      <w:r>
        <w:rPr>
          <w:rFonts w:eastAsia="Times New Roman" w:cs="Verdana"/>
          <w:color w:val="00000A"/>
          <w:sz w:val="22"/>
          <w:szCs w:val="22"/>
          <w:shd w:fill="FFFFFF" w:val="clear"/>
        </w:rPr>
      </w:r>
    </w:p>
    <w:p>
      <w:pPr>
        <w:pStyle w:val="Ttulo112"/>
        <w:spacing w:lineRule="auto" w:line="240" w:before="0" w:after="0"/>
        <w:ind w:left="0" w:hanging="0"/>
        <w:rPr>
          <w:sz w:val="22"/>
          <w:szCs w:val="22"/>
        </w:rPr>
      </w:pPr>
      <w:r>
        <w:rPr>
          <w:rFonts w:eastAsia="Times New Roman" w:cs="Verdana"/>
          <w:color w:val="00000A"/>
          <w:sz w:val="22"/>
          <w:szCs w:val="22"/>
          <w:shd w:fill="FFFFFF" w:val="clear"/>
        </w:rPr>
        <w:t>18. DAS INFRAÇÕES ADMINISTRATIVAS E SANÇÕES</w:t>
      </w:r>
    </w:p>
    <w:p>
      <w:pPr>
        <w:pStyle w:val="Textbody"/>
        <w:spacing w:lineRule="auto" w:line="240" w:before="0" w:after="0"/>
        <w:rPr>
          <w:rFonts w:cs="Verdana"/>
          <w:color w:val="00000A"/>
          <w:shd w:fill="FFFFFF" w:val="clear"/>
        </w:rPr>
      </w:pPr>
      <w:r>
        <w:rPr>
          <w:rFonts w:cs="Verdana"/>
          <w:color w:val="00000A"/>
          <w:shd w:fill="FFFFFF" w:val="clear"/>
        </w:rPr>
        <w:t>18.1. Comete infração administrativa, nos termos do art. 155 da Lei nº 14.133/2021, o licitante que, com dolo ou culpa:</w:t>
      </w:r>
    </w:p>
    <w:p>
      <w:pPr>
        <w:pStyle w:val="Textbody"/>
        <w:spacing w:lineRule="auto" w:line="240" w:before="0" w:after="0"/>
        <w:rPr/>
      </w:pPr>
      <w:r>
        <w:rPr/>
        <w:t>18.1.1. D</w:t>
      </w:r>
      <w:bookmarkStart w:id="3" w:name="_Ref114668085"/>
      <w:bookmarkEnd w:id="3"/>
      <w:r>
        <w:rPr/>
        <w:t>eixar de entregar a documentação exigida para o certame ou não entregar qualquer documento que tenha sido solicitada pela Comissão durante o certame;</w:t>
      </w:r>
    </w:p>
    <w:p>
      <w:pPr>
        <w:pStyle w:val="Textbody"/>
        <w:spacing w:lineRule="auto" w:line="240" w:before="0" w:after="0"/>
        <w:rPr/>
      </w:pPr>
      <w:r>
        <w:rPr>
          <w:rFonts w:cs="Verdana"/>
          <w:color w:val="00000A"/>
        </w:rPr>
        <w:t>18.1.2. S</w:t>
      </w:r>
      <w:bookmarkStart w:id="4" w:name="_Ref114668108"/>
      <w:bookmarkEnd w:id="4"/>
      <w:r>
        <w:rPr>
          <w:rFonts w:cs="Verdana"/>
          <w:color w:val="00000A"/>
        </w:rPr>
        <w:t>alvo em decorrência de fato superveniente devidamente justificado, não mantiver a proposta em especial quando:</w:t>
      </w:r>
    </w:p>
    <w:p>
      <w:pPr>
        <w:pStyle w:val="Textbody"/>
        <w:spacing w:lineRule="auto" w:line="240" w:before="0" w:after="0"/>
        <w:rPr>
          <w:rFonts w:cs="Verdana"/>
          <w:color w:val="00000A"/>
          <w:szCs w:val="22"/>
        </w:rPr>
      </w:pPr>
      <w:r>
        <w:rPr>
          <w:rFonts w:cs="Verdana"/>
          <w:color w:val="00000A"/>
          <w:szCs w:val="22"/>
        </w:rPr>
        <w:t>18.1.2.1. Não enviar a proposta adequada ao último lance ofertado ou após a negociação;</w:t>
      </w:r>
    </w:p>
    <w:p>
      <w:pPr>
        <w:pStyle w:val="Textbody"/>
        <w:spacing w:lineRule="auto" w:line="240" w:before="0" w:after="0"/>
        <w:rPr/>
      </w:pPr>
      <w:r>
        <w:rPr>
          <w:rFonts w:cs="Verdana"/>
          <w:color w:val="00000A"/>
          <w:szCs w:val="22"/>
        </w:rPr>
        <w:t>18.1.2.2. R</w:t>
      </w:r>
      <w:r>
        <w:rPr>
          <w:szCs w:val="22"/>
        </w:rPr>
        <w:t>ecusar-se a enviar o detalhamento da proposta quando exigível;</w:t>
      </w:r>
    </w:p>
    <w:p>
      <w:pPr>
        <w:pStyle w:val="Textbody"/>
        <w:spacing w:lineRule="auto" w:line="240" w:before="0" w:after="0"/>
        <w:rPr>
          <w:rFonts w:cs="Verdana"/>
          <w:color w:val="00000A"/>
          <w:shd w:fill="FFFFFF" w:val="clear"/>
        </w:rPr>
      </w:pPr>
      <w:r>
        <w:rPr>
          <w:rFonts w:cs="Verdana"/>
          <w:color w:val="00000A"/>
          <w:shd w:fill="FFFFFF" w:val="clear"/>
        </w:rPr>
        <w:t>18.1.2.3. Pedir para ser desclassificado quando encerrada a etapa competitiva ou;</w:t>
      </w:r>
    </w:p>
    <w:p>
      <w:pPr>
        <w:pStyle w:val="Textbody"/>
        <w:spacing w:lineRule="auto" w:line="240" w:before="0" w:after="0"/>
        <w:rPr/>
      </w:pPr>
      <w:r>
        <w:rPr>
          <w:rFonts w:cs="Verdana"/>
          <w:color w:val="00000A"/>
        </w:rPr>
        <w:t>18.1.2.4. Apresentar proposta</w:t>
      </w:r>
      <w:r>
        <w:rPr>
          <w:rFonts w:cs="Verdana"/>
          <w:color w:val="00000A"/>
          <w:shd w:fill="FFFFFF" w:val="clear"/>
        </w:rPr>
        <w:t xml:space="preserve"> </w:t>
      </w:r>
      <w:r>
        <w:rPr>
          <w:rFonts w:cs="Verdana"/>
          <w:color w:val="00000A"/>
        </w:rPr>
        <w:t>em desacordo com as especificações do edital;</w:t>
      </w:r>
    </w:p>
    <w:p>
      <w:pPr>
        <w:pStyle w:val="Textbody"/>
        <w:spacing w:lineRule="auto" w:line="240" w:before="0" w:after="0"/>
        <w:rPr>
          <w:rFonts w:cs="Verdana"/>
          <w:color w:val="00000A"/>
          <w:shd w:fill="FFFFFF" w:val="clear"/>
        </w:rPr>
      </w:pPr>
      <w:r>
        <w:rPr>
          <w:rFonts w:cs="Verdana"/>
          <w:color w:val="00000A"/>
          <w:shd w:fill="FFFFFF" w:val="clear"/>
        </w:rPr>
        <w:t>18.1.3. Não celebrar o contrato ou não entregar a documentação exigida para a contratação, quando convocado dentro do prazo de validade de sua proposta;</w:t>
      </w:r>
    </w:p>
    <w:p>
      <w:pPr>
        <w:pStyle w:val="Textbody"/>
        <w:spacing w:lineRule="auto" w:line="240" w:before="0" w:after="0"/>
        <w:rPr>
          <w:rFonts w:cs="Verdana"/>
          <w:color w:val="00000A"/>
        </w:rPr>
      </w:pPr>
      <w:r>
        <w:rPr>
          <w:rFonts w:cs="Verdana"/>
          <w:color w:val="00000A"/>
        </w:rPr>
        <w:t>18.1.3.1. Recusar-se, sem justificativa, a assinar o contrato ou a aceitar ou retirar o instrumento equivalente no prazo estabelecido pela Administração;</w:t>
      </w:r>
    </w:p>
    <w:p>
      <w:pPr>
        <w:pStyle w:val="Textbody"/>
        <w:spacing w:lineRule="auto" w:line="240" w:before="0" w:after="0"/>
        <w:rPr>
          <w:rFonts w:cs="Verdana"/>
          <w:color w:val="00000A"/>
        </w:rPr>
      </w:pPr>
      <w:r>
        <w:rPr>
          <w:rFonts w:cs="Verdana"/>
          <w:color w:val="00000A"/>
        </w:rPr>
        <w:t>18.1.4. Apresentar declaração ou documentação falsa exigida para o certame ou prestar declaração falsa durante a licitação;</w:t>
      </w:r>
    </w:p>
    <w:p>
      <w:pPr>
        <w:pStyle w:val="Textbody"/>
        <w:spacing w:lineRule="auto" w:line="240" w:before="0" w:after="0"/>
        <w:rPr>
          <w:rFonts w:cs="Verdana"/>
          <w:color w:val="00000A"/>
          <w:shd w:fill="FFFFFF" w:val="clear"/>
        </w:rPr>
      </w:pPr>
      <w:r>
        <w:rPr>
          <w:rFonts w:cs="Verdana"/>
          <w:color w:val="00000A"/>
          <w:shd w:fill="FFFFFF" w:val="clear"/>
        </w:rPr>
        <w:t>18.1.5. Fraudar a licitação;</w:t>
      </w:r>
    </w:p>
    <w:p>
      <w:pPr>
        <w:pStyle w:val="Textbody"/>
        <w:spacing w:lineRule="auto" w:line="240" w:before="0" w:after="0"/>
        <w:rPr>
          <w:rFonts w:cs="Verdana"/>
          <w:color w:val="00000A"/>
        </w:rPr>
      </w:pPr>
      <w:r>
        <w:rPr>
          <w:rFonts w:cs="Verdana"/>
          <w:color w:val="00000A"/>
        </w:rPr>
        <w:t>18.1.6. Comportar-se de modo inidôneo ou cometer fraude de qualquer natureza, em especial quando:</w:t>
      </w:r>
    </w:p>
    <w:p>
      <w:pPr>
        <w:pStyle w:val="Textbody"/>
        <w:spacing w:lineRule="auto" w:line="240" w:before="0" w:after="0"/>
        <w:rPr>
          <w:rFonts w:cs="Verdana"/>
          <w:color w:val="00000A"/>
          <w:szCs w:val="22"/>
        </w:rPr>
      </w:pPr>
      <w:r>
        <w:rPr>
          <w:rFonts w:cs="Verdana"/>
          <w:color w:val="00000A"/>
          <w:szCs w:val="22"/>
        </w:rPr>
        <w:t>18.1.6.1. Agir em conluio ou em desconformidade com a lei;</w:t>
      </w:r>
    </w:p>
    <w:p>
      <w:pPr>
        <w:pStyle w:val="Textbody"/>
        <w:spacing w:lineRule="auto" w:line="240" w:before="0" w:after="0"/>
        <w:rPr/>
      </w:pPr>
      <w:r>
        <w:rPr>
          <w:rFonts w:cs="Verdana"/>
          <w:color w:val="00000A"/>
          <w:szCs w:val="22"/>
        </w:rPr>
        <w:t>18.1.6.2. I</w:t>
      </w:r>
      <w:r>
        <w:rPr>
          <w:szCs w:val="22"/>
        </w:rPr>
        <w:t>nduzir deliberadamente a erro no julgamento;</w:t>
      </w:r>
    </w:p>
    <w:p>
      <w:pPr>
        <w:pStyle w:val="Textbody"/>
        <w:spacing w:lineRule="auto" w:line="240" w:before="0" w:after="0"/>
        <w:rPr>
          <w:rFonts w:cs="Verdana"/>
          <w:color w:val="00000A"/>
        </w:rPr>
      </w:pPr>
      <w:r>
        <w:rPr>
          <w:rFonts w:cs="Verdana"/>
          <w:color w:val="00000A"/>
        </w:rPr>
        <w:t>18.1.7. Praticar atos ilícitos com vistas a frustrar os objetivos da licitação;</w:t>
      </w:r>
    </w:p>
    <w:p>
      <w:pPr>
        <w:pStyle w:val="Textbody"/>
        <w:spacing w:lineRule="auto" w:line="240" w:before="0" w:after="0"/>
        <w:rPr/>
      </w:pPr>
      <w:r>
        <w:rPr>
          <w:rFonts w:cs="Verdana"/>
          <w:color w:val="00000A"/>
        </w:rPr>
        <w:t xml:space="preserve">18.1.8. Praticar ato lesivo previsto no </w:t>
      </w:r>
      <w:r>
        <w:fldChar w:fldCharType="begin"/>
      </w:r>
      <w:r>
        <w:rPr>
          <w:rStyle w:val="LinkdaInternet"/>
          <w:u w:val="none"/>
          <w:rFonts w:cs="Verdana"/>
          <w:color w:val="00000A"/>
        </w:rPr>
        <w:instrText xml:space="preserve"> HYPERLINK "https://www.planalto.gov.br/ccivil_03/_ato2011-2014/2013/lei/l12846.htm" \l "art5"</w:instrText>
      </w:r>
      <w:r>
        <w:rPr>
          <w:rStyle w:val="LinkdaInternet"/>
          <w:u w:val="none"/>
          <w:rFonts w:cs="Verdana"/>
          <w:color w:val="00000A"/>
        </w:rPr>
        <w:fldChar w:fldCharType="separate"/>
      </w:r>
      <w:r>
        <w:rPr>
          <w:rStyle w:val="LinkdaInternet"/>
          <w:rFonts w:cs="Verdana"/>
          <w:color w:val="00000A"/>
          <w:u w:val="none"/>
        </w:rPr>
        <w:t>art. 5º da Lei n.º</w:t>
      </w:r>
      <w:r>
        <w:rPr>
          <w:rStyle w:val="LinkdaInternet"/>
          <w:u w:val="none"/>
          <w:rFonts w:cs="Verdana"/>
          <w:color w:val="00000A"/>
        </w:rPr>
        <w:fldChar w:fldCharType="end"/>
      </w:r>
      <w:r>
        <w:rPr>
          <w:rStyle w:val="LinkdaInternet"/>
          <w:rFonts w:cs="Verdana"/>
          <w:color w:val="00000A"/>
          <w:u w:val="none"/>
          <w:shd w:fill="FFFFFF" w:val="clear"/>
        </w:rPr>
        <w:t xml:space="preserve"> 12.846</w:t>
      </w:r>
      <w:r>
        <w:rPr>
          <w:rFonts w:cs="Verdana"/>
          <w:color w:val="00000A"/>
          <w:shd w:fill="FFFFFF" w:val="clear"/>
        </w:rPr>
        <w:t>/</w:t>
      </w:r>
      <w:r>
        <w:fldChar w:fldCharType="begin"/>
      </w:r>
      <w:r>
        <w:rPr>
          <w:rStyle w:val="LinkdaInternet"/>
          <w:u w:val="none"/>
          <w:rFonts w:cs="Verdana"/>
          <w:color w:val="00000A"/>
        </w:rPr>
        <w:instrText xml:space="preserve"> HYPERLINK "https://www.planalto.gov.br/ccivil_03/_ato2011-2014/2013/lei/l12846.htm" \l "art5"</w:instrText>
      </w:r>
      <w:r>
        <w:rPr>
          <w:rStyle w:val="LinkdaInternet"/>
          <w:u w:val="none"/>
          <w:rFonts w:cs="Verdana"/>
          <w:color w:val="00000A"/>
        </w:rPr>
        <w:fldChar w:fldCharType="separate"/>
      </w:r>
      <w:r>
        <w:rPr>
          <w:rStyle w:val="LinkdaInternet"/>
          <w:rFonts w:cs="Verdana"/>
          <w:color w:val="00000A"/>
          <w:u w:val="none"/>
        </w:rPr>
        <w:t>2013</w:t>
      </w:r>
      <w:r>
        <w:rPr>
          <w:rStyle w:val="LinkdaInternet"/>
          <w:u w:val="none"/>
          <w:rFonts w:cs="Verdana"/>
          <w:color w:val="00000A"/>
        </w:rPr>
        <w:fldChar w:fldCharType="end"/>
      </w:r>
      <w:r>
        <w:rPr>
          <w:rFonts w:cs="Verdana"/>
          <w:color w:val="00000A"/>
        </w:rPr>
        <w:t>.</w:t>
      </w:r>
    </w:p>
    <w:p>
      <w:pPr>
        <w:pStyle w:val="Textbody"/>
        <w:spacing w:lineRule="auto" w:line="240" w:before="0" w:after="0"/>
        <w:rPr/>
      </w:pPr>
      <w:r>
        <w:rPr>
          <w:rFonts w:cs="Verdana"/>
          <w:color w:val="00000A"/>
          <w:shd w:fill="FFFFFF" w:val="clear"/>
        </w:rPr>
        <w:t xml:space="preserve">18.2. Com fulcro na </w:t>
      </w:r>
      <w:hyperlink r:id="rId13">
        <w:r>
          <w:rPr>
            <w:rStyle w:val="LinkdaInternet"/>
            <w:rFonts w:cs="Verdana"/>
            <w:color w:val="00000A"/>
            <w:u w:val="none"/>
            <w:shd w:fill="FFFFFF" w:val="clear"/>
          </w:rPr>
          <w:t>Lei nº 14.133/2021</w:t>
        </w:r>
      </w:hyperlink>
      <w:r>
        <w:rPr>
          <w:rFonts w:cs="Verdana"/>
          <w:color w:val="00000A"/>
          <w:shd w:fill="FFFFFF" w:val="clear"/>
        </w:rPr>
        <w:t>, a Administração poderá, garantida a prévia defesa, aplicar aos licitantes e/ou adjudicatários as seguintes sanções, sem prejuízo das responsabilidades civil e criminal:</w:t>
      </w:r>
    </w:p>
    <w:p>
      <w:pPr>
        <w:pStyle w:val="Textbody"/>
        <w:spacing w:lineRule="auto" w:line="240" w:before="0" w:after="0"/>
        <w:rPr>
          <w:rFonts w:cs="Verdana"/>
          <w:color w:val="00000A"/>
          <w:szCs w:val="22"/>
        </w:rPr>
      </w:pPr>
      <w:r>
        <w:rPr>
          <w:rFonts w:cs="Verdana"/>
          <w:color w:val="00000A"/>
          <w:szCs w:val="22"/>
        </w:rPr>
        <w:t>18.2.1. Advertência;</w:t>
      </w:r>
    </w:p>
    <w:p>
      <w:pPr>
        <w:pStyle w:val="Textbody"/>
        <w:spacing w:lineRule="auto" w:line="240" w:before="0" w:after="0"/>
        <w:rPr/>
      </w:pPr>
      <w:r>
        <w:rPr>
          <w:rFonts w:cs="Verdana"/>
          <w:color w:val="00000A"/>
          <w:szCs w:val="22"/>
        </w:rPr>
        <w:t>18.2.2. M</w:t>
      </w:r>
      <w:r>
        <w:rPr>
          <w:szCs w:val="22"/>
        </w:rPr>
        <w:t>ulta;</w:t>
      </w:r>
    </w:p>
    <w:p>
      <w:pPr>
        <w:pStyle w:val="Textbody"/>
        <w:spacing w:lineRule="auto" w:line="240" w:before="0" w:after="0"/>
        <w:rPr>
          <w:rFonts w:cs="Verdana"/>
          <w:color w:val="00000A"/>
          <w:shd w:fill="FFFFFF" w:val="clear"/>
        </w:rPr>
      </w:pPr>
      <w:r>
        <w:rPr>
          <w:rFonts w:cs="Verdana"/>
          <w:color w:val="00000A"/>
          <w:shd w:fill="FFFFFF" w:val="clear"/>
        </w:rPr>
        <w:t>18.2.3. Impedimento de licitar e contratar e</w:t>
      </w:r>
    </w:p>
    <w:p>
      <w:pPr>
        <w:pStyle w:val="Textbody"/>
        <w:spacing w:lineRule="auto" w:line="240" w:before="0" w:after="0"/>
        <w:rPr>
          <w:rFonts w:cs="Verdana"/>
          <w:color w:val="00000A"/>
          <w:shd w:fill="FFFFFF" w:val="clear"/>
        </w:rPr>
      </w:pPr>
      <w:r>
        <w:rPr>
          <w:rFonts w:cs="Verdana"/>
          <w:color w:val="00000A"/>
          <w:shd w:fill="FFFFFF" w:val="clear"/>
        </w:rPr>
        <w:t>18.2.4. Declaração de inidoneidade para licitar ou contratar, enquanto perdurarem os motivos determinantes da punição ou até que seja promovida sua reabilitação perante a própria autoridade que aplicou a penalidade;</w:t>
      </w:r>
    </w:p>
    <w:p>
      <w:pPr>
        <w:pStyle w:val="Textbody"/>
        <w:spacing w:lineRule="auto" w:line="240" w:before="0" w:after="0"/>
        <w:rPr>
          <w:rFonts w:cs="Verdana"/>
          <w:color w:val="00000A"/>
          <w:szCs w:val="22"/>
        </w:rPr>
      </w:pPr>
      <w:r>
        <w:rPr>
          <w:rFonts w:cs="Verdana"/>
          <w:color w:val="00000A"/>
          <w:szCs w:val="22"/>
        </w:rPr>
        <w:t>18.3. Na aplicação das sanções serão considerados:</w:t>
      </w:r>
    </w:p>
    <w:p>
      <w:pPr>
        <w:pStyle w:val="Textbody"/>
        <w:spacing w:lineRule="auto" w:line="240" w:before="0" w:after="0"/>
        <w:rPr/>
      </w:pPr>
      <w:r>
        <w:rPr>
          <w:rFonts w:cs="Verdana"/>
          <w:color w:val="00000A"/>
          <w:szCs w:val="22"/>
        </w:rPr>
        <w:t>18.3.1. A</w:t>
      </w:r>
      <w:r>
        <w:rPr>
          <w:szCs w:val="22"/>
        </w:rPr>
        <w:t xml:space="preserve"> natureza e a gravidade da infração cometida;</w:t>
      </w:r>
    </w:p>
    <w:p>
      <w:pPr>
        <w:pStyle w:val="Textbody"/>
        <w:spacing w:lineRule="auto" w:line="240" w:before="0" w:after="0"/>
        <w:rPr/>
      </w:pPr>
      <w:r>
        <w:rPr/>
        <w:t>18.3.2. As peculiaridades do caso concreto;</w:t>
      </w:r>
    </w:p>
    <w:p>
      <w:pPr>
        <w:pStyle w:val="Textbody"/>
        <w:spacing w:lineRule="auto" w:line="240" w:before="0" w:after="0"/>
        <w:rPr/>
      </w:pPr>
      <w:r>
        <w:rPr/>
        <w:t>18.3.3. As circunstâncias agravantes ou atenuantes;</w:t>
      </w:r>
    </w:p>
    <w:p>
      <w:pPr>
        <w:pStyle w:val="Textbody"/>
        <w:spacing w:lineRule="auto" w:line="240" w:before="0" w:after="0"/>
        <w:rPr/>
      </w:pPr>
      <w:r>
        <w:rPr/>
        <w:t>18.3.4. Os danos que dela provierem para a Administração Pública;</w:t>
      </w:r>
    </w:p>
    <w:p>
      <w:pPr>
        <w:pStyle w:val="Textbody"/>
        <w:spacing w:lineRule="auto" w:line="240" w:before="0" w:after="0"/>
        <w:rPr>
          <w:rFonts w:cs="Verdana"/>
          <w:color w:val="00000A"/>
          <w:shd w:fill="FFFFFF" w:val="clear"/>
        </w:rPr>
      </w:pPr>
      <w:r>
        <w:rPr>
          <w:rFonts w:cs="Verdana"/>
          <w:color w:val="00000A"/>
          <w:shd w:fill="FFFFFF" w:val="clear"/>
        </w:rPr>
        <w:t>18.3.5. A implantação ou o aperfeiçoamento de programa de integridade, conforme normas e orientações dos órgãos de controle.</w:t>
      </w:r>
    </w:p>
    <w:p>
      <w:pPr>
        <w:pStyle w:val="Textbody"/>
        <w:spacing w:lineRule="auto" w:line="240" w:before="0" w:after="0"/>
        <w:rPr>
          <w:rFonts w:cs="Verdana"/>
          <w:color w:val="00000A"/>
          <w:szCs w:val="22"/>
        </w:rPr>
      </w:pPr>
      <w:r>
        <w:rPr>
          <w:rFonts w:cs="Verdana"/>
          <w:color w:val="00000A"/>
          <w:szCs w:val="22"/>
        </w:rPr>
        <w:t>18.4. A sanção de multa não poderá ser inferior a 0,5% (cinco décimos por cento) nem superior a 30% (trinta por cento) do valor do contrato licitado, conforme §3º do art. 156 da Lei nº 14.133/2021.</w:t>
      </w:r>
    </w:p>
    <w:p>
      <w:pPr>
        <w:pStyle w:val="Textbody"/>
        <w:spacing w:lineRule="auto" w:line="240" w:before="0" w:after="0"/>
        <w:rPr>
          <w:rFonts w:cs="Verdana"/>
          <w:color w:val="00000A"/>
          <w:shd w:fill="FFFFFF" w:val="clear"/>
        </w:rPr>
      </w:pPr>
      <w:r>
        <w:rPr>
          <w:rFonts w:cs="Verdana"/>
          <w:color w:val="00000A"/>
          <w:shd w:fill="FFFFFF" w:val="clear"/>
        </w:rPr>
        <w:t>18.4.1. A multa será recolhida no prazo máximo de 30 (trinta) dias úteis, a contar da comunicação oficial.</w:t>
      </w:r>
    </w:p>
    <w:p>
      <w:pPr>
        <w:pStyle w:val="Textbody"/>
        <w:spacing w:lineRule="auto" w:line="240" w:before="0" w:after="0"/>
        <w:rPr/>
      </w:pPr>
      <w:r>
        <w:rPr>
          <w:rFonts w:cs="Verdana"/>
          <w:color w:val="00000A"/>
          <w:szCs w:val="22"/>
        </w:rPr>
        <w:t>18.4.1.1. Para as infrações previstas nos subitens 18.1.1, 18.1.2 e 18.1.3</w:t>
      </w:r>
      <w:r>
        <w:rPr>
          <w:rFonts w:cs="Verdana"/>
          <w:color w:val="0070C0"/>
          <w:szCs w:val="22"/>
        </w:rPr>
        <w:t>,</w:t>
      </w:r>
      <w:r>
        <w:rPr>
          <w:rFonts w:cs="Verdana"/>
          <w:color w:val="00000A"/>
          <w:szCs w:val="22"/>
        </w:rPr>
        <w:t xml:space="preserve"> a multa será de 1% (um por cento</w:t>
      </w:r>
      <w:r>
        <w:rPr>
          <w:rFonts w:cs="Verdana"/>
          <w:i/>
          <w:iCs/>
          <w:color w:val="00000A"/>
          <w:szCs w:val="22"/>
        </w:rPr>
        <w:t xml:space="preserve">) </w:t>
      </w:r>
      <w:r>
        <w:rPr>
          <w:rFonts w:cs="Verdana"/>
          <w:color w:val="00000A"/>
          <w:szCs w:val="22"/>
        </w:rPr>
        <w:t>do valor do contrato licitado.</w:t>
      </w:r>
    </w:p>
    <w:p>
      <w:pPr>
        <w:pStyle w:val="Textbody"/>
        <w:spacing w:lineRule="auto" w:line="240" w:before="0" w:after="0"/>
        <w:rPr/>
      </w:pPr>
      <w:r>
        <w:rPr>
          <w:rFonts w:cs="Verdana"/>
          <w:color w:val="00000A"/>
          <w:szCs w:val="22"/>
        </w:rPr>
        <w:t>18.4.1.2. Para as infrações previstas nos subitens 18.1.4, 18.1.5, 18.1.6, 18.1.7 e 18.1.8, a multa será de 15% (quinze por cento)</w:t>
      </w:r>
      <w:r>
        <w:rPr>
          <w:rFonts w:cs="Verdana"/>
          <w:i/>
          <w:iCs/>
          <w:color w:val="00000A"/>
          <w:szCs w:val="22"/>
        </w:rPr>
        <w:t xml:space="preserve"> </w:t>
      </w:r>
      <w:r>
        <w:rPr>
          <w:rFonts w:cs="Verdana"/>
          <w:color w:val="00000A"/>
          <w:szCs w:val="22"/>
        </w:rPr>
        <w:t>do valor do contrato licitado.</w:t>
      </w:r>
    </w:p>
    <w:p>
      <w:pPr>
        <w:pStyle w:val="Textbody"/>
        <w:spacing w:lineRule="auto" w:line="240" w:before="0" w:after="0"/>
        <w:rPr>
          <w:rFonts w:cs="Verdana"/>
          <w:color w:val="00000A"/>
          <w:szCs w:val="22"/>
        </w:rPr>
      </w:pPr>
      <w:r>
        <w:rPr>
          <w:rFonts w:cs="Verdana"/>
          <w:color w:val="00000A"/>
          <w:szCs w:val="22"/>
        </w:rPr>
        <w:t>18.5. As sanções de advertência, impedimento de licitar e contratar e declaração de inidoneidade para licitar ou contratar poderão ser aplicadas, cumulativamente ou não, à penalidade de multa.</w:t>
      </w:r>
    </w:p>
    <w:p>
      <w:pPr>
        <w:pStyle w:val="Textbody"/>
        <w:spacing w:lineRule="auto" w:line="240" w:before="0" w:after="0"/>
        <w:rPr>
          <w:rFonts w:cs="Verdana"/>
          <w:color w:val="00000A"/>
          <w:szCs w:val="22"/>
        </w:rPr>
      </w:pPr>
      <w:r>
        <w:rPr>
          <w:rFonts w:cs="Verdana"/>
          <w:color w:val="00000A"/>
          <w:szCs w:val="22"/>
        </w:rPr>
        <w:t>18.6. Na aplicação da sanção de multa será facultada a defesa do interessado no prazo de 15 (quinze) dias úteis, contado da data de sua intimação.</w:t>
      </w:r>
    </w:p>
    <w:p>
      <w:pPr>
        <w:pStyle w:val="Textbody"/>
        <w:spacing w:lineRule="auto" w:line="240" w:before="0" w:after="0"/>
        <w:rPr>
          <w:rFonts w:cs="Verdana"/>
          <w:color w:val="00000A"/>
          <w:szCs w:val="22"/>
        </w:rPr>
      </w:pPr>
      <w:r>
        <w:rPr>
          <w:rFonts w:cs="Verdana"/>
          <w:color w:val="00000A"/>
          <w:szCs w:val="22"/>
        </w:rPr>
        <w:t>18.7. A sanção de impedimento de licitar e contratar será aplicada ao responsável em decorrência das infrações administrativas relacionadas nos subitens 18.1.1, 18.1.2 e 18.1.3,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pPr>
        <w:pStyle w:val="Textbody"/>
        <w:spacing w:lineRule="auto" w:line="240" w:before="0" w:after="0"/>
        <w:rPr/>
      </w:pPr>
      <w:r>
        <w:rPr>
          <w:rFonts w:cs="Verdana"/>
          <w:color w:val="00000A"/>
          <w:szCs w:val="22"/>
        </w:rPr>
        <w:t xml:space="preserve">18.8. Poderá ser aplicada ao responsável a sanção de declaração de inidoneidade para licitar ou contratar, em decorrência da prática das infrações dispostas nos subitens 18.1.4, 18.1.5, 18.1.6, 18.1.7 e 18.1.8, bem como pelas infrações administrativas previstas nos subitens 18.1.1, 18.1.2 e 18.1.3 que justifiquem a imposição de penalidade mais grave que a sanção de impedimento de licitar e contratar, cuja duração observará o prazo previsto no </w:t>
      </w:r>
      <w:r>
        <w:fldChar w:fldCharType="begin"/>
      </w:r>
      <w:r>
        <w:rPr>
          <w:rStyle w:val="LinkdaInternet"/>
          <w:u w:val="none"/>
          <w:szCs w:val="22"/>
          <w:rFonts w:cs="Verdana"/>
          <w:color w:val="00000A"/>
        </w:rPr>
        <w:instrText xml:space="preserve"> HYPERLINK "http://www.planalto.gov.br/ccivil_03/_ato2019-2022/2021/lei/L14133.htm" \l "art156§5"</w:instrText>
      </w:r>
      <w:r>
        <w:rPr>
          <w:rStyle w:val="LinkdaInternet"/>
          <w:u w:val="none"/>
          <w:szCs w:val="22"/>
          <w:rFonts w:cs="Verdana"/>
          <w:color w:val="00000A"/>
        </w:rPr>
        <w:fldChar w:fldCharType="separate"/>
      </w:r>
      <w:r>
        <w:rPr>
          <w:rStyle w:val="LinkdaInternet"/>
          <w:rFonts w:cs="Verdana"/>
          <w:color w:val="00000A"/>
          <w:szCs w:val="22"/>
          <w:u w:val="none"/>
        </w:rPr>
        <w:t>art.156, §5º, da Lei n.º 14.133/2021</w:t>
      </w:r>
      <w:r>
        <w:rPr>
          <w:rStyle w:val="LinkdaInternet"/>
          <w:u w:val="none"/>
          <w:szCs w:val="22"/>
          <w:rFonts w:cs="Verdana"/>
          <w:color w:val="00000A"/>
        </w:rPr>
        <w:fldChar w:fldCharType="end"/>
      </w:r>
      <w:r>
        <w:rPr>
          <w:rFonts w:cs="Verdana"/>
          <w:color w:val="00000A"/>
          <w:szCs w:val="22"/>
        </w:rPr>
        <w:t>.</w:t>
      </w:r>
    </w:p>
    <w:p>
      <w:pPr>
        <w:pStyle w:val="Textbody"/>
        <w:spacing w:lineRule="auto" w:line="240" w:before="0" w:after="0"/>
        <w:rPr>
          <w:rFonts w:cs="Verdana"/>
          <w:szCs w:val="22"/>
        </w:rPr>
      </w:pPr>
      <w:r>
        <w:rPr>
          <w:rFonts w:cs="Verdana"/>
          <w:color w:val="00000A"/>
          <w:szCs w:val="22"/>
        </w:rPr>
        <w:t>18.9. A recusa injustificada do adjudicatário em assinar o contrato, ou em aceitar ou retirar o instrumento equivalente no prazo estabelecido pela Administração, descrita no subitem 18.1.3, caracterizará o descumprimento total da obrigação assumida e o sujeitará às penalidades e à imediata perda da garantia de proposta, se houver, em favor do órgão ou entidade promotora da licitação.</w:t>
      </w:r>
    </w:p>
    <w:p>
      <w:pPr>
        <w:pStyle w:val="Textbody"/>
        <w:spacing w:lineRule="auto" w:line="240" w:before="0" w:after="0"/>
        <w:rPr>
          <w:rFonts w:cs="Verdana"/>
          <w:color w:val="00000A"/>
          <w:szCs w:val="22"/>
        </w:rPr>
      </w:pPr>
      <w:r>
        <w:rPr>
          <w:rFonts w:cs="Verdana"/>
          <w:color w:val="00000A"/>
          <w:szCs w:val="22"/>
        </w:rPr>
        <w:t>18.9.1. A exigência da garantia de que trata o subitem anterior, obedecerá ao disposto no art. 58 da Lei nº 14.133/2021.</w:t>
      </w:r>
    </w:p>
    <w:p>
      <w:pPr>
        <w:pStyle w:val="Textbody"/>
        <w:spacing w:lineRule="auto" w:line="240" w:before="0" w:after="0"/>
        <w:rPr/>
      </w:pPr>
      <w:r>
        <w:rPr>
          <w:rFonts w:cs="Verdana"/>
          <w:color w:val="00000A"/>
          <w:shd w:fill="FFFFFF" w:val="clear"/>
        </w:rPr>
        <w:t>18.10. O</w:t>
      </w:r>
      <w:r>
        <w:rPr>
          <w:rStyle w:val="Fontepargpadro1"/>
          <w:rFonts w:cs="Verdana"/>
          <w:shd w:fill="FFFFFF" w:val="clear"/>
        </w:rPr>
        <w:t xml:space="preserve"> licitante recolherá a multa por meio de Documento de Arrecadação Estadual (DAE), podendo ser substituído por outro instrumento legal, em nome do órgão contratante, se não o fizer, será cobrada em processo de execução.</w:t>
      </w:r>
    </w:p>
    <w:p>
      <w:pPr>
        <w:pStyle w:val="Ttulo112"/>
        <w:spacing w:lineRule="auto" w:line="240" w:before="0" w:after="0"/>
        <w:ind w:left="0" w:hanging="0"/>
        <w:rPr>
          <w:sz w:val="22"/>
          <w:szCs w:val="22"/>
        </w:rPr>
      </w:pPr>
      <w:r>
        <w:rPr>
          <w:sz w:val="22"/>
          <w:szCs w:val="22"/>
        </w:rPr>
      </w:r>
    </w:p>
    <w:p>
      <w:pPr>
        <w:pStyle w:val="Ttulo112"/>
        <w:spacing w:lineRule="auto" w:line="240" w:before="0" w:after="0"/>
        <w:ind w:left="0" w:hanging="0"/>
        <w:rPr>
          <w:sz w:val="22"/>
          <w:szCs w:val="22"/>
        </w:rPr>
      </w:pPr>
      <w:r>
        <w:rPr>
          <w:rStyle w:val="Fontepargpadro1"/>
          <w:sz w:val="22"/>
          <w:szCs w:val="22"/>
        </w:rPr>
        <w:t>19. DA ADJUDICAÇÃO E DA HOMOLOGAÇÃO</w:t>
      </w:r>
    </w:p>
    <w:p>
      <w:pPr>
        <w:pStyle w:val="Textbody"/>
        <w:spacing w:lineRule="auto" w:line="240" w:before="0" w:after="0"/>
        <w:rPr/>
      </w:pPr>
      <w:r>
        <w:rPr>
          <w:rStyle w:val="Fontepargpadro1"/>
        </w:rPr>
        <w:t>19.1. A adjudicação do objeto e a homologação da licitação é de responsabilidade da autoridade superior.</w:t>
      </w:r>
    </w:p>
    <w:p>
      <w:pPr>
        <w:pStyle w:val="Textbody"/>
        <w:spacing w:lineRule="auto" w:line="240" w:before="0" w:after="0"/>
        <w:rPr/>
      </w:pPr>
      <w:r>
        <w:rPr>
          <w:rStyle w:val="Fontepargpadro1"/>
        </w:rPr>
        <w:t>19.2. O sistema gerará o relatório de disputa e de adjudicação e homologação.</w:t>
      </w:r>
    </w:p>
    <w:p>
      <w:pPr>
        <w:pStyle w:val="Ttulo112"/>
        <w:spacing w:lineRule="auto" w:line="240" w:before="0" w:after="0"/>
        <w:ind w:left="0" w:hanging="0"/>
        <w:rPr>
          <w:rFonts w:eastAsia="Times New Roman" w:cs="Verdana"/>
          <w:color w:val="00000A"/>
          <w:sz w:val="22"/>
          <w:szCs w:val="22"/>
          <w:shd w:fill="FFFFFF" w:val="clear"/>
        </w:rPr>
      </w:pPr>
      <w:r>
        <w:rPr>
          <w:rFonts w:eastAsia="Times New Roman" w:cs="Verdana"/>
          <w:color w:val="00000A"/>
          <w:sz w:val="22"/>
          <w:szCs w:val="22"/>
          <w:shd w:fill="FFFFFF" w:val="clear"/>
        </w:rPr>
      </w:r>
    </w:p>
    <w:p>
      <w:pPr>
        <w:pStyle w:val="Ttulo112"/>
        <w:spacing w:lineRule="auto" w:line="240" w:before="0" w:after="0"/>
        <w:ind w:left="0" w:hanging="0"/>
        <w:rPr>
          <w:sz w:val="22"/>
          <w:szCs w:val="22"/>
        </w:rPr>
      </w:pPr>
      <w:r>
        <w:rPr>
          <w:rFonts w:eastAsia="Times New Roman" w:cs="Verdana"/>
          <w:color w:val="00000A"/>
          <w:sz w:val="22"/>
          <w:szCs w:val="22"/>
          <w:shd w:fill="FFFFFF" w:val="clear"/>
        </w:rPr>
        <w:t>20. DA CONTRATAÇÃO</w:t>
      </w:r>
    </w:p>
    <w:p>
      <w:pPr>
        <w:pStyle w:val="Textbody"/>
        <w:spacing w:lineRule="auto" w:line="240" w:before="0" w:after="0"/>
        <w:rPr/>
      </w:pPr>
      <w:r>
        <w:rPr>
          <w:rFonts w:cs="Verdana"/>
          <w:color w:val="00000A"/>
          <w:shd w:fill="FFFFFF" w:val="clear"/>
        </w:rPr>
        <w:t>20</w:t>
      </w:r>
      <w:r>
        <w:rPr>
          <w:shd w:fill="FFFFFF" w:val="clear"/>
        </w:rPr>
        <w:t>.1</w:t>
      </w:r>
      <w:r>
        <w:rPr>
          <w:rFonts w:cs="Verdana"/>
          <w:color w:val="00000A"/>
          <w:shd w:fill="FFFFFF" w:val="clear"/>
        </w:rPr>
        <w:t>. O adjudicatário terá o prazo de 5 (cinco) dias úteis, contados a partir da convocação, para a assinatura do contrato. Este prazo poderá ser prorrogado uma vez por igual período, desde que solicitado durante o seu transcurso e, ainda assim, se devidamente justificado e aceito.</w:t>
      </w:r>
    </w:p>
    <w:p>
      <w:pPr>
        <w:pStyle w:val="Textbody"/>
        <w:spacing w:lineRule="auto" w:line="240" w:before="0" w:after="0"/>
        <w:rPr/>
      </w:pPr>
      <w:r>
        <w:rPr>
          <w:rFonts w:cs="Verdana"/>
          <w:color w:val="00000A"/>
          <w:shd w:fill="FFFFFF" w:val="clear"/>
        </w:rPr>
        <w:t>20.1.1. O</w:t>
      </w:r>
      <w:r>
        <w:rPr>
          <w:shd w:fill="FFFFFF" w:val="clear"/>
        </w:rPr>
        <w:t xml:space="preserve"> contrato poderá ser assinado por certificação digital, com autenticidade reconhecida pelo ICP - Brasil.</w:t>
      </w:r>
    </w:p>
    <w:p>
      <w:pPr>
        <w:pStyle w:val="Textbody"/>
        <w:spacing w:lineRule="auto" w:line="240" w:before="0" w:after="0"/>
        <w:rPr/>
      </w:pPr>
      <w:r>
        <w:rPr>
          <w:rFonts w:cs="Verdana"/>
          <w:color w:val="00000A"/>
          <w:shd w:fill="FFFFFF" w:val="clear"/>
        </w:rPr>
        <w:t>20</w:t>
      </w:r>
      <w:r>
        <w:rPr>
          <w:shd w:fill="FFFFFF" w:val="clear"/>
        </w:rPr>
        <w:t>.2.</w:t>
      </w:r>
      <w:r>
        <w:rPr>
          <w:rStyle w:val="Fontepargpadro"/>
          <w:rFonts w:eastAsia="Times New Roman" w:cs="Arial"/>
          <w:b w:val="false"/>
          <w:bCs w:val="false"/>
          <w:i w:val="false"/>
          <w:iCs w:val="false"/>
          <w:strike w:val="false"/>
          <w:dstrike w:val="false"/>
          <w:color w:val="000000"/>
          <w:sz w:val="22"/>
          <w:szCs w:val="22"/>
          <w:u w:val="none"/>
          <w:shd w:fill="FFFFFF" w:val="clear"/>
          <w:lang w:val="pt-BR"/>
        </w:rPr>
        <w:t xml:space="preserve"> Na assinatura do contrato será exigida a comprovação das condições de habilitação exigidas neste edital, as quais deverão ser mantidas pelo contratado durante todo o período da contratação, a apresentação do Certificado de Registro Cadastral – CRC, emitido pela Secretaria de Planejamento e Gestão do Estado do Ceará conforme inciso I do art. 25 do Decreto nº 35.322/2023 e, quando for o caso, o comprovante do recolhimento da garantia de execução, na forma estabelecida no item 20.7 deste edital.</w:t>
      </w:r>
    </w:p>
    <w:p>
      <w:pPr>
        <w:pStyle w:val="Textbody"/>
        <w:spacing w:lineRule="auto" w:line="240" w:before="0" w:after="0"/>
        <w:rPr/>
      </w:pPr>
      <w:r>
        <w:rPr>
          <w:rFonts w:cs="Arial"/>
          <w:szCs w:val="22"/>
        </w:rPr>
        <w:t xml:space="preserve">20.3. </w:t>
      </w:r>
      <w:r>
        <w:rPr>
          <w:rStyle w:val="Fontepargpadro"/>
          <w:rFonts w:eastAsia="Times New Roman" w:cs="Arial"/>
          <w:b w:val="false"/>
          <w:bCs w:val="false"/>
          <w:i w:val="false"/>
          <w:iCs w:val="false"/>
          <w:strike w:val="false"/>
          <w:dstrike w:val="false"/>
          <w:color w:val="000000"/>
          <w:sz w:val="22"/>
          <w:szCs w:val="22"/>
          <w:u w:val="none"/>
          <w:shd w:fill="FFFFFF" w:val="clear"/>
          <w:lang w:val="pt-BR"/>
        </w:rPr>
        <w:t>Na hipótese de sociedades Empresárias Estrangeiras, estas deverão apresentar, conforme o caso, o registro perante a entidade profissional competente no Brasil, no momento da contratação, conforme §7º do art. 67 da Lei 14.133/2021.</w:t>
      </w:r>
      <w:r>
        <w:rPr>
          <w:rFonts w:cs="Arial"/>
          <w:szCs w:val="22"/>
          <w:shd w:fill="auto" w:val="clear"/>
        </w:rPr>
        <w:t xml:space="preserve"> </w:t>
      </w:r>
    </w:p>
    <w:p>
      <w:pPr>
        <w:pStyle w:val="Textbody"/>
        <w:spacing w:lineRule="auto" w:line="240" w:before="0" w:after="0"/>
        <w:rPr>
          <w:rFonts w:cs="Arial"/>
          <w:szCs w:val="22"/>
          <w:shd w:fill="auto" w:val="clear"/>
        </w:rPr>
      </w:pPr>
      <w:r>
        <w:rPr>
          <w:rFonts w:cs="Arial"/>
          <w:szCs w:val="22"/>
          <w:shd w:fill="auto" w:val="clear"/>
        </w:rPr>
        <w:t>20.4. Será exigida, ainda, a comprovação de abertura de conta no Banco BRADESCO.</w:t>
      </w:r>
    </w:p>
    <w:p>
      <w:pPr>
        <w:pStyle w:val="Textbody"/>
        <w:spacing w:lineRule="auto" w:line="240" w:before="0" w:after="0"/>
        <w:rPr>
          <w:shd w:fill="FFFFFF" w:val="clear"/>
        </w:rPr>
      </w:pPr>
      <w:r>
        <w:rPr>
          <w:shd w:fill="FFFFFF" w:val="clear"/>
        </w:rPr>
        <w:t>20.5. Quando o adjudicatário não comprovar as condições habilitatórias consignadas neste edital, ou se recusar a assinar o contrato, poderá ser convidado outro licitante pela Comissão, desde que respeitada a ordem de classificação, para, depois de comprovados os requisitos habilitatórios e feita a negociação, assinar o contrato.</w:t>
      </w:r>
    </w:p>
    <w:p>
      <w:pPr>
        <w:pStyle w:val="Textbody"/>
        <w:spacing w:lineRule="auto" w:line="240" w:before="0" w:after="0"/>
        <w:rPr/>
      </w:pPr>
      <w:r>
        <w:rPr>
          <w:rFonts w:cs="Verdana"/>
          <w:color w:val="00000A"/>
          <w:shd w:fill="FFFFFF" w:val="clear"/>
        </w:rPr>
        <w:t>20</w:t>
      </w:r>
      <w:r>
        <w:rPr>
          <w:shd w:fill="FFFFFF" w:val="clear"/>
        </w:rPr>
        <w:t>.6. A forma de pagamento, prazo contratual, obrigações, sanções, reajuste, entrega e recebimento, garantia e as especificações detalhadas da execução do contrato estão definidas, respectivamente, nos Anexos I e III – Especificações Tecnicas e Minuta do Termo de Contrato, parte integrante deste edital.</w:t>
      </w:r>
    </w:p>
    <w:p>
      <w:pPr>
        <w:pStyle w:val="Textbody"/>
        <w:spacing w:lineRule="auto" w:line="240" w:before="0" w:after="0"/>
        <w:rPr>
          <w:b/>
          <w:bCs/>
        </w:rPr>
      </w:pPr>
      <w:r>
        <w:rPr>
          <w:b/>
          <w:bCs/>
        </w:rPr>
      </w:r>
    </w:p>
    <w:p>
      <w:pPr>
        <w:pStyle w:val="Textbody"/>
        <w:spacing w:lineRule="auto" w:line="240" w:before="0" w:after="0"/>
        <w:rPr>
          <w:b/>
          <w:bCs/>
        </w:rPr>
      </w:pPr>
      <w:r>
        <w:rPr>
          <w:b/>
          <w:bCs/>
        </w:rPr>
        <w:t>20.7. Da Garantia.</w:t>
      </w:r>
    </w:p>
    <w:p>
      <w:pPr>
        <w:pStyle w:val="Textbody"/>
        <w:spacing w:lineRule="auto" w:line="240" w:before="0" w:after="0"/>
        <w:rPr/>
      </w:pPr>
      <w:r>
        <w:rPr>
          <w:rFonts w:cs="Verdana"/>
          <w:color w:val="00000A"/>
          <w:shd w:fill="FFFFFF" w:val="clear"/>
        </w:rPr>
        <w:t xml:space="preserve">20.7.1. </w:t>
      </w:r>
      <w:r>
        <w:rPr>
          <w:shd w:fill="FFFFFF" w:val="clear"/>
          <w:lang w:eastAsia="ar-SA"/>
        </w:rPr>
        <w:t xml:space="preserve">Será exigida garantia contratual nos termos e prazos estabelecidos na cláusula décima segunda da minuta do contrato. </w:t>
      </w:r>
      <w:r>
        <w:rPr>
          <w:rStyle w:val="Fontepargpadro1"/>
          <w:rFonts w:cs="Arial"/>
          <w:shd w:fill="FFFFFF" w:val="clear"/>
          <w:lang w:eastAsia="ar-SA"/>
        </w:rPr>
        <w:t>A não prestação de garantia equivale à recusa injustificada para a contratação, caracterizando descumprimento total da obrigação assumida, ficando a adjudicatária sujeita às penalidades legalmente estabelecidas, inclusive multa.</w:t>
      </w:r>
    </w:p>
    <w:p>
      <w:pPr>
        <w:pStyle w:val="Textbody"/>
        <w:spacing w:lineRule="auto" w:line="240" w:before="0" w:after="0"/>
        <w:rPr>
          <w:shd w:fill="FFFFFF" w:val="clear"/>
          <w:lang w:eastAsia="ar-SA"/>
        </w:rPr>
      </w:pPr>
      <w:r>
        <w:rPr>
          <w:shd w:fill="FFFFFF" w:val="clear"/>
          <w:lang w:eastAsia="ar-SA"/>
        </w:rPr>
        <w:t>20.7.2. Adotada a modalidade seguro-garantia, prevista no inciso II do § 1º do art. 96 da Lei nº 14.133/2021, o licitante deverá apresentá-la no valor correspondente a 5</w:t>
      </w:r>
      <w:r>
        <w:rPr>
          <w:rFonts w:eastAsia="Arial"/>
          <w:shd w:fill="FFFFFF" w:val="clear"/>
          <w:lang w:eastAsia="ar-SA"/>
        </w:rPr>
        <w:t>% (cinco por cento)</w:t>
      </w:r>
      <w:r>
        <w:rPr>
          <w:shd w:fill="FFFFFF" w:val="clear"/>
          <w:lang w:eastAsia="ar-SA"/>
        </w:rPr>
        <w:t xml:space="preserve"> do valor contratado, no prazo de 1(um) mês, contado da data de homologação da licitação e anterior à assinatura do contrato conforme § 3º do mesmo artigo supra referido.</w:t>
      </w:r>
    </w:p>
    <w:p>
      <w:pPr>
        <w:pStyle w:val="Textbody"/>
        <w:spacing w:lineRule="auto" w:line="240" w:before="0" w:after="0"/>
        <w:rPr>
          <w:shd w:fill="FFFFFF" w:val="clear"/>
          <w:lang w:eastAsia="ar-SA"/>
        </w:rPr>
      </w:pPr>
      <w:r>
        <w:rPr>
          <w:shd w:fill="FFFFFF" w:val="clear"/>
          <w:lang w:eastAsia="ar-SA"/>
        </w:rPr>
      </w:r>
    </w:p>
    <w:p>
      <w:pPr>
        <w:pStyle w:val="Textbody"/>
        <w:spacing w:lineRule="auto" w:line="240" w:before="0" w:after="0"/>
        <w:rPr>
          <w:rFonts w:cs="Arial"/>
          <w:b/>
          <w:bCs/>
          <w:szCs w:val="22"/>
          <w:lang w:eastAsia="ar-SA"/>
        </w:rPr>
      </w:pPr>
      <w:r>
        <w:rPr>
          <w:rFonts w:cs="Arial"/>
          <w:b/>
          <w:bCs/>
          <w:szCs w:val="22"/>
          <w:lang w:eastAsia="ar-SA"/>
        </w:rPr>
        <w:t>20.8. Da Subcontratação.</w:t>
      </w:r>
    </w:p>
    <w:p>
      <w:pPr>
        <w:pStyle w:val="Textbody"/>
        <w:spacing w:lineRule="auto" w:line="240" w:before="0" w:after="0"/>
        <w:rPr/>
      </w:pPr>
      <w:r>
        <w:rPr>
          <w:rFonts w:eastAsia="Arial"/>
          <w:szCs w:val="22"/>
        </w:rPr>
        <w:t xml:space="preserve">20.8.1. É permitida a subcontratação parcial do objeto, até o limite de </w:t>
      </w:r>
      <w:r>
        <w:rPr>
          <w:rFonts w:eastAsia="Arial"/>
          <w:b/>
          <w:szCs w:val="22"/>
        </w:rPr>
        <w:t>25%</w:t>
      </w:r>
      <w:r>
        <w:rPr>
          <w:rFonts w:eastAsia="Arial"/>
          <w:szCs w:val="22"/>
        </w:rPr>
        <w:t xml:space="preserve"> (vinte e cinco por cento) do valor total do contrato, nas seguintes condições:</w:t>
      </w:r>
    </w:p>
    <w:p>
      <w:pPr>
        <w:pStyle w:val="Nvel2-Red"/>
        <w:tabs>
          <w:tab w:val="clear" w:pos="708"/>
          <w:tab w:val="left" w:pos="-2184" w:leader="none"/>
          <w:tab w:val="left" w:pos="1077" w:leader="none"/>
        </w:tabs>
        <w:spacing w:lineRule="auto" w:line="240" w:before="0" w:after="0"/>
        <w:rPr/>
      </w:pPr>
      <w:r>
        <w:rPr>
          <w:rFonts w:eastAsia="Arial"/>
          <w:i w:val="false"/>
          <w:color w:val="00000A"/>
          <w:sz w:val="22"/>
          <w:szCs w:val="22"/>
        </w:rPr>
        <w:t>20.8.2</w:t>
      </w:r>
      <w:r>
        <w:rPr>
          <w:rFonts w:eastAsia="Arial"/>
          <w:i w:val="false"/>
          <w:sz w:val="22"/>
          <w:szCs w:val="22"/>
        </w:rPr>
        <w:t xml:space="preserve">. </w:t>
      </w:r>
      <w:r>
        <w:rPr>
          <w:rFonts w:eastAsia="Arial"/>
          <w:i w:val="false"/>
          <w:iCs w:val="false"/>
          <w:color w:val="00000A"/>
          <w:sz w:val="22"/>
          <w:szCs w:val="22"/>
        </w:rPr>
        <w:t>É vedada a subcontratação integral ou da parcela principal da obrigação.</w:t>
      </w:r>
    </w:p>
    <w:p>
      <w:pPr>
        <w:pStyle w:val="Textbody"/>
        <w:spacing w:lineRule="auto" w:line="240" w:before="0" w:after="0"/>
        <w:rPr/>
      </w:pPr>
      <w:r>
        <w:rPr>
          <w:rFonts w:cs="Verdana"/>
          <w:color w:val="00000A"/>
          <w:szCs w:val="22"/>
          <w:shd w:fill="FFFFFF" w:val="clear"/>
        </w:rPr>
        <w:t>20</w:t>
      </w:r>
      <w:r>
        <w:rPr>
          <w:rFonts w:eastAsia="Arial" w:cs="Arial"/>
          <w:szCs w:val="22"/>
        </w:rPr>
        <w:t>.8.3. 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pPr>
        <w:pStyle w:val="Textbody"/>
        <w:spacing w:lineRule="auto" w:line="240" w:before="0" w:after="0"/>
        <w:rPr/>
      </w:pPr>
      <w:r>
        <w:rPr>
          <w:rFonts w:cs="Verdana"/>
          <w:color w:val="00000A"/>
          <w:szCs w:val="22"/>
          <w:shd w:fill="FFFFFF" w:val="clear"/>
        </w:rPr>
        <w:t>20</w:t>
      </w:r>
      <w:r>
        <w:rPr>
          <w:rFonts w:eastAsia="Arial" w:cs="Arial"/>
          <w:szCs w:val="22"/>
        </w:rPr>
        <w:t>.8.4. A subcontratação depende de autorização prévia do contratante, a quem incumbe avaliar se o subcontratado cumpre os requisitos de qualificação técnica necessários para a execução do objeto.</w:t>
      </w:r>
    </w:p>
    <w:p>
      <w:pPr>
        <w:pStyle w:val="Textbody"/>
        <w:spacing w:lineRule="auto" w:line="240" w:before="0" w:after="0"/>
        <w:rPr/>
      </w:pPr>
      <w:r>
        <w:rPr>
          <w:rFonts w:cs="Verdana"/>
          <w:color w:val="00000A"/>
          <w:szCs w:val="22"/>
          <w:shd w:fill="FFFFFF" w:val="clear"/>
        </w:rPr>
        <w:t>20</w:t>
      </w:r>
      <w:r>
        <w:rPr>
          <w:rFonts w:eastAsia="Arial" w:cs="Arial"/>
          <w:szCs w:val="22"/>
        </w:rPr>
        <w:t>.8.5. O contratado apresentará à Administração documentação que comprove a capacidade técnica do subcontratado, que será avaliada e juntada aos autos do processo correspondente.</w:t>
      </w:r>
    </w:p>
    <w:p>
      <w:pPr>
        <w:pStyle w:val="Textbody"/>
        <w:spacing w:lineRule="auto" w:line="240" w:before="0" w:after="0"/>
        <w:rPr>
          <w:rFonts w:cs="Verdana"/>
          <w:b/>
          <w:bCs/>
          <w:color w:val="FF3333"/>
          <w:szCs w:val="22"/>
        </w:rPr>
      </w:pPr>
      <w:r>
        <w:rPr>
          <w:rFonts w:cs="Verdana"/>
          <w:color w:val="00000A"/>
          <w:szCs w:val="22"/>
          <w:shd w:fill="FFFFFF" w:val="clear"/>
        </w:rPr>
        <w:t>20</w:t>
      </w:r>
      <w:r>
        <w:rPr>
          <w:rFonts w:eastAsia="Arial"/>
          <w:szCs w:val="22"/>
        </w:rPr>
        <w:t>.7.6.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r>
        <w:rPr>
          <w:rFonts w:cs="Verdana"/>
          <w:color w:val="00000A"/>
          <w:szCs w:val="22"/>
        </w:rPr>
        <w:t xml:space="preserve"> </w:t>
      </w:r>
    </w:p>
    <w:p>
      <w:pPr>
        <w:pStyle w:val="Ttulo112"/>
        <w:spacing w:lineRule="auto" w:line="240" w:before="0" w:after="0"/>
        <w:ind w:left="0" w:hanging="0"/>
        <w:rPr>
          <w:sz w:val="22"/>
          <w:szCs w:val="22"/>
        </w:rPr>
      </w:pPr>
      <w:r>
        <w:rPr>
          <w:sz w:val="22"/>
          <w:szCs w:val="22"/>
        </w:rPr>
      </w:r>
    </w:p>
    <w:p>
      <w:pPr>
        <w:pStyle w:val="Ttulo112"/>
        <w:spacing w:lineRule="auto" w:line="240" w:before="0" w:after="0"/>
        <w:ind w:left="0" w:hanging="0"/>
        <w:rPr>
          <w:sz w:val="22"/>
          <w:szCs w:val="22"/>
        </w:rPr>
      </w:pPr>
      <w:r>
        <w:rPr>
          <w:sz w:val="22"/>
          <w:szCs w:val="22"/>
        </w:rPr>
        <w:t xml:space="preserve">21. </w:t>
      </w:r>
      <w:r>
        <w:rPr>
          <w:rFonts w:eastAsia="Times New Roman" w:cs="Verdana"/>
          <w:color w:val="00000A"/>
          <w:sz w:val="22"/>
          <w:szCs w:val="22"/>
          <w:shd w:fill="FFFFFF" w:val="clear"/>
        </w:rPr>
        <w:t>DAS DISPOSIÇÕES GERAIS</w:t>
      </w:r>
    </w:p>
    <w:p>
      <w:pPr>
        <w:pStyle w:val="Textbody"/>
        <w:spacing w:lineRule="auto" w:line="240" w:before="0" w:after="0"/>
        <w:rPr>
          <w:rFonts w:cs="Verdana"/>
          <w:color w:val="00000A"/>
          <w:shd w:fill="FFFFFF" w:val="clear"/>
        </w:rPr>
      </w:pPr>
      <w:r>
        <w:rPr>
          <w:rFonts w:cs="Verdana"/>
          <w:color w:val="00000A"/>
          <w:shd w:fill="FFFFFF" w:val="clear"/>
        </w:rPr>
        <w:t>21.1. A homologação do resultado desta licitação não implicará direito à contratação.</w:t>
      </w:r>
    </w:p>
    <w:p>
      <w:pPr>
        <w:pStyle w:val="Textbody"/>
        <w:spacing w:lineRule="auto" w:line="240" w:before="0" w:after="0"/>
        <w:rPr>
          <w:rFonts w:cs="Verdana"/>
          <w:color w:val="00000A"/>
          <w:shd w:fill="FFFFFF" w:val="clear"/>
        </w:rPr>
      </w:pPr>
      <w:r>
        <w:rPr>
          <w:rFonts w:cs="Verdana"/>
          <w:color w:val="00000A"/>
          <w:shd w:fill="FFFFFF" w:val="clear"/>
        </w:rPr>
        <w:t>21.2. As normas disciplinadoras da licitação serão sempre interpretadas em favor da ampliação da disputa entre os interessados, desde que não comprometam o interesse da Administração, o princípio da isonomia, a finalidade e a segurança da contratação.</w:t>
      </w:r>
    </w:p>
    <w:p>
      <w:pPr>
        <w:pStyle w:val="Textbody"/>
        <w:spacing w:lineRule="auto" w:line="240" w:before="0" w:after="0"/>
        <w:rPr>
          <w:rFonts w:cs="Verdana"/>
          <w:color w:val="00000A"/>
          <w:shd w:fill="FFFFFF" w:val="clear"/>
        </w:rPr>
      </w:pPr>
      <w:r>
        <w:rPr>
          <w:rFonts w:cs="Verdana"/>
          <w:color w:val="00000A"/>
          <w:shd w:fill="FFFFFF" w:val="clear"/>
        </w:rPr>
        <w:t>21.3. Os licitantes assumem todos os custos de preparação e apresentação de suas propostas e a Administração não será, em nenhum caso, responsável por esses custos, independentemente da condução ou do resultado do processo licitatório.</w:t>
      </w:r>
    </w:p>
    <w:p>
      <w:pPr>
        <w:pStyle w:val="Textbody"/>
        <w:spacing w:lineRule="auto" w:line="240" w:before="0" w:after="0"/>
        <w:rPr/>
      </w:pPr>
      <w:r>
        <w:rPr>
          <w:rFonts w:cs="Verdana"/>
          <w:color w:val="00000A"/>
          <w:shd w:fill="FFFFFF" w:val="clear"/>
        </w:rPr>
        <w:t xml:space="preserve">21.4. </w:t>
      </w:r>
      <w:r>
        <w:rPr>
          <w:rStyle w:val="Fontepargpadro1"/>
          <w:rFonts w:cs="Arial"/>
          <w:shd w:fill="FFFFFF" w:val="clear"/>
        </w:rPr>
        <w:t>Na contagem dos prazos estabelecidos neste edital, excluir-se-ão os dias de início e incluir-se-ão os dias de vencimento.</w:t>
      </w:r>
      <w:r>
        <w:rPr>
          <w:rStyle w:val="Fontepargpadro1"/>
          <w:rFonts w:cs="Arial"/>
          <w:b/>
          <w:shd w:fill="FFFFFF" w:val="clear"/>
        </w:rPr>
        <w:t xml:space="preserve"> </w:t>
      </w:r>
      <w:r>
        <w:rPr>
          <w:rStyle w:val="Fontepargpadro1"/>
          <w:rFonts w:cs="Arial"/>
          <w:shd w:fill="FFFFFF" w:val="clear"/>
        </w:rPr>
        <w:t>Os prazos estabelecidos neste edital para a fase externa se iniciam e se vencem somente nos dias e horários de expediente da Central de Licitações. Os demais prazos se iniciam e se vencem exclusivamente em dias úteis de expediente da contratante.</w:t>
      </w:r>
    </w:p>
    <w:p>
      <w:pPr>
        <w:pStyle w:val="Textbody"/>
        <w:spacing w:lineRule="auto" w:line="240" w:before="0" w:after="0"/>
        <w:rPr>
          <w:rFonts w:cs="Verdana"/>
          <w:color w:val="00000A"/>
          <w:shd w:fill="FFFFFF" w:val="clear"/>
        </w:rPr>
      </w:pPr>
      <w:r>
        <w:rPr>
          <w:rFonts w:cs="Verdana"/>
          <w:color w:val="00000A"/>
          <w:shd w:fill="FFFFFF" w:val="clear"/>
        </w:rPr>
        <w:t>21.5. O desatendimento de exigências formais não essenciais não importará o afastamento do licitante, desde que seja possível o aproveitamento do ato, observados os princípios da isonomia e do interesse público.</w:t>
      </w:r>
    </w:p>
    <w:p>
      <w:pPr>
        <w:pStyle w:val="Textbody"/>
        <w:spacing w:lineRule="auto" w:line="240" w:before="0" w:after="0"/>
        <w:rPr>
          <w:rFonts w:cs="Verdana"/>
          <w:szCs w:val="22"/>
        </w:rPr>
      </w:pPr>
      <w:r>
        <w:rPr>
          <w:rFonts w:cs="Verdana"/>
          <w:color w:val="00000A"/>
          <w:szCs w:val="22"/>
        </w:rPr>
        <w:t>21.5.1.</w:t>
      </w:r>
      <w:r>
        <w:rPr>
          <w:rFonts w:cs="Verdana"/>
          <w:szCs w:val="22"/>
        </w:rPr>
        <w:t xml:space="preserve"> Erros ou falhas que não alterem a substância das propostas, </w:t>
      </w:r>
      <w:r>
        <w:rPr>
          <w:rFonts w:cs="Verdana"/>
          <w:color w:val="00000A"/>
          <w:szCs w:val="22"/>
        </w:rPr>
        <w:t>dos documentos de habilitação e sua validade jurídica, serão sanados pela Comissão mediante decisão em despacho fundamentado, registrado e acessível a todos, atribuindo-lhes eficácia para fins de habilitação e classificação,</w:t>
      </w:r>
      <w:r>
        <w:rPr>
          <w:rFonts w:cs="Verdana"/>
          <w:szCs w:val="22"/>
        </w:rPr>
        <w:t xml:space="preserve"> conforme </w:t>
      </w:r>
      <w:r>
        <w:rPr>
          <w:rFonts w:cs="Verdana"/>
          <w:color w:val="00000A"/>
          <w:szCs w:val="22"/>
        </w:rPr>
        <w:t>inciso VIII do art. 24, o § 4º do art. 75 e o inciso V do art. 98, todos do Decreto Estadual nº 35.067/2022.</w:t>
      </w:r>
    </w:p>
    <w:p>
      <w:pPr>
        <w:pStyle w:val="Textbody"/>
        <w:spacing w:lineRule="auto" w:line="240" w:before="0" w:after="0"/>
        <w:rPr>
          <w:rFonts w:cs="Arial"/>
          <w:color w:val="000000"/>
          <w:szCs w:val="22"/>
          <w:shd w:fill="FFFFFF" w:val="clear"/>
        </w:rPr>
      </w:pPr>
      <w:r>
        <w:rPr>
          <w:rFonts w:cs="Verdana"/>
        </w:rPr>
        <w:t>21.5.2. Considera-se, dentre outros, erro no preenchimento da proposta, passível de correção, os erros aritméticos, a indicação de recolhimento de impostos e contribuições na forma do Simples Nacional, quando não cabível esse regime.</w:t>
      </w:r>
    </w:p>
    <w:p>
      <w:pPr>
        <w:pStyle w:val="Textbody"/>
        <w:spacing w:lineRule="auto" w:line="240" w:before="0" w:after="0"/>
        <w:rPr>
          <w:rFonts w:cs="Verdana"/>
          <w:color w:val="00000A"/>
          <w:shd w:fill="FFFFFF" w:val="clear"/>
        </w:rPr>
      </w:pPr>
      <w:r>
        <w:rPr>
          <w:rFonts w:cs="Verdana"/>
          <w:color w:val="00000A"/>
          <w:shd w:fill="FFFFFF" w:val="clear"/>
        </w:rPr>
        <w:t>21.6. Em caso de divergência entre disposições deste Edital e de seus anexos ou demais peças que compõem o processo, prevalecerá as deste Edital.</w:t>
      </w:r>
    </w:p>
    <w:p>
      <w:pPr>
        <w:pStyle w:val="Textbody"/>
        <w:spacing w:lineRule="auto" w:line="240" w:before="0" w:after="0"/>
        <w:rPr/>
      </w:pPr>
      <w:r>
        <w:rPr>
          <w:rFonts w:cs="Verdana"/>
          <w:color w:val="00000A"/>
          <w:shd w:fill="FFFFFF" w:val="clear"/>
        </w:rPr>
        <w:t xml:space="preserve">21.7. </w:t>
      </w:r>
      <w:r>
        <w:rPr>
          <w:rStyle w:val="Fontepargpadro"/>
          <w:rFonts w:eastAsia="Times New Roman" w:cs="Arial"/>
          <w:b w:val="false"/>
          <w:bCs w:val="false"/>
          <w:i w:val="false"/>
          <w:iCs w:val="false"/>
          <w:strike w:val="false"/>
          <w:dstrike w:val="false"/>
          <w:color w:val="000000"/>
          <w:sz w:val="22"/>
          <w:szCs w:val="22"/>
          <w:u w:val="none"/>
          <w:shd w:fill="FFFFFF" w:val="clear"/>
          <w:lang w:val="pt-BR"/>
        </w:rPr>
        <w:t xml:space="preserve">É </w:t>
      </w:r>
      <w:r>
        <w:rPr>
          <w:rStyle w:val="Fontepargpadro"/>
          <w:rFonts w:eastAsia="Times New Roman" w:cs="Arial"/>
          <w:b w:val="false"/>
          <w:bCs w:val="false"/>
          <w:i w:val="false"/>
          <w:iCs w:val="false"/>
          <w:strike w:val="false"/>
          <w:dstrike w:val="false"/>
          <w:color w:val="000000"/>
          <w:sz w:val="22"/>
          <w:szCs w:val="22"/>
          <w:u w:val="none"/>
          <w:shd w:fill="auto" w:val="clear"/>
          <w:lang w:val="pt-BR"/>
        </w:rPr>
        <w:t>facultada em qualquer fase da licitação, a promoção de diligência destinada a esclarecer ou a complementar a instrução do processo licitatório, observado todo o disposto no item 12.3 deste edital.</w:t>
      </w:r>
    </w:p>
    <w:p>
      <w:pPr>
        <w:pStyle w:val="Textbody"/>
        <w:spacing w:lineRule="auto" w:line="240" w:before="0" w:after="0"/>
        <w:rPr>
          <w:shd w:fill="FFFFFF" w:val="clear"/>
        </w:rPr>
      </w:pPr>
      <w:r>
        <w:rPr>
          <w:shd w:fill="FFFFFF" w:val="clear"/>
        </w:rPr>
        <w:t xml:space="preserve">21.8. </w:t>
      </w:r>
      <w:r>
        <w:rPr>
          <w:rStyle w:val="Fontepargpadro1"/>
          <w:rFonts w:eastAsia="Times New Roman" w:cs="Arial"/>
          <w:b w:val="false"/>
          <w:bCs w:val="false"/>
          <w:i w:val="false"/>
          <w:iCs w:val="false"/>
          <w:strike w:val="false"/>
          <w:dstrike w:val="false"/>
          <w:color w:val="000000"/>
          <w:sz w:val="22"/>
          <w:szCs w:val="22"/>
          <w:u w:val="none"/>
          <w:shd w:fill="FFFFFF" w:val="clear"/>
          <w:lang w:val="pt-BR"/>
        </w:rPr>
        <w:t>O descumprimento de prazos estabelecidos neste edital ou o não atendimento às diligências realizadas, ensejará DESCLASSIFICAÇÃO ou INABILITAÇÃO do licitante.</w:t>
      </w:r>
    </w:p>
    <w:p>
      <w:pPr>
        <w:pStyle w:val="Textbody"/>
        <w:spacing w:lineRule="auto" w:line="240" w:before="0" w:after="0"/>
        <w:rPr/>
      </w:pPr>
      <w:r>
        <w:rPr>
          <w:rStyle w:val="Fontepargpadro1"/>
          <w:rFonts w:eastAsia="Times New Roman" w:cs="Arial"/>
          <w:b w:val="false"/>
          <w:bCs w:val="false"/>
          <w:i w:val="false"/>
          <w:iCs w:val="false"/>
          <w:strike w:val="false"/>
          <w:dstrike w:val="false"/>
          <w:color w:val="000000"/>
          <w:sz w:val="22"/>
          <w:szCs w:val="22"/>
          <w:u w:val="none"/>
          <w:shd w:fill="FFFFFF" w:val="clear"/>
          <w:lang w:val="pt-BR"/>
        </w:rPr>
        <w:t>22.9. Toda a documentação fará parte dos autos e não será devolvida a licitante, ainda que se trate de originais.</w:t>
      </w:r>
    </w:p>
    <w:p>
      <w:pPr>
        <w:pStyle w:val="Textbody"/>
        <w:spacing w:lineRule="auto" w:line="240" w:before="0" w:after="0"/>
        <w:rPr/>
      </w:pPr>
      <w:r>
        <w:rPr>
          <w:rStyle w:val="Fontepargpadro1"/>
          <w:shd w:fill="FFFFFF" w:val="clear"/>
        </w:rPr>
        <w:t xml:space="preserve">21.10. </w:t>
      </w:r>
      <w:r>
        <w:rPr>
          <w:rStyle w:val="Fontepargpadro1"/>
          <w:rFonts w:cs="Arial"/>
          <w:shd w:fill="FFFFFF" w:val="clear"/>
        </w:rPr>
        <w:t>Os representantes legais dos licitantes</w:t>
      </w:r>
      <w:r>
        <w:rPr>
          <w:rStyle w:val="Fontepargpadro1"/>
          <w:shd w:fill="FFFFFF" w:val="clear"/>
        </w:rPr>
        <w:t xml:space="preserve"> são responsáveis pela fidelidade e legitimidade das informações e dos documentos apresentados em qualquer fase da licitação.</w:t>
      </w:r>
    </w:p>
    <w:p>
      <w:pPr>
        <w:pStyle w:val="Textbody"/>
        <w:spacing w:lineRule="auto" w:line="240" w:before="0" w:after="0"/>
        <w:rPr/>
      </w:pPr>
      <w:r>
        <w:rPr>
          <w:rStyle w:val="Fontepargpadro1"/>
          <w:shd w:fill="FFFFFF" w:val="clear"/>
        </w:rPr>
        <w:t xml:space="preserve">21.11. Os casos omissos serão resolvidos pela </w:t>
      </w:r>
      <w:r>
        <w:rPr>
          <w:rFonts w:cs="Verdana"/>
          <w:color w:val="00000A"/>
          <w:shd w:fill="FFFFFF" w:val="clear"/>
        </w:rPr>
        <w:t>Comissão</w:t>
      </w:r>
      <w:r>
        <w:rPr>
          <w:rStyle w:val="Fontepargpadro1"/>
          <w:shd w:fill="FFFFFF" w:val="clear"/>
        </w:rPr>
        <w:t>, nos termos da legislação pertinente.</w:t>
      </w:r>
    </w:p>
    <w:p>
      <w:pPr>
        <w:pStyle w:val="Textbody"/>
        <w:spacing w:lineRule="auto" w:line="240" w:before="0" w:after="0"/>
        <w:rPr/>
      </w:pPr>
      <w:r>
        <w:rPr>
          <w:rStyle w:val="Fontepargpadro1"/>
          <w:shd w:fill="FFFFFF" w:val="clear"/>
        </w:rPr>
        <w:t xml:space="preserve">21.12. </w:t>
      </w:r>
      <w:r>
        <w:rPr>
          <w:rStyle w:val="Fontepargpadro1"/>
          <w:rFonts w:cs="Arial"/>
          <w:shd w:fill="FFFFFF" w:val="clear"/>
        </w:rPr>
        <w:t>O foro designado para julgamento de quaisquer questões judiciais resultantes deste edital será o da Comarca de Fortaleza, Capital do Estado do Ceará.</w:t>
      </w:r>
    </w:p>
    <w:p>
      <w:pPr>
        <w:pStyle w:val="Textbody"/>
        <w:spacing w:lineRule="auto" w:line="240" w:before="0" w:after="0"/>
        <w:rPr>
          <w:rFonts w:cs="Verdana"/>
          <w:color w:val="00000A"/>
          <w:shd w:fill="FFFFFF" w:val="clear"/>
        </w:rPr>
      </w:pPr>
      <w:r>
        <w:rPr>
          <w:rFonts w:cs="Verdana"/>
          <w:color w:val="00000A"/>
          <w:shd w:fill="FFFFFF" w:val="clear"/>
        </w:rPr>
        <w:t>21.13. Integram este Edital, para todos os fins e efeitos, os seguintes anexos:</w:t>
      </w:r>
    </w:p>
    <w:p>
      <w:pPr>
        <w:pStyle w:val="Textbody"/>
        <w:spacing w:lineRule="auto" w:line="240" w:before="0" w:after="0"/>
        <w:rPr>
          <w:rFonts w:cs="Verdana"/>
          <w:color w:val="00000A"/>
          <w:shd w:fill="FFFFFF" w:val="clear"/>
        </w:rPr>
      </w:pPr>
      <w:r>
        <w:rPr>
          <w:rFonts w:cs="Verdana"/>
          <w:color w:val="00000A"/>
          <w:shd w:fill="FFFFFF" w:val="clear"/>
        </w:rPr>
      </w:r>
    </w:p>
    <w:p>
      <w:pPr>
        <w:pStyle w:val="Textbody"/>
        <w:spacing w:lineRule="auto" w:line="240" w:before="0" w:after="0"/>
        <w:rPr>
          <w:color w:val="000000"/>
        </w:rPr>
      </w:pPr>
      <w:r>
        <w:rPr>
          <w:rFonts w:cs="Arial"/>
          <w:color w:val="000000"/>
          <w:szCs w:val="22"/>
          <w:shd w:fill="FFFFFF" w:val="clear"/>
        </w:rPr>
        <w:t>ANEXO I – Especificações Técnicas</w:t>
      </w:r>
    </w:p>
    <w:p>
      <w:pPr>
        <w:pStyle w:val="Textbody"/>
        <w:spacing w:lineRule="auto" w:line="240" w:before="0" w:after="0"/>
        <w:ind w:left="1134" w:hanging="0"/>
        <w:rPr>
          <w:color w:val="000000"/>
        </w:rPr>
      </w:pPr>
      <w:r>
        <w:rPr>
          <w:rFonts w:cs="Arial"/>
          <w:color w:val="000000"/>
          <w:szCs w:val="22"/>
          <w:shd w:fill="FFFFFF" w:val="clear"/>
        </w:rPr>
        <w:t xml:space="preserve">I.A - Relatório do Projeto </w:t>
      </w:r>
    </w:p>
    <w:p>
      <w:pPr>
        <w:pStyle w:val="Textbody"/>
        <w:spacing w:lineRule="auto" w:line="240" w:before="0" w:after="0"/>
        <w:ind w:left="1134" w:hanging="0"/>
        <w:rPr>
          <w:color w:val="000000"/>
        </w:rPr>
      </w:pPr>
      <w:r>
        <w:rPr>
          <w:rFonts w:cs="Arial"/>
          <w:color w:val="000000"/>
          <w:szCs w:val="22"/>
          <w:shd w:fill="FFFFFF" w:val="clear"/>
        </w:rPr>
        <w:t>I.B - Projeto de Execução</w:t>
      </w:r>
    </w:p>
    <w:p>
      <w:pPr>
        <w:pStyle w:val="Textbody"/>
        <w:spacing w:lineRule="auto" w:line="240" w:before="0" w:after="0"/>
        <w:ind w:left="1134" w:hanging="0"/>
        <w:rPr>
          <w:color w:val="000000"/>
        </w:rPr>
      </w:pPr>
      <w:r>
        <w:rPr>
          <w:rFonts w:cs="Arial"/>
          <w:color w:val="000000"/>
          <w:szCs w:val="22"/>
          <w:shd w:fill="FFFFFF" w:val="clear"/>
        </w:rPr>
        <w:t>I.C - Volumes e Notas de Serviço</w:t>
      </w:r>
    </w:p>
    <w:p>
      <w:pPr>
        <w:pStyle w:val="Textbody"/>
        <w:spacing w:lineRule="auto" w:line="240" w:before="0" w:after="0"/>
        <w:ind w:left="1134" w:hanging="0"/>
        <w:rPr>
          <w:color w:val="000000"/>
        </w:rPr>
      </w:pPr>
      <w:r>
        <w:rPr>
          <w:rFonts w:cs="Arial"/>
          <w:color w:val="000000"/>
          <w:szCs w:val="22"/>
          <w:shd w:fill="FFFFFF" w:val="clear"/>
        </w:rPr>
        <w:t>I.D - Orçamento e Memória de Cálculo do Projeto</w:t>
      </w:r>
    </w:p>
    <w:p>
      <w:pPr>
        <w:pStyle w:val="Textbody"/>
        <w:spacing w:lineRule="auto" w:line="240" w:before="0" w:after="0"/>
        <w:ind w:left="1134" w:hanging="0"/>
        <w:rPr>
          <w:color w:val="000000"/>
        </w:rPr>
      </w:pPr>
      <w:r>
        <w:rPr>
          <w:rFonts w:cs="Arial"/>
          <w:color w:val="000000"/>
          <w:szCs w:val="22"/>
          <w:shd w:fill="FFFFFF" w:val="clear"/>
        </w:rPr>
        <w:t xml:space="preserve">I.E - </w:t>
      </w:r>
      <w:r>
        <w:rPr>
          <w:color w:val="000000"/>
        </w:rPr>
        <w:t>Composição dos Encargos Sociais</w:t>
      </w:r>
    </w:p>
    <w:p>
      <w:pPr>
        <w:pStyle w:val="Textbody"/>
        <w:tabs>
          <w:tab w:val="clear" w:pos="708"/>
          <w:tab w:val="left" w:pos="1134" w:leader="none"/>
        </w:tabs>
        <w:spacing w:lineRule="auto" w:line="240" w:before="0" w:after="0"/>
        <w:ind w:firstLine="1134"/>
        <w:rPr>
          <w:color w:val="000000"/>
        </w:rPr>
      </w:pPr>
      <w:r>
        <w:rPr>
          <w:color w:val="000000"/>
        </w:rPr>
        <w:t>I.F- Composição da Administração Local</w:t>
      </w:r>
    </w:p>
    <w:p>
      <w:pPr>
        <w:pStyle w:val="Textbody"/>
        <w:tabs>
          <w:tab w:val="clear" w:pos="708"/>
          <w:tab w:val="left" w:pos="1134" w:leader="none"/>
        </w:tabs>
        <w:spacing w:lineRule="auto" w:line="240" w:before="0" w:after="0"/>
        <w:ind w:firstLine="1134"/>
        <w:rPr>
          <w:color w:val="000000"/>
        </w:rPr>
      </w:pPr>
      <w:r>
        <w:rPr>
          <w:color w:val="000000"/>
        </w:rPr>
        <w:t>I.G - BDI</w:t>
        <w:tab/>
      </w:r>
    </w:p>
    <w:p>
      <w:pPr>
        <w:pStyle w:val="Textbody"/>
        <w:tabs>
          <w:tab w:val="clear" w:pos="708"/>
          <w:tab w:val="left" w:pos="1134" w:leader="none"/>
        </w:tabs>
        <w:spacing w:lineRule="auto" w:line="240" w:before="0" w:after="0"/>
        <w:ind w:firstLine="1134"/>
        <w:rPr>
          <w:color w:val="000000"/>
        </w:rPr>
      </w:pPr>
      <w:r>
        <w:rPr>
          <w:color w:val="000000"/>
        </w:rPr>
        <w:t>I.H - Cronograma</w:t>
      </w:r>
    </w:p>
    <w:p>
      <w:pPr>
        <w:pStyle w:val="Textbody"/>
        <w:tabs>
          <w:tab w:val="clear" w:pos="708"/>
          <w:tab w:val="left" w:pos="1134" w:leader="none"/>
        </w:tabs>
        <w:spacing w:lineRule="auto" w:line="240" w:before="0" w:after="0"/>
        <w:ind w:firstLine="1134"/>
        <w:rPr>
          <w:color w:val="000000"/>
        </w:rPr>
      </w:pPr>
      <w:r>
        <w:rPr>
          <w:color w:val="000000"/>
        </w:rPr>
        <w:t>I.I - Composição de Custo</w:t>
      </w:r>
    </w:p>
    <w:p>
      <w:pPr>
        <w:pStyle w:val="Textbody"/>
        <w:tabs>
          <w:tab w:val="clear" w:pos="708"/>
          <w:tab w:val="left" w:pos="1134" w:leader="none"/>
        </w:tabs>
        <w:spacing w:lineRule="auto" w:line="240" w:before="0" w:after="0"/>
        <w:ind w:firstLine="1134"/>
        <w:rPr>
          <w:color w:val="000000"/>
        </w:rPr>
      </w:pPr>
      <w:r>
        <w:rPr>
          <w:color w:val="000000"/>
        </w:rPr>
        <w:t>I.J - Curva A</w:t>
      </w:r>
    </w:p>
    <w:p>
      <w:pPr>
        <w:pStyle w:val="Textbody"/>
        <w:tabs>
          <w:tab w:val="clear" w:pos="708"/>
          <w:tab w:val="left" w:pos="1134" w:leader="none"/>
        </w:tabs>
        <w:spacing w:lineRule="auto" w:line="240" w:before="0" w:after="0"/>
        <w:ind w:firstLine="1134"/>
        <w:rPr>
          <w:color w:val="000000"/>
        </w:rPr>
      </w:pPr>
      <w:r>
        <w:rPr>
          <w:color w:val="000000"/>
        </w:rPr>
        <w:t>IK – Placa da Obra</w:t>
      </w:r>
    </w:p>
    <w:p>
      <w:pPr>
        <w:pStyle w:val="Textbody"/>
        <w:tabs>
          <w:tab w:val="clear" w:pos="708"/>
          <w:tab w:val="left" w:pos="1134" w:leader="none"/>
        </w:tabs>
        <w:spacing w:lineRule="auto" w:line="240" w:before="0" w:after="0"/>
        <w:ind w:firstLine="1134"/>
        <w:rPr>
          <w:color w:val="000000"/>
        </w:rPr>
      </w:pPr>
      <w:r>
        <w:rPr>
          <w:color w:val="000000"/>
        </w:rPr>
        <w:t xml:space="preserve"> </w:t>
      </w:r>
    </w:p>
    <w:p>
      <w:pPr>
        <w:pStyle w:val="Textbody"/>
        <w:spacing w:lineRule="auto" w:line="240" w:before="0" w:after="0"/>
        <w:rPr>
          <w:color w:val="000000"/>
        </w:rPr>
      </w:pPr>
      <w:r>
        <w:rPr>
          <w:rFonts w:cs="Arial"/>
          <w:color w:val="000000"/>
          <w:szCs w:val="22"/>
          <w:shd w:fill="FFFFFF" w:val="clear"/>
        </w:rPr>
        <w:t xml:space="preserve">ANEXO II – Carta Proposta </w:t>
      </w:r>
    </w:p>
    <w:p>
      <w:pPr>
        <w:pStyle w:val="Textbody"/>
        <w:spacing w:lineRule="auto" w:line="240" w:before="0" w:after="0"/>
        <w:rPr>
          <w:color w:val="000000"/>
        </w:rPr>
      </w:pPr>
      <w:r>
        <w:rPr>
          <w:rFonts w:cs="Arial"/>
          <w:color w:val="000000"/>
          <w:szCs w:val="22"/>
          <w:shd w:fill="FFFFFF" w:val="clear"/>
        </w:rPr>
        <w:t>ANEXO III – Minuta do Termo de Contrato</w:t>
      </w:r>
    </w:p>
    <w:p>
      <w:pPr>
        <w:pStyle w:val="Textbody"/>
        <w:spacing w:lineRule="auto" w:line="240" w:before="0" w:after="0"/>
        <w:rPr>
          <w:color w:val="000000"/>
        </w:rPr>
      </w:pPr>
      <w:r>
        <w:rPr>
          <w:rFonts w:cs="Arial"/>
          <w:color w:val="000000"/>
          <w:szCs w:val="22"/>
          <w:shd w:fill="FFFFFF" w:val="clear"/>
        </w:rPr>
        <w:t>ANEXO I</w:t>
      </w:r>
      <w:r>
        <w:rPr>
          <w:rFonts w:cs="Arial"/>
          <w:color w:val="000000"/>
          <w:szCs w:val="22"/>
          <w:shd w:fill="FFFFFF" w:val="clear"/>
          <w:lang w:val="pt-BR"/>
        </w:rPr>
        <w:t>V</w:t>
      </w:r>
      <w:r>
        <w:rPr>
          <w:rFonts w:cs="Arial"/>
          <w:color w:val="000000"/>
          <w:szCs w:val="22"/>
          <w:shd w:fill="FFFFFF" w:val="clear"/>
        </w:rPr>
        <w:t xml:space="preserve"> – Autorização para Proceder Inscrição de Débitos Previdenciários do Contrato na Dívida Ativa</w:t>
      </w:r>
    </w:p>
    <w:p>
      <w:pPr>
        <w:pStyle w:val="Textbody"/>
        <w:spacing w:lineRule="auto" w:line="240" w:before="0" w:after="0"/>
        <w:rPr>
          <w:color w:val="000000"/>
        </w:rPr>
      </w:pPr>
      <w:r>
        <w:rPr>
          <w:rFonts w:cs="Arial"/>
          <w:color w:val="000000"/>
          <w:szCs w:val="22"/>
          <w:shd w:fill="FFFFFF" w:val="clear"/>
        </w:rPr>
        <w:t>ANEXO V – Modelo do Termo de Atestado de Vistoria</w:t>
      </w:r>
    </w:p>
    <w:p>
      <w:pPr>
        <w:pStyle w:val="Standard"/>
        <w:jc w:val="both"/>
        <w:rPr>
          <w:color w:val="000000"/>
        </w:rPr>
      </w:pPr>
      <w:r>
        <w:rPr>
          <w:rFonts w:eastAsia="Times New Roman" w:cs="Arial" w:ascii="Arial" w:hAnsi="Arial"/>
          <w:color w:val="000000"/>
          <w:sz w:val="22"/>
          <w:szCs w:val="22"/>
          <w:shd w:fill="FFFFFF" w:val="clear"/>
        </w:rPr>
        <w:t>ANEXO V</w:t>
      </w:r>
      <w:r>
        <w:rPr>
          <w:rFonts w:eastAsia="Times New Roman" w:cs="Arial" w:ascii="Arial" w:hAnsi="Arial"/>
          <w:color w:val="000000"/>
          <w:sz w:val="22"/>
          <w:szCs w:val="22"/>
          <w:shd w:fill="FFFFFF" w:val="clear"/>
          <w:lang w:val="pt-BR"/>
        </w:rPr>
        <w:t>I</w:t>
      </w:r>
      <w:r>
        <w:rPr>
          <w:rFonts w:eastAsia="Times New Roman" w:cs="Arial" w:ascii="Arial" w:hAnsi="Arial"/>
          <w:color w:val="000000"/>
          <w:sz w:val="22"/>
          <w:szCs w:val="22"/>
          <w:shd w:fill="FFFFFF" w:val="clear"/>
        </w:rPr>
        <w:t xml:space="preserve"> – Modelo do Termo de Declaração de Renúncia à Vistoria</w:t>
      </w:r>
    </w:p>
    <w:p>
      <w:pPr>
        <w:pStyle w:val="Textbody"/>
        <w:spacing w:lineRule="auto" w:line="240" w:before="0" w:after="0"/>
        <w:rPr>
          <w:color w:val="000000"/>
        </w:rPr>
      </w:pPr>
      <w:r>
        <w:rPr>
          <w:color w:val="000000"/>
        </w:rPr>
        <w:t>ANEXO VI</w:t>
      </w:r>
      <w:r>
        <w:rPr>
          <w:color w:val="000000"/>
          <w:lang w:val="pt-BR"/>
        </w:rPr>
        <w:t>I</w:t>
      </w:r>
      <w:r>
        <w:rPr>
          <w:color w:val="000000"/>
        </w:rPr>
        <w:t xml:space="preserve"> – Modelo de Declaração de Autenticidade dos documentos</w:t>
      </w:r>
    </w:p>
    <w:p>
      <w:pPr>
        <w:pStyle w:val="Textbody"/>
        <w:spacing w:lineRule="auto" w:line="240" w:before="0" w:after="0"/>
        <w:rPr>
          <w:color w:val="000000"/>
        </w:rPr>
      </w:pPr>
      <w:r>
        <w:rPr>
          <w:color w:val="000000"/>
        </w:rPr>
        <w:t>ANEXO VII</w:t>
      </w:r>
      <w:r>
        <w:rPr>
          <w:color w:val="000000"/>
          <w:lang w:val="pt-BR"/>
        </w:rPr>
        <w:t>I</w:t>
      </w:r>
      <w:r>
        <w:rPr>
          <w:color w:val="000000"/>
        </w:rPr>
        <w:t xml:space="preserve"> – Modelo de Declaração – Empregador Pessoa Jurídica</w:t>
      </w:r>
    </w:p>
    <w:p>
      <w:pPr>
        <w:pStyle w:val="Textbody"/>
        <w:spacing w:lineRule="auto" w:line="240" w:before="0" w:after="0"/>
        <w:rPr>
          <w:color w:val="000000"/>
        </w:rPr>
      </w:pPr>
      <w:r>
        <w:rPr>
          <w:color w:val="000000"/>
        </w:rPr>
        <w:t xml:space="preserve">ANEXO </w:t>
      </w:r>
      <w:r>
        <w:rPr>
          <w:color w:val="000000"/>
          <w:lang w:val="pt-BR"/>
        </w:rPr>
        <w:t>IX</w:t>
      </w:r>
      <w:r>
        <w:rPr>
          <w:color w:val="000000"/>
        </w:rPr>
        <w:t xml:space="preserve"> – Modelo de Carta de Fiança Bancária – Garantia de Execução do Contrato</w:t>
      </w:r>
    </w:p>
    <w:p>
      <w:pPr>
        <w:pStyle w:val="Textbody"/>
        <w:spacing w:lineRule="auto" w:line="240" w:before="0" w:after="0"/>
        <w:rPr>
          <w:color w:val="000000"/>
        </w:rPr>
      </w:pPr>
      <w:r>
        <w:rPr>
          <w:color w:val="000000"/>
        </w:rPr>
        <w:t>ANEXO X – Modelo de Ficha de Dados do Representante Legal</w:t>
      </w:r>
    </w:p>
    <w:p>
      <w:pPr>
        <w:pStyle w:val="Textbody"/>
        <w:spacing w:lineRule="auto" w:line="240" w:before="0" w:after="0"/>
        <w:rPr>
          <w:color w:val="000000"/>
        </w:rPr>
      </w:pPr>
      <w:r>
        <w:rPr>
          <w:color w:val="000000"/>
        </w:rPr>
        <w:t>ANEXO X</w:t>
      </w:r>
      <w:r>
        <w:rPr>
          <w:color w:val="000000"/>
          <w:lang w:val="pt-BR"/>
        </w:rPr>
        <w:t>I</w:t>
      </w:r>
      <w:r>
        <w:rPr>
          <w:color w:val="000000"/>
        </w:rPr>
        <w:t xml:space="preserve"> – Modelo de Declaração de Micro Empresa ou de Pequeno Porte</w:t>
      </w:r>
    </w:p>
    <w:p>
      <w:pPr>
        <w:pStyle w:val="Textbody"/>
        <w:spacing w:lineRule="auto" w:line="240" w:before="0" w:after="0"/>
        <w:rPr>
          <w:color w:val="000000"/>
        </w:rPr>
      </w:pPr>
      <w:r>
        <w:rPr>
          <w:color w:val="000000"/>
        </w:rPr>
      </w:r>
    </w:p>
    <w:p>
      <w:pPr>
        <w:pStyle w:val="Textbody"/>
        <w:spacing w:lineRule="auto" w:line="240" w:before="0" w:after="0"/>
        <w:rPr>
          <w:rFonts w:cs="Verdana"/>
          <w:color w:val="00000A"/>
          <w:shd w:fill="FFFFFF" w:val="clear"/>
        </w:rPr>
      </w:pPr>
      <w:r>
        <w:rPr>
          <w:rFonts w:cs="Verdana"/>
          <w:color w:val="00000A"/>
          <w:shd w:fill="FFFFFF" w:val="clear"/>
        </w:rPr>
        <w:t>Fortaleza/CE, na data da assinatura eletrônica.</w:t>
      </w:r>
    </w:p>
    <w:p>
      <w:pPr>
        <w:pStyle w:val="Textbody"/>
        <w:spacing w:lineRule="auto" w:line="240" w:before="0" w:after="0"/>
        <w:rPr/>
      </w:pPr>
      <w:r>
        <w:rPr/>
      </w:r>
    </w:p>
    <w:tbl>
      <w:tblPr>
        <w:tblW w:w="9072" w:type="dxa"/>
        <w:jc w:val="left"/>
        <w:tblInd w:w="-20" w:type="dxa"/>
        <w:tblLayout w:type="fixed"/>
        <w:tblCellMar>
          <w:top w:w="0" w:type="dxa"/>
          <w:left w:w="10" w:type="dxa"/>
          <w:bottom w:w="0" w:type="dxa"/>
          <w:right w:w="10" w:type="dxa"/>
        </w:tblCellMar>
      </w:tblPr>
      <w:tblGrid>
        <w:gridCol w:w="4199"/>
        <w:gridCol w:w="4872"/>
      </w:tblGrid>
      <w:tr>
        <w:trPr/>
        <w:tc>
          <w:tcPr>
            <w:tcW w:w="4199" w:type="dxa"/>
            <w:tcBorders/>
          </w:tcPr>
          <w:p>
            <w:pPr>
              <w:pStyle w:val="Contedodatabela"/>
              <w:widowControl w:val="false"/>
              <w:suppressAutoHyphens w:val="true"/>
              <w:spacing w:before="0" w:after="0"/>
              <w:jc w:val="center"/>
              <w:rPr>
                <w:rFonts w:ascii="Arial" w:hAnsi="Arial"/>
                <w:b/>
                <w:bCs/>
                <w:sz w:val="22"/>
                <w:szCs w:val="22"/>
              </w:rPr>
            </w:pPr>
            <w:r>
              <w:rPr>
                <w:rFonts w:ascii="Arial" w:hAnsi="Arial"/>
                <w:b/>
                <w:bCs/>
                <w:sz w:val="22"/>
                <w:szCs w:val="22"/>
              </w:rPr>
            </w:r>
          </w:p>
          <w:p>
            <w:pPr>
              <w:pStyle w:val="Contedodatabela"/>
              <w:widowControl w:val="false"/>
              <w:suppressAutoHyphens w:val="true"/>
              <w:spacing w:before="0" w:after="0"/>
              <w:jc w:val="center"/>
              <w:rPr>
                <w:b/>
                <w:bCs/>
              </w:rPr>
            </w:pPr>
            <w:r>
              <w:rPr>
                <w:rFonts w:eastAsia="SimSun" w:cs="Times New Roman" w:ascii="Arial" w:hAnsi="Arial"/>
                <w:b/>
                <w:bCs/>
                <w:color w:val="auto"/>
                <w:kern w:val="0"/>
                <w:sz w:val="22"/>
                <w:szCs w:val="22"/>
                <w:lang w:val="pt-BR" w:eastAsia="zh-CN" w:bidi="hi-IN"/>
              </w:rPr>
              <w:t>Maria Teresa Ribeiro Aguiar</w:t>
            </w:r>
          </w:p>
          <w:p>
            <w:pPr>
              <w:pStyle w:val="Contedodatabela"/>
              <w:widowControl w:val="false"/>
              <w:suppressAutoHyphens w:val="true"/>
              <w:spacing w:before="0" w:after="0"/>
              <w:jc w:val="center"/>
              <w:rPr>
                <w:rFonts w:ascii="Times New Roman" w:hAnsi="Times New Roman" w:eastAsia="SimSun" w:cs="Times New Roman"/>
                <w:color w:val="auto"/>
                <w:kern w:val="0"/>
                <w:sz w:val="20"/>
                <w:szCs w:val="20"/>
                <w:lang w:val="pt-BR" w:eastAsia="zh-CN" w:bidi="hi-IN"/>
              </w:rPr>
            </w:pPr>
            <w:r>
              <w:rPr>
                <w:rFonts w:eastAsia="SimSun" w:cs="Times New Roman" w:ascii="Arial" w:hAnsi="Arial"/>
                <w:bCs/>
                <w:color w:val="auto"/>
                <w:kern w:val="0"/>
                <w:sz w:val="22"/>
                <w:szCs w:val="22"/>
                <w:lang w:val="pt-BR" w:eastAsia="zh-CN" w:bidi="hi-IN"/>
              </w:rPr>
              <w:t>Coordenadora da COREV</w:t>
            </w:r>
            <w:r>
              <w:rPr>
                <w:rFonts w:eastAsia="SimSun" w:cs="Times New Roman" w:ascii="Times New Roman" w:hAnsi="Times New Roman"/>
                <w:bCs/>
                <w:color w:val="auto"/>
                <w:kern w:val="0"/>
                <w:sz w:val="20"/>
                <w:szCs w:val="20"/>
                <w:lang w:val="pt-BR" w:eastAsia="zh-CN" w:bidi="hi-IN"/>
              </w:rPr>
              <w:t xml:space="preserve"> </w:t>
            </w:r>
            <w:r>
              <w:rPr>
                <w:rFonts w:eastAsia="SimSun" w:cs="Times New Roman" w:ascii="Times New Roman" w:hAnsi="Times New Roman"/>
                <w:bCs/>
                <w:color w:val="auto"/>
                <w:kern w:val="0"/>
                <w:sz w:val="20"/>
                <w:szCs w:val="20"/>
                <w:lang w:val="pt-BR" w:eastAsia="zh-CN" w:bidi="hi-IN"/>
              </w:rPr>
              <w:t>(Respondendo)</w:t>
            </w:r>
          </w:p>
          <w:p>
            <w:pPr>
              <w:pStyle w:val="Contedodatabela"/>
              <w:widowControl w:val="false"/>
              <w:suppressAutoHyphens w:val="true"/>
              <w:spacing w:before="0" w:after="0"/>
              <w:jc w:val="center"/>
              <w:rPr>
                <w:rFonts w:ascii="Arial" w:hAnsi="Arial"/>
                <w:b/>
                <w:bCs/>
                <w:sz w:val="22"/>
                <w:szCs w:val="22"/>
              </w:rPr>
            </w:pPr>
            <w:r>
              <w:rPr>
                <w:rFonts w:ascii="Arial" w:hAnsi="Arial"/>
                <w:b/>
                <w:bCs/>
                <w:sz w:val="22"/>
                <w:szCs w:val="22"/>
              </w:rPr>
            </w:r>
          </w:p>
          <w:p>
            <w:pPr>
              <w:pStyle w:val="Contedodatabela"/>
              <w:widowControl w:val="false"/>
              <w:suppressAutoHyphens w:val="true"/>
              <w:spacing w:before="0" w:after="0"/>
              <w:jc w:val="center"/>
              <w:rPr>
                <w:rFonts w:ascii="Arial" w:hAnsi="Arial"/>
                <w:b/>
                <w:bCs/>
                <w:sz w:val="22"/>
                <w:szCs w:val="22"/>
              </w:rPr>
            </w:pPr>
            <w:r>
              <w:rPr>
                <w:rFonts w:ascii="Arial" w:hAnsi="Arial"/>
                <w:b/>
                <w:bCs/>
                <w:sz w:val="22"/>
                <w:szCs w:val="22"/>
              </w:rPr>
            </w:r>
          </w:p>
          <w:p>
            <w:pPr>
              <w:pStyle w:val="Contedodatabela"/>
              <w:widowControl w:val="false"/>
              <w:suppressAutoHyphens w:val="true"/>
              <w:spacing w:before="0" w:after="0"/>
              <w:jc w:val="center"/>
              <w:rPr>
                <w:rFonts w:ascii="Arial" w:hAnsi="Arial"/>
                <w:b/>
                <w:bCs/>
                <w:sz w:val="22"/>
                <w:szCs w:val="22"/>
              </w:rPr>
            </w:pPr>
            <w:r>
              <w:rPr>
                <w:rFonts w:eastAsia="SimSun" w:cs="Times New Roman" w:ascii="Arial" w:hAnsi="Arial"/>
                <w:b/>
                <w:bCs/>
                <w:kern w:val="0"/>
                <w:sz w:val="22"/>
                <w:szCs w:val="22"/>
                <w:lang w:val="pt-BR" w:eastAsia="zh-CN" w:bidi="hi-IN"/>
              </w:rPr>
              <w:t>Carlos Edilson Araújo</w:t>
            </w:r>
          </w:p>
          <w:p>
            <w:pPr>
              <w:pStyle w:val="Contedodatabela"/>
              <w:widowControl w:val="false"/>
              <w:suppressAutoHyphens w:val="true"/>
              <w:spacing w:before="0" w:after="0"/>
              <w:jc w:val="center"/>
              <w:rPr>
                <w:rFonts w:ascii="Arial" w:hAnsi="Arial"/>
                <w:sz w:val="20"/>
                <w:szCs w:val="20"/>
              </w:rPr>
            </w:pPr>
            <w:r>
              <w:rPr>
                <w:rFonts w:eastAsia="SimSun" w:cs="Times New Roman" w:ascii="Arial" w:hAnsi="Arial"/>
                <w:kern w:val="0"/>
                <w:sz w:val="20"/>
                <w:szCs w:val="20"/>
                <w:lang w:val="pt-BR" w:eastAsia="zh-CN" w:bidi="hi-IN"/>
              </w:rPr>
              <w:t>Secretário Executivo de Planejamento e</w:t>
            </w:r>
          </w:p>
          <w:p>
            <w:pPr>
              <w:pStyle w:val="Contedodatabela"/>
              <w:widowControl w:val="false"/>
              <w:suppressAutoHyphens w:val="true"/>
              <w:spacing w:before="0" w:after="0"/>
              <w:jc w:val="center"/>
              <w:rPr>
                <w:rFonts w:ascii="Arial" w:hAnsi="Arial"/>
                <w:sz w:val="20"/>
                <w:szCs w:val="20"/>
              </w:rPr>
            </w:pPr>
            <w:r>
              <w:rPr>
                <w:rFonts w:eastAsia="SimSun" w:cs="Times New Roman" w:ascii="Arial" w:hAnsi="Arial"/>
                <w:kern w:val="0"/>
                <w:sz w:val="20"/>
                <w:szCs w:val="20"/>
                <w:lang w:val="pt-BR" w:eastAsia="zh-CN" w:bidi="hi-IN"/>
              </w:rPr>
              <w:t>Gestão Interna da SCIDADES</w:t>
            </w:r>
          </w:p>
        </w:tc>
        <w:tc>
          <w:tcPr>
            <w:tcW w:w="4872" w:type="dxa"/>
            <w:tcBorders/>
          </w:tcPr>
          <w:p>
            <w:pPr>
              <w:pStyle w:val="Contedodatabela"/>
              <w:widowControl w:val="false"/>
              <w:suppressAutoHyphens w:val="true"/>
              <w:spacing w:before="0" w:after="0"/>
              <w:jc w:val="center"/>
              <w:rPr>
                <w:rFonts w:ascii="Arial" w:hAnsi="Arial"/>
                <w:b/>
                <w:bCs/>
                <w:sz w:val="22"/>
                <w:szCs w:val="22"/>
              </w:rPr>
            </w:pPr>
            <w:r>
              <w:rPr>
                <w:rFonts w:ascii="Arial" w:hAnsi="Arial"/>
                <w:b/>
                <w:bCs/>
                <w:sz w:val="22"/>
                <w:szCs w:val="22"/>
              </w:rPr>
            </w:r>
          </w:p>
          <w:p>
            <w:pPr>
              <w:pStyle w:val="Contedodatabela"/>
              <w:widowControl w:val="false"/>
              <w:suppressAutoHyphens w:val="true"/>
              <w:spacing w:before="0" w:after="0"/>
              <w:jc w:val="center"/>
              <w:rPr>
                <w:rFonts w:ascii="Arial" w:hAnsi="Arial"/>
                <w:b/>
                <w:bCs/>
                <w:sz w:val="22"/>
                <w:szCs w:val="22"/>
              </w:rPr>
            </w:pPr>
            <w:r>
              <w:rPr>
                <w:rFonts w:ascii="Arial" w:hAnsi="Arial"/>
                <w:b/>
                <w:bCs/>
                <w:sz w:val="22"/>
                <w:szCs w:val="22"/>
              </w:rPr>
            </w:r>
          </w:p>
          <w:p>
            <w:pPr>
              <w:pStyle w:val="Contedodatabela"/>
              <w:widowControl w:val="false"/>
              <w:suppressAutoHyphens w:val="true"/>
              <w:spacing w:before="0" w:after="0"/>
              <w:jc w:val="center"/>
              <w:rPr>
                <w:rFonts w:ascii="Arial" w:hAnsi="Arial"/>
                <w:b/>
                <w:bCs/>
                <w:sz w:val="22"/>
                <w:szCs w:val="22"/>
              </w:rPr>
            </w:pPr>
            <w:r>
              <w:rPr>
                <w:rFonts w:ascii="Arial" w:hAnsi="Arial"/>
                <w:b/>
                <w:bCs/>
                <w:sz w:val="22"/>
                <w:szCs w:val="22"/>
              </w:rPr>
            </w:r>
          </w:p>
          <w:p>
            <w:pPr>
              <w:pStyle w:val="Contedodatabela"/>
              <w:widowControl w:val="false"/>
              <w:suppressAutoHyphens w:val="true"/>
              <w:spacing w:before="0" w:after="0"/>
              <w:jc w:val="center"/>
              <w:rPr>
                <w:rFonts w:ascii="Arial" w:hAnsi="Arial"/>
                <w:b/>
                <w:bCs/>
                <w:sz w:val="22"/>
                <w:szCs w:val="22"/>
              </w:rPr>
            </w:pPr>
            <w:r>
              <w:rPr>
                <w:rFonts w:eastAsia="SimSun" w:cs="Times New Roman" w:ascii="Arial" w:hAnsi="Arial"/>
                <w:b/>
                <w:bCs/>
                <w:kern w:val="0"/>
                <w:sz w:val="22"/>
                <w:szCs w:val="22"/>
                <w:lang w:val="pt-BR" w:eastAsia="zh-CN" w:bidi="hi-IN"/>
              </w:rPr>
              <w:t>Robério Xavier de Araújo</w:t>
            </w:r>
          </w:p>
          <w:p>
            <w:pPr>
              <w:pStyle w:val="Contedodatabela"/>
              <w:widowControl w:val="false"/>
              <w:suppressAutoHyphens w:val="true"/>
              <w:spacing w:before="0" w:after="0"/>
              <w:jc w:val="center"/>
              <w:rPr>
                <w:rFonts w:ascii="Arial" w:hAnsi="Arial"/>
                <w:sz w:val="20"/>
                <w:szCs w:val="20"/>
              </w:rPr>
            </w:pPr>
            <w:r>
              <w:rPr>
                <w:rFonts w:eastAsia="SimSun" w:cs="Times New Roman" w:ascii="Arial" w:hAnsi="Arial"/>
                <w:kern w:val="0"/>
                <w:sz w:val="20"/>
                <w:szCs w:val="20"/>
                <w:lang w:val="pt-BR" w:eastAsia="zh-CN" w:bidi="hi-IN"/>
              </w:rPr>
              <w:t>Coordenador da Assessoria Jurídica da SCIDADES</w:t>
            </w:r>
          </w:p>
        </w:tc>
      </w:tr>
    </w:tbl>
    <w:p>
      <w:pPr>
        <w:pStyle w:val="Textbody"/>
        <w:spacing w:lineRule="auto" w:line="240" w:before="0" w:after="0"/>
        <w:rPr/>
      </w:pPr>
      <w:r>
        <w:rPr/>
      </w:r>
    </w:p>
    <w:p>
      <w:pPr>
        <w:pStyle w:val="Standard"/>
        <w:jc w:val="both"/>
        <w:rPr>
          <w:rFonts w:ascii="Arial" w:hAnsi="Arial"/>
          <w:b/>
          <w:bCs/>
          <w:sz w:val="22"/>
          <w:szCs w:val="22"/>
        </w:rPr>
      </w:pPr>
      <w:r>
        <w:rPr>
          <w:rFonts w:ascii="Arial" w:hAnsi="Arial"/>
          <w:b/>
          <w:bCs/>
          <w:sz w:val="22"/>
          <w:szCs w:val="22"/>
        </w:rPr>
      </w:r>
    </w:p>
    <w:p>
      <w:pPr>
        <w:pStyle w:val="Textbody"/>
        <w:spacing w:lineRule="auto" w:line="240" w:before="0" w:after="0"/>
        <w:jc w:val="center"/>
        <w:rPr>
          <w:b/>
          <w:szCs w:val="22"/>
        </w:rPr>
      </w:pPr>
      <w:r>
        <w:rPr>
          <w:b/>
          <w:szCs w:val="22"/>
        </w:rPr>
      </w:r>
    </w:p>
    <w:p>
      <w:pPr>
        <w:pStyle w:val="Textbody"/>
        <w:spacing w:lineRule="auto" w:line="240" w:before="0" w:after="0"/>
        <w:jc w:val="center"/>
        <w:rPr>
          <w:b/>
          <w:szCs w:val="22"/>
        </w:rPr>
      </w:pPr>
      <w:r>
        <w:rPr>
          <w:b/>
          <w:szCs w:val="22"/>
        </w:rPr>
      </w:r>
    </w:p>
    <w:p>
      <w:pPr>
        <w:pStyle w:val="Textbody"/>
        <w:spacing w:lineRule="auto" w:line="240" w:before="0" w:after="0"/>
        <w:jc w:val="center"/>
        <w:rPr>
          <w:b/>
          <w:szCs w:val="22"/>
        </w:rPr>
      </w:pPr>
      <w:r>
        <w:rPr>
          <w:b/>
          <w:szCs w:val="22"/>
        </w:rPr>
      </w:r>
    </w:p>
    <w:p>
      <w:pPr>
        <w:pStyle w:val="Textbody"/>
        <w:spacing w:lineRule="auto" w:line="240" w:before="0" w:after="0"/>
        <w:jc w:val="center"/>
        <w:rPr>
          <w:b/>
          <w:szCs w:val="22"/>
        </w:rPr>
      </w:pPr>
      <w:r>
        <w:rPr>
          <w:b/>
          <w:szCs w:val="22"/>
        </w:rPr>
      </w:r>
    </w:p>
    <w:p>
      <w:pPr>
        <w:pStyle w:val="Textbody"/>
        <w:spacing w:lineRule="auto" w:line="240" w:before="0" w:after="0"/>
        <w:jc w:val="center"/>
        <w:rPr>
          <w:b/>
          <w:szCs w:val="22"/>
        </w:rPr>
      </w:pPr>
      <w:r>
        <w:rPr>
          <w:b/>
          <w:szCs w:val="22"/>
        </w:rPr>
        <w:t>ANEXO I – ESPECIFICAÇÕES TÉCNICAS</w:t>
      </w:r>
    </w:p>
    <w:p>
      <w:pPr>
        <w:pStyle w:val="Textbody"/>
        <w:spacing w:lineRule="auto" w:line="240" w:before="0" w:after="0"/>
        <w:ind w:left="1134" w:hanging="0"/>
        <w:rPr>
          <w:rFonts w:cs="Arial"/>
          <w:color w:val="00000A"/>
          <w:szCs w:val="22"/>
          <w:shd w:fill="FFFFFF" w:val="clear"/>
        </w:rPr>
      </w:pPr>
      <w:r>
        <w:rPr>
          <w:rFonts w:cs="Arial"/>
          <w:color w:val="00000A"/>
          <w:szCs w:val="22"/>
          <w:shd w:fill="FFFFFF" w:val="clear"/>
        </w:rPr>
      </w:r>
    </w:p>
    <w:p>
      <w:pPr>
        <w:pStyle w:val="Standard"/>
        <w:jc w:val="center"/>
        <w:rPr>
          <w:color w:val="FF0000"/>
        </w:rPr>
      </w:pPr>
      <w:r>
        <w:rPr>
          <w:rFonts w:ascii="Arial" w:hAnsi="Arial"/>
          <w:sz w:val="22"/>
          <w:szCs w:val="22"/>
        </w:rPr>
        <w:t xml:space="preserve">Processo nº </w:t>
      </w:r>
      <w:r>
        <w:rPr>
          <w:rFonts w:eastAsia="Helvetica" w:cs="Helvetica" w:ascii="Helvetica" w:hAnsi="Helvetica"/>
          <w:b/>
          <w:bCs/>
          <w:i w:val="false"/>
          <w:iCs w:val="false"/>
          <w:caps w:val="false"/>
          <w:smallCaps w:val="false"/>
          <w:color w:val="000000"/>
          <w:spacing w:val="0"/>
          <w:sz w:val="22"/>
          <w:szCs w:val="22"/>
          <w:shd w:fill="FFFFFF" w:val="clear"/>
          <w:lang w:val="pt-BR" w:eastAsia="pt-BR"/>
        </w:rPr>
        <w:t>4</w:t>
      </w:r>
      <w:r>
        <w:rPr>
          <w:rFonts w:eastAsia="Times New Roman" w:cs="Arial" w:ascii="Arial" w:hAnsi="Arial"/>
          <w:b/>
          <w:bCs/>
          <w:i w:val="false"/>
          <w:iCs w:val="false"/>
          <w:caps w:val="false"/>
          <w:smallCaps w:val="false"/>
          <w:color w:val="000000"/>
          <w:spacing w:val="0"/>
          <w:kern w:val="0"/>
          <w:sz w:val="22"/>
          <w:szCs w:val="22"/>
          <w:shd w:fill="FFFFFF" w:val="clear"/>
          <w:lang w:val="pt-BR" w:eastAsia="pt-BR" w:bidi="ar-SA"/>
        </w:rPr>
        <w:t>3001.006594/2026-11</w:t>
      </w:r>
    </w:p>
    <w:p>
      <w:pPr>
        <w:pStyle w:val="Textbody"/>
        <w:spacing w:lineRule="auto" w:line="240" w:before="0" w:after="0"/>
        <w:jc w:val="center"/>
        <w:rPr>
          <w:szCs w:val="22"/>
        </w:rPr>
      </w:pPr>
      <w:r>
        <w:rPr>
          <w:szCs w:val="22"/>
        </w:rPr>
        <w:t xml:space="preserve">UNIDADE REQUISITANTE: </w:t>
      </w:r>
      <w:r>
        <w:rPr>
          <w:b/>
          <w:szCs w:val="22"/>
        </w:rPr>
        <w:t>SCIDADES/COREV</w:t>
      </w:r>
    </w:p>
    <w:p>
      <w:pPr>
        <w:pStyle w:val="Textbody"/>
        <w:spacing w:lineRule="auto" w:line="240" w:before="0" w:after="0"/>
        <w:rPr/>
      </w:pPr>
      <w:r>
        <w:rPr/>
      </w:r>
    </w:p>
    <w:p>
      <w:pPr>
        <w:pStyle w:val="Textbody"/>
        <w:spacing w:lineRule="auto" w:line="240" w:before="0" w:after="0"/>
        <w:ind w:left="1134" w:hanging="0"/>
        <w:rPr>
          <w:rFonts w:cs="Arial"/>
          <w:color w:val="00000A"/>
          <w:szCs w:val="22"/>
          <w:shd w:fill="FFFFFF" w:val="clear"/>
        </w:rPr>
      </w:pPr>
      <w:r>
        <w:rPr>
          <w:rFonts w:cs="Arial"/>
          <w:color w:val="00000A"/>
          <w:szCs w:val="22"/>
          <w:shd w:fill="FFFFFF" w:val="clear"/>
        </w:rPr>
      </w:r>
    </w:p>
    <w:p>
      <w:pPr>
        <w:pStyle w:val="Textbody"/>
        <w:spacing w:lineRule="auto" w:line="240" w:before="0" w:after="0"/>
        <w:ind w:left="1134" w:hanging="0"/>
        <w:rPr>
          <w:rFonts w:cs="Arial"/>
          <w:color w:val="00000A"/>
          <w:szCs w:val="22"/>
          <w:shd w:fill="FFFFFF" w:val="clear"/>
        </w:rPr>
      </w:pPr>
      <w:r>
        <w:rPr>
          <w:rFonts w:cs="Arial"/>
          <w:color w:val="00000A"/>
          <w:szCs w:val="22"/>
          <w:shd w:fill="FFFFFF" w:val="clear"/>
        </w:rPr>
      </w:r>
    </w:p>
    <w:p>
      <w:pPr>
        <w:pStyle w:val="Textbody"/>
        <w:spacing w:lineRule="auto" w:line="240" w:before="0" w:after="0"/>
        <w:ind w:left="1134" w:hanging="0"/>
        <w:rPr>
          <w:color w:val="000000"/>
        </w:rPr>
      </w:pPr>
      <w:r>
        <w:rPr>
          <w:rFonts w:cs="Arial"/>
          <w:color w:val="000000"/>
          <w:szCs w:val="22"/>
          <w:shd w:fill="FFFFFF" w:val="clear"/>
        </w:rPr>
        <w:t xml:space="preserve">I.A - Relatório do Projeto </w:t>
      </w:r>
    </w:p>
    <w:p>
      <w:pPr>
        <w:pStyle w:val="Textbody"/>
        <w:spacing w:lineRule="auto" w:line="240" w:before="0" w:after="0"/>
        <w:ind w:left="1134" w:hanging="0"/>
        <w:rPr>
          <w:color w:val="000000"/>
        </w:rPr>
      </w:pPr>
      <w:r>
        <w:rPr>
          <w:rFonts w:cs="Arial"/>
          <w:color w:val="000000"/>
          <w:szCs w:val="22"/>
          <w:shd w:fill="FFFFFF" w:val="clear"/>
        </w:rPr>
        <w:t>I.B - Projeto de Execução</w:t>
      </w:r>
    </w:p>
    <w:p>
      <w:pPr>
        <w:pStyle w:val="Textbody"/>
        <w:spacing w:lineRule="auto" w:line="240" w:before="0" w:after="0"/>
        <w:ind w:left="1134" w:hanging="0"/>
        <w:rPr>
          <w:color w:val="000000"/>
        </w:rPr>
      </w:pPr>
      <w:r>
        <w:rPr>
          <w:rFonts w:cs="Arial"/>
          <w:color w:val="000000"/>
          <w:szCs w:val="22"/>
          <w:shd w:fill="FFFFFF" w:val="clear"/>
        </w:rPr>
        <w:t>I.C - Volumes e Notas de Serviço</w:t>
      </w:r>
    </w:p>
    <w:p>
      <w:pPr>
        <w:pStyle w:val="Textbody"/>
        <w:spacing w:lineRule="auto" w:line="240" w:before="0" w:after="0"/>
        <w:ind w:left="1134" w:hanging="0"/>
        <w:rPr>
          <w:color w:val="000000"/>
        </w:rPr>
      </w:pPr>
      <w:r>
        <w:rPr>
          <w:rFonts w:cs="Arial"/>
          <w:color w:val="000000"/>
          <w:szCs w:val="22"/>
          <w:shd w:fill="FFFFFF" w:val="clear"/>
        </w:rPr>
        <w:t>I.D - Orçamento e Memória de Cálculo do Projeto</w:t>
      </w:r>
    </w:p>
    <w:p>
      <w:pPr>
        <w:pStyle w:val="Textbody"/>
        <w:spacing w:lineRule="auto" w:line="240" w:before="0" w:after="0"/>
        <w:ind w:left="1134" w:hanging="0"/>
        <w:rPr>
          <w:color w:val="000000"/>
        </w:rPr>
      </w:pPr>
      <w:r>
        <w:rPr>
          <w:rFonts w:cs="Arial"/>
          <w:color w:val="000000"/>
          <w:szCs w:val="22"/>
          <w:shd w:fill="FFFFFF" w:val="clear"/>
        </w:rPr>
        <w:t xml:space="preserve">I.E - </w:t>
      </w:r>
      <w:r>
        <w:rPr>
          <w:color w:val="000000"/>
        </w:rPr>
        <w:t>Composição dos Encargos Sociais</w:t>
      </w:r>
    </w:p>
    <w:p>
      <w:pPr>
        <w:pStyle w:val="Textbody"/>
        <w:tabs>
          <w:tab w:val="clear" w:pos="708"/>
          <w:tab w:val="left" w:pos="1134" w:leader="none"/>
        </w:tabs>
        <w:spacing w:lineRule="auto" w:line="240" w:before="0" w:after="0"/>
        <w:ind w:firstLine="1134"/>
        <w:rPr>
          <w:color w:val="000000"/>
        </w:rPr>
      </w:pPr>
      <w:r>
        <w:rPr>
          <w:color w:val="000000"/>
        </w:rPr>
        <w:t>I.F- Composição da Administração Local</w:t>
      </w:r>
    </w:p>
    <w:p>
      <w:pPr>
        <w:pStyle w:val="Textbody"/>
        <w:tabs>
          <w:tab w:val="clear" w:pos="708"/>
          <w:tab w:val="left" w:pos="1134" w:leader="none"/>
        </w:tabs>
        <w:spacing w:lineRule="auto" w:line="240" w:before="0" w:after="0"/>
        <w:ind w:firstLine="1134"/>
        <w:rPr>
          <w:color w:val="000000"/>
        </w:rPr>
      </w:pPr>
      <w:r>
        <w:rPr>
          <w:color w:val="000000"/>
        </w:rPr>
        <w:t>I.G - BDI</w:t>
        <w:tab/>
      </w:r>
    </w:p>
    <w:p>
      <w:pPr>
        <w:pStyle w:val="Textbody"/>
        <w:tabs>
          <w:tab w:val="clear" w:pos="708"/>
          <w:tab w:val="left" w:pos="1134" w:leader="none"/>
        </w:tabs>
        <w:spacing w:lineRule="auto" w:line="240" w:before="0" w:after="0"/>
        <w:ind w:firstLine="1134"/>
        <w:rPr>
          <w:color w:val="000000"/>
        </w:rPr>
      </w:pPr>
      <w:r>
        <w:rPr>
          <w:color w:val="000000"/>
        </w:rPr>
        <w:t>I.H - Cronograma</w:t>
      </w:r>
    </w:p>
    <w:p>
      <w:pPr>
        <w:pStyle w:val="Textbody"/>
        <w:tabs>
          <w:tab w:val="clear" w:pos="708"/>
          <w:tab w:val="left" w:pos="1134" w:leader="none"/>
        </w:tabs>
        <w:spacing w:lineRule="auto" w:line="240" w:before="0" w:after="0"/>
        <w:ind w:firstLine="1134"/>
        <w:rPr>
          <w:color w:val="000000"/>
        </w:rPr>
      </w:pPr>
      <w:r>
        <w:rPr>
          <w:color w:val="000000"/>
        </w:rPr>
        <w:t xml:space="preserve">I.I - Composição de Custo </w:t>
      </w:r>
    </w:p>
    <w:p>
      <w:pPr>
        <w:pStyle w:val="Textbody"/>
        <w:tabs>
          <w:tab w:val="clear" w:pos="708"/>
          <w:tab w:val="left" w:pos="1134" w:leader="none"/>
        </w:tabs>
        <w:spacing w:lineRule="auto" w:line="240" w:before="0" w:after="0"/>
        <w:ind w:firstLine="1134"/>
        <w:rPr>
          <w:color w:val="000000"/>
        </w:rPr>
      </w:pPr>
      <w:r>
        <w:rPr>
          <w:color w:val="000000"/>
        </w:rPr>
        <w:t>I.J - Curva A</w:t>
      </w:r>
    </w:p>
    <w:p>
      <w:pPr>
        <w:pStyle w:val="Textbody"/>
        <w:tabs>
          <w:tab w:val="clear" w:pos="708"/>
          <w:tab w:val="left" w:pos="1134" w:leader="none"/>
        </w:tabs>
        <w:spacing w:lineRule="auto" w:line="240" w:before="0" w:after="0"/>
        <w:ind w:firstLine="1134"/>
        <w:rPr>
          <w:color w:val="000000"/>
        </w:rPr>
      </w:pPr>
      <w:r>
        <w:rPr>
          <w:color w:val="000000"/>
        </w:rPr>
        <w:t>I K - Placa da Obra</w:t>
      </w:r>
    </w:p>
    <w:p>
      <w:pPr>
        <w:pStyle w:val="Textbody"/>
        <w:spacing w:lineRule="auto" w:line="240" w:before="0" w:after="0"/>
        <w:rPr>
          <w:color w:val="000000"/>
        </w:rPr>
      </w:pPr>
      <w:r>
        <w:rPr>
          <w:color w:val="000000"/>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tab/>
      </w:r>
    </w:p>
    <w:p>
      <w:pPr>
        <w:pStyle w:val="Textbody"/>
        <w:spacing w:lineRule="auto" w:line="240" w:before="0" w:after="0"/>
        <w:jc w:val="left"/>
        <w:rPr/>
      </w:pPr>
      <w:r>
        <w:rPr/>
      </w:r>
    </w:p>
    <w:p>
      <w:pPr>
        <w:pStyle w:val="Textbody"/>
        <w:spacing w:lineRule="auto" w:line="240" w:before="0" w:after="0"/>
        <w:jc w:val="left"/>
        <w:rPr/>
      </w:pPr>
      <w:r>
        <w:rPr/>
        <w:t>Link</w:t>
      </w:r>
      <w:r>
        <w:rPr>
          <w:lang w:val="pt-BR"/>
        </w:rPr>
        <w:t xml:space="preserve"> </w:t>
      </w:r>
      <w:r>
        <w:rPr/>
        <w:t xml:space="preserve">para acesso: </w:t>
      </w:r>
    </w:p>
    <w:p>
      <w:pPr>
        <w:pStyle w:val="Textbody"/>
        <w:spacing w:lineRule="auto" w:line="240" w:before="0" w:after="0"/>
        <w:jc w:val="left"/>
        <w:rPr/>
      </w:pPr>
      <w:r>
        <w:rPr/>
      </w:r>
    </w:p>
    <w:p>
      <w:pPr>
        <w:pStyle w:val="Textbody"/>
        <w:spacing w:lineRule="auto" w:line="240" w:before="0" w:after="0"/>
        <w:jc w:val="left"/>
        <w:rPr/>
      </w:pPr>
      <w:r>
        <w:rPr>
          <w:color w:val="auto"/>
        </w:rPr>
        <w:t xml:space="preserve"> </w:t>
      </w:r>
      <w:hyperlink r:id="rId14">
        <w:r>
          <w:rPr>
            <w:rStyle w:val="LinkdaInternet"/>
            <w:color w:val="auto"/>
          </w:rPr>
          <w:t>https://drive.google.com/drive/folders/18IP3Eoc7SfPgE2JxlVv0yLDoytapewJ-?usp=sharing</w:t>
        </w:r>
      </w:hyperlink>
      <w:r>
        <w:rPr>
          <w:color w:val="auto"/>
        </w:rPr>
        <w:t xml:space="preserve">  </w:t>
      </w:r>
    </w:p>
    <w:p>
      <w:pPr>
        <w:pStyle w:val="Textbody"/>
        <w:spacing w:lineRule="auto" w:line="240" w:before="0" w:after="0"/>
        <w:jc w:val="center"/>
        <w:rPr>
          <w:b/>
          <w:bCs/>
          <w:szCs w:val="22"/>
        </w:rPr>
      </w:pPr>
      <w:r>
        <w:rPr>
          <w:b/>
          <w:bCs/>
          <w:szCs w:val="22"/>
        </w:rPr>
      </w:r>
    </w:p>
    <w:p>
      <w:pPr>
        <w:pStyle w:val="Textbody"/>
        <w:spacing w:lineRule="auto" w:line="240" w:before="0" w:after="0"/>
        <w:jc w:val="center"/>
        <w:rPr>
          <w:b/>
          <w:bCs/>
          <w:szCs w:val="22"/>
        </w:rPr>
      </w:pPr>
      <w:r>
        <w:rPr>
          <w:b/>
          <w:bCs/>
          <w:szCs w:val="22"/>
        </w:rPr>
      </w:r>
    </w:p>
    <w:p>
      <w:pPr>
        <w:pStyle w:val="Textbody"/>
        <w:spacing w:lineRule="auto" w:line="240" w:before="0" w:after="0"/>
        <w:jc w:val="center"/>
        <w:rPr>
          <w:b/>
          <w:bCs/>
          <w:szCs w:val="22"/>
        </w:rPr>
      </w:pPr>
      <w:r>
        <w:rPr>
          <w:b/>
          <w:bCs/>
          <w:szCs w:val="22"/>
        </w:rPr>
      </w:r>
    </w:p>
    <w:p>
      <w:pPr>
        <w:pStyle w:val="Textbody"/>
        <w:spacing w:lineRule="auto" w:line="240" w:before="0" w:after="0"/>
        <w:jc w:val="center"/>
        <w:rPr>
          <w:b/>
          <w:bCs/>
          <w:szCs w:val="22"/>
        </w:rPr>
      </w:pPr>
      <w:r>
        <w:rPr>
          <w:b/>
          <w:bCs/>
          <w:szCs w:val="22"/>
        </w:rPr>
      </w:r>
    </w:p>
    <w:p>
      <w:pPr>
        <w:pStyle w:val="Textbody"/>
        <w:spacing w:lineRule="auto" w:line="240" w:before="0" w:after="0"/>
        <w:jc w:val="center"/>
        <w:rPr>
          <w:b/>
          <w:bCs/>
          <w:szCs w:val="22"/>
        </w:rPr>
      </w:pPr>
      <w:r>
        <w:rPr>
          <w:b/>
          <w:bCs/>
          <w:szCs w:val="22"/>
        </w:rPr>
      </w:r>
    </w:p>
    <w:p>
      <w:pPr>
        <w:pStyle w:val="Textbody"/>
        <w:spacing w:lineRule="auto" w:line="240" w:before="0" w:after="0"/>
        <w:jc w:val="center"/>
        <w:rPr>
          <w:b/>
          <w:bCs/>
          <w:szCs w:val="22"/>
        </w:rPr>
      </w:pPr>
      <w:r>
        <w:rPr>
          <w:b/>
          <w:bCs/>
          <w:szCs w:val="22"/>
        </w:rPr>
      </w:r>
    </w:p>
    <w:p>
      <w:pPr>
        <w:pStyle w:val="Textbody"/>
        <w:spacing w:lineRule="auto" w:line="240" w:before="0" w:after="0"/>
        <w:jc w:val="center"/>
        <w:rPr>
          <w:b/>
          <w:bCs/>
          <w:szCs w:val="22"/>
        </w:rPr>
      </w:pPr>
      <w:r>
        <w:rPr>
          <w:b/>
          <w:bCs/>
          <w:szCs w:val="22"/>
        </w:rPr>
      </w:r>
    </w:p>
    <w:p>
      <w:pPr>
        <w:pStyle w:val="Textbody"/>
        <w:spacing w:lineRule="auto" w:line="240" w:before="0" w:after="0"/>
        <w:jc w:val="center"/>
        <w:rPr>
          <w:b/>
          <w:bCs/>
          <w:szCs w:val="22"/>
        </w:rPr>
      </w:pPr>
      <w:r>
        <w:rPr>
          <w:b/>
          <w:bCs/>
          <w:szCs w:val="22"/>
        </w:rPr>
      </w:r>
    </w:p>
    <w:p>
      <w:pPr>
        <w:pStyle w:val="Textbody"/>
        <w:spacing w:lineRule="auto" w:line="240" w:before="0" w:after="0"/>
        <w:jc w:val="center"/>
        <w:rPr>
          <w:b/>
          <w:bCs/>
          <w:szCs w:val="22"/>
        </w:rPr>
      </w:pPr>
      <w:r>
        <w:rPr>
          <w:b/>
          <w:bCs/>
          <w:szCs w:val="22"/>
        </w:rPr>
      </w:r>
    </w:p>
    <w:p>
      <w:pPr>
        <w:pStyle w:val="Textbody"/>
        <w:spacing w:lineRule="auto" w:line="240" w:before="0" w:after="0"/>
        <w:jc w:val="center"/>
        <w:rPr>
          <w:b/>
          <w:bCs/>
          <w:szCs w:val="22"/>
        </w:rPr>
      </w:pPr>
      <w:r>
        <w:rPr>
          <w:b/>
          <w:bCs/>
          <w:szCs w:val="22"/>
        </w:rPr>
      </w:r>
    </w:p>
    <w:p>
      <w:pPr>
        <w:pStyle w:val="Textbody"/>
        <w:spacing w:lineRule="auto" w:line="240" w:before="0" w:after="0"/>
        <w:jc w:val="center"/>
        <w:rPr>
          <w:b/>
          <w:bCs/>
          <w:szCs w:val="22"/>
        </w:rPr>
      </w:pPr>
      <w:r>
        <w:rPr>
          <w:b/>
          <w:bCs/>
          <w:szCs w:val="22"/>
        </w:rPr>
      </w:r>
    </w:p>
    <w:p>
      <w:pPr>
        <w:pStyle w:val="Textbody"/>
        <w:spacing w:lineRule="auto" w:line="240" w:before="0" w:after="0"/>
        <w:jc w:val="center"/>
        <w:rPr>
          <w:b/>
          <w:bCs/>
          <w:szCs w:val="22"/>
        </w:rPr>
      </w:pPr>
      <w:r>
        <w:rPr>
          <w:b/>
          <w:bCs/>
          <w:szCs w:val="22"/>
        </w:rPr>
      </w:r>
    </w:p>
    <w:p>
      <w:pPr>
        <w:pStyle w:val="Textbody"/>
        <w:spacing w:lineRule="auto" w:line="240" w:before="0" w:after="0"/>
        <w:jc w:val="center"/>
        <w:rPr>
          <w:b/>
          <w:bCs/>
          <w:szCs w:val="22"/>
        </w:rPr>
      </w:pPr>
      <w:r>
        <w:rPr>
          <w:b/>
          <w:bCs/>
          <w:szCs w:val="22"/>
        </w:rPr>
      </w:r>
    </w:p>
    <w:p>
      <w:pPr>
        <w:pStyle w:val="Textbody"/>
        <w:spacing w:lineRule="auto" w:line="240" w:before="0" w:after="0"/>
        <w:jc w:val="center"/>
        <w:rPr>
          <w:b/>
          <w:bCs/>
          <w:szCs w:val="22"/>
        </w:rPr>
      </w:pPr>
      <w:r>
        <w:rPr>
          <w:b/>
          <w:bCs/>
          <w:szCs w:val="22"/>
        </w:rPr>
      </w:r>
    </w:p>
    <w:p>
      <w:pPr>
        <w:pStyle w:val="Textbody"/>
        <w:spacing w:lineRule="auto" w:line="240" w:before="0" w:after="0"/>
        <w:jc w:val="center"/>
        <w:rPr>
          <w:b/>
          <w:bCs/>
          <w:szCs w:val="22"/>
        </w:rPr>
      </w:pPr>
      <w:r>
        <w:rPr>
          <w:b/>
          <w:bCs/>
          <w:szCs w:val="22"/>
        </w:rPr>
      </w:r>
    </w:p>
    <w:p>
      <w:pPr>
        <w:pStyle w:val="Textbody"/>
        <w:spacing w:lineRule="auto" w:line="240" w:before="0" w:after="0"/>
        <w:jc w:val="center"/>
        <w:rPr>
          <w:b/>
          <w:bCs/>
          <w:szCs w:val="22"/>
        </w:rPr>
      </w:pPr>
      <w:r>
        <w:rPr>
          <w:b/>
          <w:bCs/>
          <w:szCs w:val="22"/>
        </w:rPr>
      </w:r>
    </w:p>
    <w:p>
      <w:pPr>
        <w:pStyle w:val="Textbody"/>
        <w:spacing w:lineRule="auto" w:line="240" w:before="0" w:after="0"/>
        <w:jc w:val="center"/>
        <w:rPr>
          <w:b/>
          <w:bCs/>
          <w:szCs w:val="22"/>
        </w:rPr>
      </w:pPr>
      <w:r>
        <w:rPr>
          <w:b/>
          <w:bCs/>
          <w:szCs w:val="22"/>
        </w:rPr>
      </w:r>
    </w:p>
    <w:p>
      <w:pPr>
        <w:pStyle w:val="Textbody"/>
        <w:spacing w:lineRule="auto" w:line="240" w:before="0" w:after="0"/>
        <w:jc w:val="center"/>
        <w:rPr>
          <w:b/>
          <w:bCs/>
          <w:szCs w:val="22"/>
        </w:rPr>
      </w:pPr>
      <w:r>
        <w:rPr>
          <w:b/>
          <w:bCs/>
          <w:szCs w:val="22"/>
        </w:rPr>
      </w:r>
    </w:p>
    <w:p>
      <w:pPr>
        <w:pStyle w:val="Textbody"/>
        <w:spacing w:lineRule="auto" w:line="240" w:before="0" w:after="0"/>
        <w:jc w:val="center"/>
        <w:rPr>
          <w:b/>
          <w:bCs/>
          <w:szCs w:val="22"/>
        </w:rPr>
      </w:pPr>
      <w:r>
        <w:rPr>
          <w:b/>
          <w:bCs/>
          <w:szCs w:val="22"/>
        </w:rPr>
      </w:r>
    </w:p>
    <w:p>
      <w:pPr>
        <w:pStyle w:val="Textbody"/>
        <w:spacing w:lineRule="auto" w:line="240" w:before="0" w:after="0"/>
        <w:jc w:val="center"/>
        <w:rPr>
          <w:b/>
          <w:bCs/>
          <w:szCs w:val="22"/>
        </w:rPr>
      </w:pPr>
      <w:r>
        <w:rPr>
          <w:b/>
          <w:bCs/>
          <w:szCs w:val="22"/>
        </w:rPr>
      </w:r>
    </w:p>
    <w:p>
      <w:pPr>
        <w:pStyle w:val="Textbody"/>
        <w:spacing w:lineRule="auto" w:line="240" w:before="0" w:after="0"/>
        <w:jc w:val="center"/>
        <w:rPr>
          <w:b/>
          <w:bCs/>
          <w:szCs w:val="22"/>
        </w:rPr>
      </w:pPr>
      <w:r>
        <w:rPr>
          <w:b/>
          <w:bCs/>
          <w:szCs w:val="22"/>
        </w:rPr>
      </w:r>
    </w:p>
    <w:p>
      <w:pPr>
        <w:pStyle w:val="Textbody"/>
        <w:spacing w:lineRule="auto" w:line="240" w:before="0" w:after="0"/>
        <w:jc w:val="center"/>
        <w:rPr>
          <w:b/>
          <w:bCs/>
          <w:szCs w:val="22"/>
        </w:rPr>
      </w:pPr>
      <w:r>
        <w:rPr>
          <w:b/>
          <w:bCs/>
          <w:szCs w:val="22"/>
        </w:rPr>
        <w:t>ANEXO II – CARTA PROPOSTA</w:t>
      </w:r>
    </w:p>
    <w:p>
      <w:pPr>
        <w:pStyle w:val="Textbody"/>
        <w:spacing w:lineRule="auto" w:line="240" w:before="0" w:after="0"/>
        <w:rPr>
          <w:szCs w:val="22"/>
        </w:rPr>
      </w:pPr>
      <w:r>
        <w:rPr>
          <w:szCs w:val="22"/>
        </w:rPr>
      </w:r>
    </w:p>
    <w:p>
      <w:pPr>
        <w:pStyle w:val="Standard"/>
        <w:jc w:val="both"/>
        <w:rPr>
          <w:rFonts w:ascii="Arial" w:hAnsi="Arial"/>
          <w:sz w:val="22"/>
          <w:szCs w:val="22"/>
        </w:rPr>
      </w:pPr>
      <w:r>
        <w:rPr>
          <w:rFonts w:ascii="Arial" w:hAnsi="Arial"/>
          <w:sz w:val="22"/>
          <w:szCs w:val="22"/>
        </w:rPr>
        <w:t>(PAPEL TIMBRADO DA PROPONENTE)</w:t>
      </w:r>
    </w:p>
    <w:p>
      <w:pPr>
        <w:pStyle w:val="Standard"/>
        <w:jc w:val="both"/>
        <w:rPr>
          <w:rFonts w:ascii="Arial" w:hAnsi="Arial"/>
          <w:sz w:val="22"/>
          <w:szCs w:val="22"/>
        </w:rPr>
      </w:pPr>
      <w:r>
        <w:rPr>
          <w:rFonts w:ascii="Arial" w:hAnsi="Arial"/>
          <w:sz w:val="22"/>
          <w:szCs w:val="22"/>
        </w:rPr>
      </w:r>
    </w:p>
    <w:p>
      <w:pPr>
        <w:pStyle w:val="Standard"/>
        <w:jc w:val="both"/>
        <w:rPr>
          <w:rFonts w:ascii="Arial" w:hAnsi="Arial"/>
          <w:sz w:val="22"/>
          <w:szCs w:val="22"/>
        </w:rPr>
      </w:pPr>
      <w:r>
        <w:rPr>
          <w:rFonts w:ascii="Arial" w:hAnsi="Arial"/>
          <w:sz w:val="22"/>
          <w:szCs w:val="22"/>
        </w:rPr>
        <w:t>Local e data</w:t>
      </w:r>
    </w:p>
    <w:p>
      <w:pPr>
        <w:pStyle w:val="Standard"/>
        <w:jc w:val="both"/>
        <w:rPr>
          <w:rFonts w:ascii="Arial" w:hAnsi="Arial"/>
          <w:sz w:val="22"/>
          <w:szCs w:val="22"/>
        </w:rPr>
      </w:pPr>
      <w:r>
        <w:rPr>
          <w:rFonts w:ascii="Arial" w:hAnsi="Arial"/>
          <w:sz w:val="22"/>
          <w:szCs w:val="22"/>
        </w:rPr>
      </w:r>
    </w:p>
    <w:p>
      <w:pPr>
        <w:pStyle w:val="Standard"/>
        <w:jc w:val="both"/>
        <w:rPr>
          <w:rFonts w:ascii="Arial" w:hAnsi="Arial"/>
          <w:sz w:val="22"/>
          <w:szCs w:val="22"/>
        </w:rPr>
      </w:pPr>
      <w:r>
        <w:rPr>
          <w:rFonts w:ascii="Arial" w:hAnsi="Arial"/>
          <w:sz w:val="22"/>
          <w:szCs w:val="22"/>
        </w:rPr>
        <w:t>À Comissão de Contratação ___</w:t>
      </w:r>
    </w:p>
    <w:p>
      <w:pPr>
        <w:pStyle w:val="Standard"/>
        <w:jc w:val="both"/>
        <w:rPr>
          <w:rFonts w:ascii="Arial" w:hAnsi="Arial"/>
          <w:sz w:val="22"/>
          <w:szCs w:val="22"/>
        </w:rPr>
      </w:pPr>
      <w:r>
        <w:rPr>
          <w:rFonts w:ascii="Arial" w:hAnsi="Arial"/>
          <w:sz w:val="22"/>
          <w:szCs w:val="22"/>
        </w:rPr>
      </w:r>
    </w:p>
    <w:p>
      <w:pPr>
        <w:pStyle w:val="Standard"/>
        <w:jc w:val="both"/>
        <w:rPr>
          <w:rFonts w:ascii="Arial" w:hAnsi="Arial"/>
          <w:sz w:val="22"/>
          <w:szCs w:val="22"/>
        </w:rPr>
      </w:pPr>
      <w:r>
        <w:rPr>
          <w:rFonts w:ascii="Arial" w:hAnsi="Arial"/>
          <w:sz w:val="22"/>
          <w:szCs w:val="22"/>
        </w:rPr>
        <w:t>Fortaleza-CE</w:t>
      </w:r>
    </w:p>
    <w:p>
      <w:pPr>
        <w:pStyle w:val="Standard"/>
        <w:jc w:val="both"/>
        <w:rPr>
          <w:rFonts w:ascii="Arial" w:hAnsi="Arial"/>
          <w:sz w:val="22"/>
          <w:szCs w:val="22"/>
        </w:rPr>
      </w:pPr>
      <w:r>
        <w:rPr>
          <w:rFonts w:ascii="Arial" w:hAnsi="Arial"/>
          <w:sz w:val="22"/>
          <w:szCs w:val="22"/>
        </w:rPr>
      </w:r>
    </w:p>
    <w:p>
      <w:pPr>
        <w:pStyle w:val="Standard"/>
        <w:jc w:val="both"/>
        <w:rPr>
          <w:rFonts w:ascii="Arial" w:hAnsi="Arial"/>
          <w:sz w:val="22"/>
          <w:szCs w:val="22"/>
        </w:rPr>
      </w:pPr>
      <w:r>
        <w:rPr>
          <w:rFonts w:ascii="Arial" w:hAnsi="Arial"/>
          <w:sz w:val="22"/>
          <w:szCs w:val="22"/>
        </w:rPr>
        <w:t xml:space="preserve">Ref.: </w:t>
      </w:r>
      <w:r>
        <w:rPr>
          <w:rFonts w:ascii="Arial" w:hAnsi="Arial"/>
          <w:b/>
          <w:sz w:val="22"/>
          <w:szCs w:val="22"/>
          <w:shd w:fill="FFFFFF" w:val="clear"/>
        </w:rPr>
        <w:t xml:space="preserve">CONCORRÊNCIA ELETRÔNICA Nº </w:t>
      </w:r>
      <w:r>
        <w:rPr>
          <w:rFonts w:ascii="Arial" w:hAnsi="Arial"/>
          <w:b/>
          <w:color w:val="000000"/>
          <w:sz w:val="22"/>
          <w:szCs w:val="22"/>
          <w:shd w:fill="FFFFFF" w:val="clear"/>
        </w:rPr>
        <w:t>20260015/CIDADES/COREV</w:t>
      </w:r>
    </w:p>
    <w:p>
      <w:pPr>
        <w:pStyle w:val="Standard"/>
        <w:jc w:val="both"/>
        <w:rPr>
          <w:rFonts w:ascii="Arial" w:hAnsi="Arial"/>
          <w:sz w:val="22"/>
          <w:szCs w:val="22"/>
        </w:rPr>
      </w:pPr>
      <w:r>
        <w:rPr>
          <w:rFonts w:ascii="Arial" w:hAnsi="Arial"/>
          <w:sz w:val="22"/>
          <w:szCs w:val="22"/>
        </w:rPr>
      </w:r>
    </w:p>
    <w:p>
      <w:pPr>
        <w:pStyle w:val="Standard"/>
        <w:jc w:val="both"/>
        <w:rPr>
          <w:rFonts w:ascii="Arial" w:hAnsi="Arial"/>
          <w:sz w:val="22"/>
          <w:szCs w:val="22"/>
        </w:rPr>
      </w:pPr>
      <w:r>
        <w:rPr>
          <w:rFonts w:ascii="Arial" w:hAnsi="Arial"/>
          <w:sz w:val="22"/>
          <w:szCs w:val="22"/>
        </w:rPr>
        <w:t>Prezados Senhores,</w:t>
      </w:r>
    </w:p>
    <w:p>
      <w:pPr>
        <w:pStyle w:val="Standard"/>
        <w:jc w:val="both"/>
        <w:rPr>
          <w:rFonts w:ascii="Arial" w:hAnsi="Arial"/>
          <w:sz w:val="22"/>
          <w:szCs w:val="22"/>
        </w:rPr>
      </w:pPr>
      <w:r>
        <w:rPr>
          <w:rFonts w:ascii="Arial" w:hAnsi="Arial"/>
          <w:sz w:val="22"/>
          <w:szCs w:val="22"/>
        </w:rPr>
      </w:r>
    </w:p>
    <w:p>
      <w:pPr>
        <w:pStyle w:val="Standard"/>
        <w:suppressAutoHyphens w:val="false"/>
        <w:jc w:val="both"/>
        <w:rPr>
          <w:rFonts w:ascii="Arial" w:hAnsi="Arial"/>
          <w:sz w:val="22"/>
          <w:szCs w:val="22"/>
        </w:rPr>
      </w:pPr>
      <w:r>
        <w:rPr>
          <w:rFonts w:ascii="Arial" w:hAnsi="Arial"/>
          <w:sz w:val="22"/>
          <w:szCs w:val="22"/>
        </w:rPr>
        <w:t xml:space="preserve">Apresentamos a V.Sas. nossa proposta para execução das obras objeto do Edital de </w:t>
      </w:r>
      <w:r>
        <w:rPr>
          <w:rFonts w:ascii="Arial" w:hAnsi="Arial"/>
          <w:b/>
          <w:sz w:val="22"/>
          <w:szCs w:val="22"/>
          <w:shd w:fill="FFFFFF" w:val="clear"/>
        </w:rPr>
        <w:t>Concorrência Eletrônica</w:t>
      </w:r>
      <w:r>
        <w:rPr>
          <w:rFonts w:ascii="Arial" w:hAnsi="Arial"/>
          <w:b/>
          <w:sz w:val="22"/>
          <w:szCs w:val="22"/>
        </w:rPr>
        <w:t xml:space="preserve"> N</w:t>
      </w:r>
      <w:r>
        <w:rPr>
          <w:rFonts w:ascii="Arial" w:hAnsi="Arial"/>
          <w:sz w:val="22"/>
          <w:szCs w:val="22"/>
        </w:rPr>
        <w:t xml:space="preserve">° </w:t>
      </w:r>
      <w:r>
        <w:rPr>
          <w:rFonts w:ascii="Arial" w:hAnsi="Arial"/>
          <w:b/>
          <w:color w:val="000000"/>
          <w:sz w:val="22"/>
          <w:szCs w:val="22"/>
          <w:shd w:fill="FFFFFF" w:val="clear"/>
        </w:rPr>
        <w:t>2026001</w:t>
      </w:r>
      <w:r>
        <w:rPr>
          <w:rFonts w:ascii="Arial" w:hAnsi="Arial"/>
          <w:b/>
          <w:color w:val="000000"/>
          <w:sz w:val="22"/>
          <w:szCs w:val="22"/>
          <w:shd w:fill="FFFFFF" w:val="clear"/>
        </w:rPr>
        <w:t>5</w:t>
      </w:r>
      <w:r>
        <w:rPr>
          <w:rFonts w:ascii="Arial" w:hAnsi="Arial"/>
          <w:b/>
          <w:color w:val="000000"/>
          <w:sz w:val="22"/>
          <w:szCs w:val="22"/>
          <w:shd w:fill="FFFFFF" w:val="clear"/>
        </w:rPr>
        <w:t>/</w:t>
      </w:r>
      <w:r>
        <w:rPr>
          <w:rFonts w:ascii="Arial" w:hAnsi="Arial"/>
          <w:b/>
          <w:sz w:val="22"/>
          <w:szCs w:val="22"/>
          <w:shd w:fill="FFFFFF" w:val="clear"/>
        </w:rPr>
        <w:t>CIDADES/COREV</w:t>
      </w:r>
      <w:r>
        <w:rPr>
          <w:rFonts w:ascii="Arial" w:hAnsi="Arial"/>
          <w:sz w:val="22"/>
          <w:szCs w:val="22"/>
        </w:rPr>
        <w:t>, pelo preço global de R$_________________ (______________________), com prazo de execução de _____ (______________) dias corridos.</w:t>
      </w:r>
    </w:p>
    <w:p>
      <w:pPr>
        <w:pStyle w:val="Standard"/>
        <w:suppressAutoHyphens w:val="false"/>
        <w:jc w:val="both"/>
        <w:rPr>
          <w:rFonts w:ascii="Arial" w:hAnsi="Arial"/>
          <w:sz w:val="22"/>
          <w:szCs w:val="22"/>
        </w:rPr>
      </w:pPr>
      <w:r>
        <w:rPr>
          <w:rFonts w:ascii="Arial" w:hAnsi="Arial"/>
          <w:sz w:val="22"/>
          <w:szCs w:val="22"/>
        </w:rPr>
        <w:t>Caso nos seja adjudicado o objeto da presente licitação, nos comprometemos a assinar o contrato no prazo determinado no documento de convocação, indicando para esse fim o Sr. ___________________________________________________, Carteira de Identidade n° ______________________ expedida em __/__/____, Órgão Expedidor _______________ e CPF n° _______________________, como representante legal desta empresa.</w:t>
      </w:r>
    </w:p>
    <w:p>
      <w:pPr>
        <w:pStyle w:val="Standard"/>
        <w:suppressAutoHyphens w:val="false"/>
        <w:jc w:val="both"/>
        <w:rPr>
          <w:rFonts w:ascii="Arial" w:hAnsi="Arial"/>
          <w:sz w:val="22"/>
          <w:szCs w:val="22"/>
        </w:rPr>
      </w:pPr>
      <w:r>
        <w:rPr>
          <w:rFonts w:ascii="Arial" w:hAnsi="Arial"/>
          <w:sz w:val="22"/>
          <w:szCs w:val="22"/>
        </w:rPr>
        <w:t>Informamos que o prazo de validade da nossa proposta é de _______ (______) dias corridos, a contar da data de abertura da licitação.</w:t>
      </w:r>
    </w:p>
    <w:p>
      <w:pPr>
        <w:pStyle w:val="Standard"/>
        <w:suppressAutoHyphens w:val="false"/>
        <w:jc w:val="both"/>
        <w:rPr>
          <w:rFonts w:ascii="Arial" w:hAnsi="Arial"/>
          <w:sz w:val="22"/>
          <w:szCs w:val="22"/>
        </w:rPr>
      </w:pPr>
      <w:r>
        <w:rPr>
          <w:rFonts w:ascii="Arial" w:hAnsi="Arial"/>
          <w:sz w:val="22"/>
          <w:szCs w:val="22"/>
        </w:rPr>
        <w:t>Finalizando, declaramos sob as sanções administrativas cabíveis, inclusive as criminais e sob as penas da lei, que toda documentação anexada ao sistema é autêntica.</w:t>
      </w:r>
    </w:p>
    <w:p>
      <w:pPr>
        <w:pStyle w:val="Standard"/>
        <w:jc w:val="both"/>
        <w:rPr>
          <w:rFonts w:ascii="Arial" w:hAnsi="Arial"/>
          <w:sz w:val="22"/>
          <w:szCs w:val="22"/>
        </w:rPr>
      </w:pPr>
      <w:r>
        <w:rPr>
          <w:rFonts w:ascii="Arial" w:hAnsi="Arial"/>
          <w:sz w:val="22"/>
          <w:szCs w:val="22"/>
        </w:rPr>
      </w:r>
    </w:p>
    <w:p>
      <w:pPr>
        <w:pStyle w:val="Standard"/>
        <w:jc w:val="both"/>
        <w:rPr>
          <w:rFonts w:ascii="Arial" w:hAnsi="Arial"/>
          <w:sz w:val="22"/>
          <w:szCs w:val="22"/>
        </w:rPr>
      </w:pPr>
      <w:r>
        <w:rPr>
          <w:rFonts w:ascii="Arial" w:hAnsi="Arial"/>
          <w:sz w:val="22"/>
          <w:szCs w:val="22"/>
        </w:rPr>
        <w:t>Atenciosamente,</w:t>
      </w:r>
    </w:p>
    <w:p>
      <w:pPr>
        <w:pStyle w:val="Standard"/>
        <w:jc w:val="both"/>
        <w:rPr>
          <w:rFonts w:ascii="Arial" w:hAnsi="Arial"/>
          <w:sz w:val="22"/>
          <w:szCs w:val="22"/>
        </w:rPr>
      </w:pPr>
      <w:r>
        <w:rPr>
          <w:rFonts w:ascii="Arial" w:hAnsi="Arial"/>
          <w:sz w:val="22"/>
          <w:szCs w:val="22"/>
        </w:rPr>
      </w:r>
    </w:p>
    <w:p>
      <w:pPr>
        <w:pStyle w:val="Standard"/>
        <w:jc w:val="both"/>
        <w:rPr>
          <w:rFonts w:ascii="Arial" w:hAnsi="Arial"/>
          <w:sz w:val="22"/>
          <w:szCs w:val="22"/>
        </w:rPr>
      </w:pPr>
      <w:r>
        <w:rPr>
          <w:rFonts w:ascii="Arial" w:hAnsi="Arial"/>
          <w:sz w:val="22"/>
          <w:szCs w:val="22"/>
        </w:rPr>
        <w:t>................................................</w:t>
        <w:tab/>
        <w:tab/>
        <w:t xml:space="preserve">                       ........................................................</w:t>
      </w:r>
    </w:p>
    <w:p>
      <w:pPr>
        <w:pStyle w:val="Standard"/>
        <w:tabs>
          <w:tab w:val="clear" w:pos="708"/>
          <w:tab w:val="left" w:pos="4458" w:leader="none"/>
        </w:tabs>
        <w:jc w:val="both"/>
        <w:rPr>
          <w:rFonts w:ascii="Arial" w:hAnsi="Arial" w:eastAsia="Arial" w:cs="Arial"/>
          <w:b/>
          <w:bCs/>
          <w:i/>
          <w:i/>
          <w:iCs/>
          <w:sz w:val="18"/>
          <w:szCs w:val="18"/>
          <w:shd w:fill="00FFFF" w:val="clear"/>
          <w:lang w:eastAsia="ar-SA"/>
        </w:rPr>
      </w:pPr>
      <w:r>
        <w:rPr>
          <w:rFonts w:eastAsia="Times New Roman" w:cs="Verdana"/>
          <w:sz w:val="22"/>
          <w:szCs w:val="22"/>
          <w:shd w:fill="FFFFFF" w:val="clear"/>
          <w:lang w:eastAsia="ar-SA"/>
        </w:rPr>
        <w:t>FIRMA PROPONENTE / CNPJ</w:t>
        <w:tab/>
        <w:tab/>
        <w:t xml:space="preserve">            REPRESENTANTE LEGAL / CPF</w:t>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Default"/>
        <w:tabs>
          <w:tab w:val="clear" w:pos="708"/>
          <w:tab w:val="left" w:pos="843" w:leader="none"/>
        </w:tabs>
        <w:jc w:val="center"/>
        <w:rPr>
          <w:rFonts w:ascii="Arial" w:hAnsi="Arial"/>
          <w:color w:val="000000"/>
          <w:sz w:val="22"/>
          <w:szCs w:val="22"/>
        </w:rPr>
      </w:pPr>
      <w:r>
        <w:rPr>
          <w:rFonts w:ascii="Arial" w:hAnsi="Arial"/>
          <w:b/>
          <w:bCs/>
          <w:sz w:val="22"/>
          <w:szCs w:val="22"/>
        </w:rPr>
        <w:t xml:space="preserve">ANEXO III </w:t>
      </w:r>
      <w:r>
        <w:rPr>
          <w:rFonts w:eastAsia="Cumberland AMT" w:cs="Cumberland AMT"/>
          <w:b/>
          <w:bCs/>
          <w:i/>
          <w:iCs/>
        </w:rPr>
        <w:t>–</w:t>
      </w:r>
      <w:r>
        <w:rPr>
          <w:rFonts w:ascii="Arial" w:hAnsi="Arial"/>
          <w:b/>
          <w:bCs/>
          <w:sz w:val="22"/>
          <w:szCs w:val="22"/>
        </w:rPr>
        <w:t xml:space="preserve"> MINUTA DO TERMO DE CONTRATO</w:t>
      </w:r>
    </w:p>
    <w:p>
      <w:pPr>
        <w:pStyle w:val="Standard"/>
        <w:jc w:val="both"/>
        <w:rPr>
          <w:rFonts w:ascii="Arial" w:hAnsi="Arial"/>
          <w:sz w:val="22"/>
          <w:szCs w:val="22"/>
        </w:rPr>
      </w:pPr>
      <w:r>
        <w:rPr>
          <w:rFonts w:ascii="Arial" w:hAnsi="Arial"/>
          <w:sz w:val="22"/>
          <w:szCs w:val="22"/>
        </w:rPr>
      </w:r>
    </w:p>
    <w:p>
      <w:pPr>
        <w:pStyle w:val="Standard"/>
        <w:jc w:val="both"/>
        <w:rPr>
          <w:rFonts w:ascii="Arial" w:hAnsi="Arial"/>
          <w:sz w:val="22"/>
          <w:szCs w:val="22"/>
        </w:rPr>
      </w:pPr>
      <w:r>
        <w:rPr>
          <w:rFonts w:ascii="Arial" w:hAnsi="Arial"/>
          <w:sz w:val="22"/>
          <w:szCs w:val="22"/>
        </w:rPr>
        <w:t>Contrato nº ___ / 20__ –</w:t>
      </w:r>
    </w:p>
    <w:p>
      <w:pPr>
        <w:pStyle w:val="Standard"/>
        <w:jc w:val="both"/>
        <w:rPr>
          <w:rFonts w:ascii="Arial" w:hAnsi="Arial"/>
          <w:color w:val="FF0000"/>
          <w:sz w:val="22"/>
          <w:szCs w:val="22"/>
        </w:rPr>
      </w:pPr>
      <w:r>
        <w:rPr>
          <w:rFonts w:ascii="Arial" w:hAnsi="Arial"/>
          <w:sz w:val="22"/>
          <w:szCs w:val="22"/>
        </w:rPr>
        <w:t xml:space="preserve">Processo nº </w:t>
      </w:r>
      <w:r>
        <w:rPr>
          <w:rFonts w:eastAsia="Calibri" w:cs="Times New Roman" w:ascii="Arial" w:hAnsi="Arial"/>
          <w:b/>
          <w:bCs/>
          <w:color w:val="auto"/>
          <w:kern w:val="0"/>
          <w:sz w:val="22"/>
          <w:szCs w:val="22"/>
          <w:lang w:val="pt-BR" w:eastAsia="zh-CN" w:bidi="ar-SA"/>
        </w:rPr>
        <w:t>43001.006594/2026-11</w:t>
      </w:r>
    </w:p>
    <w:p>
      <w:pPr>
        <w:pStyle w:val="Textbody"/>
        <w:spacing w:lineRule="auto" w:line="240" w:before="0" w:after="0"/>
        <w:rPr>
          <w:color w:val="FF0000"/>
        </w:rPr>
      </w:pPr>
      <w:r>
        <w:rPr>
          <w:color w:val="FF0000"/>
        </w:rPr>
      </w:r>
    </w:p>
    <w:p>
      <w:pPr>
        <w:pStyle w:val="Textbody"/>
        <w:spacing w:lineRule="auto" w:line="240" w:before="0" w:after="0"/>
        <w:rPr>
          <w:rFonts w:cs="Arial"/>
          <w:szCs w:val="22"/>
        </w:rPr>
      </w:pPr>
      <w:r>
        <w:rPr>
          <w:rFonts w:cs="Arial"/>
          <w:szCs w:val="22"/>
        </w:rPr>
        <w:t>CONTRATO QUE ENTRE SI CELEBRAM (O)A_____________E (O) A _____________, ABAIXO QUALIFICADOS, PARA O FIM QUE NELE SE DECLARA.</w:t>
      </w:r>
    </w:p>
    <w:p>
      <w:pPr>
        <w:pStyle w:val="Textbody"/>
        <w:spacing w:lineRule="auto" w:line="240" w:before="0" w:after="0"/>
        <w:rPr>
          <w:rFonts w:cs="Arial"/>
          <w:szCs w:val="22"/>
        </w:rPr>
      </w:pPr>
      <w:r>
        <w:rPr>
          <w:rFonts w:cs="Arial"/>
          <w:szCs w:val="22"/>
        </w:rPr>
      </w:r>
    </w:p>
    <w:p>
      <w:pPr>
        <w:pStyle w:val="Standard"/>
        <w:tabs>
          <w:tab w:val="clear" w:pos="708"/>
          <w:tab w:val="left" w:pos="0" w:leader="none"/>
        </w:tabs>
        <w:jc w:val="both"/>
        <w:rPr/>
      </w:pPr>
      <w:r>
        <w:rPr>
          <w:rFonts w:ascii="Arial" w:hAnsi="Arial"/>
          <w:sz w:val="22"/>
          <w:szCs w:val="22"/>
        </w:rPr>
        <w:t xml:space="preserve">O(A__________, situada(o) na ___________, inscrita(o) no CNPJ sob o nº ________, doravante denominada(o) CONTRATANTE, neste ato representada(o) pelo ___________, (nacionalidade), portador da Carteira de Identidade nº ________, e do CPF nº __________, residente e domiciliada(o) em (Município - UF), na ___________, e a ____________, com sede na __________, CEP: _________, Fone: _________, inscrita no </w:t>
      </w:r>
      <w:r>
        <w:rPr>
          <w:rFonts w:cs="Arial" w:ascii="Arial" w:hAnsi="Arial"/>
          <w:sz w:val="22"/>
          <w:szCs w:val="22"/>
        </w:rPr>
        <w:t>CPF/</w:t>
      </w:r>
      <w:r>
        <w:rPr>
          <w:rFonts w:ascii="Arial" w:hAnsi="Arial"/>
          <w:sz w:val="22"/>
          <w:szCs w:val="22"/>
        </w:rPr>
        <w:t>CNPJ sob o nº ______, doravante denominado CONTRATADO, representado neste ato pelo ________, (nacionalidade), portador da Carteira de Identidade nº ________, e do CPF nº _________, residente e domiciliada(o) em (Município - UF), na ________, têm entre si justa e acordada a celebração do presente contrato, mediante as cláusulas e condições seguintes:</w:t>
      </w:r>
    </w:p>
    <w:p>
      <w:pPr>
        <w:pStyle w:val="Standard"/>
        <w:jc w:val="both"/>
        <w:rPr>
          <w:rFonts w:ascii="Arial" w:hAnsi="Arial"/>
          <w:b/>
          <w:bCs/>
          <w:sz w:val="22"/>
          <w:szCs w:val="22"/>
        </w:rPr>
      </w:pPr>
      <w:r>
        <w:rPr>
          <w:rFonts w:ascii="Arial" w:hAnsi="Arial"/>
          <w:b/>
          <w:bCs/>
          <w:sz w:val="22"/>
          <w:szCs w:val="22"/>
        </w:rPr>
      </w:r>
    </w:p>
    <w:p>
      <w:pPr>
        <w:pStyle w:val="Standard"/>
        <w:jc w:val="both"/>
        <w:rPr/>
      </w:pPr>
      <w:r>
        <w:rPr>
          <w:rFonts w:ascii="Arial" w:hAnsi="Arial"/>
          <w:b/>
          <w:bCs/>
          <w:sz w:val="22"/>
          <w:szCs w:val="22"/>
        </w:rPr>
        <w:t xml:space="preserve">CLÁUSULA PRIMEIRA – DA </w:t>
      </w:r>
      <w:r>
        <w:rPr>
          <w:rFonts w:cs="Verdana" w:ascii="Arial" w:hAnsi="Arial"/>
          <w:b/>
          <w:bCs/>
          <w:sz w:val="22"/>
          <w:szCs w:val="22"/>
        </w:rPr>
        <w:t>FUNDAMENTAÇÃO</w:t>
      </w:r>
    </w:p>
    <w:p>
      <w:pPr>
        <w:pStyle w:val="Standard"/>
        <w:jc w:val="both"/>
        <w:rPr>
          <w:rFonts w:ascii="Arial" w:hAnsi="Arial" w:cs="Arial"/>
          <w:color w:val="000000"/>
          <w:sz w:val="22"/>
          <w:szCs w:val="22"/>
        </w:rPr>
      </w:pPr>
      <w:r>
        <w:rPr>
          <w:rFonts w:cs="Arial" w:ascii="Arial" w:hAnsi="Arial"/>
          <w:sz w:val="22"/>
          <w:szCs w:val="22"/>
        </w:rPr>
        <w:t xml:space="preserve">1.1.O presente contrato tem como fundamento a </w:t>
      </w:r>
      <w:r>
        <w:rPr>
          <w:rFonts w:ascii="Arial" w:hAnsi="Arial"/>
          <w:b/>
          <w:sz w:val="22"/>
          <w:szCs w:val="22"/>
          <w:shd w:fill="FFFFFF" w:val="clear"/>
        </w:rPr>
        <w:t>Concorrência Eletrônica</w:t>
      </w:r>
      <w:r>
        <w:rPr>
          <w:rFonts w:ascii="Arial" w:hAnsi="Arial"/>
          <w:b/>
          <w:sz w:val="22"/>
          <w:szCs w:val="22"/>
        </w:rPr>
        <w:t xml:space="preserve"> N</w:t>
      </w:r>
      <w:r>
        <w:rPr>
          <w:rFonts w:ascii="Arial" w:hAnsi="Arial"/>
          <w:sz w:val="22"/>
          <w:szCs w:val="22"/>
        </w:rPr>
        <w:t xml:space="preserve">° </w:t>
      </w:r>
      <w:r>
        <w:rPr>
          <w:rFonts w:ascii="Arial" w:hAnsi="Arial"/>
          <w:b/>
          <w:color w:val="000000"/>
          <w:sz w:val="22"/>
          <w:szCs w:val="22"/>
          <w:shd w:fill="FFFFFF" w:val="clear"/>
        </w:rPr>
        <w:t>2026001</w:t>
      </w:r>
      <w:r>
        <w:rPr>
          <w:rFonts w:ascii="Arial" w:hAnsi="Arial"/>
          <w:b/>
          <w:color w:val="000000"/>
          <w:sz w:val="22"/>
          <w:szCs w:val="22"/>
          <w:shd w:fill="FFFFFF" w:val="clear"/>
        </w:rPr>
        <w:t>5</w:t>
      </w:r>
      <w:r>
        <w:rPr>
          <w:rFonts w:ascii="Arial" w:hAnsi="Arial"/>
          <w:b/>
          <w:sz w:val="22"/>
          <w:szCs w:val="22"/>
          <w:shd w:fill="FFFFFF" w:val="clear"/>
        </w:rPr>
        <w:t>/CIDADES/COREV</w:t>
      </w:r>
      <w:r>
        <w:rPr>
          <w:rFonts w:cs="Arial" w:ascii="Arial" w:hAnsi="Arial"/>
          <w:sz w:val="22"/>
          <w:szCs w:val="22"/>
        </w:rPr>
        <w:t>, e seus anexos, os preceitos do direito público, Lei Federal nº 14.133, de 1º de abril de 2021, e demais legislação aplicável ao cumprimento de seu objeto.</w:t>
      </w:r>
    </w:p>
    <w:p>
      <w:pPr>
        <w:pStyle w:val="Textbody"/>
        <w:tabs>
          <w:tab w:val="clear" w:pos="708"/>
          <w:tab w:val="left" w:pos="993" w:leader="none"/>
          <w:tab w:val="left" w:pos="5742" w:leader="none"/>
        </w:tabs>
        <w:spacing w:lineRule="auto" w:line="240" w:before="0" w:after="0"/>
        <w:rPr>
          <w:rFonts w:cs="Arial"/>
          <w:b/>
          <w:bCs/>
          <w:szCs w:val="22"/>
        </w:rPr>
      </w:pPr>
      <w:r>
        <w:rPr>
          <w:rFonts w:cs="Arial"/>
          <w:b/>
          <w:bCs/>
          <w:szCs w:val="22"/>
        </w:rPr>
      </w:r>
    </w:p>
    <w:p>
      <w:pPr>
        <w:pStyle w:val="Textbody"/>
        <w:tabs>
          <w:tab w:val="clear" w:pos="708"/>
          <w:tab w:val="left" w:pos="993" w:leader="none"/>
          <w:tab w:val="left" w:pos="5742" w:leader="none"/>
        </w:tabs>
        <w:spacing w:lineRule="auto" w:line="240" w:before="0" w:after="0"/>
        <w:rPr>
          <w:rFonts w:cs="Arial"/>
          <w:b/>
          <w:bCs/>
          <w:szCs w:val="22"/>
        </w:rPr>
      </w:pPr>
      <w:r>
        <w:rPr>
          <w:rFonts w:cs="Arial"/>
          <w:b/>
          <w:bCs/>
          <w:szCs w:val="22"/>
        </w:rPr>
        <w:t>CLÁUSULA SEGUNDA – DA VINCULAÇÃO AO EDITAL E A PROPOSTA</w:t>
      </w:r>
    </w:p>
    <w:p>
      <w:pPr>
        <w:pStyle w:val="Standard"/>
        <w:tabs>
          <w:tab w:val="clear" w:pos="708"/>
          <w:tab w:val="left" w:pos="993" w:leader="none"/>
          <w:tab w:val="left" w:pos="5742" w:leader="none"/>
        </w:tabs>
        <w:jc w:val="both"/>
        <w:rPr/>
      </w:pPr>
      <w:r>
        <w:rPr>
          <w:rFonts w:cs="Arial" w:ascii="Arial" w:hAnsi="Arial"/>
          <w:sz w:val="22"/>
          <w:szCs w:val="22"/>
        </w:rPr>
        <w:t xml:space="preserve">2.1. O cumprimento deste contrato está vinculado aos termos da </w:t>
      </w:r>
      <w:r>
        <w:rPr>
          <w:rFonts w:ascii="Arial" w:hAnsi="Arial"/>
          <w:b/>
          <w:sz w:val="22"/>
          <w:szCs w:val="22"/>
          <w:shd w:fill="FFFFFF" w:val="clear"/>
        </w:rPr>
        <w:t>Concorrência Eletrônica</w:t>
      </w:r>
      <w:r>
        <w:rPr>
          <w:rFonts w:ascii="Arial" w:hAnsi="Arial"/>
          <w:b/>
          <w:sz w:val="22"/>
          <w:szCs w:val="22"/>
        </w:rPr>
        <w:t xml:space="preserve"> N</w:t>
      </w:r>
      <w:r>
        <w:rPr>
          <w:rFonts w:ascii="Arial" w:hAnsi="Arial"/>
          <w:sz w:val="22"/>
          <w:szCs w:val="22"/>
        </w:rPr>
        <w:t xml:space="preserve">° </w:t>
      </w:r>
      <w:r>
        <w:rPr>
          <w:rFonts w:ascii="Arial" w:hAnsi="Arial"/>
          <w:b/>
          <w:color w:val="000000"/>
          <w:sz w:val="22"/>
          <w:szCs w:val="22"/>
          <w:shd w:fill="FFFFFF" w:val="clear"/>
        </w:rPr>
        <w:t>2026001</w:t>
      </w:r>
      <w:r>
        <w:rPr>
          <w:rFonts w:ascii="Arial" w:hAnsi="Arial"/>
          <w:b/>
          <w:color w:val="000000"/>
          <w:sz w:val="22"/>
          <w:szCs w:val="22"/>
          <w:shd w:fill="FFFFFF" w:val="clear"/>
        </w:rPr>
        <w:t>5</w:t>
      </w:r>
      <w:r>
        <w:rPr>
          <w:rFonts w:ascii="Arial" w:hAnsi="Arial"/>
          <w:b/>
          <w:sz w:val="22"/>
          <w:szCs w:val="22"/>
          <w:shd w:fill="FFFFFF" w:val="clear"/>
        </w:rPr>
        <w:t>/CIDADES/COREV</w:t>
      </w:r>
      <w:r>
        <w:rPr>
          <w:rFonts w:cs="Arial" w:ascii="Arial" w:hAnsi="Arial"/>
          <w:sz w:val="22"/>
          <w:szCs w:val="22"/>
        </w:rPr>
        <w:t xml:space="preserve">, o Projeto Executivo, as </w:t>
      </w:r>
      <w:r>
        <w:rPr>
          <w:rFonts w:eastAsia="Times New Roman" w:cs="Arial" w:ascii="Arial" w:hAnsi="Arial"/>
          <w:color w:val="00000A"/>
          <w:sz w:val="22"/>
          <w:szCs w:val="22"/>
        </w:rPr>
        <w:t>Especificações Técnicas</w:t>
      </w:r>
      <w:r>
        <w:rPr>
          <w:rFonts w:eastAsia="Times New Roman" w:cs="Arial" w:ascii="Arial" w:hAnsi="Arial"/>
          <w:sz w:val="22"/>
          <w:szCs w:val="22"/>
        </w:rPr>
        <w:t>,</w:t>
      </w:r>
      <w:r>
        <w:rPr>
          <w:rFonts w:cs="Arial" w:ascii="Arial" w:hAnsi="Arial"/>
          <w:i/>
          <w:iCs/>
          <w:sz w:val="22"/>
          <w:szCs w:val="22"/>
        </w:rPr>
        <w:t xml:space="preserve"> </w:t>
      </w:r>
      <w:r>
        <w:rPr>
          <w:rFonts w:cs="Arial" w:ascii="Arial" w:hAnsi="Arial"/>
          <w:sz w:val="22"/>
          <w:szCs w:val="22"/>
        </w:rPr>
        <w:t>a proposta do contratado e eventuais anexos dos respectivos documentos os quais constituem parte deste instrumento, independente de sua transcrição.</w:t>
      </w:r>
    </w:p>
    <w:p>
      <w:pPr>
        <w:pStyle w:val="Textbody"/>
        <w:tabs>
          <w:tab w:val="clear" w:pos="708"/>
          <w:tab w:val="left" w:pos="993" w:leader="none"/>
          <w:tab w:val="left" w:pos="5742" w:leader="none"/>
        </w:tabs>
        <w:spacing w:lineRule="auto" w:line="240" w:before="0" w:after="0"/>
        <w:rPr>
          <w:color w:val="000000"/>
        </w:rPr>
      </w:pPr>
      <w:r>
        <w:rPr>
          <w:color w:val="000000"/>
        </w:rPr>
      </w:r>
    </w:p>
    <w:p>
      <w:pPr>
        <w:pStyle w:val="Textbody"/>
        <w:tabs>
          <w:tab w:val="clear" w:pos="708"/>
          <w:tab w:val="left" w:pos="993" w:leader="none"/>
          <w:tab w:val="left" w:pos="5742" w:leader="none"/>
        </w:tabs>
        <w:spacing w:lineRule="auto" w:line="240" w:before="0" w:after="0"/>
        <w:rPr>
          <w:color w:val="000000"/>
        </w:rPr>
      </w:pPr>
      <w:r>
        <w:rPr>
          <w:rFonts w:cs="Verdana"/>
          <w:b/>
          <w:bCs/>
          <w:color w:val="000000"/>
          <w:szCs w:val="22"/>
        </w:rPr>
        <w:t>CLÁUSULA TERCEIRA – DO OBJETO</w:t>
      </w:r>
    </w:p>
    <w:p>
      <w:pPr>
        <w:pStyle w:val="Standard"/>
        <w:tabs>
          <w:tab w:val="clear" w:pos="708"/>
          <w:tab w:val="left" w:pos="993" w:leader="none"/>
          <w:tab w:val="left" w:pos="5742" w:leader="none"/>
        </w:tabs>
        <w:spacing w:lineRule="auto" w:line="240"/>
        <w:jc w:val="both"/>
        <w:rPr>
          <w:rFonts w:ascii="Arial" w:hAnsi="Arial" w:eastAsia="Times-Roman, 'Times New Roman'" w:cs="Verdana"/>
          <w:color w:val="FF0000"/>
          <w:sz w:val="22"/>
          <w:szCs w:val="22"/>
        </w:rPr>
      </w:pPr>
      <w:r>
        <w:rPr>
          <w:rFonts w:eastAsia="Times-Roman, 'Times New Roman'" w:cs="Verdana" w:ascii="Arial" w:hAnsi="Arial"/>
          <w:color w:val="000000"/>
          <w:sz w:val="22"/>
          <w:szCs w:val="22"/>
        </w:rPr>
        <w:t xml:space="preserve">3.1. </w:t>
      </w:r>
      <w:r>
        <w:rPr>
          <w:rFonts w:eastAsia="Times-Roman, 'Times New Roman'" w:cs="Verdana" w:ascii="Arial" w:hAnsi="Arial"/>
          <w:b w:val="false"/>
          <w:bCs w:val="false"/>
          <w:color w:val="000000"/>
          <w:sz w:val="22"/>
          <w:szCs w:val="22"/>
        </w:rPr>
        <w:t>O objeto do presente instrumento é a prestação dos serviços de e</w:t>
      </w:r>
      <w:r>
        <w:rPr>
          <w:rStyle w:val="Strong"/>
          <w:rFonts w:eastAsia="Calibri" w:cs="Arial" w:ascii="Arial" w:hAnsi="Arial"/>
          <w:b w:val="false"/>
          <w:bCs w:val="false"/>
          <w:color w:val="000000"/>
          <w:kern w:val="2"/>
          <w:sz w:val="22"/>
          <w:szCs w:val="22"/>
        </w:rPr>
        <w:t xml:space="preserve">xecução da </w:t>
      </w:r>
      <w:r>
        <w:rPr>
          <w:rStyle w:val="Strong"/>
          <w:rFonts w:eastAsia="Calibri" w:cs="Arial" w:ascii="Arial" w:hAnsi="Arial"/>
          <w:b/>
          <w:bCs/>
          <w:color w:val="000000"/>
          <w:kern w:val="2"/>
          <w:sz w:val="22"/>
          <w:szCs w:val="22"/>
        </w:rPr>
        <w:t>Obra de Urbanização e Qualificação do Afluente 01 do Rio Maranguapinho,</w:t>
      </w:r>
      <w:r>
        <w:rPr>
          <w:rStyle w:val="Strong"/>
          <w:rFonts w:eastAsia="Calibri" w:cs="Arial" w:ascii="Arial" w:hAnsi="Arial"/>
          <w:b w:val="false"/>
          <w:bCs w:val="false"/>
          <w:color w:val="000000"/>
          <w:kern w:val="2"/>
          <w:sz w:val="22"/>
          <w:szCs w:val="22"/>
        </w:rPr>
        <w:t xml:space="preserve"> no bairro Quintino Cunha, no município de Fortaleza, conforme especificações e quantitativos definidos no Projeto Executivo. O Afluente 01 desenvolve-se a partir da região da Avenida Emília Gonçalves, seguindo em direção ao Rio Maranguapinho e atravessando/interceptando o sistema viário existente, incluindo trechos associados à Avenida Mozart Lucena, Rua Sulamita Portela, Rua Santa Maria Gorete e Rua Ilha Dourada, até o ponto de conexão e deságue no Rio Maranguapinho. A intervenção contempla a execução das obras previstas no Projeto Executivo, abrangendo, conforme as soluções projetadas, a urbanização e qualificação do canal, intervenções de macrodrenagem e drenagem urbana, canalização dos trechos previstos, sistema viário, pavimentação, acessibilidade e demais elementos de urbanização associados à intervenção.</w:t>
      </w:r>
    </w:p>
    <w:p>
      <w:pPr>
        <w:pStyle w:val="Corpodotexto"/>
        <w:spacing w:lineRule="auto" w:line="240"/>
        <w:jc w:val="both"/>
        <w:rPr>
          <w:rFonts w:ascii="Arial" w:hAnsi="Arial"/>
          <w:b w:val="false"/>
          <w:bCs w:val="false"/>
          <w:color w:val="000000"/>
          <w:sz w:val="22"/>
          <w:szCs w:val="22"/>
        </w:rPr>
      </w:pPr>
      <w:r>
        <w:rPr>
          <w:rFonts w:ascii="Arial" w:hAnsi="Arial"/>
          <w:b w:val="false"/>
          <w:bCs w:val="false"/>
          <w:color w:val="000000"/>
          <w:sz w:val="22"/>
          <w:szCs w:val="22"/>
        </w:rPr>
      </w:r>
    </w:p>
    <w:p>
      <w:pPr>
        <w:pStyle w:val="Textbody"/>
        <w:tabs>
          <w:tab w:val="clear" w:pos="708"/>
          <w:tab w:val="left" w:pos="993" w:leader="none"/>
          <w:tab w:val="left" w:pos="5742" w:leader="none"/>
        </w:tabs>
        <w:spacing w:lineRule="auto" w:line="240" w:before="0" w:after="0"/>
        <w:rPr>
          <w:b/>
          <w:bCs/>
          <w:szCs w:val="22"/>
        </w:rPr>
      </w:pPr>
      <w:r>
        <w:rPr>
          <w:b/>
          <w:bCs/>
          <w:szCs w:val="22"/>
        </w:rPr>
        <w:t>CLÁUSULA QUARTA – DA VIGÊNCIA E PRORROGAÇÃO</w:t>
      </w:r>
    </w:p>
    <w:p>
      <w:pPr>
        <w:pStyle w:val="Standard"/>
        <w:tabs>
          <w:tab w:val="clear" w:pos="708"/>
          <w:tab w:val="left" w:pos="993" w:leader="none"/>
          <w:tab w:val="left" w:pos="5742" w:leader="none"/>
        </w:tabs>
        <w:jc w:val="both"/>
        <w:rPr>
          <w:rFonts w:ascii="Arial" w:hAnsi="Arial" w:eastAsia="Arial" w:cs="Arial"/>
          <w:sz w:val="22"/>
          <w:szCs w:val="22"/>
        </w:rPr>
      </w:pPr>
      <w:r>
        <w:rPr>
          <w:rFonts w:cs="Verdana" w:ascii="Arial" w:hAnsi="Arial"/>
          <w:sz w:val="22"/>
          <w:szCs w:val="22"/>
        </w:rPr>
        <w:t>4.1.</w:t>
      </w:r>
      <w:r>
        <w:rPr>
          <w:rFonts w:eastAsia="TimesNewRomanPS-BoldMT" w:cs="Verdana" w:ascii="Arial" w:hAnsi="Arial"/>
          <w:sz w:val="22"/>
          <w:szCs w:val="22"/>
        </w:rPr>
        <w:t xml:space="preserve"> </w:t>
      </w:r>
      <w:r>
        <w:rPr>
          <w:rFonts w:eastAsia="Arial" w:cs="Arial" w:ascii="Arial" w:hAnsi="Arial"/>
          <w:sz w:val="22"/>
          <w:szCs w:val="22"/>
        </w:rPr>
        <w:t>O pr</w:t>
      </w:r>
      <w:r>
        <w:rPr>
          <w:rFonts w:eastAsia="Arial" w:cs="Verdana" w:ascii="Arial" w:hAnsi="Arial"/>
          <w:sz w:val="22"/>
          <w:szCs w:val="22"/>
        </w:rPr>
        <w:t xml:space="preserve">azo de vigência </w:t>
      </w:r>
      <w:r>
        <w:rPr>
          <w:rFonts w:eastAsia="Arial" w:cs="Arial" w:ascii="Arial" w:hAnsi="Arial"/>
          <w:sz w:val="22"/>
          <w:szCs w:val="22"/>
        </w:rPr>
        <w:t xml:space="preserve">deste </w:t>
      </w:r>
      <w:r>
        <w:rPr>
          <w:rFonts w:eastAsia="Arial" w:cs="Arial" w:ascii="Arial" w:hAnsi="Arial"/>
          <w:color w:val="000000"/>
          <w:sz w:val="22"/>
          <w:szCs w:val="22"/>
        </w:rPr>
        <w:t>contrato é de</w:t>
      </w:r>
      <w:r>
        <w:rPr>
          <w:rFonts w:eastAsia="Arial" w:cs="Verdana" w:ascii="Arial" w:hAnsi="Arial"/>
          <w:color w:val="000000"/>
          <w:sz w:val="22"/>
          <w:szCs w:val="22"/>
        </w:rPr>
        <w:t xml:space="preserve"> 24 (vinte e quatro) meses</w:t>
      </w:r>
      <w:r>
        <w:rPr>
          <w:rFonts w:eastAsia="Arial" w:cs="Arial" w:ascii="Arial" w:hAnsi="Arial"/>
          <w:i/>
          <w:iCs/>
          <w:sz w:val="22"/>
          <w:szCs w:val="22"/>
        </w:rPr>
        <w:t xml:space="preserve">, </w:t>
      </w:r>
      <w:r>
        <w:rPr>
          <w:rFonts w:eastAsia="Arial" w:cs="Arial" w:ascii="Arial" w:hAnsi="Arial"/>
          <w:sz w:val="22"/>
          <w:szCs w:val="22"/>
        </w:rPr>
        <w:t xml:space="preserve">contados a partir da assinatura do contrato, na forma do art. 105 c/c o art. 94 ambos da Lei Federal n° 14.133/2021, </w:t>
      </w:r>
      <w:r>
        <w:rPr>
          <w:rFonts w:eastAsia="TimesNewRomanPS-BoldMT" w:cs="Verdana" w:ascii="Arial" w:hAnsi="Arial"/>
          <w:sz w:val="22"/>
          <w:szCs w:val="22"/>
        </w:rPr>
        <w:t xml:space="preserve">admitindo-se a sua prorrogação </w:t>
      </w:r>
      <w:r>
        <w:rPr>
          <w:rFonts w:eastAsia="Arial" w:cs="Arial" w:ascii="Arial" w:hAnsi="Arial"/>
          <w:sz w:val="22"/>
          <w:szCs w:val="22"/>
        </w:rPr>
        <w:t>desde que a autoridade competente ateste que as condições e os preços permanecem vantajosos para a Administração, permitida a negociação com o CONTRATADO.</w:t>
      </w:r>
    </w:p>
    <w:p>
      <w:pPr>
        <w:pStyle w:val="Standard"/>
        <w:tabs>
          <w:tab w:val="clear" w:pos="708"/>
          <w:tab w:val="left" w:pos="993" w:leader="none"/>
          <w:tab w:val="left" w:pos="5742" w:leader="none"/>
        </w:tabs>
        <w:jc w:val="both"/>
        <w:rPr>
          <w:rFonts w:ascii="Arial" w:hAnsi="Arial" w:cs="Arial"/>
          <w:sz w:val="22"/>
          <w:szCs w:val="22"/>
        </w:rPr>
      </w:pPr>
      <w:r>
        <w:rPr>
          <w:rFonts w:cs="Arial" w:ascii="Arial" w:hAnsi="Arial"/>
          <w:sz w:val="22"/>
          <w:szCs w:val="22"/>
        </w:rPr>
      </w:r>
    </w:p>
    <w:p>
      <w:pPr>
        <w:pStyle w:val="Standard"/>
        <w:tabs>
          <w:tab w:val="clear" w:pos="708"/>
          <w:tab w:val="left" w:pos="993" w:leader="none"/>
          <w:tab w:val="left" w:pos="5742" w:leader="none"/>
        </w:tabs>
        <w:jc w:val="both"/>
        <w:rPr>
          <w:rFonts w:ascii="Arial" w:hAnsi="Arial" w:cs="Arial"/>
          <w:sz w:val="22"/>
          <w:szCs w:val="22"/>
        </w:rPr>
      </w:pPr>
      <w:r>
        <w:rPr>
          <w:rFonts w:cs="Arial" w:ascii="Arial" w:hAnsi="Arial"/>
          <w:b/>
          <w:bCs/>
          <w:sz w:val="22"/>
          <w:szCs w:val="22"/>
        </w:rPr>
        <w:t>CLÁUSULA QUINTA</w:t>
      </w:r>
      <w:r>
        <w:rPr>
          <w:rFonts w:cs="Arial" w:ascii="Arial" w:hAnsi="Arial"/>
          <w:sz w:val="22"/>
          <w:szCs w:val="22"/>
        </w:rPr>
        <w:t xml:space="preserve"> – </w:t>
      </w:r>
      <w:r>
        <w:rPr>
          <w:rFonts w:eastAsia="Arial" w:cs="Arial" w:ascii="Arial" w:hAnsi="Arial"/>
          <w:b/>
          <w:bCs/>
          <w:sz w:val="22"/>
          <w:szCs w:val="22"/>
        </w:rPr>
        <w:t>DA EXECUÇÃO CONTRATUAL</w:t>
      </w:r>
    </w:p>
    <w:p>
      <w:pPr>
        <w:pStyle w:val="Standard"/>
        <w:tabs>
          <w:tab w:val="clear" w:pos="708"/>
          <w:tab w:val="left" w:pos="993" w:leader="none"/>
          <w:tab w:val="left" w:pos="5742" w:leader="none"/>
        </w:tabs>
        <w:jc w:val="both"/>
        <w:rPr>
          <w:rFonts w:ascii="Arial" w:hAnsi="Arial" w:cs="Arial"/>
          <w:i/>
          <w:i/>
          <w:iCs/>
          <w:color w:val="00381F"/>
          <w:sz w:val="22"/>
          <w:szCs w:val="22"/>
          <w:shd w:fill="FFFF00" w:val="clear"/>
        </w:rPr>
      </w:pPr>
      <w:r>
        <w:rPr>
          <w:rFonts w:eastAsia="Times-Roman, 'Times New Roman'" w:cs="Arial" w:ascii="Arial" w:hAnsi="Arial"/>
          <w:sz w:val="22"/>
          <w:szCs w:val="22"/>
          <w:lang w:eastAsia="ar-SA"/>
        </w:rPr>
        <w:t xml:space="preserve">5.1. </w:t>
      </w:r>
      <w:r>
        <w:rPr>
          <w:rFonts w:eastAsia="Arial" w:cs="Arial" w:ascii="Arial" w:hAnsi="Arial"/>
          <w:sz w:val="22"/>
          <w:szCs w:val="22"/>
          <w:lang w:eastAsia="ar-SA"/>
        </w:rPr>
        <w:t>O</w:t>
      </w:r>
      <w:r>
        <w:rPr>
          <w:rFonts w:eastAsia="Times-Roman, 'Times New Roman'" w:cs="Arial" w:ascii="Arial" w:hAnsi="Arial"/>
          <w:sz w:val="22"/>
          <w:szCs w:val="22"/>
          <w:lang w:eastAsia="ar-SA"/>
        </w:rPr>
        <w:t xml:space="preserve"> regime de execução indireta se dará por </w:t>
      </w:r>
      <w:r>
        <w:rPr>
          <w:rFonts w:eastAsia="Times New Roman" w:cs="Arial" w:ascii="Arial" w:hAnsi="Arial"/>
          <w:sz w:val="22"/>
          <w:szCs w:val="22"/>
          <w:lang w:eastAsia="ar-SA"/>
        </w:rPr>
        <w:t>empreitada por preço unitário.</w:t>
      </w:r>
    </w:p>
    <w:p>
      <w:pPr>
        <w:pStyle w:val="Standard"/>
        <w:jc w:val="both"/>
        <w:rPr>
          <w:rFonts w:ascii="Arial" w:hAnsi="Arial" w:cs="Arial"/>
          <w:sz w:val="22"/>
          <w:szCs w:val="22"/>
        </w:rPr>
      </w:pPr>
      <w:r>
        <w:rPr>
          <w:rFonts w:eastAsia="Times New Roman" w:cs="Arial" w:ascii="Arial" w:hAnsi="Arial"/>
          <w:sz w:val="22"/>
          <w:szCs w:val="22"/>
          <w:lang w:eastAsia="ar-SA"/>
        </w:rPr>
        <w:t>5.2. O prazo de execução do objeto</w:t>
      </w:r>
      <w:r>
        <w:rPr>
          <w:rFonts w:eastAsia="Times New Roman" w:cs="Arial" w:ascii="Arial" w:hAnsi="Arial"/>
          <w:color w:val="000000"/>
          <w:sz w:val="22"/>
          <w:szCs w:val="22"/>
          <w:lang w:eastAsia="ar-SA"/>
        </w:rPr>
        <w:t xml:space="preserve"> contratual é de 18 (dezoito) meses</w:t>
      </w:r>
      <w:r>
        <w:rPr>
          <w:rFonts w:eastAsia="Times New Roman" w:cs="Arial" w:ascii="Arial" w:hAnsi="Arial"/>
          <w:sz w:val="22"/>
          <w:szCs w:val="22"/>
          <w:lang w:eastAsia="ar-SA"/>
        </w:rPr>
        <w:t>, contado a partir do recebimento da primeira ordem de serviço ou instrumento equivalente.</w:t>
      </w:r>
    </w:p>
    <w:p>
      <w:pPr>
        <w:pStyle w:val="Standard"/>
        <w:jc w:val="both"/>
        <w:rPr>
          <w:rFonts w:ascii="Arial" w:hAnsi="Arial" w:eastAsia="Arial" w:cs="Arial"/>
          <w:i/>
          <w:i/>
          <w:iCs/>
          <w:color w:val="000000"/>
          <w:sz w:val="22"/>
          <w:szCs w:val="22"/>
          <w:shd w:fill="FFFF00" w:val="clear"/>
          <w:lang w:val="pt-PT"/>
        </w:rPr>
      </w:pPr>
      <w:r>
        <w:rPr>
          <w:rFonts w:eastAsia="Times New Roman" w:cs="Arial" w:ascii="Arial" w:hAnsi="Arial"/>
          <w:sz w:val="22"/>
          <w:szCs w:val="22"/>
          <w:lang w:eastAsia="ar-SA"/>
        </w:rPr>
        <w:t>5.2.1. O prazo de execução poderá ser prorrogado, nos termos da Lei n° 14.133/2021.</w:t>
      </w:r>
    </w:p>
    <w:p>
      <w:pPr>
        <w:pStyle w:val="Corpodotexto"/>
        <w:widowControl/>
        <w:tabs>
          <w:tab w:val="clear" w:pos="708"/>
          <w:tab w:val="left" w:pos="-2184" w:leader="none"/>
          <w:tab w:val="left" w:pos="1077" w:leader="none"/>
        </w:tabs>
        <w:spacing w:lineRule="auto" w:line="240" w:before="57" w:after="57"/>
        <w:ind w:left="0" w:right="0" w:hanging="0"/>
        <w:jc w:val="both"/>
        <w:rPr>
          <w:rFonts w:ascii="Arial" w:hAnsi="Arial" w:cs="Arial"/>
          <w:b w:val="false"/>
          <w:bCs w:val="false"/>
          <w:i/>
          <w:i/>
          <w:iCs/>
          <w:color w:val="00381F"/>
          <w:sz w:val="16"/>
          <w:szCs w:val="16"/>
          <w:shd w:fill="FFFF00" w:val="clear"/>
        </w:rPr>
      </w:pPr>
      <w:r>
        <w:rPr>
          <w:rStyle w:val="LinkdaInternet"/>
          <w:rFonts w:eastAsia="Arial" w:cs="Arial" w:ascii="Arial" w:hAnsi="Arial"/>
          <w:b w:val="false"/>
          <w:bCs w:val="false"/>
          <w:i w:val="false"/>
          <w:iCs w:val="false"/>
          <w:color w:val="000000"/>
          <w:sz w:val="22"/>
          <w:szCs w:val="22"/>
          <w:u w:val="none"/>
          <w:shd w:fill="auto" w:val="clear"/>
          <w:lang w:val="pt-BR"/>
        </w:rPr>
        <w:t>5.3. Os riscos a serem suportados pelo CONTRATANTE e CONTRATADO se encontram descritos nos subitens 11.2 ao 11.7 do edital, da Matriz de Risco.</w:t>
      </w:r>
    </w:p>
    <w:p>
      <w:pPr>
        <w:pStyle w:val="Textbody"/>
        <w:tabs>
          <w:tab w:val="clear" w:pos="708"/>
          <w:tab w:val="left" w:pos="-2184" w:leader="none"/>
          <w:tab w:val="left" w:pos="1077" w:leader="none"/>
        </w:tabs>
        <w:spacing w:lineRule="auto" w:line="240" w:before="0" w:after="0"/>
        <w:rPr>
          <w:rFonts w:eastAsia="Arial" w:cs="Arial"/>
          <w:b/>
          <w:bCs/>
          <w:szCs w:val="22"/>
        </w:rPr>
      </w:pPr>
      <w:r>
        <w:rPr>
          <w:rFonts w:eastAsia="Arial" w:cs="Arial"/>
          <w:b/>
          <w:bCs/>
          <w:szCs w:val="22"/>
        </w:rPr>
      </w:r>
    </w:p>
    <w:p>
      <w:pPr>
        <w:pStyle w:val="Textbody"/>
        <w:tabs>
          <w:tab w:val="clear" w:pos="708"/>
          <w:tab w:val="left" w:pos="-2184" w:leader="none"/>
          <w:tab w:val="left" w:pos="1077" w:leader="none"/>
        </w:tabs>
        <w:spacing w:lineRule="auto" w:line="240" w:before="0" w:after="0"/>
        <w:rPr>
          <w:rFonts w:eastAsia="Arial" w:cs="Arial"/>
          <w:b/>
          <w:bCs/>
          <w:szCs w:val="22"/>
        </w:rPr>
      </w:pPr>
      <w:r>
        <w:rPr>
          <w:rFonts w:eastAsia="Arial" w:cs="Arial"/>
          <w:b/>
          <w:bCs/>
          <w:szCs w:val="22"/>
        </w:rPr>
        <w:t>CLÁUSULA SEXTA – DA SUBCONTRATAÇÃO</w:t>
      </w:r>
    </w:p>
    <w:p>
      <w:pPr>
        <w:pStyle w:val="Textbody"/>
        <w:tabs>
          <w:tab w:val="clear" w:pos="708"/>
          <w:tab w:val="left" w:pos="793" w:leader="none"/>
        </w:tabs>
        <w:spacing w:lineRule="auto" w:line="240" w:before="0" w:after="0"/>
        <w:rPr>
          <w:rFonts w:cs="Arial"/>
          <w:i/>
          <w:i/>
          <w:iCs/>
          <w:color w:val="00381F"/>
          <w:szCs w:val="22"/>
          <w:shd w:fill="FFFF00" w:val="clear"/>
        </w:rPr>
      </w:pPr>
      <w:r>
        <w:rPr>
          <w:rFonts w:cs="Arial"/>
          <w:szCs w:val="22"/>
          <w:lang w:eastAsia="ar-SA"/>
        </w:rPr>
        <w:t xml:space="preserve">6.1. </w:t>
      </w:r>
      <w:r>
        <w:rPr>
          <w:rFonts w:eastAsia="Arial" w:cs="Arial"/>
          <w:szCs w:val="22"/>
          <w:lang w:eastAsia="ar-SA"/>
        </w:rPr>
        <w:t>Será admitida a subcontratação parcial do objeto contratual nos termos estabelecidos no subitem 20.8 do edital.</w:t>
      </w:r>
    </w:p>
    <w:p>
      <w:pPr>
        <w:pStyle w:val="Textbody"/>
        <w:tabs>
          <w:tab w:val="clear" w:pos="708"/>
          <w:tab w:val="left" w:pos="-2184" w:leader="none"/>
          <w:tab w:val="left" w:pos="1077" w:leader="none"/>
        </w:tabs>
        <w:spacing w:lineRule="auto" w:line="240" w:before="0" w:after="0"/>
        <w:rPr>
          <w:rFonts w:cs="Arial"/>
          <w:i/>
          <w:i/>
          <w:iCs/>
          <w:color w:val="00381F"/>
          <w:szCs w:val="22"/>
          <w:shd w:fill="FFFF00" w:val="clear"/>
        </w:rPr>
      </w:pPr>
      <w:r>
        <w:rPr>
          <w:rFonts w:cs="Arial"/>
          <w:i/>
          <w:iCs/>
          <w:color w:val="00381F"/>
          <w:szCs w:val="22"/>
          <w:shd w:fill="FFFF00" w:val="clear"/>
        </w:rPr>
      </w:r>
    </w:p>
    <w:p>
      <w:pPr>
        <w:pStyle w:val="Textbody"/>
        <w:tabs>
          <w:tab w:val="clear" w:pos="708"/>
          <w:tab w:val="left" w:pos="-2184" w:leader="none"/>
          <w:tab w:val="left" w:pos="1077" w:leader="none"/>
        </w:tabs>
        <w:spacing w:lineRule="auto" w:line="240" w:before="0" w:after="0"/>
        <w:rPr>
          <w:rFonts w:cs="Arial"/>
          <w:i/>
          <w:i/>
          <w:iCs/>
          <w:color w:val="00381F"/>
          <w:szCs w:val="22"/>
          <w:shd w:fill="FFFF00" w:val="clear"/>
        </w:rPr>
      </w:pPr>
      <w:r>
        <w:rPr>
          <w:rFonts w:eastAsia="Arial" w:cs="Arial"/>
          <w:b/>
          <w:bCs/>
          <w:szCs w:val="22"/>
        </w:rPr>
        <w:t>CLÁUSULA SÉTIMA – DO PREÇO</w:t>
      </w:r>
    </w:p>
    <w:p>
      <w:pPr>
        <w:pStyle w:val="Nvel4-R"/>
        <w:spacing w:lineRule="auto" w:line="240" w:before="0" w:after="0"/>
        <w:ind w:left="0" w:hanging="0"/>
        <w:rPr>
          <w:color w:val="FF0000"/>
          <w:sz w:val="22"/>
          <w:szCs w:val="22"/>
        </w:rPr>
      </w:pPr>
      <w:r>
        <w:rPr>
          <w:rFonts w:eastAsia="Arial"/>
          <w:i w:val="false"/>
          <w:iCs w:val="false"/>
          <w:color w:val="00000A"/>
          <w:sz w:val="22"/>
          <w:szCs w:val="22"/>
        </w:rPr>
        <w:t>7.1. O valor total da contratação é d</w:t>
      </w:r>
      <w:r>
        <w:rPr>
          <w:rFonts w:eastAsia="Arial"/>
          <w:i w:val="false"/>
          <w:iCs w:val="false"/>
          <w:color w:val="000000"/>
          <w:sz w:val="22"/>
          <w:szCs w:val="22"/>
        </w:rPr>
        <w:t>e</w:t>
      </w:r>
      <w:r>
        <w:rPr>
          <w:rFonts w:eastAsia="Arial"/>
          <w:i w:val="false"/>
          <w:iCs w:val="false"/>
          <w:color w:val="FF0000"/>
          <w:sz w:val="22"/>
          <w:szCs w:val="22"/>
        </w:rPr>
        <w:t xml:space="preserve"> </w:t>
      </w:r>
      <w:r>
        <w:rPr>
          <w:rFonts w:eastAsia="Arial" w:cs="Arial"/>
          <w:b/>
          <w:bCs/>
          <w:i w:val="false"/>
          <w:iCs w:val="false"/>
          <w:color w:val="000000"/>
          <w:sz w:val="22"/>
          <w:szCs w:val="22"/>
          <w:lang w:val="pt-BR" w:bidi="hi-IN"/>
        </w:rPr>
        <w:t xml:space="preserve">R$ </w:t>
      </w:r>
      <w:r>
        <w:rPr>
          <w:rFonts w:eastAsia="Calibri" w:cs="Arial"/>
          <w:b/>
          <w:bCs/>
          <w:i w:val="false"/>
          <w:iCs w:val="false"/>
          <w:color w:val="000000"/>
          <w:sz w:val="22"/>
          <w:szCs w:val="22"/>
          <w:lang w:val="pt-BR" w:bidi="hi-IN"/>
        </w:rPr>
        <w:t xml:space="preserve">14.494.160,93  </w:t>
      </w:r>
      <w:r>
        <w:rPr>
          <w:rFonts w:eastAsia="Calibri" w:cs="Arial"/>
          <w:b w:val="false"/>
          <w:bCs w:val="false"/>
          <w:i w:val="false"/>
          <w:iCs w:val="false"/>
          <w:color w:val="000000"/>
          <w:sz w:val="22"/>
          <w:szCs w:val="22"/>
          <w:lang w:val="pt-BR" w:bidi="hi-IN"/>
        </w:rPr>
        <w:t>(quatorze milhões, quatrocentos e noventa e quatro mil, cento e sessenta reais e noventa e três centavos).</w:t>
      </w:r>
    </w:p>
    <w:p>
      <w:pPr>
        <w:pStyle w:val="Nvel4-R"/>
        <w:tabs>
          <w:tab w:val="clear" w:pos="708"/>
          <w:tab w:val="left" w:pos="5826" w:leader="none"/>
        </w:tabs>
        <w:spacing w:lineRule="auto" w:line="240" w:before="0" w:after="0"/>
        <w:ind w:left="0" w:hanging="0"/>
        <w:rPr>
          <w:sz w:val="22"/>
          <w:szCs w:val="22"/>
        </w:rPr>
      </w:pPr>
      <w:r>
        <w:rPr>
          <w:rFonts w:eastAsia="Arial"/>
          <w:i w:val="false"/>
          <w:iCs w:val="false"/>
          <w:color w:val="00000A"/>
          <w:sz w:val="22"/>
          <w:szCs w:val="22"/>
          <w:lang w:eastAsia="ar-SA"/>
        </w:rPr>
        <w:t>7.1.1.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Textbody"/>
        <w:tabs>
          <w:tab w:val="clear" w:pos="708"/>
          <w:tab w:val="left" w:pos="-2184" w:leader="none"/>
          <w:tab w:val="left" w:pos="1077" w:leader="none"/>
        </w:tabs>
        <w:spacing w:lineRule="auto" w:line="240" w:before="0" w:after="0"/>
        <w:rPr>
          <w:rFonts w:cs="Arial"/>
          <w:i/>
          <w:i/>
          <w:iCs/>
          <w:color w:val="00381F"/>
          <w:szCs w:val="22"/>
          <w:shd w:fill="FFFF00" w:val="clear"/>
        </w:rPr>
      </w:pPr>
      <w:r>
        <w:rPr>
          <w:rFonts w:cs="Arial"/>
          <w:i/>
          <w:iCs/>
          <w:color w:val="00381F"/>
          <w:szCs w:val="22"/>
          <w:shd w:fill="FFFF00" w:val="clear"/>
        </w:rPr>
      </w:r>
    </w:p>
    <w:p>
      <w:pPr>
        <w:pStyle w:val="Textbody"/>
        <w:tabs>
          <w:tab w:val="clear" w:pos="708"/>
          <w:tab w:val="left" w:pos="-2184" w:leader="none"/>
          <w:tab w:val="left" w:pos="1077" w:leader="none"/>
        </w:tabs>
        <w:spacing w:lineRule="auto" w:line="240" w:before="0" w:after="0"/>
        <w:rPr>
          <w:rFonts w:cs="Arial"/>
          <w:i/>
          <w:i/>
          <w:iCs/>
          <w:color w:val="00381F"/>
          <w:szCs w:val="22"/>
          <w:shd w:fill="FFFF00" w:val="clear"/>
        </w:rPr>
      </w:pPr>
      <w:r>
        <w:rPr>
          <w:rFonts w:eastAsia="Arial" w:cs="Arial"/>
          <w:b/>
          <w:bCs/>
          <w:szCs w:val="22"/>
        </w:rPr>
        <w:t>CLÁUSULA OITAVA – DO PAGAMENTO</w:t>
      </w:r>
    </w:p>
    <w:p>
      <w:pPr>
        <w:pStyle w:val="Textbody"/>
        <w:spacing w:lineRule="auto" w:line="240" w:before="0" w:after="0"/>
        <w:rPr>
          <w:rFonts w:cs="Arial"/>
          <w:b/>
          <w:bCs/>
          <w:szCs w:val="22"/>
        </w:rPr>
      </w:pPr>
      <w:r>
        <w:rPr>
          <w:rFonts w:cs="Arial"/>
          <w:b/>
          <w:bCs/>
          <w:szCs w:val="22"/>
        </w:rPr>
        <w:t xml:space="preserve">8.1. </w:t>
      </w:r>
      <w:r>
        <w:rPr>
          <w:rFonts w:cs="Arial"/>
          <w:b/>
          <w:bCs/>
          <w:szCs w:val="22"/>
          <w:lang w:eastAsia="en-US"/>
        </w:rPr>
        <w:t>Liquidação</w:t>
      </w:r>
    </w:p>
    <w:p>
      <w:pPr>
        <w:pStyle w:val="Standard"/>
        <w:jc w:val="both"/>
        <w:rPr>
          <w:rFonts w:ascii="Arial" w:hAnsi="Arial" w:cs="Arial"/>
          <w:sz w:val="22"/>
          <w:szCs w:val="22"/>
        </w:rPr>
      </w:pPr>
      <w:r>
        <w:rPr>
          <w:rFonts w:cs="Arial" w:ascii="Arial" w:hAnsi="Arial"/>
          <w:sz w:val="22"/>
          <w:szCs w:val="22"/>
          <w:lang w:eastAsia="en-US"/>
        </w:rPr>
        <w:t xml:space="preserve">8.1.1. </w:t>
      </w:r>
      <w:r>
        <w:rPr>
          <w:rFonts w:cs="Arial" w:ascii="Arial" w:hAnsi="Arial"/>
          <w:sz w:val="22"/>
          <w:szCs w:val="22"/>
        </w:rPr>
        <w:t>Recebida a nota fiscal ou documento de cobrança equivalente, correrá o prazo de 10 (dez) dias úteis para fins de liquidação, prorrogáveis por igual período.</w:t>
      </w:r>
    </w:p>
    <w:p>
      <w:pPr>
        <w:pStyle w:val="Textbody"/>
        <w:spacing w:lineRule="auto" w:line="240" w:before="0" w:after="0"/>
        <w:rPr>
          <w:rFonts w:cs="Arial"/>
          <w:szCs w:val="22"/>
        </w:rPr>
      </w:pPr>
      <w:r>
        <w:rPr>
          <w:rFonts w:cs="Arial"/>
          <w:szCs w:val="22"/>
          <w:lang w:eastAsia="en-US"/>
        </w:rPr>
        <w:t xml:space="preserve">8.1.1.1. </w:t>
      </w:r>
      <w:r>
        <w:rPr>
          <w:rFonts w:cs="Arial"/>
          <w:szCs w:val="22"/>
        </w:rPr>
        <w:t xml:space="preserve">O prazo de que trata o subitem anterior será reduzido à metade, mantendo-se a possibilidade de prorrogação, no caso de contratações decorrentes de despesas cujos valores não ultrapassem o limite de que trata o </w:t>
      </w:r>
      <w:r>
        <w:rPr>
          <w:rFonts w:cs="Arial"/>
          <w:color w:val="00000A"/>
          <w:szCs w:val="22"/>
        </w:rPr>
        <w:t>inciso II do art. 75 da Lei nº 14.133/2021</w:t>
      </w:r>
      <w:r>
        <w:rPr>
          <w:rFonts w:cs="Arial"/>
          <w:szCs w:val="22"/>
        </w:rPr>
        <w:t>.</w:t>
      </w:r>
    </w:p>
    <w:p>
      <w:pPr>
        <w:pStyle w:val="Textbody"/>
        <w:spacing w:lineRule="auto" w:line="240" w:before="0" w:after="0"/>
        <w:rPr>
          <w:rFonts w:cs="Arial"/>
          <w:szCs w:val="22"/>
        </w:rPr>
      </w:pPr>
      <w:r>
        <w:rPr>
          <w:rFonts w:cs="Arial"/>
          <w:szCs w:val="22"/>
          <w:lang w:eastAsia="en-US"/>
        </w:rPr>
        <w:t>8.1.2. A liquidação da despesa consiste na verificação do direito adquirido pelo credor tendo por base os títulos e documentos comprobatórios do respectivo crédito, observando-se o disposto no art. 63 da Lei nº 4.320, de 17 de março de 1964.</w:t>
      </w:r>
    </w:p>
    <w:p>
      <w:pPr>
        <w:pStyle w:val="Textbody"/>
        <w:spacing w:lineRule="auto" w:line="240" w:before="0" w:after="0"/>
        <w:rPr>
          <w:rFonts w:cs="Arial"/>
          <w:color w:val="FF0000"/>
          <w:szCs w:val="22"/>
        </w:rPr>
      </w:pPr>
      <w:r>
        <w:rPr>
          <w:rFonts w:cs="Arial"/>
          <w:szCs w:val="22"/>
          <w:lang w:eastAsia="en-US"/>
        </w:rPr>
        <w:t>8.1.3. Havendo erro na apresentação da nota fiscal ou documento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pPr>
        <w:pStyle w:val="Textbody"/>
        <w:spacing w:lineRule="auto" w:line="240" w:before="0" w:after="0"/>
        <w:rPr>
          <w:rFonts w:cs="Arial"/>
          <w:szCs w:val="22"/>
        </w:rPr>
      </w:pPr>
      <w:r>
        <w:rPr>
          <w:rFonts w:cs="Arial"/>
          <w:szCs w:val="22"/>
          <w:lang w:eastAsia="en-US"/>
        </w:rPr>
        <w:t xml:space="preserve">8.1.4. A nota fiscal ou documento de cobrança equivalente deverá ser obrigatoriamente acompanhado da comprovação da regularidade fiscal, constatada por meio de consulta </w:t>
      </w:r>
      <w:r>
        <w:rPr>
          <w:rFonts w:cs="Arial"/>
          <w:i/>
          <w:iCs/>
          <w:szCs w:val="22"/>
          <w:lang w:eastAsia="en-US"/>
        </w:rPr>
        <w:t>on-line</w:t>
      </w:r>
      <w:r>
        <w:rPr>
          <w:rFonts w:cs="Arial"/>
          <w:szCs w:val="22"/>
          <w:lang w:eastAsia="en-US"/>
        </w:rPr>
        <w:t xml:space="preserve"> ao SICAF ou, na impossibilidade de acesso ao referido Sistema, mediante consulta aos sítios eletrônicos oficiais ou à documentação mencionada no subitem </w:t>
      </w:r>
      <w:r>
        <w:rPr>
          <w:rFonts w:cs="Arial"/>
          <w:szCs w:val="22"/>
          <w:shd w:fill="auto" w:val="clear"/>
          <w:lang w:eastAsia="en-US"/>
        </w:rPr>
        <w:t xml:space="preserve">16.12 </w:t>
      </w:r>
      <w:r>
        <w:rPr>
          <w:rFonts w:cs="Arial"/>
          <w:szCs w:val="22"/>
          <w:lang w:eastAsia="en-US"/>
        </w:rPr>
        <w:t>do edital.</w:t>
      </w:r>
    </w:p>
    <w:p>
      <w:pPr>
        <w:pStyle w:val="Textbody"/>
        <w:spacing w:lineRule="auto" w:line="240" w:before="0" w:after="0"/>
        <w:rPr>
          <w:rFonts w:cs="Arial"/>
          <w:color w:val="FF0000"/>
          <w:szCs w:val="22"/>
        </w:rPr>
      </w:pPr>
      <w:r>
        <w:rPr>
          <w:rFonts w:cs="Arial"/>
          <w:szCs w:val="22"/>
          <w:lang w:eastAsia="en-US"/>
        </w:rPr>
        <w:t>8.1.5. A Administração deverá realizar consulta ao SICAF para: a) verificar a manutenção das condições de habilitação exigidas no edital; b) identificar possível razão que implique proibição de contratar com o Poder Público, bem como ocorrências impeditivas indiretas.</w:t>
      </w:r>
    </w:p>
    <w:p>
      <w:pPr>
        <w:pStyle w:val="Textbody"/>
        <w:spacing w:lineRule="auto" w:line="240" w:before="0" w:after="0"/>
        <w:rPr>
          <w:rFonts w:cs="Arial"/>
          <w:color w:val="FF0000"/>
          <w:szCs w:val="22"/>
        </w:rPr>
      </w:pPr>
      <w:r>
        <w:rPr>
          <w:rFonts w:cs="Arial"/>
          <w:szCs w:val="22"/>
          <w:lang w:eastAsia="en-US"/>
        </w:rPr>
        <w:t>8.1.6.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pPr>
        <w:pStyle w:val="Textbody"/>
        <w:spacing w:lineRule="auto" w:line="240" w:before="0" w:after="0"/>
        <w:rPr>
          <w:rFonts w:cs="Arial"/>
          <w:color w:val="FF0000"/>
          <w:szCs w:val="22"/>
        </w:rPr>
      </w:pPr>
      <w:r>
        <w:rPr>
          <w:rFonts w:cs="Arial"/>
          <w:szCs w:val="22"/>
          <w:lang w:eastAsia="en-US"/>
        </w:rPr>
        <w:t>8.1.7.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Textbody"/>
        <w:spacing w:lineRule="auto" w:line="240" w:before="0" w:after="0"/>
        <w:rPr>
          <w:rFonts w:cs="Arial"/>
          <w:color w:val="FF0000"/>
          <w:szCs w:val="22"/>
        </w:rPr>
      </w:pPr>
      <w:r>
        <w:rPr>
          <w:rFonts w:cs="Arial"/>
          <w:szCs w:val="22"/>
          <w:lang w:eastAsia="en-US"/>
        </w:rPr>
        <w:t>8.1.8. Persistindo a irregularidade, o contratante deverá adotar as medidas necessárias à rescisão contratual nos autos do processo administrativo correspondente, assegurada ao contratado a ampla defesa.</w:t>
      </w:r>
    </w:p>
    <w:p>
      <w:pPr>
        <w:pStyle w:val="Textbody"/>
        <w:spacing w:lineRule="auto" w:line="240" w:before="0" w:after="0"/>
        <w:rPr>
          <w:rFonts w:cs="Arial"/>
          <w:szCs w:val="22"/>
          <w:lang w:eastAsia="en-US"/>
        </w:rPr>
      </w:pPr>
      <w:r>
        <w:rPr>
          <w:rFonts w:cs="Arial"/>
          <w:szCs w:val="22"/>
          <w:lang w:eastAsia="en-US"/>
        </w:rPr>
        <w:t>8.1.9. Havendo a efetiva execução do objeto, os pagamentos serão realizados normalmente, até que se decida pela rescisão do contrato, caso o contratado não regularize sua situação.</w:t>
      </w:r>
    </w:p>
    <w:p>
      <w:pPr>
        <w:pStyle w:val="Textbody"/>
        <w:spacing w:lineRule="auto" w:line="240" w:before="0" w:after="0"/>
        <w:rPr>
          <w:rFonts w:cs="Arial"/>
          <w:szCs w:val="22"/>
          <w:lang w:eastAsia="en-US"/>
        </w:rPr>
      </w:pPr>
      <w:r>
        <w:rPr>
          <w:rFonts w:cs="Arial"/>
          <w:szCs w:val="22"/>
          <w:lang w:eastAsia="en-US"/>
        </w:rPr>
      </w:r>
    </w:p>
    <w:p>
      <w:pPr>
        <w:pStyle w:val="Textbody"/>
        <w:spacing w:lineRule="auto" w:line="240" w:before="0" w:after="0"/>
        <w:rPr>
          <w:rFonts w:cs="Arial"/>
          <w:b/>
          <w:bCs/>
          <w:szCs w:val="22"/>
          <w:lang w:eastAsia="en-US"/>
        </w:rPr>
      </w:pPr>
      <w:r>
        <w:rPr>
          <w:rFonts w:cs="Arial"/>
          <w:b/>
          <w:bCs/>
          <w:szCs w:val="22"/>
          <w:lang w:eastAsia="en-US"/>
        </w:rPr>
        <w:t>8.2. Prazo de pagamento</w:t>
      </w:r>
    </w:p>
    <w:p>
      <w:pPr>
        <w:pStyle w:val="Textbody"/>
        <w:spacing w:lineRule="auto" w:line="240" w:before="0" w:after="0"/>
        <w:rPr>
          <w:rFonts w:cs="Arial"/>
          <w:szCs w:val="22"/>
        </w:rPr>
      </w:pPr>
      <w:r>
        <w:rPr>
          <w:rFonts w:cs="Arial"/>
          <w:szCs w:val="22"/>
          <w:lang w:eastAsia="en-US"/>
        </w:rPr>
        <w:t>8.2</w:t>
      </w:r>
      <w:r>
        <w:rPr>
          <w:rFonts w:cs="Arial"/>
          <w:szCs w:val="22"/>
        </w:rPr>
        <w:t>.1. O pagamento será efetuado no prazo de até 10 (dez) dias úteis, contados da finalização da liquidação da despesa.</w:t>
      </w:r>
    </w:p>
    <w:p>
      <w:pPr>
        <w:pStyle w:val="Textbody"/>
        <w:spacing w:lineRule="auto" w:line="240" w:before="0" w:after="0"/>
        <w:rPr/>
      </w:pPr>
      <w:r>
        <w:rPr>
          <w:rFonts w:cs="Arial"/>
          <w:szCs w:val="22"/>
          <w:lang w:eastAsia="en-US"/>
        </w:rPr>
        <w:t>8.2</w:t>
      </w:r>
      <w:r>
        <w:rPr>
          <w:rFonts w:cs="Arial"/>
          <w:szCs w:val="22"/>
        </w:rPr>
        <w:t xml:space="preserve">.2. </w:t>
      </w:r>
      <w:r>
        <w:rPr>
          <w:rFonts w:cs="Arial"/>
          <w:szCs w:val="22"/>
          <w:lang w:eastAsia="en-US"/>
        </w:rPr>
        <w:t xml:space="preserve">No caso de atraso pelo contratante, os valores devidos ao contratado serão atualizados monetariamente entre o termo final do prazo de pagamento até a data de sua efetiva realização, mediante aplicação do índice </w:t>
      </w:r>
      <w:r>
        <w:rPr>
          <w:rStyle w:val="Nfase1"/>
          <w:rFonts w:cs="Arial"/>
          <w:i w:val="false"/>
          <w:iCs w:val="false"/>
          <w:szCs w:val="22"/>
          <w:lang w:eastAsia="en-US"/>
        </w:rPr>
        <w:t>Nacional de Preço ao Consumidor Amplo</w:t>
      </w:r>
      <w:r>
        <w:rPr>
          <w:rFonts w:cs="Arial"/>
          <w:szCs w:val="22"/>
          <w:lang w:eastAsia="en-US"/>
        </w:rPr>
        <w:t xml:space="preserve"> (IPCA) de correção monetária.</w:t>
      </w:r>
    </w:p>
    <w:p>
      <w:pPr>
        <w:pStyle w:val="Textbody"/>
        <w:spacing w:lineRule="auto" w:line="240" w:before="0" w:after="0"/>
        <w:rPr>
          <w:rFonts w:cs="Arial"/>
          <w:b/>
          <w:bCs/>
          <w:szCs w:val="22"/>
          <w:lang w:eastAsia="en-US"/>
        </w:rPr>
      </w:pPr>
      <w:r>
        <w:rPr>
          <w:rFonts w:cs="Arial"/>
          <w:b/>
          <w:bCs/>
          <w:szCs w:val="22"/>
          <w:lang w:eastAsia="en-US"/>
        </w:rPr>
      </w:r>
    </w:p>
    <w:p>
      <w:pPr>
        <w:pStyle w:val="Textbody"/>
        <w:spacing w:lineRule="auto" w:line="240" w:before="0" w:after="0"/>
        <w:rPr>
          <w:rFonts w:cs="Arial"/>
          <w:b/>
          <w:bCs/>
          <w:szCs w:val="22"/>
          <w:lang w:eastAsia="en-US"/>
        </w:rPr>
      </w:pPr>
      <w:r>
        <w:rPr>
          <w:rFonts w:cs="Arial"/>
          <w:b/>
          <w:bCs/>
          <w:szCs w:val="22"/>
          <w:lang w:eastAsia="en-US"/>
        </w:rPr>
        <w:t>8.3. Forma de pagamento</w:t>
      </w:r>
    </w:p>
    <w:p>
      <w:pPr>
        <w:pStyle w:val="Textbody"/>
        <w:spacing w:lineRule="auto" w:line="240" w:before="0" w:after="0"/>
        <w:rPr>
          <w:rFonts w:cs="Arial"/>
          <w:color w:val="000000"/>
          <w:szCs w:val="22"/>
        </w:rPr>
      </w:pPr>
      <w:r>
        <w:rPr>
          <w:rFonts w:cs="Arial"/>
          <w:szCs w:val="22"/>
          <w:lang w:eastAsia="en-US"/>
        </w:rPr>
        <w:t>8.3</w:t>
      </w:r>
      <w:r>
        <w:rPr>
          <w:rFonts w:cs="Arial"/>
          <w:szCs w:val="22"/>
        </w:rPr>
        <w:t>.1.</w:t>
      </w:r>
      <w:r>
        <w:rPr>
          <w:rFonts w:cs="Arial"/>
          <w:color w:val="000000"/>
          <w:szCs w:val="22"/>
        </w:rPr>
        <w:t xml:space="preserve"> O pagamento será realizado mediante crédito em conta-corrente do contratado, exclusivamente no Banco Bradesco S/A, conforme Lei nº 15.241/2012.</w:t>
      </w:r>
    </w:p>
    <w:p>
      <w:pPr>
        <w:pStyle w:val="Textbody"/>
        <w:spacing w:lineRule="auto" w:line="240" w:before="0" w:after="0"/>
        <w:rPr>
          <w:rFonts w:cs="Arial"/>
          <w:color w:val="000000"/>
          <w:szCs w:val="22"/>
        </w:rPr>
      </w:pPr>
      <w:r>
        <w:rPr>
          <w:rFonts w:cs="Arial"/>
          <w:szCs w:val="22"/>
          <w:lang w:eastAsia="en-US"/>
        </w:rPr>
        <w:t>8.3</w:t>
      </w:r>
      <w:r>
        <w:rPr>
          <w:rFonts w:cs="Arial"/>
          <w:szCs w:val="22"/>
        </w:rPr>
        <w:t xml:space="preserve">.2. </w:t>
      </w:r>
      <w:r>
        <w:rPr>
          <w:rFonts w:cs="Arial"/>
          <w:szCs w:val="22"/>
          <w:lang w:eastAsia="en-US"/>
        </w:rPr>
        <w:t>Será considerada data do pagamento o dia em que constar como emitida a ordem bancária para pagamento.</w:t>
      </w:r>
    </w:p>
    <w:p>
      <w:pPr>
        <w:pStyle w:val="Textbody"/>
        <w:spacing w:lineRule="auto" w:line="240" w:before="0" w:after="0"/>
        <w:rPr>
          <w:rFonts w:cs="Arial"/>
          <w:color w:val="000000"/>
          <w:szCs w:val="22"/>
        </w:rPr>
      </w:pPr>
      <w:r>
        <w:rPr>
          <w:rFonts w:cs="Arial"/>
          <w:szCs w:val="22"/>
          <w:lang w:val="pt-PT" w:eastAsia="en-US"/>
        </w:rPr>
        <w:t>8.</w:t>
      </w:r>
      <w:r>
        <w:rPr>
          <w:rFonts w:cs="Arial"/>
          <w:szCs w:val="22"/>
          <w:lang w:eastAsia="en-US"/>
        </w:rPr>
        <w:t>3.3. Quando do pagamento, será efetuada a retenção tributária prevista na legislação aplicável.</w:t>
      </w:r>
    </w:p>
    <w:p>
      <w:pPr>
        <w:pStyle w:val="Textbody"/>
        <w:spacing w:lineRule="auto" w:line="240" w:before="0" w:after="0"/>
        <w:rPr>
          <w:rFonts w:cs="Arial"/>
          <w:szCs w:val="22"/>
        </w:rPr>
      </w:pPr>
      <w:r>
        <w:rPr>
          <w:rFonts w:cs="Arial"/>
          <w:szCs w:val="22"/>
          <w:lang w:eastAsia="en-US"/>
        </w:rPr>
        <w:t>8.3.3.1. Independentemente do percentual de tributo inserido na planilha, quando houver, serão retidos na fonte, quando da realização do pagamento, os percentuais estabelecidos na legislação vigente</w:t>
      </w:r>
      <w:r>
        <w:rPr>
          <w:rFonts w:cs="Arial"/>
          <w:szCs w:val="22"/>
          <w:vertAlign w:val="subscript"/>
          <w:lang w:eastAsia="en-US"/>
        </w:rPr>
        <w:t>.</w:t>
      </w:r>
    </w:p>
    <w:p>
      <w:pPr>
        <w:pStyle w:val="Textbody"/>
        <w:spacing w:lineRule="auto" w:line="240" w:before="0" w:after="0"/>
        <w:rPr>
          <w:rFonts w:cs="Arial"/>
          <w:szCs w:val="22"/>
        </w:rPr>
      </w:pPr>
      <w:r>
        <w:rPr>
          <w:rFonts w:cs="Arial"/>
          <w:szCs w:val="22"/>
        </w:rPr>
      </w:r>
    </w:p>
    <w:p>
      <w:pPr>
        <w:pStyle w:val="Textbody"/>
        <w:tabs>
          <w:tab w:val="clear" w:pos="708"/>
          <w:tab w:val="left" w:pos="2520" w:leader="none"/>
        </w:tabs>
        <w:snapToGrid w:val="false"/>
        <w:spacing w:lineRule="auto" w:line="240" w:before="0" w:after="0"/>
        <w:rPr>
          <w:b/>
          <w:bCs/>
        </w:rPr>
      </w:pPr>
      <w:r>
        <w:rPr>
          <w:rFonts w:cs="Arial"/>
          <w:b/>
          <w:bCs/>
          <w:szCs w:val="22"/>
          <w:lang w:eastAsia="en-US"/>
        </w:rPr>
        <w:t>8.4. Antecipação do Pagamento</w:t>
      </w:r>
    </w:p>
    <w:p>
      <w:pPr>
        <w:pStyle w:val="Textbody"/>
        <w:tabs>
          <w:tab w:val="clear" w:pos="708"/>
          <w:tab w:val="left" w:pos="2520" w:leader="none"/>
        </w:tabs>
        <w:snapToGrid w:val="false"/>
        <w:spacing w:lineRule="auto" w:line="240" w:before="0" w:after="0"/>
        <w:rPr>
          <w:rFonts w:eastAsia="Arial" w:cs="Arial"/>
          <w:i/>
          <w:i/>
          <w:iCs/>
          <w:color w:val="000000"/>
          <w:szCs w:val="22"/>
          <w:shd w:fill="FFFF00" w:val="clear"/>
          <w:lang w:val="pt-PT" w:eastAsia="ar-SA"/>
        </w:rPr>
      </w:pPr>
      <w:r>
        <w:rPr>
          <w:rFonts w:cs="Arial"/>
          <w:szCs w:val="22"/>
          <w:lang w:eastAsia="en-US"/>
        </w:rPr>
        <w:t>8.4</w:t>
      </w:r>
      <w:r>
        <w:rPr>
          <w:rFonts w:cs="Arial"/>
          <w:szCs w:val="22"/>
          <w:lang w:eastAsia="ar-SA"/>
        </w:rPr>
        <w:t>.1. É vedada a realização de pagamento antes da execução do objeto ou se o mesmo não estiver de acordo com as especificações d</w:t>
      </w:r>
      <w:r>
        <w:rPr>
          <w:rFonts w:eastAsia="Times-Roman, 'Times New Roman'" w:cs="Arial"/>
          <w:szCs w:val="22"/>
          <w:lang w:eastAsia="ar-SA"/>
        </w:rPr>
        <w:t>este instrumento</w:t>
      </w:r>
      <w:r>
        <w:rPr>
          <w:rStyle w:val="Fontepargpadro"/>
          <w:rFonts w:eastAsia="Times-Roman;Times New Roman" w:cs="Arial"/>
          <w:b w:val="false"/>
          <w:bCs w:val="false"/>
          <w:i w:val="false"/>
          <w:iCs w:val="false"/>
          <w:strike w:val="false"/>
          <w:dstrike w:val="false"/>
          <w:color w:val="000000"/>
          <w:sz w:val="22"/>
          <w:szCs w:val="22"/>
          <w:u w:val="none"/>
          <w:effect w:val="none"/>
          <w:shd w:fill="auto" w:val="clear"/>
          <w:lang w:val="pt-BR" w:eastAsia="ar-SA" w:bidi="ar-SA"/>
        </w:rPr>
        <w:t>, nos termos do art. 145, caput, da Lei nº 14.133/2021.</w:t>
      </w:r>
    </w:p>
    <w:p>
      <w:pPr>
        <w:pStyle w:val="Textbody"/>
        <w:tabs>
          <w:tab w:val="clear" w:pos="708"/>
          <w:tab w:val="left" w:pos="2520" w:leader="none"/>
        </w:tabs>
        <w:snapToGrid w:val="false"/>
        <w:spacing w:lineRule="auto" w:line="240" w:before="0" w:after="0"/>
        <w:rPr>
          <w:rFonts w:eastAsia="Arial" w:cs="Arial"/>
          <w:i/>
          <w:i/>
          <w:iCs/>
          <w:color w:val="000000"/>
          <w:szCs w:val="22"/>
          <w:shd w:fill="FFFF00" w:val="clear"/>
          <w:lang w:val="pt-PT" w:eastAsia="ar-SA"/>
        </w:rPr>
      </w:pPr>
      <w:r>
        <w:rPr>
          <w:rFonts w:eastAsia="Arial" w:cs="Arial"/>
          <w:i/>
          <w:iCs/>
          <w:color w:val="000000"/>
          <w:szCs w:val="22"/>
          <w:shd w:fill="FFFF00" w:val="clear"/>
          <w:lang w:val="pt-PT" w:eastAsia="ar-SA"/>
        </w:rPr>
      </w:r>
    </w:p>
    <w:p>
      <w:pPr>
        <w:pStyle w:val="Textbody"/>
        <w:tabs>
          <w:tab w:val="clear" w:pos="708"/>
          <w:tab w:val="left" w:pos="-2184" w:leader="none"/>
          <w:tab w:val="left" w:pos="1077" w:leader="none"/>
        </w:tabs>
        <w:spacing w:lineRule="auto" w:line="240" w:before="0" w:after="0"/>
        <w:rPr>
          <w:rFonts w:cs="Arial"/>
          <w:i/>
          <w:i/>
          <w:iCs/>
          <w:color w:val="00381F"/>
          <w:szCs w:val="22"/>
          <w:shd w:fill="FFFF00" w:val="clear"/>
        </w:rPr>
      </w:pPr>
      <w:r>
        <w:rPr>
          <w:rFonts w:eastAsia="Arial" w:cs="Arial"/>
          <w:b/>
          <w:bCs/>
          <w:szCs w:val="22"/>
        </w:rPr>
        <w:t>CLÁUSULA NONA – DO REAJUSTE</w:t>
      </w:r>
    </w:p>
    <w:p>
      <w:pPr>
        <w:pStyle w:val="Textbody"/>
        <w:tabs>
          <w:tab w:val="clear" w:pos="708"/>
          <w:tab w:val="left" w:pos="-2184" w:leader="none"/>
          <w:tab w:val="left" w:pos="1077" w:leader="none"/>
        </w:tabs>
        <w:spacing w:lineRule="auto" w:line="240" w:before="0" w:after="0"/>
        <w:rPr/>
      </w:pPr>
      <w:r>
        <w:rPr>
          <w:rFonts w:eastAsia="Arial" w:cs="Arial"/>
          <w:szCs w:val="22"/>
        </w:rPr>
        <w:t>9.1. Os preços inicialmente contratados são fixos e irreajustáveis no prazo de um ano contado da data d</w:t>
      </w:r>
      <w:r>
        <w:rPr>
          <w:rFonts w:eastAsia="Arial" w:cs="Arial"/>
          <w:iCs/>
          <w:color w:val="00381F"/>
          <w:szCs w:val="22"/>
        </w:rPr>
        <w:t>o orçamento estimado da licitação</w:t>
      </w:r>
      <w:r>
        <w:rPr>
          <w:rFonts w:eastAsia="Arial" w:cs="Arial"/>
          <w:i/>
          <w:iCs/>
          <w:color w:val="00381F"/>
          <w:szCs w:val="22"/>
        </w:rPr>
        <w:t>.</w:t>
      </w:r>
    </w:p>
    <w:p>
      <w:pPr>
        <w:pStyle w:val="Nvel2-Red"/>
        <w:tabs>
          <w:tab w:val="clear" w:pos="708"/>
          <w:tab w:val="left" w:pos="-2184" w:leader="none"/>
          <w:tab w:val="left" w:pos="1077" w:leader="none"/>
        </w:tabs>
        <w:spacing w:lineRule="auto" w:line="240" w:before="0" w:after="0"/>
        <w:rPr/>
      </w:pPr>
      <w:r>
        <w:rPr>
          <w:rFonts w:eastAsia="Arial"/>
          <w:i w:val="false"/>
          <w:iCs w:val="false"/>
          <w:color w:val="00000A"/>
          <w:sz w:val="22"/>
          <w:szCs w:val="22"/>
        </w:rPr>
        <w:t xml:space="preserve">9.2. </w:t>
      </w:r>
      <w:r>
        <w:rPr>
          <w:i w:val="false"/>
          <w:color w:val="00000A"/>
          <w:sz w:val="22"/>
          <w:szCs w:val="22"/>
        </w:rPr>
        <w:t>Após o interregno de um ano, os preços iniciais poderão ser reajustados, mediante a aplicação, do Índice Nacional de Custos de Construção, INCC, Coluna 35, publicada pela Revista Conjuntura Econômica da Fundação Getúlio Vargas, exclusivamente para as obrigações iniciadas e concluídas após a ocorrência da anualidade, de acordo com a seguinte fórmula:</w:t>
      </w:r>
    </w:p>
    <w:p>
      <w:pPr>
        <w:pStyle w:val="Standard"/>
        <w:rPr>
          <w:rFonts w:ascii="Arial" w:hAnsi="Arial" w:cs="Arial"/>
          <w:sz w:val="22"/>
          <w:szCs w:val="22"/>
        </w:rPr>
      </w:pPr>
      <w:r>
        <w:rPr>
          <w:rFonts w:cs="Arial" w:ascii="Arial" w:hAnsi="Arial"/>
          <w:sz w:val="22"/>
          <w:szCs w:val="22"/>
        </w:rPr>
        <w:t>Vpr = Pr x (I1 – I0) / I0</w:t>
      </w:r>
    </w:p>
    <w:p>
      <w:pPr>
        <w:pStyle w:val="Standard"/>
        <w:rPr>
          <w:rFonts w:ascii="Arial" w:hAnsi="Arial" w:cs="Arial"/>
          <w:sz w:val="22"/>
          <w:szCs w:val="22"/>
        </w:rPr>
      </w:pPr>
      <w:r>
        <w:rPr>
          <w:rFonts w:cs="Arial" w:ascii="Arial" w:hAnsi="Arial"/>
          <w:sz w:val="22"/>
          <w:szCs w:val="22"/>
        </w:rPr>
        <w:t>Onde:</w:t>
      </w:r>
    </w:p>
    <w:p>
      <w:pPr>
        <w:pStyle w:val="Standard"/>
        <w:rPr>
          <w:rFonts w:ascii="Arial" w:hAnsi="Arial" w:cs="Arial"/>
          <w:sz w:val="22"/>
          <w:szCs w:val="22"/>
        </w:rPr>
      </w:pPr>
      <w:r>
        <w:rPr>
          <w:rFonts w:cs="Arial" w:ascii="Arial" w:hAnsi="Arial"/>
          <w:sz w:val="22"/>
          <w:szCs w:val="22"/>
        </w:rPr>
        <w:t>Vpr = valor do reajustamento;</w:t>
      </w:r>
    </w:p>
    <w:p>
      <w:pPr>
        <w:pStyle w:val="Standard"/>
        <w:rPr>
          <w:rFonts w:ascii="Arial" w:hAnsi="Arial" w:cs="Arial"/>
          <w:sz w:val="22"/>
          <w:szCs w:val="22"/>
        </w:rPr>
      </w:pPr>
      <w:r>
        <w:rPr>
          <w:rFonts w:cs="Arial" w:ascii="Arial" w:hAnsi="Arial"/>
          <w:sz w:val="22"/>
          <w:szCs w:val="22"/>
        </w:rPr>
        <w:t>Pr = valor a reajustar;</w:t>
      </w:r>
    </w:p>
    <w:p>
      <w:pPr>
        <w:pStyle w:val="Standard"/>
        <w:rPr>
          <w:rFonts w:ascii="Arial" w:hAnsi="Arial" w:cs="Arial"/>
          <w:sz w:val="22"/>
          <w:szCs w:val="22"/>
        </w:rPr>
      </w:pPr>
      <w:r>
        <w:rPr>
          <w:rFonts w:cs="Arial" w:ascii="Arial" w:hAnsi="Arial"/>
          <w:sz w:val="22"/>
          <w:szCs w:val="22"/>
        </w:rPr>
        <w:t>I0 = índice referente à data base do Orçamento (</w:t>
      </w:r>
      <w:r>
        <w:rPr>
          <w:rFonts w:cs="Arial" w:ascii="Arial" w:hAnsi="Arial"/>
          <w:color w:val="000000"/>
          <w:sz w:val="22"/>
          <w:szCs w:val="22"/>
          <w:lang w:val="pt-BR"/>
        </w:rPr>
        <w:t>JUNHO</w:t>
      </w:r>
      <w:r>
        <w:rPr>
          <w:rFonts w:cs="Arial" w:ascii="Arial" w:hAnsi="Arial"/>
          <w:color w:val="000000"/>
          <w:sz w:val="22"/>
          <w:szCs w:val="22"/>
        </w:rPr>
        <w:t xml:space="preserve"> DE 2026)</w:t>
      </w:r>
      <w:r>
        <w:rPr>
          <w:rFonts w:cs="Arial" w:ascii="Arial" w:hAnsi="Arial"/>
          <w:sz w:val="22"/>
          <w:szCs w:val="22"/>
          <w:lang w:val="pt-PT"/>
        </w:rPr>
        <w:t>.</w:t>
      </w:r>
    </w:p>
    <w:p>
      <w:pPr>
        <w:pStyle w:val="Standard"/>
        <w:rPr/>
      </w:pPr>
      <w:r>
        <w:rPr>
          <w:rFonts w:cs="Arial" w:ascii="Arial" w:hAnsi="Arial"/>
          <w:sz w:val="22"/>
          <w:szCs w:val="22"/>
        </w:rPr>
        <w:t xml:space="preserve">I1 = índice referente ao mês no qual a proposta completa interstício de 1 ano em relação à data Base do Orçamento (JUNHO </w:t>
      </w:r>
      <w:r>
        <w:rPr>
          <w:rFonts w:cs="Arial" w:ascii="Arial" w:hAnsi="Arial"/>
          <w:color w:val="000000"/>
          <w:sz w:val="22"/>
          <w:szCs w:val="22"/>
        </w:rPr>
        <w:t>DE 2026</w:t>
      </w:r>
      <w:r>
        <w:rPr>
          <w:rFonts w:cs="Arial" w:ascii="Arial" w:hAnsi="Arial"/>
          <w:sz w:val="22"/>
          <w:szCs w:val="22"/>
        </w:rPr>
        <w:t>).</w:t>
      </w:r>
    </w:p>
    <w:p>
      <w:pPr>
        <w:pStyle w:val="Nvel2-Red"/>
        <w:tabs>
          <w:tab w:val="clear" w:pos="708"/>
          <w:tab w:val="left" w:pos="-2184" w:leader="none"/>
          <w:tab w:val="left" w:pos="1077" w:leader="none"/>
        </w:tabs>
        <w:spacing w:lineRule="auto" w:line="240" w:before="0" w:after="0"/>
        <w:rPr>
          <w:sz w:val="22"/>
          <w:szCs w:val="22"/>
        </w:rPr>
      </w:pPr>
      <w:r>
        <w:rPr>
          <w:rFonts w:eastAsia="Arial"/>
          <w:i w:val="false"/>
          <w:iCs w:val="false"/>
          <w:color w:val="00000A"/>
          <w:sz w:val="22"/>
          <w:szCs w:val="22"/>
        </w:rPr>
        <w:t>9.3. Nos reajustes subsequentes ao primeiro, o interregno mínimo de um ano será contado a partir dos efeitos financeiros do último reajuste.</w:t>
      </w:r>
    </w:p>
    <w:p>
      <w:pPr>
        <w:pStyle w:val="Normal"/>
        <w:widowControl/>
        <w:tabs>
          <w:tab w:val="clear" w:pos="708"/>
          <w:tab w:val="left" w:pos="-2184" w:leader="none"/>
          <w:tab w:val="left" w:pos="1077" w:leader="none"/>
        </w:tabs>
        <w:spacing w:lineRule="auto" w:line="240" w:before="57" w:after="57"/>
        <w:ind w:left="0" w:right="0" w:hanging="0"/>
        <w:jc w:val="both"/>
        <w:rPr/>
      </w:pPr>
      <w:r>
        <w:rPr>
          <w:rStyle w:val="Fontepargpadro"/>
          <w:rFonts w:eastAsia="Arial" w:cs="Arial" w:ascii="ArialMT" w:hAnsi="ArialMT"/>
          <w:b w:val="false"/>
          <w:bCs w:val="false"/>
          <w:i w:val="false"/>
          <w:iCs w:val="false"/>
          <w:color w:val="000000"/>
          <w:sz w:val="22"/>
          <w:szCs w:val="22"/>
          <w:u w:val="none"/>
          <w:shd w:fill="auto" w:val="clear"/>
          <w:lang w:val="pt-BR"/>
        </w:rPr>
        <w:t>9.3.1. Os reajustes deverão ser precedidos de solicitação da CONTRATADA.</w:t>
      </w:r>
    </w:p>
    <w:p>
      <w:pPr>
        <w:pStyle w:val="Normal"/>
        <w:jc w:val="both"/>
        <w:rPr>
          <w:rFonts w:ascii="ArialMT" w:hAnsi="ArialMT"/>
          <w:color w:val="000000"/>
          <w:sz w:val="22"/>
          <w:shd w:fill="auto" w:val="clear"/>
        </w:rPr>
      </w:pPr>
      <w:r>
        <w:rPr>
          <w:rFonts w:ascii="ArialMT" w:hAnsi="ArialMT"/>
          <w:color w:val="000000"/>
          <w:sz w:val="22"/>
          <w:shd w:fill="auto" w:val="clear"/>
        </w:rPr>
        <w:t>9.3.1.1. Caso a CONTRATADA não solicite tempestivamente o reajuste e prorrogue o contrato sem pleiteá-lo, ocorrerá a preclusão lógica do direito.</w:t>
      </w:r>
    </w:p>
    <w:p>
      <w:pPr>
        <w:pStyle w:val="Normal"/>
        <w:jc w:val="both"/>
        <w:rPr/>
      </w:pPr>
      <w:r>
        <w:rPr>
          <w:rStyle w:val="Fontepargpadro"/>
          <w:rFonts w:eastAsia="Arial" w:cs="Arial" w:ascii="ArialMT" w:hAnsi="ArialMT"/>
          <w:b w:val="false"/>
          <w:bCs w:val="false"/>
          <w:color w:val="000000"/>
          <w:u w:val="none"/>
          <w:shd w:fill="auto" w:val="clear"/>
          <w:lang w:val="pt-BR"/>
        </w:rPr>
        <w:t>9.3.1.2. Também ocorrerá a preclusão lógica do direito ao reajuste se o pedido for formulado depois de extinto o contrato.</w:t>
      </w:r>
    </w:p>
    <w:p>
      <w:pPr>
        <w:pStyle w:val="Nvel2-Red"/>
        <w:tabs>
          <w:tab w:val="clear" w:pos="708"/>
          <w:tab w:val="left" w:pos="-2184" w:leader="none"/>
          <w:tab w:val="left" w:pos="1077" w:leader="none"/>
        </w:tabs>
        <w:spacing w:lineRule="auto" w:line="240" w:before="0" w:after="0"/>
        <w:rPr>
          <w:sz w:val="22"/>
          <w:szCs w:val="22"/>
        </w:rPr>
      </w:pPr>
      <w:r>
        <w:rPr>
          <w:rFonts w:eastAsia="Arial"/>
          <w:i w:val="false"/>
          <w:iCs w:val="false"/>
          <w:color w:val="00000A"/>
          <w:sz w:val="22"/>
          <w:szCs w:val="22"/>
        </w:rPr>
        <w:t>9.4. No caso de atraso ou não divulgação do(s) índice(s) de reajustamento, o CONTRATANTE pagará ao CONTRATADO a importância calculada pela última variação conhecida, liquidando a diferença correspondente tão logo seja(m) divulgado(s) o(s) índice(s) definitivo(s).</w:t>
      </w:r>
    </w:p>
    <w:p>
      <w:pPr>
        <w:pStyle w:val="Nvel2-Red"/>
        <w:tabs>
          <w:tab w:val="clear" w:pos="708"/>
          <w:tab w:val="left" w:pos="-2184" w:leader="none"/>
          <w:tab w:val="left" w:pos="1077" w:leader="none"/>
        </w:tabs>
        <w:spacing w:lineRule="auto" w:line="240" w:before="0" w:after="0"/>
        <w:rPr>
          <w:sz w:val="22"/>
          <w:szCs w:val="22"/>
        </w:rPr>
      </w:pPr>
      <w:r>
        <w:rPr>
          <w:rFonts w:eastAsia="Arial"/>
          <w:i w:val="false"/>
          <w:iCs w:val="false"/>
          <w:color w:val="00000A"/>
          <w:sz w:val="22"/>
          <w:szCs w:val="22"/>
        </w:rPr>
        <w:t>9.5. Caso o(s) índice(s) estabelecido(s) para reajustamento venha(m) a ser extinto(s) ou de qualquer forma não possa(m) mais ser utilizado(s), será(ão) adotado(s), em substituição, o(s) que vier(em) a ser determinado(s) pela legislação então em vigor.</w:t>
      </w:r>
    </w:p>
    <w:p>
      <w:pPr>
        <w:pStyle w:val="Textbody"/>
        <w:tabs>
          <w:tab w:val="clear" w:pos="708"/>
          <w:tab w:val="left" w:pos="-2184" w:leader="none"/>
          <w:tab w:val="left" w:pos="1077" w:leader="none"/>
        </w:tabs>
        <w:spacing w:lineRule="auto" w:line="240" w:before="0" w:after="0"/>
        <w:rPr>
          <w:rFonts w:cs="Arial"/>
          <w:i/>
          <w:i/>
          <w:iCs/>
          <w:color w:val="00381F"/>
          <w:szCs w:val="22"/>
          <w:shd w:fill="FFFF00" w:val="clear"/>
        </w:rPr>
      </w:pPr>
      <w:r>
        <w:rPr>
          <w:rFonts w:eastAsia="Arial" w:cs="Arial"/>
          <w:szCs w:val="22"/>
          <w:lang w:eastAsia="ar-SA"/>
        </w:rPr>
        <w:t>9.6. Na ausência de previsão legal quanto ao índice substituto, as partes elegerão novo índice oficial, para reajustamento do preço do valor remanescente, por meio de termo aditivo.</w:t>
      </w:r>
    </w:p>
    <w:p>
      <w:pPr>
        <w:pStyle w:val="Textbody"/>
        <w:tabs>
          <w:tab w:val="clear" w:pos="708"/>
          <w:tab w:val="left" w:pos="-2184" w:leader="none"/>
          <w:tab w:val="left" w:pos="1077" w:leader="none"/>
        </w:tabs>
        <w:spacing w:lineRule="auto" w:line="240" w:before="0" w:after="0"/>
        <w:rPr>
          <w:rFonts w:cs="Arial"/>
          <w:i/>
          <w:i/>
          <w:iCs/>
          <w:color w:val="00381F"/>
          <w:szCs w:val="22"/>
          <w:shd w:fill="FFFF00" w:val="clear"/>
        </w:rPr>
      </w:pPr>
      <w:r>
        <w:rPr>
          <w:rFonts w:eastAsia="Arial" w:cs="Arial"/>
          <w:szCs w:val="22"/>
          <w:lang w:eastAsia="ar-SA"/>
        </w:rPr>
        <w:t>9.7. O reajuste será realizado por apostilamento.</w:t>
      </w:r>
    </w:p>
    <w:p>
      <w:pPr>
        <w:pStyle w:val="Textbody"/>
        <w:tabs>
          <w:tab w:val="clear" w:pos="708"/>
          <w:tab w:val="left" w:pos="-2184" w:leader="none"/>
          <w:tab w:val="left" w:pos="1077" w:leader="none"/>
        </w:tabs>
        <w:spacing w:lineRule="auto" w:line="240" w:before="0" w:after="0"/>
        <w:rPr>
          <w:rFonts w:cs="Arial"/>
          <w:color w:val="000000"/>
          <w:szCs w:val="22"/>
          <w:shd w:fill="FFFF00" w:val="clear"/>
        </w:rPr>
      </w:pPr>
      <w:r>
        <w:rPr>
          <w:rFonts w:cs="Arial"/>
          <w:color w:val="000000"/>
          <w:szCs w:val="22"/>
          <w:shd w:fill="FFFF00" w:val="clear"/>
        </w:rPr>
      </w:r>
    </w:p>
    <w:p>
      <w:pPr>
        <w:pStyle w:val="Textbody"/>
        <w:tabs>
          <w:tab w:val="clear" w:pos="708"/>
          <w:tab w:val="left" w:pos="-2184" w:leader="none"/>
          <w:tab w:val="left" w:pos="1077" w:leader="none"/>
        </w:tabs>
        <w:spacing w:lineRule="auto" w:line="240" w:before="0" w:after="0"/>
        <w:rPr>
          <w:rFonts w:cs="Arial"/>
          <w:color w:val="000000"/>
          <w:szCs w:val="22"/>
          <w:shd w:fill="FFFF00" w:val="clear"/>
        </w:rPr>
      </w:pPr>
      <w:r>
        <w:rPr>
          <w:rFonts w:cs="Arial"/>
          <w:b/>
          <w:bCs/>
          <w:szCs w:val="22"/>
        </w:rPr>
        <w:t xml:space="preserve">CLÁUSULA DÉCIMA – DAS </w:t>
      </w:r>
      <w:r>
        <w:rPr>
          <w:rFonts w:eastAsia="Arial" w:cs="Arial"/>
          <w:b/>
          <w:bCs/>
          <w:szCs w:val="22"/>
        </w:rPr>
        <w:t>OBRIGAÇÕES DO CONTRATANTE E DO CONTRATADO</w:t>
      </w:r>
    </w:p>
    <w:p>
      <w:pPr>
        <w:pStyle w:val="Textbody"/>
        <w:tabs>
          <w:tab w:val="clear" w:pos="708"/>
          <w:tab w:val="left" w:pos="-2184" w:leader="none"/>
          <w:tab w:val="left" w:pos="1077" w:leader="none"/>
        </w:tabs>
        <w:snapToGrid w:val="false"/>
        <w:spacing w:lineRule="auto" w:line="240" w:before="0" w:after="0"/>
        <w:rPr>
          <w:rFonts w:eastAsia="Arial" w:cs="Arial"/>
          <w:i/>
          <w:i/>
          <w:iCs/>
          <w:color w:val="00381F"/>
          <w:szCs w:val="22"/>
          <w:shd w:fill="FFFF00" w:val="clear"/>
          <w:lang w:val="pt-PT" w:eastAsia="ar-SA"/>
        </w:rPr>
      </w:pPr>
      <w:r>
        <w:rPr>
          <w:rFonts w:cs="Arial"/>
          <w:b/>
          <w:bCs/>
          <w:szCs w:val="22"/>
          <w:lang w:eastAsia="ar-SA"/>
        </w:rPr>
        <w:t>10.1. DAS OBRIGAÇÕES DO CONTRATANTE</w:t>
      </w:r>
    </w:p>
    <w:p>
      <w:pPr>
        <w:pStyle w:val="Textbody"/>
        <w:tabs>
          <w:tab w:val="clear" w:pos="708"/>
          <w:tab w:val="left" w:pos="2520" w:leader="none"/>
        </w:tabs>
        <w:snapToGrid w:val="false"/>
        <w:spacing w:lineRule="auto" w:line="240" w:before="0" w:after="0"/>
        <w:rPr>
          <w:rFonts w:eastAsia="Arial" w:cs="Arial"/>
          <w:i/>
          <w:i/>
          <w:iCs/>
          <w:color w:val="000000"/>
          <w:szCs w:val="22"/>
          <w:shd w:fill="FFFF00" w:val="clear"/>
          <w:lang w:val="pt-PT" w:eastAsia="ar-SA"/>
        </w:rPr>
      </w:pPr>
      <w:r>
        <w:rPr>
          <w:rFonts w:cs="Arial"/>
          <w:szCs w:val="22"/>
          <w:lang w:eastAsia="ar-SA"/>
        </w:rPr>
        <w:t>10.1.1. Exigir o cumprimento de todas as obrigações assumidas pelo contratado, de acordo com este instrumento e seus anexos;</w:t>
      </w:r>
    </w:p>
    <w:p>
      <w:pPr>
        <w:pStyle w:val="Textbody"/>
        <w:tabs>
          <w:tab w:val="clear" w:pos="708"/>
          <w:tab w:val="left" w:pos="-2184" w:leader="none"/>
          <w:tab w:val="left" w:pos="1077" w:leader="none"/>
        </w:tabs>
        <w:spacing w:lineRule="auto" w:line="240" w:before="0" w:after="0"/>
        <w:rPr>
          <w:rFonts w:cs="Arial"/>
          <w:i/>
          <w:i/>
          <w:iCs/>
          <w:color w:val="000000"/>
          <w:szCs w:val="22"/>
          <w:shd w:fill="FFFF00" w:val="clear"/>
        </w:rPr>
      </w:pPr>
      <w:r>
        <w:rPr>
          <w:rFonts w:eastAsia="Arial" w:cs="Arial"/>
          <w:szCs w:val="22"/>
        </w:rPr>
        <w:t>10.</w:t>
      </w:r>
      <w:r>
        <w:rPr>
          <w:rFonts w:cs="Arial"/>
          <w:szCs w:val="22"/>
          <w:lang w:eastAsia="ar-SA"/>
        </w:rPr>
        <w:t>1.</w:t>
      </w:r>
      <w:r>
        <w:rPr>
          <w:rFonts w:eastAsia="Arial" w:cs="Arial"/>
          <w:szCs w:val="22"/>
        </w:rPr>
        <w:t xml:space="preserve">2. Receber o objeto no prazo e condições estabelecidas neste </w:t>
      </w:r>
      <w:r>
        <w:rPr>
          <w:rFonts w:eastAsia="Arial" w:cs="Arial"/>
          <w:szCs w:val="22"/>
          <w:lang w:eastAsia="ar-SA"/>
        </w:rPr>
        <w:t>instrumento e seus anexos;</w:t>
      </w:r>
    </w:p>
    <w:p>
      <w:pPr>
        <w:pStyle w:val="Textbody"/>
        <w:tabs>
          <w:tab w:val="clear" w:pos="708"/>
          <w:tab w:val="left" w:pos="-2184" w:leader="none"/>
          <w:tab w:val="left" w:pos="1077" w:leader="none"/>
        </w:tabs>
        <w:spacing w:lineRule="auto" w:line="240" w:before="0" w:after="0"/>
        <w:rPr>
          <w:rFonts w:cs="Arial"/>
          <w:i/>
          <w:i/>
          <w:iCs/>
          <w:color w:val="000000"/>
          <w:szCs w:val="22"/>
          <w:shd w:fill="FFFF00" w:val="clear"/>
        </w:rPr>
      </w:pPr>
      <w:r>
        <w:rPr>
          <w:rFonts w:eastAsia="Arial" w:cs="Arial"/>
          <w:szCs w:val="22"/>
        </w:rPr>
        <w:t>10.</w:t>
      </w:r>
      <w:r>
        <w:rPr>
          <w:rFonts w:cs="Arial"/>
          <w:szCs w:val="22"/>
          <w:lang w:eastAsia="ar-SA"/>
        </w:rPr>
        <w:t>1.</w:t>
      </w:r>
      <w:r>
        <w:rPr>
          <w:rFonts w:eastAsia="Arial" w:cs="Arial"/>
          <w:szCs w:val="22"/>
        </w:rPr>
        <w:t>3. Notificar o contratado, por escrito, sobre vícios, defeitos ou incorreções verificadas no objeto contratado, para que seja por ele substituído, reparado ou corrigido, no total ou em parte, às suas expensas;</w:t>
      </w:r>
    </w:p>
    <w:p>
      <w:pPr>
        <w:pStyle w:val="Textbody"/>
        <w:tabs>
          <w:tab w:val="clear" w:pos="708"/>
          <w:tab w:val="left" w:pos="-2184" w:leader="none"/>
          <w:tab w:val="left" w:pos="1077" w:leader="none"/>
        </w:tabs>
        <w:spacing w:lineRule="auto" w:line="240" w:before="0" w:after="0"/>
        <w:rPr>
          <w:rFonts w:cs="Arial"/>
          <w:i/>
          <w:i/>
          <w:iCs/>
          <w:color w:val="000000"/>
          <w:szCs w:val="22"/>
          <w:shd w:fill="FFFF00" w:val="clear"/>
        </w:rPr>
      </w:pPr>
      <w:r>
        <w:rPr>
          <w:rFonts w:eastAsia="Arial" w:cs="Arial"/>
          <w:szCs w:val="22"/>
        </w:rPr>
        <w:t>10.</w:t>
      </w:r>
      <w:r>
        <w:rPr>
          <w:rFonts w:cs="Arial"/>
          <w:szCs w:val="22"/>
          <w:lang w:eastAsia="ar-SA"/>
        </w:rPr>
        <w:t>1.</w:t>
      </w:r>
      <w:r>
        <w:rPr>
          <w:rFonts w:eastAsia="Arial" w:cs="Arial"/>
          <w:szCs w:val="22"/>
        </w:rPr>
        <w:t>4. Acompanhar e fiscalizar a execução do contrato e o cumprimento das obrigações pelo contratado;</w:t>
      </w:r>
    </w:p>
    <w:p>
      <w:pPr>
        <w:pStyle w:val="Textbody"/>
        <w:tabs>
          <w:tab w:val="clear" w:pos="708"/>
          <w:tab w:val="left" w:pos="-2184" w:leader="none"/>
          <w:tab w:val="left" w:pos="1077" w:leader="none"/>
        </w:tabs>
        <w:spacing w:lineRule="auto" w:line="240" w:before="0" w:after="0"/>
        <w:rPr>
          <w:rFonts w:cs="Arial"/>
          <w:i/>
          <w:i/>
          <w:iCs/>
          <w:color w:val="000000"/>
          <w:szCs w:val="22"/>
          <w:shd w:fill="FFFF00" w:val="clear"/>
        </w:rPr>
      </w:pPr>
      <w:r>
        <w:rPr>
          <w:rFonts w:eastAsia="Arial" w:cs="Arial"/>
          <w:szCs w:val="22"/>
        </w:rPr>
        <w:t>10.</w:t>
      </w:r>
      <w:r>
        <w:rPr>
          <w:rFonts w:cs="Arial"/>
          <w:szCs w:val="22"/>
          <w:lang w:eastAsia="ar-SA"/>
        </w:rPr>
        <w:t>1.</w:t>
      </w:r>
      <w:r>
        <w:rPr>
          <w:rFonts w:eastAsia="Arial" w:cs="Arial"/>
          <w:szCs w:val="22"/>
        </w:rPr>
        <w:t>5. Comunicar o contratado para emissão de nota fiscal relativa à parcela incontroversa da execução do objeto, para efeito de liquidação e pagamento, quando houver controvérsia sobre a execução do objeto, quanto à dimensão, qualidade e quantidade, conforme o art. 143 da Lei nº 14.133/2021.</w:t>
      </w:r>
    </w:p>
    <w:p>
      <w:pPr>
        <w:pStyle w:val="Textbody"/>
        <w:tabs>
          <w:tab w:val="clear" w:pos="708"/>
          <w:tab w:val="left" w:pos="-2184" w:leader="none"/>
          <w:tab w:val="left" w:pos="1077" w:leader="none"/>
        </w:tabs>
        <w:spacing w:lineRule="auto" w:line="240" w:before="0" w:after="0"/>
        <w:rPr>
          <w:rFonts w:cs="Arial"/>
          <w:i/>
          <w:i/>
          <w:iCs/>
          <w:color w:val="000000"/>
          <w:szCs w:val="22"/>
          <w:shd w:fill="FFFF00" w:val="clear"/>
        </w:rPr>
      </w:pPr>
      <w:r>
        <w:rPr>
          <w:rFonts w:eastAsia="Arial" w:cs="Arial"/>
          <w:szCs w:val="22"/>
        </w:rPr>
        <w:t>10.</w:t>
      </w:r>
      <w:r>
        <w:rPr>
          <w:rFonts w:cs="Arial"/>
          <w:szCs w:val="22"/>
          <w:lang w:eastAsia="ar-SA"/>
        </w:rPr>
        <w:t>1.</w:t>
      </w:r>
      <w:r>
        <w:rPr>
          <w:rFonts w:eastAsia="Arial" w:cs="Arial"/>
          <w:szCs w:val="22"/>
        </w:rPr>
        <w:t xml:space="preserve">6. Efetuar o pagamento ao contratado do valor correspondente a execução do objeto, no prazo, forma e condições estabelecidos neste </w:t>
      </w:r>
      <w:r>
        <w:rPr>
          <w:rFonts w:eastAsia="Arial" w:cs="Arial"/>
          <w:szCs w:val="22"/>
          <w:lang w:eastAsia="ar-SA"/>
        </w:rPr>
        <w:t>instrumento</w:t>
      </w:r>
      <w:r>
        <w:rPr>
          <w:rFonts w:eastAsia="Arial" w:cs="Arial"/>
          <w:szCs w:val="22"/>
        </w:rPr>
        <w:t>;</w:t>
      </w:r>
    </w:p>
    <w:p>
      <w:pPr>
        <w:pStyle w:val="Textbody"/>
        <w:tabs>
          <w:tab w:val="clear" w:pos="708"/>
          <w:tab w:val="left" w:pos="-2184" w:leader="none"/>
          <w:tab w:val="left" w:pos="1077" w:leader="none"/>
        </w:tabs>
        <w:spacing w:lineRule="auto" w:line="240" w:before="0" w:after="0"/>
        <w:rPr>
          <w:rFonts w:cs="Arial"/>
          <w:i/>
          <w:i/>
          <w:iCs/>
          <w:color w:val="000000"/>
          <w:szCs w:val="22"/>
          <w:shd w:fill="FFFF00" w:val="clear"/>
        </w:rPr>
      </w:pPr>
      <w:r>
        <w:rPr>
          <w:rFonts w:eastAsia="Arial" w:cs="Arial"/>
          <w:szCs w:val="22"/>
        </w:rPr>
        <w:t>10.</w:t>
      </w:r>
      <w:r>
        <w:rPr>
          <w:rFonts w:cs="Arial"/>
          <w:szCs w:val="22"/>
          <w:lang w:eastAsia="ar-SA"/>
        </w:rPr>
        <w:t>1.</w:t>
      </w:r>
      <w:r>
        <w:rPr>
          <w:rFonts w:eastAsia="Arial" w:cs="Arial"/>
          <w:szCs w:val="22"/>
        </w:rPr>
        <w:t>7. Aplicar as sanções previstas na lei e edital, quando do descumprimento de obrigações pelo contratado;</w:t>
      </w:r>
    </w:p>
    <w:p>
      <w:pPr>
        <w:pStyle w:val="Textbody"/>
        <w:tabs>
          <w:tab w:val="clear" w:pos="708"/>
          <w:tab w:val="left" w:pos="-2184" w:leader="none"/>
          <w:tab w:val="left" w:pos="1077" w:leader="none"/>
        </w:tabs>
        <w:spacing w:lineRule="auto" w:line="240" w:before="0" w:after="0"/>
        <w:rPr>
          <w:rFonts w:cs="Arial"/>
          <w:i/>
          <w:i/>
          <w:iCs/>
          <w:color w:val="000000"/>
          <w:szCs w:val="22"/>
          <w:shd w:fill="FFFF00" w:val="clear"/>
        </w:rPr>
      </w:pPr>
      <w:r>
        <w:rPr>
          <w:rFonts w:eastAsia="Arial" w:cs="Arial"/>
          <w:szCs w:val="22"/>
        </w:rPr>
        <w:t>10.</w:t>
      </w:r>
      <w:r>
        <w:rPr>
          <w:rFonts w:cs="Arial"/>
          <w:szCs w:val="22"/>
          <w:lang w:eastAsia="ar-SA"/>
        </w:rPr>
        <w:t>1.</w:t>
      </w:r>
      <w:r>
        <w:rPr>
          <w:rFonts w:eastAsia="Arial" w:cs="Arial"/>
          <w:szCs w:val="22"/>
        </w:rPr>
        <w:t>8. Emitir explicitamente decisão sobre todas as solicitações e reclamações relacionadas à execução do contrato, ressalvados os requerimentos manifestamente impertinentes, meramente protelatórios ou de nenhum interesse para a boa execução do contrato.</w:t>
      </w:r>
    </w:p>
    <w:p>
      <w:pPr>
        <w:pStyle w:val="Textbody"/>
        <w:tabs>
          <w:tab w:val="clear" w:pos="708"/>
          <w:tab w:val="left" w:pos="-2184" w:leader="none"/>
          <w:tab w:val="left" w:pos="1077" w:leader="none"/>
        </w:tabs>
        <w:spacing w:lineRule="auto" w:line="240" w:before="0" w:after="0"/>
        <w:rPr>
          <w:rFonts w:cs="Arial"/>
          <w:i/>
          <w:i/>
          <w:iCs/>
          <w:color w:val="000000"/>
          <w:szCs w:val="22"/>
          <w:shd w:fill="FFFF00" w:val="clear"/>
        </w:rPr>
      </w:pPr>
      <w:r>
        <w:rPr>
          <w:rFonts w:eastAsia="Arial" w:cs="Arial"/>
          <w:szCs w:val="22"/>
        </w:rPr>
        <w:t>10.</w:t>
      </w:r>
      <w:r>
        <w:rPr>
          <w:rFonts w:cs="Arial"/>
          <w:szCs w:val="22"/>
          <w:lang w:eastAsia="ar-SA"/>
        </w:rPr>
        <w:t>1.</w:t>
      </w:r>
      <w:r>
        <w:rPr>
          <w:rFonts w:eastAsia="Arial" w:cs="Arial"/>
          <w:szCs w:val="22"/>
        </w:rPr>
        <w:t xml:space="preserve">8.1. A Administração terá o prazo de 30 </w:t>
      </w:r>
      <w:r>
        <w:rPr>
          <w:rFonts w:eastAsia="Arial" w:cs="Arial"/>
          <w:szCs w:val="22"/>
          <w:shd w:fill="FFFFFF" w:val="clear"/>
        </w:rPr>
        <w:t>(trinta)</w:t>
      </w:r>
      <w:r>
        <w:rPr>
          <w:rFonts w:eastAsia="Arial" w:cs="Arial"/>
          <w:szCs w:val="22"/>
        </w:rPr>
        <w:t xml:space="preserve"> dias, a contar da data do protocolo do requerimento para decidir, admitida a prorrogação motivada por igual período.</w:t>
      </w:r>
    </w:p>
    <w:p>
      <w:pPr>
        <w:pStyle w:val="Textbody"/>
        <w:tabs>
          <w:tab w:val="clear" w:pos="708"/>
          <w:tab w:val="left" w:pos="-2184" w:leader="none"/>
          <w:tab w:val="left" w:pos="1077" w:leader="none"/>
        </w:tabs>
        <w:spacing w:lineRule="auto" w:line="240" w:before="0" w:after="0"/>
        <w:rPr>
          <w:rFonts w:cs="Arial"/>
          <w:i/>
          <w:i/>
          <w:iCs/>
          <w:color w:val="000000"/>
          <w:szCs w:val="22"/>
          <w:shd w:fill="FFFF00" w:val="clear"/>
        </w:rPr>
      </w:pPr>
      <w:r>
        <w:rPr>
          <w:rFonts w:eastAsia="Arial" w:cs="Arial"/>
          <w:szCs w:val="22"/>
        </w:rPr>
        <w:t>10.</w:t>
      </w:r>
      <w:r>
        <w:rPr>
          <w:rFonts w:cs="Arial"/>
          <w:szCs w:val="22"/>
          <w:lang w:eastAsia="ar-SA"/>
        </w:rPr>
        <w:t>1.</w:t>
      </w:r>
      <w:r>
        <w:rPr>
          <w:rFonts w:eastAsia="Arial" w:cs="Arial"/>
          <w:szCs w:val="22"/>
        </w:rPr>
        <w:t xml:space="preserve">9. Responder eventuais pedidos de restabelecimento do equilíbrio econômico-financeiro feitos pelo contratado no prazo máximo de 30 </w:t>
      </w:r>
      <w:r>
        <w:rPr>
          <w:rFonts w:eastAsia="Arial" w:cs="Arial"/>
          <w:szCs w:val="22"/>
          <w:shd w:fill="FFFFFF" w:val="clear"/>
        </w:rPr>
        <w:t>(trinta)</w:t>
      </w:r>
      <w:r>
        <w:rPr>
          <w:rFonts w:eastAsia="Arial" w:cs="Arial"/>
          <w:szCs w:val="22"/>
        </w:rPr>
        <w:t xml:space="preserve"> dias.</w:t>
      </w:r>
    </w:p>
    <w:p>
      <w:pPr>
        <w:pStyle w:val="Textbody"/>
        <w:tabs>
          <w:tab w:val="clear" w:pos="708"/>
          <w:tab w:val="left" w:pos="2520" w:leader="none"/>
        </w:tabs>
        <w:snapToGrid w:val="false"/>
        <w:spacing w:lineRule="auto" w:line="240" w:before="0" w:after="0"/>
        <w:rPr>
          <w:rFonts w:cs="Arial"/>
          <w:szCs w:val="22"/>
          <w:lang w:eastAsia="ar-SA"/>
        </w:rPr>
      </w:pPr>
      <w:r>
        <w:rPr>
          <w:rFonts w:cs="Arial"/>
          <w:szCs w:val="22"/>
          <w:lang w:eastAsia="ar-SA"/>
        </w:rPr>
        <w:t>10.1.10. Não responder por quaisquer compromissos assumidos pelo contratado com terceiros, ainda que vinculados à execução do contrato, bem como por qualquer dano causado a terceiros em decorrência de ato do contratado, de seus empregados, prepostos ou subordinados.</w:t>
      </w:r>
    </w:p>
    <w:p>
      <w:pPr>
        <w:pStyle w:val="Textbody"/>
        <w:tabs>
          <w:tab w:val="clear" w:pos="708"/>
          <w:tab w:val="left" w:pos="-2184" w:leader="none"/>
          <w:tab w:val="left" w:pos="1077" w:leader="none"/>
        </w:tabs>
        <w:snapToGrid w:val="false"/>
        <w:spacing w:lineRule="auto" w:line="240" w:before="0" w:after="0"/>
        <w:rPr>
          <w:rFonts w:eastAsia="Arial" w:cs="Arial"/>
          <w:i/>
          <w:i/>
          <w:iCs/>
          <w:color w:val="00381F"/>
          <w:szCs w:val="22"/>
          <w:shd w:fill="FFFF00" w:val="clear"/>
          <w:lang w:val="pt-PT" w:eastAsia="ar-SA"/>
        </w:rPr>
      </w:pPr>
      <w:r>
        <w:rPr>
          <w:rFonts w:eastAsia="Arial" w:cs="Arial"/>
          <w:i/>
          <w:iCs/>
          <w:color w:val="00381F"/>
          <w:szCs w:val="22"/>
          <w:shd w:fill="FFFF00" w:val="clear"/>
          <w:lang w:val="pt-PT" w:eastAsia="ar-SA"/>
        </w:rPr>
      </w:r>
    </w:p>
    <w:p>
      <w:pPr>
        <w:pStyle w:val="Textbody"/>
        <w:tabs>
          <w:tab w:val="clear" w:pos="708"/>
          <w:tab w:val="left" w:pos="-2184" w:leader="none"/>
          <w:tab w:val="left" w:pos="1077" w:leader="none"/>
        </w:tabs>
        <w:snapToGrid w:val="false"/>
        <w:spacing w:lineRule="auto" w:line="240" w:before="0" w:after="0"/>
        <w:rPr>
          <w:rFonts w:eastAsia="Arial" w:cs="Arial"/>
          <w:i/>
          <w:i/>
          <w:iCs/>
          <w:color w:val="00381F"/>
          <w:szCs w:val="22"/>
          <w:shd w:fill="FFFF00" w:val="clear"/>
          <w:lang w:val="pt-PT" w:eastAsia="ar-SA"/>
        </w:rPr>
      </w:pPr>
      <w:r>
        <w:rPr>
          <w:rFonts w:cs="Arial"/>
          <w:b/>
          <w:bCs/>
          <w:szCs w:val="22"/>
          <w:lang w:eastAsia="ar-SA"/>
        </w:rPr>
        <w:t>10.2. DAS OBRIGAÇÕES DO CONTRATADO</w:t>
      </w:r>
    </w:p>
    <w:p>
      <w:pPr>
        <w:pStyle w:val="Textbody"/>
        <w:tabs>
          <w:tab w:val="clear" w:pos="708"/>
          <w:tab w:val="left" w:pos="-2184" w:leader="none"/>
          <w:tab w:val="left" w:pos="1077" w:leader="none"/>
        </w:tabs>
        <w:spacing w:lineRule="auto" w:line="240" w:before="0" w:after="0"/>
        <w:rPr>
          <w:rFonts w:cs="Arial"/>
          <w:i/>
          <w:i/>
          <w:iCs/>
          <w:color w:val="000000"/>
          <w:szCs w:val="22"/>
          <w:shd w:fill="FFFF00" w:val="clear"/>
        </w:rPr>
      </w:pPr>
      <w:r>
        <w:rPr>
          <w:rFonts w:eastAsia="Arial" w:cs="Arial"/>
          <w:szCs w:val="22"/>
        </w:rPr>
        <w:t>10.2.1. O contratado deve cumprir todas as obrigações constantes do edital e seus anexos, assumindo como exclusivamente seus os riscos e as despesas decorrentes da execução do objeto, observando, ainda, as obrigações a seguir dispostas:</w:t>
      </w:r>
    </w:p>
    <w:p>
      <w:pPr>
        <w:pStyle w:val="Textbody"/>
        <w:tabs>
          <w:tab w:val="clear" w:pos="708"/>
          <w:tab w:val="left" w:pos="-2184" w:leader="none"/>
          <w:tab w:val="left" w:pos="1077" w:leader="none"/>
        </w:tabs>
        <w:spacing w:lineRule="auto" w:line="240" w:before="0" w:after="0"/>
        <w:rPr>
          <w:rFonts w:cs="Arial"/>
          <w:i/>
          <w:i/>
          <w:iCs/>
          <w:color w:val="000000"/>
          <w:szCs w:val="22"/>
          <w:shd w:fill="FFFF00" w:val="clear"/>
        </w:rPr>
      </w:pPr>
      <w:r>
        <w:rPr>
          <w:rFonts w:eastAsia="Arial" w:cs="Arial"/>
          <w:szCs w:val="22"/>
        </w:rPr>
        <w:t>10.2.1.1. Responsabilizar-se pelos vícios e danos decorrentes do objeto, de acordo com o Código de Defesa do Consumidor;</w:t>
      </w:r>
    </w:p>
    <w:p>
      <w:pPr>
        <w:pStyle w:val="Textbody"/>
        <w:tabs>
          <w:tab w:val="clear" w:pos="708"/>
          <w:tab w:val="left" w:pos="-2184" w:leader="none"/>
          <w:tab w:val="left" w:pos="1077" w:leader="none"/>
        </w:tabs>
        <w:spacing w:lineRule="auto" w:line="240" w:before="0" w:after="0"/>
        <w:rPr>
          <w:rFonts w:cs="Arial"/>
          <w:i/>
          <w:i/>
          <w:iCs/>
          <w:color w:val="000000"/>
          <w:szCs w:val="22"/>
          <w:shd w:fill="FFFF00" w:val="clear"/>
        </w:rPr>
      </w:pPr>
      <w:r>
        <w:rPr>
          <w:rFonts w:eastAsia="Arial" w:cs="Arial"/>
          <w:szCs w:val="22"/>
        </w:rPr>
        <w:t>10.2.1.2. Comunicar ao contratante, no prazo máximo de 24 (vinte e quatro) horas que antecede a data da entrega dos serviços, os motivos que impossibilitem o cumprimento do prazo previsto, com a devida comprovação;</w:t>
      </w:r>
    </w:p>
    <w:p>
      <w:pPr>
        <w:pStyle w:val="Textbody"/>
        <w:tabs>
          <w:tab w:val="clear" w:pos="708"/>
          <w:tab w:val="left" w:pos="-2184" w:leader="none"/>
          <w:tab w:val="left" w:pos="1077" w:leader="none"/>
        </w:tabs>
        <w:spacing w:lineRule="auto" w:line="240" w:before="0" w:after="0"/>
        <w:rPr>
          <w:rFonts w:cs="Arial"/>
          <w:i/>
          <w:i/>
          <w:iCs/>
          <w:color w:val="000000"/>
          <w:szCs w:val="22"/>
          <w:shd w:fill="FFFF00" w:val="clear"/>
        </w:rPr>
      </w:pPr>
      <w:r>
        <w:rPr>
          <w:rFonts w:eastAsia="Arial" w:cs="Arial"/>
          <w:szCs w:val="22"/>
        </w:rPr>
        <w:t>10.2.1.3. Atender às determinações regulares emitidas pelo fiscal ou gestor do contrato ou autoridade superior e prestar todo esclarecimento ou informação por eles solicitados;</w:t>
      </w:r>
    </w:p>
    <w:p>
      <w:pPr>
        <w:pStyle w:val="Textbody"/>
        <w:tabs>
          <w:tab w:val="clear" w:pos="708"/>
          <w:tab w:val="left" w:pos="-2184" w:leader="none"/>
          <w:tab w:val="left" w:pos="1077" w:leader="none"/>
        </w:tabs>
        <w:spacing w:lineRule="auto" w:line="240" w:before="0" w:after="0"/>
        <w:rPr>
          <w:rFonts w:cs="Arial"/>
          <w:i/>
          <w:i/>
          <w:iCs/>
          <w:color w:val="000000"/>
          <w:szCs w:val="22"/>
          <w:shd w:fill="FFFF00" w:val="clear"/>
        </w:rPr>
      </w:pPr>
      <w:r>
        <w:rPr>
          <w:rFonts w:eastAsia="Arial" w:cs="Arial"/>
          <w:szCs w:val="22"/>
        </w:rPr>
        <w:t>10.2.1.4. Reparar, corrigir, remover, reconstruir ou substituir, às suas expensas, no total ou em parte, no prazo fixado pelo fiscal do contrato, os serviços nos quais se verificarem vícios, defeitos ou incorreções resultantes da execução ou dos materiais empregados;</w:t>
      </w:r>
    </w:p>
    <w:p>
      <w:pPr>
        <w:pStyle w:val="Textbody"/>
        <w:tabs>
          <w:tab w:val="clear" w:pos="708"/>
          <w:tab w:val="left" w:pos="-2184" w:leader="none"/>
          <w:tab w:val="left" w:pos="1077" w:leader="none"/>
        </w:tabs>
        <w:spacing w:lineRule="auto" w:line="240" w:before="0" w:after="0"/>
        <w:rPr>
          <w:rFonts w:cs="Arial"/>
          <w:i/>
          <w:i/>
          <w:iCs/>
          <w:color w:val="000000"/>
          <w:szCs w:val="22"/>
          <w:shd w:fill="FFFF00" w:val="clear"/>
        </w:rPr>
      </w:pPr>
      <w:r>
        <w:rPr>
          <w:rFonts w:eastAsia="Arial" w:cs="Arial"/>
          <w:szCs w:val="22"/>
        </w:rPr>
        <w:t>10.2.1.5.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Textbody"/>
        <w:tabs>
          <w:tab w:val="clear" w:pos="708"/>
          <w:tab w:val="left" w:pos="-2184" w:leader="none"/>
          <w:tab w:val="left" w:pos="1077" w:leader="none"/>
        </w:tabs>
        <w:spacing w:lineRule="auto" w:line="240" w:before="0" w:after="0"/>
        <w:rPr>
          <w:rFonts w:cs="Arial"/>
          <w:i/>
          <w:i/>
          <w:iCs/>
          <w:color w:val="000000"/>
          <w:szCs w:val="22"/>
          <w:shd w:fill="FFFF00" w:val="clear"/>
        </w:rPr>
      </w:pPr>
      <w:r>
        <w:rPr>
          <w:rFonts w:eastAsia="Arial" w:cs="Arial"/>
          <w:szCs w:val="22"/>
        </w:rPr>
        <w:t>10.2.1.6. Quando não for possível a verificação da regularidade no Sistema de Cadastramento Unificado de Fornecedores(SICAF), ou no Certificado de Registro Cadastral (CRC) do Estado do Ceará,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pPr>
        <w:pStyle w:val="Textbody"/>
        <w:tabs>
          <w:tab w:val="clear" w:pos="708"/>
          <w:tab w:val="left" w:pos="-2184" w:leader="none"/>
          <w:tab w:val="left" w:pos="1077" w:leader="none"/>
        </w:tabs>
        <w:spacing w:lineRule="auto" w:line="240" w:before="0" w:after="0"/>
        <w:rPr>
          <w:rFonts w:cs="Arial"/>
          <w:i/>
          <w:i/>
          <w:iCs/>
          <w:color w:val="000000"/>
          <w:szCs w:val="22"/>
          <w:shd w:fill="FFFF00" w:val="clear"/>
        </w:rPr>
      </w:pPr>
      <w:r>
        <w:rPr>
          <w:rFonts w:eastAsia="Arial" w:cs="Arial"/>
          <w:szCs w:val="22"/>
        </w:rPr>
        <w:t>10.2.1.7.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pPr>
        <w:pStyle w:val="Textbody"/>
        <w:tabs>
          <w:tab w:val="clear" w:pos="708"/>
          <w:tab w:val="left" w:pos="-2184" w:leader="none"/>
          <w:tab w:val="left" w:pos="1077" w:leader="none"/>
        </w:tabs>
        <w:spacing w:lineRule="auto" w:line="240" w:before="0" w:after="0"/>
        <w:rPr>
          <w:rFonts w:cs="Arial"/>
          <w:i/>
          <w:i/>
          <w:iCs/>
          <w:color w:val="000000"/>
          <w:szCs w:val="22"/>
          <w:shd w:fill="FFFF00" w:val="clear"/>
        </w:rPr>
      </w:pPr>
      <w:r>
        <w:rPr>
          <w:rFonts w:eastAsia="Arial" w:cs="Arial"/>
          <w:szCs w:val="22"/>
        </w:rPr>
        <w:t>10.2.1.8. Atender os critérios de sustentabilidade eventualmente inseridos na descrição do objeto, e ainda os seguintes requisitos de sustentabilidade.</w:t>
      </w:r>
    </w:p>
    <w:p>
      <w:pPr>
        <w:pStyle w:val="Textbody"/>
        <w:tabs>
          <w:tab w:val="clear" w:pos="708"/>
          <w:tab w:val="left" w:pos="-2184" w:leader="none"/>
          <w:tab w:val="left" w:pos="1077" w:leader="none"/>
        </w:tabs>
        <w:spacing w:lineRule="auto" w:line="240" w:before="0" w:after="0"/>
        <w:rPr/>
      </w:pPr>
      <w:r>
        <w:rPr>
          <w:rFonts w:eastAsia="Arial" w:cs="Arial"/>
          <w:szCs w:val="22"/>
        </w:rPr>
        <w:t xml:space="preserve">10.2.1.8.1. </w:t>
      </w:r>
      <w:r>
        <w:rPr>
          <w:rFonts w:eastAsia="Arial"/>
          <w:szCs w:val="22"/>
        </w:rPr>
        <w:t>Observar as disposições contidas no Guia Nacional de Contratações e outros fundamentos;</w:t>
      </w:r>
    </w:p>
    <w:p>
      <w:pPr>
        <w:pStyle w:val="Textbody"/>
        <w:tabs>
          <w:tab w:val="clear" w:pos="708"/>
          <w:tab w:val="left" w:pos="-2184" w:leader="none"/>
          <w:tab w:val="left" w:pos="1077" w:leader="none"/>
        </w:tabs>
        <w:spacing w:lineRule="auto" w:line="240" w:before="0" w:after="0"/>
        <w:rPr>
          <w:rFonts w:eastAsia="Arial" w:cs="Verdana"/>
          <w:szCs w:val="22"/>
          <w:lang w:eastAsia="ar-SA"/>
        </w:rPr>
      </w:pPr>
      <w:r>
        <w:rPr>
          <w:rFonts w:eastAsia="Arial" w:cs="Arial"/>
          <w:szCs w:val="22"/>
          <w:lang w:eastAsia="ar-SA"/>
        </w:rPr>
        <w:t xml:space="preserve">10.2.1.8.2. </w:t>
      </w:r>
      <w:r>
        <w:rPr>
          <w:rFonts w:eastAsia="Arial" w:cs="Verdana"/>
          <w:szCs w:val="22"/>
          <w:lang w:eastAsia="ar-SA"/>
        </w:rPr>
        <w:t>Priorizar o uso de materiais reciclados ou de origem sustentável, como madeira certificada, tijolos ecológicos, etc;</w:t>
      </w:r>
    </w:p>
    <w:p>
      <w:pPr>
        <w:pStyle w:val="Textbody"/>
        <w:tabs>
          <w:tab w:val="clear" w:pos="708"/>
          <w:tab w:val="left" w:pos="-2184" w:leader="none"/>
          <w:tab w:val="left" w:pos="1077" w:leader="none"/>
        </w:tabs>
        <w:spacing w:lineRule="auto" w:line="240" w:before="0" w:after="0"/>
        <w:rPr>
          <w:rFonts w:eastAsia="Arial" w:cs="Verdana"/>
          <w:szCs w:val="22"/>
          <w:lang w:eastAsia="ar-SA"/>
        </w:rPr>
      </w:pPr>
      <w:r>
        <w:rPr>
          <w:rFonts w:eastAsia="Arial" w:cs="Verdana"/>
          <w:szCs w:val="22"/>
          <w:lang w:eastAsia="ar-SA"/>
        </w:rPr>
        <w:t>10.2.1.8.3. Utilizar materiais de baixo impacto ambiental e com menor pegada de carbono;</w:t>
      </w:r>
    </w:p>
    <w:p>
      <w:pPr>
        <w:pStyle w:val="Textbody"/>
        <w:tabs>
          <w:tab w:val="clear" w:pos="708"/>
          <w:tab w:val="left" w:pos="-2184" w:leader="none"/>
          <w:tab w:val="left" w:pos="1077" w:leader="none"/>
        </w:tabs>
        <w:spacing w:lineRule="auto" w:line="240" w:before="0" w:after="0"/>
        <w:rPr>
          <w:rFonts w:eastAsia="Arial" w:cs="Verdana"/>
          <w:szCs w:val="22"/>
          <w:lang w:eastAsia="ar-SA"/>
        </w:rPr>
      </w:pPr>
      <w:r>
        <w:rPr>
          <w:rFonts w:eastAsia="Arial" w:cs="Verdana"/>
          <w:szCs w:val="22"/>
          <w:lang w:eastAsia="ar-SA"/>
        </w:rPr>
        <w:t>10.2.1.8.4. Escolher materiais duráveis que reduzam a necessidade de manutenção frequente;</w:t>
      </w:r>
    </w:p>
    <w:p>
      <w:pPr>
        <w:pStyle w:val="Textbody"/>
        <w:tabs>
          <w:tab w:val="clear" w:pos="708"/>
          <w:tab w:val="left" w:pos="-2184" w:leader="none"/>
          <w:tab w:val="left" w:pos="1077" w:leader="none"/>
        </w:tabs>
        <w:spacing w:lineRule="auto" w:line="240" w:before="0" w:after="0"/>
        <w:rPr>
          <w:rFonts w:eastAsia="Arial" w:cs="Verdana"/>
          <w:szCs w:val="22"/>
          <w:lang w:eastAsia="ar-SA"/>
        </w:rPr>
      </w:pPr>
      <w:r>
        <w:rPr>
          <w:rFonts w:eastAsia="Arial" w:cs="Verdana"/>
          <w:szCs w:val="22"/>
          <w:lang w:eastAsia="ar-SA"/>
        </w:rPr>
        <w:t>10.2.1.8.5. Incorporar técnicas de isolamento térmico para reduzir a necessidade de aquecimento ou resfriamento;</w:t>
      </w:r>
    </w:p>
    <w:p>
      <w:pPr>
        <w:pStyle w:val="Textbody"/>
        <w:tabs>
          <w:tab w:val="clear" w:pos="708"/>
          <w:tab w:val="left" w:pos="-2184" w:leader="none"/>
          <w:tab w:val="left" w:pos="1077" w:leader="none"/>
        </w:tabs>
        <w:spacing w:lineRule="auto" w:line="240" w:before="0" w:after="0"/>
        <w:rPr>
          <w:rFonts w:eastAsia="Arial" w:cs="Verdana"/>
          <w:szCs w:val="22"/>
          <w:lang w:eastAsia="ar-SA"/>
        </w:rPr>
      </w:pPr>
      <w:r>
        <w:rPr>
          <w:rFonts w:eastAsia="Arial" w:cs="Verdana"/>
          <w:szCs w:val="22"/>
          <w:lang w:eastAsia="ar-SA"/>
        </w:rPr>
        <w:t>10.2.1.8.6. Maximizar a iluminação e ventilação natural através do projeto arquitetônico;</w:t>
      </w:r>
    </w:p>
    <w:p>
      <w:pPr>
        <w:pStyle w:val="Textbody"/>
        <w:tabs>
          <w:tab w:val="clear" w:pos="708"/>
          <w:tab w:val="left" w:pos="-2184" w:leader="none"/>
          <w:tab w:val="left" w:pos="1077" w:leader="none"/>
        </w:tabs>
        <w:spacing w:lineRule="auto" w:line="240" w:before="0" w:after="0"/>
        <w:rPr>
          <w:rFonts w:eastAsia="Arial" w:cs="Verdana"/>
          <w:szCs w:val="22"/>
          <w:lang w:eastAsia="ar-SA"/>
        </w:rPr>
      </w:pPr>
      <w:r>
        <w:rPr>
          <w:rFonts w:eastAsia="Arial" w:cs="Verdana"/>
          <w:szCs w:val="22"/>
          <w:lang w:eastAsia="ar-SA"/>
        </w:rPr>
        <w:t>10.2.1.8.7. Implementar sistemas de coleta e reutilização de água da chuva para usos não potáveis;</w:t>
      </w:r>
    </w:p>
    <w:p>
      <w:pPr>
        <w:pStyle w:val="Textbody"/>
        <w:tabs>
          <w:tab w:val="clear" w:pos="708"/>
          <w:tab w:val="left" w:pos="-2184" w:leader="none"/>
          <w:tab w:val="left" w:pos="1077" w:leader="none"/>
        </w:tabs>
        <w:spacing w:lineRule="auto" w:line="240" w:before="0" w:after="0"/>
        <w:rPr>
          <w:rFonts w:eastAsia="Arial" w:cs="Verdana"/>
          <w:szCs w:val="22"/>
          <w:lang w:eastAsia="ar-SA"/>
        </w:rPr>
      </w:pPr>
      <w:r>
        <w:rPr>
          <w:rFonts w:eastAsia="Arial" w:cs="Verdana"/>
          <w:szCs w:val="22"/>
          <w:lang w:eastAsia="ar-SA"/>
        </w:rPr>
        <w:t>10.2.1.8.8. Instalar torneiras, chuveiros e sanitários de baixo consumo de água;</w:t>
      </w:r>
    </w:p>
    <w:p>
      <w:pPr>
        <w:pStyle w:val="Textbody"/>
        <w:tabs>
          <w:tab w:val="clear" w:pos="708"/>
          <w:tab w:val="left" w:pos="-2184" w:leader="none"/>
          <w:tab w:val="left" w:pos="1077" w:leader="none"/>
        </w:tabs>
        <w:spacing w:lineRule="auto" w:line="240" w:before="0" w:after="0"/>
        <w:rPr>
          <w:rFonts w:eastAsia="Arial" w:cs="Verdana"/>
          <w:szCs w:val="22"/>
          <w:lang w:eastAsia="ar-SA"/>
        </w:rPr>
      </w:pPr>
      <w:r>
        <w:rPr>
          <w:rFonts w:eastAsia="Arial" w:cs="Verdana"/>
          <w:szCs w:val="22"/>
          <w:lang w:eastAsia="ar-SA"/>
        </w:rPr>
        <w:t>10.2.1.8.9. Estabelecer um sistema de segregação e reciclagem de resíduos de construção;</w:t>
      </w:r>
    </w:p>
    <w:p>
      <w:pPr>
        <w:pStyle w:val="Textbody"/>
        <w:tabs>
          <w:tab w:val="clear" w:pos="708"/>
          <w:tab w:val="left" w:pos="-2184" w:leader="none"/>
          <w:tab w:val="left" w:pos="1077" w:leader="none"/>
        </w:tabs>
        <w:spacing w:lineRule="auto" w:line="240" w:before="0" w:after="0"/>
        <w:rPr>
          <w:rFonts w:eastAsia="Arial" w:cs="Verdana"/>
          <w:szCs w:val="22"/>
          <w:lang w:eastAsia="ar-SA"/>
        </w:rPr>
      </w:pPr>
      <w:r>
        <w:rPr>
          <w:rFonts w:eastAsia="Arial" w:cs="Verdana"/>
          <w:szCs w:val="22"/>
          <w:lang w:eastAsia="ar-SA"/>
        </w:rPr>
        <w:t>10.2.1.8.10. Reutilizar materiais de construção sempre que possível para minimizar o desperdício;</w:t>
      </w:r>
    </w:p>
    <w:p>
      <w:pPr>
        <w:pStyle w:val="Textbody"/>
        <w:tabs>
          <w:tab w:val="clear" w:pos="708"/>
          <w:tab w:val="left" w:pos="-2184" w:leader="none"/>
          <w:tab w:val="left" w:pos="1077" w:leader="none"/>
        </w:tabs>
        <w:spacing w:lineRule="auto" w:line="240" w:before="0" w:after="0"/>
        <w:rPr>
          <w:rFonts w:eastAsia="Arial" w:cs="Verdana"/>
          <w:szCs w:val="22"/>
          <w:lang w:eastAsia="ar-SA"/>
        </w:rPr>
      </w:pPr>
      <w:r>
        <w:rPr>
          <w:rFonts w:eastAsia="Arial" w:cs="Verdana"/>
          <w:szCs w:val="22"/>
          <w:lang w:eastAsia="ar-SA"/>
        </w:rPr>
        <w:t>10.2.1.8.11. Oferecer treinamento em práticas de construção sustentável para os trabalhadores envolvidos no projeto;</w:t>
      </w:r>
    </w:p>
    <w:p>
      <w:pPr>
        <w:pStyle w:val="Textbody"/>
        <w:tabs>
          <w:tab w:val="clear" w:pos="708"/>
          <w:tab w:val="left" w:pos="-2184" w:leader="none"/>
          <w:tab w:val="left" w:pos="1077" w:leader="none"/>
        </w:tabs>
        <w:spacing w:lineRule="auto" w:line="240" w:before="0" w:after="0"/>
        <w:rPr>
          <w:rFonts w:eastAsia="Arial" w:cs="Verdana"/>
          <w:szCs w:val="22"/>
          <w:lang w:eastAsia="ar-SA"/>
        </w:rPr>
      </w:pPr>
      <w:r>
        <w:rPr>
          <w:rFonts w:eastAsia="Arial" w:cs="Verdana"/>
          <w:szCs w:val="22"/>
          <w:lang w:eastAsia="ar-SA"/>
        </w:rPr>
        <w:t>10.2.1.8.12. Promover a conscientização sobre a importância da sustentabilidade entre a comunidade e os beneficiários das melhorias habitacionais;</w:t>
      </w:r>
    </w:p>
    <w:p>
      <w:pPr>
        <w:pStyle w:val="Textbody"/>
        <w:tabs>
          <w:tab w:val="clear" w:pos="708"/>
          <w:tab w:val="left" w:pos="-2184" w:leader="none"/>
          <w:tab w:val="left" w:pos="1077" w:leader="none"/>
        </w:tabs>
        <w:spacing w:lineRule="auto" w:line="240" w:before="0" w:after="0"/>
        <w:rPr>
          <w:rFonts w:eastAsia="Arial" w:cs="Verdana"/>
          <w:szCs w:val="22"/>
          <w:lang w:eastAsia="ar-SA"/>
        </w:rPr>
      </w:pPr>
      <w:r>
        <w:rPr>
          <w:rFonts w:eastAsia="Arial" w:cs="Verdana"/>
          <w:szCs w:val="22"/>
          <w:lang w:eastAsia="ar-SA"/>
        </w:rPr>
        <w:t>10.2.1.8.13. Planejar rotas de transporte eficientes para reduzir a emissão de gases poluentes;</w:t>
      </w:r>
    </w:p>
    <w:p>
      <w:pPr>
        <w:pStyle w:val="Textbody"/>
        <w:tabs>
          <w:tab w:val="clear" w:pos="708"/>
          <w:tab w:val="left" w:pos="-2184" w:leader="none"/>
          <w:tab w:val="left" w:pos="1077" w:leader="none"/>
        </w:tabs>
        <w:spacing w:lineRule="auto" w:line="240" w:before="0" w:after="0"/>
        <w:rPr>
          <w:rFonts w:eastAsia="Arial" w:cs="Verdana"/>
          <w:szCs w:val="22"/>
          <w:lang w:eastAsia="ar-SA"/>
        </w:rPr>
      </w:pPr>
      <w:r>
        <w:rPr>
          <w:rFonts w:eastAsia="Arial" w:cs="Verdana"/>
          <w:szCs w:val="22"/>
          <w:lang w:eastAsia="ar-SA"/>
        </w:rPr>
        <w:t>10.2.1.8.14. Priorizar a aquisição de materiais de fornecedores locais para reduzir a pegada de carbono associada ao transporte;</w:t>
      </w:r>
    </w:p>
    <w:p>
      <w:pPr>
        <w:pStyle w:val="Textbody"/>
        <w:tabs>
          <w:tab w:val="clear" w:pos="708"/>
          <w:tab w:val="left" w:pos="-2184" w:leader="none"/>
          <w:tab w:val="left" w:pos="1077" w:leader="none"/>
        </w:tabs>
        <w:spacing w:lineRule="auto" w:line="240" w:before="0" w:after="0"/>
        <w:rPr>
          <w:rFonts w:eastAsia="Arial" w:cs="Verdana"/>
          <w:szCs w:val="22"/>
          <w:lang w:eastAsia="ar-SA"/>
        </w:rPr>
      </w:pPr>
      <w:r>
        <w:rPr>
          <w:rFonts w:eastAsia="Arial" w:cs="Verdana"/>
          <w:szCs w:val="22"/>
          <w:lang w:eastAsia="ar-SA"/>
        </w:rPr>
        <w:t>10.2.1.8.15. Priorizar o uso de materiais e técnicas construtivas tradicionais na localidade, que costumam ser mais adaptados às condições climáticas locais;</w:t>
      </w:r>
    </w:p>
    <w:p>
      <w:pPr>
        <w:pStyle w:val="Textbody"/>
        <w:tabs>
          <w:tab w:val="clear" w:pos="708"/>
          <w:tab w:val="left" w:pos="-2184" w:leader="none"/>
          <w:tab w:val="left" w:pos="1077" w:leader="none"/>
        </w:tabs>
        <w:spacing w:lineRule="auto" w:line="240" w:before="0" w:after="0"/>
        <w:rPr>
          <w:rFonts w:eastAsia="Arial" w:cs="Verdana"/>
          <w:szCs w:val="22"/>
          <w:lang w:eastAsia="ar-SA"/>
        </w:rPr>
      </w:pPr>
      <w:r>
        <w:rPr>
          <w:rFonts w:eastAsia="Arial" w:cs="Verdana"/>
          <w:szCs w:val="22"/>
          <w:lang w:eastAsia="ar-SA"/>
        </w:rPr>
        <w:t>10.2.1.8.16. Envolver a comunidade no planejamento e execução das melhorias habitacionais para garantir que as soluções atendam às suas necessidades e promovam a sustentabilidade local;</w:t>
      </w:r>
    </w:p>
    <w:p>
      <w:pPr>
        <w:pStyle w:val="Textbody"/>
        <w:tabs>
          <w:tab w:val="clear" w:pos="708"/>
          <w:tab w:val="left" w:pos="-2184" w:leader="none"/>
          <w:tab w:val="left" w:pos="1077" w:leader="none"/>
        </w:tabs>
        <w:spacing w:lineRule="auto" w:line="240" w:before="0" w:after="0"/>
        <w:rPr>
          <w:rFonts w:eastAsia="Arial" w:cs="Verdana"/>
          <w:szCs w:val="22"/>
          <w:lang w:eastAsia="ar-SA"/>
        </w:rPr>
      </w:pPr>
      <w:r>
        <w:rPr>
          <w:rFonts w:eastAsia="Arial" w:cs="Verdana"/>
          <w:szCs w:val="22"/>
          <w:lang w:eastAsia="ar-SA"/>
        </w:rPr>
        <w:t>10.2.1.8.17. Implementar programas educativos sobre práticas sustentáveis e conservação de recursos para os moradores beneficiados.</w:t>
      </w:r>
    </w:p>
    <w:p>
      <w:pPr>
        <w:pStyle w:val="Textbody"/>
        <w:tabs>
          <w:tab w:val="clear" w:pos="708"/>
          <w:tab w:val="left" w:pos="-2184" w:leader="none"/>
          <w:tab w:val="left" w:pos="1077" w:leader="none"/>
        </w:tabs>
        <w:spacing w:lineRule="auto" w:line="240" w:before="0" w:after="0"/>
        <w:rPr>
          <w:rFonts w:cs="Arial"/>
          <w:i/>
          <w:i/>
          <w:iCs/>
          <w:color w:val="000000"/>
          <w:szCs w:val="22"/>
          <w:shd w:fill="FFFF00" w:val="clear"/>
        </w:rPr>
      </w:pPr>
      <w:r>
        <w:rPr>
          <w:rFonts w:eastAsia="Arial" w:cs="Arial"/>
          <w:szCs w:val="22"/>
        </w:rPr>
        <w:t>10.2.1.9. Comunicar ao fiscal do contrato, no prazo de 24 (vinte e quatro) horas, qualquer ocorrência anormal ou acidente que se verifique no local da execução do objeto.</w:t>
      </w:r>
    </w:p>
    <w:p>
      <w:pPr>
        <w:pStyle w:val="Textbody"/>
        <w:tabs>
          <w:tab w:val="clear" w:pos="708"/>
          <w:tab w:val="left" w:pos="-2184" w:leader="none"/>
          <w:tab w:val="left" w:pos="1077" w:leader="none"/>
        </w:tabs>
        <w:spacing w:lineRule="auto" w:line="240" w:before="0" w:after="0"/>
        <w:rPr>
          <w:rFonts w:cs="Arial"/>
          <w:i/>
          <w:i/>
          <w:iCs/>
          <w:color w:val="000000"/>
          <w:szCs w:val="22"/>
          <w:shd w:fill="FFFF00" w:val="clear"/>
        </w:rPr>
      </w:pPr>
      <w:r>
        <w:rPr>
          <w:rFonts w:eastAsia="Arial" w:cs="Arial"/>
          <w:szCs w:val="22"/>
        </w:rPr>
        <w:t>10.2.1.10. Paralisar, por determinação do contratante, qualquer atividade que não esteja sendo executada de acordo com a boa técnica ou que ponha em risco a segurança de pessoas ou bens de terceiros.</w:t>
      </w:r>
    </w:p>
    <w:p>
      <w:pPr>
        <w:pStyle w:val="Textbody"/>
        <w:tabs>
          <w:tab w:val="clear" w:pos="708"/>
          <w:tab w:val="left" w:pos="-2184" w:leader="none"/>
          <w:tab w:val="left" w:pos="1077" w:leader="none"/>
        </w:tabs>
        <w:spacing w:lineRule="auto" w:line="240" w:before="0" w:after="0"/>
        <w:rPr>
          <w:rFonts w:cs="Arial"/>
          <w:i/>
          <w:i/>
          <w:iCs/>
          <w:color w:val="000000"/>
          <w:szCs w:val="22"/>
          <w:shd w:fill="FFFF00" w:val="clear"/>
        </w:rPr>
      </w:pPr>
      <w:r>
        <w:rPr>
          <w:rFonts w:eastAsia="Arial" w:cs="Arial"/>
          <w:szCs w:val="22"/>
        </w:rPr>
        <w:t>10.2.1.11. Manter durante toda a vigência do contrato, em compatibilidade com as obrigações assumidas, todas as condições exigidas para habilitação na licitação.</w:t>
      </w:r>
    </w:p>
    <w:p>
      <w:pPr>
        <w:pStyle w:val="Textbody"/>
        <w:tabs>
          <w:tab w:val="clear" w:pos="708"/>
          <w:tab w:val="left" w:pos="-2184" w:leader="none"/>
          <w:tab w:val="left" w:pos="1077" w:leader="none"/>
        </w:tabs>
        <w:spacing w:lineRule="auto" w:line="240" w:before="0" w:after="0"/>
        <w:rPr>
          <w:rFonts w:cs="Arial"/>
          <w:i/>
          <w:i/>
          <w:iCs/>
          <w:color w:val="000000"/>
          <w:szCs w:val="22"/>
          <w:shd w:fill="FFFF00" w:val="clear"/>
        </w:rPr>
      </w:pPr>
      <w:r>
        <w:rPr>
          <w:rFonts w:eastAsia="Arial" w:cs="Arial"/>
          <w:szCs w:val="22"/>
        </w:rPr>
        <w:t xml:space="preserve">10.2.1.12. Cumprir, durante todo o período de execução do contrato e desde que regulamentado, a reserva de cargos prevista em lei para pessoa com deficiência, para reabilitado da Previdência Social ou para aprendiz, bem como as reservas de cargos previstas em legislação específica. </w:t>
      </w:r>
    </w:p>
    <w:p>
      <w:pPr>
        <w:pStyle w:val="Textbody"/>
        <w:tabs>
          <w:tab w:val="clear" w:pos="708"/>
          <w:tab w:val="left" w:pos="-2184" w:leader="none"/>
          <w:tab w:val="left" w:pos="1077" w:leader="none"/>
        </w:tabs>
        <w:spacing w:lineRule="auto" w:line="240" w:before="0" w:after="0"/>
        <w:rPr>
          <w:rFonts w:cs="Arial"/>
          <w:i/>
          <w:i/>
          <w:iCs/>
          <w:color w:val="000000"/>
          <w:szCs w:val="22"/>
          <w:shd w:fill="FFFF00" w:val="clear"/>
        </w:rPr>
      </w:pPr>
      <w:r>
        <w:rPr>
          <w:rFonts w:eastAsia="Arial" w:cs="Arial"/>
          <w:szCs w:val="22"/>
        </w:rPr>
        <w:t>10.2.1.12.1. Comprovar as reservas de cargos e vagas a que se referem o subitem acima, no prazo fixado pelo fiscal do contrato, com a indicação dos empregados que preencheram as referidas vagas conforme disposto no art. 116, parágrafo único da Lei nº 14.133/2021.</w:t>
      </w:r>
    </w:p>
    <w:p>
      <w:pPr>
        <w:pStyle w:val="Textbody"/>
        <w:tabs>
          <w:tab w:val="clear" w:pos="708"/>
          <w:tab w:val="left" w:pos="-2184" w:leader="none"/>
          <w:tab w:val="left" w:pos="1077" w:leader="none"/>
        </w:tabs>
        <w:spacing w:lineRule="auto" w:line="240" w:before="0" w:after="0"/>
        <w:rPr>
          <w:rFonts w:cs="Arial"/>
          <w:i/>
          <w:i/>
          <w:iCs/>
          <w:color w:val="000000"/>
          <w:szCs w:val="22"/>
          <w:shd w:fill="FFFF00" w:val="clear"/>
        </w:rPr>
      </w:pPr>
      <w:r>
        <w:rPr>
          <w:rFonts w:eastAsia="Arial" w:cs="Arial"/>
          <w:szCs w:val="22"/>
        </w:rPr>
        <w:t>10.2.1.13. Guardar sigilo sobre todas as informações obtidas em decorrência do cumprimento do contrato.</w:t>
      </w:r>
    </w:p>
    <w:p>
      <w:pPr>
        <w:pStyle w:val="Textbody"/>
        <w:tabs>
          <w:tab w:val="clear" w:pos="708"/>
          <w:tab w:val="left" w:pos="-2184" w:leader="none"/>
          <w:tab w:val="left" w:pos="1077" w:leader="none"/>
        </w:tabs>
        <w:spacing w:lineRule="auto" w:line="240" w:before="0" w:after="0"/>
        <w:rPr/>
      </w:pPr>
      <w:r>
        <w:rPr>
          <w:rFonts w:eastAsia="Arial" w:cs="Arial"/>
          <w:szCs w:val="22"/>
        </w:rPr>
        <w:t>10.2.1.14.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14.133/2021</w:t>
      </w:r>
      <w:r>
        <w:fldChar w:fldCharType="begin"/>
      </w:r>
      <w:r>
        <w:rPr>
          <w:rStyle w:val="LinkdaInternet"/>
          <w:szCs w:val="22"/>
          <w:rFonts w:eastAsia="Arial" w:cs="Arial"/>
        </w:rPr>
        <w:instrText xml:space="preserve"> HYPERLINK "http://www.planalto.gov.br/ccivil_03/_ato2019-2022/2021/lei/L14133.htm" \l "art124"</w:instrText>
      </w:r>
      <w:r>
        <w:rPr>
          <w:rStyle w:val="LinkdaInternet"/>
          <w:szCs w:val="22"/>
          <w:rFonts w:eastAsia="Arial" w:cs="Arial"/>
        </w:rPr>
        <w:fldChar w:fldCharType="separate"/>
      </w:r>
      <w:r>
        <w:rPr>
          <w:rStyle w:val="LinkdaInternet"/>
          <w:rFonts w:eastAsia="Arial" w:cs="Arial"/>
          <w:szCs w:val="22"/>
        </w:rPr>
        <w:t>.</w:t>
      </w:r>
      <w:r>
        <w:rPr>
          <w:rStyle w:val="LinkdaInternet"/>
          <w:szCs w:val="22"/>
          <w:rFonts w:eastAsia="Arial" w:cs="Arial"/>
        </w:rPr>
        <w:fldChar w:fldCharType="end"/>
      </w:r>
    </w:p>
    <w:p>
      <w:pPr>
        <w:pStyle w:val="Textbody"/>
        <w:tabs>
          <w:tab w:val="clear" w:pos="708"/>
          <w:tab w:val="left" w:pos="-2184" w:leader="none"/>
          <w:tab w:val="left" w:pos="1077" w:leader="none"/>
        </w:tabs>
        <w:spacing w:lineRule="auto" w:line="240" w:before="0" w:after="0"/>
        <w:rPr>
          <w:rFonts w:cs="Arial"/>
          <w:i/>
          <w:i/>
          <w:iCs/>
          <w:color w:val="000000"/>
          <w:szCs w:val="22"/>
          <w:shd w:fill="FFFF00" w:val="clear"/>
        </w:rPr>
      </w:pPr>
      <w:r>
        <w:rPr>
          <w:rFonts w:eastAsia="Arial" w:cs="Arial"/>
          <w:szCs w:val="22"/>
        </w:rPr>
        <w:t>10.2.1.15. Não permitir a utilização de qualquer trabalho do menor de dezesseis anos, exceto na condição de aprendiz para os maiores de quatorze anos, nem permitir a utilização do trabalho do menor de dezoito anos em trabalho noturno, perigoso ou insalubre.</w:t>
      </w:r>
    </w:p>
    <w:p>
      <w:pPr>
        <w:pStyle w:val="Textbody"/>
        <w:tabs>
          <w:tab w:val="clear" w:pos="708"/>
          <w:tab w:val="left" w:pos="-2184" w:leader="none"/>
          <w:tab w:val="left" w:pos="1077" w:leader="none"/>
        </w:tabs>
        <w:spacing w:lineRule="auto" w:line="240" w:before="0" w:after="0"/>
        <w:rPr>
          <w:rFonts w:cs="Arial"/>
          <w:i/>
          <w:i/>
          <w:iCs/>
          <w:color w:val="000000"/>
          <w:szCs w:val="22"/>
          <w:shd w:fill="FFFF00" w:val="clear"/>
        </w:rPr>
      </w:pPr>
      <w:r>
        <w:rPr>
          <w:rFonts w:eastAsia="Arial" w:cs="Arial"/>
          <w:szCs w:val="22"/>
        </w:rPr>
        <w:t>10.2.1.16. Promover, se for o caso, a guarda, manutenção e vigilância de materiais, ferramentas, e tudo o que for necessário à execução do objeto, durante a vigência do contrato.</w:t>
      </w:r>
    </w:p>
    <w:p>
      <w:pPr>
        <w:pStyle w:val="Textbody"/>
        <w:tabs>
          <w:tab w:val="clear" w:pos="708"/>
          <w:tab w:val="left" w:pos="-2184" w:leader="none"/>
          <w:tab w:val="left" w:pos="1077" w:leader="none"/>
        </w:tabs>
        <w:spacing w:lineRule="auto" w:line="240" w:before="0" w:after="0"/>
        <w:rPr>
          <w:rFonts w:cs="Arial"/>
          <w:i/>
          <w:i/>
          <w:iCs/>
          <w:color w:val="000000"/>
          <w:szCs w:val="22"/>
          <w:shd w:fill="FFFF00" w:val="clear"/>
        </w:rPr>
      </w:pPr>
      <w:r>
        <w:rPr>
          <w:rFonts w:eastAsia="Arial" w:cs="Arial"/>
          <w:szCs w:val="22"/>
        </w:rPr>
        <w:t>10.2.1.17. Providenciar a substituição de qualquer profissional envolvido na execução do objeto contratual, cuja conduta seja considerada indesejável pela fiscalização do contratante.</w:t>
      </w:r>
    </w:p>
    <w:p>
      <w:pPr>
        <w:pStyle w:val="Textbody"/>
        <w:tabs>
          <w:tab w:val="clear" w:pos="708"/>
          <w:tab w:val="left" w:pos="-2184" w:leader="none"/>
          <w:tab w:val="left" w:pos="1077" w:leader="none"/>
        </w:tabs>
        <w:spacing w:lineRule="auto" w:line="240" w:before="0" w:after="0"/>
        <w:rPr>
          <w:rFonts w:cs="Arial"/>
          <w:i/>
          <w:i/>
          <w:iCs/>
          <w:color w:val="000000"/>
          <w:szCs w:val="22"/>
          <w:shd w:fill="FFFF00" w:val="clear"/>
        </w:rPr>
      </w:pPr>
      <w:r>
        <w:rPr>
          <w:rFonts w:eastAsia="Arial" w:cs="Arial"/>
          <w:szCs w:val="22"/>
        </w:rPr>
        <w:t xml:space="preserve">10.2.1.18. </w:t>
      </w:r>
      <w:r>
        <w:rPr>
          <w:rFonts w:cs="Arial"/>
          <w:szCs w:val="22"/>
        </w:rPr>
        <w:t>Respeitar os princípios de proteção de dados pessoais elencados na Lei Geral de Proteção de Dados, Lei nº 13.709 de 14 de agosto de 2018 e suas alterações.</w:t>
      </w:r>
    </w:p>
    <w:p>
      <w:pPr>
        <w:pStyle w:val="Textbody"/>
        <w:spacing w:lineRule="auto" w:line="240" w:before="0" w:after="0"/>
        <w:rPr>
          <w:rFonts w:cs="Arial"/>
          <w:color w:val="000000"/>
          <w:szCs w:val="22"/>
        </w:rPr>
      </w:pPr>
      <w:r>
        <w:rPr>
          <w:rFonts w:cs="Arial"/>
          <w:color w:val="000000"/>
          <w:szCs w:val="22"/>
        </w:rPr>
      </w:r>
    </w:p>
    <w:p>
      <w:pPr>
        <w:pStyle w:val="Textbody"/>
        <w:spacing w:lineRule="auto" w:line="240" w:before="0" w:after="0"/>
        <w:rPr>
          <w:rFonts w:cs="Arial"/>
          <w:color w:val="000000"/>
          <w:szCs w:val="22"/>
        </w:rPr>
      </w:pPr>
      <w:r>
        <w:rPr>
          <w:rFonts w:eastAsia="Arial" w:cs="Arial"/>
          <w:b/>
          <w:bCs/>
          <w:szCs w:val="22"/>
        </w:rPr>
        <w:t>CLÁUSULA DÉCIMA PRIMEIRA – DAS OBRIGAÇÕES PERTINENTES À LEI DE PROTEÇÃO DE DADOS PESSOAIS (LGPD)</w:t>
      </w:r>
    </w:p>
    <w:p>
      <w:pPr>
        <w:pStyle w:val="Nvel2-Red"/>
        <w:spacing w:lineRule="auto" w:line="240" w:before="0" w:after="0"/>
        <w:rPr>
          <w:color w:val="00000A"/>
          <w:sz w:val="22"/>
          <w:szCs w:val="22"/>
        </w:rPr>
      </w:pPr>
      <w:r>
        <w:rPr>
          <w:i w:val="false"/>
          <w:iCs w:val="false"/>
          <w:color w:val="00000A"/>
          <w:sz w:val="22"/>
          <w:szCs w:val="22"/>
        </w:rPr>
        <w:t>11.1. O CONTRATADO declara que tem ciência da existência da LGPD e se compromete a adequar todos os procedimentos internos ao disposto na legislação, com o intuito de proteger os dados pessoais que lhe forem repassados, cumprindo, a todo momento, as normas de proteção de dados pessoais, jamais colocando, por seus atos ou por sua omissão, o CONTRATANTE em situação de violação de tais regras.</w:t>
      </w:r>
    </w:p>
    <w:p>
      <w:pPr>
        <w:pStyle w:val="Nvel2-Red"/>
        <w:spacing w:lineRule="auto" w:line="240" w:before="0" w:after="0"/>
        <w:rPr>
          <w:sz w:val="22"/>
          <w:szCs w:val="22"/>
        </w:rPr>
      </w:pPr>
      <w:r>
        <w:rPr>
          <w:i w:val="false"/>
          <w:iCs w:val="false"/>
          <w:color w:val="00000A"/>
          <w:sz w:val="22"/>
          <w:szCs w:val="22"/>
        </w:rPr>
        <w:t>11</w:t>
      </w:r>
      <w:r>
        <w:rPr>
          <w:rFonts w:eastAsia="Arial"/>
          <w:i w:val="false"/>
          <w:iCs w:val="false"/>
          <w:color w:val="00000A"/>
          <w:sz w:val="22"/>
          <w:szCs w:val="22"/>
        </w:rPr>
        <w:t>.</w:t>
      </w:r>
      <w:r>
        <w:rPr>
          <w:i w:val="false"/>
          <w:iCs w:val="false"/>
          <w:color w:val="00000A"/>
          <w:sz w:val="22"/>
          <w:szCs w:val="22"/>
        </w:rPr>
        <w:t>1.1</w:t>
      </w:r>
      <w:r>
        <w:rPr>
          <w:rFonts w:eastAsia="Arial"/>
          <w:i w:val="false"/>
          <w:iCs w:val="false"/>
          <w:color w:val="00000A"/>
          <w:sz w:val="22"/>
          <w:szCs w:val="22"/>
        </w:rPr>
        <w:t>. O CONTRATADO somente poderá tratar dados pessoais nos limites e finalidades exclusivas do cumprimento de suas obrigações com base no presente contrato e jamais poderá realizar o tratamento para fins distintos do fornecimento e/ou da execução dos serviços especificados no certame ou no contrato administrativo.</w:t>
      </w:r>
    </w:p>
    <w:p>
      <w:pPr>
        <w:pStyle w:val="Nvel2-Red"/>
        <w:spacing w:lineRule="auto" w:line="240" w:before="0" w:after="0"/>
        <w:rPr/>
      </w:pPr>
      <w:r>
        <w:rPr>
          <w:i w:val="false"/>
          <w:iCs w:val="false"/>
          <w:color w:val="00000A"/>
          <w:sz w:val="22"/>
          <w:szCs w:val="22"/>
        </w:rPr>
        <w:t>11.2. O tratamento de dados pessoais será realizado de acordo com as hipóteses de tratamento previstas nos arts. 7º, 11, 14, 23, 24 e 26 da LGPD e somente para propósitos legítimos, específicos, explícitos e informados ao titular, observando a persecução do interesse público e os princípios do art.</w:t>
      </w:r>
      <w:r>
        <w:fldChar w:fldCharType="begin"/>
      </w:r>
      <w:r>
        <w:rPr>
          <w:sz w:val="22"/>
          <w:i w:val="false"/>
          <w:szCs w:val="22"/>
          <w:iCs w:val="false"/>
          <w:color w:val="00000A"/>
        </w:rPr>
        <w:instrText xml:space="preserve"> HYPERLINK "https://www.planalto.gov.br/ccivil_03/_ato2015-2018/2018/lei/l13709.htm" \l "art6"</w:instrText>
      </w:r>
      <w:r>
        <w:rPr>
          <w:sz w:val="22"/>
          <w:i w:val="false"/>
          <w:szCs w:val="22"/>
          <w:iCs w:val="false"/>
          <w:color w:val="00000A"/>
        </w:rPr>
        <w:fldChar w:fldCharType="separate"/>
      </w:r>
      <w:r>
        <w:rPr>
          <w:i w:val="false"/>
          <w:iCs w:val="false"/>
          <w:color w:val="00000A"/>
          <w:sz w:val="22"/>
          <w:szCs w:val="22"/>
        </w:rPr>
        <w:t xml:space="preserve"> 6º</w:t>
      </w:r>
      <w:r>
        <w:rPr>
          <w:sz w:val="22"/>
          <w:i w:val="false"/>
          <w:szCs w:val="22"/>
          <w:iCs w:val="false"/>
          <w:color w:val="00000A"/>
        </w:rPr>
        <w:fldChar w:fldCharType="end"/>
      </w:r>
      <w:r>
        <w:rPr>
          <w:i w:val="false"/>
          <w:iCs w:val="false"/>
          <w:color w:val="00000A"/>
          <w:sz w:val="22"/>
          <w:szCs w:val="22"/>
        </w:rPr>
        <w:t xml:space="preserve"> da LGPD e 37 da Constituição Federal de 1988.</w:t>
      </w:r>
    </w:p>
    <w:p>
      <w:pPr>
        <w:pStyle w:val="Nvel2-Red"/>
        <w:spacing w:lineRule="auto" w:line="240" w:before="0" w:after="0"/>
        <w:rPr>
          <w:color w:val="00000A"/>
          <w:sz w:val="22"/>
          <w:szCs w:val="22"/>
        </w:rPr>
      </w:pPr>
      <w:r>
        <w:rPr>
          <w:i w:val="false"/>
          <w:iCs w:val="false"/>
          <w:color w:val="00000A"/>
          <w:sz w:val="22"/>
          <w:szCs w:val="22"/>
        </w:rPr>
        <w:t>11.3. O CONTRATADO deverá indicar, no prazo máximo de 5 (cinco) dias úteis da publicação do Contrato, a identidade e informações de contato do seu Encarregado de Proteção de Dados, bem como, se aplicável, o endereço da página eletrônica onde essa designação é realizada, conforme estabelecido no § 1º do art. 41 da LGPD e se compromete a manter o CONTRATANTE informado sobre os dados atualizados de contato de seu Encarregado de Tratamento de Dados Pessoais, sempre que for substituído, independentemente das alterações em sua página eletrônica.</w:t>
      </w:r>
    </w:p>
    <w:p>
      <w:pPr>
        <w:pStyle w:val="Nvel2-Red"/>
        <w:spacing w:lineRule="auto" w:line="240" w:before="0" w:after="0"/>
        <w:rPr>
          <w:color w:val="00000A"/>
          <w:sz w:val="22"/>
          <w:szCs w:val="22"/>
        </w:rPr>
      </w:pPr>
      <w:r>
        <w:rPr>
          <w:i w:val="false"/>
          <w:iCs w:val="false"/>
          <w:color w:val="00000A"/>
          <w:sz w:val="22"/>
          <w:szCs w:val="22"/>
        </w:rPr>
        <w:t>11.4. O CONTRATADO deverá cooperar com a Administração Direta e Indireta do Estado do Ceará no cumprimento das obrigações referentes ao exercício dos direitos dos Titulares previstos na LGPD e nas Leis e Regulamentos de Proteção de Dados em vigor e também no atendimento de requisições e determinações do Poder Judiciário, Ministério Público e Órgãos de Controle, quando relacionados ao objeto contratual.</w:t>
      </w:r>
    </w:p>
    <w:p>
      <w:pPr>
        <w:pStyle w:val="Nvel2-Red"/>
        <w:spacing w:lineRule="auto" w:line="240" w:before="0" w:after="0"/>
        <w:rPr>
          <w:sz w:val="22"/>
          <w:szCs w:val="22"/>
        </w:rPr>
      </w:pPr>
      <w:r>
        <w:rPr>
          <w:i w:val="false"/>
          <w:iCs w:val="false"/>
          <w:color w:val="00000A"/>
          <w:sz w:val="22"/>
          <w:szCs w:val="22"/>
        </w:rPr>
        <w:t>11.5. O</w:t>
      </w:r>
      <w:r>
        <w:rPr>
          <w:rFonts w:eastAsia="Arial"/>
          <w:i w:val="false"/>
          <w:iCs w:val="false"/>
          <w:color w:val="00000A"/>
          <w:sz w:val="22"/>
          <w:szCs w:val="22"/>
        </w:rPr>
        <w:t xml:space="preserve"> CONTRATADO não poderá disponibilizar ou transmitir a terceiros, sem prévia autorização por escrito, informação, dados pessoais ou base de dados a que tenha acesso em razão do cumprimento do objeto deste instrumento contratual.</w:t>
      </w:r>
    </w:p>
    <w:p>
      <w:pPr>
        <w:pStyle w:val="Nvel2-Red"/>
        <w:spacing w:lineRule="auto" w:line="240" w:before="0" w:after="0"/>
        <w:rPr>
          <w:sz w:val="22"/>
          <w:szCs w:val="22"/>
        </w:rPr>
      </w:pPr>
      <w:r>
        <w:rPr>
          <w:rFonts w:eastAsia="Arial"/>
          <w:i w:val="false"/>
          <w:iCs w:val="false"/>
          <w:color w:val="00000A"/>
          <w:sz w:val="22"/>
          <w:szCs w:val="22"/>
        </w:rPr>
        <w:t>11.5.1. Caso autorizada transmissão de dados pelo CONTRATADO a terceiros, as informações fornecidas e/ou compartilhadas devem se limitar ao estritamente necessário para o fiel desempenho da execução do instrumento contratual, adotando procedimentos de segurança que assegurem a sua confidencialidade, integridade e disponibilidade dos dados.</w:t>
      </w:r>
    </w:p>
    <w:p>
      <w:pPr>
        <w:pStyle w:val="Nvel2-Red"/>
        <w:spacing w:lineRule="auto" w:line="240" w:before="0" w:after="0"/>
        <w:rPr>
          <w:sz w:val="22"/>
          <w:szCs w:val="22"/>
        </w:rPr>
      </w:pPr>
      <w:r>
        <w:rPr>
          <w:rFonts w:eastAsia="Arial"/>
          <w:i w:val="false"/>
          <w:iCs w:val="false"/>
          <w:color w:val="00000A"/>
          <w:sz w:val="22"/>
          <w:szCs w:val="22"/>
        </w:rPr>
        <w:t>11.5.2. As PARTES se obrigam a zelar pelo sigilo dos dados, garantindo que apenas as pessoas que efetivamente precisam acessá-los o façam, submetendo-as, em todo caso, ao dever de confidencialidade.</w:t>
      </w:r>
    </w:p>
    <w:p>
      <w:pPr>
        <w:pStyle w:val="Nvel2-Red"/>
        <w:spacing w:lineRule="auto" w:line="240" w:before="0" w:after="0"/>
        <w:rPr/>
      </w:pPr>
      <w:r>
        <w:rPr>
          <w:i w:val="false"/>
          <w:iCs w:val="false"/>
          <w:color w:val="00000A"/>
          <w:sz w:val="22"/>
          <w:szCs w:val="22"/>
        </w:rPr>
        <w:t>11.6. Ocorrendo o término do tratamento dos dados nos termos do</w:t>
      </w:r>
      <w:r>
        <w:fldChar w:fldCharType="begin"/>
      </w:r>
      <w:r>
        <w:rPr>
          <w:sz w:val="22"/>
          <w:i w:val="false"/>
          <w:szCs w:val="22"/>
          <w:iCs w:val="false"/>
          <w:color w:val="00000A"/>
        </w:rPr>
        <w:instrText xml:space="preserve"> HYPERLINK "https://www.planalto.gov.br/ccivil_03/_ato2015-2018/2018/lei/l13709.htm" \l "art15"</w:instrText>
      </w:r>
      <w:r>
        <w:rPr>
          <w:sz w:val="22"/>
          <w:i w:val="false"/>
          <w:szCs w:val="22"/>
          <w:iCs w:val="false"/>
          <w:color w:val="00000A"/>
        </w:rPr>
        <w:fldChar w:fldCharType="separate"/>
      </w:r>
      <w:r>
        <w:rPr>
          <w:i w:val="false"/>
          <w:iCs w:val="false"/>
          <w:color w:val="00000A"/>
          <w:sz w:val="22"/>
          <w:szCs w:val="22"/>
        </w:rPr>
        <w:t xml:space="preserve"> art. 15 da LGPD </w:t>
      </w:r>
      <w:r>
        <w:rPr>
          <w:sz w:val="22"/>
          <w:i w:val="false"/>
          <w:szCs w:val="22"/>
          <w:iCs w:val="false"/>
          <w:color w:val="00000A"/>
        </w:rPr>
        <w:fldChar w:fldCharType="end"/>
      </w:r>
      <w:r>
        <w:rPr>
          <w:i w:val="false"/>
          <w:iCs w:val="false"/>
          <w:color w:val="00000A"/>
          <w:sz w:val="22"/>
          <w:szCs w:val="22"/>
        </w:rPr>
        <w:t>é dever do CONTRATADO eliminá-los, com exceção das hipóteses do</w:t>
      </w:r>
      <w:r>
        <w:fldChar w:fldCharType="begin"/>
      </w:r>
      <w:r>
        <w:rPr>
          <w:sz w:val="22"/>
          <w:i w:val="false"/>
          <w:szCs w:val="22"/>
          <w:iCs w:val="false"/>
          <w:color w:val="00000A"/>
        </w:rPr>
        <w:instrText xml:space="preserve"> HYPERLINK "https://www.planalto.gov.br/ccivil_03/_ato2015-2018/2018/lei/l13709.htm" \l "art16"</w:instrText>
      </w:r>
      <w:r>
        <w:rPr>
          <w:sz w:val="22"/>
          <w:i w:val="false"/>
          <w:szCs w:val="22"/>
          <w:iCs w:val="false"/>
          <w:color w:val="00000A"/>
        </w:rPr>
        <w:fldChar w:fldCharType="separate"/>
      </w:r>
      <w:r>
        <w:rPr>
          <w:i w:val="false"/>
          <w:iCs w:val="false"/>
          <w:color w:val="00000A"/>
          <w:sz w:val="22"/>
          <w:szCs w:val="22"/>
        </w:rPr>
        <w:t xml:space="preserve"> art. 16 da m</w:t>
      </w:r>
      <w:r>
        <w:rPr>
          <w:sz w:val="22"/>
          <w:i w:val="false"/>
          <w:szCs w:val="22"/>
          <w:iCs w:val="false"/>
          <w:color w:val="00000A"/>
        </w:rPr>
        <w:fldChar w:fldCharType="end"/>
      </w:r>
      <w:r>
        <w:rPr>
          <w:i w:val="false"/>
          <w:iCs w:val="false"/>
          <w:color w:val="00000A"/>
          <w:sz w:val="22"/>
          <w:szCs w:val="22"/>
        </w:rPr>
        <w:t>esma lei, incluindo aquelas em que houver necessidade de guarda de documentação para fins de comprovação do cumprimento de obrigações legais ou contratuais e somente enquanto não prescritas essas obrigações.</w:t>
      </w:r>
    </w:p>
    <w:p>
      <w:pPr>
        <w:pStyle w:val="Nvel2-Red"/>
        <w:spacing w:lineRule="auto" w:line="240" w:before="0" w:after="0"/>
        <w:rPr>
          <w:color w:val="00000A"/>
          <w:sz w:val="22"/>
          <w:szCs w:val="22"/>
        </w:rPr>
      </w:pPr>
      <w:r>
        <w:rPr>
          <w:i w:val="false"/>
          <w:iCs w:val="false"/>
          <w:color w:val="00000A"/>
          <w:sz w:val="22"/>
          <w:szCs w:val="22"/>
        </w:rPr>
        <w:t>11.6.1. O CONTRATADO não poderá deter cópias ou backups, informações, dados pessoais e/ou base de dados a que tenha tido acesso durante a execução do cumprimento do objeto deste instrumento contratual.</w:t>
      </w:r>
    </w:p>
    <w:p>
      <w:pPr>
        <w:pStyle w:val="Nvel2-Red"/>
        <w:spacing w:lineRule="auto" w:line="240" w:before="0" w:after="0"/>
        <w:rPr>
          <w:color w:val="00000A"/>
          <w:sz w:val="22"/>
          <w:szCs w:val="22"/>
        </w:rPr>
      </w:pPr>
      <w:r>
        <w:rPr>
          <w:i w:val="false"/>
          <w:iCs w:val="false"/>
          <w:color w:val="00000A"/>
          <w:sz w:val="22"/>
          <w:szCs w:val="22"/>
        </w:rPr>
        <w:t>11.6.2. O CONTRATADO deverá eliminar os dados pessoais a que tiver conhecimento ou posse em razão do cumprimento do objeto deste instrumento contratual tão logo não haja necessidade de seu tratamento.</w:t>
      </w:r>
    </w:p>
    <w:p>
      <w:pPr>
        <w:pStyle w:val="Nvel2-Red"/>
        <w:spacing w:lineRule="auto" w:line="240" w:before="0" w:after="0"/>
        <w:rPr>
          <w:color w:val="00000A"/>
          <w:sz w:val="22"/>
          <w:szCs w:val="22"/>
        </w:rPr>
      </w:pPr>
      <w:r>
        <w:rPr>
          <w:i w:val="false"/>
          <w:iCs w:val="false"/>
          <w:color w:val="00000A"/>
          <w:sz w:val="22"/>
          <w:szCs w:val="22"/>
        </w:rPr>
        <w:t>11.6.3. O CONTRATADO fica obrigado a devolver todos os documentos, registros e cópias que contenham informação, dados pessoais, e/ou base de dados a que tenha tido acesso durante a execução do cumprimento do objeto deste instrumento contratual, no prazo de 30 (trinta) dias corridos, contados da data de qualquer uma das hipóteses de extinção do contrato, restando autorizada a conservação apenas nas hipóteses legalmente previstas,</w:t>
      </w:r>
    </w:p>
    <w:p>
      <w:pPr>
        <w:pStyle w:val="Nvel2-Red"/>
        <w:spacing w:lineRule="auto" w:line="240" w:before="0" w:after="0"/>
        <w:rPr>
          <w:sz w:val="22"/>
          <w:szCs w:val="22"/>
        </w:rPr>
      </w:pPr>
      <w:r>
        <w:rPr>
          <w:i w:val="false"/>
          <w:iCs w:val="false"/>
          <w:color w:val="00000A"/>
          <w:sz w:val="22"/>
          <w:szCs w:val="22"/>
        </w:rPr>
        <w:t xml:space="preserve">11.7. </w:t>
      </w:r>
      <w:r>
        <w:rPr>
          <w:rFonts w:eastAsia="Arial"/>
          <w:i w:val="false"/>
          <w:iCs w:val="false"/>
          <w:color w:val="00000A"/>
          <w:sz w:val="22"/>
          <w:szCs w:val="22"/>
        </w:rPr>
        <w:t>Caso as PARTES necessitem subcontratar atividades relacionadas ao certame/contrato em que haja tratamento dos dados, deverão exigir a vinculação do SUBCONTRATADO (suboperador) aos critérios definidos neste instrumento, fazendo-o assinar um termo de adesão ao presente contrato.</w:t>
      </w:r>
    </w:p>
    <w:p>
      <w:pPr>
        <w:pStyle w:val="Nvel2-Red"/>
        <w:tabs>
          <w:tab w:val="clear" w:pos="708"/>
          <w:tab w:val="left" w:pos="113" w:leader="none"/>
        </w:tabs>
        <w:spacing w:lineRule="auto" w:line="240" w:before="0" w:after="0"/>
        <w:rPr>
          <w:sz w:val="22"/>
          <w:szCs w:val="22"/>
        </w:rPr>
      </w:pPr>
      <w:r>
        <w:rPr>
          <w:i w:val="false"/>
          <w:iCs w:val="false"/>
          <w:color w:val="00000A"/>
          <w:sz w:val="22"/>
          <w:szCs w:val="22"/>
        </w:rPr>
        <w:t>11.7.1. O</w:t>
      </w:r>
      <w:r>
        <w:rPr>
          <w:rFonts w:eastAsia="Arial"/>
          <w:i w:val="false"/>
          <w:iCs w:val="false"/>
          <w:color w:val="00000A"/>
          <w:sz w:val="22"/>
          <w:szCs w:val="22"/>
        </w:rPr>
        <w:t xml:space="preserve"> CONTRATANTE deverá ser informado no prazo de 5 (cinco) dias úteis sobre todos os contratos de subcontratação (suboperadores) firmados ou que venham a ser celebrados pelo CONTRATADO.</w:t>
      </w:r>
    </w:p>
    <w:p>
      <w:pPr>
        <w:pStyle w:val="Nvel2-Red"/>
        <w:tabs>
          <w:tab w:val="clear" w:pos="708"/>
          <w:tab w:val="left" w:pos="113" w:leader="none"/>
        </w:tabs>
        <w:spacing w:lineRule="auto" w:line="240" w:before="0" w:after="0"/>
        <w:rPr>
          <w:sz w:val="22"/>
          <w:szCs w:val="22"/>
        </w:rPr>
      </w:pPr>
      <w:r>
        <w:rPr>
          <w:rFonts w:eastAsia="Arial"/>
          <w:i w:val="false"/>
          <w:iCs w:val="false"/>
          <w:color w:val="00000A"/>
          <w:sz w:val="22"/>
          <w:szCs w:val="22"/>
        </w:rPr>
        <w:t>11.7.2. Em caso de subcontratação, o CONTRATADO e o SUBCONTRATADO responderão em regime de solidariedade por eventuais danos causados aos titulares, o CONTRATANTE e a terceiros, em virtude de qualquer conduta comissiva ou omissiva inerente ao tratamento dos dados.</w:t>
      </w:r>
    </w:p>
    <w:p>
      <w:pPr>
        <w:pStyle w:val="Nvel2-Red"/>
        <w:tabs>
          <w:tab w:val="clear" w:pos="708"/>
          <w:tab w:val="left" w:pos="113" w:leader="none"/>
        </w:tabs>
        <w:spacing w:lineRule="auto" w:line="240" w:before="0" w:after="0"/>
        <w:rPr>
          <w:sz w:val="22"/>
          <w:szCs w:val="22"/>
        </w:rPr>
      </w:pPr>
      <w:r>
        <w:rPr>
          <w:rFonts w:eastAsia="Arial"/>
          <w:i w:val="false"/>
          <w:iCs w:val="false"/>
          <w:color w:val="00000A"/>
          <w:sz w:val="22"/>
          <w:szCs w:val="22"/>
        </w:rPr>
        <w:t>11.7.3. O CONTRATADO deverá assegurar que o subcontratado oferecerá o mesmo nível de segurança dos dados, produzindo e guardando evidências disso;</w:t>
      </w:r>
    </w:p>
    <w:p>
      <w:pPr>
        <w:pStyle w:val="Nvel3-R"/>
        <w:spacing w:lineRule="auto" w:line="240" w:before="0" w:after="0"/>
        <w:ind w:left="0" w:hanging="0"/>
        <w:rPr>
          <w:i w:val="false"/>
          <w:i w:val="false"/>
          <w:iCs w:val="false"/>
          <w:color w:val="00000A"/>
          <w:sz w:val="22"/>
          <w:szCs w:val="22"/>
        </w:rPr>
      </w:pPr>
      <w:r>
        <w:rPr>
          <w:i w:val="false"/>
          <w:iCs w:val="false"/>
          <w:color w:val="00000A"/>
          <w:sz w:val="22"/>
          <w:szCs w:val="22"/>
        </w:rPr>
        <w:t>11.8. As PARTES devem adotar boas práticas de governança e medidas técnicas e administrativas em relação ao tratamento dos dados, compatíveis com a estrutura, a escala e o volume de suas operações, bem como a sensibilidade dos dados tratados.</w:t>
      </w:r>
    </w:p>
    <w:p>
      <w:pPr>
        <w:pStyle w:val="Nvel2-Red"/>
        <w:spacing w:lineRule="auto" w:line="240" w:before="0" w:after="0"/>
        <w:rPr>
          <w:color w:val="00000A"/>
          <w:sz w:val="22"/>
          <w:szCs w:val="22"/>
        </w:rPr>
      </w:pPr>
      <w:r>
        <w:rPr>
          <w:i w:val="false"/>
          <w:iCs w:val="false"/>
          <w:color w:val="00000A"/>
          <w:sz w:val="22"/>
          <w:szCs w:val="22"/>
        </w:rPr>
        <w:t>11.8.1. É dever do CONTRATADO orientar e treinar seus empregados sobre os deveres, requisitos e responsabilidades decorrentes da LGPD, inclusive dará conhecimento formal aos seus empregados das obrigações e condições acordadas nesta cláusula.</w:t>
      </w:r>
    </w:p>
    <w:p>
      <w:pPr>
        <w:pStyle w:val="Nvel2-Red"/>
        <w:spacing w:lineRule="auto" w:line="240" w:before="0" w:after="0"/>
        <w:rPr>
          <w:color w:val="00000A"/>
          <w:sz w:val="22"/>
          <w:szCs w:val="22"/>
        </w:rPr>
      </w:pPr>
      <w:r>
        <w:rPr>
          <w:i w:val="false"/>
          <w:iCs w:val="false"/>
          <w:color w:val="00000A"/>
          <w:sz w:val="22"/>
          <w:szCs w:val="22"/>
        </w:rPr>
        <w:t>11.8.2. O CONTRATADO se responsabilizará por assegurar que todos os seus colaboradores, consultores, fornecedores e/ou prestadores de serviços que, no exercício das suas atividades, tenham acesso e/ou conhecimento da informação e/ou dos dados pessoais, agirão de acordo com o presente contrato, com as leis de proteção de dados e que estes respeitem o dever de proteção, confidencialidade e sigilo, devendo estes assumir compromisso formal de preservar a confidencialidade e segurança de tais dados, documento que estar disponível em caráter permanente para exibição do CONTRATANTE, mediante solicitação.</w:t>
      </w:r>
    </w:p>
    <w:p>
      <w:pPr>
        <w:pStyle w:val="Nvel2-Red"/>
        <w:tabs>
          <w:tab w:val="clear" w:pos="708"/>
          <w:tab w:val="left" w:pos="993" w:leader="none"/>
          <w:tab w:val="left" w:pos="5742" w:leader="none"/>
        </w:tabs>
        <w:spacing w:lineRule="auto" w:line="240" w:before="0" w:after="0"/>
        <w:rPr>
          <w:sz w:val="22"/>
          <w:szCs w:val="22"/>
        </w:rPr>
      </w:pPr>
      <w:r>
        <w:rPr>
          <w:rFonts w:eastAsia="Arial"/>
          <w:i w:val="false"/>
          <w:iCs w:val="false"/>
          <w:color w:val="00000A"/>
          <w:sz w:val="22"/>
          <w:szCs w:val="22"/>
        </w:rPr>
        <w:t>11.8.3. O CONTRATADO deverá promover a revogação de todos os privilégios de acesso aos sistemas, informações e recursos do CONTRATANTE, em caso de desligamento de funcionário das atividades inerentes à execução do presente Contrato.</w:t>
      </w:r>
    </w:p>
    <w:p>
      <w:pPr>
        <w:pStyle w:val="Nvel2-Red"/>
        <w:tabs>
          <w:tab w:val="clear" w:pos="708"/>
          <w:tab w:val="left" w:pos="993" w:leader="none"/>
          <w:tab w:val="left" w:pos="5742" w:leader="none"/>
        </w:tabs>
        <w:spacing w:lineRule="auto" w:line="240" w:before="0" w:after="0"/>
        <w:rPr>
          <w:sz w:val="22"/>
          <w:szCs w:val="22"/>
        </w:rPr>
      </w:pPr>
      <w:r>
        <w:rPr>
          <w:rFonts w:eastAsia="Arial"/>
          <w:i w:val="false"/>
          <w:iCs w:val="false"/>
          <w:color w:val="00000A"/>
          <w:sz w:val="22"/>
          <w:szCs w:val="22"/>
        </w:rPr>
        <w:t>11.9. Em caso de incidente de segurança em relação aos dados tratados neste certame/contrato, que comprometa a confidencialidade, a integridade e a disponibilidade dos dados, a PARTE que sofreu o incidente deverá comunicar imediatamente a ocorrência a partir de uma notificação que conterá, no mínimo:</w:t>
      </w:r>
    </w:p>
    <w:p>
      <w:pPr>
        <w:pStyle w:val="Nvel2-Red"/>
        <w:tabs>
          <w:tab w:val="clear" w:pos="708"/>
          <w:tab w:val="left" w:pos="993" w:leader="none"/>
          <w:tab w:val="left" w:pos="5742" w:leader="none"/>
        </w:tabs>
        <w:spacing w:lineRule="auto" w:line="240" w:before="0" w:after="0"/>
        <w:rPr>
          <w:color w:val="00000A"/>
          <w:sz w:val="22"/>
          <w:szCs w:val="22"/>
        </w:rPr>
      </w:pPr>
      <w:r>
        <w:rPr>
          <w:i w:val="false"/>
          <w:iCs w:val="false"/>
          <w:color w:val="00000A"/>
          <w:sz w:val="22"/>
          <w:szCs w:val="22"/>
        </w:rPr>
        <w:t>a) Data e hora do incidente;</w:t>
      </w:r>
    </w:p>
    <w:p>
      <w:pPr>
        <w:pStyle w:val="Nvel2-Red"/>
        <w:tabs>
          <w:tab w:val="clear" w:pos="708"/>
          <w:tab w:val="left" w:pos="993" w:leader="none"/>
          <w:tab w:val="left" w:pos="5742" w:leader="none"/>
        </w:tabs>
        <w:spacing w:lineRule="auto" w:line="240" w:before="0" w:after="0"/>
        <w:rPr>
          <w:color w:val="00000A"/>
          <w:sz w:val="22"/>
          <w:szCs w:val="22"/>
        </w:rPr>
      </w:pPr>
      <w:r>
        <w:rPr>
          <w:i w:val="false"/>
          <w:iCs w:val="false"/>
          <w:color w:val="00000A"/>
          <w:sz w:val="22"/>
          <w:szCs w:val="22"/>
        </w:rPr>
        <w:t>b) Data e hora da ciência pela PARTE responsável;</w:t>
      </w:r>
    </w:p>
    <w:p>
      <w:pPr>
        <w:pStyle w:val="Nvel2-Red"/>
        <w:tabs>
          <w:tab w:val="clear" w:pos="708"/>
          <w:tab w:val="left" w:pos="993" w:leader="none"/>
          <w:tab w:val="left" w:pos="5742" w:leader="none"/>
        </w:tabs>
        <w:spacing w:lineRule="auto" w:line="240" w:before="0" w:after="0"/>
        <w:rPr>
          <w:color w:val="00000A"/>
          <w:sz w:val="22"/>
          <w:szCs w:val="22"/>
        </w:rPr>
      </w:pPr>
      <w:r>
        <w:rPr>
          <w:i w:val="false"/>
          <w:iCs w:val="false"/>
          <w:color w:val="00000A"/>
          <w:sz w:val="22"/>
          <w:szCs w:val="22"/>
        </w:rPr>
        <w:t>c) Descrição dos dados pessoais afetados;</w:t>
      </w:r>
    </w:p>
    <w:p>
      <w:pPr>
        <w:pStyle w:val="Nvel2-Red"/>
        <w:tabs>
          <w:tab w:val="clear" w:pos="708"/>
          <w:tab w:val="left" w:pos="993" w:leader="none"/>
          <w:tab w:val="left" w:pos="5742" w:leader="none"/>
        </w:tabs>
        <w:spacing w:lineRule="auto" w:line="240" w:before="0" w:after="0"/>
        <w:rPr>
          <w:color w:val="00000A"/>
          <w:sz w:val="22"/>
          <w:szCs w:val="22"/>
        </w:rPr>
      </w:pPr>
      <w:r>
        <w:rPr>
          <w:i w:val="false"/>
          <w:iCs w:val="false"/>
          <w:color w:val="00000A"/>
          <w:sz w:val="22"/>
          <w:szCs w:val="22"/>
        </w:rPr>
        <w:t>d) Número de titulares afetados;</w:t>
      </w:r>
    </w:p>
    <w:p>
      <w:pPr>
        <w:pStyle w:val="Nvel2-Red"/>
        <w:tabs>
          <w:tab w:val="clear" w:pos="708"/>
          <w:tab w:val="left" w:pos="993" w:leader="none"/>
          <w:tab w:val="left" w:pos="5742" w:leader="none"/>
        </w:tabs>
        <w:spacing w:lineRule="auto" w:line="240" w:before="0" w:after="0"/>
        <w:rPr>
          <w:color w:val="00000A"/>
          <w:sz w:val="22"/>
          <w:szCs w:val="22"/>
        </w:rPr>
      </w:pPr>
      <w:r>
        <w:rPr>
          <w:i w:val="false"/>
          <w:iCs w:val="false"/>
          <w:color w:val="00000A"/>
          <w:sz w:val="22"/>
          <w:szCs w:val="22"/>
        </w:rPr>
        <w:t>e) Relação dos titulares envolvidos;</w:t>
      </w:r>
    </w:p>
    <w:p>
      <w:pPr>
        <w:pStyle w:val="Nvel2-Red"/>
        <w:tabs>
          <w:tab w:val="clear" w:pos="708"/>
          <w:tab w:val="left" w:pos="993" w:leader="none"/>
          <w:tab w:val="left" w:pos="5742" w:leader="none"/>
        </w:tabs>
        <w:spacing w:lineRule="auto" w:line="240" w:before="0" w:after="0"/>
        <w:rPr>
          <w:color w:val="00000A"/>
          <w:sz w:val="22"/>
          <w:szCs w:val="22"/>
        </w:rPr>
      </w:pPr>
      <w:r>
        <w:rPr>
          <w:i w:val="false"/>
          <w:iCs w:val="false"/>
          <w:color w:val="00000A"/>
          <w:sz w:val="22"/>
          <w:szCs w:val="22"/>
        </w:rPr>
        <w:t>f) Riscos relacionados ao incidente;</w:t>
      </w:r>
    </w:p>
    <w:p>
      <w:pPr>
        <w:pStyle w:val="Nvel2-Red"/>
        <w:tabs>
          <w:tab w:val="clear" w:pos="708"/>
          <w:tab w:val="left" w:pos="993" w:leader="none"/>
          <w:tab w:val="left" w:pos="5742" w:leader="none"/>
        </w:tabs>
        <w:spacing w:lineRule="auto" w:line="240" w:before="0" w:after="0"/>
        <w:rPr>
          <w:color w:val="00000A"/>
          <w:sz w:val="22"/>
          <w:szCs w:val="22"/>
        </w:rPr>
      </w:pPr>
      <w:r>
        <w:rPr>
          <w:i w:val="false"/>
          <w:iCs w:val="false"/>
          <w:color w:val="00000A"/>
          <w:sz w:val="22"/>
          <w:szCs w:val="22"/>
        </w:rPr>
        <w:t>g) Indicação das medidas técnicas e de segurança utilizadas para a proteção dos dados;</w:t>
      </w:r>
    </w:p>
    <w:p>
      <w:pPr>
        <w:pStyle w:val="Nvel2-Red"/>
        <w:tabs>
          <w:tab w:val="clear" w:pos="708"/>
          <w:tab w:val="left" w:pos="993" w:leader="none"/>
          <w:tab w:val="left" w:pos="5742" w:leader="none"/>
        </w:tabs>
        <w:spacing w:lineRule="auto" w:line="240" w:before="0" w:after="0"/>
        <w:rPr>
          <w:color w:val="00000A"/>
          <w:sz w:val="22"/>
          <w:szCs w:val="22"/>
        </w:rPr>
      </w:pPr>
      <w:r>
        <w:rPr>
          <w:i w:val="false"/>
          <w:iCs w:val="false"/>
          <w:color w:val="00000A"/>
          <w:sz w:val="22"/>
          <w:szCs w:val="22"/>
        </w:rPr>
        <w:t>h) Motivos da demora, no caso de a comunicação não haver sido imediata;</w:t>
      </w:r>
    </w:p>
    <w:p>
      <w:pPr>
        <w:pStyle w:val="Nvel2-Red"/>
        <w:tabs>
          <w:tab w:val="clear" w:pos="708"/>
          <w:tab w:val="left" w:pos="993" w:leader="none"/>
          <w:tab w:val="left" w:pos="5742" w:leader="none"/>
        </w:tabs>
        <w:spacing w:lineRule="auto" w:line="240" w:before="0" w:after="0"/>
        <w:rPr>
          <w:color w:val="00000A"/>
          <w:sz w:val="22"/>
          <w:szCs w:val="22"/>
        </w:rPr>
      </w:pPr>
      <w:r>
        <w:rPr>
          <w:i w:val="false"/>
          <w:iCs w:val="false"/>
          <w:color w:val="00000A"/>
          <w:sz w:val="22"/>
          <w:szCs w:val="22"/>
        </w:rPr>
        <w:t>i) Medidas que foram ou que serão adotadas para reverter ou mitigar os efeitos do prejuízo;</w:t>
      </w:r>
    </w:p>
    <w:p>
      <w:pPr>
        <w:pStyle w:val="Nvel2-Red"/>
        <w:tabs>
          <w:tab w:val="clear" w:pos="708"/>
          <w:tab w:val="left" w:pos="993" w:leader="none"/>
          <w:tab w:val="left" w:pos="5742" w:leader="none"/>
        </w:tabs>
        <w:spacing w:lineRule="auto" w:line="240" w:before="0" w:after="0"/>
        <w:rPr>
          <w:color w:val="00000A"/>
          <w:sz w:val="22"/>
          <w:szCs w:val="22"/>
        </w:rPr>
      </w:pPr>
      <w:r>
        <w:rPr>
          <w:i w:val="false"/>
          <w:iCs w:val="false"/>
          <w:color w:val="00000A"/>
          <w:sz w:val="22"/>
          <w:szCs w:val="22"/>
        </w:rPr>
        <w:t>j) O contato do Encarregado de Proteção de Dados ou de outra pessoa junto a qual seja possível obter maiores informações sobre o ocorrido;</w:t>
      </w:r>
    </w:p>
    <w:p>
      <w:pPr>
        <w:pStyle w:val="Nvel2-Red"/>
        <w:tabs>
          <w:tab w:val="clear" w:pos="708"/>
          <w:tab w:val="left" w:pos="993" w:leader="none"/>
          <w:tab w:val="left" w:pos="5742" w:leader="none"/>
        </w:tabs>
        <w:spacing w:lineRule="auto" w:line="240" w:before="0" w:after="0"/>
        <w:rPr>
          <w:i w:val="false"/>
          <w:i w:val="false"/>
          <w:iCs w:val="false"/>
          <w:color w:val="00000A"/>
          <w:sz w:val="22"/>
          <w:szCs w:val="22"/>
        </w:rPr>
      </w:pPr>
      <w:r>
        <w:rPr>
          <w:i w:val="false"/>
          <w:iCs w:val="false"/>
          <w:color w:val="00000A"/>
          <w:sz w:val="22"/>
          <w:szCs w:val="22"/>
        </w:rPr>
        <w:t>11.9.1. Na hipótese descrita acima, as PARTES atuarão em regime de cooperação para:</w:t>
      </w:r>
    </w:p>
    <w:p>
      <w:pPr>
        <w:pStyle w:val="Nvel2-Red"/>
        <w:tabs>
          <w:tab w:val="clear" w:pos="708"/>
          <w:tab w:val="left" w:pos="993" w:leader="none"/>
          <w:tab w:val="left" w:pos="5742" w:leader="none"/>
        </w:tabs>
        <w:spacing w:lineRule="auto" w:line="240" w:before="0" w:after="0"/>
        <w:rPr>
          <w:color w:val="00000A"/>
          <w:sz w:val="22"/>
          <w:szCs w:val="22"/>
        </w:rPr>
      </w:pPr>
      <w:r>
        <w:rPr>
          <w:i w:val="false"/>
          <w:iCs w:val="false"/>
          <w:color w:val="00000A"/>
          <w:sz w:val="22"/>
          <w:szCs w:val="22"/>
        </w:rPr>
        <w:t>a) Definir e implementar as medidas necessárias para fazer cessar o incidente e minimizar seus impactos;</w:t>
      </w:r>
    </w:p>
    <w:p>
      <w:pPr>
        <w:pStyle w:val="Standard"/>
        <w:jc w:val="both"/>
        <w:rPr>
          <w:rFonts w:ascii="Arial" w:hAnsi="Arial" w:cs="Arial"/>
          <w:sz w:val="22"/>
          <w:szCs w:val="22"/>
        </w:rPr>
      </w:pPr>
      <w:r>
        <w:rPr>
          <w:rFonts w:cs="Arial" w:ascii="Arial" w:hAnsi="Arial"/>
          <w:sz w:val="22"/>
          <w:szCs w:val="22"/>
        </w:rPr>
        <w:t>b) Prover as informações necessárias à apuração do ocorrido no menor prazo possível;</w:t>
      </w:r>
    </w:p>
    <w:p>
      <w:pPr>
        <w:pStyle w:val="Nvel2-Red"/>
        <w:tabs>
          <w:tab w:val="clear" w:pos="708"/>
          <w:tab w:val="left" w:pos="993" w:leader="none"/>
          <w:tab w:val="left" w:pos="5742" w:leader="none"/>
        </w:tabs>
        <w:spacing w:lineRule="auto" w:line="240" w:before="0" w:after="0"/>
        <w:rPr>
          <w:i w:val="false"/>
          <w:i w:val="false"/>
          <w:iCs w:val="false"/>
          <w:color w:val="00000A"/>
          <w:sz w:val="22"/>
          <w:szCs w:val="22"/>
        </w:rPr>
      </w:pPr>
      <w:r>
        <w:rPr>
          <w:i w:val="false"/>
          <w:iCs w:val="false"/>
          <w:color w:val="00000A"/>
          <w:sz w:val="22"/>
          <w:szCs w:val="22"/>
        </w:rPr>
        <w:t>c) Definir o padrão de respostas a serem dadas aos titulares, terceiros, à ANPD e demais autoridades competentes.</w:t>
      </w:r>
    </w:p>
    <w:p>
      <w:pPr>
        <w:pStyle w:val="Nvel2-Red"/>
        <w:tabs>
          <w:tab w:val="clear" w:pos="708"/>
          <w:tab w:val="left" w:pos="993" w:leader="none"/>
          <w:tab w:val="left" w:pos="5742" w:leader="none"/>
        </w:tabs>
        <w:spacing w:lineRule="auto" w:line="240" w:before="0" w:after="0"/>
        <w:rPr>
          <w:color w:val="00000A"/>
          <w:sz w:val="22"/>
          <w:szCs w:val="22"/>
        </w:rPr>
      </w:pPr>
      <w:r>
        <w:rPr>
          <w:i w:val="false"/>
          <w:iCs w:val="false"/>
          <w:color w:val="00000A"/>
          <w:sz w:val="22"/>
          <w:szCs w:val="22"/>
        </w:rPr>
        <w:t>11.10. Os dados obtidos em razão deste contrato serão armazenados em um banco de dados seguro, com garantia de registro das transações realizadas na aplicação de acesso (</w:t>
      </w:r>
      <w:r>
        <w:rPr>
          <w:color w:val="00000A"/>
          <w:sz w:val="22"/>
          <w:szCs w:val="22"/>
        </w:rPr>
        <w:t>log</w:t>
      </w:r>
      <w:r>
        <w:rPr>
          <w:i w:val="false"/>
          <w:iCs w:val="false"/>
          <w:color w:val="00000A"/>
          <w:sz w:val="22"/>
          <w:szCs w:val="22"/>
        </w:rPr>
        <w:t>), adequado controle baseado em função (</w:t>
      </w:r>
      <w:r>
        <w:rPr>
          <w:color w:val="00000A"/>
          <w:sz w:val="22"/>
          <w:szCs w:val="22"/>
        </w:rPr>
        <w:t>role based access control</w:t>
      </w:r>
      <w:r>
        <w:rPr>
          <w:i w:val="false"/>
          <w:iCs w:val="false"/>
          <w:color w:val="00000A"/>
          <w:sz w:val="22"/>
          <w:szCs w:val="22"/>
        </w:rPr>
        <w:t>) e com transparente identificação do perfil dos credenciados, tudo estabelecido como forma de garantir inclusive a rastreabilidade de cada transação e a franca apuração, a qualquer momento, de desvios e falhas, vedado o compartilhamento dessas informações com terceiros;</w:t>
      </w:r>
    </w:p>
    <w:p>
      <w:pPr>
        <w:pStyle w:val="Nvel2-Red"/>
        <w:tabs>
          <w:tab w:val="clear" w:pos="708"/>
          <w:tab w:val="left" w:pos="993" w:leader="none"/>
          <w:tab w:val="left" w:pos="5742" w:leader="none"/>
        </w:tabs>
        <w:spacing w:lineRule="auto" w:line="240" w:before="0" w:after="0"/>
        <w:rPr>
          <w:i w:val="false"/>
          <w:i w:val="false"/>
          <w:iCs w:val="false"/>
          <w:color w:val="00000A"/>
          <w:sz w:val="22"/>
          <w:szCs w:val="22"/>
        </w:rPr>
      </w:pPr>
      <w:r>
        <w:rPr>
          <w:i w:val="false"/>
          <w:iCs w:val="false"/>
          <w:color w:val="00000A"/>
          <w:sz w:val="22"/>
          <w:szCs w:val="22"/>
        </w:rPr>
        <w:t>11.11. A critério do CONTRATANTE, o CONTRATADO poderá ser provocado a colaborar na elaboração do Relatório de Impacto à Proteção de Dados Pessoais, conforme a sensibilidade e o risco inerente dos serviços objeto deste contrato, no tocante a dados pessoais.</w:t>
      </w:r>
    </w:p>
    <w:p>
      <w:pPr>
        <w:pStyle w:val="Nvel2-Red"/>
        <w:tabs>
          <w:tab w:val="clear" w:pos="708"/>
          <w:tab w:val="left" w:pos="993" w:leader="none"/>
          <w:tab w:val="left" w:pos="5742" w:leader="none"/>
        </w:tabs>
        <w:spacing w:lineRule="auto" w:line="240" w:before="0" w:after="0"/>
        <w:rPr>
          <w:color w:val="00000A"/>
          <w:sz w:val="22"/>
          <w:szCs w:val="22"/>
        </w:rPr>
      </w:pPr>
      <w:r>
        <w:rPr>
          <w:i w:val="false"/>
          <w:iCs w:val="false"/>
          <w:color w:val="00000A"/>
          <w:sz w:val="22"/>
          <w:szCs w:val="22"/>
        </w:rPr>
        <w:t>11.12. O CONTRATADO indenizará o CONTRATANTE, em razão do não cumprimento das obrigações previstas nas leis, normas, regulamentos e recomendações das autoridades de proteção de dados com relação ao presente contrato, de quaisquer danos, prejuízos, custos e despesas, incluindo-se honorários advocatícios, multas, penalidades e eventuais dispêndios investigativos relativos a demandas administrativas ou judiciais propostas em face do CONTRATANTE a esse título.</w:t>
      </w:r>
    </w:p>
    <w:p>
      <w:pPr>
        <w:pStyle w:val="Nvel2-Red"/>
        <w:tabs>
          <w:tab w:val="clear" w:pos="708"/>
          <w:tab w:val="left" w:pos="993" w:leader="none"/>
          <w:tab w:val="left" w:pos="5742" w:leader="none"/>
        </w:tabs>
        <w:spacing w:lineRule="auto" w:line="240" w:before="0" w:after="0"/>
        <w:rPr>
          <w:i w:val="false"/>
          <w:i w:val="false"/>
          <w:iCs w:val="false"/>
          <w:color w:val="00000A"/>
          <w:sz w:val="22"/>
          <w:szCs w:val="22"/>
        </w:rPr>
      </w:pPr>
      <w:r>
        <w:rPr>
          <w:i w:val="false"/>
          <w:iCs w:val="false"/>
          <w:color w:val="00000A"/>
          <w:sz w:val="22"/>
          <w:szCs w:val="22"/>
        </w:rPr>
        <w:t>11.13. Em caso de responsabilização do Estado por danos e/ou violações à LGPD decorrentes do objeto do contrato, deverá ser apurado os danos que efetivamente cada uma das partes causarem ao titular dos dados, para fins de assegurar o direito de regresso do Estado nos termos da legislação.</w:t>
      </w:r>
    </w:p>
    <w:p>
      <w:pPr>
        <w:pStyle w:val="Nvel2-Red"/>
        <w:tabs>
          <w:tab w:val="clear" w:pos="708"/>
          <w:tab w:val="left" w:pos="993" w:leader="none"/>
          <w:tab w:val="left" w:pos="5742" w:leader="none"/>
        </w:tabs>
        <w:spacing w:lineRule="auto" w:line="240" w:before="0" w:after="0"/>
        <w:rPr>
          <w:i w:val="false"/>
          <w:i w:val="false"/>
          <w:iCs w:val="false"/>
          <w:color w:val="00000A"/>
          <w:sz w:val="22"/>
          <w:szCs w:val="22"/>
        </w:rPr>
      </w:pPr>
      <w:r>
        <w:rPr>
          <w:i w:val="false"/>
          <w:iCs w:val="false"/>
          <w:color w:val="00000A"/>
          <w:sz w:val="22"/>
          <w:szCs w:val="22"/>
        </w:rPr>
        <w:t>11.13.1. O CONTRATANTE poderá realizar diligência para aferir o cumprimento dessa cláusula, devendo o CONTRATADO atender prontamente eventuais pedidos de comprovação formulados.</w:t>
      </w:r>
    </w:p>
    <w:p>
      <w:pPr>
        <w:pStyle w:val="Nvel2-Red"/>
        <w:tabs>
          <w:tab w:val="clear" w:pos="708"/>
          <w:tab w:val="left" w:pos="993" w:leader="none"/>
          <w:tab w:val="left" w:pos="5742" w:leader="none"/>
        </w:tabs>
        <w:spacing w:lineRule="auto" w:line="240" w:before="0" w:after="0"/>
        <w:rPr>
          <w:sz w:val="22"/>
          <w:szCs w:val="22"/>
        </w:rPr>
      </w:pPr>
      <w:r>
        <w:rPr>
          <w:i w:val="false"/>
          <w:iCs w:val="false"/>
          <w:color w:val="00000A"/>
          <w:sz w:val="22"/>
          <w:szCs w:val="22"/>
        </w:rPr>
        <w:t>11.14. Os contratos e convênios de que trata o § 1º do art. 26 da Lei nº 13.709/2018 deverão ser comunicados à ANPD.</w:t>
      </w:r>
    </w:p>
    <w:p>
      <w:pPr>
        <w:pStyle w:val="Nvel2-Red"/>
        <w:tabs>
          <w:tab w:val="clear" w:pos="708"/>
          <w:tab w:val="left" w:pos="993" w:leader="none"/>
          <w:tab w:val="left" w:pos="5742" w:leader="none"/>
        </w:tabs>
        <w:spacing w:lineRule="auto" w:line="240" w:before="0" w:after="0"/>
        <w:rPr>
          <w:color w:val="00000A"/>
          <w:sz w:val="22"/>
          <w:szCs w:val="22"/>
        </w:rPr>
      </w:pPr>
      <w:r>
        <w:rPr>
          <w:i w:val="false"/>
          <w:iCs w:val="false"/>
          <w:color w:val="00000A"/>
          <w:sz w:val="22"/>
          <w:szCs w:val="22"/>
        </w:rPr>
        <w:t>11.15. Este instrumento pode ser alterado nos procedimentos pertinentes ao tratamento de dados pessoais, quando indicado pela autoridade competente, em especial a ANPD por meio de opiniões técnicas ou recomendações, editadas na forma da LGPD.</w:t>
      </w:r>
    </w:p>
    <w:p>
      <w:pPr>
        <w:pStyle w:val="Textbody"/>
        <w:tabs>
          <w:tab w:val="clear" w:pos="708"/>
          <w:tab w:val="left" w:pos="993" w:leader="none"/>
          <w:tab w:val="left" w:pos="5742" w:leader="none"/>
        </w:tabs>
        <w:spacing w:lineRule="auto" w:line="240" w:before="0" w:after="0"/>
        <w:rPr>
          <w:rFonts w:cs="Arial"/>
          <w:szCs w:val="22"/>
        </w:rPr>
      </w:pPr>
      <w:r>
        <w:rPr>
          <w:rFonts w:cs="Arial"/>
          <w:szCs w:val="22"/>
        </w:rPr>
      </w:r>
    </w:p>
    <w:p>
      <w:pPr>
        <w:pStyle w:val="Textbody"/>
        <w:tabs>
          <w:tab w:val="clear" w:pos="708"/>
          <w:tab w:val="left" w:pos="993" w:leader="none"/>
          <w:tab w:val="left" w:pos="5742" w:leader="none"/>
        </w:tabs>
        <w:spacing w:lineRule="auto" w:line="240" w:before="0" w:after="0"/>
        <w:rPr>
          <w:rFonts w:cs="Arial"/>
          <w:szCs w:val="22"/>
        </w:rPr>
      </w:pPr>
      <w:r>
        <w:rPr>
          <w:rFonts w:eastAsia="Arial" w:cs="Arial"/>
          <w:b/>
          <w:bCs/>
          <w:szCs w:val="22"/>
        </w:rPr>
        <w:t>CLÁUSULA DÉCIMA SEGUNDA – DA GARANTIA DE EXECUÇÃO</w:t>
      </w:r>
    </w:p>
    <w:p>
      <w:pPr>
        <w:pStyle w:val="Textbody"/>
        <w:tabs>
          <w:tab w:val="clear" w:pos="708"/>
          <w:tab w:val="left" w:pos="993" w:leader="none"/>
          <w:tab w:val="left" w:pos="5742" w:leader="none"/>
        </w:tabs>
        <w:spacing w:lineRule="auto" w:line="240" w:before="0" w:after="0"/>
        <w:rPr>
          <w:rFonts w:cs="Arial"/>
          <w:szCs w:val="22"/>
        </w:rPr>
      </w:pPr>
      <w:r>
        <w:rPr>
          <w:rFonts w:eastAsia="Arial" w:cs="Arial"/>
          <w:szCs w:val="22"/>
        </w:rPr>
        <w:t xml:space="preserve">12.1. A contratação conta com garantia de execução, nos moldes do art. 96 da Lei nº 14.133/2021, em valor correspondente </w:t>
      </w:r>
      <w:r>
        <w:rPr>
          <w:rFonts w:eastAsia="Arial" w:cs="Arial"/>
          <w:bCs/>
          <w:szCs w:val="22"/>
        </w:rPr>
        <w:t>5% (cinco por cento)</w:t>
      </w:r>
      <w:r>
        <w:rPr>
          <w:rFonts w:eastAsia="Arial" w:cs="Arial"/>
          <w:szCs w:val="22"/>
        </w:rPr>
        <w:t xml:space="preserve"> do valor contratual, que deverá ser prestada antes da assinatura deste instrumento.</w:t>
      </w:r>
    </w:p>
    <w:p>
      <w:pPr>
        <w:pStyle w:val="Standard"/>
        <w:jc w:val="both"/>
        <w:rPr>
          <w:rFonts w:ascii="Arial" w:hAnsi="Arial" w:cs="Arial"/>
          <w:sz w:val="22"/>
          <w:szCs w:val="22"/>
        </w:rPr>
      </w:pPr>
      <w:r>
        <w:rPr>
          <w:rFonts w:eastAsia="Arial" w:cs="Arial" w:ascii="Arial" w:hAnsi="Arial"/>
          <w:sz w:val="22"/>
          <w:szCs w:val="22"/>
        </w:rPr>
        <w:t xml:space="preserve">12.2. </w:t>
      </w:r>
      <w:r>
        <w:rPr>
          <w:rStyle w:val="Normaltextrun"/>
          <w:rFonts w:eastAsia="Arial" w:cs="Arial" w:ascii="Arial" w:hAnsi="Arial"/>
          <w:b w:val="false"/>
          <w:bCs w:val="false"/>
          <w:i w:val="false"/>
          <w:iCs w:val="false"/>
          <w:color w:val="000000"/>
          <w:sz w:val="22"/>
          <w:szCs w:val="22"/>
          <w:u w:val="none"/>
          <w:shd w:fill="auto" w:val="clear"/>
          <w:lang w:val="pt-BR"/>
        </w:rPr>
        <w:t>U</w:t>
      </w:r>
      <w:r>
        <w:rPr>
          <w:rStyle w:val="Fontepargpadro"/>
          <w:rFonts w:eastAsia="Arial" w:cs="Arial" w:ascii="Arial" w:hAnsi="Arial"/>
          <w:b w:val="false"/>
          <w:bCs w:val="false"/>
          <w:i w:val="false"/>
          <w:iCs w:val="false"/>
          <w:color w:val="000000"/>
          <w:sz w:val="22"/>
          <w:szCs w:val="22"/>
          <w:u w:val="none"/>
          <w:shd w:fill="auto" w:val="clear"/>
          <w:lang w:val="pt-BR"/>
        </w:rPr>
        <w:t>tili</w:t>
      </w:r>
      <w:r>
        <w:rPr>
          <w:rStyle w:val="Fontepargpadro"/>
          <w:rFonts w:eastAsia="Arial" w:cs="Arial" w:ascii="Arial" w:hAnsi="Arial"/>
          <w:b w:val="false"/>
          <w:bCs w:val="false"/>
          <w:i w:val="false"/>
          <w:iCs w:val="false"/>
          <w:color w:val="000000"/>
          <w:sz w:val="22"/>
          <w:szCs w:val="22"/>
          <w:u w:val="none"/>
          <w:shd w:fill="auto" w:val="clear"/>
          <w:lang w:val="pt-BR" w:eastAsia="en-US"/>
        </w:rPr>
        <w:t xml:space="preserve">zada a modalidade </w:t>
      </w:r>
      <w:r>
        <w:rPr>
          <w:rStyle w:val="Fontepargpadro"/>
          <w:rFonts w:eastAsia="Arial" w:cs="Arial" w:ascii="Arial" w:hAnsi="Arial"/>
          <w:b w:val="false"/>
          <w:bCs w:val="false"/>
          <w:i w:val="false"/>
          <w:iCs w:val="false"/>
          <w:color w:val="000000"/>
          <w:sz w:val="22"/>
          <w:szCs w:val="22"/>
          <w:u w:val="none"/>
          <w:shd w:fill="auto" w:val="clear"/>
          <w:lang w:val="pt-BR"/>
        </w:rPr>
        <w:t>de seguro-garantia, a</w:t>
      </w:r>
      <w:r>
        <w:rPr>
          <w:rStyle w:val="Normaltextrun"/>
          <w:rFonts w:eastAsia="Arial" w:cs="Arial" w:ascii="Arial" w:hAnsi="Arial"/>
          <w:b w:val="false"/>
          <w:bCs w:val="false"/>
          <w:i w:val="false"/>
          <w:iCs w:val="false"/>
          <w:color w:val="000000"/>
          <w:sz w:val="22"/>
          <w:szCs w:val="22"/>
          <w:u w:val="none"/>
          <w:shd w:fill="auto" w:val="clear"/>
          <w:lang w:val="pt-BR"/>
        </w:rPr>
        <w:t xml:space="preserve"> apólice deverá ter validade durante a vigência do contrato e por mais 90 (noventa) dias após término deste prazo de vigência, permanecendo em vigor mesmo que o Contratado não pague o prêmio nas datas convencionadas.</w:t>
      </w:r>
    </w:p>
    <w:p>
      <w:pPr>
        <w:pStyle w:val="Standard"/>
        <w:jc w:val="both"/>
        <w:rPr>
          <w:rFonts w:ascii="Arial" w:hAnsi="Arial" w:cs="Arial"/>
          <w:sz w:val="22"/>
          <w:szCs w:val="22"/>
        </w:rPr>
      </w:pPr>
      <w:r>
        <w:rPr>
          <w:rFonts w:eastAsia="Arial" w:cs="Arial" w:ascii="Arial" w:hAnsi="Arial"/>
          <w:sz w:val="22"/>
          <w:szCs w:val="22"/>
        </w:rPr>
        <w:t>12.3. A apólice do seguro-garantia deverá acompanhar as modificações referentes à vigência do contrato principal mediante a emissão do respectivo endosso pela seguradora.</w:t>
      </w:r>
    </w:p>
    <w:p>
      <w:pPr>
        <w:pStyle w:val="Standard"/>
        <w:jc w:val="both"/>
        <w:rPr>
          <w:rFonts w:ascii="Arial" w:hAnsi="Arial" w:cs="Arial"/>
          <w:sz w:val="22"/>
          <w:szCs w:val="22"/>
        </w:rPr>
      </w:pPr>
      <w:r>
        <w:rPr>
          <w:rFonts w:eastAsia="Arial" w:cs="Arial" w:ascii="Arial" w:hAnsi="Arial"/>
          <w:sz w:val="22"/>
          <w:szCs w:val="22"/>
        </w:rPr>
        <w:t>12.4. Será permitida a substituição da apólice de seguro-garantia na data de renovação ou de aniversário, desde que mantidas as condições e coberturas da apólice vigente e nenhum período fique descoberto, ressalvado o disposto no subitem 12.6, deste instrumento de contrato.</w:t>
      </w:r>
    </w:p>
    <w:p>
      <w:pPr>
        <w:pStyle w:val="Standard"/>
        <w:jc w:val="both"/>
        <w:rPr>
          <w:rFonts w:ascii="Arial" w:hAnsi="Arial" w:cs="Arial"/>
          <w:sz w:val="22"/>
          <w:szCs w:val="22"/>
        </w:rPr>
      </w:pPr>
      <w:r>
        <w:rPr>
          <w:rFonts w:eastAsia="Arial" w:cs="Arial" w:ascii="Arial" w:hAnsi="Arial"/>
          <w:sz w:val="22"/>
          <w:szCs w:val="22"/>
        </w:rPr>
        <w:t>12.5. A garantia somente será liberada ou restituída após a fiel execução do contrato ou após a sua extinção por culpa exclusiva da Administração e, quando em dinheiro, será atualizada monetariamente</w:t>
      </w:r>
      <w:r>
        <w:rPr>
          <w:rStyle w:val="Fontepargpadro"/>
          <w:rFonts w:eastAsia="Arial" w:cs="Arial" w:ascii="Arial" w:hAnsi="Arial"/>
          <w:b w:val="false"/>
          <w:bCs w:val="false"/>
          <w:i w:val="false"/>
          <w:iCs w:val="false"/>
          <w:color w:val="000000"/>
          <w:sz w:val="22"/>
          <w:szCs w:val="22"/>
          <w:u w:val="none"/>
          <w:shd w:fill="auto" w:val="clear"/>
          <w:lang w:val="pt-BR"/>
        </w:rPr>
        <w:t>, conforme art. 100 da Lei nº 14.133/2021.</w:t>
      </w:r>
    </w:p>
    <w:p>
      <w:pPr>
        <w:pStyle w:val="Standard"/>
        <w:jc w:val="both"/>
        <w:rPr>
          <w:rFonts w:ascii="Arial" w:hAnsi="Arial" w:cs="Arial"/>
          <w:sz w:val="22"/>
          <w:szCs w:val="22"/>
        </w:rPr>
      </w:pPr>
      <w:r>
        <w:rPr>
          <w:rFonts w:eastAsia="Arial" w:cs="Arial" w:ascii="Arial" w:hAnsi="Arial"/>
          <w:sz w:val="22"/>
          <w:szCs w:val="22"/>
        </w:rPr>
        <w:t>12.6. Na hipótese de suspensão do contrato por ordem ou inadimplemento da Administração, o CONTRATADO ficará desobrigado de renovar a garantia ou de endossar a apólice de seguro até a ordem de reinício da execução ou o adimplemento pela Administração.</w:t>
      </w:r>
    </w:p>
    <w:p>
      <w:pPr>
        <w:pStyle w:val="Standard"/>
        <w:jc w:val="both"/>
        <w:rPr>
          <w:rFonts w:ascii="Arial" w:hAnsi="Arial" w:cs="Arial"/>
          <w:sz w:val="22"/>
          <w:szCs w:val="22"/>
        </w:rPr>
      </w:pPr>
      <w:r>
        <w:rPr>
          <w:rFonts w:eastAsia="Arial" w:cs="Arial" w:ascii="Arial" w:hAnsi="Arial"/>
          <w:sz w:val="22"/>
          <w:szCs w:val="22"/>
        </w:rPr>
        <w:t xml:space="preserve">12.7. </w:t>
      </w:r>
      <w:bookmarkStart w:id="5" w:name="_Ref118297166"/>
      <w:bookmarkEnd w:id="5"/>
      <w:r>
        <w:rPr>
          <w:rFonts w:eastAsia="Arial" w:cs="Arial" w:ascii="Arial" w:hAnsi="Arial"/>
          <w:sz w:val="22"/>
          <w:szCs w:val="22"/>
        </w:rPr>
        <w:t>A garantia assegurará qualquer que seja a modalidade escolhida, o pagamento de:</w:t>
      </w:r>
    </w:p>
    <w:p>
      <w:pPr>
        <w:pStyle w:val="Standard"/>
        <w:jc w:val="both"/>
        <w:rPr>
          <w:rFonts w:ascii="Arial" w:hAnsi="Arial" w:cs="Arial"/>
          <w:sz w:val="22"/>
          <w:szCs w:val="22"/>
        </w:rPr>
      </w:pPr>
      <w:r>
        <w:rPr>
          <w:rFonts w:eastAsia="Arial" w:cs="Arial" w:ascii="Arial" w:hAnsi="Arial"/>
          <w:sz w:val="22"/>
          <w:szCs w:val="22"/>
        </w:rPr>
        <w:t>12.7.1. Prejuízos advindos do não cumprimento do objeto do contrato e do não adimplemento das demais obrigações nele previstas;</w:t>
      </w:r>
    </w:p>
    <w:p>
      <w:pPr>
        <w:pStyle w:val="Standard"/>
        <w:jc w:val="both"/>
        <w:rPr>
          <w:rFonts w:ascii="Arial" w:hAnsi="Arial" w:cs="Arial"/>
          <w:sz w:val="22"/>
          <w:szCs w:val="22"/>
        </w:rPr>
      </w:pPr>
      <w:r>
        <w:rPr>
          <w:rFonts w:eastAsia="Arial" w:cs="Arial" w:ascii="Arial" w:hAnsi="Arial"/>
          <w:sz w:val="22"/>
          <w:szCs w:val="22"/>
        </w:rPr>
        <w:t>12.7.2. Multas moratórias e punitivas aplicadas pela Administração ao CONTRATADO; e</w:t>
      </w:r>
    </w:p>
    <w:p>
      <w:pPr>
        <w:pStyle w:val="Standard"/>
        <w:jc w:val="both"/>
        <w:rPr>
          <w:rFonts w:ascii="Arial" w:hAnsi="Arial" w:cs="Arial"/>
          <w:sz w:val="22"/>
          <w:szCs w:val="22"/>
        </w:rPr>
      </w:pPr>
      <w:r>
        <w:rPr>
          <w:rFonts w:eastAsia="Arial" w:cs="Arial" w:ascii="Arial" w:hAnsi="Arial"/>
          <w:sz w:val="22"/>
          <w:szCs w:val="22"/>
        </w:rPr>
        <w:t>12.7.3. Obrigações trabalhistas e previdenciárias de qualquer natureza e para com o FGTS, não adimplidas pelo CONTRATADO, quando couber.</w:t>
      </w:r>
    </w:p>
    <w:p>
      <w:pPr>
        <w:pStyle w:val="Standard"/>
        <w:jc w:val="both"/>
        <w:rPr>
          <w:rFonts w:ascii="Arial" w:hAnsi="Arial" w:cs="Arial"/>
          <w:sz w:val="22"/>
          <w:szCs w:val="22"/>
        </w:rPr>
      </w:pPr>
      <w:r>
        <w:rPr>
          <w:rFonts w:eastAsia="Arial" w:cs="Arial" w:ascii="Arial" w:hAnsi="Arial"/>
          <w:sz w:val="22"/>
          <w:szCs w:val="22"/>
        </w:rPr>
        <w:t>12.8. A modalidade seguro-garantia somente será aceita se contemplar todos os eventos indicados no subitem 12.7, observada a legislação que rege a matéria.</w:t>
      </w:r>
    </w:p>
    <w:p>
      <w:pPr>
        <w:pStyle w:val="Standard"/>
        <w:jc w:val="both"/>
        <w:rPr>
          <w:rFonts w:ascii="Arial" w:hAnsi="Arial" w:cs="Arial"/>
          <w:sz w:val="22"/>
          <w:szCs w:val="22"/>
        </w:rPr>
      </w:pPr>
      <w:r>
        <w:rPr>
          <w:rFonts w:eastAsia="Arial" w:cs="Arial" w:ascii="Arial" w:hAnsi="Arial"/>
          <w:sz w:val="22"/>
          <w:szCs w:val="22"/>
        </w:rPr>
        <w:t>12.9. A garantia em dinheiro deverá ser efetuada em favor do CONTRATANTE, em conta específica no Banco Bradesco S.A., com correção monetária.</w:t>
      </w:r>
    </w:p>
    <w:p>
      <w:pPr>
        <w:pStyle w:val="Standard"/>
        <w:jc w:val="both"/>
        <w:rPr>
          <w:rFonts w:ascii="Arial" w:hAnsi="Arial" w:cs="Arial"/>
          <w:sz w:val="22"/>
          <w:szCs w:val="22"/>
        </w:rPr>
      </w:pPr>
      <w:r>
        <w:rPr>
          <w:rFonts w:eastAsia="Arial" w:cs="Arial" w:ascii="Arial" w:hAnsi="Arial"/>
          <w:sz w:val="22"/>
          <w:szCs w:val="22"/>
        </w:rPr>
        <w:t xml:space="preserve">12.10. </w:t>
      </w:r>
      <w:r>
        <w:rPr>
          <w:rStyle w:val="Fontepargpadro"/>
          <w:rFonts w:eastAsia="Arial" w:cs="Arial" w:ascii="Arial" w:hAnsi="Arial"/>
          <w:b w:val="false"/>
          <w:bCs w:val="false"/>
          <w:i w:val="false"/>
          <w:iCs w:val="false"/>
          <w:color w:val="000000"/>
          <w:sz w:val="22"/>
          <w:szCs w:val="22"/>
          <w:u w:val="none"/>
          <w:shd w:fill="auto" w:val="clear"/>
          <w:lang w:val="pt-BR"/>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pPr>
        <w:pStyle w:val="Standard"/>
        <w:jc w:val="both"/>
        <w:rPr>
          <w:rFonts w:ascii="Arial" w:hAnsi="Arial" w:cs="Arial"/>
          <w:sz w:val="22"/>
          <w:szCs w:val="22"/>
        </w:rPr>
      </w:pPr>
      <w:r>
        <w:rPr>
          <w:rFonts w:eastAsia="Arial" w:cs="Arial" w:ascii="Arial" w:hAnsi="Arial"/>
          <w:sz w:val="22"/>
          <w:szCs w:val="22"/>
        </w:rPr>
        <w:t>12.11. No caso de garantia na modalidade de fiança bancária, deverá ser emitida por banco ou instituição financeira devidamente autorizada a operar no País pelo Banco Central do Brasil, e deverá constar expressa renúncia do fiador aos benefícios do art. 827 do Código Civil.</w:t>
      </w:r>
    </w:p>
    <w:p>
      <w:pPr>
        <w:pStyle w:val="Standard"/>
        <w:jc w:val="both"/>
        <w:rPr>
          <w:rFonts w:ascii="Arial" w:hAnsi="Arial" w:cs="Arial"/>
          <w:sz w:val="22"/>
          <w:szCs w:val="22"/>
        </w:rPr>
      </w:pPr>
      <w:r>
        <w:rPr>
          <w:rFonts w:eastAsia="Arial" w:cs="Arial" w:ascii="Arial" w:hAnsi="Arial"/>
          <w:sz w:val="22"/>
          <w:szCs w:val="22"/>
        </w:rPr>
        <w:t>12.12. No caso de alteração do valor do contrato, ou prorrogação de sua vigência, a garantia deverá ser ajustada ou renovada, seguindo os mesmos parâmetros utilizados quando da contratação.</w:t>
      </w:r>
    </w:p>
    <w:p>
      <w:pPr>
        <w:pStyle w:val="Standard"/>
        <w:jc w:val="both"/>
        <w:rPr>
          <w:rFonts w:ascii="Arial" w:hAnsi="Arial" w:cs="Arial"/>
          <w:sz w:val="22"/>
          <w:szCs w:val="22"/>
        </w:rPr>
      </w:pPr>
      <w:r>
        <w:rPr>
          <w:rFonts w:eastAsia="Arial" w:cs="Arial" w:ascii="Arial" w:hAnsi="Arial"/>
          <w:sz w:val="22"/>
          <w:szCs w:val="22"/>
        </w:rPr>
        <w:t xml:space="preserve">12.13. Se o valor da garantia for utilizado total ou parcialmente em pagamento de qualquer obrigação, o CONTRATADO obriga-se a fazer a respectiva reposição no prazo máximo de </w:t>
      </w:r>
      <w:r>
        <w:rPr>
          <w:rFonts w:eastAsia="Arial" w:cs="Arial" w:ascii="Arial" w:hAnsi="Arial"/>
          <w:bCs/>
          <w:sz w:val="22"/>
          <w:szCs w:val="22"/>
        </w:rPr>
        <w:t>10 (dez)</w:t>
      </w:r>
      <w:r>
        <w:rPr>
          <w:rFonts w:eastAsia="Arial" w:cs="Arial" w:ascii="Arial" w:hAnsi="Arial"/>
          <w:sz w:val="22"/>
          <w:szCs w:val="22"/>
        </w:rPr>
        <w:t xml:space="preserve"> dias úteis, contados da data em que for notificada.</w:t>
      </w:r>
    </w:p>
    <w:p>
      <w:pPr>
        <w:pStyle w:val="Standard"/>
        <w:jc w:val="both"/>
        <w:rPr>
          <w:rFonts w:ascii="Arial" w:hAnsi="Arial" w:cs="Arial"/>
          <w:sz w:val="22"/>
          <w:szCs w:val="22"/>
        </w:rPr>
      </w:pPr>
      <w:r>
        <w:rPr>
          <w:rFonts w:eastAsia="Arial" w:cs="Arial" w:ascii="Arial" w:hAnsi="Arial"/>
          <w:sz w:val="22"/>
          <w:szCs w:val="22"/>
        </w:rPr>
        <w:t>12.14. O CONTRATANTE executará a garantia na forma prevista na legislação que rege a matéria.</w:t>
      </w:r>
    </w:p>
    <w:p>
      <w:pPr>
        <w:pStyle w:val="Standard"/>
        <w:jc w:val="both"/>
        <w:rPr>
          <w:rFonts w:ascii="Arial" w:hAnsi="Arial" w:cs="Arial"/>
          <w:sz w:val="22"/>
          <w:szCs w:val="22"/>
        </w:rPr>
      </w:pPr>
      <w:r>
        <w:rPr>
          <w:rFonts w:eastAsia="Arial" w:cs="Arial" w:ascii="Arial" w:hAnsi="Arial"/>
          <w:sz w:val="22"/>
          <w:szCs w:val="22"/>
        </w:rPr>
        <w:t>12.15. O emitente da garantia ofertada pelo CONTRATADO deverá ser notificado pelo CONTRATANTE quanto ao início de processo administrativo para apuração de descumprimento de cláusulas contratuais.</w:t>
      </w:r>
    </w:p>
    <w:p>
      <w:pPr>
        <w:pStyle w:val="Standard"/>
        <w:jc w:val="both"/>
        <w:rPr>
          <w:rFonts w:ascii="Arial" w:hAnsi="Arial" w:cs="Arial"/>
          <w:sz w:val="22"/>
          <w:szCs w:val="22"/>
        </w:rPr>
      </w:pPr>
      <w:r>
        <w:rPr>
          <w:rFonts w:eastAsia="Arial" w:cs="Arial" w:ascii="Arial" w:hAnsi="Arial"/>
          <w:sz w:val="22"/>
          <w:szCs w:val="22"/>
        </w:rPr>
        <w:t>12.16.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nº 662, de 11 de abril de 2022.</w:t>
      </w:r>
    </w:p>
    <w:p>
      <w:pPr>
        <w:pStyle w:val="Standard"/>
        <w:jc w:val="both"/>
        <w:rPr>
          <w:rFonts w:ascii="Arial" w:hAnsi="Arial" w:cs="Arial"/>
          <w:sz w:val="22"/>
          <w:szCs w:val="22"/>
        </w:rPr>
      </w:pPr>
      <w:r>
        <w:rPr>
          <w:rFonts w:eastAsia="Arial" w:cs="Arial" w:ascii="Arial" w:hAnsi="Arial"/>
          <w:sz w:val="22"/>
          <w:szCs w:val="22"/>
        </w:rPr>
        <w:t>12.17. 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w:t>
      </w:r>
    </w:p>
    <w:p>
      <w:pPr>
        <w:pStyle w:val="Standard"/>
        <w:jc w:val="both"/>
        <w:rPr>
          <w:rFonts w:ascii="Arial" w:hAnsi="Arial" w:cs="Arial"/>
          <w:sz w:val="22"/>
          <w:szCs w:val="22"/>
        </w:rPr>
      </w:pPr>
      <w:r>
        <w:rPr>
          <w:rFonts w:eastAsia="Arial" w:cs="Arial" w:ascii="Arial" w:hAnsi="Arial"/>
          <w:sz w:val="22"/>
          <w:szCs w:val="22"/>
        </w:rPr>
        <w:t>12.18. O garantidor não é parte para figurar em processo administrativo instaurado pelo CONTRATANTE com o objetivo de apurar prejuízos e/ou aplicar sanções ao CONTRATADO.</w:t>
      </w:r>
    </w:p>
    <w:p>
      <w:pPr>
        <w:pStyle w:val="Standard"/>
        <w:jc w:val="both"/>
        <w:rPr>
          <w:rFonts w:ascii="Arial" w:hAnsi="Arial" w:cs="Arial"/>
          <w:sz w:val="22"/>
          <w:szCs w:val="22"/>
        </w:rPr>
      </w:pPr>
      <w:r>
        <w:rPr>
          <w:rFonts w:eastAsia="Arial" w:cs="Arial" w:ascii="Arial" w:hAnsi="Arial"/>
          <w:sz w:val="22"/>
          <w:szCs w:val="22"/>
        </w:rPr>
        <w:t>12.19. O CONTRATADO autoriza o CONTRATANTE a reter, a qualquer tempo, a garantia, na forma prevista neste contrato.</w:t>
      </w:r>
    </w:p>
    <w:p>
      <w:pPr>
        <w:pStyle w:val="Standard"/>
        <w:tabs>
          <w:tab w:val="clear" w:pos="708"/>
          <w:tab w:val="left" w:pos="993" w:leader="none"/>
          <w:tab w:val="left" w:pos="5742" w:leader="none"/>
        </w:tabs>
        <w:jc w:val="both"/>
        <w:rPr>
          <w:rFonts w:ascii="Arial" w:hAnsi="Arial" w:cs="Arial"/>
          <w:sz w:val="22"/>
          <w:szCs w:val="22"/>
        </w:rPr>
      </w:pPr>
      <w:r>
        <w:rPr>
          <w:rFonts w:eastAsia="Arial" w:cs="Arial" w:ascii="Arial" w:hAnsi="Arial"/>
          <w:sz w:val="22"/>
          <w:szCs w:val="22"/>
        </w:rPr>
        <w:t xml:space="preserve">12.20. Além da garantia de que tratam os arts. 96 e seguintes da Lei nº 14.133/2021, a presente contratação possui previsão de garantia do serviço a ser fornecido, incluindo manutenção e assistência técnica, conforme o caso e condições estabelecidas nas </w:t>
      </w:r>
      <w:r>
        <w:rPr>
          <w:rFonts w:eastAsia="Times New Roman" w:cs="Arial" w:ascii="Arial" w:hAnsi="Arial"/>
          <w:color w:val="00000A"/>
          <w:sz w:val="22"/>
          <w:szCs w:val="22"/>
        </w:rPr>
        <w:t>Especificações Técnicas</w:t>
      </w:r>
      <w:r>
        <w:rPr>
          <w:rFonts w:eastAsia="Arial" w:cs="Arial" w:ascii="Arial" w:hAnsi="Arial"/>
          <w:sz w:val="22"/>
          <w:szCs w:val="22"/>
        </w:rPr>
        <w:t>.</w:t>
      </w:r>
    </w:p>
    <w:p>
      <w:pPr>
        <w:pStyle w:val="Textbody"/>
        <w:tabs>
          <w:tab w:val="clear" w:pos="708"/>
          <w:tab w:val="left" w:pos="993" w:leader="none"/>
          <w:tab w:val="left" w:pos="5742" w:leader="none"/>
        </w:tabs>
        <w:spacing w:lineRule="auto" w:line="240" w:before="0" w:after="0"/>
        <w:rPr>
          <w:rFonts w:cs="Arial"/>
          <w:b/>
          <w:bCs/>
          <w:szCs w:val="22"/>
        </w:rPr>
      </w:pPr>
      <w:r>
        <w:rPr>
          <w:rFonts w:cs="Arial"/>
          <w:b/>
          <w:bCs/>
          <w:szCs w:val="22"/>
        </w:rPr>
      </w:r>
    </w:p>
    <w:p>
      <w:pPr>
        <w:pStyle w:val="Textbody"/>
        <w:tabs>
          <w:tab w:val="clear" w:pos="708"/>
          <w:tab w:val="left" w:pos="993" w:leader="none"/>
          <w:tab w:val="left" w:pos="5742" w:leader="none"/>
        </w:tabs>
        <w:spacing w:lineRule="auto" w:line="240" w:before="0" w:after="0"/>
        <w:rPr>
          <w:rFonts w:cs="Arial"/>
          <w:b/>
          <w:bCs/>
          <w:szCs w:val="22"/>
        </w:rPr>
      </w:pPr>
      <w:r>
        <w:rPr>
          <w:rFonts w:cs="Arial"/>
          <w:b/>
          <w:bCs/>
          <w:szCs w:val="22"/>
        </w:rPr>
        <w:t>CLÁUSULA DÉCIMA TERCEIRA – DAS INFRAÇÕES E SANÇÕES ADMINISTRATIVAS</w:t>
      </w:r>
    </w:p>
    <w:p>
      <w:pPr>
        <w:pStyle w:val="Textbody"/>
        <w:spacing w:lineRule="auto" w:line="240" w:before="0" w:after="0"/>
        <w:rPr>
          <w:rFonts w:cs="Arial"/>
          <w:szCs w:val="22"/>
        </w:rPr>
      </w:pPr>
      <w:r>
        <w:rPr>
          <w:rFonts w:cs="Arial"/>
          <w:szCs w:val="22"/>
        </w:rPr>
        <w:t>13.1. Comete infração administrativa, nos termos da Lei nº 14.133/2021, o CONTRATADO que:</w:t>
      </w:r>
    </w:p>
    <w:p>
      <w:pPr>
        <w:pStyle w:val="Textbody"/>
        <w:spacing w:lineRule="auto" w:line="240" w:before="0" w:after="0"/>
        <w:rPr>
          <w:rFonts w:cs="Arial"/>
          <w:szCs w:val="22"/>
        </w:rPr>
      </w:pPr>
      <w:r>
        <w:rPr>
          <w:rFonts w:cs="Arial"/>
          <w:szCs w:val="22"/>
        </w:rPr>
        <w:t>13.1.1. D</w:t>
      </w:r>
      <w:r>
        <w:rPr>
          <w:rFonts w:eastAsia="Arial" w:cs="Arial"/>
          <w:szCs w:val="22"/>
        </w:rPr>
        <w:t>er causa à inexecução parcial do contrato;</w:t>
      </w:r>
    </w:p>
    <w:p>
      <w:pPr>
        <w:pStyle w:val="Textbody"/>
        <w:spacing w:lineRule="auto" w:line="240" w:before="0" w:after="0"/>
        <w:rPr>
          <w:rFonts w:cs="Arial"/>
          <w:szCs w:val="22"/>
        </w:rPr>
      </w:pPr>
      <w:r>
        <w:rPr>
          <w:rFonts w:eastAsia="Arial" w:cs="Arial"/>
          <w:szCs w:val="22"/>
        </w:rPr>
        <w:t>13.1.2. Der causa à inexecução parcial do contrato que cause grave dano à Administração ou ao funcionamento dos serviços públicos ou ao interesse coletivo;</w:t>
      </w:r>
    </w:p>
    <w:p>
      <w:pPr>
        <w:pStyle w:val="Textbody"/>
        <w:spacing w:lineRule="auto" w:line="240" w:before="0" w:after="0"/>
        <w:rPr>
          <w:rFonts w:cs="Arial"/>
          <w:szCs w:val="22"/>
        </w:rPr>
      </w:pPr>
      <w:r>
        <w:rPr>
          <w:rFonts w:eastAsia="Arial" w:cs="Arial"/>
          <w:szCs w:val="22"/>
        </w:rPr>
        <w:t>13.1.3. Der causa à inexecução total do contrato;</w:t>
      </w:r>
    </w:p>
    <w:p>
      <w:pPr>
        <w:pStyle w:val="Textbody"/>
        <w:spacing w:lineRule="auto" w:line="240" w:before="0" w:after="0"/>
        <w:rPr>
          <w:rFonts w:cs="Arial"/>
          <w:szCs w:val="22"/>
        </w:rPr>
      </w:pPr>
      <w:r>
        <w:rPr>
          <w:rFonts w:eastAsia="Arial" w:cs="Arial"/>
          <w:szCs w:val="22"/>
        </w:rPr>
        <w:t>13.1.4. Ensejar o retardamento da execução ou da entrega do objeto da contratação sem motivo justificado;</w:t>
      </w:r>
    </w:p>
    <w:p>
      <w:pPr>
        <w:pStyle w:val="Textbody"/>
        <w:spacing w:lineRule="auto" w:line="240" w:before="0" w:after="0"/>
        <w:rPr>
          <w:rFonts w:cs="Arial"/>
          <w:szCs w:val="22"/>
        </w:rPr>
      </w:pPr>
      <w:r>
        <w:rPr>
          <w:rFonts w:eastAsia="Arial" w:cs="Arial"/>
          <w:szCs w:val="22"/>
        </w:rPr>
        <w:t>13.1.5. Apresentar documentação falsa ou prestar declaração falsa durante a execução do contrato;</w:t>
      </w:r>
    </w:p>
    <w:p>
      <w:pPr>
        <w:pStyle w:val="Textbody"/>
        <w:spacing w:lineRule="auto" w:line="240" w:before="0" w:after="0"/>
        <w:rPr>
          <w:rFonts w:cs="Arial"/>
          <w:szCs w:val="22"/>
        </w:rPr>
      </w:pPr>
      <w:r>
        <w:rPr>
          <w:rFonts w:eastAsia="Arial" w:cs="Arial"/>
          <w:szCs w:val="22"/>
        </w:rPr>
        <w:t>13.1.6. Praticar ato fraudulento na execução do contrato;</w:t>
      </w:r>
    </w:p>
    <w:p>
      <w:pPr>
        <w:pStyle w:val="Textbody"/>
        <w:spacing w:lineRule="auto" w:line="240" w:before="0" w:after="0"/>
        <w:rPr>
          <w:rFonts w:cs="Arial"/>
          <w:szCs w:val="22"/>
        </w:rPr>
      </w:pPr>
      <w:r>
        <w:rPr>
          <w:rFonts w:eastAsia="Arial" w:cs="Arial"/>
          <w:szCs w:val="22"/>
        </w:rPr>
        <w:t>13.1.7. Comportar-se de modo inidôneo ou cometer fraude de qualquer natureza;</w:t>
      </w:r>
    </w:p>
    <w:p>
      <w:pPr>
        <w:pStyle w:val="Textbody"/>
        <w:spacing w:lineRule="auto" w:line="240" w:before="0" w:after="0"/>
        <w:rPr>
          <w:rFonts w:cs="Arial"/>
          <w:szCs w:val="22"/>
        </w:rPr>
      </w:pPr>
      <w:r>
        <w:rPr>
          <w:rFonts w:eastAsia="Arial" w:cs="Arial"/>
          <w:szCs w:val="22"/>
        </w:rPr>
        <w:t>13.1.8. Praticar ato lesivo previsto no art. 5º da Lei nº 12.846/2013.</w:t>
      </w:r>
    </w:p>
    <w:p>
      <w:pPr>
        <w:pStyle w:val="Textbody"/>
        <w:spacing w:lineRule="auto" w:line="240" w:before="0" w:after="0"/>
        <w:rPr>
          <w:rFonts w:cs="Arial"/>
          <w:szCs w:val="22"/>
        </w:rPr>
      </w:pPr>
      <w:r>
        <w:rPr>
          <w:rFonts w:eastAsia="Arial" w:cs="Arial"/>
          <w:szCs w:val="22"/>
        </w:rPr>
        <w:t>13.2. Serão aplicadas ao CONTRATADO que incorrer nas infrações acima descritas as seguintes sanções:</w:t>
      </w:r>
    </w:p>
    <w:p>
      <w:pPr>
        <w:pStyle w:val="Textbody"/>
        <w:spacing w:lineRule="auto" w:line="240" w:before="0" w:after="0"/>
        <w:rPr>
          <w:rFonts w:eastAsia="Arial" w:cs="Arial"/>
          <w:szCs w:val="22"/>
        </w:rPr>
      </w:pPr>
      <w:r>
        <w:rPr>
          <w:rFonts w:eastAsia="Arial" w:cs="Arial"/>
          <w:szCs w:val="22"/>
        </w:rPr>
        <w:t>13.2.1. Advertência, quando o CONTRATADO der causa à inexecução parcial do contrato, sempre que não se justificar a imposição de penalidade mais grave;</w:t>
      </w:r>
    </w:p>
    <w:p>
      <w:pPr>
        <w:pStyle w:val="Textbody"/>
        <w:spacing w:lineRule="auto" w:line="240" w:before="0" w:after="0"/>
        <w:rPr>
          <w:rFonts w:cs="Arial"/>
          <w:szCs w:val="22"/>
        </w:rPr>
      </w:pPr>
      <w:r>
        <w:rPr>
          <w:rFonts w:eastAsia="Arial" w:cs="Arial"/>
          <w:szCs w:val="22"/>
        </w:rPr>
        <w:t>13.2.2. Impedimento de licitar e contratar, quando praticadas as condutas descritas nos subitens 13.1.2, 13.1.3 e 13.1.4, deste contrato, sempre que não se justificar a imposição de penalidade mais grave;</w:t>
      </w:r>
    </w:p>
    <w:p>
      <w:pPr>
        <w:pStyle w:val="Textbody"/>
        <w:spacing w:lineRule="auto" w:line="240" w:before="0" w:after="0"/>
        <w:rPr>
          <w:rFonts w:cs="Arial"/>
          <w:szCs w:val="22"/>
        </w:rPr>
      </w:pPr>
      <w:r>
        <w:rPr>
          <w:rFonts w:eastAsia="Arial" w:cs="Arial"/>
          <w:szCs w:val="22"/>
        </w:rPr>
        <w:t>13.2.3. Declaração de inidoneidade para licitar e contratar, quando praticadas as condutas descritas nos subitens 13.1.5, 13.1.6, 13.1.7 e 13.1.8 deste contrato, bem como nos subitens 13.1.2,13.1.3 e 13.1.4, que justifiquem a imposição de penalidade mais grave.</w:t>
      </w:r>
    </w:p>
    <w:p>
      <w:pPr>
        <w:pStyle w:val="Textbody"/>
        <w:spacing w:lineRule="auto" w:line="240" w:before="0" w:after="0"/>
        <w:rPr>
          <w:rFonts w:eastAsia="Arial" w:cs="Arial"/>
          <w:b/>
          <w:bCs/>
          <w:szCs w:val="22"/>
        </w:rPr>
      </w:pPr>
      <w:r>
        <w:rPr>
          <w:rFonts w:eastAsia="Arial" w:cs="Arial"/>
          <w:b/>
          <w:bCs/>
          <w:szCs w:val="22"/>
        </w:rPr>
        <w:t>13.2.4. Multa:</w:t>
      </w:r>
    </w:p>
    <w:p>
      <w:pPr>
        <w:pStyle w:val="Textbody"/>
        <w:spacing w:lineRule="auto" w:line="240" w:before="0" w:after="0"/>
        <w:rPr>
          <w:rFonts w:cs="Arial"/>
          <w:szCs w:val="22"/>
        </w:rPr>
      </w:pPr>
      <w:r>
        <w:rPr>
          <w:rFonts w:eastAsia="Arial" w:cs="Arial"/>
          <w:szCs w:val="22"/>
        </w:rPr>
        <w:t>13.2.4.1. Moratória de 0,3% (zero vírgula três por cento) por dia de atraso injustificado sobre o valor da parcela inadimplida, até o limite de 30 (trinta) dias..</w:t>
      </w:r>
    </w:p>
    <w:p>
      <w:pPr>
        <w:pStyle w:val="Textbody"/>
        <w:spacing w:lineRule="auto" w:line="240" w:before="0" w:after="0"/>
        <w:rPr>
          <w:rFonts w:eastAsia="Arial" w:cs="Arial"/>
          <w:szCs w:val="22"/>
        </w:rPr>
      </w:pPr>
      <w:r>
        <w:rPr>
          <w:rFonts w:eastAsia="Arial" w:cs="Arial"/>
          <w:szCs w:val="22"/>
        </w:rPr>
        <w:t>13.2.4.2. Moratória de 0,5% (zero vírgula cinco por cento) por dia de atraso injustificado sobre o valor total do contrato, até o máximo de 10% (dez por cento) pela inobservância do prazo fixado para apresentação, suplementação ou reposição da garantia.</w:t>
      </w:r>
    </w:p>
    <w:p>
      <w:pPr>
        <w:pStyle w:val="Textbody"/>
        <w:spacing w:lineRule="auto" w:line="240" w:before="0" w:after="0"/>
        <w:rPr>
          <w:rFonts w:cs="Arial"/>
          <w:szCs w:val="22"/>
        </w:rPr>
      </w:pPr>
      <w:r>
        <w:rPr>
          <w:rFonts w:eastAsia="Arial" w:cs="Arial"/>
          <w:szCs w:val="22"/>
        </w:rPr>
        <w:t xml:space="preserve">13.2.4.3. O atraso superior </w:t>
      </w:r>
      <w:r>
        <w:rPr>
          <w:rFonts w:eastAsia="Arial" w:cs="Arial"/>
          <w:color w:val="000000"/>
          <w:szCs w:val="22"/>
        </w:rPr>
        <w:t xml:space="preserve">30 (trinta) dias </w:t>
      </w:r>
      <w:r>
        <w:rPr>
          <w:rFonts w:eastAsia="Arial" w:cs="Arial"/>
          <w:szCs w:val="22"/>
        </w:rPr>
        <w:t>autoriza a Administração a promover a extinção do contrato por descumprimento ou cumprimento irregular de suas cláusulas, conforme dispõe o inciso I do art. 137 da Lei nº 14.133/2021.</w:t>
      </w:r>
    </w:p>
    <w:p>
      <w:pPr>
        <w:pStyle w:val="Textbody"/>
        <w:spacing w:lineRule="auto" w:line="240" w:before="0" w:after="0"/>
        <w:rPr/>
      </w:pPr>
      <w:r>
        <w:rPr>
          <w:rFonts w:eastAsia="Arial" w:cs="Arial"/>
          <w:szCs w:val="22"/>
        </w:rPr>
        <w:t xml:space="preserve">13.2.4.4 </w:t>
      </w:r>
      <w:r>
        <w:rPr>
          <w:rFonts w:eastAsia="Arial" w:cs="Arial"/>
          <w:color w:val="00000A"/>
          <w:szCs w:val="22"/>
        </w:rPr>
        <w:t xml:space="preserve">Compensatória de </w:t>
      </w:r>
      <w:r>
        <w:rPr>
          <w:rFonts w:eastAsia="Arial" w:cs="Arial"/>
          <w:szCs w:val="22"/>
        </w:rPr>
        <w:t xml:space="preserve">20% (vinte por cento) </w:t>
      </w:r>
      <w:r>
        <w:rPr>
          <w:rFonts w:eastAsia="Arial" w:cs="Arial"/>
          <w:color w:val="00000A"/>
          <w:szCs w:val="22"/>
        </w:rPr>
        <w:t>sobre o valor total do contrato, no caso de inexecução total do objeto.</w:t>
      </w:r>
    </w:p>
    <w:p>
      <w:pPr>
        <w:pStyle w:val="Textbody"/>
        <w:spacing w:lineRule="auto" w:line="240" w:before="0" w:after="0"/>
        <w:rPr>
          <w:rFonts w:cs="Arial"/>
          <w:szCs w:val="22"/>
        </w:rPr>
      </w:pPr>
      <w:r>
        <w:rPr>
          <w:rFonts w:eastAsia="Arial" w:cs="Arial"/>
          <w:szCs w:val="22"/>
          <w:shd w:fill="FFFFFF" w:val="clear"/>
        </w:rPr>
        <w:t>13</w:t>
      </w:r>
      <w:r>
        <w:rPr>
          <w:rFonts w:eastAsia="Arial" w:cs="Arial"/>
          <w:szCs w:val="22"/>
        </w:rPr>
        <w:t>.3. A aplicação das sanções previstas neste contrato não exclui, em hipótese alguma, a obrigação de reparação integral do dano causado ao CONTRATANTE.</w:t>
      </w:r>
    </w:p>
    <w:p>
      <w:pPr>
        <w:pStyle w:val="Textbody"/>
        <w:spacing w:lineRule="auto" w:line="240" w:before="0" w:after="0"/>
        <w:rPr>
          <w:rFonts w:eastAsia="Arial" w:cs="Arial"/>
          <w:szCs w:val="22"/>
        </w:rPr>
      </w:pPr>
      <w:r>
        <w:rPr>
          <w:rFonts w:eastAsia="Arial" w:cs="Arial"/>
          <w:szCs w:val="22"/>
          <w:shd w:fill="FFFFFF" w:val="clear"/>
        </w:rPr>
        <w:t>13</w:t>
      </w:r>
      <w:r>
        <w:rPr>
          <w:rFonts w:eastAsia="Arial" w:cs="Arial"/>
          <w:szCs w:val="22"/>
        </w:rPr>
        <w:t>.4. Todas as sanções previstas neste contrato poderão ser aplicadas cumulativamente com a multa.</w:t>
      </w:r>
    </w:p>
    <w:p>
      <w:pPr>
        <w:pStyle w:val="Textbody"/>
        <w:spacing w:lineRule="auto" w:line="240" w:before="0" w:after="0"/>
        <w:rPr>
          <w:rFonts w:eastAsia="Arial" w:cs="Arial"/>
          <w:szCs w:val="22"/>
        </w:rPr>
      </w:pPr>
      <w:r>
        <w:rPr>
          <w:rFonts w:eastAsia="Arial" w:cs="Arial"/>
          <w:szCs w:val="22"/>
          <w:shd w:fill="FFFFFF" w:val="clear"/>
        </w:rPr>
        <w:t>13</w:t>
      </w:r>
      <w:r>
        <w:rPr>
          <w:rFonts w:eastAsia="Arial" w:cs="Arial"/>
          <w:szCs w:val="22"/>
        </w:rPr>
        <w:t>.4.1. Antes da aplicação da multa será facultada a defesa do interessado no prazo de 15 (quinze) dias úteis, contado da data de sua intimação.</w:t>
      </w:r>
    </w:p>
    <w:p>
      <w:pPr>
        <w:pStyle w:val="Textbody"/>
        <w:spacing w:lineRule="auto" w:line="240" w:before="0" w:after="0"/>
        <w:rPr/>
      </w:pPr>
      <w:r>
        <w:rPr>
          <w:rFonts w:eastAsia="Arial" w:cs="Arial"/>
          <w:szCs w:val="22"/>
          <w:shd w:fill="FFFFFF" w:val="clear"/>
        </w:rPr>
        <w:t>13</w:t>
      </w:r>
      <w:r>
        <w:rPr>
          <w:rFonts w:eastAsia="Arial" w:cs="Arial"/>
          <w:szCs w:val="22"/>
        </w:rPr>
        <w:t xml:space="preserve">.5. A aplicação das sanções realizar-se-á em processo administrativo que assegure o contraditório e a ampla defesa ao CONTRATADO, observando-se o procedimento previsto no </w:t>
      </w:r>
      <w:r>
        <w:rPr>
          <w:rFonts w:eastAsia="Arial" w:cs="Arial"/>
          <w:i/>
          <w:iCs/>
          <w:szCs w:val="22"/>
        </w:rPr>
        <w:t>caput</w:t>
      </w:r>
      <w:r>
        <w:rPr>
          <w:rFonts w:eastAsia="Arial" w:cs="Arial"/>
          <w:szCs w:val="22"/>
        </w:rPr>
        <w:t xml:space="preserve"> e parágrafos do </w:t>
      </w:r>
      <w:r>
        <w:fldChar w:fldCharType="begin"/>
      </w:r>
      <w:r>
        <w:rPr>
          <w:rStyle w:val="LinkdaInternet"/>
          <w:u w:val="none"/>
          <w:szCs w:val="22"/>
          <w:rFonts w:eastAsia="Arial" w:cs="Arial"/>
          <w:color w:val="00000A"/>
        </w:rPr>
        <w:instrText xml:space="preserve"> HYPERLINK "http://www.planalto.gov.br/ccivil_03/_ato2019-2022/2021/lei/L14133.htm" \l "art158"</w:instrText>
      </w:r>
      <w:r>
        <w:rPr>
          <w:rStyle w:val="LinkdaInternet"/>
          <w:u w:val="none"/>
          <w:szCs w:val="22"/>
          <w:rFonts w:eastAsia="Arial" w:cs="Arial"/>
          <w:color w:val="00000A"/>
        </w:rPr>
        <w:fldChar w:fldCharType="separate"/>
      </w:r>
      <w:r>
        <w:rPr>
          <w:rStyle w:val="LinkdaInternet"/>
          <w:rFonts w:eastAsia="Arial" w:cs="Arial"/>
          <w:color w:val="00000A"/>
          <w:szCs w:val="22"/>
          <w:u w:val="none"/>
        </w:rPr>
        <w:t>art. 158 da Lei nº 14.133/2021</w:t>
      </w:r>
      <w:r>
        <w:rPr>
          <w:rStyle w:val="LinkdaInternet"/>
          <w:u w:val="none"/>
          <w:szCs w:val="22"/>
          <w:rFonts w:eastAsia="Arial" w:cs="Arial"/>
          <w:color w:val="00000A"/>
        </w:rPr>
        <w:fldChar w:fldCharType="end"/>
      </w:r>
      <w:r>
        <w:rPr>
          <w:rFonts w:eastAsia="Arial" w:cs="Arial"/>
          <w:szCs w:val="22"/>
        </w:rPr>
        <w:t>, para as penalidades de impedimento de licitar e contratar e de declaração de inidoneidade para licitar ou contratar.</w:t>
      </w:r>
    </w:p>
    <w:p>
      <w:pPr>
        <w:pStyle w:val="Textbody"/>
        <w:spacing w:lineRule="auto" w:line="240" w:before="0" w:after="0"/>
        <w:rPr>
          <w:rFonts w:eastAsia="Arial" w:cs="Arial"/>
          <w:szCs w:val="22"/>
        </w:rPr>
      </w:pPr>
      <w:r>
        <w:rPr>
          <w:rFonts w:eastAsia="Arial" w:cs="Arial"/>
          <w:szCs w:val="22"/>
          <w:shd w:fill="FFFFFF" w:val="clear"/>
        </w:rPr>
        <w:t>13</w:t>
      </w:r>
      <w:r>
        <w:rPr>
          <w:rFonts w:eastAsia="Arial" w:cs="Arial"/>
          <w:szCs w:val="22"/>
        </w:rPr>
        <w:t>.6. Na aplicação das sanções serão considerados:</w:t>
      </w:r>
    </w:p>
    <w:p>
      <w:pPr>
        <w:pStyle w:val="Corpodotexto"/>
        <w:widowControl/>
        <w:spacing w:lineRule="auto" w:line="240" w:before="57" w:after="57"/>
        <w:ind w:left="0" w:right="0" w:hanging="0"/>
        <w:jc w:val="both"/>
        <w:rPr>
          <w:rFonts w:ascii="Arial" w:hAnsi="Arial"/>
          <w:b w:val="false"/>
          <w:bCs w:val="false"/>
          <w:color w:val="000000"/>
          <w:sz w:val="22"/>
          <w:szCs w:val="22"/>
          <w:lang w:val="pt-BR"/>
        </w:rPr>
      </w:pPr>
      <w:r>
        <w:rPr>
          <w:rFonts w:eastAsia="Arial" w:cs="Arial" w:ascii="Arial" w:hAnsi="Arial"/>
          <w:b w:val="false"/>
          <w:bCs w:val="false"/>
          <w:i w:val="false"/>
          <w:iCs w:val="false"/>
          <w:color w:val="000000"/>
          <w:sz w:val="22"/>
          <w:szCs w:val="22"/>
          <w:u w:val="none"/>
          <w:shd w:fill="auto" w:val="clear"/>
          <w:lang w:val="pt-BR"/>
        </w:rPr>
        <w:t>I – A</w:t>
      </w:r>
      <w:r>
        <w:rPr>
          <w:rFonts w:eastAsia="Arial" w:cs="Arial" w:ascii="Arial" w:hAnsi="Arial"/>
          <w:b w:val="false"/>
          <w:bCs w:val="false"/>
          <w:color w:val="000000"/>
          <w:sz w:val="22"/>
          <w:szCs w:val="22"/>
          <w:lang w:val="pt-BR"/>
        </w:rPr>
        <w:t xml:space="preserve"> natureza e a gravidade da infração cometida;</w:t>
      </w:r>
    </w:p>
    <w:p>
      <w:pPr>
        <w:pStyle w:val="Corpodotexto"/>
        <w:widowControl/>
        <w:spacing w:lineRule="auto" w:line="240" w:before="57" w:after="57"/>
        <w:ind w:left="0" w:right="0" w:hanging="0"/>
        <w:jc w:val="both"/>
        <w:rPr>
          <w:rFonts w:ascii="Arial" w:hAnsi="Arial"/>
          <w:b w:val="false"/>
          <w:bCs w:val="false"/>
          <w:color w:val="000000"/>
          <w:sz w:val="22"/>
          <w:szCs w:val="22"/>
          <w:lang w:val="pt-BR"/>
        </w:rPr>
      </w:pPr>
      <w:r>
        <w:rPr>
          <w:rFonts w:eastAsia="Arial" w:cs="Arial" w:ascii="Arial" w:hAnsi="Arial"/>
          <w:b w:val="false"/>
          <w:bCs w:val="false"/>
          <w:color w:val="000000"/>
          <w:sz w:val="22"/>
          <w:szCs w:val="22"/>
          <w:u w:val="none"/>
          <w:shd w:fill="auto" w:val="clear"/>
          <w:lang w:val="pt-BR"/>
        </w:rPr>
        <w:t>II</w:t>
      </w:r>
      <w:r>
        <w:rPr>
          <w:rFonts w:eastAsia="Arial" w:cs="Arial" w:ascii="Arial" w:hAnsi="Arial"/>
          <w:b w:val="false"/>
          <w:bCs w:val="false"/>
          <w:i w:val="false"/>
          <w:iCs w:val="false"/>
          <w:color w:val="000000"/>
          <w:sz w:val="22"/>
          <w:szCs w:val="22"/>
          <w:u w:val="none"/>
          <w:shd w:fill="auto" w:val="clear"/>
          <w:lang w:val="pt-BR"/>
        </w:rPr>
        <w:t xml:space="preserve"> – </w:t>
      </w:r>
      <w:r>
        <w:rPr>
          <w:rFonts w:eastAsia="Arial" w:cs="Arial" w:ascii="Arial" w:hAnsi="Arial"/>
          <w:b w:val="false"/>
          <w:bCs w:val="false"/>
          <w:color w:val="000000"/>
          <w:sz w:val="22"/>
          <w:szCs w:val="22"/>
          <w:lang w:val="pt-BR"/>
        </w:rPr>
        <w:t>As peculiaridades do caso concreto;</w:t>
      </w:r>
    </w:p>
    <w:p>
      <w:pPr>
        <w:pStyle w:val="Corpodotexto"/>
        <w:widowControl/>
        <w:spacing w:lineRule="auto" w:line="240" w:before="57" w:after="57"/>
        <w:ind w:left="0" w:right="0" w:hanging="0"/>
        <w:jc w:val="both"/>
        <w:rPr>
          <w:rFonts w:ascii="Arial" w:hAnsi="Arial"/>
          <w:b w:val="false"/>
          <w:bCs w:val="false"/>
          <w:color w:val="000000"/>
          <w:sz w:val="22"/>
          <w:szCs w:val="22"/>
          <w:lang w:val="pt-BR"/>
        </w:rPr>
      </w:pPr>
      <w:r>
        <w:rPr>
          <w:rFonts w:eastAsia="Arial" w:cs="Arial" w:ascii="Arial" w:hAnsi="Arial"/>
          <w:b w:val="false"/>
          <w:bCs w:val="false"/>
          <w:color w:val="000000"/>
          <w:sz w:val="22"/>
          <w:szCs w:val="22"/>
          <w:lang w:val="pt-BR"/>
        </w:rPr>
        <w:t>III</w:t>
      </w:r>
      <w:r>
        <w:rPr>
          <w:rFonts w:eastAsia="Arial" w:cs="Arial" w:ascii="Arial" w:hAnsi="Arial"/>
          <w:b w:val="false"/>
          <w:bCs w:val="false"/>
          <w:i w:val="false"/>
          <w:iCs w:val="false"/>
          <w:color w:val="000000"/>
          <w:sz w:val="22"/>
          <w:szCs w:val="22"/>
          <w:u w:val="none"/>
          <w:shd w:fill="auto" w:val="clear"/>
          <w:lang w:val="pt-BR"/>
        </w:rPr>
        <w:t xml:space="preserve"> – </w:t>
      </w:r>
      <w:r>
        <w:rPr>
          <w:rFonts w:eastAsia="Arial" w:cs="Arial" w:ascii="Arial" w:hAnsi="Arial"/>
          <w:b w:val="false"/>
          <w:bCs w:val="false"/>
          <w:color w:val="000000"/>
          <w:sz w:val="22"/>
          <w:szCs w:val="22"/>
          <w:lang w:val="pt-BR"/>
        </w:rPr>
        <w:t>As circunstâncias agravantes ou atenuantes;</w:t>
      </w:r>
    </w:p>
    <w:p>
      <w:pPr>
        <w:pStyle w:val="Corpodotexto"/>
        <w:widowControl/>
        <w:spacing w:lineRule="auto" w:line="240" w:before="57" w:after="57"/>
        <w:ind w:left="0" w:right="0" w:hanging="0"/>
        <w:jc w:val="both"/>
        <w:rPr>
          <w:rFonts w:ascii="Arial" w:hAnsi="Arial"/>
          <w:b w:val="false"/>
          <w:bCs w:val="false"/>
          <w:color w:val="000000"/>
          <w:sz w:val="22"/>
          <w:szCs w:val="22"/>
          <w:lang w:val="pt-BR"/>
        </w:rPr>
      </w:pPr>
      <w:r>
        <w:rPr>
          <w:rFonts w:eastAsia="Arial" w:cs="Arial" w:ascii="Arial" w:hAnsi="Arial"/>
          <w:b w:val="false"/>
          <w:bCs w:val="false"/>
          <w:color w:val="000000"/>
          <w:sz w:val="22"/>
          <w:szCs w:val="22"/>
          <w:lang w:val="pt-BR"/>
        </w:rPr>
        <w:t>IV</w:t>
      </w:r>
      <w:r>
        <w:rPr>
          <w:rFonts w:eastAsia="Arial" w:cs="Arial" w:ascii="Arial" w:hAnsi="Arial"/>
          <w:b w:val="false"/>
          <w:bCs w:val="false"/>
          <w:i w:val="false"/>
          <w:iCs w:val="false"/>
          <w:color w:val="000000"/>
          <w:sz w:val="22"/>
          <w:szCs w:val="22"/>
          <w:u w:val="none"/>
          <w:shd w:fill="auto" w:val="clear"/>
          <w:lang w:val="pt-BR"/>
        </w:rPr>
        <w:t xml:space="preserve"> – </w:t>
      </w:r>
      <w:r>
        <w:rPr>
          <w:rFonts w:eastAsia="Arial" w:cs="Arial" w:ascii="Arial" w:hAnsi="Arial"/>
          <w:b w:val="false"/>
          <w:bCs w:val="false"/>
          <w:color w:val="000000"/>
          <w:sz w:val="22"/>
          <w:szCs w:val="22"/>
          <w:lang w:val="pt-BR"/>
        </w:rPr>
        <w:t>Os danos que dela provierem para o CONTRATANTE;</w:t>
      </w:r>
    </w:p>
    <w:p>
      <w:pPr>
        <w:pStyle w:val="Corpodotexto"/>
        <w:widowControl/>
        <w:spacing w:lineRule="auto" w:line="240" w:before="57" w:after="57"/>
        <w:ind w:left="0" w:right="0" w:hanging="0"/>
        <w:jc w:val="both"/>
        <w:rPr>
          <w:rFonts w:ascii="Arial" w:hAnsi="Arial" w:eastAsia="Arial" w:cs="Arial"/>
          <w:b w:val="false"/>
          <w:bCs w:val="false"/>
          <w:i w:val="false"/>
          <w:i w:val="false"/>
          <w:iCs w:val="false"/>
          <w:color w:val="auto"/>
          <w:sz w:val="22"/>
          <w:szCs w:val="22"/>
          <w:u w:val="none"/>
          <w:shd w:fill="auto" w:val="clear"/>
          <w:lang w:val="pt-BR"/>
        </w:rPr>
      </w:pPr>
      <w:r>
        <w:rPr>
          <w:rStyle w:val="Fontepargpadro"/>
          <w:rFonts w:eastAsia="Arial" w:cs="Arial" w:ascii="Arial" w:hAnsi="Arial"/>
          <w:b w:val="false"/>
          <w:bCs w:val="false"/>
          <w:i w:val="false"/>
          <w:iCs w:val="false"/>
          <w:color w:val="000000"/>
          <w:sz w:val="22"/>
          <w:szCs w:val="22"/>
          <w:u w:val="none"/>
          <w:shd w:fill="auto" w:val="clear"/>
          <w:lang w:val="pt-BR"/>
        </w:rPr>
        <w:t>V – A implantação ou o aperfeiçoamento de programa de integridade, conforme normas e orientações dos órgãos de controle.</w:t>
      </w:r>
    </w:p>
    <w:p>
      <w:pPr>
        <w:pStyle w:val="Textbody"/>
        <w:spacing w:lineRule="auto" w:line="240" w:before="0" w:after="0"/>
        <w:rPr/>
      </w:pPr>
      <w:r>
        <w:rPr>
          <w:rFonts w:eastAsia="Arial" w:cs="Arial"/>
          <w:szCs w:val="22"/>
        </w:rPr>
        <w:t xml:space="preserve">13.7. Os atos previstos como infrações administrativas na </w:t>
      </w:r>
      <w:hyperlink r:id="rId15">
        <w:r>
          <w:rPr>
            <w:rStyle w:val="LinkdaInternet"/>
            <w:rFonts w:eastAsia="Arial" w:cs="Arial"/>
            <w:color w:val="00000A"/>
            <w:szCs w:val="22"/>
            <w:u w:val="none"/>
          </w:rPr>
          <w:t>Lei nº 14.133/2021</w:t>
        </w:r>
      </w:hyperlink>
      <w:r>
        <w:rPr>
          <w:rFonts w:eastAsia="Arial" w:cs="Arial"/>
          <w:szCs w:val="22"/>
        </w:rPr>
        <w:t xml:space="preserve">, ou em outras leis de licitações e contratos da Administração Pública que também sejam tipificados como atos lesivos na </w:t>
      </w:r>
      <w:hyperlink r:id="rId16">
        <w:r>
          <w:rPr>
            <w:rStyle w:val="LinkdaInternet"/>
            <w:rFonts w:eastAsia="Arial" w:cs="Arial"/>
            <w:color w:val="00000A"/>
            <w:szCs w:val="22"/>
            <w:u w:val="none"/>
          </w:rPr>
          <w:t>Lei nº 12.846/2013</w:t>
        </w:r>
      </w:hyperlink>
      <w:r>
        <w:rPr>
          <w:rFonts w:eastAsia="Arial" w:cs="Arial"/>
          <w:szCs w:val="22"/>
        </w:rPr>
        <w:t>, serão apurados e julgados conjuntamente, nos mesmos autos, observados o rito procedimental e autoridade competente definidos na referida Lei.</w:t>
      </w:r>
    </w:p>
    <w:p>
      <w:pPr>
        <w:pStyle w:val="Textbody"/>
        <w:spacing w:lineRule="auto" w:line="240" w:before="0" w:after="0"/>
        <w:rPr>
          <w:rFonts w:cs="Arial"/>
          <w:szCs w:val="22"/>
        </w:rPr>
      </w:pPr>
      <w:r>
        <w:rPr>
          <w:rFonts w:eastAsia="Arial" w:cs="Arial"/>
          <w:szCs w:val="22"/>
        </w:rPr>
        <w:t>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pPr>
        <w:pStyle w:val="Textbody"/>
        <w:spacing w:lineRule="auto" w:line="240" w:before="0" w:after="0"/>
        <w:rPr>
          <w:rFonts w:cs="Arial"/>
          <w:szCs w:val="22"/>
        </w:rPr>
      </w:pPr>
      <w:r>
        <w:rPr>
          <w:rFonts w:eastAsia="Arial" w:cs="Arial"/>
          <w:szCs w:val="22"/>
        </w:rPr>
        <w:t>13.9. O CONTRATANTE deverá, no prazo máximo 15 (quinze) dias úteis, contado da data de aplicação da sanção, informar e manter atualizados os dados relativos às sanções por ele aplicados, para fins de publicidade no Cadastro Nacional de Empresas Inidôneas e Suspensas (Ceis) e no Cadastro Nacional de Empresas Punidas (Cnep), instituídos no âmbito do Poder Executivo Federal e no Certificado de Registro Cadastral (CRC) do Estado do Ceará.</w:t>
      </w:r>
    </w:p>
    <w:p>
      <w:pPr>
        <w:pStyle w:val="Textbody"/>
        <w:spacing w:lineRule="auto" w:line="240" w:before="0" w:after="0"/>
        <w:rPr/>
      </w:pPr>
      <w:r>
        <w:rPr>
          <w:rFonts w:eastAsia="Arial" w:cs="Arial"/>
          <w:szCs w:val="22"/>
          <w:shd w:fill="FFFFFF" w:val="clear"/>
        </w:rPr>
        <w:t>13</w:t>
      </w:r>
      <w:r>
        <w:rPr>
          <w:rFonts w:eastAsia="Arial" w:cs="Arial"/>
          <w:szCs w:val="22"/>
        </w:rPr>
        <w:t xml:space="preserve">.10. As sanções de impedimento de licitar e contratar e declaração de inidoneidade para licitar ou contratar são passíveis de reabilitação na forma do </w:t>
      </w:r>
      <w:r>
        <w:fldChar w:fldCharType="begin"/>
      </w:r>
      <w:r>
        <w:rPr>
          <w:rStyle w:val="LinkdaInternet"/>
        </w:rPr>
        <w:instrText xml:space="preserve"> HYPERLINK "http://www.planalto.gov.br/ccivil_03/_ato2019-2022/2021/lei/L14133.htm" \l "163"</w:instrText>
      </w:r>
      <w:r>
        <w:rPr>
          <w:rStyle w:val="LinkdaInternet"/>
        </w:rPr>
        <w:fldChar w:fldCharType="separate"/>
      </w:r>
      <w:r>
        <w:rPr>
          <w:rStyle w:val="LinkdaInternet"/>
        </w:rPr>
        <w:t>art. 163 da Lei nº 14.133/2021</w:t>
      </w:r>
      <w:r>
        <w:rPr>
          <w:rStyle w:val="LinkdaInternet"/>
        </w:rPr>
        <w:fldChar w:fldCharType="end"/>
      </w:r>
      <w:r>
        <w:rPr>
          <w:rFonts w:eastAsia="Arial" w:cs="Arial"/>
          <w:szCs w:val="22"/>
        </w:rPr>
        <w:t>.</w:t>
      </w:r>
    </w:p>
    <w:p>
      <w:pPr>
        <w:pStyle w:val="Textbody"/>
        <w:spacing w:lineRule="auto" w:line="240" w:before="0" w:after="0"/>
        <w:rPr>
          <w:rFonts w:eastAsia="Arial" w:cs="Arial"/>
          <w:color w:val="000000"/>
          <w:szCs w:val="22"/>
        </w:rPr>
      </w:pPr>
      <w:r>
        <w:rPr>
          <w:rFonts w:cs="Arial"/>
          <w:szCs w:val="22"/>
        </w:rPr>
        <w:t>13.11. Os débitos do CONTRATADO para com 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pPr>
        <w:pStyle w:val="Textbody"/>
        <w:spacing w:lineRule="auto" w:line="240" w:before="0" w:after="0"/>
        <w:rPr>
          <w:rFonts w:eastAsia="Arial" w:cs="Arial"/>
          <w:color w:val="000000"/>
          <w:szCs w:val="22"/>
        </w:rPr>
      </w:pPr>
      <w:r>
        <w:rPr>
          <w:rFonts w:cs="Arial"/>
          <w:szCs w:val="22"/>
        </w:rPr>
        <w:t xml:space="preserve">13.11.1. Na impossibilidade do pagamento da multa por meio de descontos dos créditos existentes </w:t>
      </w:r>
      <w:r>
        <w:rPr>
          <w:rStyle w:val="Fontepargpadro1"/>
          <w:rFonts w:cs="Arial"/>
          <w:szCs w:val="22"/>
        </w:rPr>
        <w:t>ou da garantia contratual,</w:t>
      </w:r>
      <w:r>
        <w:rPr>
          <w:rFonts w:cs="Arial"/>
          <w:szCs w:val="22"/>
        </w:rPr>
        <w:t xml:space="preserve"> o CONTRATADO recolherá a multa por meio de Documento de Arrecadação Estadual (DAE), podendo ser substituído por outro instrumento legal, em nome do CONTRATANTE, se não o fizer, será cobrada em processo de execução.</w:t>
      </w:r>
    </w:p>
    <w:p>
      <w:pPr>
        <w:pStyle w:val="Textbody"/>
        <w:spacing w:lineRule="auto" w:line="240" w:before="0" w:after="0"/>
        <w:rPr>
          <w:rFonts w:eastAsia="Arial" w:cs="Arial"/>
          <w:color w:val="000000"/>
          <w:szCs w:val="22"/>
        </w:rPr>
      </w:pPr>
      <w:r>
        <w:rPr>
          <w:rFonts w:eastAsia="Arial" w:cs="Arial"/>
          <w:color w:val="000000"/>
          <w:szCs w:val="22"/>
        </w:rPr>
      </w:r>
    </w:p>
    <w:p>
      <w:pPr>
        <w:pStyle w:val="Textbody"/>
        <w:spacing w:lineRule="auto" w:line="240" w:before="0" w:after="0"/>
        <w:rPr>
          <w:rFonts w:eastAsia="Arial" w:cs="Arial"/>
          <w:color w:val="000000"/>
          <w:szCs w:val="22"/>
        </w:rPr>
      </w:pPr>
      <w:r>
        <w:rPr>
          <w:rFonts w:cs="Arial"/>
          <w:b/>
          <w:bCs/>
          <w:szCs w:val="22"/>
        </w:rPr>
        <w:t>CLÁUSULA DÉCIMA QUARTA – DA EXTINÇÃO CONTRATUAL</w:t>
      </w:r>
    </w:p>
    <w:p>
      <w:pPr>
        <w:pStyle w:val="Nvel2-Red"/>
        <w:spacing w:lineRule="auto" w:line="240" w:before="0" w:after="0"/>
        <w:rPr>
          <w:sz w:val="22"/>
          <w:szCs w:val="22"/>
        </w:rPr>
      </w:pPr>
      <w:r>
        <w:rPr>
          <w:rFonts w:eastAsia="Arial"/>
          <w:i w:val="false"/>
          <w:iCs w:val="false"/>
          <w:color w:val="00000A"/>
          <w:sz w:val="22"/>
          <w:szCs w:val="22"/>
        </w:rPr>
        <w:t>14.1. Este contrato se extingue nas seguintes hipóteses:</w:t>
      </w:r>
    </w:p>
    <w:p>
      <w:pPr>
        <w:pStyle w:val="Nvel2-Red"/>
        <w:spacing w:lineRule="auto" w:line="240" w:before="0" w:after="0"/>
        <w:rPr>
          <w:sz w:val="22"/>
          <w:szCs w:val="22"/>
        </w:rPr>
      </w:pPr>
      <w:r>
        <w:rPr>
          <w:rFonts w:eastAsia="Arial"/>
          <w:i w:val="false"/>
          <w:iCs w:val="false"/>
          <w:color w:val="00000A"/>
          <w:sz w:val="22"/>
          <w:szCs w:val="22"/>
        </w:rPr>
        <w:t>I – Quando cumpridas as obrigações de ambas as partes, ainda que isso ocorra antes do prazo estipulado para tanto, e.</w:t>
      </w:r>
    </w:p>
    <w:p>
      <w:pPr>
        <w:pStyle w:val="Nivel2"/>
        <w:spacing w:lineRule="auto" w:line="240" w:before="0" w:after="0"/>
        <w:rPr/>
      </w:pPr>
      <w:r>
        <w:rPr>
          <w:rFonts w:eastAsia="Arial"/>
          <w:color w:val="00000A"/>
          <w:sz w:val="22"/>
          <w:szCs w:val="22"/>
        </w:rPr>
        <w:t>II – Quando mesmo não cumpridas as obrigações nele estipuladas, ou antes do prazo nele fixado, ocorrer algum dos motivos previstos no art.</w:t>
      </w:r>
      <w:r>
        <w:fldChar w:fldCharType="begin"/>
      </w:r>
      <w:r>
        <w:rPr>
          <w:rStyle w:val="LinkdaInternet"/>
        </w:rPr>
        <w:instrText xml:space="preserve"> HYPERLINK "http://www.planalto.gov.br/ccivil_03/_ato2019-2022/2021/lei/L14133.htm" \l "art137"</w:instrText>
      </w:r>
      <w:r>
        <w:rPr>
          <w:rStyle w:val="LinkdaInternet"/>
        </w:rPr>
        <w:fldChar w:fldCharType="separate"/>
      </w:r>
      <w:r>
        <w:rPr>
          <w:rStyle w:val="LinkdaInternet"/>
        </w:rPr>
        <w:t xml:space="preserve"> 137 da Lei nº 14.133/2021</w:t>
      </w:r>
      <w:r>
        <w:rPr>
          <w:rStyle w:val="LinkdaInternet"/>
        </w:rPr>
        <w:fldChar w:fldCharType="end"/>
      </w:r>
      <w:r>
        <w:rPr>
          <w:rFonts w:eastAsia="Arial"/>
          <w:color w:val="00000A"/>
          <w:sz w:val="22"/>
          <w:szCs w:val="22"/>
        </w:rPr>
        <w:t>, bem como amigavelmente, assegurados o contraditório e a ampla defesa.</w:t>
      </w:r>
    </w:p>
    <w:p>
      <w:pPr>
        <w:pStyle w:val="Nivel2"/>
        <w:spacing w:lineRule="auto" w:line="240" w:before="0" w:after="0"/>
        <w:rPr/>
      </w:pPr>
      <w:r>
        <w:rPr>
          <w:rFonts w:eastAsia="Arial"/>
          <w:color w:val="00000A"/>
          <w:sz w:val="22"/>
          <w:szCs w:val="22"/>
        </w:rPr>
        <w:t xml:space="preserve">a) Nesta hipótese, aplicam-se também os </w:t>
      </w:r>
      <w:r>
        <w:fldChar w:fldCharType="begin"/>
      </w:r>
      <w:r>
        <w:rPr>
          <w:rStyle w:val="LinkdaInternet"/>
          <w:sz w:val="22"/>
          <w:u w:val="none"/>
          <w:szCs w:val="22"/>
          <w:rFonts w:eastAsia="Arial"/>
          <w:color w:val="00000A"/>
        </w:rPr>
        <w:instrText xml:space="preserve"> HYPERLINK "http://www.planalto.gov.br/ccivil_03/_ato2019-2022/2021/lei/L14133.htm" \l "art138"</w:instrText>
      </w:r>
      <w:r>
        <w:rPr>
          <w:rStyle w:val="LinkdaInternet"/>
          <w:sz w:val="22"/>
          <w:u w:val="none"/>
          <w:szCs w:val="22"/>
          <w:rFonts w:eastAsia="Arial"/>
          <w:color w:val="00000A"/>
        </w:rPr>
        <w:fldChar w:fldCharType="separate"/>
      </w:r>
      <w:r>
        <w:rPr>
          <w:rStyle w:val="LinkdaInternet"/>
          <w:rFonts w:eastAsia="Arial"/>
          <w:color w:val="00000A"/>
          <w:sz w:val="22"/>
          <w:szCs w:val="22"/>
          <w:u w:val="none"/>
        </w:rPr>
        <w:t>arts. 138 e 139 da mesma Lei</w:t>
      </w:r>
      <w:r>
        <w:rPr>
          <w:rStyle w:val="LinkdaInternet"/>
          <w:sz w:val="22"/>
          <w:u w:val="none"/>
          <w:szCs w:val="22"/>
          <w:rFonts w:eastAsia="Arial"/>
          <w:color w:val="00000A"/>
        </w:rPr>
        <w:fldChar w:fldCharType="end"/>
      </w:r>
      <w:r>
        <w:rPr>
          <w:rFonts w:eastAsia="Arial"/>
          <w:color w:val="00000A"/>
          <w:sz w:val="22"/>
          <w:szCs w:val="22"/>
        </w:rPr>
        <w:t>.</w:t>
      </w:r>
    </w:p>
    <w:p>
      <w:pPr>
        <w:pStyle w:val="Nivel2"/>
        <w:spacing w:lineRule="auto" w:line="240" w:before="0" w:after="0"/>
        <w:rPr>
          <w:sz w:val="22"/>
          <w:szCs w:val="22"/>
        </w:rPr>
      </w:pPr>
      <w:r>
        <w:rPr>
          <w:rFonts w:eastAsia="Arial"/>
          <w:color w:val="00000A"/>
          <w:sz w:val="22"/>
          <w:szCs w:val="22"/>
        </w:rPr>
        <w:t>14.2. A alteração social ou a modificação da finalidade ou da estrutura da empresa não ensejará a rescisão se não restringir sua capacidade de concluir o contrato.</w:t>
      </w:r>
    </w:p>
    <w:p>
      <w:pPr>
        <w:pStyle w:val="Nivel2"/>
        <w:spacing w:lineRule="auto" w:line="240" w:before="0" w:after="0"/>
        <w:rPr>
          <w:sz w:val="22"/>
          <w:szCs w:val="22"/>
        </w:rPr>
      </w:pPr>
      <w:r>
        <w:rPr>
          <w:rFonts w:eastAsia="Arial"/>
          <w:color w:val="00000A"/>
          <w:sz w:val="22"/>
          <w:szCs w:val="22"/>
        </w:rPr>
        <w:t>14.2.1. Se a operação implicar mudança da pessoa jurídica CONTRATADA, deverá ser formalizado termo aditivo para alteração subjetiva.</w:t>
      </w:r>
    </w:p>
    <w:p>
      <w:pPr>
        <w:pStyle w:val="Nivel2"/>
        <w:spacing w:lineRule="auto" w:line="240" w:before="0" w:after="0"/>
        <w:rPr>
          <w:sz w:val="22"/>
          <w:szCs w:val="22"/>
        </w:rPr>
      </w:pPr>
      <w:r>
        <w:rPr>
          <w:rFonts w:eastAsia="Arial"/>
          <w:color w:val="00000A"/>
          <w:sz w:val="22"/>
          <w:szCs w:val="22"/>
        </w:rPr>
        <w:t>14.3. O termo de rescisão, sempre que possível, será precedido:</w:t>
      </w:r>
    </w:p>
    <w:p>
      <w:pPr>
        <w:pStyle w:val="Nivel2"/>
        <w:spacing w:lineRule="auto" w:line="240" w:before="0" w:after="0"/>
        <w:rPr>
          <w:sz w:val="22"/>
          <w:szCs w:val="22"/>
        </w:rPr>
      </w:pPr>
      <w:r>
        <w:rPr>
          <w:rFonts w:eastAsia="Arial"/>
          <w:color w:val="00000A"/>
          <w:sz w:val="22"/>
          <w:szCs w:val="22"/>
        </w:rPr>
        <w:t>14.3.1. Balanço dos eventos contratuais já cumpridos ou parcialmente cumpridos;</w:t>
      </w:r>
    </w:p>
    <w:p>
      <w:pPr>
        <w:pStyle w:val="Nivel2"/>
        <w:spacing w:lineRule="auto" w:line="240" w:before="0" w:after="0"/>
        <w:rPr>
          <w:sz w:val="22"/>
          <w:szCs w:val="22"/>
        </w:rPr>
      </w:pPr>
      <w:r>
        <w:rPr>
          <w:rFonts w:eastAsia="Arial"/>
          <w:color w:val="00000A"/>
          <w:sz w:val="22"/>
          <w:szCs w:val="22"/>
        </w:rPr>
        <w:t xml:space="preserve">14.3.2. </w:t>
      </w:r>
      <w:r>
        <w:rPr>
          <w:color w:val="00000A"/>
          <w:sz w:val="22"/>
          <w:szCs w:val="22"/>
        </w:rPr>
        <w:t>Relação dos pagamentos já efetuados e ainda devidos;</w:t>
      </w:r>
    </w:p>
    <w:p>
      <w:pPr>
        <w:pStyle w:val="Nivel2"/>
        <w:spacing w:lineRule="auto" w:line="240" w:before="0" w:after="0"/>
        <w:rPr>
          <w:sz w:val="22"/>
          <w:szCs w:val="22"/>
        </w:rPr>
      </w:pPr>
      <w:r>
        <w:rPr>
          <w:rFonts w:eastAsia="Arial"/>
          <w:color w:val="00000A"/>
          <w:sz w:val="22"/>
          <w:szCs w:val="22"/>
        </w:rPr>
        <w:t>14</w:t>
      </w:r>
      <w:r>
        <w:rPr>
          <w:color w:val="00000A"/>
          <w:sz w:val="22"/>
          <w:szCs w:val="22"/>
        </w:rPr>
        <w:t xml:space="preserve">.3.3. </w:t>
      </w:r>
      <w:r>
        <w:rPr>
          <w:rFonts w:eastAsia="Arial"/>
          <w:color w:val="00000A"/>
          <w:sz w:val="22"/>
          <w:szCs w:val="22"/>
        </w:rPr>
        <w:t>Indenizações e multas.</w:t>
      </w:r>
    </w:p>
    <w:p>
      <w:pPr>
        <w:pStyle w:val="Nivel2"/>
        <w:spacing w:lineRule="auto" w:line="240" w:before="0" w:after="0"/>
        <w:rPr>
          <w:sz w:val="22"/>
          <w:szCs w:val="22"/>
        </w:rPr>
      </w:pPr>
      <w:r>
        <w:rPr>
          <w:rFonts w:eastAsia="Arial"/>
          <w:color w:val="00000A"/>
          <w:sz w:val="22"/>
          <w:szCs w:val="22"/>
        </w:rPr>
        <w:t>14.4. A extinção do contrato não configura óbice para o reconhecimento do desequilíbrio econômico-financeiro, hipótese em que será concedida indenização por meio de termo indenizatório.</w:t>
      </w:r>
    </w:p>
    <w:p>
      <w:pPr>
        <w:pStyle w:val="Nivel2"/>
        <w:spacing w:lineRule="auto" w:line="240" w:before="0" w:after="0"/>
        <w:rPr>
          <w:sz w:val="22"/>
          <w:szCs w:val="22"/>
        </w:rPr>
      </w:pPr>
      <w:r>
        <w:rPr>
          <w:rFonts w:eastAsia="Arial"/>
          <w:color w:val="00000A"/>
          <w:sz w:val="22"/>
          <w:szCs w:val="22"/>
        </w:rPr>
        <w:t>14.5. Este contrato poderá ser rescindido a qualquer tempo pelo CONTRATANTE, mediante aviso prévio de no mínimo 30 (trinta) dias, nos casos das rescisões decorrentes do previsto no inciso VIII, do art. 137, da Lei Federal nº 14.133/2021, sem que caiba ao CONTRATADO, direito à indenização de qualquer espécie.</w:t>
      </w:r>
    </w:p>
    <w:p>
      <w:pPr>
        <w:pStyle w:val="Textbody"/>
        <w:spacing w:lineRule="auto" w:line="240" w:before="0" w:after="0"/>
        <w:rPr>
          <w:rFonts w:cs="Arial"/>
          <w:color w:val="000000"/>
          <w:szCs w:val="22"/>
        </w:rPr>
      </w:pPr>
      <w:r>
        <w:rPr>
          <w:rFonts w:cs="Arial"/>
          <w:color w:val="000000"/>
          <w:szCs w:val="22"/>
        </w:rPr>
      </w:r>
    </w:p>
    <w:p>
      <w:pPr>
        <w:pStyle w:val="Textbody"/>
        <w:spacing w:lineRule="auto" w:line="240" w:before="0" w:after="0"/>
        <w:rPr>
          <w:rFonts w:cs="Arial"/>
          <w:color w:val="000000"/>
          <w:szCs w:val="22"/>
        </w:rPr>
      </w:pPr>
      <w:r>
        <w:rPr>
          <w:rFonts w:eastAsia="Arial" w:cs="Arial"/>
          <w:b/>
          <w:bCs/>
          <w:szCs w:val="22"/>
        </w:rPr>
        <w:t>CLÁUSULA DÉCIMA QUINTA – DA ADEQUAÇÃO ORÇAMENTÁRIA</w:t>
      </w:r>
    </w:p>
    <w:p>
      <w:pPr>
        <w:pStyle w:val="Textbody"/>
        <w:spacing w:lineRule="auto" w:line="240" w:before="0" w:after="0"/>
        <w:rPr>
          <w:rFonts w:cs="Arial"/>
          <w:szCs w:val="22"/>
        </w:rPr>
      </w:pPr>
      <w:r>
        <w:rPr>
          <w:rFonts w:eastAsia="Arial" w:cs="Arial"/>
          <w:szCs w:val="22"/>
        </w:rPr>
        <w:t>15.1. As despesas decorrentes da presente contratação correrão à conta de recursos específicos consignados no Orçamento Geral do Estado deste exercício, na dotação abaixo discriminada, conforme o caso:</w:t>
      </w:r>
    </w:p>
    <w:p>
      <w:pPr>
        <w:pStyle w:val="Textbody"/>
        <w:spacing w:lineRule="auto" w:line="240" w:before="0" w:after="0"/>
        <w:rPr>
          <w:rFonts w:eastAsia="Arial" w:cs="Arial"/>
          <w:color w:val="FF0000"/>
          <w:szCs w:val="22"/>
        </w:rPr>
      </w:pPr>
      <w:r>
        <w:rPr>
          <w:rFonts w:eastAsia="Arial" w:cs="Arial"/>
          <w:szCs w:val="22"/>
        </w:rPr>
        <w:t xml:space="preserve">15.1.1. </w:t>
      </w:r>
      <w:r>
        <w:rPr>
          <w:rFonts w:eastAsia="Arial" w:cs="Arial"/>
          <w:color w:val="000000"/>
          <w:szCs w:val="22"/>
        </w:rPr>
        <w:t>Gestão/Unidade: 43100001;</w:t>
      </w:r>
    </w:p>
    <w:p>
      <w:pPr>
        <w:pStyle w:val="Textbody"/>
        <w:spacing w:lineRule="auto" w:line="240" w:before="0" w:after="0"/>
        <w:rPr>
          <w:color w:val="000000"/>
        </w:rPr>
      </w:pPr>
      <w:r>
        <w:rPr>
          <w:rFonts w:eastAsia="Arial" w:cs="Arial"/>
          <w:color w:val="000000"/>
          <w:szCs w:val="22"/>
        </w:rPr>
        <w:t>15.1.2. Fonte de Recursos:</w:t>
      </w:r>
      <w:r>
        <w:rPr>
          <w:color w:val="000000"/>
        </w:rPr>
        <w:t xml:space="preserve"> </w:t>
      </w:r>
      <w:r>
        <w:rPr>
          <w:rFonts w:eastAsia="Arial" w:cs="Arial"/>
          <w:color w:val="000000"/>
          <w:szCs w:val="22"/>
        </w:rPr>
        <w:t xml:space="preserve">7002200082.1;  5009100000.7 e 5009100000.0 </w:t>
      </w:r>
    </w:p>
    <w:p>
      <w:pPr>
        <w:pStyle w:val="Textbody"/>
        <w:spacing w:lineRule="auto" w:line="240" w:before="0" w:after="0"/>
        <w:rPr>
          <w:color w:val="000000"/>
        </w:rPr>
      </w:pPr>
      <w:r>
        <w:rPr>
          <w:rFonts w:cs="Arial"/>
          <w:color w:val="000000"/>
          <w:szCs w:val="22"/>
        </w:rPr>
        <w:t>1</w:t>
      </w:r>
      <w:r>
        <w:rPr>
          <w:rFonts w:eastAsia="Arial" w:cs="Arial"/>
          <w:color w:val="000000"/>
          <w:szCs w:val="22"/>
        </w:rPr>
        <w:t>5.1.3. Programa de Trabalho: 311;</w:t>
      </w:r>
    </w:p>
    <w:p>
      <w:pPr>
        <w:pStyle w:val="Textbody"/>
        <w:spacing w:lineRule="auto" w:line="240" w:before="0" w:after="0"/>
        <w:rPr>
          <w:color w:val="000000"/>
        </w:rPr>
      </w:pPr>
      <w:r>
        <w:rPr>
          <w:rFonts w:cs="Arial"/>
          <w:color w:val="000000"/>
          <w:szCs w:val="22"/>
        </w:rPr>
        <w:t>15</w:t>
      </w:r>
      <w:r>
        <w:rPr>
          <w:rFonts w:eastAsia="Arial" w:cs="Arial"/>
          <w:color w:val="000000"/>
          <w:szCs w:val="22"/>
        </w:rPr>
        <w:t>.1.4. Elemento de Despesa: 449051;</w:t>
      </w:r>
    </w:p>
    <w:p>
      <w:pPr>
        <w:pStyle w:val="Nivel2"/>
        <w:spacing w:lineRule="auto" w:line="240" w:before="0" w:after="0"/>
        <w:rPr>
          <w:sz w:val="22"/>
          <w:szCs w:val="22"/>
        </w:rPr>
      </w:pPr>
      <w:r>
        <w:rPr>
          <w:rFonts w:eastAsia="Arial"/>
          <w:color w:val="00000A"/>
          <w:sz w:val="22"/>
          <w:szCs w:val="22"/>
        </w:rPr>
        <w:t>15.2. A dotação relativa aos exercícios financeiros subsequentes será indicada após aprovação da Lei Orçamentária respectiva e liberação dos créditos correspondentes, mediante apostilamento.</w:t>
      </w:r>
    </w:p>
    <w:p>
      <w:pPr>
        <w:pStyle w:val="Nivel2"/>
        <w:spacing w:lineRule="auto" w:line="240" w:before="0" w:after="0"/>
        <w:rPr>
          <w:rFonts w:eastAsia="Arial"/>
          <w:sz w:val="22"/>
          <w:szCs w:val="22"/>
        </w:rPr>
      </w:pPr>
      <w:r>
        <w:rPr>
          <w:rFonts w:eastAsia="Arial"/>
          <w:sz w:val="22"/>
          <w:szCs w:val="22"/>
        </w:rPr>
      </w:r>
    </w:p>
    <w:p>
      <w:pPr>
        <w:pStyle w:val="Nivel2"/>
        <w:spacing w:lineRule="auto" w:line="240" w:before="0" w:after="0"/>
        <w:rPr>
          <w:rFonts w:eastAsia="Arial"/>
          <w:sz w:val="22"/>
          <w:szCs w:val="22"/>
        </w:rPr>
      </w:pPr>
      <w:r>
        <w:rPr>
          <w:rFonts w:eastAsia="Arial"/>
          <w:b/>
          <w:bCs/>
          <w:color w:val="00000A"/>
          <w:sz w:val="22"/>
          <w:szCs w:val="22"/>
        </w:rPr>
        <w:t>CLÁUSULA DÉCIMA SEXTA – DAS ALTERAÇÕES</w:t>
      </w:r>
    </w:p>
    <w:p>
      <w:pPr>
        <w:pStyle w:val="Textbody"/>
        <w:spacing w:lineRule="auto" w:line="240" w:before="0" w:after="0"/>
        <w:rPr/>
      </w:pPr>
      <w:r>
        <w:rPr>
          <w:rFonts w:eastAsia="Arial" w:cs="Arial"/>
          <w:szCs w:val="22"/>
        </w:rPr>
        <w:t xml:space="preserve">16.1. Eventuais alterações contratuais reger-se-ão pela disciplina dos </w:t>
      </w:r>
      <w:r>
        <w:fldChar w:fldCharType="begin"/>
      </w:r>
      <w:r>
        <w:rPr>
          <w:rStyle w:val="LinkdaInternet"/>
          <w:u w:val="none"/>
          <w:szCs w:val="22"/>
          <w:rFonts w:eastAsia="Arial" w:cs="Arial"/>
          <w:color w:val="00000A"/>
        </w:rPr>
        <w:instrText xml:space="preserve"> HYPERLINK "http://www.planalto.gov.br/ccivil_03/_ato2019-2022/2021/lei/L14133.htm" \l "art124"</w:instrText>
      </w:r>
      <w:r>
        <w:rPr>
          <w:rStyle w:val="LinkdaInternet"/>
          <w:u w:val="none"/>
          <w:szCs w:val="22"/>
          <w:rFonts w:eastAsia="Arial" w:cs="Arial"/>
          <w:color w:val="00000A"/>
        </w:rPr>
        <w:fldChar w:fldCharType="separate"/>
      </w:r>
      <w:r>
        <w:rPr>
          <w:rStyle w:val="LinkdaInternet"/>
          <w:rFonts w:eastAsia="Arial" w:cs="Arial"/>
          <w:color w:val="00000A"/>
          <w:szCs w:val="22"/>
          <w:u w:val="none"/>
        </w:rPr>
        <w:t>arts. 124 e seguintes da Lei nº 14.133/2021</w:t>
      </w:r>
      <w:r>
        <w:rPr>
          <w:rStyle w:val="LinkdaInternet"/>
          <w:u w:val="none"/>
          <w:szCs w:val="22"/>
          <w:rFonts w:eastAsia="Arial" w:cs="Arial"/>
          <w:color w:val="00000A"/>
        </w:rPr>
        <w:fldChar w:fldCharType="end"/>
      </w:r>
      <w:r>
        <w:rPr>
          <w:rFonts w:eastAsia="Arial" w:cs="Arial"/>
          <w:szCs w:val="22"/>
        </w:rPr>
        <w:t>.</w:t>
      </w:r>
    </w:p>
    <w:p>
      <w:pPr>
        <w:pStyle w:val="Textbody"/>
        <w:spacing w:lineRule="auto" w:line="240" w:before="0" w:after="0"/>
        <w:rPr>
          <w:rFonts w:cs="Arial"/>
          <w:szCs w:val="22"/>
        </w:rPr>
      </w:pPr>
      <w:r>
        <w:rPr>
          <w:rFonts w:eastAsia="Arial" w:cs="Arial"/>
          <w:szCs w:val="22"/>
        </w:rPr>
        <w:t xml:space="preserve">16.2. </w:t>
      </w:r>
      <w:r>
        <w:rPr>
          <w:rFonts w:cs="Arial"/>
          <w:szCs w:val="22"/>
        </w:rPr>
        <w:t>O CONTRATADO é obrigado a aceitar, nas mesmas condições contratuais, os acréscimos ou supressões que se fizerem necessários, até o limite de 25% (vinte e cinco por cento) do valor inicial atualizado do contrato, e, no caso de reforma de edifício ou de equipamento, o limite para os acréscimos será de 50% (cinquenta por cento).</w:t>
      </w:r>
    </w:p>
    <w:p>
      <w:pPr>
        <w:pStyle w:val="Textbody"/>
        <w:spacing w:lineRule="auto" w:line="240" w:before="0" w:after="0"/>
        <w:rPr/>
      </w:pPr>
      <w:r>
        <w:rPr>
          <w:rFonts w:cs="Arial"/>
          <w:szCs w:val="22"/>
        </w:rPr>
        <w:t xml:space="preserve">16.3. </w:t>
      </w:r>
      <w:r>
        <w:rPr>
          <w:rFonts w:eastAsia="Arial" w:cs="Arial"/>
          <w:szCs w:val="22"/>
        </w:rPr>
        <w:t xml:space="preserve">Registros que não caracterizam alteração do contrato podem ser realizados por simples apostila, dispensada a celebração de termo aditivo, na forma do </w:t>
      </w:r>
      <w:r>
        <w:fldChar w:fldCharType="begin"/>
      </w:r>
      <w:r>
        <w:rPr>
          <w:rStyle w:val="LinkdaInternet"/>
          <w:u w:val="none"/>
          <w:szCs w:val="22"/>
          <w:rFonts w:eastAsia="Arial" w:cs="Arial"/>
          <w:color w:val="00000A"/>
        </w:rPr>
        <w:instrText xml:space="preserve"> HYPERLINK "http://www.planalto.gov.br/ccivil_03/_ato2019-2022/2021/lei/L14133.htm" \l "art136"</w:instrText>
      </w:r>
      <w:r>
        <w:rPr>
          <w:rStyle w:val="LinkdaInternet"/>
          <w:u w:val="none"/>
          <w:szCs w:val="22"/>
          <w:rFonts w:eastAsia="Arial" w:cs="Arial"/>
          <w:color w:val="00000A"/>
        </w:rPr>
        <w:fldChar w:fldCharType="separate"/>
      </w:r>
      <w:r>
        <w:rPr>
          <w:rStyle w:val="LinkdaInternet"/>
          <w:rFonts w:eastAsia="Arial" w:cs="Arial"/>
          <w:color w:val="00000A"/>
          <w:szCs w:val="22"/>
          <w:u w:val="none"/>
        </w:rPr>
        <w:t>art. 136 da Lei nº 14.133/2021</w:t>
      </w:r>
      <w:r>
        <w:rPr>
          <w:rStyle w:val="LinkdaInternet"/>
          <w:u w:val="none"/>
          <w:szCs w:val="22"/>
          <w:rFonts w:eastAsia="Arial" w:cs="Arial"/>
          <w:color w:val="00000A"/>
        </w:rPr>
        <w:fldChar w:fldCharType="end"/>
      </w:r>
      <w:r>
        <w:rPr>
          <w:rFonts w:eastAsia="Arial" w:cs="Arial"/>
          <w:szCs w:val="22"/>
        </w:rPr>
        <w:t>.</w:t>
      </w:r>
    </w:p>
    <w:p>
      <w:pPr>
        <w:pStyle w:val="Nivel2"/>
        <w:spacing w:lineRule="auto" w:line="240" w:before="0" w:after="0"/>
        <w:rPr>
          <w:sz w:val="22"/>
          <w:szCs w:val="22"/>
        </w:rPr>
      </w:pPr>
      <w:r>
        <w:rPr>
          <w:rFonts w:eastAsia="Arial"/>
          <w:b/>
          <w:bCs/>
          <w:color w:val="00000A"/>
          <w:sz w:val="22"/>
          <w:szCs w:val="22"/>
        </w:rPr>
        <w:t>CLÁUSULA DÉCIMA SÉTIMA – DOS CASOS OMISSOS</w:t>
      </w:r>
    </w:p>
    <w:p>
      <w:pPr>
        <w:pStyle w:val="Textbody"/>
        <w:spacing w:lineRule="auto" w:line="240" w:before="0" w:after="0"/>
        <w:rPr/>
      </w:pPr>
      <w:r>
        <w:rPr>
          <w:rFonts w:cs="Arial"/>
          <w:szCs w:val="22"/>
        </w:rPr>
        <w:t xml:space="preserve">17.1. Os casos omissos serão decididos pelo CONTRATANTE, segundo as disposições contidas na Lei </w:t>
      </w:r>
      <w:hyperlink r:id="rId17">
        <w:r>
          <w:rPr>
            <w:rStyle w:val="LinkdaInternet"/>
            <w:rFonts w:cs="Arial"/>
            <w:color w:val="00000A"/>
            <w:szCs w:val="22"/>
            <w:u w:val="none"/>
          </w:rPr>
          <w:t>nº 14.133/2021</w:t>
        </w:r>
      </w:hyperlink>
      <w:r>
        <w:rPr>
          <w:rFonts w:cs="Arial"/>
          <w:szCs w:val="22"/>
        </w:rPr>
        <w:t xml:space="preserve">, e demais normas estaduais aplicáveis e, subsidiariamente, segundo as disposições contidas na </w:t>
      </w:r>
      <w:hyperlink r:id="rId18">
        <w:r>
          <w:rPr>
            <w:rStyle w:val="LinkdaInternet"/>
          </w:rPr>
          <w:t>Lei nº 8.078/1990 – Código de Defesa do Consumidor</w:t>
        </w:r>
      </w:hyperlink>
      <w:r>
        <w:rPr>
          <w:rFonts w:cs="Arial"/>
          <w:szCs w:val="22"/>
        </w:rPr>
        <w:t xml:space="preserve"> – e normas e princípios gerais dos contratos.</w:t>
      </w:r>
    </w:p>
    <w:p>
      <w:pPr>
        <w:pStyle w:val="Nivel2"/>
        <w:spacing w:lineRule="auto" w:line="240" w:before="0" w:after="0"/>
        <w:rPr>
          <w:rFonts w:eastAsia="Arial"/>
          <w:sz w:val="22"/>
          <w:szCs w:val="22"/>
        </w:rPr>
      </w:pPr>
      <w:r>
        <w:rPr>
          <w:rFonts w:eastAsia="Arial"/>
          <w:b/>
          <w:bCs/>
          <w:color w:val="00000A"/>
          <w:sz w:val="22"/>
          <w:szCs w:val="22"/>
        </w:rPr>
        <w:t>CLÁUSULA DÉCIMA OITAVA – DA PUBLICAÇÃO</w:t>
      </w:r>
    </w:p>
    <w:p>
      <w:pPr>
        <w:pStyle w:val="Nivel2"/>
        <w:spacing w:lineRule="auto" w:line="240" w:before="0" w:after="0"/>
        <w:rPr/>
      </w:pPr>
      <w:r>
        <w:rPr>
          <w:rFonts w:eastAsia="Arial"/>
          <w:color w:val="00000A"/>
          <w:sz w:val="22"/>
          <w:szCs w:val="22"/>
        </w:rPr>
        <w:t xml:space="preserve">18.1. Incumbirá ao CONTRATANTE divulgar o presente instrumento no Portal Nacional de Contratações Públicas (PNCP), na forma prevista no </w:t>
      </w:r>
      <w:r>
        <w:fldChar w:fldCharType="begin"/>
      </w:r>
      <w:r>
        <w:rPr>
          <w:rStyle w:val="LinkdaInternet"/>
          <w:sz w:val="22"/>
          <w:szCs w:val="22"/>
          <w:rFonts w:eastAsia="Arial"/>
          <w:color w:val="00000A"/>
        </w:rPr>
        <w:instrText xml:space="preserve"> HYPERLINK "http://www.planalto.gov.br/ccivil_03/_ato2019-2022/2021/lei/L14133.htm" \l "art94"</w:instrText>
      </w:r>
      <w:r>
        <w:rPr>
          <w:rStyle w:val="LinkdaInternet"/>
          <w:sz w:val="22"/>
          <w:szCs w:val="22"/>
          <w:rFonts w:eastAsia="Arial"/>
          <w:color w:val="00000A"/>
        </w:rPr>
        <w:fldChar w:fldCharType="separate"/>
      </w:r>
      <w:r>
        <w:rPr>
          <w:rStyle w:val="LinkdaInternet"/>
          <w:rFonts w:eastAsia="Arial"/>
          <w:color w:val="00000A"/>
          <w:sz w:val="22"/>
          <w:szCs w:val="22"/>
        </w:rPr>
        <w:t>art. 94 da Lei 14.133/2021</w:t>
      </w:r>
      <w:r>
        <w:rPr>
          <w:rStyle w:val="LinkdaInternet"/>
          <w:sz w:val="22"/>
          <w:szCs w:val="22"/>
          <w:rFonts w:eastAsia="Arial"/>
          <w:color w:val="00000A"/>
        </w:rPr>
        <w:fldChar w:fldCharType="end"/>
      </w:r>
      <w:r>
        <w:rPr>
          <w:rFonts w:eastAsia="Arial"/>
          <w:color w:val="00000A"/>
          <w:sz w:val="22"/>
          <w:szCs w:val="22"/>
        </w:rPr>
        <w:t>, bem como no respectivo sítio oficial na Internet, em atenção a Lei nº 12.527/2011, regulamentada no Estado do Ceará pela Lei nº 15.175/2012.</w:t>
      </w:r>
    </w:p>
    <w:p>
      <w:pPr>
        <w:pStyle w:val="Standard"/>
        <w:jc w:val="both"/>
        <w:rPr>
          <w:rFonts w:ascii="Arial" w:hAnsi="Arial" w:cs="Arial"/>
          <w:sz w:val="22"/>
          <w:szCs w:val="22"/>
        </w:rPr>
      </w:pPr>
      <w:r>
        <w:rPr>
          <w:rFonts w:cs="Arial" w:ascii="Arial" w:hAnsi="Arial"/>
          <w:b/>
          <w:bCs/>
          <w:sz w:val="22"/>
          <w:szCs w:val="22"/>
        </w:rPr>
        <w:t xml:space="preserve">CLÁUSULA </w:t>
      </w:r>
      <w:r>
        <w:rPr>
          <w:rFonts w:eastAsia="Arial" w:cs="Arial" w:ascii="Arial" w:hAnsi="Arial"/>
          <w:b/>
          <w:bCs/>
          <w:sz w:val="22"/>
          <w:szCs w:val="22"/>
        </w:rPr>
        <w:t>DÉCIMA NONA</w:t>
      </w:r>
      <w:r>
        <w:rPr>
          <w:rFonts w:cs="Arial" w:ascii="Arial" w:hAnsi="Arial"/>
          <w:b/>
          <w:bCs/>
          <w:sz w:val="22"/>
          <w:szCs w:val="22"/>
        </w:rPr>
        <w:t xml:space="preserve"> – DA FISCALIZAÇÃO</w:t>
      </w:r>
    </w:p>
    <w:p>
      <w:pPr>
        <w:pStyle w:val="Standard"/>
        <w:jc w:val="both"/>
        <w:rPr>
          <w:rFonts w:ascii="Arial" w:hAnsi="Arial" w:cs="Arial"/>
          <w:sz w:val="22"/>
          <w:szCs w:val="22"/>
        </w:rPr>
      </w:pPr>
      <w:r>
        <w:rPr>
          <w:rFonts w:cs="Arial" w:ascii="Arial" w:hAnsi="Arial"/>
          <w:sz w:val="22"/>
          <w:szCs w:val="22"/>
        </w:rPr>
        <w:t>19.1. A execução contratual será acompanhada pelo (a) Gestor (a) do Contrato __________ (nome completo), CPF _______, representante especialmente designado (a) para este fim, ou pelo (a) respectivo (a) substituto (a).</w:t>
      </w:r>
    </w:p>
    <w:p>
      <w:pPr>
        <w:pStyle w:val="Standard"/>
        <w:jc w:val="both"/>
        <w:rPr>
          <w:rFonts w:ascii="Arial" w:hAnsi="Arial" w:cs="Arial"/>
          <w:sz w:val="22"/>
          <w:szCs w:val="22"/>
        </w:rPr>
      </w:pPr>
      <w:r>
        <w:rPr>
          <w:rFonts w:cs="Arial" w:ascii="Arial" w:hAnsi="Arial"/>
          <w:sz w:val="22"/>
          <w:szCs w:val="22"/>
        </w:rPr>
        <w:t>19.2. A execução contratual será fiscalizada pelo (a) Fiscal (a) do Contrato _____ (nome completo), CPF _______, representante especialmente designado (a) para este fim, ou pelo(a) respectivo(a) substituto(a).</w:t>
      </w:r>
    </w:p>
    <w:p>
      <w:pPr>
        <w:pStyle w:val="Nivel2"/>
        <w:spacing w:lineRule="auto" w:line="240" w:before="0" w:after="0"/>
        <w:rPr/>
      </w:pPr>
      <w:r>
        <w:rPr>
          <w:b/>
          <w:bCs/>
          <w:color w:val="00000A"/>
          <w:sz w:val="22"/>
          <w:szCs w:val="22"/>
        </w:rPr>
        <w:t xml:space="preserve">CLÁUSULA </w:t>
      </w:r>
      <w:r>
        <w:rPr>
          <w:b/>
          <w:bCs/>
          <w:sz w:val="22"/>
          <w:szCs w:val="22"/>
        </w:rPr>
        <w:t>VIGÉSIMA</w:t>
      </w:r>
      <w:r>
        <w:rPr>
          <w:b/>
          <w:bCs/>
          <w:color w:val="00000A"/>
          <w:sz w:val="22"/>
          <w:szCs w:val="22"/>
        </w:rPr>
        <w:t xml:space="preserve"> – DAS CONDIÇÕES ESPECIAIS DA PRESTAÇÃO DOS SERVIÇOS</w:t>
      </w:r>
    </w:p>
    <w:p>
      <w:pPr>
        <w:pStyle w:val="Nivel2"/>
        <w:spacing w:lineRule="auto" w:line="240" w:before="0" w:after="0"/>
        <w:rPr>
          <w:rFonts w:cs="Verdana"/>
          <w:sz w:val="22"/>
          <w:szCs w:val="22"/>
        </w:rPr>
      </w:pPr>
      <w:r>
        <w:rPr>
          <w:rFonts w:cs="Verdana"/>
          <w:sz w:val="22"/>
          <w:szCs w:val="22"/>
        </w:rPr>
        <w:t>20.1. A CONTRATADA estará obrigada a satisfazer os requisitos e atender a todas as exigências e condições a seguir estabelecidas:</w:t>
      </w:r>
    </w:p>
    <w:p>
      <w:pPr>
        <w:pStyle w:val="Nivel2"/>
        <w:numPr>
          <w:ilvl w:val="0"/>
          <w:numId w:val="1"/>
        </w:numPr>
        <w:tabs>
          <w:tab w:val="clear" w:pos="708"/>
          <w:tab w:val="left" w:pos="284" w:leader="none"/>
        </w:tabs>
        <w:spacing w:lineRule="auto" w:line="240" w:before="0" w:after="0"/>
        <w:rPr/>
      </w:pPr>
      <w:r>
        <w:rPr>
          <w:rFonts w:cs="Verdana"/>
          <w:sz w:val="22"/>
          <w:szCs w:val="22"/>
        </w:rPr>
        <w:t xml:space="preserve">Prestar os serviços de acordo com as </w:t>
      </w:r>
      <w:r>
        <w:rPr>
          <w:rFonts w:cs="Verdana"/>
          <w:b/>
          <w:bCs/>
          <w:sz w:val="22"/>
          <w:szCs w:val="22"/>
        </w:rPr>
        <w:t>ESPECIFICAÇÕES TÉCNICAS</w:t>
      </w:r>
      <w:r>
        <w:rPr>
          <w:rFonts w:cs="Verdana"/>
          <w:sz w:val="22"/>
          <w:szCs w:val="22"/>
        </w:rPr>
        <w:t xml:space="preserve"> do edital e seus complementos.</w:t>
      </w:r>
    </w:p>
    <w:p>
      <w:pPr>
        <w:pStyle w:val="Nivel2"/>
        <w:numPr>
          <w:ilvl w:val="0"/>
          <w:numId w:val="1"/>
        </w:numPr>
        <w:tabs>
          <w:tab w:val="clear" w:pos="708"/>
          <w:tab w:val="left" w:pos="284" w:leader="none"/>
        </w:tabs>
        <w:spacing w:lineRule="auto" w:line="240" w:before="0" w:after="0"/>
        <w:rPr>
          <w:rFonts w:cs="Verdana"/>
          <w:sz w:val="22"/>
          <w:szCs w:val="22"/>
        </w:rPr>
      </w:pPr>
      <w:r>
        <w:rPr>
          <w:rFonts w:cs="Verdana"/>
          <w:sz w:val="22"/>
          <w:szCs w:val="22"/>
        </w:rPr>
        <w:t>Atender às normas da Associação Brasileira de Normas Técnicas (ABNT) e demais normas pertinentes ao objeto contratado.</w:t>
      </w:r>
    </w:p>
    <w:p>
      <w:pPr>
        <w:pStyle w:val="Nivel2"/>
        <w:numPr>
          <w:ilvl w:val="0"/>
          <w:numId w:val="1"/>
        </w:numPr>
        <w:tabs>
          <w:tab w:val="clear" w:pos="708"/>
          <w:tab w:val="left" w:pos="284" w:leader="none"/>
        </w:tabs>
        <w:spacing w:lineRule="auto" w:line="240" w:before="0" w:after="0"/>
        <w:rPr>
          <w:rFonts w:cs="Verdana"/>
          <w:sz w:val="22"/>
          <w:szCs w:val="22"/>
        </w:rPr>
      </w:pPr>
      <w:r>
        <w:rPr>
          <w:rFonts w:cs="Verdana"/>
          <w:sz w:val="22"/>
          <w:szCs w:val="22"/>
        </w:rPr>
        <w:t>Responsabilizar-se pela conformidade, adequação, desempenho e qualidade dos serviços e bens, bem como de cada material, matéria-prima ou componente individualmente considerado, mesmo que não sejam de sua fabricação, garantindo seu perfeito desempenho.</w:t>
      </w:r>
    </w:p>
    <w:p>
      <w:pPr>
        <w:pStyle w:val="Nivel2"/>
        <w:numPr>
          <w:ilvl w:val="0"/>
          <w:numId w:val="1"/>
        </w:numPr>
        <w:tabs>
          <w:tab w:val="clear" w:pos="708"/>
          <w:tab w:val="left" w:pos="284" w:leader="none"/>
        </w:tabs>
        <w:spacing w:lineRule="auto" w:line="240" w:before="0" w:after="0"/>
        <w:rPr>
          <w:rFonts w:cs="Verdana"/>
          <w:sz w:val="22"/>
          <w:szCs w:val="22"/>
        </w:rPr>
      </w:pPr>
      <w:r>
        <w:rPr>
          <w:rFonts w:cs="Verdana"/>
          <w:sz w:val="22"/>
          <w:szCs w:val="22"/>
        </w:rPr>
        <w:t>Apresentar, caso a CONTRATADA seja obrigada pela legislação pertinente, antes da 1ª (primeira) medição, cronograma e descrição da implantação das medidas preventivas definidas no Programa de Condições e Meio Ambiente de Trabalho na Indústria da Construção (PCMAT), no Programa de Controle Médico de Saúde Ocupacional (PCMSO) e seus respectivos responsáveis, sob pena de retardar o processo de pagamento.</w:t>
      </w:r>
    </w:p>
    <w:p>
      <w:pPr>
        <w:pStyle w:val="Nivel2"/>
        <w:numPr>
          <w:ilvl w:val="0"/>
          <w:numId w:val="1"/>
        </w:numPr>
        <w:tabs>
          <w:tab w:val="clear" w:pos="708"/>
          <w:tab w:val="left" w:pos="284" w:leader="none"/>
        </w:tabs>
        <w:spacing w:lineRule="auto" w:line="240" w:before="0" w:after="0"/>
        <w:rPr>
          <w:rFonts w:cs="Verdana"/>
          <w:sz w:val="22"/>
          <w:szCs w:val="22"/>
        </w:rPr>
      </w:pPr>
      <w:r>
        <w:rPr>
          <w:rFonts w:cs="Verdana"/>
          <w:sz w:val="22"/>
          <w:szCs w:val="22"/>
        </w:rPr>
        <w:t>Registrar o Contrato decorrente desta licitação no CREA ou CAU, na forma da Lei, e apresentar o comprovante de “Anotação de Responsabilidade Técnica – ART” ou “Registro de Responsabilidade Técnica – RRT” correspondente antes da apresentação da primeira fatura, perante a SCIDADES, sob pena de retardar o processo de pagamento.</w:t>
      </w:r>
    </w:p>
    <w:p>
      <w:pPr>
        <w:pStyle w:val="Nivel2"/>
        <w:numPr>
          <w:ilvl w:val="0"/>
          <w:numId w:val="1"/>
        </w:numPr>
        <w:tabs>
          <w:tab w:val="clear" w:pos="708"/>
          <w:tab w:val="left" w:pos="284" w:leader="none"/>
        </w:tabs>
        <w:spacing w:lineRule="auto" w:line="240" w:before="0" w:after="0"/>
        <w:rPr>
          <w:rFonts w:cs="Verdana"/>
          <w:sz w:val="22"/>
          <w:szCs w:val="22"/>
        </w:rPr>
      </w:pPr>
      <w:r>
        <w:rPr>
          <w:rFonts w:cs="Verdana"/>
          <w:sz w:val="22"/>
          <w:szCs w:val="22"/>
        </w:rPr>
        <w:t>Registrar o Contrato decorrente desta licitação junto ao INSS, e apresentar a matrícula correspondente antes da apresentação da primeira fatura, perante o CONTRATANTE, sob pena de retardar o processo de pagamento.</w:t>
      </w:r>
    </w:p>
    <w:p>
      <w:pPr>
        <w:pStyle w:val="Nivel2"/>
        <w:numPr>
          <w:ilvl w:val="0"/>
          <w:numId w:val="1"/>
        </w:numPr>
        <w:tabs>
          <w:tab w:val="clear" w:pos="708"/>
          <w:tab w:val="left" w:pos="284" w:leader="none"/>
        </w:tabs>
        <w:spacing w:lineRule="auto" w:line="240" w:before="0" w:after="0"/>
        <w:rPr>
          <w:rFonts w:cs="Verdana"/>
          <w:sz w:val="22"/>
          <w:szCs w:val="22"/>
        </w:rPr>
      </w:pPr>
      <w:r>
        <w:rPr>
          <w:rFonts w:cs="Verdana"/>
          <w:sz w:val="22"/>
          <w:szCs w:val="22"/>
        </w:rPr>
        <w:t>Fornecer toda e qualquer documentação, cálculo estrutural, projetos, etc., produzidos durante a execução do objeto do Contrato, de forma convencional (impressa) e em meio digital;</w:t>
      </w:r>
    </w:p>
    <w:p>
      <w:pPr>
        <w:pStyle w:val="Nivel2"/>
        <w:numPr>
          <w:ilvl w:val="0"/>
          <w:numId w:val="1"/>
        </w:numPr>
        <w:tabs>
          <w:tab w:val="clear" w:pos="708"/>
          <w:tab w:val="left" w:pos="284" w:leader="none"/>
        </w:tabs>
        <w:spacing w:lineRule="auto" w:line="240" w:before="0" w:after="0"/>
        <w:rPr>
          <w:rFonts w:cs="Verdana"/>
          <w:sz w:val="22"/>
          <w:szCs w:val="22"/>
        </w:rPr>
      </w:pPr>
      <w:r>
        <w:rPr>
          <w:rFonts w:cs="Verdana"/>
          <w:sz w:val="22"/>
          <w:szCs w:val="22"/>
        </w:rPr>
        <w:t>Apresentar até 05 (cinco) dias úteis, após o recebimento da Ordem de Serviço o Cronograma Físico-Financeiro adaptado e devidamente aprovado pela fiscalização da SCIDADES, em 02 (duas) vias, uma impressa e outra em formato digital editável (planilha eletrônica); e</w:t>
      </w:r>
    </w:p>
    <w:p>
      <w:pPr>
        <w:pStyle w:val="Nivel2"/>
        <w:numPr>
          <w:ilvl w:val="0"/>
          <w:numId w:val="1"/>
        </w:numPr>
        <w:tabs>
          <w:tab w:val="clear" w:pos="708"/>
          <w:tab w:val="left" w:pos="284" w:leader="none"/>
        </w:tabs>
        <w:spacing w:lineRule="auto" w:line="240" w:before="0" w:after="0"/>
        <w:rPr>
          <w:rFonts w:cs="Verdana"/>
          <w:sz w:val="22"/>
          <w:szCs w:val="22"/>
        </w:rPr>
      </w:pPr>
      <w:r>
        <w:rPr>
          <w:rFonts w:cs="Verdana"/>
          <w:sz w:val="22"/>
          <w:szCs w:val="22"/>
        </w:rPr>
        <w:t>Aceitar, nas mesmas condições contratuais, os acréscimos ou supressões que se fizerem necessários, até os limites previstos em lei.</w:t>
      </w:r>
    </w:p>
    <w:p>
      <w:pPr>
        <w:pStyle w:val="Nivel2"/>
        <w:spacing w:lineRule="auto" w:line="240" w:before="0" w:after="0"/>
        <w:rPr>
          <w:rFonts w:cs="Verdana"/>
          <w:sz w:val="22"/>
          <w:szCs w:val="22"/>
        </w:rPr>
      </w:pPr>
      <w:r>
        <w:rPr>
          <w:rFonts w:cs="Verdana"/>
          <w:sz w:val="22"/>
          <w:szCs w:val="22"/>
        </w:rPr>
        <w:t>20.2. A CONTRATADA deverá adotar medidas necessárias ao CONTROLE E PROTEÇÃO AMBIENTAL para evitar a ocorrência de danos e minimizar os impactos adversos ao meio ambiente e a terceiros, conforme a seguir:</w:t>
      </w:r>
    </w:p>
    <w:p>
      <w:pPr>
        <w:pStyle w:val="Nivel2"/>
        <w:numPr>
          <w:ilvl w:val="0"/>
          <w:numId w:val="2"/>
        </w:numPr>
        <w:tabs>
          <w:tab w:val="clear" w:pos="708"/>
          <w:tab w:val="left" w:pos="284" w:leader="none"/>
        </w:tabs>
        <w:spacing w:lineRule="auto" w:line="240" w:before="0" w:after="0"/>
        <w:rPr>
          <w:rFonts w:cs="Verdana"/>
          <w:sz w:val="22"/>
          <w:szCs w:val="22"/>
        </w:rPr>
      </w:pPr>
      <w:r>
        <w:rPr>
          <w:rFonts w:cs="Verdana"/>
          <w:sz w:val="22"/>
          <w:szCs w:val="22"/>
        </w:rPr>
        <w:t>A CONTRATADA, responsável pela execução do objeto, adotará todas as medidas relacionadas à minimização dos impactos ambientais, bem como atenderá plenamente e acompanhará o cumprimento das condicionantes das licenças ambientais ou das isenções emitidas.</w:t>
      </w:r>
    </w:p>
    <w:p>
      <w:pPr>
        <w:pStyle w:val="Nivel2"/>
        <w:numPr>
          <w:ilvl w:val="0"/>
          <w:numId w:val="2"/>
        </w:numPr>
        <w:tabs>
          <w:tab w:val="clear" w:pos="708"/>
          <w:tab w:val="left" w:pos="284" w:leader="none"/>
        </w:tabs>
        <w:spacing w:lineRule="auto" w:line="240" w:before="0" w:after="0"/>
        <w:rPr>
          <w:rFonts w:cs="Verdana"/>
          <w:sz w:val="22"/>
          <w:szCs w:val="22"/>
        </w:rPr>
      </w:pPr>
      <w:r>
        <w:rPr>
          <w:rFonts w:cs="Verdana"/>
          <w:sz w:val="22"/>
          <w:szCs w:val="22"/>
        </w:rPr>
        <w:t>A CONTRATADA será responsável pelos danos e/ou impactos ambientais adversos identificados pelo órgão ambiental competente, decorrentes da execução do objeto.</w:t>
      </w:r>
    </w:p>
    <w:p>
      <w:pPr>
        <w:pStyle w:val="Nivel2"/>
        <w:numPr>
          <w:ilvl w:val="0"/>
          <w:numId w:val="2"/>
        </w:numPr>
        <w:tabs>
          <w:tab w:val="clear" w:pos="708"/>
          <w:tab w:val="left" w:pos="284" w:leader="none"/>
        </w:tabs>
        <w:spacing w:lineRule="auto" w:line="240" w:before="0" w:after="0"/>
        <w:rPr>
          <w:rFonts w:cs="Verdana"/>
          <w:sz w:val="22"/>
          <w:szCs w:val="22"/>
        </w:rPr>
      </w:pPr>
      <w:r>
        <w:rPr>
          <w:rFonts w:cs="Verdana"/>
          <w:sz w:val="22"/>
          <w:szCs w:val="22"/>
        </w:rPr>
        <w:t>Deverá ser observado o atendimento da legislação ambiental federal, estadual e municipal quanto às autorizações e/ou licenças para as intervenções supracitadas.</w:t>
      </w:r>
    </w:p>
    <w:p>
      <w:pPr>
        <w:pStyle w:val="Nivel2"/>
        <w:numPr>
          <w:ilvl w:val="0"/>
          <w:numId w:val="2"/>
        </w:numPr>
        <w:tabs>
          <w:tab w:val="clear" w:pos="708"/>
          <w:tab w:val="left" w:pos="284" w:leader="none"/>
        </w:tabs>
        <w:spacing w:lineRule="auto" w:line="240" w:before="0" w:after="0"/>
        <w:rPr>
          <w:rFonts w:cs="Verdana"/>
          <w:sz w:val="22"/>
          <w:szCs w:val="22"/>
        </w:rPr>
      </w:pPr>
      <w:r>
        <w:rPr>
          <w:rFonts w:cs="Verdana"/>
          <w:sz w:val="22"/>
          <w:szCs w:val="22"/>
        </w:rPr>
        <w:t>O início dos trabalhos deverá ser precedido da entrega, sob responsabilidade da CONTRATADA, de:</w:t>
      </w:r>
    </w:p>
    <w:p>
      <w:pPr>
        <w:pStyle w:val="Nivel2"/>
        <w:numPr>
          <w:ilvl w:val="1"/>
          <w:numId w:val="2"/>
        </w:numPr>
        <w:tabs>
          <w:tab w:val="clear" w:pos="708"/>
          <w:tab w:val="left" w:pos="284" w:leader="none"/>
        </w:tabs>
        <w:spacing w:lineRule="auto" w:line="240" w:before="0" w:after="0"/>
        <w:rPr>
          <w:rFonts w:cs="Verdana"/>
          <w:sz w:val="22"/>
          <w:szCs w:val="22"/>
        </w:rPr>
      </w:pPr>
      <w:r>
        <w:rPr>
          <w:rFonts w:cs="Verdana"/>
          <w:sz w:val="22"/>
          <w:szCs w:val="22"/>
        </w:rPr>
        <w:t>Plano de Gerenciamento dos Resíduos Sólidos da Construção Civil (PGRSCC) ao órgão ambiental pelo licenciamento, quando condicionado na respectiva licença, com cópia destinada à CONTRATANTE, conforme as diretrizes da Resolução CONAMA nº 307, de 05 de julho de 2002, NBR nº 10.004/2004, Lei Federal nº 12.305, de 02 de agosto de 2010 e Lei estadual nº 16.032, de 20 junho de 2016;</w:t>
      </w:r>
    </w:p>
    <w:p>
      <w:pPr>
        <w:pStyle w:val="Nivel2"/>
        <w:numPr>
          <w:ilvl w:val="1"/>
          <w:numId w:val="2"/>
        </w:numPr>
        <w:tabs>
          <w:tab w:val="clear" w:pos="708"/>
          <w:tab w:val="left" w:pos="284" w:leader="none"/>
        </w:tabs>
        <w:spacing w:lineRule="auto" w:line="240" w:before="0" w:after="0"/>
        <w:rPr>
          <w:rFonts w:cs="Verdana"/>
          <w:sz w:val="22"/>
          <w:szCs w:val="22"/>
        </w:rPr>
      </w:pPr>
      <w:r>
        <w:rPr>
          <w:rFonts w:cs="Verdana"/>
          <w:sz w:val="22"/>
          <w:szCs w:val="22"/>
        </w:rPr>
        <w:t>Alvará de Construção conforme legislações municipais.</w:t>
      </w:r>
    </w:p>
    <w:p>
      <w:pPr>
        <w:pStyle w:val="Nivel2"/>
        <w:numPr>
          <w:ilvl w:val="1"/>
          <w:numId w:val="2"/>
        </w:numPr>
        <w:tabs>
          <w:tab w:val="clear" w:pos="708"/>
          <w:tab w:val="left" w:pos="284" w:leader="none"/>
        </w:tabs>
        <w:spacing w:lineRule="auto" w:line="240" w:before="0" w:after="0"/>
        <w:rPr>
          <w:rFonts w:cs="Verdana"/>
          <w:sz w:val="22"/>
          <w:szCs w:val="22"/>
        </w:rPr>
      </w:pPr>
      <w:r>
        <w:rPr>
          <w:rFonts w:cs="Verdana"/>
          <w:sz w:val="22"/>
          <w:szCs w:val="22"/>
        </w:rPr>
        <w:t>Licença Ambiental adequada à instalação do objeto contratado conforme legislação ambiental vigente emitida pelo órgão ambiental competente (consoante Resolução COEMA nº 07/2019) e/ou processo de Mudança de Titularidade junto ao órgão licenciador, alterando para a sua Razão Social/CNPJ os documentos ambientais referentes.</w:t>
      </w:r>
    </w:p>
    <w:p>
      <w:pPr>
        <w:pStyle w:val="Nivel2"/>
        <w:numPr>
          <w:ilvl w:val="0"/>
          <w:numId w:val="3"/>
        </w:numPr>
        <w:tabs>
          <w:tab w:val="clear" w:pos="708"/>
          <w:tab w:val="left" w:pos="284" w:leader="none"/>
        </w:tabs>
        <w:spacing w:lineRule="auto" w:line="240" w:before="0" w:after="0"/>
        <w:rPr>
          <w:rFonts w:cs="Verdana"/>
          <w:sz w:val="22"/>
          <w:szCs w:val="22"/>
        </w:rPr>
      </w:pPr>
      <w:r>
        <w:rPr>
          <w:rFonts w:cs="Verdana"/>
          <w:sz w:val="22"/>
          <w:szCs w:val="22"/>
        </w:rPr>
        <w:t>CONTRATADA deverá apresentar manifestação formal ao CONTRATANTE com a devida justificativa, a ser analisada pela CONTRATANTE.</w:t>
      </w:r>
    </w:p>
    <w:p>
      <w:pPr>
        <w:pStyle w:val="Nivel2"/>
        <w:numPr>
          <w:ilvl w:val="0"/>
          <w:numId w:val="3"/>
        </w:numPr>
        <w:tabs>
          <w:tab w:val="clear" w:pos="708"/>
          <w:tab w:val="left" w:pos="284" w:leader="none"/>
        </w:tabs>
        <w:spacing w:lineRule="auto" w:line="240" w:before="0" w:after="0"/>
        <w:rPr>
          <w:rFonts w:cs="Verdana"/>
          <w:sz w:val="22"/>
          <w:szCs w:val="22"/>
        </w:rPr>
      </w:pPr>
      <w:r>
        <w:rPr>
          <w:rFonts w:cs="Verdana"/>
          <w:sz w:val="22"/>
          <w:szCs w:val="22"/>
        </w:rPr>
        <w:t>A CONTRATADA deverá periodicamente preencher, assinar e encaminhar ao CONTRATANTE, conforme solicitação deste, relatórios de acompanhamento ambiental em campo enquanto perdurarem os serviços objeto do edital.</w:t>
      </w:r>
    </w:p>
    <w:p>
      <w:pPr>
        <w:pStyle w:val="Nivel2"/>
        <w:spacing w:lineRule="auto" w:line="240" w:before="0" w:after="0"/>
        <w:rPr>
          <w:rFonts w:cs="Verdana"/>
          <w:sz w:val="22"/>
          <w:szCs w:val="22"/>
        </w:rPr>
      </w:pPr>
      <w:r>
        <w:rPr>
          <w:rFonts w:cs="Verdana"/>
          <w:sz w:val="22"/>
          <w:szCs w:val="22"/>
        </w:rPr>
        <w:t>20.3 É de responsabilidade da CONTRATADA proceder com as devidas solicitações administrativas, quando necessárias, e seus custeios junto aos órgãos competentes da Administração Pública (Certidões, Autorizações, Isenções ou Licenças Ambientais, Alvarás, Outorgas e congêneres), conforme legislações correlatas, devendo informar ao CONTRATANTE sobre tais solicitações e respectivos protocolos para acompanhamento.</w:t>
      </w:r>
    </w:p>
    <w:p>
      <w:pPr>
        <w:pStyle w:val="Nivel2"/>
        <w:spacing w:lineRule="auto" w:line="240" w:before="0" w:after="0"/>
        <w:rPr>
          <w:rFonts w:cs="Verdana"/>
          <w:sz w:val="22"/>
          <w:szCs w:val="22"/>
        </w:rPr>
      </w:pPr>
      <w:r>
        <w:rPr>
          <w:rFonts w:cs="Verdana"/>
          <w:sz w:val="22"/>
          <w:szCs w:val="22"/>
        </w:rPr>
        <w:t>20.4 A apresentação dos documentos acima não eximem a CONTRATADA do pleno cumprimento das condicionantes de tais documentos emitidos e apresentação de suas comprovações.</w:t>
      </w:r>
    </w:p>
    <w:p>
      <w:pPr>
        <w:pStyle w:val="Nivel2"/>
        <w:spacing w:lineRule="auto" w:line="240" w:before="0" w:after="0"/>
        <w:rPr>
          <w:rFonts w:cs="Verdana"/>
          <w:sz w:val="22"/>
          <w:szCs w:val="22"/>
        </w:rPr>
      </w:pPr>
      <w:r>
        <w:rPr>
          <w:rFonts w:cs="Verdana"/>
          <w:sz w:val="22"/>
          <w:szCs w:val="22"/>
        </w:rPr>
        <w:t>20.5 A CONTRATADA deve solicitar, junto aos órgãos competentes, os licenciamentos ambientais das áreas de apoio a serem utilizadas na execução dos serviços quando aplicável, incluindo jazidas de empréstimo, canteiro de obras, pedreiras, usinas, e outras que se façam necessário, ficando obrigada a atender aos itens condicionantes nos documentos emitidos para tais atividades.</w:t>
      </w:r>
    </w:p>
    <w:p>
      <w:pPr>
        <w:pStyle w:val="Nivel2"/>
        <w:spacing w:lineRule="auto" w:line="240" w:before="0" w:after="0"/>
        <w:rPr/>
      </w:pPr>
      <w:r>
        <w:rPr/>
      </w:r>
    </w:p>
    <w:p>
      <w:pPr>
        <w:pStyle w:val="Nivel2"/>
        <w:spacing w:lineRule="auto" w:line="240" w:before="0" w:after="0"/>
        <w:rPr>
          <w:rFonts w:cs="Verdana"/>
          <w:b/>
          <w:bCs/>
          <w:sz w:val="22"/>
          <w:szCs w:val="22"/>
        </w:rPr>
      </w:pPr>
      <w:r>
        <w:rPr>
          <w:rFonts w:cs="Verdana"/>
          <w:b/>
          <w:bCs/>
          <w:sz w:val="22"/>
          <w:szCs w:val="22"/>
        </w:rPr>
        <w:t>20.6. IMPACTOS AMBIENTAIS</w:t>
      </w:r>
    </w:p>
    <w:p>
      <w:pPr>
        <w:pStyle w:val="Nivel2"/>
        <w:spacing w:lineRule="auto" w:line="240" w:before="0" w:after="0"/>
        <w:rPr>
          <w:rFonts w:cs="Verdana"/>
          <w:sz w:val="22"/>
          <w:szCs w:val="22"/>
        </w:rPr>
      </w:pPr>
      <w:r>
        <w:rPr>
          <w:rFonts w:cs="Verdana"/>
          <w:sz w:val="22"/>
          <w:szCs w:val="22"/>
        </w:rPr>
        <w:t>A Resolução CONAMA nº 001/1986 define o impacto ambiental como qualquer alteração das propriedades físicas, químicas e biológicas do meio ambiente, causada por qualquer forma de matéria ou energia resultante das atividades humanas que direta ou indiretamente afetam:</w:t>
      </w:r>
    </w:p>
    <w:p>
      <w:pPr>
        <w:pStyle w:val="Nivel2"/>
        <w:numPr>
          <w:ilvl w:val="0"/>
          <w:numId w:val="4"/>
        </w:numPr>
        <w:tabs>
          <w:tab w:val="clear" w:pos="708"/>
          <w:tab w:val="left" w:pos="284" w:leader="none"/>
        </w:tabs>
        <w:spacing w:lineRule="auto" w:line="240" w:before="0" w:after="0"/>
        <w:rPr>
          <w:rFonts w:cs="Verdana"/>
          <w:sz w:val="22"/>
          <w:szCs w:val="22"/>
        </w:rPr>
      </w:pPr>
      <w:r>
        <w:rPr>
          <w:rFonts w:cs="Verdana"/>
          <w:sz w:val="22"/>
          <w:szCs w:val="22"/>
        </w:rPr>
        <w:t>a saúde, a segurança e o bem-estar da população;</w:t>
      </w:r>
    </w:p>
    <w:p>
      <w:pPr>
        <w:pStyle w:val="Nivel2"/>
        <w:numPr>
          <w:ilvl w:val="0"/>
          <w:numId w:val="4"/>
        </w:numPr>
        <w:tabs>
          <w:tab w:val="clear" w:pos="708"/>
          <w:tab w:val="left" w:pos="284" w:leader="none"/>
        </w:tabs>
        <w:spacing w:lineRule="auto" w:line="240" w:before="0" w:after="0"/>
        <w:rPr>
          <w:rFonts w:cs="Verdana"/>
          <w:sz w:val="22"/>
          <w:szCs w:val="22"/>
        </w:rPr>
      </w:pPr>
      <w:r>
        <w:rPr>
          <w:rFonts w:cs="Verdana"/>
          <w:sz w:val="22"/>
          <w:szCs w:val="22"/>
        </w:rPr>
        <w:t>atividades sociais ou econômicas;</w:t>
      </w:r>
    </w:p>
    <w:p>
      <w:pPr>
        <w:pStyle w:val="Nivel2"/>
        <w:numPr>
          <w:ilvl w:val="0"/>
          <w:numId w:val="4"/>
        </w:numPr>
        <w:tabs>
          <w:tab w:val="clear" w:pos="708"/>
          <w:tab w:val="left" w:pos="284" w:leader="none"/>
        </w:tabs>
        <w:spacing w:lineRule="auto" w:line="240" w:before="0" w:after="0"/>
        <w:rPr>
          <w:rFonts w:cs="Verdana"/>
          <w:sz w:val="22"/>
          <w:szCs w:val="22"/>
        </w:rPr>
      </w:pPr>
      <w:r>
        <w:rPr>
          <w:rFonts w:cs="Verdana"/>
          <w:sz w:val="22"/>
          <w:szCs w:val="22"/>
        </w:rPr>
        <w:t>a biota;</w:t>
      </w:r>
    </w:p>
    <w:p>
      <w:pPr>
        <w:pStyle w:val="Nivel2"/>
        <w:numPr>
          <w:ilvl w:val="0"/>
          <w:numId w:val="4"/>
        </w:numPr>
        <w:tabs>
          <w:tab w:val="clear" w:pos="708"/>
          <w:tab w:val="left" w:pos="284" w:leader="none"/>
        </w:tabs>
        <w:spacing w:lineRule="auto" w:line="240" w:before="0" w:after="0"/>
        <w:rPr>
          <w:rFonts w:cs="Verdana"/>
          <w:sz w:val="22"/>
          <w:szCs w:val="22"/>
        </w:rPr>
      </w:pPr>
      <w:r>
        <w:rPr>
          <w:rFonts w:cs="Verdana"/>
          <w:sz w:val="22"/>
          <w:szCs w:val="22"/>
        </w:rPr>
        <w:t>condições estéticas e sanitárias do meio ambiente;</w:t>
      </w:r>
    </w:p>
    <w:p>
      <w:pPr>
        <w:pStyle w:val="Nivel2"/>
        <w:numPr>
          <w:ilvl w:val="0"/>
          <w:numId w:val="4"/>
        </w:numPr>
        <w:tabs>
          <w:tab w:val="clear" w:pos="708"/>
          <w:tab w:val="left" w:pos="284" w:leader="none"/>
        </w:tabs>
        <w:spacing w:lineRule="auto" w:line="240" w:before="0" w:after="0"/>
        <w:rPr>
          <w:rFonts w:cs="Verdana"/>
          <w:sz w:val="22"/>
          <w:szCs w:val="22"/>
        </w:rPr>
      </w:pPr>
      <w:r>
        <w:rPr>
          <w:rFonts w:cs="Verdana"/>
          <w:sz w:val="22"/>
          <w:szCs w:val="22"/>
        </w:rPr>
        <w:t>qualidade dos recursos ambientais.</w:t>
      </w:r>
    </w:p>
    <w:p>
      <w:pPr>
        <w:pStyle w:val="Nivel2"/>
        <w:spacing w:lineRule="auto" w:line="240" w:before="0" w:after="0"/>
        <w:rPr>
          <w:rFonts w:cs="Verdana"/>
          <w:sz w:val="22"/>
          <w:szCs w:val="22"/>
        </w:rPr>
      </w:pPr>
      <w:r>
        <w:rPr>
          <w:rFonts w:cs="Verdana"/>
          <w:sz w:val="22"/>
          <w:szCs w:val="22"/>
        </w:rPr>
        <w:t>Dessa forma, os possíveis impactos ambientais foram separados em físico, biótico e socioambiental:</w:t>
      </w:r>
    </w:p>
    <w:p>
      <w:pPr>
        <w:pStyle w:val="Nivel2"/>
        <w:spacing w:lineRule="auto" w:line="240" w:before="0" w:after="0"/>
        <w:rPr>
          <w:rFonts w:cs="Verdana"/>
          <w:b/>
          <w:bCs/>
          <w:sz w:val="22"/>
          <w:szCs w:val="22"/>
        </w:rPr>
      </w:pPr>
      <w:r>
        <w:rPr>
          <w:rFonts w:cs="Verdana"/>
          <w:b/>
          <w:bCs/>
          <w:sz w:val="22"/>
          <w:szCs w:val="22"/>
        </w:rPr>
        <w:t>20.6.1. IMPACTOS FÍSICOS:</w:t>
      </w:r>
    </w:p>
    <w:p>
      <w:pPr>
        <w:pStyle w:val="Nivel2"/>
        <w:numPr>
          <w:ilvl w:val="0"/>
          <w:numId w:val="5"/>
        </w:numPr>
        <w:tabs>
          <w:tab w:val="clear" w:pos="708"/>
          <w:tab w:val="left" w:pos="284" w:leader="none"/>
        </w:tabs>
        <w:spacing w:lineRule="auto" w:line="240" w:before="0" w:after="0"/>
        <w:rPr/>
      </w:pPr>
      <w:r>
        <w:rPr>
          <w:rFonts w:cs="Verdana"/>
          <w:b/>
          <w:bCs/>
          <w:sz w:val="22"/>
          <w:szCs w:val="22"/>
        </w:rPr>
        <w:t>Geração de ruídos:</w:t>
      </w:r>
      <w:r>
        <w:rPr>
          <w:rFonts w:cs="Verdana"/>
          <w:sz w:val="22"/>
          <w:szCs w:val="22"/>
        </w:rPr>
        <w:t xml:space="preserve"> Durante o período de execução dos serviços serão utilizadas diversas fontes de geração de ruído, entre elas equipamentos como serras circulares, ferramentas manuais e tráfego de caminhões de entrega de insumos. </w:t>
      </w:r>
      <w:r>
        <w:rPr>
          <w:rFonts w:cs="Verdana"/>
          <w:i/>
          <w:iCs/>
          <w:sz w:val="22"/>
          <w:szCs w:val="22"/>
        </w:rPr>
        <w:t>Mitigação:</w:t>
      </w:r>
      <w:r>
        <w:rPr>
          <w:rFonts w:cs="Verdana"/>
          <w:sz w:val="22"/>
          <w:szCs w:val="22"/>
        </w:rPr>
        <w:t xml:space="preserve"> Execução dos serviços em horários permitidos pela legislação local, manutenção em caminhões e equipamentos para diminuição de ruídos, além da distribuição de protetores auriculares para os trabalhadores em contato com equipamentos de maior ruído.</w:t>
      </w:r>
    </w:p>
    <w:p>
      <w:pPr>
        <w:pStyle w:val="Nivel2"/>
        <w:numPr>
          <w:ilvl w:val="0"/>
          <w:numId w:val="5"/>
        </w:numPr>
        <w:tabs>
          <w:tab w:val="clear" w:pos="708"/>
          <w:tab w:val="left" w:pos="284" w:leader="none"/>
        </w:tabs>
        <w:spacing w:lineRule="auto" w:line="240" w:before="0" w:after="0"/>
        <w:rPr/>
      </w:pPr>
      <w:r>
        <w:rPr>
          <w:rFonts w:cs="Verdana"/>
          <w:b/>
          <w:bCs/>
          <w:sz w:val="22"/>
          <w:szCs w:val="22"/>
        </w:rPr>
        <w:t>Geração de efluentes líquidos:</w:t>
      </w:r>
      <w:r>
        <w:rPr>
          <w:rFonts w:cs="Verdana"/>
          <w:sz w:val="22"/>
          <w:szCs w:val="22"/>
        </w:rPr>
        <w:t xml:space="preserve"> Os efluentes decorrentes da implantação serão do tipo doméstico gerado pelos funcionários da construção. </w:t>
      </w:r>
      <w:r>
        <w:rPr>
          <w:rFonts w:cs="Verdana"/>
          <w:i/>
          <w:iCs/>
          <w:sz w:val="22"/>
          <w:szCs w:val="22"/>
        </w:rPr>
        <w:t>Mitigação:</w:t>
      </w:r>
      <w:r>
        <w:rPr>
          <w:rFonts w:cs="Verdana"/>
          <w:sz w:val="22"/>
          <w:szCs w:val="22"/>
        </w:rPr>
        <w:t xml:space="preserve"> Utilização de ambientes já pertencentes à estrutura atual para encaminhamento dos efluentes diretamente à ETE do local.</w:t>
      </w:r>
    </w:p>
    <w:p>
      <w:pPr>
        <w:pStyle w:val="Nivel2"/>
        <w:numPr>
          <w:ilvl w:val="0"/>
          <w:numId w:val="5"/>
        </w:numPr>
        <w:tabs>
          <w:tab w:val="clear" w:pos="708"/>
          <w:tab w:val="left" w:pos="284" w:leader="none"/>
        </w:tabs>
        <w:spacing w:lineRule="auto" w:line="240" w:before="0" w:after="0"/>
        <w:rPr/>
      </w:pPr>
      <w:r>
        <w:rPr>
          <w:rFonts w:cs="Verdana"/>
          <w:b/>
          <w:bCs/>
          <w:sz w:val="22"/>
          <w:szCs w:val="22"/>
        </w:rPr>
        <w:t>Emissão de gases particulados:</w:t>
      </w:r>
      <w:r>
        <w:rPr>
          <w:rFonts w:cs="Verdana"/>
          <w:sz w:val="22"/>
          <w:szCs w:val="22"/>
        </w:rPr>
        <w:t xml:space="preserve"> Este impacto se deve à circulação de máquinas, veículos e equipamentos. </w:t>
      </w:r>
      <w:r>
        <w:rPr>
          <w:rFonts w:cs="Verdana"/>
          <w:i/>
          <w:iCs/>
          <w:sz w:val="22"/>
          <w:szCs w:val="22"/>
        </w:rPr>
        <w:t>Mitigação:</w:t>
      </w:r>
      <w:r>
        <w:rPr>
          <w:rFonts w:cs="Verdana"/>
          <w:sz w:val="22"/>
          <w:szCs w:val="22"/>
        </w:rPr>
        <w:t xml:space="preserve"> Todo o entulho resultante dos serviços deverão serem removidos periodicamente em caminhão basculante cobertos com lona para local fora dos serviços. Os materiais a serem removidos deverão ser constantemente umedecidos, para reduzir a formação de poeira e arraste eólico.</w:t>
      </w:r>
    </w:p>
    <w:p>
      <w:pPr>
        <w:pStyle w:val="Nivel2"/>
        <w:spacing w:lineRule="auto" w:line="240" w:before="0" w:after="0"/>
        <w:rPr>
          <w:rFonts w:cs="Verdana"/>
          <w:b/>
          <w:bCs/>
          <w:sz w:val="22"/>
          <w:szCs w:val="22"/>
        </w:rPr>
      </w:pPr>
      <w:r>
        <w:rPr>
          <w:rFonts w:cs="Verdana"/>
          <w:b/>
          <w:bCs/>
          <w:sz w:val="22"/>
          <w:szCs w:val="22"/>
        </w:rPr>
        <w:t>20.6.2. IMPACTOS BIÓTICOS:</w:t>
      </w:r>
    </w:p>
    <w:p>
      <w:pPr>
        <w:pStyle w:val="Nivel2"/>
        <w:numPr>
          <w:ilvl w:val="0"/>
          <w:numId w:val="6"/>
        </w:numPr>
        <w:tabs>
          <w:tab w:val="clear" w:pos="708"/>
          <w:tab w:val="left" w:pos="284" w:leader="none"/>
        </w:tabs>
        <w:spacing w:lineRule="auto" w:line="240" w:before="0" w:after="0"/>
        <w:rPr/>
      </w:pPr>
      <w:r>
        <w:rPr>
          <w:rFonts w:cs="Verdana"/>
          <w:b/>
          <w:bCs/>
          <w:sz w:val="22"/>
          <w:szCs w:val="22"/>
        </w:rPr>
        <w:t>Afugentamento e atropelamento:</w:t>
      </w:r>
      <w:r>
        <w:rPr>
          <w:rFonts w:cs="Verdana"/>
          <w:sz w:val="22"/>
          <w:szCs w:val="22"/>
        </w:rPr>
        <w:t xml:space="preserve"> Impacto de implantação associado ao alto ruído de motores e equipamentos que podem interferir no comportamento de espécies. </w:t>
      </w:r>
      <w:r>
        <w:rPr>
          <w:rFonts w:cs="Verdana"/>
          <w:i/>
          <w:iCs/>
          <w:sz w:val="22"/>
          <w:szCs w:val="22"/>
        </w:rPr>
        <w:t>Mitigação:</w:t>
      </w:r>
      <w:r>
        <w:rPr>
          <w:rFonts w:cs="Verdana"/>
          <w:sz w:val="22"/>
          <w:szCs w:val="22"/>
        </w:rPr>
        <w:t xml:space="preserve"> Medidas de sinalização de trânsito, busca pela redução de ruídos com manutenções em máquinas e equipamentos, principalmente em escapamentos.</w:t>
      </w:r>
    </w:p>
    <w:p>
      <w:pPr>
        <w:pStyle w:val="Nivel2"/>
        <w:tabs>
          <w:tab w:val="clear" w:pos="708"/>
          <w:tab w:val="left" w:pos="284" w:leader="none"/>
        </w:tabs>
        <w:spacing w:lineRule="auto" w:line="240" w:before="0" w:after="0"/>
        <w:rPr>
          <w:rFonts w:cs="Verdana"/>
          <w:b/>
          <w:bCs/>
          <w:sz w:val="22"/>
          <w:szCs w:val="22"/>
        </w:rPr>
      </w:pPr>
      <w:r>
        <w:rPr>
          <w:rFonts w:cs="Verdana"/>
          <w:b/>
          <w:bCs/>
          <w:sz w:val="22"/>
          <w:szCs w:val="22"/>
        </w:rPr>
        <w:t>20.6.3. IMPACTOS SOCIOAMBIENTAIS:</w:t>
      </w:r>
    </w:p>
    <w:p>
      <w:pPr>
        <w:pStyle w:val="Nivel2"/>
        <w:numPr>
          <w:ilvl w:val="0"/>
          <w:numId w:val="7"/>
        </w:numPr>
        <w:tabs>
          <w:tab w:val="clear" w:pos="708"/>
          <w:tab w:val="left" w:pos="284" w:leader="none"/>
        </w:tabs>
        <w:spacing w:lineRule="auto" w:line="240" w:before="0" w:after="0"/>
        <w:rPr/>
      </w:pPr>
      <w:r>
        <w:rPr>
          <w:rFonts w:cs="Verdana"/>
          <w:b/>
          <w:bCs/>
          <w:sz w:val="22"/>
          <w:szCs w:val="22"/>
        </w:rPr>
        <w:t>Geração de resíduos sólidos:</w:t>
      </w:r>
      <w:r>
        <w:rPr>
          <w:rFonts w:cs="Verdana"/>
          <w:sz w:val="22"/>
          <w:szCs w:val="22"/>
        </w:rPr>
        <w:t xml:space="preserve"> Serão resíduos de canteiro de obras compostos por entulhos de obra e materiais descartados advindos de cortes de ferro, madeira e lixo doméstico dos trabalhadores. </w:t>
      </w:r>
      <w:r>
        <w:rPr>
          <w:rFonts w:cs="Verdana"/>
          <w:i/>
          <w:iCs/>
          <w:sz w:val="22"/>
          <w:szCs w:val="22"/>
        </w:rPr>
        <w:t>Mitigação:</w:t>
      </w:r>
      <w:r>
        <w:rPr>
          <w:rFonts w:cs="Verdana"/>
          <w:sz w:val="22"/>
          <w:szCs w:val="22"/>
        </w:rPr>
        <w:t xml:space="preserve"> deverá ser realizada coleta seletiva de resíduos no canteiro de obra, conscientizando e sensibilizando a mão de obra sobre as rotinas de segregação/armazenamento dos resíduos e a organização dos seus fluxos. O canteiro de obras deverá se apresentar sempre arrumado, limpo e com passagens limpas e desimpedidas. O entulho e quaisquer sobras de material serão regularmente coletados para remoção, reutilização e/ou descarte, não podendo ocasionar para isso poeiras excessivas e riscos de acidentes.</w:t>
      </w:r>
    </w:p>
    <w:p>
      <w:pPr>
        <w:pStyle w:val="Nivel2"/>
        <w:numPr>
          <w:ilvl w:val="0"/>
          <w:numId w:val="7"/>
        </w:numPr>
        <w:tabs>
          <w:tab w:val="clear" w:pos="708"/>
          <w:tab w:val="left" w:pos="284" w:leader="none"/>
        </w:tabs>
        <w:spacing w:lineRule="auto" w:line="240" w:before="0" w:after="0"/>
        <w:rPr/>
      </w:pPr>
      <w:r>
        <w:rPr>
          <w:rFonts w:cs="Verdana"/>
          <w:b/>
          <w:bCs/>
          <w:sz w:val="22"/>
          <w:szCs w:val="22"/>
        </w:rPr>
        <w:t>Riscos de acidentes com os trabalhadores:</w:t>
      </w:r>
      <w:r>
        <w:rPr>
          <w:rFonts w:cs="Verdana"/>
          <w:sz w:val="22"/>
          <w:szCs w:val="22"/>
        </w:rPr>
        <w:t xml:space="preserve"> Impacto de implantação em que os trabalhadores trabalharão com altura e/ou com equipamentos, podendo sofrer acidentes. </w:t>
      </w:r>
      <w:r>
        <w:rPr>
          <w:rFonts w:cs="Verdana"/>
          <w:i/>
          <w:iCs/>
          <w:sz w:val="22"/>
          <w:szCs w:val="22"/>
        </w:rPr>
        <w:t>Mitigação:</w:t>
      </w:r>
      <w:r>
        <w:rPr>
          <w:rFonts w:cs="Verdana"/>
          <w:sz w:val="22"/>
          <w:szCs w:val="22"/>
        </w:rPr>
        <w:t xml:space="preserve"> Aplicação de programas de prevenção de acidentes contratualmente exigidos, seguidos de seu fiel cumprimento quanto à utilização de EPI’s, além de medidas complementares mitigadores de acidentes a serem implantadas pelo engenheiro residente.</w:t>
      </w:r>
    </w:p>
    <w:p>
      <w:pPr>
        <w:pStyle w:val="Ttulo112"/>
        <w:spacing w:lineRule="auto" w:line="240" w:before="0" w:after="0"/>
        <w:ind w:left="0" w:hanging="0"/>
        <w:rPr>
          <w:rFonts w:eastAsia="Arial" w:cs="Arial"/>
          <w:b w:val="false"/>
          <w:bCs w:val="false"/>
          <w:sz w:val="22"/>
          <w:szCs w:val="22"/>
        </w:rPr>
      </w:pPr>
      <w:r>
        <w:rPr>
          <w:rFonts w:eastAsia="Arial" w:cs="Arial"/>
          <w:b w:val="false"/>
          <w:bCs w:val="false"/>
          <w:sz w:val="22"/>
          <w:szCs w:val="22"/>
        </w:rPr>
        <w:t>CLÁUSULA VIGÉSIMA PRIMEIRA – DO RECEBIMENTO DOS SERVIÇOS</w:t>
      </w:r>
    </w:p>
    <w:p>
      <w:pPr>
        <w:pStyle w:val="Textbody"/>
        <w:spacing w:lineRule="auto" w:line="240" w:before="0" w:after="0"/>
        <w:rPr>
          <w:rFonts w:cs="Verdana"/>
          <w:color w:val="000000"/>
          <w:szCs w:val="22"/>
        </w:rPr>
      </w:pPr>
      <w:r>
        <w:rPr>
          <w:rFonts w:cs="Verdana"/>
          <w:color w:val="000000"/>
          <w:szCs w:val="22"/>
        </w:rPr>
        <w:t>21.1. O recebimento dos serviços serão feitos por equipe ou comissão técnica, constituída pela CONTRATANTE/INTERVENIENTE, para este fim.</w:t>
      </w:r>
    </w:p>
    <w:p>
      <w:pPr>
        <w:pStyle w:val="Textbody"/>
        <w:spacing w:lineRule="auto" w:line="240" w:before="0" w:after="0"/>
        <w:rPr>
          <w:rFonts w:cs="Verdana"/>
          <w:color w:val="000000"/>
          <w:szCs w:val="22"/>
        </w:rPr>
      </w:pPr>
      <w:r>
        <w:rPr>
          <w:rFonts w:cs="Verdana"/>
          <w:color w:val="000000"/>
          <w:szCs w:val="22"/>
        </w:rPr>
        <w:t>21.2. O objeto desta Licitação será recebido:</w:t>
      </w:r>
    </w:p>
    <w:p>
      <w:pPr>
        <w:pStyle w:val="Textbody"/>
        <w:numPr>
          <w:ilvl w:val="0"/>
          <w:numId w:val="8"/>
        </w:numPr>
        <w:tabs>
          <w:tab w:val="clear" w:pos="708"/>
          <w:tab w:val="left" w:pos="284" w:leader="none"/>
        </w:tabs>
        <w:spacing w:lineRule="auto" w:line="240" w:before="0" w:after="0"/>
        <w:rPr>
          <w:rFonts w:cs="Verdana"/>
          <w:color w:val="000000"/>
          <w:szCs w:val="22"/>
        </w:rPr>
      </w:pPr>
      <w:r>
        <w:rPr>
          <w:rFonts w:cs="Verdana"/>
          <w:color w:val="000000"/>
          <w:szCs w:val="22"/>
        </w:rPr>
        <w:t>Provisoriamente, pelo responsável por seu acompanhamento e fiscalização, mediante termo circunstanciado, assinado pelas partes, em até 30 (trinta) dias da comunicação da CONTRATADA.</w:t>
      </w:r>
    </w:p>
    <w:p>
      <w:pPr>
        <w:pStyle w:val="Textbody"/>
        <w:numPr>
          <w:ilvl w:val="0"/>
          <w:numId w:val="8"/>
        </w:numPr>
        <w:tabs>
          <w:tab w:val="clear" w:pos="708"/>
          <w:tab w:val="left" w:pos="284" w:leader="none"/>
        </w:tabs>
        <w:spacing w:lineRule="auto" w:line="240" w:before="0" w:after="0"/>
        <w:rPr>
          <w:rFonts w:cs="Verdana"/>
          <w:color w:val="000000"/>
          <w:szCs w:val="22"/>
        </w:rPr>
      </w:pPr>
      <w:r>
        <w:rPr>
          <w:rFonts w:cs="Verdana"/>
          <w:color w:val="000000"/>
          <w:szCs w:val="22"/>
        </w:rPr>
        <w:t>Definitivamente, pela equipe ou comissão técnica, designada pelo CONTRATANTE, respectivamente, mediante Termo de Entrega e Recebimento Definitivo, circunstanciado, assinado pelas partes, em até 90 (noventa) dias contados do recebimento provisório, período este de observação ou vistoria que comprove a adequação do objeto aos termos contratuais, observado o disposto no art. 140 da Lei nº 14.133/21.</w:t>
      </w:r>
    </w:p>
    <w:p>
      <w:pPr>
        <w:pStyle w:val="Textbody"/>
        <w:spacing w:lineRule="auto" w:line="240" w:before="0" w:after="0"/>
        <w:rPr>
          <w:rFonts w:cs="Verdana"/>
          <w:color w:val="000000"/>
          <w:szCs w:val="22"/>
        </w:rPr>
      </w:pPr>
      <w:r>
        <w:rPr>
          <w:rFonts w:cs="Verdana"/>
          <w:color w:val="000000"/>
          <w:szCs w:val="22"/>
        </w:rPr>
        <w:t>21.3. O Termo de Entrega e Recebimento Definitivo só poderá ser emitido mediante apresentação da baixa dos serviços no CREA/CAU e no INSS.</w:t>
      </w:r>
    </w:p>
    <w:p>
      <w:pPr>
        <w:pStyle w:val="Nivel2"/>
        <w:spacing w:lineRule="auto" w:line="240" w:before="0" w:after="0"/>
        <w:rPr>
          <w:b/>
          <w:bCs/>
          <w:color w:val="00000A"/>
          <w:sz w:val="22"/>
          <w:szCs w:val="22"/>
        </w:rPr>
      </w:pPr>
      <w:r>
        <w:rPr>
          <w:b/>
          <w:bCs/>
          <w:color w:val="00000A"/>
          <w:sz w:val="22"/>
          <w:szCs w:val="22"/>
        </w:rPr>
      </w:r>
    </w:p>
    <w:p>
      <w:pPr>
        <w:pStyle w:val="Nivel2"/>
        <w:spacing w:lineRule="auto" w:line="240" w:before="0" w:after="0"/>
        <w:rPr>
          <w:b/>
          <w:bCs/>
          <w:color w:val="00000A"/>
          <w:sz w:val="22"/>
          <w:szCs w:val="22"/>
        </w:rPr>
      </w:pPr>
      <w:r>
        <w:rPr>
          <w:b/>
          <w:bCs/>
          <w:color w:val="00000A"/>
          <w:sz w:val="22"/>
          <w:szCs w:val="22"/>
        </w:rPr>
      </w:r>
    </w:p>
    <w:p>
      <w:pPr>
        <w:pStyle w:val="Nivel2"/>
        <w:spacing w:lineRule="auto" w:line="240" w:before="0" w:after="0"/>
        <w:rPr>
          <w:b/>
          <w:bCs/>
          <w:color w:val="00000A"/>
          <w:sz w:val="22"/>
          <w:szCs w:val="22"/>
        </w:rPr>
      </w:pPr>
      <w:r>
        <w:rPr>
          <w:b/>
          <w:bCs/>
          <w:color w:val="00000A"/>
          <w:sz w:val="22"/>
          <w:szCs w:val="22"/>
        </w:rPr>
      </w:r>
    </w:p>
    <w:p>
      <w:pPr>
        <w:pStyle w:val="Nivel2"/>
        <w:spacing w:lineRule="auto" w:line="240" w:before="0" w:after="0"/>
        <w:rPr>
          <w:b/>
          <w:bCs/>
          <w:color w:val="00000A"/>
          <w:sz w:val="22"/>
          <w:szCs w:val="22"/>
        </w:rPr>
      </w:pPr>
      <w:r>
        <w:rPr>
          <w:b/>
          <w:bCs/>
          <w:color w:val="00000A"/>
          <w:sz w:val="22"/>
          <w:szCs w:val="22"/>
        </w:rPr>
      </w:r>
    </w:p>
    <w:p>
      <w:pPr>
        <w:pStyle w:val="Nivel2"/>
        <w:spacing w:lineRule="auto" w:line="240" w:before="0" w:after="0"/>
        <w:rPr>
          <w:b/>
          <w:bCs/>
          <w:color w:val="00000A"/>
          <w:sz w:val="22"/>
          <w:szCs w:val="22"/>
        </w:rPr>
      </w:pPr>
      <w:r>
        <w:rPr>
          <w:b/>
          <w:bCs/>
          <w:color w:val="00000A"/>
          <w:sz w:val="22"/>
          <w:szCs w:val="22"/>
        </w:rPr>
      </w:r>
    </w:p>
    <w:p>
      <w:pPr>
        <w:pStyle w:val="Nivel2"/>
        <w:spacing w:lineRule="auto" w:line="240" w:before="0" w:after="0"/>
        <w:rPr>
          <w:b/>
          <w:bCs/>
          <w:color w:val="00000A"/>
          <w:sz w:val="22"/>
          <w:szCs w:val="22"/>
        </w:rPr>
      </w:pPr>
      <w:r>
        <w:rPr>
          <w:b/>
          <w:bCs/>
          <w:color w:val="00000A"/>
          <w:sz w:val="22"/>
          <w:szCs w:val="22"/>
        </w:rPr>
      </w:r>
    </w:p>
    <w:p>
      <w:pPr>
        <w:pStyle w:val="Nivel2"/>
        <w:spacing w:lineRule="auto" w:line="240" w:before="0" w:after="0"/>
        <w:rPr>
          <w:b/>
          <w:bCs/>
          <w:color w:val="00000A"/>
          <w:sz w:val="22"/>
          <w:szCs w:val="22"/>
        </w:rPr>
      </w:pPr>
      <w:r>
        <w:rPr>
          <w:b/>
          <w:bCs/>
          <w:color w:val="00000A"/>
          <w:sz w:val="22"/>
          <w:szCs w:val="22"/>
        </w:rPr>
      </w:r>
    </w:p>
    <w:p>
      <w:pPr>
        <w:pStyle w:val="Nivel2"/>
        <w:spacing w:lineRule="auto" w:line="240" w:before="0" w:after="0"/>
        <w:rPr>
          <w:b/>
          <w:bCs/>
          <w:color w:val="00000A"/>
          <w:sz w:val="22"/>
          <w:szCs w:val="22"/>
        </w:rPr>
      </w:pPr>
      <w:r>
        <w:rPr>
          <w:b/>
          <w:bCs/>
          <w:color w:val="00000A"/>
          <w:sz w:val="22"/>
          <w:szCs w:val="22"/>
        </w:rPr>
      </w:r>
    </w:p>
    <w:p>
      <w:pPr>
        <w:pStyle w:val="Nivel2"/>
        <w:spacing w:lineRule="auto" w:line="240" w:before="0" w:after="0"/>
        <w:rPr>
          <w:b/>
          <w:bCs/>
          <w:color w:val="00000A"/>
          <w:sz w:val="22"/>
          <w:szCs w:val="22"/>
        </w:rPr>
      </w:pPr>
      <w:r>
        <w:rPr>
          <w:b/>
          <w:bCs/>
          <w:color w:val="00000A"/>
          <w:sz w:val="22"/>
          <w:szCs w:val="22"/>
        </w:rPr>
      </w:r>
    </w:p>
    <w:p>
      <w:pPr>
        <w:pStyle w:val="Nivel2"/>
        <w:spacing w:lineRule="auto" w:line="240" w:before="0" w:after="0"/>
        <w:rPr>
          <w:b/>
          <w:bCs/>
          <w:color w:val="00000A"/>
          <w:sz w:val="22"/>
          <w:szCs w:val="22"/>
        </w:rPr>
      </w:pPr>
      <w:r>
        <w:rPr>
          <w:b/>
          <w:bCs/>
          <w:color w:val="00000A"/>
          <w:sz w:val="22"/>
          <w:szCs w:val="22"/>
        </w:rPr>
      </w:r>
    </w:p>
    <w:p>
      <w:pPr>
        <w:pStyle w:val="Nivel2"/>
        <w:spacing w:lineRule="auto" w:line="240" w:before="0" w:after="0"/>
        <w:rPr>
          <w:b/>
          <w:bCs/>
          <w:color w:val="00000A"/>
          <w:sz w:val="22"/>
          <w:szCs w:val="22"/>
        </w:rPr>
      </w:pPr>
      <w:r>
        <w:rPr>
          <w:b/>
          <w:bCs/>
          <w:color w:val="00000A"/>
          <w:sz w:val="22"/>
          <w:szCs w:val="22"/>
        </w:rPr>
      </w:r>
    </w:p>
    <w:p>
      <w:pPr>
        <w:pStyle w:val="Nivel2"/>
        <w:spacing w:lineRule="auto" w:line="240" w:before="0" w:after="0"/>
        <w:rPr>
          <w:b/>
          <w:bCs/>
          <w:color w:val="00000A"/>
          <w:sz w:val="22"/>
          <w:szCs w:val="22"/>
        </w:rPr>
      </w:pPr>
      <w:r>
        <w:rPr>
          <w:b/>
          <w:bCs/>
          <w:color w:val="00000A"/>
          <w:sz w:val="22"/>
          <w:szCs w:val="22"/>
        </w:rPr>
      </w:r>
    </w:p>
    <w:p>
      <w:pPr>
        <w:pStyle w:val="Nivel2"/>
        <w:spacing w:lineRule="auto" w:line="240" w:before="0" w:after="0"/>
        <w:rPr>
          <w:b/>
          <w:bCs/>
          <w:color w:val="00000A"/>
          <w:sz w:val="22"/>
          <w:szCs w:val="22"/>
        </w:rPr>
      </w:pPr>
      <w:r>
        <w:rPr>
          <w:b/>
          <w:bCs/>
          <w:color w:val="00000A"/>
          <w:sz w:val="22"/>
          <w:szCs w:val="22"/>
        </w:rPr>
      </w:r>
    </w:p>
    <w:p>
      <w:pPr>
        <w:pStyle w:val="Nivel2"/>
        <w:spacing w:lineRule="auto" w:line="240" w:before="0" w:after="0"/>
        <w:rPr>
          <w:b/>
          <w:bCs/>
          <w:color w:val="00000A"/>
          <w:sz w:val="22"/>
          <w:szCs w:val="22"/>
        </w:rPr>
      </w:pPr>
      <w:r>
        <w:rPr>
          <w:b/>
          <w:bCs/>
          <w:color w:val="00000A"/>
          <w:sz w:val="22"/>
          <w:szCs w:val="22"/>
        </w:rPr>
      </w:r>
    </w:p>
    <w:p>
      <w:pPr>
        <w:pStyle w:val="Nivel2"/>
        <w:spacing w:lineRule="auto" w:line="240" w:before="0" w:after="0"/>
        <w:rPr>
          <w:b/>
          <w:bCs/>
          <w:color w:val="00000A"/>
          <w:sz w:val="22"/>
          <w:szCs w:val="22"/>
        </w:rPr>
      </w:pPr>
      <w:r>
        <w:rPr>
          <w:b/>
          <w:bCs/>
          <w:color w:val="00000A"/>
          <w:sz w:val="22"/>
          <w:szCs w:val="22"/>
        </w:rPr>
      </w:r>
    </w:p>
    <w:p>
      <w:pPr>
        <w:pStyle w:val="Nivel2"/>
        <w:spacing w:lineRule="auto" w:line="240" w:before="0" w:after="0"/>
        <w:rPr/>
      </w:pPr>
      <w:r>
        <w:rPr>
          <w:b/>
          <w:bCs/>
          <w:color w:val="00000A"/>
          <w:sz w:val="22"/>
          <w:szCs w:val="22"/>
        </w:rPr>
        <w:t xml:space="preserve">CLÁUSULA </w:t>
      </w:r>
      <w:r>
        <w:rPr>
          <w:b/>
          <w:bCs/>
          <w:sz w:val="22"/>
          <w:szCs w:val="22"/>
        </w:rPr>
        <w:t>VIGÉSIMA</w:t>
      </w:r>
      <w:r>
        <w:rPr>
          <w:b/>
          <w:bCs/>
          <w:color w:val="00000A"/>
          <w:sz w:val="22"/>
          <w:szCs w:val="22"/>
        </w:rPr>
        <w:t xml:space="preserve"> SEGUNDA – DO FORO</w:t>
      </w:r>
    </w:p>
    <w:p>
      <w:pPr>
        <w:pStyle w:val="Nivel2"/>
        <w:spacing w:lineRule="auto" w:line="240" w:before="0" w:after="0"/>
        <w:rPr/>
      </w:pPr>
      <w:r>
        <w:rPr>
          <w:sz w:val="22"/>
          <w:szCs w:val="22"/>
        </w:rPr>
        <w:t>22</w:t>
      </w:r>
      <w:r>
        <w:rPr>
          <w:color w:val="00000A"/>
          <w:sz w:val="22"/>
          <w:szCs w:val="22"/>
        </w:rPr>
        <w:t xml:space="preserve">.1. Fica eleito o foro do município da sede do CONTRATANTE, para dirimir os litígios que decorrerem da execução deste Termo de Contrato que não puderem ser compostos pela conciliação, conforme </w:t>
      </w:r>
      <w:r>
        <w:fldChar w:fldCharType="begin"/>
      </w:r>
      <w:r>
        <w:rPr>
          <w:rStyle w:val="LinkdaInternet"/>
          <w:sz w:val="22"/>
          <w:szCs w:val="22"/>
        </w:rPr>
        <w:instrText xml:space="preserve"> HYPERLINK "http://www.planalto.gov.br/ccivil_03/_ato2019-2022/2021/lei/L14133.htm" \l "art92§1"</w:instrText>
      </w:r>
      <w:r>
        <w:rPr>
          <w:rStyle w:val="LinkdaInternet"/>
          <w:sz w:val="22"/>
          <w:szCs w:val="22"/>
        </w:rPr>
        <w:fldChar w:fldCharType="separate"/>
      </w:r>
      <w:r>
        <w:rPr>
          <w:rStyle w:val="LinkdaInternet"/>
          <w:sz w:val="22"/>
          <w:szCs w:val="22"/>
        </w:rPr>
        <w:t>art. 92, §1º, da Lei nº 14.133/2021.</w:t>
      </w:r>
      <w:r>
        <w:rPr>
          <w:rStyle w:val="LinkdaInternet"/>
          <w:sz w:val="22"/>
          <w:szCs w:val="22"/>
        </w:rPr>
        <w:fldChar w:fldCharType="end"/>
      </w:r>
    </w:p>
    <w:p>
      <w:pPr>
        <w:pStyle w:val="Nivel2"/>
        <w:spacing w:lineRule="auto" w:line="240" w:before="0" w:after="0"/>
        <w:rPr>
          <w:color w:val="00000A"/>
          <w:sz w:val="22"/>
          <w:szCs w:val="22"/>
        </w:rPr>
      </w:pPr>
      <w:r>
        <w:rPr>
          <w:color w:val="00000A"/>
          <w:sz w:val="22"/>
          <w:szCs w:val="22"/>
        </w:rPr>
        <w:t>E, por estarem de acordo, foi mandado lavrar o presente contrato, que está visado pela Assessoria Jurídica do CONTRATANTE, e do qual se extraíram 3 (três) vias de igual teor e forma, para um só efeito, as quais, depois de lidas e achadas conforme, vão assinadas pelos representantes das partes e pelas testemunhas abaixo.</w:t>
      </w:r>
    </w:p>
    <w:p>
      <w:pPr>
        <w:pStyle w:val="Textbody"/>
        <w:tabs>
          <w:tab w:val="clear" w:pos="708"/>
          <w:tab w:val="left" w:pos="993" w:leader="none"/>
          <w:tab w:val="left" w:pos="5742" w:leader="none"/>
        </w:tabs>
        <w:spacing w:lineRule="auto" w:line="240" w:before="0" w:after="0"/>
        <w:rPr>
          <w:rFonts w:cs="Arial"/>
          <w:szCs w:val="22"/>
        </w:rPr>
      </w:pPr>
      <w:r>
        <w:rPr>
          <w:rFonts w:cs="Arial"/>
          <w:szCs w:val="22"/>
        </w:rPr>
      </w:r>
    </w:p>
    <w:p>
      <w:pPr>
        <w:pStyle w:val="Textbody"/>
        <w:tabs>
          <w:tab w:val="clear" w:pos="708"/>
          <w:tab w:val="left" w:pos="993" w:leader="none"/>
          <w:tab w:val="left" w:pos="5742" w:leader="none"/>
        </w:tabs>
        <w:spacing w:lineRule="auto" w:line="240" w:before="0" w:after="0"/>
        <w:rPr>
          <w:rFonts w:cs="Arial"/>
          <w:szCs w:val="22"/>
        </w:rPr>
      </w:pPr>
      <w:r>
        <w:rPr>
          <w:rFonts w:cs="Arial"/>
          <w:szCs w:val="22"/>
        </w:rPr>
        <w:t>Local e data</w:t>
      </w:r>
    </w:p>
    <w:p>
      <w:pPr>
        <w:pStyle w:val="Textbody"/>
        <w:tabs>
          <w:tab w:val="clear" w:pos="708"/>
          <w:tab w:val="left" w:pos="993" w:leader="none"/>
          <w:tab w:val="left" w:pos="5742" w:leader="none"/>
        </w:tabs>
        <w:spacing w:lineRule="auto" w:line="240" w:before="0" w:after="0"/>
        <w:rPr>
          <w:rFonts w:cs="Arial"/>
          <w:szCs w:val="22"/>
        </w:rPr>
      </w:pPr>
      <w:r>
        <w:rPr>
          <w:rFonts w:cs="Arial"/>
          <w:szCs w:val="22"/>
        </w:rPr>
      </w:r>
    </w:p>
    <w:p>
      <w:pPr>
        <w:pStyle w:val="Contedodatabela"/>
        <w:snapToGrid w:val="false"/>
        <w:jc w:val="both"/>
        <w:rPr>
          <w:sz w:val="20"/>
          <w:szCs w:val="20"/>
        </w:rPr>
      </w:pPr>
      <w:r>
        <w:rPr>
          <w:rFonts w:cs="Arial" w:ascii="Arial" w:hAnsi="Arial"/>
          <w:sz w:val="20"/>
          <w:szCs w:val="20"/>
        </w:rPr>
        <w:t>(nome do representante)                                      (nome do representante)</w:t>
      </w:r>
    </w:p>
    <w:p>
      <w:pPr>
        <w:pStyle w:val="Contedodatabela"/>
        <w:jc w:val="both"/>
        <w:rPr>
          <w:sz w:val="20"/>
          <w:szCs w:val="20"/>
        </w:rPr>
      </w:pPr>
      <w:r>
        <w:rPr>
          <w:rFonts w:cs="Arial" w:ascii="Arial" w:hAnsi="Arial"/>
          <w:sz w:val="20"/>
          <w:szCs w:val="20"/>
        </w:rPr>
        <w:t>CONTRATANTE                                                    CONTRATADO</w:t>
      </w:r>
    </w:p>
    <w:p>
      <w:pPr>
        <w:pStyle w:val="Standard"/>
        <w:jc w:val="both"/>
        <w:rPr>
          <w:rFonts w:ascii="Arial" w:hAnsi="Arial" w:cs="Arial"/>
          <w:sz w:val="20"/>
          <w:szCs w:val="20"/>
        </w:rPr>
      </w:pPr>
      <w:r>
        <w:rPr>
          <w:rFonts w:cs="Arial" w:ascii="Arial" w:hAnsi="Arial"/>
          <w:sz w:val="20"/>
          <w:szCs w:val="20"/>
        </w:rPr>
      </w:r>
    </w:p>
    <w:p>
      <w:pPr>
        <w:pStyle w:val="Standard"/>
        <w:jc w:val="both"/>
        <w:rPr>
          <w:sz w:val="20"/>
          <w:szCs w:val="20"/>
        </w:rPr>
      </w:pPr>
      <w:r>
        <w:rPr>
          <w:rFonts w:cs="Arial" w:ascii="Arial" w:hAnsi="Arial"/>
          <w:sz w:val="20"/>
          <w:szCs w:val="20"/>
        </w:rPr>
        <w:t>Testemunhas:</w:t>
      </w:r>
    </w:p>
    <w:p>
      <w:pPr>
        <w:pStyle w:val="Standard"/>
        <w:jc w:val="both"/>
        <w:rPr>
          <w:rFonts w:ascii="Arial" w:hAnsi="Arial" w:cs="Arial"/>
          <w:sz w:val="20"/>
          <w:szCs w:val="20"/>
        </w:rPr>
      </w:pPr>
      <w:r>
        <w:rPr>
          <w:rFonts w:cs="Arial" w:ascii="Arial" w:hAnsi="Arial"/>
          <w:sz w:val="20"/>
          <w:szCs w:val="20"/>
        </w:rPr>
      </w:r>
    </w:p>
    <w:p>
      <w:pPr>
        <w:pStyle w:val="Standard"/>
        <w:jc w:val="both"/>
        <w:rPr>
          <w:sz w:val="20"/>
          <w:szCs w:val="20"/>
        </w:rPr>
      </w:pPr>
      <w:r>
        <w:rPr>
          <w:rFonts w:cs="Arial" w:ascii="Arial" w:hAnsi="Arial"/>
          <w:sz w:val="20"/>
          <w:szCs w:val="20"/>
        </w:rPr>
        <w:t>(nome da testemunha 1)                                             (nome da testemunha 2)</w:t>
      </w:r>
    </w:p>
    <w:p>
      <w:pPr>
        <w:pStyle w:val="Standard"/>
        <w:jc w:val="both"/>
        <w:rPr>
          <w:sz w:val="20"/>
          <w:szCs w:val="20"/>
        </w:rPr>
      </w:pPr>
      <w:r>
        <w:rPr>
          <w:rFonts w:cs="Arial" w:ascii="Arial" w:hAnsi="Arial"/>
          <w:sz w:val="20"/>
          <w:szCs w:val="20"/>
        </w:rPr>
        <w:t>RG:                                                                              RG:</w:t>
      </w:r>
    </w:p>
    <w:p>
      <w:pPr>
        <w:pStyle w:val="Standard"/>
        <w:jc w:val="both"/>
        <w:rPr>
          <w:sz w:val="20"/>
          <w:szCs w:val="20"/>
        </w:rPr>
      </w:pPr>
      <w:r>
        <w:rPr>
          <w:rFonts w:cs="Arial" w:ascii="Arial" w:hAnsi="Arial"/>
          <w:sz w:val="20"/>
          <w:szCs w:val="20"/>
        </w:rPr>
        <w:t>CPF:                                                                            CPF:</w:t>
      </w:r>
    </w:p>
    <w:p>
      <w:pPr>
        <w:pStyle w:val="Standard"/>
        <w:jc w:val="both"/>
        <w:rPr>
          <w:sz w:val="20"/>
          <w:szCs w:val="20"/>
        </w:rPr>
      </w:pPr>
      <w:r>
        <w:rPr>
          <w:sz w:val="20"/>
          <w:szCs w:val="20"/>
        </w:rPr>
      </w:r>
    </w:p>
    <w:p>
      <w:pPr>
        <w:pStyle w:val="Standard"/>
        <w:jc w:val="both"/>
        <w:rPr>
          <w:sz w:val="20"/>
          <w:szCs w:val="20"/>
        </w:rPr>
      </w:pPr>
      <w:r>
        <w:rPr>
          <w:rFonts w:cs="Arial" w:ascii="Arial" w:hAnsi="Arial"/>
          <w:sz w:val="20"/>
          <w:szCs w:val="20"/>
        </w:rPr>
        <w:t>Visto:</w:t>
      </w:r>
    </w:p>
    <w:p>
      <w:pPr>
        <w:pStyle w:val="Standard"/>
        <w:jc w:val="both"/>
        <w:rPr>
          <w:rFonts w:ascii="Arial" w:hAnsi="Arial" w:cs="Arial"/>
          <w:sz w:val="20"/>
          <w:szCs w:val="20"/>
        </w:rPr>
      </w:pPr>
      <w:r>
        <w:rPr>
          <w:rFonts w:cs="Arial" w:ascii="Arial" w:hAnsi="Arial"/>
          <w:sz w:val="20"/>
          <w:szCs w:val="20"/>
        </w:rPr>
      </w:r>
    </w:p>
    <w:p>
      <w:pPr>
        <w:pStyle w:val="Standard"/>
        <w:jc w:val="both"/>
        <w:rPr>
          <w:sz w:val="20"/>
          <w:szCs w:val="20"/>
        </w:rPr>
      </w:pPr>
      <w:r>
        <w:rPr>
          <w:rFonts w:cs="Arial" w:ascii="Arial" w:hAnsi="Arial"/>
          <w:sz w:val="20"/>
          <w:szCs w:val="20"/>
        </w:rPr>
        <w:t>(nome do(a) procurador(a)/assessor(a) jurídico(a) da CONTRATANTE)</w:t>
      </w:r>
    </w:p>
    <w:p>
      <w:pPr>
        <w:pStyle w:val="Standard"/>
        <w:jc w:val="both"/>
        <w:rPr>
          <w:rFonts w:ascii="Arial" w:hAnsi="Arial" w:cs="Arial"/>
          <w:sz w:val="20"/>
          <w:szCs w:val="20"/>
        </w:rPr>
      </w:pPr>
      <w:r>
        <w:rPr>
          <w:rFonts w:cs="Arial" w:ascii="Arial" w:hAnsi="Arial"/>
          <w:sz w:val="20"/>
          <w:szCs w:val="20"/>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tabs>
          <w:tab w:val="clear" w:pos="708"/>
          <w:tab w:val="left" w:pos="1339" w:leader="none"/>
        </w:tabs>
        <w:spacing w:lineRule="auto" w:line="240" w:before="0" w:after="0"/>
        <w:rPr>
          <w:b/>
          <w:bCs/>
          <w:szCs w:val="22"/>
        </w:rPr>
      </w:pPr>
      <w:r>
        <w:rPr>
          <w:b/>
          <w:bCs/>
          <w:szCs w:val="22"/>
        </w:rPr>
      </w:r>
    </w:p>
    <w:p>
      <w:pPr>
        <w:pStyle w:val="Textbody"/>
        <w:tabs>
          <w:tab w:val="clear" w:pos="708"/>
          <w:tab w:val="left" w:pos="1339" w:leader="none"/>
        </w:tabs>
        <w:spacing w:lineRule="auto" w:line="240" w:before="0" w:after="0"/>
        <w:rPr>
          <w:b/>
          <w:bCs/>
          <w:szCs w:val="22"/>
        </w:rPr>
      </w:pPr>
      <w:r>
        <w:rPr>
          <w:b/>
          <w:bCs/>
          <w:szCs w:val="22"/>
        </w:rPr>
        <w:t>ANEXO I</w:t>
      </w:r>
      <w:r>
        <w:rPr>
          <w:b/>
          <w:bCs/>
          <w:szCs w:val="22"/>
          <w:lang w:val="pt-BR"/>
        </w:rPr>
        <w:t>V</w:t>
      </w:r>
      <w:r>
        <w:rPr>
          <w:b/>
          <w:bCs/>
          <w:szCs w:val="22"/>
        </w:rPr>
        <w:t xml:space="preserve"> - AUTORIZAÇÃO PARA PROCEDER INSCRIÇÃO DE DÉBITOS PREVIDENCIÁRIOS DO CONTRATO NA DÍVIDA ATIVA</w:t>
      </w:r>
    </w:p>
    <w:p>
      <w:pPr>
        <w:pStyle w:val="Textbody"/>
        <w:tabs>
          <w:tab w:val="clear" w:pos="708"/>
          <w:tab w:val="left" w:pos="1339" w:leader="none"/>
        </w:tabs>
        <w:spacing w:lineRule="auto" w:line="240" w:before="0" w:after="0"/>
        <w:rPr>
          <w:b/>
          <w:bCs/>
          <w:szCs w:val="22"/>
        </w:rPr>
      </w:pPr>
      <w:r>
        <w:rPr>
          <w:b/>
          <w:bCs/>
          <w:szCs w:val="22"/>
        </w:rPr>
      </w:r>
    </w:p>
    <w:p>
      <w:pPr>
        <w:pStyle w:val="Textbody"/>
        <w:tabs>
          <w:tab w:val="clear" w:pos="708"/>
          <w:tab w:val="left" w:pos="1339" w:leader="none"/>
        </w:tabs>
        <w:spacing w:lineRule="auto" w:line="240" w:before="0" w:after="0"/>
        <w:rPr>
          <w:szCs w:val="22"/>
        </w:rPr>
      </w:pPr>
      <w:r>
        <w:rPr>
          <w:szCs w:val="22"/>
        </w:rPr>
        <w:t>(PAPEL TIMBRADO DA PROPONENTE)</w:t>
      </w:r>
    </w:p>
    <w:p>
      <w:pPr>
        <w:pStyle w:val="Textbody"/>
        <w:spacing w:lineRule="auto" w:line="240" w:before="0" w:after="0"/>
        <w:rPr>
          <w:rFonts w:ascii="Liberation Serif" w:hAnsi="Liberation Serif" w:cs="Arial"/>
          <w:color w:val="auto"/>
          <w:szCs w:val="22"/>
          <w:u w:val="none"/>
          <w:shd w:fill="FFFFFF" w:val="clear"/>
        </w:rPr>
      </w:pPr>
      <w:r>
        <w:rPr>
          <w:rFonts w:cs="Arial" w:ascii="Liberation Serif" w:hAnsi="Liberation Serif"/>
          <w:color w:val="000000"/>
          <w:szCs w:val="22"/>
          <w:u w:val="none"/>
          <w:shd w:fill="FFFFFF" w:val="clear"/>
        </w:rPr>
      </w:r>
    </w:p>
    <w:p>
      <w:pPr>
        <w:pStyle w:val="Textbody"/>
        <w:spacing w:lineRule="auto" w:line="240" w:before="0" w:after="0"/>
        <w:rPr>
          <w:rFonts w:ascii="Liberation Serif" w:hAnsi="Liberation Serif" w:cs="Arial"/>
          <w:color w:val="auto"/>
          <w:szCs w:val="22"/>
          <w:u w:val="none"/>
          <w:shd w:fill="FFFFFF" w:val="clear"/>
        </w:rPr>
      </w:pPr>
      <w:r>
        <w:rPr>
          <w:rFonts w:cs="Arial" w:ascii="Liberation Serif" w:hAnsi="Liberation Serif"/>
          <w:color w:val="000000"/>
          <w:szCs w:val="22"/>
          <w:u w:val="none"/>
          <w:shd w:fill="FFFFFF" w:val="clear"/>
        </w:rPr>
      </w:r>
    </w:p>
    <w:p>
      <w:pPr>
        <w:pStyle w:val="Textbody"/>
        <w:tabs>
          <w:tab w:val="clear" w:pos="708"/>
          <w:tab w:val="left" w:pos="1339" w:leader="none"/>
        </w:tabs>
        <w:spacing w:lineRule="auto" w:line="240" w:before="0" w:after="0"/>
        <w:rPr>
          <w:szCs w:val="22"/>
        </w:rPr>
      </w:pPr>
      <w:r>
        <w:rPr>
          <w:szCs w:val="22"/>
        </w:rPr>
        <w:t>Autorizo o Estado do Ceará, em sendo condenado a pagar débitos previdenciários decorrentes da execução do objeto do Contrato no ____ /____, celebrado com a SCidades, por meio da ___________________, a proceder a inscrição do referido débito, devidamente atualizado, na dívida ativa, para se for o caso, posterior ajuizamento de ação de execução fiscal.</w:t>
      </w:r>
    </w:p>
    <w:p>
      <w:pPr>
        <w:pStyle w:val="Textbody"/>
        <w:tabs>
          <w:tab w:val="clear" w:pos="708"/>
          <w:tab w:val="left" w:pos="1339" w:leader="none"/>
        </w:tabs>
        <w:spacing w:lineRule="auto" w:line="240" w:before="0" w:after="0"/>
        <w:rPr>
          <w:szCs w:val="22"/>
        </w:rPr>
      </w:pPr>
      <w:r>
        <w:rPr>
          <w:szCs w:val="22"/>
        </w:rPr>
      </w:r>
    </w:p>
    <w:p>
      <w:pPr>
        <w:pStyle w:val="Textbody"/>
        <w:spacing w:lineRule="auto" w:line="240" w:before="0" w:after="0"/>
        <w:rPr>
          <w:rFonts w:ascii="Liberation Serif" w:hAnsi="Liberation Serif" w:cs="Arial"/>
          <w:color w:val="auto"/>
          <w:szCs w:val="22"/>
          <w:u w:val="none"/>
          <w:shd w:fill="FFFFFF" w:val="clear"/>
        </w:rPr>
      </w:pPr>
      <w:r>
        <w:rPr>
          <w:rFonts w:cs="Arial" w:ascii="Liberation Serif" w:hAnsi="Liberation Serif"/>
          <w:color w:val="000000"/>
          <w:szCs w:val="22"/>
          <w:u w:val="none"/>
          <w:shd w:fill="FFFFFF" w:val="clear"/>
        </w:rPr>
      </w:r>
    </w:p>
    <w:p>
      <w:pPr>
        <w:pStyle w:val="Textbody"/>
        <w:tabs>
          <w:tab w:val="clear" w:pos="708"/>
          <w:tab w:val="left" w:pos="1339" w:leader="none"/>
        </w:tabs>
        <w:spacing w:lineRule="auto" w:line="240" w:before="0" w:after="0"/>
        <w:rPr>
          <w:szCs w:val="22"/>
        </w:rPr>
      </w:pPr>
      <w:r>
        <w:rPr>
          <w:szCs w:val="22"/>
        </w:rPr>
        <w:t>ASS . REPRESENTANTE LEGAL DA EMPRESA (nome e assinatura)</w:t>
      </w:r>
    </w:p>
    <w:p>
      <w:pPr>
        <w:pStyle w:val="Textbody"/>
        <w:tabs>
          <w:tab w:val="clear" w:pos="708"/>
          <w:tab w:val="left" w:pos="1339" w:leader="none"/>
        </w:tabs>
        <w:spacing w:lineRule="auto" w:line="240" w:before="0" w:after="0"/>
        <w:jc w:val="center"/>
        <w:rPr>
          <w:b/>
          <w:bCs/>
          <w:szCs w:val="22"/>
        </w:rPr>
      </w:pPr>
      <w:r>
        <w:rPr>
          <w:b/>
          <w:bCs/>
          <w:szCs w:val="22"/>
        </w:rPr>
      </w:r>
    </w:p>
    <w:p>
      <w:pPr>
        <w:pStyle w:val="Textbody"/>
        <w:tabs>
          <w:tab w:val="clear" w:pos="708"/>
          <w:tab w:val="left" w:pos="1339" w:leader="none"/>
        </w:tabs>
        <w:spacing w:lineRule="auto" w:line="240" w:before="0" w:after="0"/>
        <w:jc w:val="center"/>
        <w:rPr>
          <w:b/>
          <w:bCs/>
          <w:szCs w:val="22"/>
        </w:rPr>
      </w:pPr>
      <w:r>
        <w:rPr>
          <w:b/>
          <w:bCs/>
          <w:szCs w:val="22"/>
        </w:rPr>
      </w:r>
    </w:p>
    <w:p>
      <w:pPr>
        <w:pStyle w:val="Textbody"/>
        <w:tabs>
          <w:tab w:val="clear" w:pos="708"/>
          <w:tab w:val="left" w:pos="1339" w:leader="none"/>
        </w:tabs>
        <w:spacing w:lineRule="auto" w:line="240" w:before="0" w:after="0"/>
        <w:jc w:val="center"/>
        <w:rPr>
          <w:b/>
          <w:bCs/>
          <w:szCs w:val="22"/>
        </w:rPr>
      </w:pPr>
      <w:r>
        <w:rPr>
          <w:b/>
          <w:bCs/>
          <w:szCs w:val="22"/>
        </w:rPr>
      </w:r>
    </w:p>
    <w:p>
      <w:pPr>
        <w:pStyle w:val="Textbody"/>
        <w:tabs>
          <w:tab w:val="clear" w:pos="708"/>
          <w:tab w:val="left" w:pos="1339" w:leader="none"/>
        </w:tabs>
        <w:spacing w:lineRule="auto" w:line="240" w:before="0" w:after="0"/>
        <w:jc w:val="center"/>
        <w:rPr>
          <w:b/>
          <w:bCs/>
          <w:szCs w:val="22"/>
        </w:rPr>
      </w:pPr>
      <w:r>
        <w:rPr>
          <w:b/>
          <w:bCs/>
          <w:szCs w:val="22"/>
        </w:rPr>
      </w:r>
    </w:p>
    <w:p>
      <w:pPr>
        <w:pStyle w:val="Textbody"/>
        <w:tabs>
          <w:tab w:val="clear" w:pos="708"/>
          <w:tab w:val="left" w:pos="1339" w:leader="none"/>
        </w:tabs>
        <w:spacing w:lineRule="auto" w:line="240" w:before="0" w:after="0"/>
        <w:jc w:val="center"/>
        <w:rPr>
          <w:b/>
          <w:bCs/>
          <w:szCs w:val="22"/>
        </w:rPr>
      </w:pPr>
      <w:r>
        <w:rPr>
          <w:b/>
          <w:bCs/>
          <w:szCs w:val="22"/>
        </w:rPr>
      </w:r>
    </w:p>
    <w:p>
      <w:pPr>
        <w:pStyle w:val="Textbody"/>
        <w:tabs>
          <w:tab w:val="clear" w:pos="708"/>
          <w:tab w:val="left" w:pos="1339" w:leader="none"/>
        </w:tabs>
        <w:spacing w:lineRule="auto" w:line="240" w:before="0" w:after="0"/>
        <w:jc w:val="center"/>
        <w:rPr>
          <w:b/>
          <w:bCs/>
          <w:szCs w:val="22"/>
        </w:rPr>
      </w:pPr>
      <w:r>
        <w:rPr>
          <w:b/>
          <w:bCs/>
          <w:szCs w:val="22"/>
        </w:rPr>
      </w:r>
    </w:p>
    <w:p>
      <w:pPr>
        <w:pStyle w:val="Textbody"/>
        <w:tabs>
          <w:tab w:val="clear" w:pos="708"/>
          <w:tab w:val="left" w:pos="1339" w:leader="none"/>
        </w:tabs>
        <w:spacing w:lineRule="auto" w:line="240" w:before="0" w:after="0"/>
        <w:jc w:val="center"/>
        <w:rPr>
          <w:b/>
          <w:bCs/>
          <w:szCs w:val="22"/>
        </w:rPr>
      </w:pPr>
      <w:r>
        <w:rPr>
          <w:b/>
          <w:bCs/>
          <w:szCs w:val="22"/>
        </w:rPr>
      </w:r>
    </w:p>
    <w:p>
      <w:pPr>
        <w:pStyle w:val="Textbody"/>
        <w:tabs>
          <w:tab w:val="clear" w:pos="708"/>
          <w:tab w:val="left" w:pos="1339" w:leader="none"/>
        </w:tabs>
        <w:spacing w:lineRule="auto" w:line="240" w:before="0" w:after="0"/>
        <w:jc w:val="center"/>
        <w:rPr>
          <w:b/>
          <w:bCs/>
          <w:szCs w:val="22"/>
        </w:rPr>
      </w:pPr>
      <w:r>
        <w:rPr>
          <w:b/>
          <w:bCs/>
          <w:szCs w:val="22"/>
        </w:rPr>
      </w:r>
    </w:p>
    <w:p>
      <w:pPr>
        <w:pStyle w:val="Textbody"/>
        <w:tabs>
          <w:tab w:val="clear" w:pos="708"/>
          <w:tab w:val="left" w:pos="1339" w:leader="none"/>
        </w:tabs>
        <w:spacing w:lineRule="auto" w:line="240" w:before="0" w:after="0"/>
        <w:jc w:val="center"/>
        <w:rPr>
          <w:b/>
          <w:bCs/>
          <w:szCs w:val="22"/>
        </w:rPr>
      </w:pPr>
      <w:r>
        <w:rPr>
          <w:b/>
          <w:bCs/>
          <w:szCs w:val="22"/>
        </w:rPr>
      </w:r>
    </w:p>
    <w:p>
      <w:pPr>
        <w:pStyle w:val="Textbody"/>
        <w:tabs>
          <w:tab w:val="clear" w:pos="708"/>
          <w:tab w:val="left" w:pos="1339" w:leader="none"/>
        </w:tabs>
        <w:spacing w:lineRule="auto" w:line="240" w:before="0" w:after="0"/>
        <w:jc w:val="center"/>
        <w:rPr>
          <w:b/>
          <w:bCs/>
          <w:szCs w:val="22"/>
        </w:rPr>
      </w:pPr>
      <w:r>
        <w:rPr>
          <w:b/>
          <w:bCs/>
          <w:szCs w:val="22"/>
        </w:rPr>
      </w:r>
    </w:p>
    <w:p>
      <w:pPr>
        <w:pStyle w:val="Textbody"/>
        <w:tabs>
          <w:tab w:val="clear" w:pos="708"/>
          <w:tab w:val="left" w:pos="1339" w:leader="none"/>
        </w:tabs>
        <w:spacing w:lineRule="auto" w:line="240" w:before="0" w:after="0"/>
        <w:jc w:val="center"/>
        <w:rPr>
          <w:b/>
          <w:bCs/>
          <w:szCs w:val="22"/>
        </w:rPr>
      </w:pPr>
      <w:r>
        <w:rPr>
          <w:b/>
          <w:bCs/>
          <w:szCs w:val="22"/>
        </w:rPr>
      </w:r>
    </w:p>
    <w:p>
      <w:pPr>
        <w:pStyle w:val="Textbody"/>
        <w:tabs>
          <w:tab w:val="clear" w:pos="708"/>
          <w:tab w:val="left" w:pos="1339" w:leader="none"/>
        </w:tabs>
        <w:spacing w:lineRule="auto" w:line="240" w:before="0" w:after="0"/>
        <w:jc w:val="center"/>
        <w:rPr>
          <w:b/>
          <w:bCs/>
          <w:szCs w:val="22"/>
        </w:rPr>
      </w:pPr>
      <w:r>
        <w:rPr>
          <w:b/>
          <w:bCs/>
          <w:szCs w:val="22"/>
        </w:rPr>
      </w:r>
    </w:p>
    <w:p>
      <w:pPr>
        <w:pStyle w:val="Textbody"/>
        <w:tabs>
          <w:tab w:val="clear" w:pos="708"/>
          <w:tab w:val="left" w:pos="1339" w:leader="none"/>
        </w:tabs>
        <w:spacing w:lineRule="auto" w:line="240" w:before="0" w:after="0"/>
        <w:jc w:val="center"/>
        <w:rPr>
          <w:b/>
          <w:bCs/>
          <w:szCs w:val="22"/>
        </w:rPr>
      </w:pPr>
      <w:r>
        <w:rPr>
          <w:b/>
          <w:bCs/>
          <w:szCs w:val="22"/>
        </w:rPr>
      </w:r>
    </w:p>
    <w:p>
      <w:pPr>
        <w:pStyle w:val="Textbody"/>
        <w:tabs>
          <w:tab w:val="clear" w:pos="708"/>
          <w:tab w:val="left" w:pos="1339" w:leader="none"/>
        </w:tabs>
        <w:spacing w:lineRule="auto" w:line="240" w:before="0" w:after="0"/>
        <w:jc w:val="center"/>
        <w:rPr>
          <w:b/>
          <w:bCs/>
          <w:szCs w:val="22"/>
        </w:rPr>
      </w:pPr>
      <w:r>
        <w:rPr>
          <w:b/>
          <w:bCs/>
          <w:szCs w:val="22"/>
        </w:rPr>
      </w:r>
    </w:p>
    <w:p>
      <w:pPr>
        <w:pStyle w:val="Textbody"/>
        <w:tabs>
          <w:tab w:val="clear" w:pos="708"/>
          <w:tab w:val="left" w:pos="1339" w:leader="none"/>
        </w:tabs>
        <w:spacing w:lineRule="auto" w:line="240" w:before="0" w:after="0"/>
        <w:jc w:val="center"/>
        <w:rPr>
          <w:b/>
          <w:bCs/>
          <w:szCs w:val="22"/>
        </w:rPr>
      </w:pPr>
      <w:r>
        <w:rPr>
          <w:b/>
          <w:bCs/>
          <w:szCs w:val="22"/>
        </w:rPr>
      </w:r>
    </w:p>
    <w:p>
      <w:pPr>
        <w:pStyle w:val="Textbody"/>
        <w:tabs>
          <w:tab w:val="clear" w:pos="708"/>
          <w:tab w:val="left" w:pos="1339" w:leader="none"/>
        </w:tabs>
        <w:spacing w:lineRule="auto" w:line="240" w:before="0" w:after="0"/>
        <w:jc w:val="center"/>
        <w:rPr>
          <w:b/>
          <w:bCs/>
          <w:szCs w:val="22"/>
        </w:rPr>
      </w:pPr>
      <w:r>
        <w:rPr>
          <w:b/>
          <w:bCs/>
          <w:szCs w:val="22"/>
        </w:rPr>
      </w:r>
    </w:p>
    <w:p>
      <w:pPr>
        <w:pStyle w:val="Textbody"/>
        <w:tabs>
          <w:tab w:val="clear" w:pos="708"/>
          <w:tab w:val="left" w:pos="1339" w:leader="none"/>
        </w:tabs>
        <w:spacing w:lineRule="auto" w:line="240" w:before="0" w:after="0"/>
        <w:jc w:val="center"/>
        <w:rPr>
          <w:b/>
          <w:bCs/>
          <w:szCs w:val="22"/>
        </w:rPr>
      </w:pPr>
      <w:r>
        <w:rPr>
          <w:b/>
          <w:bCs/>
          <w:szCs w:val="22"/>
        </w:rPr>
      </w:r>
    </w:p>
    <w:p>
      <w:pPr>
        <w:pStyle w:val="Textbody"/>
        <w:tabs>
          <w:tab w:val="clear" w:pos="708"/>
          <w:tab w:val="left" w:pos="1339" w:leader="none"/>
        </w:tabs>
        <w:spacing w:lineRule="auto" w:line="240" w:before="0" w:after="0"/>
        <w:jc w:val="center"/>
        <w:rPr>
          <w:b/>
          <w:bCs/>
          <w:szCs w:val="22"/>
        </w:rPr>
      </w:pPr>
      <w:r>
        <w:rPr>
          <w:b/>
          <w:bCs/>
          <w:szCs w:val="22"/>
        </w:rPr>
      </w:r>
    </w:p>
    <w:p>
      <w:pPr>
        <w:pStyle w:val="Textbody"/>
        <w:tabs>
          <w:tab w:val="clear" w:pos="708"/>
          <w:tab w:val="left" w:pos="1339" w:leader="none"/>
        </w:tabs>
        <w:spacing w:lineRule="auto" w:line="240" w:before="0" w:after="0"/>
        <w:jc w:val="center"/>
        <w:rPr>
          <w:b/>
          <w:bCs/>
          <w:szCs w:val="22"/>
        </w:rPr>
      </w:pPr>
      <w:r>
        <w:rPr>
          <w:b/>
          <w:bCs/>
          <w:szCs w:val="22"/>
        </w:rPr>
      </w:r>
    </w:p>
    <w:p>
      <w:pPr>
        <w:pStyle w:val="Textbody"/>
        <w:tabs>
          <w:tab w:val="clear" w:pos="708"/>
          <w:tab w:val="left" w:pos="1339" w:leader="none"/>
        </w:tabs>
        <w:spacing w:lineRule="auto" w:line="240" w:before="0" w:after="0"/>
        <w:jc w:val="center"/>
        <w:rPr>
          <w:b/>
          <w:bCs/>
          <w:szCs w:val="22"/>
        </w:rPr>
      </w:pPr>
      <w:r>
        <w:rPr>
          <w:b/>
          <w:bCs/>
          <w:szCs w:val="22"/>
        </w:rPr>
      </w:r>
    </w:p>
    <w:p>
      <w:pPr>
        <w:pStyle w:val="Textbody"/>
        <w:tabs>
          <w:tab w:val="clear" w:pos="708"/>
          <w:tab w:val="left" w:pos="1339" w:leader="none"/>
        </w:tabs>
        <w:spacing w:lineRule="auto" w:line="240" w:before="0" w:after="0"/>
        <w:jc w:val="center"/>
        <w:rPr>
          <w:b/>
          <w:bCs/>
          <w:szCs w:val="22"/>
        </w:rPr>
      </w:pPr>
      <w:r>
        <w:rPr>
          <w:b/>
          <w:bCs/>
          <w:szCs w:val="22"/>
        </w:rPr>
      </w:r>
    </w:p>
    <w:p>
      <w:pPr>
        <w:pStyle w:val="Textbody"/>
        <w:tabs>
          <w:tab w:val="clear" w:pos="708"/>
          <w:tab w:val="left" w:pos="1339" w:leader="none"/>
        </w:tabs>
        <w:spacing w:lineRule="auto" w:line="240" w:before="0" w:after="0"/>
        <w:jc w:val="center"/>
        <w:rPr>
          <w:b/>
          <w:bCs/>
          <w:szCs w:val="22"/>
        </w:rPr>
      </w:pPr>
      <w:r>
        <w:rPr>
          <w:b/>
          <w:bCs/>
          <w:szCs w:val="22"/>
        </w:rPr>
      </w:r>
    </w:p>
    <w:p>
      <w:pPr>
        <w:pStyle w:val="Textbody"/>
        <w:tabs>
          <w:tab w:val="clear" w:pos="708"/>
          <w:tab w:val="left" w:pos="1339" w:leader="none"/>
        </w:tabs>
        <w:spacing w:lineRule="auto" w:line="240" w:before="0" w:after="0"/>
        <w:jc w:val="center"/>
        <w:rPr>
          <w:b/>
          <w:bCs/>
          <w:szCs w:val="22"/>
        </w:rPr>
      </w:pPr>
      <w:r>
        <w:rPr>
          <w:b/>
          <w:bCs/>
          <w:szCs w:val="22"/>
        </w:rPr>
      </w:r>
    </w:p>
    <w:p>
      <w:pPr>
        <w:pStyle w:val="Textbody"/>
        <w:tabs>
          <w:tab w:val="clear" w:pos="708"/>
          <w:tab w:val="left" w:pos="1339" w:leader="none"/>
        </w:tabs>
        <w:spacing w:lineRule="auto" w:line="240" w:before="0" w:after="0"/>
        <w:jc w:val="center"/>
        <w:rPr>
          <w:b/>
          <w:bCs/>
          <w:szCs w:val="22"/>
        </w:rPr>
      </w:pPr>
      <w:r>
        <w:rPr>
          <w:b/>
          <w:bCs/>
          <w:szCs w:val="22"/>
        </w:rPr>
      </w:r>
    </w:p>
    <w:p>
      <w:pPr>
        <w:pStyle w:val="Textbody"/>
        <w:tabs>
          <w:tab w:val="clear" w:pos="708"/>
          <w:tab w:val="left" w:pos="1339" w:leader="none"/>
        </w:tabs>
        <w:spacing w:lineRule="auto" w:line="240" w:before="0" w:after="0"/>
        <w:jc w:val="center"/>
        <w:rPr>
          <w:b/>
          <w:bCs/>
          <w:szCs w:val="22"/>
        </w:rPr>
      </w:pPr>
      <w:r>
        <w:rPr>
          <w:b/>
          <w:bCs/>
          <w:szCs w:val="22"/>
        </w:rPr>
      </w:r>
    </w:p>
    <w:p>
      <w:pPr>
        <w:pStyle w:val="Textbody"/>
        <w:tabs>
          <w:tab w:val="clear" w:pos="708"/>
          <w:tab w:val="left" w:pos="1339" w:leader="none"/>
        </w:tabs>
        <w:spacing w:lineRule="auto" w:line="240" w:before="0" w:after="0"/>
        <w:jc w:val="center"/>
        <w:rPr>
          <w:b/>
          <w:bCs/>
          <w:szCs w:val="22"/>
        </w:rPr>
      </w:pPr>
      <w:r>
        <w:rPr>
          <w:b/>
          <w:bCs/>
          <w:szCs w:val="22"/>
        </w:rPr>
      </w:r>
    </w:p>
    <w:p>
      <w:pPr>
        <w:pStyle w:val="Textbody"/>
        <w:tabs>
          <w:tab w:val="clear" w:pos="708"/>
          <w:tab w:val="left" w:pos="1339" w:leader="none"/>
        </w:tabs>
        <w:spacing w:lineRule="auto" w:line="240" w:before="0" w:after="0"/>
        <w:jc w:val="center"/>
        <w:rPr>
          <w:b/>
          <w:bCs/>
          <w:szCs w:val="22"/>
        </w:rPr>
      </w:pPr>
      <w:r>
        <w:rPr>
          <w:b/>
          <w:bCs/>
          <w:szCs w:val="22"/>
        </w:rPr>
      </w:r>
    </w:p>
    <w:p>
      <w:pPr>
        <w:pStyle w:val="Textbody"/>
        <w:tabs>
          <w:tab w:val="clear" w:pos="708"/>
          <w:tab w:val="left" w:pos="1339" w:leader="none"/>
        </w:tabs>
        <w:spacing w:lineRule="auto" w:line="240" w:before="0" w:after="0"/>
        <w:jc w:val="center"/>
        <w:rPr>
          <w:b/>
          <w:bCs/>
          <w:szCs w:val="22"/>
        </w:rPr>
      </w:pPr>
      <w:r>
        <w:rPr>
          <w:b/>
          <w:bCs/>
          <w:szCs w:val="22"/>
        </w:rPr>
      </w:r>
    </w:p>
    <w:p>
      <w:pPr>
        <w:pStyle w:val="Textbody"/>
        <w:tabs>
          <w:tab w:val="clear" w:pos="708"/>
          <w:tab w:val="left" w:pos="1339" w:leader="none"/>
        </w:tabs>
        <w:spacing w:lineRule="auto" w:line="240" w:before="0" w:after="0"/>
        <w:jc w:val="center"/>
        <w:rPr>
          <w:b/>
          <w:bCs/>
          <w:szCs w:val="22"/>
        </w:rPr>
      </w:pPr>
      <w:r>
        <w:rPr>
          <w:b/>
          <w:bCs/>
          <w:szCs w:val="22"/>
        </w:rPr>
      </w:r>
    </w:p>
    <w:p>
      <w:pPr>
        <w:pStyle w:val="Textbody"/>
        <w:tabs>
          <w:tab w:val="clear" w:pos="708"/>
          <w:tab w:val="left" w:pos="1339" w:leader="none"/>
        </w:tabs>
        <w:spacing w:lineRule="auto" w:line="240" w:before="0" w:after="0"/>
        <w:jc w:val="center"/>
        <w:rPr>
          <w:b/>
          <w:bCs/>
          <w:szCs w:val="22"/>
        </w:rPr>
      </w:pPr>
      <w:r>
        <w:rPr>
          <w:b/>
          <w:bCs/>
          <w:szCs w:val="22"/>
        </w:rPr>
      </w:r>
    </w:p>
    <w:p>
      <w:pPr>
        <w:pStyle w:val="Textbody"/>
        <w:tabs>
          <w:tab w:val="clear" w:pos="708"/>
          <w:tab w:val="left" w:pos="1339" w:leader="none"/>
        </w:tabs>
        <w:spacing w:lineRule="auto" w:line="240" w:before="0" w:after="0"/>
        <w:jc w:val="center"/>
        <w:rPr>
          <w:szCs w:val="22"/>
        </w:rPr>
      </w:pPr>
      <w:r>
        <w:rPr>
          <w:b/>
          <w:bCs/>
          <w:szCs w:val="22"/>
        </w:rPr>
        <w:t xml:space="preserve">ANEXO V </w:t>
      </w:r>
      <w:r>
        <w:rPr>
          <w:rFonts w:eastAsia="Cumberland AMT" w:cs="Cumberland AMT"/>
          <w:b/>
          <w:bCs/>
          <w:i/>
          <w:iCs/>
        </w:rPr>
        <w:t>–</w:t>
      </w:r>
      <w:r>
        <w:rPr>
          <w:b/>
          <w:bCs/>
          <w:szCs w:val="22"/>
        </w:rPr>
        <w:t xml:space="preserve"> MODELO DO TERMO DE ATESTADO DE VISTORIA</w:t>
      </w:r>
    </w:p>
    <w:p>
      <w:pPr>
        <w:pStyle w:val="Textbody"/>
        <w:tabs>
          <w:tab w:val="clear" w:pos="708"/>
          <w:tab w:val="left" w:pos="1339" w:leader="none"/>
        </w:tabs>
        <w:spacing w:lineRule="auto" w:line="240" w:before="0" w:after="0"/>
        <w:jc w:val="center"/>
        <w:rPr>
          <w:color w:val="000000"/>
          <w:szCs w:val="22"/>
        </w:rPr>
      </w:pPr>
      <w:r>
        <w:rPr>
          <w:szCs w:val="22"/>
        </w:rPr>
        <w:t>(PAPEL TIMBRADO DO PROPONENTE)</w:t>
      </w:r>
    </w:p>
    <w:p>
      <w:pPr>
        <w:pStyle w:val="Textbody"/>
        <w:tabs>
          <w:tab w:val="clear" w:pos="708"/>
          <w:tab w:val="left" w:pos="1339" w:leader="none"/>
        </w:tabs>
        <w:spacing w:lineRule="auto" w:line="240" w:before="0" w:after="0"/>
        <w:rPr>
          <w:szCs w:val="22"/>
        </w:rPr>
      </w:pPr>
      <w:r>
        <w:rPr>
          <w:szCs w:val="22"/>
        </w:rPr>
      </w:r>
    </w:p>
    <w:p>
      <w:pPr>
        <w:pStyle w:val="Textbody"/>
        <w:tabs>
          <w:tab w:val="clear" w:pos="708"/>
          <w:tab w:val="left" w:pos="1339" w:leader="none"/>
        </w:tabs>
        <w:spacing w:lineRule="auto" w:line="240" w:before="0" w:after="0"/>
        <w:rPr>
          <w:color w:val="000000"/>
        </w:rPr>
      </w:pPr>
      <w:r>
        <w:rPr>
          <w:b/>
          <w:color w:val="000000"/>
          <w:szCs w:val="22"/>
        </w:rPr>
        <w:t>CONCORRÊNCIA ELETRÔNICA Nº 2026001</w:t>
      </w:r>
      <w:r>
        <w:rPr>
          <w:b/>
          <w:color w:val="000000"/>
          <w:szCs w:val="22"/>
        </w:rPr>
        <w:t>5</w:t>
      </w:r>
      <w:r>
        <w:rPr>
          <w:b/>
          <w:color w:val="000000"/>
          <w:szCs w:val="22"/>
        </w:rPr>
        <w:t>/CIDADES/COREV</w:t>
      </w:r>
    </w:p>
    <w:p>
      <w:pPr>
        <w:pStyle w:val="Textbody"/>
        <w:tabs>
          <w:tab w:val="clear" w:pos="708"/>
          <w:tab w:val="left" w:pos="1339" w:leader="none"/>
        </w:tabs>
        <w:spacing w:lineRule="auto" w:line="240" w:before="0" w:after="0"/>
        <w:rPr>
          <w:color w:val="000000"/>
        </w:rPr>
      </w:pPr>
      <w:r>
        <w:rPr>
          <w:b/>
          <w:color w:val="000000"/>
          <w:szCs w:val="22"/>
        </w:rPr>
        <w:t>PROCESSO Nº</w:t>
      </w:r>
      <w:r>
        <w:rPr>
          <w:color w:val="000000"/>
          <w:szCs w:val="22"/>
        </w:rPr>
        <w:t xml:space="preserve"> </w:t>
      </w:r>
      <w:r>
        <w:rPr>
          <w:rFonts w:eastAsia="Times New Roman" w:cs="Arial"/>
          <w:b/>
          <w:bCs/>
          <w:i w:val="false"/>
          <w:iCs w:val="false"/>
          <w:caps w:val="false"/>
          <w:smallCaps w:val="false"/>
          <w:color w:val="000000"/>
          <w:spacing w:val="0"/>
          <w:kern w:val="0"/>
          <w:sz w:val="22"/>
          <w:szCs w:val="22"/>
          <w:shd w:fill="FFFFFF" w:val="clear"/>
          <w:lang w:val="pt-BR" w:eastAsia="pt-BR" w:bidi="ar-SA"/>
        </w:rPr>
        <w:t>43001.006594/2026-11</w:t>
      </w:r>
    </w:p>
    <w:p>
      <w:pPr>
        <w:pStyle w:val="Textbody"/>
        <w:tabs>
          <w:tab w:val="clear" w:pos="708"/>
          <w:tab w:val="left" w:pos="1339" w:leader="none"/>
        </w:tabs>
        <w:spacing w:lineRule="auto" w:line="240" w:before="0" w:after="0"/>
        <w:rPr>
          <w:color w:val="FF0000"/>
          <w:szCs w:val="22"/>
        </w:rPr>
      </w:pPr>
      <w:r>
        <w:rPr>
          <w:color w:val="FF0000"/>
          <w:szCs w:val="22"/>
        </w:rPr>
      </w:r>
    </w:p>
    <w:p>
      <w:pPr>
        <w:pStyle w:val="Textbody"/>
        <w:tabs>
          <w:tab w:val="clear" w:pos="708"/>
          <w:tab w:val="left" w:pos="1339" w:leader="none"/>
        </w:tabs>
        <w:spacing w:lineRule="auto" w:line="240" w:before="0" w:after="0"/>
        <w:rPr>
          <w:szCs w:val="22"/>
        </w:rPr>
      </w:pPr>
      <w:r>
        <w:rPr>
          <w:szCs w:val="22"/>
        </w:rPr>
      </w:r>
    </w:p>
    <w:p>
      <w:pPr>
        <w:pStyle w:val="Textbody"/>
        <w:tabs>
          <w:tab w:val="clear" w:pos="708"/>
          <w:tab w:val="left" w:pos="1339" w:leader="none"/>
        </w:tabs>
        <w:spacing w:lineRule="auto" w:line="240" w:before="0" w:after="0"/>
        <w:rPr>
          <w:szCs w:val="22"/>
        </w:rPr>
      </w:pPr>
      <w:r>
        <w:rPr>
          <w:szCs w:val="22"/>
        </w:rPr>
      </w:r>
    </w:p>
    <w:p>
      <w:pPr>
        <w:pStyle w:val="Textbody"/>
        <w:tabs>
          <w:tab w:val="clear" w:pos="708"/>
          <w:tab w:val="left" w:pos="1339" w:leader="none"/>
        </w:tabs>
        <w:spacing w:lineRule="auto" w:line="240" w:before="0" w:after="0"/>
        <w:rPr>
          <w:szCs w:val="22"/>
        </w:rPr>
      </w:pPr>
      <w:r>
        <w:rPr>
          <w:szCs w:val="22"/>
        </w:rPr>
        <w:t>Eu, _________________________ (Representante Legal devidamente qualificado) da empresa _____________________, DECLARO, para os devidos fins, que visitei os locais e as condições onde serão executados os serviços de _____________________________, tendo tomado conhecimento de todas as peculiaridades e características dos serviços, inclusive, das possíveis dificuldades que possam onerar futuramente nossa empresa na execução do mesmo.</w:t>
      </w:r>
    </w:p>
    <w:p>
      <w:pPr>
        <w:pStyle w:val="Textbody"/>
        <w:tabs>
          <w:tab w:val="clear" w:pos="708"/>
          <w:tab w:val="left" w:pos="1339" w:leader="none"/>
        </w:tabs>
        <w:spacing w:lineRule="auto" w:line="240" w:before="0" w:after="0"/>
        <w:rPr>
          <w:szCs w:val="22"/>
        </w:rPr>
      </w:pPr>
      <w:r>
        <w:rPr>
          <w:szCs w:val="22"/>
        </w:rPr>
        <w:t>Assim, declaro que estou ciente de que o preço proposto pela empresa está de acordo com as exigências do edital e seus anexos, e assim, dentro desta proposta, assumimos o compromisso de honrar plenamente todas as exigências do instrumento convocatório nº __________ do(a) _________(unidade contratante), sem quaisquer direitos a reclamações futuras, sob a alegação de quaisquer desconhecimentos quanto às particularidades do objeto.</w:t>
      </w:r>
    </w:p>
    <w:p>
      <w:pPr>
        <w:pStyle w:val="Textbody"/>
        <w:tabs>
          <w:tab w:val="clear" w:pos="708"/>
          <w:tab w:val="left" w:pos="1339" w:leader="none"/>
        </w:tabs>
        <w:spacing w:lineRule="auto" w:line="240" w:before="0" w:after="0"/>
        <w:rPr>
          <w:szCs w:val="22"/>
        </w:rPr>
      </w:pPr>
      <w:r>
        <w:rPr>
          <w:szCs w:val="22"/>
        </w:rPr>
      </w:r>
    </w:p>
    <w:p>
      <w:pPr>
        <w:pStyle w:val="Textbody"/>
        <w:tabs>
          <w:tab w:val="clear" w:pos="708"/>
          <w:tab w:val="left" w:pos="1339" w:leader="none"/>
        </w:tabs>
        <w:spacing w:lineRule="auto" w:line="240" w:before="0" w:after="0"/>
        <w:rPr>
          <w:szCs w:val="22"/>
        </w:rPr>
      </w:pPr>
      <w:r>
        <w:rPr>
          <w:szCs w:val="22"/>
        </w:rPr>
        <w:t>Local e data,</w:t>
      </w:r>
    </w:p>
    <w:p>
      <w:pPr>
        <w:pStyle w:val="Textbody"/>
        <w:tabs>
          <w:tab w:val="clear" w:pos="708"/>
          <w:tab w:val="left" w:pos="1339" w:leader="none"/>
        </w:tabs>
        <w:spacing w:lineRule="auto" w:line="240" w:before="0" w:after="0"/>
        <w:rPr>
          <w:szCs w:val="22"/>
        </w:rPr>
      </w:pPr>
      <w:r>
        <w:rPr>
          <w:szCs w:val="22"/>
        </w:rPr>
      </w:r>
    </w:p>
    <w:p>
      <w:pPr>
        <w:pStyle w:val="Textbody"/>
        <w:tabs>
          <w:tab w:val="clear" w:pos="708"/>
          <w:tab w:val="left" w:pos="1339" w:leader="none"/>
        </w:tabs>
        <w:spacing w:lineRule="auto" w:line="240" w:before="0" w:after="0"/>
        <w:rPr>
          <w:szCs w:val="22"/>
        </w:rPr>
      </w:pPr>
      <w:r>
        <w:rPr>
          <w:szCs w:val="22"/>
        </w:rPr>
        <w:t>NOME (RESPONSÁVEL TÉCNICO OU REPRESENTANTE LEGAL DO LICITANTE)</w:t>
      </w:r>
    </w:p>
    <w:p>
      <w:pPr>
        <w:pStyle w:val="Textbody"/>
        <w:tabs>
          <w:tab w:val="clear" w:pos="708"/>
          <w:tab w:val="left" w:pos="1339" w:leader="none"/>
        </w:tabs>
        <w:spacing w:lineRule="auto" w:line="240" w:before="0" w:after="0"/>
        <w:rPr>
          <w:i/>
          <w:i/>
          <w:iCs/>
          <w:szCs w:val="22"/>
        </w:rPr>
      </w:pPr>
      <w:r>
        <w:rPr>
          <w:i/>
          <w:iCs/>
          <w:szCs w:val="22"/>
        </w:rPr>
        <w:t>(assinatura e carimbo constando RG ou CPF)</w:t>
      </w:r>
    </w:p>
    <w:p>
      <w:pPr>
        <w:pStyle w:val="Textbody"/>
        <w:tabs>
          <w:tab w:val="clear" w:pos="708"/>
          <w:tab w:val="left" w:pos="1339" w:leader="none"/>
        </w:tabs>
        <w:spacing w:lineRule="auto" w:line="240" w:before="0" w:after="0"/>
        <w:rPr>
          <w:szCs w:val="22"/>
        </w:rPr>
      </w:pPr>
      <w:r>
        <w:rPr>
          <w:szCs w:val="22"/>
        </w:rPr>
      </w:r>
    </w:p>
    <w:p>
      <w:pPr>
        <w:pStyle w:val="Textbody"/>
        <w:tabs>
          <w:tab w:val="clear" w:pos="708"/>
          <w:tab w:val="left" w:pos="1339" w:leader="none"/>
        </w:tabs>
        <w:spacing w:lineRule="auto" w:line="240" w:before="0" w:after="0"/>
        <w:rPr>
          <w:szCs w:val="22"/>
        </w:rPr>
      </w:pPr>
      <w:r>
        <w:rPr>
          <w:szCs w:val="22"/>
        </w:rPr>
        <w:t>NOME (RESPONSÁVEL DA UNIDADE CONTRATANTE)</w:t>
      </w:r>
    </w:p>
    <w:p>
      <w:pPr>
        <w:pStyle w:val="Textbody"/>
        <w:tabs>
          <w:tab w:val="clear" w:pos="708"/>
          <w:tab w:val="left" w:pos="1339" w:leader="none"/>
        </w:tabs>
        <w:spacing w:lineRule="auto" w:line="240" w:before="0" w:after="0"/>
        <w:rPr>
          <w:i/>
          <w:i/>
          <w:iCs/>
          <w:szCs w:val="22"/>
        </w:rPr>
      </w:pPr>
      <w:r>
        <w:rPr>
          <w:i/>
          <w:iCs/>
          <w:szCs w:val="22"/>
        </w:rPr>
        <w:t>(assinatura e carimbo constando o nome)</w:t>
      </w:r>
    </w:p>
    <w:p>
      <w:pPr>
        <w:pStyle w:val="Standard"/>
        <w:jc w:val="center"/>
        <w:rPr>
          <w:rFonts w:ascii="Arial" w:hAnsi="Arial"/>
          <w:b/>
          <w:bCs/>
          <w:sz w:val="22"/>
          <w:szCs w:val="22"/>
        </w:rPr>
      </w:pPr>
      <w:r>
        <w:rPr>
          <w:rFonts w:ascii="Arial" w:hAnsi="Arial"/>
          <w:b/>
          <w:bCs/>
          <w:sz w:val="22"/>
          <w:szCs w:val="22"/>
        </w:rPr>
      </w:r>
    </w:p>
    <w:p>
      <w:pPr>
        <w:pStyle w:val="Standard"/>
        <w:jc w:val="center"/>
        <w:rPr>
          <w:rFonts w:ascii="Arial" w:hAnsi="Arial"/>
          <w:b/>
          <w:bCs/>
          <w:sz w:val="22"/>
          <w:szCs w:val="22"/>
        </w:rPr>
      </w:pPr>
      <w:r>
        <w:rPr>
          <w:rFonts w:ascii="Arial" w:hAnsi="Arial"/>
          <w:b/>
          <w:bCs/>
          <w:sz w:val="22"/>
          <w:szCs w:val="22"/>
        </w:rPr>
      </w:r>
    </w:p>
    <w:p>
      <w:pPr>
        <w:pStyle w:val="Standard"/>
        <w:jc w:val="center"/>
        <w:rPr>
          <w:rFonts w:ascii="Arial" w:hAnsi="Arial"/>
          <w:b/>
          <w:bCs/>
          <w:sz w:val="22"/>
          <w:szCs w:val="22"/>
        </w:rPr>
      </w:pPr>
      <w:r>
        <w:rPr>
          <w:rFonts w:ascii="Arial" w:hAnsi="Arial"/>
          <w:b/>
          <w:bCs/>
          <w:sz w:val="22"/>
          <w:szCs w:val="22"/>
        </w:rPr>
      </w:r>
    </w:p>
    <w:p>
      <w:pPr>
        <w:pStyle w:val="Standard"/>
        <w:jc w:val="center"/>
        <w:rPr>
          <w:rFonts w:ascii="Arial" w:hAnsi="Arial"/>
          <w:b/>
          <w:bCs/>
          <w:sz w:val="22"/>
          <w:szCs w:val="22"/>
        </w:rPr>
      </w:pPr>
      <w:r>
        <w:rPr>
          <w:rFonts w:ascii="Arial" w:hAnsi="Arial"/>
          <w:b/>
          <w:bCs/>
          <w:sz w:val="22"/>
          <w:szCs w:val="22"/>
        </w:rPr>
      </w:r>
    </w:p>
    <w:p>
      <w:pPr>
        <w:pStyle w:val="Standard"/>
        <w:jc w:val="center"/>
        <w:rPr>
          <w:rFonts w:ascii="Arial" w:hAnsi="Arial"/>
          <w:b/>
          <w:bCs/>
          <w:sz w:val="22"/>
          <w:szCs w:val="22"/>
        </w:rPr>
      </w:pPr>
      <w:r>
        <w:rPr>
          <w:rFonts w:ascii="Arial" w:hAnsi="Arial"/>
          <w:b/>
          <w:bCs/>
          <w:sz w:val="22"/>
          <w:szCs w:val="22"/>
        </w:rPr>
      </w:r>
    </w:p>
    <w:p>
      <w:pPr>
        <w:pStyle w:val="Standard"/>
        <w:jc w:val="center"/>
        <w:rPr>
          <w:rFonts w:ascii="Arial" w:hAnsi="Arial"/>
          <w:b/>
          <w:bCs/>
          <w:sz w:val="22"/>
          <w:szCs w:val="22"/>
        </w:rPr>
      </w:pPr>
      <w:r>
        <w:rPr>
          <w:rFonts w:ascii="Arial" w:hAnsi="Arial"/>
          <w:b/>
          <w:bCs/>
          <w:sz w:val="22"/>
          <w:szCs w:val="22"/>
        </w:rPr>
      </w:r>
    </w:p>
    <w:p>
      <w:pPr>
        <w:pStyle w:val="Standard"/>
        <w:jc w:val="center"/>
        <w:rPr>
          <w:rFonts w:ascii="Arial" w:hAnsi="Arial"/>
          <w:b/>
          <w:bCs/>
          <w:sz w:val="22"/>
          <w:szCs w:val="22"/>
        </w:rPr>
      </w:pPr>
      <w:r>
        <w:rPr>
          <w:rFonts w:ascii="Arial" w:hAnsi="Arial"/>
          <w:b/>
          <w:bCs/>
          <w:sz w:val="22"/>
          <w:szCs w:val="22"/>
        </w:rPr>
      </w:r>
    </w:p>
    <w:p>
      <w:pPr>
        <w:pStyle w:val="Standard"/>
        <w:jc w:val="center"/>
        <w:rPr>
          <w:rFonts w:ascii="Arial" w:hAnsi="Arial"/>
          <w:b/>
          <w:bCs/>
          <w:sz w:val="22"/>
          <w:szCs w:val="22"/>
        </w:rPr>
      </w:pPr>
      <w:r>
        <w:rPr>
          <w:rFonts w:ascii="Arial" w:hAnsi="Arial"/>
          <w:b/>
          <w:bCs/>
          <w:sz w:val="22"/>
          <w:szCs w:val="22"/>
        </w:rPr>
      </w:r>
    </w:p>
    <w:p>
      <w:pPr>
        <w:pStyle w:val="Standard"/>
        <w:jc w:val="center"/>
        <w:rPr>
          <w:rFonts w:ascii="Arial" w:hAnsi="Arial"/>
          <w:b/>
          <w:bCs/>
          <w:sz w:val="22"/>
          <w:szCs w:val="22"/>
        </w:rPr>
      </w:pPr>
      <w:r>
        <w:rPr>
          <w:rFonts w:ascii="Arial" w:hAnsi="Arial"/>
          <w:b/>
          <w:bCs/>
          <w:sz w:val="22"/>
          <w:szCs w:val="22"/>
        </w:rPr>
      </w:r>
    </w:p>
    <w:p>
      <w:pPr>
        <w:pStyle w:val="Standard"/>
        <w:jc w:val="center"/>
        <w:rPr>
          <w:rFonts w:ascii="Arial" w:hAnsi="Arial"/>
          <w:b/>
          <w:bCs/>
          <w:sz w:val="22"/>
          <w:szCs w:val="22"/>
        </w:rPr>
      </w:pPr>
      <w:r>
        <w:rPr>
          <w:rFonts w:ascii="Arial" w:hAnsi="Arial"/>
          <w:b/>
          <w:bCs/>
          <w:sz w:val="22"/>
          <w:szCs w:val="22"/>
        </w:rPr>
      </w:r>
    </w:p>
    <w:p>
      <w:pPr>
        <w:pStyle w:val="Standard"/>
        <w:jc w:val="center"/>
        <w:rPr>
          <w:rFonts w:ascii="Arial" w:hAnsi="Arial"/>
          <w:b/>
          <w:bCs/>
          <w:sz w:val="22"/>
          <w:szCs w:val="22"/>
        </w:rPr>
      </w:pPr>
      <w:r>
        <w:rPr>
          <w:rFonts w:ascii="Arial" w:hAnsi="Arial"/>
          <w:b/>
          <w:bCs/>
          <w:sz w:val="22"/>
          <w:szCs w:val="22"/>
        </w:rPr>
      </w:r>
    </w:p>
    <w:p>
      <w:pPr>
        <w:pStyle w:val="Standard"/>
        <w:jc w:val="center"/>
        <w:rPr>
          <w:rFonts w:ascii="Arial" w:hAnsi="Arial"/>
          <w:b/>
          <w:bCs/>
          <w:sz w:val="22"/>
          <w:szCs w:val="22"/>
        </w:rPr>
      </w:pPr>
      <w:r>
        <w:rPr>
          <w:rFonts w:ascii="Arial" w:hAnsi="Arial"/>
          <w:b/>
          <w:bCs/>
          <w:sz w:val="22"/>
          <w:szCs w:val="22"/>
        </w:rPr>
      </w:r>
    </w:p>
    <w:p>
      <w:pPr>
        <w:pStyle w:val="Standard"/>
        <w:jc w:val="center"/>
        <w:rPr>
          <w:rFonts w:ascii="Arial" w:hAnsi="Arial"/>
          <w:b/>
          <w:bCs/>
          <w:sz w:val="22"/>
          <w:szCs w:val="22"/>
        </w:rPr>
      </w:pPr>
      <w:r>
        <w:rPr>
          <w:rFonts w:ascii="Arial" w:hAnsi="Arial"/>
          <w:b/>
          <w:bCs/>
          <w:sz w:val="22"/>
          <w:szCs w:val="22"/>
        </w:rPr>
      </w:r>
    </w:p>
    <w:p>
      <w:pPr>
        <w:pStyle w:val="Standard"/>
        <w:jc w:val="center"/>
        <w:rPr>
          <w:rFonts w:ascii="Arial" w:hAnsi="Arial"/>
          <w:b/>
          <w:bCs/>
          <w:sz w:val="22"/>
          <w:szCs w:val="22"/>
        </w:rPr>
      </w:pPr>
      <w:r>
        <w:rPr>
          <w:rFonts w:ascii="Arial" w:hAnsi="Arial"/>
          <w:b/>
          <w:bCs/>
          <w:sz w:val="22"/>
          <w:szCs w:val="22"/>
        </w:rPr>
      </w:r>
    </w:p>
    <w:p>
      <w:pPr>
        <w:pStyle w:val="Standard"/>
        <w:jc w:val="center"/>
        <w:rPr>
          <w:rFonts w:ascii="Arial" w:hAnsi="Arial"/>
          <w:b/>
          <w:bCs/>
          <w:sz w:val="22"/>
          <w:szCs w:val="22"/>
        </w:rPr>
      </w:pPr>
      <w:r>
        <w:rPr>
          <w:rFonts w:ascii="Arial" w:hAnsi="Arial"/>
          <w:b/>
          <w:bCs/>
          <w:sz w:val="22"/>
          <w:szCs w:val="22"/>
        </w:rPr>
      </w:r>
    </w:p>
    <w:p>
      <w:pPr>
        <w:pStyle w:val="Standard"/>
        <w:jc w:val="center"/>
        <w:rPr>
          <w:rFonts w:ascii="Arial" w:hAnsi="Arial"/>
          <w:b/>
          <w:bCs/>
          <w:sz w:val="22"/>
          <w:szCs w:val="22"/>
        </w:rPr>
      </w:pPr>
      <w:r>
        <w:rPr>
          <w:rFonts w:ascii="Arial" w:hAnsi="Arial"/>
          <w:b/>
          <w:bCs/>
          <w:sz w:val="22"/>
          <w:szCs w:val="22"/>
        </w:rPr>
      </w:r>
    </w:p>
    <w:p>
      <w:pPr>
        <w:pStyle w:val="Standard"/>
        <w:jc w:val="center"/>
        <w:rPr>
          <w:rFonts w:ascii="Arial" w:hAnsi="Arial"/>
          <w:b/>
          <w:bCs/>
          <w:sz w:val="22"/>
          <w:szCs w:val="22"/>
        </w:rPr>
      </w:pPr>
      <w:r>
        <w:rPr>
          <w:rFonts w:ascii="Arial" w:hAnsi="Arial"/>
          <w:b/>
          <w:bCs/>
          <w:sz w:val="22"/>
          <w:szCs w:val="22"/>
        </w:rPr>
      </w:r>
    </w:p>
    <w:p>
      <w:pPr>
        <w:pStyle w:val="Standard"/>
        <w:jc w:val="center"/>
        <w:rPr/>
      </w:pPr>
      <w:r>
        <w:rPr>
          <w:rFonts w:ascii="Arial" w:hAnsi="Arial"/>
          <w:b/>
          <w:bCs/>
          <w:sz w:val="22"/>
          <w:szCs w:val="22"/>
        </w:rPr>
        <w:t>ANEXO V</w:t>
      </w:r>
      <w:r>
        <w:rPr>
          <w:rFonts w:ascii="Arial" w:hAnsi="Arial"/>
          <w:b/>
          <w:bCs/>
          <w:sz w:val="22"/>
          <w:szCs w:val="22"/>
          <w:lang w:val="pt-BR"/>
        </w:rPr>
        <w:t>I</w:t>
      </w:r>
      <w:r>
        <w:rPr>
          <w:rFonts w:ascii="Arial" w:hAnsi="Arial"/>
          <w:b/>
          <w:bCs/>
          <w:sz w:val="22"/>
          <w:szCs w:val="22"/>
        </w:rPr>
        <w:t xml:space="preserve"> </w:t>
      </w:r>
      <w:r>
        <w:rPr>
          <w:rFonts w:eastAsia="Cumberland AMT" w:cs="Cumberland AMT" w:ascii="Arial" w:hAnsi="Arial"/>
          <w:b/>
          <w:bCs/>
          <w:i/>
          <w:iCs/>
          <w:sz w:val="22"/>
          <w:szCs w:val="22"/>
        </w:rPr>
        <w:t>–</w:t>
      </w:r>
      <w:r>
        <w:rPr>
          <w:rFonts w:ascii="Arial" w:hAnsi="Arial"/>
          <w:b/>
          <w:bCs/>
          <w:sz w:val="22"/>
          <w:szCs w:val="22"/>
        </w:rPr>
        <w:t xml:space="preserve"> MODELO DO TERMO DE </w:t>
      </w:r>
      <w:r>
        <w:rPr>
          <w:rFonts w:eastAsia="Times New Roman" w:cs="Verdana" w:ascii="Arial" w:hAnsi="Arial"/>
          <w:b/>
          <w:bCs/>
          <w:color w:val="00000A"/>
          <w:sz w:val="22"/>
          <w:szCs w:val="22"/>
          <w:shd w:fill="FFFFFF" w:val="clear"/>
        </w:rPr>
        <w:t>DECLARAÇÃO DE RENÚNCIA À VISTORIA</w:t>
      </w:r>
    </w:p>
    <w:p>
      <w:pPr>
        <w:pStyle w:val="Standard"/>
        <w:jc w:val="both"/>
        <w:rPr>
          <w:rFonts w:ascii="Arial" w:hAnsi="Arial"/>
          <w:sz w:val="22"/>
          <w:szCs w:val="22"/>
        </w:rPr>
      </w:pPr>
      <w:r>
        <w:rPr>
          <w:rFonts w:ascii="Arial" w:hAnsi="Arial"/>
          <w:sz w:val="22"/>
          <w:szCs w:val="22"/>
        </w:rPr>
      </w:r>
    </w:p>
    <w:p>
      <w:pPr>
        <w:pStyle w:val="Textbody"/>
        <w:tabs>
          <w:tab w:val="clear" w:pos="708"/>
          <w:tab w:val="left" w:pos="1339" w:leader="none"/>
        </w:tabs>
        <w:spacing w:lineRule="auto" w:line="240" w:before="0" w:after="0"/>
        <w:jc w:val="center"/>
        <w:rPr>
          <w:color w:val="000000"/>
          <w:szCs w:val="22"/>
        </w:rPr>
      </w:pPr>
      <w:r>
        <w:rPr>
          <w:szCs w:val="22"/>
        </w:rPr>
        <w:t>(PAPEL TIMBRADO DO PROPONENTE)</w:t>
      </w:r>
    </w:p>
    <w:p>
      <w:pPr>
        <w:pStyle w:val="Textbody"/>
        <w:tabs>
          <w:tab w:val="clear" w:pos="708"/>
          <w:tab w:val="left" w:pos="1339" w:leader="none"/>
        </w:tabs>
        <w:spacing w:lineRule="auto" w:line="240" w:before="0" w:after="0"/>
        <w:rPr>
          <w:szCs w:val="22"/>
        </w:rPr>
      </w:pPr>
      <w:r>
        <w:rPr>
          <w:szCs w:val="22"/>
        </w:rPr>
      </w:r>
    </w:p>
    <w:p>
      <w:pPr>
        <w:pStyle w:val="Textbody"/>
        <w:tabs>
          <w:tab w:val="clear" w:pos="708"/>
          <w:tab w:val="left" w:pos="1339" w:leader="none"/>
        </w:tabs>
        <w:spacing w:lineRule="auto" w:line="240" w:before="0" w:after="0"/>
        <w:rPr>
          <w:color w:val="000000"/>
        </w:rPr>
      </w:pPr>
      <w:r>
        <w:rPr>
          <w:b/>
          <w:color w:val="000000"/>
          <w:szCs w:val="22"/>
        </w:rPr>
        <w:t>CONCORRÊNCIA ELETRÔNICA Nº 2026001</w:t>
      </w:r>
      <w:r>
        <w:rPr>
          <w:b/>
          <w:color w:val="000000"/>
          <w:szCs w:val="22"/>
        </w:rPr>
        <w:t>5</w:t>
      </w:r>
      <w:r>
        <w:rPr>
          <w:b/>
          <w:color w:val="000000"/>
          <w:szCs w:val="22"/>
        </w:rPr>
        <w:t>/CIDADES/COREV</w:t>
      </w:r>
    </w:p>
    <w:p>
      <w:pPr>
        <w:pStyle w:val="Textbody"/>
        <w:tabs>
          <w:tab w:val="clear" w:pos="708"/>
          <w:tab w:val="left" w:pos="1339" w:leader="none"/>
        </w:tabs>
        <w:spacing w:lineRule="auto" w:line="240" w:before="0" w:after="0"/>
        <w:rPr>
          <w:color w:val="000000"/>
        </w:rPr>
      </w:pPr>
      <w:r>
        <w:rPr>
          <w:rFonts w:eastAsia="Helvetica" w:cs="Helvetica" w:ascii="Helvetica" w:hAnsi="Helvetica"/>
          <w:b/>
          <w:bCs/>
          <w:i w:val="false"/>
          <w:iCs w:val="false"/>
          <w:caps w:val="false"/>
          <w:smallCaps w:val="false"/>
          <w:color w:val="000000"/>
          <w:spacing w:val="0"/>
          <w:sz w:val="22"/>
          <w:szCs w:val="22"/>
          <w:shd w:fill="FFFFFF" w:val="clear"/>
          <w:lang w:eastAsia="pt-BR"/>
        </w:rPr>
        <w:t xml:space="preserve">PROCESSO Nº </w:t>
      </w:r>
      <w:r>
        <w:rPr>
          <w:rFonts w:eastAsia="Times New Roman" w:cs="Arial"/>
          <w:b/>
          <w:bCs/>
          <w:i w:val="false"/>
          <w:iCs w:val="false"/>
          <w:caps w:val="false"/>
          <w:smallCaps w:val="false"/>
          <w:color w:val="000000"/>
          <w:spacing w:val="0"/>
          <w:kern w:val="0"/>
          <w:sz w:val="22"/>
          <w:szCs w:val="22"/>
          <w:shd w:fill="FFFFFF" w:val="clear"/>
          <w:lang w:val="pt-BR" w:eastAsia="pt-BR" w:bidi="ar-SA"/>
        </w:rPr>
        <w:t>43001.006594/2026-11</w:t>
      </w:r>
    </w:p>
    <w:p>
      <w:pPr>
        <w:pStyle w:val="Standard"/>
        <w:jc w:val="both"/>
        <w:rPr>
          <w:rFonts w:ascii="Arial" w:hAnsi="Arial" w:eastAsia="Times New Roman" w:cs="Arial"/>
          <w:b/>
          <w:color w:val="FF0000"/>
          <w:sz w:val="22"/>
          <w:szCs w:val="22"/>
          <w:shd w:fill="FFFFFF" w:val="clear"/>
          <w:lang w:eastAsia="pt-BR"/>
        </w:rPr>
      </w:pPr>
      <w:r>
        <w:rPr>
          <w:rFonts w:eastAsia="Times New Roman" w:cs="Arial" w:ascii="Arial" w:hAnsi="Arial"/>
          <w:b/>
          <w:color w:val="FF0000"/>
          <w:sz w:val="22"/>
          <w:szCs w:val="22"/>
          <w:shd w:fill="FFFFFF" w:val="clear"/>
          <w:lang w:eastAsia="pt-BR"/>
        </w:rPr>
      </w:r>
    </w:p>
    <w:p>
      <w:pPr>
        <w:pStyle w:val="Standard"/>
        <w:jc w:val="both"/>
        <w:rPr/>
      </w:pPr>
      <w:r>
        <w:rPr/>
      </w:r>
    </w:p>
    <w:p>
      <w:pPr>
        <w:pStyle w:val="Standard"/>
        <w:jc w:val="both"/>
        <w:rPr>
          <w:rFonts w:ascii="Arial" w:hAnsi="Arial"/>
          <w:sz w:val="22"/>
          <w:szCs w:val="22"/>
        </w:rPr>
      </w:pPr>
      <w:r>
        <w:rPr>
          <w:rFonts w:ascii="Arial" w:hAnsi="Arial"/>
          <w:sz w:val="22"/>
          <w:szCs w:val="22"/>
        </w:rPr>
        <w:t xml:space="preserve">Eu, _________________________ (Representante Legal devidamente qualificado) da empresa _____________________, DECLARO, para os devidos fins, que opto pela não realização de vistoria nos locais onde serão executados os serviços de _____________________________. DECLARO ainda que, tendo tomado conhecimento de todas as peculiaridades e características dos serviços, inclusive, das possíveis dificuldades que possam onerar futuramente nossa empresa na execução do mesmo, assumo inteiramente a responsabilidade ou consequências que, por ventura, decorram desta omissão.   </w:t>
      </w:r>
    </w:p>
    <w:p>
      <w:pPr>
        <w:pStyle w:val="Standard"/>
        <w:jc w:val="both"/>
        <w:rPr>
          <w:rFonts w:ascii="Arial" w:hAnsi="Arial"/>
          <w:sz w:val="22"/>
          <w:szCs w:val="22"/>
        </w:rPr>
      </w:pPr>
      <w:r>
        <w:rPr>
          <w:rFonts w:ascii="Arial" w:hAnsi="Arial"/>
          <w:sz w:val="22"/>
          <w:szCs w:val="22"/>
        </w:rPr>
        <w:t>Assim, declaro que estou ciente de que o preço proposto pela empresa está de acordo com as exigências do edital e seus anexos, e assim, dentro desta proposta, assumimos o compromisso de honrar plenamente todas as exigências do instrumento convocatório nº __________ do(a) _________(unidade contratante), sem quaisquer direitos a reclamações futuras, sob a alegação de quaisquer desconhecimentos quanto às particularidades do objeto.</w:t>
      </w:r>
    </w:p>
    <w:p>
      <w:pPr>
        <w:pStyle w:val="Standard"/>
        <w:jc w:val="both"/>
        <w:rPr>
          <w:rFonts w:ascii="Arial" w:hAnsi="Arial"/>
          <w:sz w:val="22"/>
          <w:szCs w:val="22"/>
        </w:rPr>
      </w:pPr>
      <w:r>
        <w:rPr>
          <w:rFonts w:ascii="Arial" w:hAnsi="Arial"/>
          <w:sz w:val="22"/>
          <w:szCs w:val="22"/>
        </w:rPr>
      </w:r>
    </w:p>
    <w:p>
      <w:pPr>
        <w:pStyle w:val="Standard"/>
        <w:jc w:val="both"/>
        <w:rPr>
          <w:rFonts w:ascii="Arial" w:hAnsi="Arial"/>
          <w:sz w:val="22"/>
          <w:szCs w:val="22"/>
        </w:rPr>
      </w:pPr>
      <w:r>
        <w:rPr>
          <w:rFonts w:ascii="Arial" w:hAnsi="Arial"/>
          <w:sz w:val="22"/>
          <w:szCs w:val="22"/>
        </w:rPr>
        <w:t>Local e data,</w:t>
      </w:r>
    </w:p>
    <w:p>
      <w:pPr>
        <w:pStyle w:val="Standard"/>
        <w:jc w:val="both"/>
        <w:rPr>
          <w:rFonts w:ascii="Arial" w:hAnsi="Arial"/>
          <w:sz w:val="22"/>
          <w:szCs w:val="22"/>
        </w:rPr>
      </w:pPr>
      <w:r>
        <w:rPr>
          <w:rFonts w:ascii="Arial" w:hAnsi="Arial"/>
          <w:sz w:val="22"/>
          <w:szCs w:val="22"/>
        </w:rPr>
      </w:r>
    </w:p>
    <w:p>
      <w:pPr>
        <w:pStyle w:val="Standard"/>
        <w:jc w:val="both"/>
        <w:rPr>
          <w:rFonts w:ascii="Arial" w:hAnsi="Arial"/>
          <w:sz w:val="22"/>
          <w:szCs w:val="22"/>
        </w:rPr>
      </w:pPr>
      <w:r>
        <w:rPr>
          <w:rFonts w:ascii="Arial" w:hAnsi="Arial"/>
          <w:sz w:val="22"/>
          <w:szCs w:val="22"/>
        </w:rPr>
        <w:t>NOME (RESPONSÁVEL TÉCNICO OU REPRESENTANTE LEGAL DO LICITANTE)</w:t>
      </w:r>
    </w:p>
    <w:p>
      <w:pPr>
        <w:pStyle w:val="Standard"/>
        <w:jc w:val="both"/>
        <w:rPr>
          <w:rFonts w:ascii="Arial" w:hAnsi="Arial"/>
          <w:sz w:val="22"/>
          <w:szCs w:val="22"/>
        </w:rPr>
      </w:pPr>
      <w:r>
        <w:rPr>
          <w:rFonts w:ascii="Arial" w:hAnsi="Arial"/>
          <w:sz w:val="22"/>
          <w:szCs w:val="22"/>
        </w:rPr>
        <w:t>(assinatura e carimbo constando RG ou CPF)</w:t>
      </w:r>
    </w:p>
    <w:p>
      <w:pPr>
        <w:pStyle w:val="Standard"/>
        <w:jc w:val="both"/>
        <w:rPr>
          <w:rFonts w:ascii="Arial" w:hAnsi="Arial" w:eastAsia="Calibri, 'Century Gothic'" w:cs="Calibri, 'Century Gothic'"/>
          <w:sz w:val="22"/>
          <w:szCs w:val="22"/>
        </w:rPr>
      </w:pPr>
      <w:r>
        <w:rPr>
          <w:rFonts w:eastAsia="Calibri, 'Century Gothic'" w:cs="Calibri, 'Century Gothic'" w:ascii="Arial" w:hAnsi="Arial"/>
          <w:sz w:val="22"/>
          <w:szCs w:val="22"/>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tabs>
          <w:tab w:val="clear" w:pos="708"/>
          <w:tab w:val="left" w:pos="1339" w:leader="none"/>
        </w:tabs>
        <w:spacing w:lineRule="auto" w:line="240" w:before="0" w:after="0"/>
        <w:jc w:val="center"/>
        <w:rPr/>
      </w:pPr>
      <w:r>
        <w:rPr>
          <w:rFonts w:cs="Verdana"/>
          <w:b/>
          <w:bCs/>
        </w:rPr>
        <w:t>ANEXO VI</w:t>
      </w:r>
      <w:r>
        <w:rPr>
          <w:rFonts w:cs="Verdana"/>
          <w:b/>
          <w:bCs/>
          <w:lang w:val="pt-BR"/>
        </w:rPr>
        <w:t>I</w:t>
      </w:r>
      <w:r>
        <w:rPr>
          <w:rFonts w:cs="Verdana"/>
          <w:b/>
          <w:bCs/>
        </w:rPr>
        <w:t xml:space="preserve"> – MODELO DE DECLARAÇÃO DE AUTENTICIDADE DOS DOCUMENTOS</w:t>
      </w:r>
    </w:p>
    <w:p>
      <w:pPr>
        <w:pStyle w:val="Textbody"/>
        <w:tabs>
          <w:tab w:val="clear" w:pos="708"/>
          <w:tab w:val="left" w:pos="1339" w:leader="none"/>
        </w:tabs>
        <w:spacing w:lineRule="auto" w:line="240" w:before="0" w:after="0"/>
        <w:jc w:val="center"/>
        <w:rPr>
          <w:color w:val="000000"/>
          <w:szCs w:val="22"/>
        </w:rPr>
      </w:pPr>
      <w:r>
        <w:rPr>
          <w:szCs w:val="22"/>
        </w:rPr>
        <w:t>(PAPEL TIMBRADO DO PROPONENTE)</w:t>
      </w:r>
    </w:p>
    <w:p>
      <w:pPr>
        <w:pStyle w:val="Textbody"/>
        <w:tabs>
          <w:tab w:val="clear" w:pos="708"/>
          <w:tab w:val="left" w:pos="1339" w:leader="none"/>
        </w:tabs>
        <w:spacing w:lineRule="auto" w:line="240" w:before="0" w:after="0"/>
        <w:rPr>
          <w:szCs w:val="22"/>
        </w:rPr>
      </w:pPr>
      <w:r>
        <w:rPr>
          <w:szCs w:val="22"/>
        </w:rPr>
      </w:r>
    </w:p>
    <w:p>
      <w:pPr>
        <w:pStyle w:val="Textbody"/>
        <w:tabs>
          <w:tab w:val="clear" w:pos="708"/>
          <w:tab w:val="left" w:pos="1339" w:leader="none"/>
        </w:tabs>
        <w:spacing w:lineRule="auto" w:line="240" w:before="0" w:after="0"/>
        <w:rPr>
          <w:color w:val="000000"/>
        </w:rPr>
      </w:pPr>
      <w:r>
        <w:rPr>
          <w:b/>
          <w:color w:val="000000"/>
          <w:szCs w:val="22"/>
        </w:rPr>
        <w:t>CONCORRÊNCIA ELETRÔNICA Nº 2026001</w:t>
      </w:r>
      <w:r>
        <w:rPr>
          <w:b/>
          <w:color w:val="000000"/>
          <w:szCs w:val="22"/>
        </w:rPr>
        <w:t>5</w:t>
      </w:r>
      <w:r>
        <w:rPr>
          <w:b/>
          <w:color w:val="000000"/>
          <w:szCs w:val="22"/>
        </w:rPr>
        <w:t>/CIDADES/COREV</w:t>
      </w:r>
    </w:p>
    <w:p>
      <w:pPr>
        <w:pStyle w:val="Textbody"/>
        <w:tabs>
          <w:tab w:val="clear" w:pos="708"/>
          <w:tab w:val="left" w:pos="1339" w:leader="none"/>
        </w:tabs>
        <w:spacing w:lineRule="auto" w:line="240" w:before="0" w:after="0"/>
        <w:rPr>
          <w:color w:val="000000"/>
        </w:rPr>
      </w:pPr>
      <w:r>
        <w:rPr>
          <w:rFonts w:eastAsia="Helvetica" w:cs="Helvetica" w:ascii="Helvetica" w:hAnsi="Helvetica"/>
          <w:b/>
          <w:bCs/>
          <w:i w:val="false"/>
          <w:iCs w:val="false"/>
          <w:caps w:val="false"/>
          <w:smallCaps w:val="false"/>
          <w:color w:val="000000"/>
          <w:spacing w:val="0"/>
          <w:sz w:val="22"/>
          <w:szCs w:val="22"/>
          <w:shd w:fill="FFFFFF" w:val="clear"/>
        </w:rPr>
        <w:t xml:space="preserve">PROCESSO Nº </w:t>
      </w:r>
      <w:r>
        <w:rPr>
          <w:rFonts w:eastAsia="Times New Roman" w:cs="Arial"/>
          <w:b/>
          <w:bCs/>
          <w:i w:val="false"/>
          <w:iCs w:val="false"/>
          <w:caps w:val="false"/>
          <w:smallCaps w:val="false"/>
          <w:color w:val="000000"/>
          <w:spacing w:val="0"/>
          <w:kern w:val="0"/>
          <w:sz w:val="22"/>
          <w:szCs w:val="22"/>
          <w:shd w:fill="FFFFFF" w:val="clear"/>
          <w:lang w:val="pt-BR" w:eastAsia="pt-BR" w:bidi="ar-SA"/>
        </w:rPr>
        <w:t>43001.006594/2026-11</w:t>
      </w:r>
    </w:p>
    <w:p>
      <w:pPr>
        <w:pStyle w:val="Textbody"/>
        <w:tabs>
          <w:tab w:val="clear" w:pos="708"/>
          <w:tab w:val="left" w:pos="1339" w:leader="none"/>
        </w:tabs>
        <w:spacing w:lineRule="auto" w:line="240" w:before="0" w:after="0"/>
        <w:jc w:val="center"/>
        <w:rPr>
          <w:color w:val="FF0000"/>
          <w:szCs w:val="22"/>
        </w:rPr>
      </w:pPr>
      <w:r>
        <w:rPr>
          <w:color w:val="FF0000"/>
          <w:szCs w:val="22"/>
        </w:rPr>
      </w:r>
    </w:p>
    <w:p>
      <w:pPr>
        <w:pStyle w:val="Textbody"/>
        <w:tabs>
          <w:tab w:val="clear" w:pos="708"/>
          <w:tab w:val="left" w:pos="1339" w:leader="none"/>
        </w:tabs>
        <w:spacing w:lineRule="auto" w:line="240" w:before="0" w:after="0"/>
        <w:rPr>
          <w:color w:val="FF0000"/>
          <w:szCs w:val="22"/>
        </w:rPr>
      </w:pPr>
      <w:r>
        <w:rPr>
          <w:color w:val="FF0000"/>
          <w:szCs w:val="22"/>
        </w:rPr>
      </w:r>
    </w:p>
    <w:p>
      <w:pPr>
        <w:pStyle w:val="Textbody"/>
        <w:spacing w:lineRule="auto" w:line="240" w:before="0" w:after="0"/>
        <w:jc w:val="center"/>
        <w:rPr>
          <w:b/>
          <w:bCs/>
          <w:szCs w:val="22"/>
        </w:rPr>
      </w:pPr>
      <w:r>
        <w:rPr>
          <w:b/>
          <w:bCs/>
          <w:szCs w:val="22"/>
        </w:rPr>
      </w:r>
    </w:p>
    <w:p>
      <w:pPr>
        <w:pStyle w:val="Textbody"/>
        <w:spacing w:lineRule="auto" w:line="240" w:before="0" w:after="0"/>
        <w:jc w:val="center"/>
        <w:rPr>
          <w:b/>
          <w:bCs/>
          <w:szCs w:val="22"/>
        </w:rPr>
      </w:pPr>
      <w:r>
        <w:rPr>
          <w:b/>
          <w:bCs/>
          <w:szCs w:val="22"/>
        </w:rPr>
        <w:t>DECLARAÇÃO</w:t>
      </w:r>
    </w:p>
    <w:p>
      <w:pPr>
        <w:pStyle w:val="Textbody"/>
        <w:spacing w:lineRule="auto" w:line="240" w:before="0" w:after="0"/>
        <w:jc w:val="center"/>
        <w:rPr>
          <w:szCs w:val="22"/>
        </w:rPr>
      </w:pPr>
      <w:r>
        <w:rPr>
          <w:szCs w:val="22"/>
        </w:rPr>
      </w:r>
    </w:p>
    <w:p>
      <w:pPr>
        <w:pStyle w:val="Textbody"/>
        <w:spacing w:lineRule="auto" w:line="240" w:before="0" w:after="0"/>
        <w:rPr>
          <w:szCs w:val="22"/>
        </w:rPr>
      </w:pPr>
      <w:r>
        <w:rPr>
          <w:szCs w:val="22"/>
        </w:rPr>
      </w:r>
    </w:p>
    <w:p>
      <w:pPr>
        <w:pStyle w:val="Textbody"/>
        <w:spacing w:lineRule="auto" w:line="240" w:before="0" w:after="0"/>
        <w:rPr>
          <w:szCs w:val="22"/>
        </w:rPr>
      </w:pPr>
      <w:r>
        <w:rPr>
          <w:szCs w:val="22"/>
        </w:rPr>
        <w:t>(nome/razão social) ____________________________________________________, inscrita no CNPJ nº___________________, por intermédio de seu representante legal o(a) Sr(a)__________________________________________, portador(a) da Carteira de Identidade nº___________________e CPF nº ____________________, DECLARA, sob as sanções administrativas cabíveis, inclusive as criminais e sob as penas da lei, que toda documentação anexada ao sistema é autêntica.</w:t>
      </w:r>
    </w:p>
    <w:p>
      <w:pPr>
        <w:pStyle w:val="Textbody"/>
        <w:spacing w:lineRule="auto" w:line="240" w:before="0" w:after="0"/>
        <w:rPr>
          <w:szCs w:val="22"/>
        </w:rPr>
      </w:pPr>
      <w:r>
        <w:rPr>
          <w:szCs w:val="22"/>
        </w:rPr>
      </w:r>
    </w:p>
    <w:p>
      <w:pPr>
        <w:pStyle w:val="Textbody"/>
        <w:spacing w:lineRule="auto" w:line="240" w:before="0" w:after="0"/>
        <w:rPr>
          <w:szCs w:val="22"/>
        </w:rPr>
      </w:pPr>
      <w:r>
        <w:rPr>
          <w:szCs w:val="22"/>
        </w:rPr>
        <w:t>Local e data</w:t>
      </w:r>
    </w:p>
    <w:p>
      <w:pPr>
        <w:pStyle w:val="Textbody"/>
        <w:spacing w:lineRule="auto" w:line="240" w:before="0" w:after="0"/>
        <w:rPr>
          <w:szCs w:val="22"/>
        </w:rPr>
      </w:pPr>
      <w:r>
        <w:rPr>
          <w:szCs w:val="22"/>
        </w:rPr>
      </w:r>
    </w:p>
    <w:p>
      <w:pPr>
        <w:pStyle w:val="Textbody"/>
        <w:spacing w:lineRule="auto" w:line="240" w:before="0" w:after="0"/>
        <w:rPr>
          <w:szCs w:val="22"/>
        </w:rPr>
      </w:pPr>
      <w:r>
        <w:rPr>
          <w:szCs w:val="22"/>
        </w:rPr>
      </w:r>
    </w:p>
    <w:p>
      <w:pPr>
        <w:pStyle w:val="Standard"/>
        <w:jc w:val="both"/>
        <w:rPr>
          <w:rFonts w:ascii="Arial" w:hAnsi="Arial"/>
          <w:sz w:val="22"/>
          <w:szCs w:val="22"/>
        </w:rPr>
      </w:pPr>
      <w:r>
        <w:rPr>
          <w:rFonts w:ascii="Arial" w:hAnsi="Arial"/>
          <w:sz w:val="22"/>
          <w:szCs w:val="22"/>
        </w:rPr>
        <w:t>Assinatura do representante legal</w:t>
      </w:r>
    </w:p>
    <w:p>
      <w:pPr>
        <w:pStyle w:val="Textbody"/>
        <w:tabs>
          <w:tab w:val="clear" w:pos="708"/>
          <w:tab w:val="left" w:pos="4458" w:leader="none"/>
        </w:tabs>
        <w:spacing w:lineRule="auto" w:line="240" w:before="0" w:after="0"/>
        <w:rPr>
          <w:rFonts w:eastAsia="Calibri, 'Century Gothic'" w:cs="Calibri, 'Century Gothic'"/>
          <w:szCs w:val="22"/>
        </w:rPr>
      </w:pPr>
      <w:r>
        <w:rPr>
          <w:rFonts w:eastAsia="Calibri, 'Century Gothic'" w:cs="Calibri, 'Century Gothic'"/>
          <w:szCs w:val="22"/>
        </w:rPr>
        <w:t>(Nome e cargo)</w:t>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rFonts w:ascii="Arial" w:hAnsi="Arial" w:eastAsia="Calibri, 'Century Gothic'" w:cs="Calibri, 'Century Gothic'"/>
          <w:sz w:val="22"/>
          <w:szCs w:val="22"/>
        </w:rPr>
      </w:pPr>
      <w:r>
        <w:rPr>
          <w:rFonts w:eastAsia="Calibri, 'Century Gothic'" w:cs="Calibri, 'Century Gothic'"/>
          <w:sz w:val="22"/>
          <w:szCs w:val="22"/>
        </w:rPr>
      </w:r>
    </w:p>
    <w:p>
      <w:pPr>
        <w:pStyle w:val="Standard"/>
        <w:tabs>
          <w:tab w:val="clear" w:pos="708"/>
          <w:tab w:val="left" w:pos="1339" w:leader="none"/>
        </w:tabs>
        <w:jc w:val="center"/>
        <w:rPr>
          <w:rFonts w:ascii="Arial" w:hAnsi="Arial" w:eastAsia="Calibri, 'Century Gothic'" w:cs="Calibri, 'Century Gothic'"/>
          <w:sz w:val="22"/>
          <w:szCs w:val="22"/>
        </w:rPr>
      </w:pPr>
      <w:r>
        <w:rPr>
          <w:rFonts w:eastAsia="Calibri, 'Century Gothic'" w:cs="Calibri, 'Century Gothic'" w:ascii="Arial" w:hAnsi="Arial"/>
          <w:sz w:val="22"/>
          <w:szCs w:val="22"/>
        </w:rPr>
      </w:r>
    </w:p>
    <w:p>
      <w:pPr>
        <w:pStyle w:val="Standard"/>
        <w:tabs>
          <w:tab w:val="clear" w:pos="708"/>
          <w:tab w:val="left" w:pos="1339" w:leader="none"/>
        </w:tabs>
        <w:jc w:val="center"/>
        <w:rPr>
          <w:rFonts w:ascii="Arial" w:hAnsi="Arial" w:eastAsia="Calibri, 'Century Gothic'" w:cs="Calibri, 'Century Gothic'"/>
          <w:sz w:val="22"/>
          <w:szCs w:val="22"/>
        </w:rPr>
      </w:pPr>
      <w:r>
        <w:rPr>
          <w:rFonts w:eastAsia="Calibri, 'Century Gothic'" w:cs="Calibri, 'Century Gothic'" w:ascii="Arial" w:hAnsi="Arial"/>
          <w:sz w:val="22"/>
          <w:szCs w:val="22"/>
        </w:rPr>
      </w:r>
    </w:p>
    <w:p>
      <w:pPr>
        <w:pStyle w:val="Standard"/>
        <w:tabs>
          <w:tab w:val="clear" w:pos="708"/>
          <w:tab w:val="left" w:pos="1339" w:leader="none"/>
        </w:tabs>
        <w:jc w:val="center"/>
        <w:rPr>
          <w:rFonts w:ascii="Arial" w:hAnsi="Arial" w:eastAsia="Calibri, 'Century Gothic'" w:cs="Calibri, 'Century Gothic'"/>
          <w:sz w:val="22"/>
          <w:szCs w:val="22"/>
        </w:rPr>
      </w:pPr>
      <w:r>
        <w:rPr>
          <w:rFonts w:eastAsia="Calibri, 'Century Gothic'" w:cs="Calibri, 'Century Gothic'" w:ascii="Arial" w:hAnsi="Arial"/>
          <w:sz w:val="22"/>
          <w:szCs w:val="22"/>
        </w:rPr>
      </w:r>
    </w:p>
    <w:p>
      <w:pPr>
        <w:pStyle w:val="Standard"/>
        <w:tabs>
          <w:tab w:val="clear" w:pos="708"/>
          <w:tab w:val="left" w:pos="1339" w:leader="none"/>
        </w:tabs>
        <w:jc w:val="center"/>
        <w:rPr>
          <w:rFonts w:ascii="Arial" w:hAnsi="Arial" w:eastAsia="Calibri, 'Century Gothic'" w:cs="Calibri, 'Century Gothic'"/>
          <w:sz w:val="22"/>
          <w:szCs w:val="22"/>
        </w:rPr>
      </w:pPr>
      <w:r>
        <w:rPr>
          <w:rFonts w:eastAsia="Calibri, 'Century Gothic'" w:cs="Calibri, 'Century Gothic'" w:ascii="Arial" w:hAnsi="Arial"/>
          <w:sz w:val="22"/>
          <w:szCs w:val="22"/>
        </w:rPr>
      </w:r>
    </w:p>
    <w:p>
      <w:pPr>
        <w:pStyle w:val="Standard"/>
        <w:tabs>
          <w:tab w:val="clear" w:pos="708"/>
          <w:tab w:val="left" w:pos="1339" w:leader="none"/>
        </w:tabs>
        <w:jc w:val="center"/>
        <w:rPr>
          <w:rFonts w:ascii="Arial" w:hAnsi="Arial" w:eastAsia="Calibri, 'Century Gothic'" w:cs="Calibri, 'Century Gothic'"/>
          <w:sz w:val="22"/>
          <w:szCs w:val="22"/>
        </w:rPr>
      </w:pPr>
      <w:r>
        <w:rPr>
          <w:rFonts w:eastAsia="Calibri, 'Century Gothic'" w:cs="Calibri, 'Century Gothic'" w:ascii="Arial" w:hAnsi="Arial"/>
          <w:sz w:val="22"/>
          <w:szCs w:val="22"/>
        </w:rPr>
      </w:r>
    </w:p>
    <w:p>
      <w:pPr>
        <w:pStyle w:val="Standard"/>
        <w:tabs>
          <w:tab w:val="clear" w:pos="708"/>
          <w:tab w:val="left" w:pos="1339" w:leader="none"/>
        </w:tabs>
        <w:jc w:val="center"/>
        <w:rPr>
          <w:rFonts w:ascii="Arial" w:hAnsi="Arial" w:eastAsia="Calibri, 'Century Gothic'" w:cs="Calibri, 'Century Gothic'"/>
          <w:sz w:val="22"/>
          <w:szCs w:val="22"/>
        </w:rPr>
      </w:pPr>
      <w:r>
        <w:rPr>
          <w:rFonts w:eastAsia="Calibri, 'Century Gothic'" w:cs="Calibri, 'Century Gothic'" w:ascii="Arial" w:hAnsi="Arial"/>
          <w:sz w:val="22"/>
          <w:szCs w:val="22"/>
        </w:rPr>
      </w:r>
    </w:p>
    <w:p>
      <w:pPr>
        <w:pStyle w:val="Standard"/>
        <w:tabs>
          <w:tab w:val="clear" w:pos="708"/>
          <w:tab w:val="left" w:pos="1339" w:leader="none"/>
        </w:tabs>
        <w:jc w:val="center"/>
        <w:rPr>
          <w:rFonts w:ascii="Arial" w:hAnsi="Arial" w:eastAsia="Calibri, 'Century Gothic'" w:cs="Calibri, 'Century Gothic'"/>
          <w:sz w:val="22"/>
          <w:szCs w:val="22"/>
        </w:rPr>
      </w:pPr>
      <w:r>
        <w:rPr>
          <w:rFonts w:eastAsia="Calibri, 'Century Gothic'" w:cs="Calibri, 'Century Gothic'" w:ascii="Arial" w:hAnsi="Arial"/>
          <w:sz w:val="22"/>
          <w:szCs w:val="22"/>
        </w:rPr>
      </w:r>
    </w:p>
    <w:p>
      <w:pPr>
        <w:pStyle w:val="Standard"/>
        <w:tabs>
          <w:tab w:val="clear" w:pos="708"/>
          <w:tab w:val="left" w:pos="1339" w:leader="none"/>
        </w:tabs>
        <w:jc w:val="center"/>
        <w:rPr>
          <w:rFonts w:ascii="Arial" w:hAnsi="Arial" w:eastAsia="Calibri, 'Century Gothic'" w:cs="Calibri, 'Century Gothic'"/>
          <w:sz w:val="22"/>
          <w:szCs w:val="22"/>
        </w:rPr>
      </w:pPr>
      <w:r>
        <w:rPr>
          <w:rFonts w:eastAsia="Calibri, 'Century Gothic'" w:cs="Calibri, 'Century Gothic'" w:ascii="Arial" w:hAnsi="Arial"/>
          <w:sz w:val="22"/>
          <w:szCs w:val="22"/>
        </w:rPr>
      </w:r>
    </w:p>
    <w:p>
      <w:pPr>
        <w:pStyle w:val="Standard"/>
        <w:tabs>
          <w:tab w:val="clear" w:pos="708"/>
          <w:tab w:val="left" w:pos="1339" w:leader="none"/>
        </w:tabs>
        <w:jc w:val="center"/>
        <w:rPr>
          <w:rFonts w:ascii="Arial" w:hAnsi="Arial" w:eastAsia="Calibri, 'Century Gothic'" w:cs="Calibri, 'Century Gothic'"/>
          <w:sz w:val="22"/>
          <w:szCs w:val="22"/>
        </w:rPr>
      </w:pPr>
      <w:r>
        <w:rPr>
          <w:rFonts w:eastAsia="Calibri, 'Century Gothic'" w:cs="Calibri, 'Century Gothic'" w:ascii="Arial" w:hAnsi="Arial"/>
          <w:sz w:val="22"/>
          <w:szCs w:val="22"/>
        </w:rPr>
      </w:r>
    </w:p>
    <w:p>
      <w:pPr>
        <w:pStyle w:val="Standard"/>
        <w:tabs>
          <w:tab w:val="clear" w:pos="708"/>
          <w:tab w:val="left" w:pos="1339" w:leader="none"/>
        </w:tabs>
        <w:jc w:val="center"/>
        <w:rPr>
          <w:rFonts w:ascii="Arial" w:hAnsi="Arial" w:eastAsia="Calibri, 'Century Gothic'" w:cs="Calibri, 'Century Gothic'"/>
          <w:sz w:val="22"/>
          <w:szCs w:val="22"/>
        </w:rPr>
      </w:pPr>
      <w:r>
        <w:rPr>
          <w:rFonts w:eastAsia="Calibri, 'Century Gothic'" w:cs="Calibri, 'Century Gothic'" w:ascii="Arial" w:hAnsi="Arial"/>
          <w:sz w:val="22"/>
          <w:szCs w:val="22"/>
        </w:rPr>
      </w:r>
    </w:p>
    <w:p>
      <w:pPr>
        <w:pStyle w:val="Standard"/>
        <w:tabs>
          <w:tab w:val="clear" w:pos="708"/>
          <w:tab w:val="left" w:pos="1339" w:leader="none"/>
        </w:tabs>
        <w:jc w:val="center"/>
        <w:rPr>
          <w:rFonts w:ascii="Arial" w:hAnsi="Arial" w:eastAsia="Calibri, 'Century Gothic'" w:cs="Calibri, 'Century Gothic'"/>
          <w:sz w:val="22"/>
          <w:szCs w:val="22"/>
        </w:rPr>
      </w:pPr>
      <w:r>
        <w:rPr>
          <w:rFonts w:eastAsia="Calibri, 'Century Gothic'" w:cs="Calibri, 'Century Gothic'" w:ascii="Arial" w:hAnsi="Arial"/>
          <w:sz w:val="22"/>
          <w:szCs w:val="22"/>
        </w:rPr>
      </w:r>
    </w:p>
    <w:p>
      <w:pPr>
        <w:pStyle w:val="Standard"/>
        <w:tabs>
          <w:tab w:val="clear" w:pos="708"/>
          <w:tab w:val="left" w:pos="1339" w:leader="none"/>
        </w:tabs>
        <w:jc w:val="center"/>
        <w:rPr>
          <w:rFonts w:ascii="Arial" w:hAnsi="Arial" w:eastAsia="Calibri, 'Century Gothic'" w:cs="Calibri, 'Century Gothic'"/>
          <w:sz w:val="22"/>
          <w:szCs w:val="22"/>
        </w:rPr>
      </w:pPr>
      <w:r>
        <w:rPr>
          <w:rFonts w:eastAsia="Calibri, 'Century Gothic'" w:cs="Calibri, 'Century Gothic'" w:ascii="Arial" w:hAnsi="Arial"/>
          <w:sz w:val="22"/>
          <w:szCs w:val="22"/>
        </w:rPr>
      </w:r>
    </w:p>
    <w:p>
      <w:pPr>
        <w:pStyle w:val="Standard"/>
        <w:tabs>
          <w:tab w:val="clear" w:pos="708"/>
          <w:tab w:val="left" w:pos="1339" w:leader="none"/>
        </w:tabs>
        <w:jc w:val="both"/>
        <w:rPr>
          <w:rFonts w:ascii="Arial" w:hAnsi="Arial" w:eastAsia="Calibri, 'Century Gothic'" w:cs="Calibri, 'Century Gothic'"/>
          <w:sz w:val="22"/>
          <w:szCs w:val="22"/>
        </w:rPr>
      </w:pPr>
      <w:r>
        <w:rPr>
          <w:rFonts w:eastAsia="Calibri, 'Century Gothic'" w:cs="Calibri, 'Century Gothic'" w:ascii="Arial" w:hAnsi="Arial"/>
          <w:sz w:val="22"/>
          <w:szCs w:val="22"/>
        </w:rPr>
      </w:r>
    </w:p>
    <w:p>
      <w:pPr>
        <w:pStyle w:val="Standard"/>
        <w:tabs>
          <w:tab w:val="clear" w:pos="708"/>
          <w:tab w:val="left" w:pos="1339" w:leader="none"/>
        </w:tabs>
        <w:jc w:val="both"/>
        <w:rPr>
          <w:rFonts w:ascii="Arial" w:hAnsi="Arial" w:eastAsia="Calibri, 'Century Gothic'" w:cs="Calibri, 'Century Gothic'"/>
          <w:b/>
          <w:sz w:val="22"/>
          <w:szCs w:val="22"/>
        </w:rPr>
      </w:pPr>
      <w:r>
        <w:rPr>
          <w:rFonts w:eastAsia="Calibri, 'Century Gothic'" w:cs="Calibri, 'Century Gothic'" w:ascii="Arial" w:hAnsi="Arial"/>
          <w:b/>
          <w:sz w:val="22"/>
          <w:szCs w:val="22"/>
        </w:rPr>
        <w:t>ANEXO VII</w:t>
      </w:r>
      <w:r>
        <w:rPr>
          <w:rFonts w:eastAsia="Calibri, 'Century Gothic'" w:cs="Calibri, 'Century Gothic'" w:ascii="Arial" w:hAnsi="Arial"/>
          <w:b/>
          <w:sz w:val="22"/>
          <w:szCs w:val="22"/>
          <w:lang w:val="pt-BR"/>
        </w:rPr>
        <w:t>I</w:t>
      </w:r>
      <w:r>
        <w:rPr>
          <w:rFonts w:eastAsia="Calibri, 'Century Gothic'" w:cs="Calibri, 'Century Gothic'" w:ascii="Arial" w:hAnsi="Arial"/>
          <w:b/>
          <w:sz w:val="22"/>
          <w:szCs w:val="22"/>
        </w:rPr>
        <w:t xml:space="preserve"> – MODELO DE DECLARAÇÃO – EMPREGADOR PESSOA JURÍDICA</w:t>
      </w:r>
    </w:p>
    <w:p>
      <w:pPr>
        <w:pStyle w:val="Textbody"/>
        <w:tabs>
          <w:tab w:val="clear" w:pos="708"/>
          <w:tab w:val="left" w:pos="1339" w:leader="none"/>
        </w:tabs>
        <w:spacing w:lineRule="auto" w:line="240" w:before="0" w:after="0"/>
        <w:jc w:val="center"/>
        <w:rPr>
          <w:b/>
          <w:szCs w:val="22"/>
        </w:rPr>
      </w:pPr>
      <w:r>
        <w:rPr>
          <w:szCs w:val="22"/>
        </w:rPr>
        <w:t>(PAPEL TIMBRADO DO PROPONENTE)</w:t>
      </w:r>
    </w:p>
    <w:p>
      <w:pPr>
        <w:pStyle w:val="Textbody"/>
        <w:tabs>
          <w:tab w:val="clear" w:pos="708"/>
          <w:tab w:val="left" w:pos="1339" w:leader="none"/>
        </w:tabs>
        <w:spacing w:lineRule="auto" w:line="240" w:before="0" w:after="0"/>
        <w:rPr>
          <w:b/>
          <w:szCs w:val="22"/>
        </w:rPr>
      </w:pPr>
      <w:r>
        <w:rPr>
          <w:b/>
          <w:szCs w:val="22"/>
        </w:rPr>
      </w:r>
    </w:p>
    <w:p>
      <w:pPr>
        <w:pStyle w:val="Textbody"/>
        <w:tabs>
          <w:tab w:val="clear" w:pos="708"/>
          <w:tab w:val="left" w:pos="1339" w:leader="none"/>
        </w:tabs>
        <w:spacing w:lineRule="auto" w:line="240" w:before="0" w:after="0"/>
        <w:rPr>
          <w:szCs w:val="22"/>
        </w:rPr>
      </w:pPr>
      <w:r>
        <w:rPr>
          <w:szCs w:val="22"/>
        </w:rPr>
      </w:r>
    </w:p>
    <w:p>
      <w:pPr>
        <w:pStyle w:val="Textbody"/>
        <w:tabs>
          <w:tab w:val="clear" w:pos="708"/>
          <w:tab w:val="left" w:pos="1339" w:leader="none"/>
        </w:tabs>
        <w:spacing w:lineRule="auto" w:line="240" w:before="0" w:after="0"/>
        <w:rPr>
          <w:color w:val="000000"/>
        </w:rPr>
      </w:pPr>
      <w:r>
        <w:rPr>
          <w:b/>
          <w:color w:val="000000"/>
          <w:szCs w:val="22"/>
        </w:rPr>
        <w:t>CONCORRÊNCIA ELETRÔNICA Nº 2026001</w:t>
      </w:r>
      <w:r>
        <w:rPr>
          <w:b/>
          <w:color w:val="000000"/>
          <w:szCs w:val="22"/>
        </w:rPr>
        <w:t>5</w:t>
      </w:r>
      <w:r>
        <w:rPr>
          <w:b/>
          <w:color w:val="000000"/>
          <w:szCs w:val="22"/>
        </w:rPr>
        <w:t>/CIDADES/COREV</w:t>
      </w:r>
    </w:p>
    <w:p>
      <w:pPr>
        <w:pStyle w:val="Textbody"/>
        <w:tabs>
          <w:tab w:val="clear" w:pos="708"/>
          <w:tab w:val="left" w:pos="1339" w:leader="none"/>
        </w:tabs>
        <w:spacing w:lineRule="auto" w:line="240" w:before="0" w:after="0"/>
        <w:rPr>
          <w:color w:val="000000"/>
        </w:rPr>
      </w:pPr>
      <w:r>
        <w:rPr>
          <w:rFonts w:eastAsia="Calibri, 'Century Gothic'" w:cs="Calibri, 'Century Gothic'"/>
          <w:b/>
          <w:bCs/>
          <w:i w:val="false"/>
          <w:iCs w:val="false"/>
          <w:caps w:val="false"/>
          <w:smallCaps w:val="false"/>
          <w:color w:val="000000"/>
          <w:spacing w:val="0"/>
          <w:sz w:val="22"/>
          <w:szCs w:val="22"/>
          <w:shd w:fill="FFFFFF" w:val="clear"/>
          <w:lang w:eastAsia="pt-BR"/>
        </w:rPr>
        <w:t xml:space="preserve">PROCESSO Nº </w:t>
      </w:r>
      <w:r>
        <w:rPr>
          <w:rFonts w:eastAsia="Times New Roman" w:cs="Arial"/>
          <w:b/>
          <w:bCs/>
          <w:i w:val="false"/>
          <w:iCs w:val="false"/>
          <w:caps w:val="false"/>
          <w:smallCaps w:val="false"/>
          <w:color w:val="000000"/>
          <w:spacing w:val="0"/>
          <w:kern w:val="0"/>
          <w:sz w:val="22"/>
          <w:szCs w:val="22"/>
          <w:shd w:fill="FFFFFF" w:val="clear"/>
          <w:lang w:val="pt-BR" w:eastAsia="pt-BR" w:bidi="ar-SA"/>
        </w:rPr>
        <w:t>43001.006594/2026-11</w:t>
      </w:r>
    </w:p>
    <w:p>
      <w:pPr>
        <w:pStyle w:val="Standard"/>
        <w:tabs>
          <w:tab w:val="clear" w:pos="708"/>
          <w:tab w:val="left" w:pos="1339" w:leader="none"/>
        </w:tabs>
        <w:jc w:val="both"/>
        <w:rPr>
          <w:rFonts w:ascii="Arial" w:hAnsi="Arial" w:eastAsia="Calibri, 'Century Gothic'" w:cs="Calibri, 'Century Gothic'"/>
          <w:sz w:val="22"/>
          <w:szCs w:val="22"/>
        </w:rPr>
      </w:pPr>
      <w:r>
        <w:rPr>
          <w:rFonts w:eastAsia="Calibri, 'Century Gothic'" w:cs="Calibri, 'Century Gothic'" w:ascii="Arial" w:hAnsi="Arial"/>
          <w:sz w:val="22"/>
          <w:szCs w:val="22"/>
        </w:rPr>
      </w:r>
    </w:p>
    <w:p>
      <w:pPr>
        <w:pStyle w:val="Standard"/>
        <w:tabs>
          <w:tab w:val="clear" w:pos="708"/>
          <w:tab w:val="left" w:pos="1339" w:leader="none"/>
        </w:tabs>
        <w:jc w:val="both"/>
        <w:rPr>
          <w:rFonts w:ascii="Arial" w:hAnsi="Arial" w:eastAsia="Calibri, 'Century Gothic'" w:cs="Calibri, 'Century Gothic'"/>
          <w:sz w:val="22"/>
          <w:szCs w:val="22"/>
        </w:rPr>
      </w:pPr>
      <w:r>
        <w:rPr>
          <w:rFonts w:eastAsia="Calibri, 'Century Gothic'" w:cs="Calibri, 'Century Gothic'" w:ascii="Arial" w:hAnsi="Arial"/>
          <w:sz w:val="22"/>
          <w:szCs w:val="22"/>
        </w:rPr>
      </w:r>
    </w:p>
    <w:p>
      <w:pPr>
        <w:pStyle w:val="Standard"/>
        <w:tabs>
          <w:tab w:val="clear" w:pos="708"/>
          <w:tab w:val="left" w:pos="1339" w:leader="none"/>
        </w:tabs>
        <w:jc w:val="both"/>
        <w:rPr>
          <w:rFonts w:ascii="Arial" w:hAnsi="Arial" w:eastAsia="Calibri, 'Century Gothic'" w:cs="Calibri, 'Century Gothic'"/>
          <w:sz w:val="22"/>
          <w:szCs w:val="22"/>
        </w:rPr>
      </w:pPr>
      <w:r>
        <w:rPr>
          <w:rFonts w:eastAsia="Calibri, 'Century Gothic'" w:cs="Calibri, 'Century Gothic'" w:ascii="Arial" w:hAnsi="Arial"/>
          <w:sz w:val="22"/>
          <w:szCs w:val="22"/>
        </w:rPr>
        <w:t>À Comissão de Contratação XXX</w:t>
      </w:r>
    </w:p>
    <w:p>
      <w:pPr>
        <w:pStyle w:val="Standard"/>
        <w:tabs>
          <w:tab w:val="clear" w:pos="708"/>
          <w:tab w:val="left" w:pos="1339" w:leader="none"/>
        </w:tabs>
        <w:jc w:val="both"/>
        <w:rPr>
          <w:rFonts w:ascii="Arial" w:hAnsi="Arial" w:eastAsia="Calibri, 'Century Gothic'" w:cs="Calibri, 'Century Gothic'"/>
          <w:sz w:val="22"/>
          <w:szCs w:val="22"/>
        </w:rPr>
      </w:pPr>
      <w:r>
        <w:rPr>
          <w:rFonts w:eastAsia="Calibri, 'Century Gothic'" w:cs="Calibri, 'Century Gothic'" w:ascii="Arial" w:hAnsi="Arial"/>
          <w:sz w:val="22"/>
          <w:szCs w:val="22"/>
        </w:rPr>
      </w:r>
    </w:p>
    <w:p>
      <w:pPr>
        <w:pStyle w:val="Standard"/>
        <w:tabs>
          <w:tab w:val="clear" w:pos="708"/>
          <w:tab w:val="left" w:pos="1339" w:leader="none"/>
        </w:tabs>
        <w:jc w:val="both"/>
        <w:rPr>
          <w:rFonts w:ascii="Arial" w:hAnsi="Arial" w:eastAsia="Calibri, 'Century Gothic'" w:cs="Calibri, 'Century Gothic'"/>
          <w:sz w:val="22"/>
          <w:szCs w:val="22"/>
        </w:rPr>
      </w:pPr>
      <w:r>
        <w:rPr>
          <w:rFonts w:eastAsia="Calibri, 'Century Gothic'" w:cs="Calibri, 'Century Gothic'" w:ascii="Arial" w:hAnsi="Arial"/>
          <w:sz w:val="22"/>
          <w:szCs w:val="22"/>
        </w:rPr>
        <w:t>Av. Dr. José Martins Rodrigues nº 150</w:t>
      </w:r>
    </w:p>
    <w:p>
      <w:pPr>
        <w:pStyle w:val="Standard"/>
        <w:tabs>
          <w:tab w:val="clear" w:pos="708"/>
          <w:tab w:val="left" w:pos="1339" w:leader="none"/>
        </w:tabs>
        <w:jc w:val="both"/>
        <w:rPr>
          <w:rFonts w:ascii="Arial" w:hAnsi="Arial" w:eastAsia="Calibri, 'Century Gothic'" w:cs="Calibri, 'Century Gothic'"/>
          <w:sz w:val="22"/>
          <w:szCs w:val="22"/>
        </w:rPr>
      </w:pPr>
      <w:r>
        <w:rPr>
          <w:rFonts w:eastAsia="Calibri, 'Century Gothic'" w:cs="Calibri, 'Century Gothic'" w:ascii="Arial" w:hAnsi="Arial"/>
          <w:sz w:val="22"/>
          <w:szCs w:val="22"/>
        </w:rPr>
        <w:t>Centro Administrativo Bárbara de Alencar – Edson Queiroz Fortaleza - Ceará - Brasil</w:t>
      </w:r>
    </w:p>
    <w:p>
      <w:pPr>
        <w:pStyle w:val="Standard"/>
        <w:tabs>
          <w:tab w:val="clear" w:pos="708"/>
          <w:tab w:val="left" w:pos="1339" w:leader="none"/>
        </w:tabs>
        <w:jc w:val="both"/>
        <w:rPr>
          <w:rFonts w:ascii="Arial" w:hAnsi="Arial" w:eastAsia="Calibri, 'Century Gothic'" w:cs="Calibri, 'Century Gothic'"/>
          <w:sz w:val="22"/>
          <w:szCs w:val="22"/>
        </w:rPr>
      </w:pPr>
      <w:r>
        <w:rPr>
          <w:rFonts w:eastAsia="Calibri, 'Century Gothic'" w:cs="Calibri, 'Century Gothic'" w:ascii="Arial" w:hAnsi="Arial"/>
          <w:sz w:val="22"/>
          <w:szCs w:val="22"/>
        </w:rPr>
      </w:r>
    </w:p>
    <w:p>
      <w:pPr>
        <w:pStyle w:val="Textbody"/>
        <w:tabs>
          <w:tab w:val="clear" w:pos="708"/>
          <w:tab w:val="left" w:pos="1339" w:leader="none"/>
        </w:tabs>
        <w:spacing w:lineRule="auto" w:line="240" w:before="0" w:after="0"/>
        <w:rPr>
          <w:color w:val="000000"/>
        </w:rPr>
      </w:pPr>
      <w:r>
        <w:rPr>
          <w:rFonts w:eastAsia="Calibri, 'Century Gothic'" w:cs="Calibri, 'Century Gothic'"/>
          <w:color w:val="000000"/>
          <w:szCs w:val="22"/>
        </w:rPr>
        <w:t xml:space="preserve">Ref.: </w:t>
      </w:r>
      <w:r>
        <w:rPr>
          <w:b/>
          <w:color w:val="000000"/>
          <w:szCs w:val="22"/>
        </w:rPr>
        <w:t>CONCORRÊNCIA ELETRÔNICA Nº 2026001</w:t>
      </w:r>
      <w:r>
        <w:rPr>
          <w:b/>
          <w:color w:val="000000"/>
          <w:szCs w:val="22"/>
        </w:rPr>
        <w:t>5</w:t>
      </w:r>
      <w:r>
        <w:rPr>
          <w:b/>
          <w:color w:val="000000"/>
          <w:szCs w:val="22"/>
        </w:rPr>
        <w:t>/CIDADES/COREV</w:t>
      </w:r>
    </w:p>
    <w:p>
      <w:pPr>
        <w:pStyle w:val="Standard"/>
        <w:tabs>
          <w:tab w:val="clear" w:pos="708"/>
          <w:tab w:val="left" w:pos="1339" w:leader="none"/>
        </w:tabs>
        <w:jc w:val="both"/>
        <w:rPr>
          <w:rFonts w:ascii="Arial" w:hAnsi="Arial" w:eastAsia="Calibri, 'Century Gothic'" w:cs="Calibri, 'Century Gothic'"/>
          <w:sz w:val="22"/>
          <w:szCs w:val="22"/>
        </w:rPr>
      </w:pPr>
      <w:r>
        <w:rPr>
          <w:rFonts w:eastAsia="Calibri, 'Century Gothic'" w:cs="Calibri, 'Century Gothic'" w:ascii="Arial" w:hAnsi="Arial"/>
          <w:sz w:val="22"/>
          <w:szCs w:val="22"/>
        </w:rPr>
      </w:r>
    </w:p>
    <w:p>
      <w:pPr>
        <w:pStyle w:val="Standard"/>
        <w:tabs>
          <w:tab w:val="clear" w:pos="708"/>
          <w:tab w:val="left" w:pos="1339" w:leader="none"/>
        </w:tabs>
        <w:jc w:val="both"/>
        <w:rPr>
          <w:rFonts w:ascii="Arial" w:hAnsi="Arial" w:eastAsia="Calibri, 'Century Gothic'" w:cs="Calibri, 'Century Gothic'"/>
          <w:sz w:val="22"/>
          <w:szCs w:val="22"/>
        </w:rPr>
      </w:pPr>
      <w:r>
        <w:rPr>
          <w:rFonts w:eastAsia="Calibri, 'Century Gothic'" w:cs="Calibri, 'Century Gothic'" w:ascii="Arial" w:hAnsi="Arial"/>
          <w:sz w:val="22"/>
          <w:szCs w:val="22"/>
        </w:rPr>
      </w:r>
    </w:p>
    <w:p>
      <w:pPr>
        <w:pStyle w:val="Standard"/>
        <w:tabs>
          <w:tab w:val="clear" w:pos="708"/>
          <w:tab w:val="left" w:pos="1339" w:leader="none"/>
        </w:tabs>
        <w:jc w:val="both"/>
        <w:rPr>
          <w:rFonts w:ascii="Arial" w:hAnsi="Arial" w:eastAsia="Calibri, 'Century Gothic'" w:cs="Calibri, 'Century Gothic'"/>
          <w:sz w:val="22"/>
          <w:szCs w:val="22"/>
        </w:rPr>
      </w:pPr>
      <w:r>
        <w:rPr>
          <w:rFonts w:eastAsia="Calibri, 'Century Gothic'" w:cs="Calibri, 'Century Gothic'" w:ascii="Arial" w:hAnsi="Arial"/>
          <w:sz w:val="22"/>
          <w:szCs w:val="22"/>
        </w:rPr>
        <w:t>DECLARAÇÃO</w:t>
      </w:r>
    </w:p>
    <w:p>
      <w:pPr>
        <w:pStyle w:val="Standard"/>
        <w:tabs>
          <w:tab w:val="clear" w:pos="708"/>
          <w:tab w:val="left" w:pos="1339" w:leader="none"/>
        </w:tabs>
        <w:jc w:val="both"/>
        <w:rPr>
          <w:rFonts w:ascii="Arial" w:hAnsi="Arial" w:eastAsia="Calibri, 'Century Gothic'" w:cs="Calibri, 'Century Gothic'"/>
          <w:sz w:val="22"/>
          <w:szCs w:val="22"/>
        </w:rPr>
      </w:pPr>
      <w:r>
        <w:rPr>
          <w:rFonts w:eastAsia="Calibri, 'Century Gothic'" w:cs="Calibri, 'Century Gothic'" w:ascii="Arial" w:hAnsi="Arial"/>
          <w:sz w:val="22"/>
          <w:szCs w:val="22"/>
        </w:rPr>
      </w:r>
    </w:p>
    <w:p>
      <w:pPr>
        <w:pStyle w:val="Standard"/>
        <w:tabs>
          <w:tab w:val="clear" w:pos="708"/>
          <w:tab w:val="left" w:pos="1339" w:leader="none"/>
        </w:tabs>
        <w:jc w:val="both"/>
        <w:rPr>
          <w:rFonts w:ascii="Arial" w:hAnsi="Arial" w:eastAsia="Calibri, 'Century Gothic'" w:cs="Calibri, 'Century Gothic'"/>
          <w:sz w:val="22"/>
          <w:szCs w:val="22"/>
        </w:rPr>
      </w:pPr>
      <w:r>
        <w:rPr>
          <w:rFonts w:eastAsia="Calibri, 'Century Gothic'" w:cs="Calibri, 'Century Gothic'" w:ascii="Arial" w:hAnsi="Arial"/>
          <w:sz w:val="22"/>
          <w:szCs w:val="22"/>
        </w:rPr>
        <w:t>(Identificação do licitante), inscrita no CNPJ nº ..................., por intermédio de seu representante legal o(a) Sr(a) ..................., portador (a) da Carteira de Identidade nº ................ e do CPF nº ................... DECLARA, que não possui em seu quadro de pessoal empregados menores de 18 (dezoito) anos em trabalho noturno, perigoso ou insalubre, e menores de 16 (dezesseis) anos em qualquer trabalho, salvo na condição de aprendizes, a partir de 14 (quatorze) anos, nos termos do inciso XXXIII do art. 7º da Constituição Federal (Emenda Constitucional nº 20, de 15 de dezembro de 1998);</w:t>
      </w:r>
    </w:p>
    <w:p>
      <w:pPr>
        <w:pStyle w:val="Standard"/>
        <w:tabs>
          <w:tab w:val="clear" w:pos="708"/>
          <w:tab w:val="left" w:pos="1339" w:leader="none"/>
        </w:tabs>
        <w:jc w:val="both"/>
        <w:rPr>
          <w:rFonts w:ascii="Arial" w:hAnsi="Arial" w:eastAsia="Calibri, 'Century Gothic'" w:cs="Calibri, 'Century Gothic'"/>
          <w:sz w:val="22"/>
          <w:szCs w:val="22"/>
        </w:rPr>
      </w:pPr>
      <w:r>
        <w:rPr>
          <w:rFonts w:eastAsia="Calibri, 'Century Gothic'" w:cs="Calibri, 'Century Gothic'" w:ascii="Arial" w:hAnsi="Arial"/>
          <w:sz w:val="22"/>
          <w:szCs w:val="22"/>
        </w:rPr>
      </w:r>
    </w:p>
    <w:p>
      <w:pPr>
        <w:pStyle w:val="Standard"/>
        <w:tabs>
          <w:tab w:val="clear" w:pos="708"/>
          <w:tab w:val="left" w:pos="1339" w:leader="none"/>
        </w:tabs>
        <w:jc w:val="both"/>
        <w:rPr>
          <w:rFonts w:ascii="Arial" w:hAnsi="Arial" w:eastAsia="Calibri, 'Century Gothic'" w:cs="Calibri, 'Century Gothic'"/>
          <w:sz w:val="22"/>
          <w:szCs w:val="22"/>
        </w:rPr>
      </w:pPr>
      <w:r>
        <w:rPr>
          <w:rFonts w:eastAsia="Calibri, 'Century Gothic'" w:cs="Calibri, 'Century Gothic'" w:ascii="Arial" w:hAnsi="Arial"/>
          <w:sz w:val="22"/>
          <w:szCs w:val="22"/>
        </w:rPr>
        <w:t>.......................................................…</w:t>
      </w:r>
    </w:p>
    <w:p>
      <w:pPr>
        <w:pStyle w:val="Standard"/>
        <w:tabs>
          <w:tab w:val="clear" w:pos="708"/>
          <w:tab w:val="left" w:pos="1339" w:leader="none"/>
        </w:tabs>
        <w:jc w:val="both"/>
        <w:rPr>
          <w:rFonts w:ascii="Arial" w:hAnsi="Arial" w:eastAsia="Calibri, 'Century Gothic'" w:cs="Calibri, 'Century Gothic'"/>
          <w:sz w:val="22"/>
          <w:szCs w:val="22"/>
        </w:rPr>
      </w:pPr>
      <w:r>
        <w:rPr>
          <w:rFonts w:eastAsia="Calibri, 'Century Gothic'" w:cs="Calibri, 'Century Gothic'" w:ascii="Arial" w:hAnsi="Arial"/>
          <w:sz w:val="22"/>
          <w:szCs w:val="22"/>
        </w:rPr>
        <w:t>(DATA)</w:t>
      </w:r>
    </w:p>
    <w:p>
      <w:pPr>
        <w:pStyle w:val="Standard"/>
        <w:tabs>
          <w:tab w:val="clear" w:pos="708"/>
          <w:tab w:val="left" w:pos="1339" w:leader="none"/>
        </w:tabs>
        <w:jc w:val="both"/>
        <w:rPr>
          <w:rFonts w:ascii="Arial" w:hAnsi="Arial" w:eastAsia="Calibri, 'Century Gothic'" w:cs="Calibri, 'Century Gothic'"/>
          <w:sz w:val="22"/>
          <w:szCs w:val="22"/>
        </w:rPr>
      </w:pPr>
      <w:r>
        <w:rPr>
          <w:rFonts w:eastAsia="Calibri, 'Century Gothic'" w:cs="Calibri, 'Century Gothic'" w:ascii="Arial" w:hAnsi="Arial"/>
          <w:sz w:val="22"/>
          <w:szCs w:val="22"/>
        </w:rPr>
      </w:r>
    </w:p>
    <w:p>
      <w:pPr>
        <w:pStyle w:val="Standard"/>
        <w:tabs>
          <w:tab w:val="clear" w:pos="708"/>
          <w:tab w:val="left" w:pos="1339" w:leader="none"/>
        </w:tabs>
        <w:jc w:val="both"/>
        <w:rPr>
          <w:rFonts w:ascii="Arial" w:hAnsi="Arial" w:eastAsia="Calibri, 'Century Gothic'" w:cs="Calibri, 'Century Gothic'"/>
          <w:sz w:val="22"/>
          <w:szCs w:val="22"/>
        </w:rPr>
      </w:pPr>
      <w:r>
        <w:rPr>
          <w:rFonts w:eastAsia="Calibri, 'Century Gothic'" w:cs="Calibri, 'Century Gothic'" w:ascii="Arial" w:hAnsi="Arial"/>
          <w:sz w:val="22"/>
          <w:szCs w:val="22"/>
        </w:rPr>
      </w:r>
    </w:p>
    <w:p>
      <w:pPr>
        <w:pStyle w:val="Standard"/>
        <w:tabs>
          <w:tab w:val="clear" w:pos="708"/>
          <w:tab w:val="left" w:pos="1339" w:leader="none"/>
        </w:tabs>
        <w:jc w:val="both"/>
        <w:rPr>
          <w:rFonts w:ascii="Arial" w:hAnsi="Arial" w:eastAsia="Calibri, 'Century Gothic'" w:cs="Calibri, 'Century Gothic'"/>
          <w:sz w:val="22"/>
          <w:szCs w:val="22"/>
        </w:rPr>
      </w:pPr>
      <w:r>
        <w:rPr>
          <w:rFonts w:eastAsia="Calibri, 'Century Gothic'" w:cs="Calibri, 'Century Gothic'" w:ascii="Arial" w:hAnsi="Arial"/>
          <w:sz w:val="22"/>
          <w:szCs w:val="22"/>
        </w:rPr>
      </w:r>
    </w:p>
    <w:p>
      <w:pPr>
        <w:pStyle w:val="Standard"/>
        <w:tabs>
          <w:tab w:val="clear" w:pos="708"/>
          <w:tab w:val="left" w:pos="1339" w:leader="none"/>
        </w:tabs>
        <w:jc w:val="both"/>
        <w:rPr>
          <w:rFonts w:ascii="Arial" w:hAnsi="Arial" w:eastAsia="Calibri, 'Century Gothic'" w:cs="Calibri, 'Century Gothic'"/>
          <w:sz w:val="22"/>
          <w:szCs w:val="22"/>
        </w:rPr>
      </w:pPr>
      <w:r>
        <w:rPr>
          <w:rFonts w:eastAsia="Calibri, 'Century Gothic'" w:cs="Calibri, 'Century Gothic'" w:ascii="Arial" w:hAnsi="Arial"/>
          <w:sz w:val="22"/>
          <w:szCs w:val="22"/>
        </w:rPr>
        <w:t>..........................................................</w:t>
      </w:r>
    </w:p>
    <w:p>
      <w:pPr>
        <w:pStyle w:val="Standard"/>
        <w:tabs>
          <w:tab w:val="clear" w:pos="708"/>
          <w:tab w:val="left" w:pos="1339" w:leader="none"/>
        </w:tabs>
        <w:jc w:val="both"/>
        <w:rPr>
          <w:rFonts w:ascii="Arial" w:hAnsi="Arial" w:eastAsia="Calibri, 'Century Gothic'" w:cs="Calibri, 'Century Gothic'"/>
          <w:sz w:val="22"/>
          <w:szCs w:val="22"/>
        </w:rPr>
      </w:pPr>
      <w:r>
        <w:rPr>
          <w:rFonts w:eastAsia="Calibri, 'Century Gothic'" w:cs="Calibri, 'Century Gothic'" w:ascii="Arial" w:hAnsi="Arial"/>
          <w:sz w:val="22"/>
          <w:szCs w:val="22"/>
        </w:rPr>
        <w:t>(NOME)</w:t>
      </w:r>
    </w:p>
    <w:p>
      <w:pPr>
        <w:pStyle w:val="Standard"/>
        <w:tabs>
          <w:tab w:val="clear" w:pos="708"/>
          <w:tab w:val="left" w:pos="1339" w:leader="none"/>
        </w:tabs>
        <w:jc w:val="both"/>
        <w:rPr>
          <w:rFonts w:ascii="Arial" w:hAnsi="Arial" w:eastAsia="Calibri, 'Century Gothic'" w:cs="Calibri, 'Century Gothic'"/>
          <w:sz w:val="22"/>
          <w:szCs w:val="22"/>
        </w:rPr>
      </w:pPr>
      <w:r>
        <w:rPr>
          <w:rFonts w:eastAsia="Calibri, 'Century Gothic'" w:cs="Calibri, 'Century Gothic'" w:ascii="Arial" w:hAnsi="Arial"/>
          <w:sz w:val="22"/>
          <w:szCs w:val="22"/>
        </w:rPr>
      </w:r>
    </w:p>
    <w:p>
      <w:pPr>
        <w:pStyle w:val="Standard"/>
        <w:tabs>
          <w:tab w:val="clear" w:pos="708"/>
          <w:tab w:val="left" w:pos="1339" w:leader="none"/>
        </w:tabs>
        <w:jc w:val="both"/>
        <w:rPr>
          <w:rFonts w:ascii="Arial" w:hAnsi="Arial" w:eastAsia="Calibri, 'Century Gothic'" w:cs="Calibri, 'Century Gothic'"/>
          <w:sz w:val="22"/>
          <w:szCs w:val="22"/>
        </w:rPr>
      </w:pPr>
      <w:r>
        <w:rPr>
          <w:rFonts w:eastAsia="Calibri, 'Century Gothic'" w:cs="Calibri, 'Century Gothic'" w:ascii="Arial" w:hAnsi="Arial"/>
          <w:sz w:val="22"/>
          <w:szCs w:val="22"/>
        </w:rPr>
      </w:r>
    </w:p>
    <w:p>
      <w:pPr>
        <w:pStyle w:val="Standard"/>
        <w:tabs>
          <w:tab w:val="clear" w:pos="708"/>
          <w:tab w:val="left" w:pos="1339" w:leader="none"/>
        </w:tabs>
        <w:jc w:val="both"/>
        <w:rPr>
          <w:rFonts w:ascii="Arial" w:hAnsi="Arial" w:eastAsia="Calibri, 'Century Gothic'" w:cs="Calibri, 'Century Gothic'"/>
          <w:sz w:val="22"/>
          <w:szCs w:val="22"/>
        </w:rPr>
      </w:pPr>
      <w:r>
        <w:rPr>
          <w:rFonts w:eastAsia="Calibri, 'Century Gothic'" w:cs="Calibri, 'Century Gothic'" w:ascii="Arial" w:hAnsi="Arial"/>
          <w:sz w:val="22"/>
          <w:szCs w:val="22"/>
        </w:rPr>
        <w:t>(Observação: em caso afirmativo, assinalar a ressalva acima).</w:t>
      </w:r>
    </w:p>
    <w:p>
      <w:pPr>
        <w:pStyle w:val="Textbody"/>
        <w:spacing w:lineRule="auto" w:line="240" w:before="0" w:after="0"/>
        <w:rPr/>
      </w:pPr>
      <w:r>
        <w:rPr/>
      </w:r>
    </w:p>
    <w:p>
      <w:pPr>
        <w:pStyle w:val="Textbody"/>
        <w:spacing w:lineRule="auto" w:line="240" w:before="0" w:after="0"/>
        <w:rPr/>
      </w:pPr>
      <w:r>
        <w:rPr/>
      </w:r>
    </w:p>
    <w:p>
      <w:pPr>
        <w:pStyle w:val="NormalWeb"/>
        <w:spacing w:lineRule="auto" w:line="240" w:before="0" w:after="0"/>
        <w:jc w:val="center"/>
        <w:rPr/>
      </w:pPr>
      <w:r>
        <w:rPr/>
      </w:r>
    </w:p>
    <w:p>
      <w:pPr>
        <w:pStyle w:val="NormalWeb"/>
        <w:spacing w:lineRule="auto" w:line="240" w:before="0" w:after="0"/>
        <w:jc w:val="center"/>
        <w:rPr/>
      </w:pPr>
      <w:r>
        <w:rPr/>
      </w:r>
    </w:p>
    <w:p>
      <w:pPr>
        <w:pStyle w:val="NormalWeb"/>
        <w:spacing w:lineRule="auto" w:line="240" w:before="0" w:after="0"/>
        <w:jc w:val="center"/>
        <w:rPr/>
      </w:pPr>
      <w:r>
        <w:rPr/>
      </w:r>
    </w:p>
    <w:p>
      <w:pPr>
        <w:pStyle w:val="NormalWeb"/>
        <w:spacing w:lineRule="auto" w:line="240" w:before="0" w:after="0"/>
        <w:jc w:val="center"/>
        <w:rPr/>
      </w:pPr>
      <w:r>
        <w:rPr/>
      </w:r>
    </w:p>
    <w:p>
      <w:pPr>
        <w:pStyle w:val="NormalWeb"/>
        <w:spacing w:lineRule="auto" w:line="240" w:before="0" w:after="0"/>
        <w:jc w:val="center"/>
        <w:rPr/>
      </w:pPr>
      <w:r>
        <w:rPr/>
      </w:r>
    </w:p>
    <w:p>
      <w:pPr>
        <w:pStyle w:val="NormalWeb"/>
        <w:spacing w:lineRule="auto" w:line="240" w:before="0" w:after="0"/>
        <w:jc w:val="center"/>
        <w:rPr/>
      </w:pPr>
      <w:r>
        <w:rPr/>
      </w:r>
    </w:p>
    <w:p>
      <w:pPr>
        <w:pStyle w:val="NormalWeb"/>
        <w:spacing w:lineRule="auto" w:line="240" w:before="0" w:after="0"/>
        <w:jc w:val="center"/>
        <w:rPr/>
      </w:pPr>
      <w:r>
        <w:rPr/>
      </w:r>
    </w:p>
    <w:p>
      <w:pPr>
        <w:pStyle w:val="NormalWeb"/>
        <w:spacing w:lineRule="auto" w:line="240" w:before="0" w:after="0"/>
        <w:jc w:val="center"/>
        <w:rPr/>
      </w:pPr>
      <w:r>
        <w:rPr/>
      </w:r>
    </w:p>
    <w:p>
      <w:pPr>
        <w:pStyle w:val="NormalWeb"/>
        <w:spacing w:lineRule="auto" w:line="240" w:before="0" w:after="0"/>
        <w:jc w:val="center"/>
        <w:rPr>
          <w:rFonts w:ascii="Arial" w:hAnsi="Arial" w:cs="Arial"/>
          <w:b/>
          <w:bCs/>
          <w:color w:val="000000"/>
          <w:sz w:val="22"/>
          <w:szCs w:val="22"/>
          <w:lang w:val="pt-BR"/>
        </w:rPr>
      </w:pPr>
      <w:r>
        <w:rPr>
          <w:rFonts w:cs="Arial" w:ascii="Arial" w:hAnsi="Arial"/>
          <w:b/>
          <w:bCs/>
          <w:color w:val="000000"/>
          <w:sz w:val="22"/>
          <w:szCs w:val="22"/>
          <w:lang w:val="pt-BR"/>
        </w:rPr>
        <w:t>ANEXO IX – MODELO DE CARTA DE FIANÇA BANCÁRIA – GARANTIA DE EXECUÇÃO DO CONTRATO</w:t>
      </w:r>
    </w:p>
    <w:p>
      <w:pPr>
        <w:pStyle w:val="Textbody"/>
        <w:tabs>
          <w:tab w:val="clear" w:pos="708"/>
          <w:tab w:val="left" w:pos="1339" w:leader="none"/>
        </w:tabs>
        <w:spacing w:lineRule="auto" w:line="240" w:before="0" w:after="0"/>
        <w:jc w:val="center"/>
        <w:rPr>
          <w:color w:val="000000"/>
          <w:szCs w:val="22"/>
        </w:rPr>
      </w:pPr>
      <w:r>
        <w:rPr>
          <w:szCs w:val="22"/>
        </w:rPr>
        <w:t>(PAPEL TIMBRADO DO PROPONENTE)</w:t>
      </w:r>
    </w:p>
    <w:p>
      <w:pPr>
        <w:pStyle w:val="Textbody"/>
        <w:tabs>
          <w:tab w:val="clear" w:pos="708"/>
          <w:tab w:val="left" w:pos="1339" w:leader="none"/>
        </w:tabs>
        <w:spacing w:lineRule="auto" w:line="240" w:before="0" w:after="0"/>
        <w:rPr>
          <w:szCs w:val="22"/>
        </w:rPr>
      </w:pPr>
      <w:r>
        <w:rPr>
          <w:szCs w:val="22"/>
        </w:rPr>
      </w:r>
    </w:p>
    <w:p>
      <w:pPr>
        <w:pStyle w:val="Textbody"/>
        <w:tabs>
          <w:tab w:val="clear" w:pos="708"/>
          <w:tab w:val="left" w:pos="1339" w:leader="none"/>
        </w:tabs>
        <w:spacing w:lineRule="auto" w:line="240" w:before="0" w:after="0"/>
        <w:rPr>
          <w:b/>
          <w:szCs w:val="22"/>
        </w:rPr>
      </w:pPr>
      <w:r>
        <w:rPr>
          <w:b/>
          <w:szCs w:val="22"/>
        </w:rPr>
      </w:r>
    </w:p>
    <w:p>
      <w:pPr>
        <w:pStyle w:val="Textbody"/>
        <w:tabs>
          <w:tab w:val="clear" w:pos="708"/>
          <w:tab w:val="left" w:pos="1339" w:leader="none"/>
        </w:tabs>
        <w:spacing w:lineRule="auto" w:line="240" w:before="0" w:after="0"/>
        <w:rPr>
          <w:color w:val="000000"/>
        </w:rPr>
      </w:pPr>
      <w:r>
        <w:rPr>
          <w:b/>
          <w:color w:val="000000"/>
          <w:szCs w:val="22"/>
        </w:rPr>
        <w:t>CONCORRÊNCIA ELETRÔNICA Nº 2026001</w:t>
      </w:r>
      <w:r>
        <w:rPr>
          <w:b/>
          <w:color w:val="000000"/>
          <w:szCs w:val="22"/>
        </w:rPr>
        <w:t>5</w:t>
      </w:r>
      <w:r>
        <w:rPr>
          <w:b/>
          <w:color w:val="000000"/>
          <w:szCs w:val="22"/>
        </w:rPr>
        <w:t>/CIDADES/COREV</w:t>
      </w:r>
    </w:p>
    <w:p>
      <w:pPr>
        <w:pStyle w:val="Textbody"/>
        <w:tabs>
          <w:tab w:val="clear" w:pos="708"/>
          <w:tab w:val="left" w:pos="1339" w:leader="none"/>
        </w:tabs>
        <w:spacing w:lineRule="auto" w:line="240" w:before="0" w:after="0"/>
        <w:rPr>
          <w:color w:val="000000"/>
        </w:rPr>
      </w:pPr>
      <w:r>
        <w:rPr>
          <w:rFonts w:eastAsia="Calibri, 'Century Gothic'" w:cs="Calibri, 'Century Gothic'"/>
          <w:b/>
          <w:bCs/>
          <w:i w:val="false"/>
          <w:iCs w:val="false"/>
          <w:caps w:val="false"/>
          <w:smallCaps w:val="false"/>
          <w:color w:val="000000"/>
          <w:spacing w:val="0"/>
          <w:sz w:val="22"/>
          <w:szCs w:val="22"/>
          <w:shd w:fill="FFFFFF" w:val="clear"/>
          <w:lang w:eastAsia="pt-BR"/>
        </w:rPr>
        <w:t xml:space="preserve">PROCESSO Nº </w:t>
      </w:r>
      <w:r>
        <w:rPr>
          <w:rFonts w:eastAsia="Times New Roman" w:cs="Arial"/>
          <w:b/>
          <w:bCs/>
          <w:i w:val="false"/>
          <w:iCs w:val="false"/>
          <w:caps w:val="false"/>
          <w:smallCaps w:val="false"/>
          <w:color w:val="000000"/>
          <w:spacing w:val="0"/>
          <w:kern w:val="0"/>
          <w:sz w:val="22"/>
          <w:szCs w:val="22"/>
          <w:shd w:fill="FFFFFF" w:val="clear"/>
          <w:lang w:val="pt-BR" w:eastAsia="pt-BR" w:bidi="ar-SA"/>
        </w:rPr>
        <w:t>43001.006594/2026-11</w:t>
      </w:r>
    </w:p>
    <w:p>
      <w:pPr>
        <w:pStyle w:val="NormalWeb"/>
        <w:spacing w:lineRule="auto" w:line="240" w:before="0" w:after="0"/>
        <w:jc w:val="center"/>
        <w:rPr>
          <w:color w:val="FF0000"/>
        </w:rPr>
      </w:pPr>
      <w:r>
        <w:rPr>
          <w:color w:val="FF0000"/>
        </w:rPr>
      </w:r>
    </w:p>
    <w:p>
      <w:pPr>
        <w:pStyle w:val="NormalWeb"/>
        <w:spacing w:lineRule="auto" w:line="240" w:before="0" w:after="0"/>
        <w:jc w:val="both"/>
        <w:rPr>
          <w:color w:val="FF0000"/>
        </w:rPr>
      </w:pPr>
      <w:r>
        <w:rPr>
          <w:color w:val="FF0000"/>
        </w:rPr>
      </w:r>
    </w:p>
    <w:p>
      <w:pPr>
        <w:pStyle w:val="NormalWeb"/>
        <w:spacing w:lineRule="auto" w:line="240" w:before="0" w:after="0"/>
        <w:jc w:val="both"/>
        <w:rPr/>
      </w:pPr>
      <w:r>
        <w:rPr/>
      </w:r>
    </w:p>
    <w:p>
      <w:pPr>
        <w:pStyle w:val="NormalWeb"/>
        <w:spacing w:lineRule="auto" w:line="240" w:before="0" w:after="0"/>
        <w:jc w:val="both"/>
        <w:rPr>
          <w:rFonts w:ascii="Arial" w:hAnsi="Arial" w:cs="Arial"/>
          <w:color w:val="000000"/>
          <w:sz w:val="22"/>
          <w:szCs w:val="22"/>
          <w:lang w:val="pt-BR"/>
        </w:rPr>
      </w:pPr>
      <w:r>
        <w:rPr>
          <w:rFonts w:cs="Arial" w:ascii="Arial" w:hAnsi="Arial"/>
          <w:color w:val="000000"/>
          <w:sz w:val="22"/>
          <w:szCs w:val="22"/>
          <w:lang w:val="pt-BR"/>
        </w:rPr>
        <w:t>Local e data</w:t>
      </w:r>
    </w:p>
    <w:p>
      <w:pPr>
        <w:pStyle w:val="NormalWeb"/>
        <w:spacing w:lineRule="auto" w:line="240" w:before="0" w:after="0"/>
        <w:jc w:val="both"/>
        <w:rPr/>
      </w:pPr>
      <w:r>
        <w:rPr/>
      </w:r>
    </w:p>
    <w:p>
      <w:pPr>
        <w:pStyle w:val="NormalWeb"/>
        <w:spacing w:lineRule="auto" w:line="240" w:before="0" w:after="0"/>
        <w:jc w:val="both"/>
        <w:rPr>
          <w:rFonts w:ascii="Arial" w:hAnsi="Arial" w:cs="Arial"/>
          <w:color w:val="000000"/>
          <w:sz w:val="22"/>
          <w:szCs w:val="22"/>
          <w:lang w:val="pt-BR"/>
        </w:rPr>
      </w:pPr>
      <w:r>
        <w:rPr>
          <w:rFonts w:cs="Arial" w:ascii="Arial" w:hAnsi="Arial"/>
          <w:color w:val="000000"/>
          <w:sz w:val="22"/>
          <w:szCs w:val="22"/>
          <w:lang w:val="pt-BR"/>
        </w:rPr>
        <w:t>À Secretaria das Cidades</w:t>
      </w:r>
    </w:p>
    <w:p>
      <w:pPr>
        <w:pStyle w:val="NormalWeb"/>
        <w:spacing w:lineRule="auto" w:line="240" w:before="0" w:after="0"/>
        <w:jc w:val="both"/>
        <w:rPr>
          <w:rFonts w:ascii="Arial" w:hAnsi="Arial" w:cs="Arial"/>
          <w:color w:val="000000"/>
          <w:sz w:val="22"/>
          <w:szCs w:val="22"/>
          <w:lang w:val="pt-BR"/>
        </w:rPr>
      </w:pPr>
      <w:r>
        <w:rPr>
          <w:rFonts w:cs="Arial" w:ascii="Arial" w:hAnsi="Arial"/>
          <w:color w:val="000000"/>
          <w:sz w:val="22"/>
          <w:szCs w:val="22"/>
          <w:lang w:val="pt-BR"/>
        </w:rPr>
        <w:t>Fortaleza-Ce.</w:t>
      </w:r>
    </w:p>
    <w:p>
      <w:pPr>
        <w:pStyle w:val="NormalWeb"/>
        <w:spacing w:lineRule="auto" w:line="240" w:before="0" w:after="0"/>
        <w:jc w:val="both"/>
        <w:rPr/>
      </w:pPr>
      <w:r>
        <w:rPr/>
      </w:r>
    </w:p>
    <w:p>
      <w:pPr>
        <w:pStyle w:val="Textbody"/>
        <w:tabs>
          <w:tab w:val="clear" w:pos="708"/>
          <w:tab w:val="left" w:pos="1339" w:leader="none"/>
        </w:tabs>
        <w:spacing w:lineRule="auto" w:line="240" w:before="0" w:after="0"/>
        <w:rPr>
          <w:b/>
          <w:color w:val="FF0000"/>
          <w:szCs w:val="22"/>
        </w:rPr>
      </w:pPr>
      <w:r>
        <w:rPr>
          <w:rFonts w:cs="Arial"/>
          <w:b/>
          <w:bCs/>
          <w:color w:val="000000"/>
          <w:szCs w:val="22"/>
        </w:rPr>
        <w:t xml:space="preserve">Ref.: CONCORRÊNCIA </w:t>
      </w:r>
      <w:r>
        <w:rPr>
          <w:b/>
          <w:color w:val="000000"/>
          <w:szCs w:val="22"/>
        </w:rPr>
        <w:t>ELETRÔNICA</w:t>
      </w:r>
      <w:r>
        <w:rPr>
          <w:b/>
          <w:color w:val="FF0000"/>
          <w:szCs w:val="22"/>
        </w:rPr>
        <w:t xml:space="preserve"> </w:t>
      </w:r>
      <w:r>
        <w:rPr>
          <w:b/>
          <w:color w:val="000000"/>
          <w:szCs w:val="22"/>
        </w:rPr>
        <w:t>Nº 2026001</w:t>
      </w:r>
      <w:r>
        <w:rPr>
          <w:b/>
          <w:color w:val="000000"/>
          <w:szCs w:val="22"/>
        </w:rPr>
        <w:t>5</w:t>
      </w:r>
      <w:r>
        <w:rPr>
          <w:b/>
          <w:color w:val="000000"/>
          <w:szCs w:val="22"/>
        </w:rPr>
        <w:t>/CIDADES/COREV</w:t>
      </w:r>
    </w:p>
    <w:p>
      <w:pPr>
        <w:pStyle w:val="NormalWeb"/>
        <w:spacing w:lineRule="auto" w:line="240" w:before="0" w:after="0"/>
        <w:jc w:val="both"/>
        <w:rPr/>
      </w:pPr>
      <w:r>
        <w:rPr/>
      </w:r>
    </w:p>
    <w:p>
      <w:pPr>
        <w:pStyle w:val="NormalWeb"/>
        <w:spacing w:lineRule="auto" w:line="240" w:before="0" w:after="0"/>
        <w:jc w:val="both"/>
        <w:rPr/>
      </w:pPr>
      <w:r>
        <w:rPr/>
      </w:r>
    </w:p>
    <w:p>
      <w:pPr>
        <w:pStyle w:val="NormalWeb"/>
        <w:spacing w:lineRule="auto" w:line="240" w:before="0" w:after="0"/>
        <w:jc w:val="both"/>
        <w:rPr>
          <w:rFonts w:ascii="Arial" w:hAnsi="Arial" w:cs="Arial"/>
          <w:color w:val="000000"/>
          <w:sz w:val="22"/>
          <w:szCs w:val="22"/>
          <w:lang w:val="pt-BR"/>
        </w:rPr>
      </w:pPr>
      <w:r>
        <w:rPr>
          <w:rFonts w:cs="Arial" w:ascii="Arial" w:hAnsi="Arial"/>
          <w:color w:val="000000"/>
          <w:sz w:val="22"/>
          <w:szCs w:val="22"/>
          <w:lang w:val="pt-BR"/>
        </w:rPr>
        <w:t>Prezados Senhores,</w:t>
      </w:r>
    </w:p>
    <w:p>
      <w:pPr>
        <w:pStyle w:val="NormalWeb"/>
        <w:spacing w:lineRule="auto" w:line="240" w:before="0" w:after="0"/>
        <w:jc w:val="both"/>
        <w:rPr/>
      </w:pPr>
      <w:r>
        <w:rPr>
          <w:rFonts w:cs="Arial" w:ascii="Arial" w:hAnsi="Arial"/>
          <w:color w:val="000000"/>
          <w:sz w:val="22"/>
          <w:szCs w:val="22"/>
          <w:lang w:val="pt-BR"/>
        </w:rPr>
        <w:t xml:space="preserve">Pela presente Carta de Fiança, o Banco ____________________, com sede à rua ____________________, por seus representantes infra-assinados, declara-se fiador e principal pagador, com expressa renúncia dos benefícios estatuídos no Artigo 827 do Código Civil Brasileiro, da Firma ____________________, sediada à rua ____________________, CNPJ nº ____________________, na importância de R$ _________ ( ), correspondente a _____% ( __________ por cento) do valor do Contrato, a qual será reajustada a partir da data de entrega dos Documentos de Habilitação e Propostas Comerciais da </w:t>
      </w:r>
      <w:r>
        <w:rPr>
          <w:rFonts w:cs="Arial" w:ascii="Arial" w:hAnsi="Arial"/>
          <w:b/>
          <w:bCs/>
          <w:color w:val="000000"/>
          <w:sz w:val="22"/>
          <w:szCs w:val="22"/>
          <w:lang w:val="pt-BR"/>
        </w:rPr>
        <w:t xml:space="preserve">CONCORRÊNCIA </w:t>
      </w:r>
      <w:r>
        <w:rPr>
          <w:rFonts w:cs="Arial" w:ascii="Arial" w:hAnsi="Arial"/>
          <w:b/>
          <w:color w:val="000000"/>
          <w:sz w:val="22"/>
          <w:szCs w:val="22"/>
          <w:lang w:val="pt-BR"/>
        </w:rPr>
        <w:t>ELETRÔNICA</w:t>
      </w:r>
      <w:r>
        <w:rPr>
          <w:rFonts w:cs="Arial" w:ascii="Arial" w:hAnsi="Arial"/>
          <w:b/>
          <w:color w:val="FF0000"/>
          <w:sz w:val="22"/>
          <w:szCs w:val="22"/>
          <w:lang w:val="pt-BR"/>
        </w:rPr>
        <w:t xml:space="preserve"> </w:t>
      </w:r>
      <w:r>
        <w:rPr>
          <w:rFonts w:cs="Arial" w:ascii="Arial" w:hAnsi="Arial"/>
          <w:b/>
          <w:color w:val="000000"/>
          <w:sz w:val="22"/>
          <w:szCs w:val="22"/>
          <w:lang w:val="pt-BR"/>
        </w:rPr>
        <w:t>Nº 20260015/CIDADES/COREV</w:t>
      </w:r>
      <w:r>
        <w:rPr>
          <w:rFonts w:cs="Arial" w:ascii="Arial" w:hAnsi="Arial"/>
          <w:b/>
          <w:bCs/>
          <w:color w:val="FF0000"/>
          <w:sz w:val="22"/>
          <w:szCs w:val="22"/>
          <w:lang w:val="pt-BR"/>
        </w:rPr>
        <w:t>,</w:t>
      </w:r>
      <w:r>
        <w:rPr>
          <w:rFonts w:cs="Arial" w:ascii="Arial" w:hAnsi="Arial"/>
          <w:color w:val="FF0000"/>
          <w:sz w:val="22"/>
          <w:szCs w:val="22"/>
          <w:lang w:val="pt-BR"/>
        </w:rPr>
        <w:t xml:space="preserve"> </w:t>
      </w:r>
      <w:r>
        <w:rPr>
          <w:rFonts w:cs="Arial" w:ascii="Arial" w:hAnsi="Arial"/>
          <w:color w:val="000000"/>
          <w:sz w:val="22"/>
          <w:szCs w:val="22"/>
          <w:lang w:val="pt-BR"/>
        </w:rPr>
        <w:t>na mesma periodicidade e fórmula de reajuste constante do Contrato n° _____/2026/CIDADES, datado de _______________.</w:t>
      </w:r>
    </w:p>
    <w:p>
      <w:pPr>
        <w:pStyle w:val="NormalWeb"/>
        <w:spacing w:lineRule="auto" w:line="240" w:before="0" w:after="0"/>
        <w:jc w:val="both"/>
        <w:rPr>
          <w:rFonts w:ascii="Arial" w:hAnsi="Arial" w:cs="Arial"/>
          <w:color w:val="000000"/>
          <w:sz w:val="22"/>
          <w:szCs w:val="22"/>
          <w:lang w:val="pt-BR"/>
        </w:rPr>
      </w:pPr>
      <w:r>
        <w:rPr>
          <w:rFonts w:cs="Arial" w:ascii="Arial" w:hAnsi="Arial"/>
          <w:color w:val="000000"/>
          <w:sz w:val="22"/>
          <w:szCs w:val="22"/>
          <w:lang w:val="pt-BR"/>
        </w:rPr>
        <w:t>A presente fiança é prestada para o fim específico de garantir o cumprimento, por parte de nossa afiançada, das obrigações estipuladas no Contrato antes referido, celebrado, por nossa afiançada e a Secretaria das Cidades.</w:t>
      </w:r>
    </w:p>
    <w:p>
      <w:pPr>
        <w:pStyle w:val="NormalWeb"/>
        <w:spacing w:lineRule="auto" w:line="240" w:before="0" w:after="0"/>
        <w:jc w:val="both"/>
        <w:rPr>
          <w:rFonts w:ascii="Arial" w:hAnsi="Arial" w:cs="Arial"/>
          <w:color w:val="000000"/>
          <w:sz w:val="22"/>
          <w:szCs w:val="22"/>
          <w:lang w:val="pt-BR"/>
        </w:rPr>
      </w:pPr>
      <w:r>
        <w:rPr>
          <w:rFonts w:cs="Arial" w:ascii="Arial" w:hAnsi="Arial"/>
          <w:color w:val="000000"/>
          <w:sz w:val="22"/>
          <w:szCs w:val="22"/>
          <w:lang w:val="pt-BR"/>
        </w:rPr>
        <w:t>Por força da presente fiança e em consonância com o Contrato acima indicado, obriga-se este Banco a pagar à Secretaria das Cidades, no prazo de 24 (vinte e quatro) horas, contado do simples aviso que pela mesma lhe for dado, até o limite do valor fixado acima, quaisquer importâncias cobertas por esta fiança.</w:t>
      </w:r>
    </w:p>
    <w:p>
      <w:pPr>
        <w:pStyle w:val="NormalWeb"/>
        <w:spacing w:lineRule="auto" w:line="240" w:before="0" w:after="0"/>
        <w:jc w:val="both"/>
        <w:rPr>
          <w:rFonts w:ascii="Arial" w:hAnsi="Arial" w:cs="Arial"/>
          <w:color w:val="000000"/>
          <w:sz w:val="22"/>
          <w:szCs w:val="22"/>
          <w:lang w:val="pt-BR"/>
        </w:rPr>
      </w:pPr>
      <w:r>
        <w:rPr>
          <w:rFonts w:cs="Arial" w:ascii="Arial" w:hAnsi="Arial"/>
          <w:color w:val="000000"/>
          <w:sz w:val="22"/>
          <w:szCs w:val="22"/>
          <w:lang w:val="pt-BR"/>
        </w:rPr>
        <w:t>Esta garantia vigorará pelo prazo superior a _____ ( ) dias do prazo do Contrato acima mencionado e seu(s) aditamento(s), até a extinção de todas as obrigações assumidas por nossa afiançada através do referido Contrato. Na ocorrência de acréscimo contratual de valor, o valor desta garantia será aditado no valor proporcional ao montante acrescido ao Contrato.</w:t>
      </w:r>
    </w:p>
    <w:p>
      <w:pPr>
        <w:pStyle w:val="NormalWeb"/>
        <w:spacing w:lineRule="auto" w:line="240" w:before="0" w:after="0"/>
        <w:jc w:val="both"/>
        <w:rPr>
          <w:rFonts w:ascii="Arial" w:hAnsi="Arial" w:cs="Arial"/>
          <w:color w:val="000000"/>
          <w:sz w:val="22"/>
          <w:szCs w:val="22"/>
          <w:lang w:val="pt-BR"/>
        </w:rPr>
      </w:pPr>
      <w:r>
        <w:rPr>
          <w:rFonts w:cs="Arial" w:ascii="Arial" w:hAnsi="Arial"/>
          <w:color w:val="000000"/>
          <w:sz w:val="22"/>
          <w:szCs w:val="22"/>
          <w:lang w:val="pt-BR"/>
        </w:rPr>
        <w:t>Nenhuma objeção ou oposição da nossa afiançada será admitida ou invocada por este Banco para o fim de escusar do cumprimento da obrigação assumida neste ato e por este instrumento perante a Secretaria das Cidades.</w:t>
      </w:r>
    </w:p>
    <w:p>
      <w:pPr>
        <w:pStyle w:val="NormalWeb"/>
        <w:spacing w:lineRule="auto" w:line="240" w:before="0" w:after="0"/>
        <w:jc w:val="both"/>
        <w:rPr>
          <w:rFonts w:ascii="Arial" w:hAnsi="Arial" w:cs="Arial"/>
          <w:color w:val="000000"/>
          <w:sz w:val="22"/>
          <w:szCs w:val="22"/>
          <w:lang w:val="pt-BR"/>
        </w:rPr>
      </w:pPr>
      <w:r>
        <w:rPr>
          <w:rFonts w:cs="Arial" w:ascii="Arial" w:hAnsi="Arial"/>
          <w:color w:val="000000"/>
          <w:sz w:val="22"/>
          <w:szCs w:val="22"/>
          <w:lang w:val="pt-BR"/>
        </w:rPr>
        <w:t>Declara ainda, este Banco fiador, que a presente fiança está devidamente contabilizada e que satisfaz às determinações do Banco Central do Brasil e aos preceitos da legislação bancárias aplicáveis e que os signatários deste instrumento estão autorizados a prestar a presente fiança. Declara, finalmente, que está autorizado pelo Banco Central do Brasil a expedir Carta de Fiança e que o valor da presente se contém dentro dos limites que lhe são autorizados pela referida entidade federal.</w:t>
      </w:r>
    </w:p>
    <w:p>
      <w:pPr>
        <w:pStyle w:val="NormalWeb"/>
        <w:spacing w:lineRule="auto" w:line="240" w:before="0" w:after="0"/>
        <w:jc w:val="both"/>
        <w:rPr>
          <w:rFonts w:ascii="Arial" w:hAnsi="Arial" w:cs="Arial"/>
          <w:color w:val="000000"/>
          <w:sz w:val="22"/>
          <w:szCs w:val="22"/>
          <w:lang w:val="pt-BR"/>
        </w:rPr>
      </w:pPr>
      <w:r>
        <w:rPr>
          <w:rFonts w:cs="Arial" w:ascii="Arial" w:hAnsi="Arial"/>
          <w:color w:val="000000"/>
          <w:sz w:val="22"/>
          <w:szCs w:val="22"/>
          <w:lang w:val="pt-BR"/>
        </w:rPr>
        <w:t>A presente fiança foi emitida em 01 (uma) única via.</w:t>
      </w:r>
    </w:p>
    <w:p>
      <w:pPr>
        <w:pStyle w:val="NormalWeb"/>
        <w:spacing w:lineRule="auto" w:line="240" w:before="0" w:after="0"/>
        <w:jc w:val="both"/>
        <w:rPr/>
      </w:pPr>
      <w:r>
        <w:rPr/>
      </w:r>
    </w:p>
    <w:p>
      <w:pPr>
        <w:pStyle w:val="NormalWeb"/>
        <w:spacing w:lineRule="auto" w:line="240" w:before="0" w:after="0"/>
        <w:jc w:val="both"/>
        <w:rPr>
          <w:rFonts w:ascii="Arial" w:hAnsi="Arial" w:cs="Arial"/>
          <w:color w:val="000000"/>
          <w:sz w:val="22"/>
          <w:szCs w:val="22"/>
          <w:lang w:val="pt-BR"/>
        </w:rPr>
      </w:pPr>
      <w:r>
        <w:rPr>
          <w:rFonts w:cs="Arial" w:ascii="Arial" w:hAnsi="Arial"/>
          <w:color w:val="000000"/>
          <w:sz w:val="22"/>
          <w:szCs w:val="22"/>
          <w:lang w:val="pt-BR"/>
        </w:rPr>
        <w:t>Local e data.</w:t>
      </w:r>
    </w:p>
    <w:p>
      <w:pPr>
        <w:pStyle w:val="NormalWeb"/>
        <w:spacing w:lineRule="auto" w:line="240" w:before="0" w:after="0"/>
        <w:jc w:val="both"/>
        <w:rPr/>
      </w:pPr>
      <w:r>
        <w:rPr/>
      </w:r>
    </w:p>
    <w:p>
      <w:pPr>
        <w:pStyle w:val="NormalWeb"/>
        <w:spacing w:lineRule="auto" w:line="240" w:before="0" w:after="0"/>
        <w:jc w:val="both"/>
        <w:rPr>
          <w:rFonts w:ascii="Arial" w:hAnsi="Arial" w:cs="Arial"/>
          <w:color w:val="000000"/>
          <w:sz w:val="22"/>
          <w:szCs w:val="22"/>
          <w:lang w:val="pt-BR"/>
        </w:rPr>
      </w:pPr>
      <w:r>
        <w:rPr>
          <w:rFonts w:cs="Arial" w:ascii="Arial" w:hAnsi="Arial"/>
          <w:color w:val="000000"/>
          <w:sz w:val="22"/>
          <w:szCs w:val="22"/>
          <w:lang w:val="pt-BR"/>
        </w:rPr>
        <w:t>_____________________________</w:t>
      </w:r>
    </w:p>
    <w:p>
      <w:pPr>
        <w:pStyle w:val="NormalWeb"/>
        <w:spacing w:lineRule="auto" w:line="240" w:before="0" w:after="0"/>
        <w:jc w:val="both"/>
        <w:rPr>
          <w:rFonts w:ascii="Arial" w:hAnsi="Arial" w:cs="Arial"/>
          <w:color w:val="000000"/>
          <w:sz w:val="22"/>
          <w:szCs w:val="22"/>
          <w:lang w:val="pt-BR"/>
        </w:rPr>
      </w:pPr>
      <w:r>
        <w:rPr>
          <w:rFonts w:cs="Arial" w:ascii="Arial" w:hAnsi="Arial"/>
          <w:color w:val="000000"/>
          <w:sz w:val="22"/>
          <w:szCs w:val="22"/>
          <w:lang w:val="pt-BR"/>
        </w:rPr>
        <w:t>Nome do Representante Legal</w:t>
      </w:r>
    </w:p>
    <w:p>
      <w:pPr>
        <w:pStyle w:val="NormalWeb"/>
        <w:spacing w:lineRule="auto" w:line="240" w:before="0" w:after="0"/>
        <w:jc w:val="both"/>
        <w:rPr>
          <w:rFonts w:ascii="Arial" w:hAnsi="Arial" w:cs="Arial"/>
          <w:color w:val="000000"/>
          <w:sz w:val="22"/>
          <w:szCs w:val="22"/>
          <w:lang w:val="pt-BR"/>
        </w:rPr>
      </w:pPr>
      <w:r>
        <w:rPr>
          <w:rFonts w:cs="Arial" w:ascii="Arial" w:hAnsi="Arial"/>
          <w:color w:val="000000"/>
          <w:sz w:val="22"/>
          <w:szCs w:val="22"/>
          <w:lang w:val="pt-BR"/>
        </w:rPr>
        <w:t>(Reconhecer a firma)</w:t>
      </w:r>
      <w:r>
        <w:br w:type="page"/>
      </w:r>
    </w:p>
    <w:p>
      <w:pPr>
        <w:pStyle w:val="NormalWeb"/>
        <w:spacing w:lineRule="auto" w:line="240" w:before="0" w:after="0"/>
        <w:jc w:val="center"/>
        <w:rPr/>
      </w:pPr>
      <w:r>
        <w:rPr/>
      </w:r>
    </w:p>
    <w:p>
      <w:pPr>
        <w:pStyle w:val="NormalWeb"/>
        <w:spacing w:lineRule="auto" w:line="240" w:before="0" w:after="0"/>
        <w:jc w:val="center"/>
        <w:rPr/>
      </w:pPr>
      <w:r>
        <w:rPr/>
      </w:r>
    </w:p>
    <w:p>
      <w:pPr>
        <w:pStyle w:val="NormalWeb"/>
        <w:spacing w:lineRule="auto" w:line="240" w:before="0" w:after="0"/>
        <w:jc w:val="center"/>
        <w:rPr>
          <w:rFonts w:ascii="Arial" w:hAnsi="Arial" w:cs="Arial"/>
          <w:b/>
          <w:bCs/>
          <w:color w:val="000000"/>
          <w:sz w:val="22"/>
          <w:szCs w:val="22"/>
          <w:lang w:val="pt-BR"/>
        </w:rPr>
      </w:pPr>
      <w:r>
        <w:rPr>
          <w:rFonts w:cs="Arial" w:ascii="Arial" w:hAnsi="Arial"/>
          <w:b/>
          <w:bCs/>
          <w:color w:val="000000"/>
          <w:sz w:val="22"/>
          <w:szCs w:val="22"/>
          <w:lang w:val="pt-BR"/>
        </w:rPr>
        <w:t>ANEXO X– MODELO DE FICHA DE DADOS DO REPRESENTANTE LEGAL</w:t>
      </w:r>
    </w:p>
    <w:p>
      <w:pPr>
        <w:pStyle w:val="Textbody"/>
        <w:tabs>
          <w:tab w:val="clear" w:pos="708"/>
          <w:tab w:val="left" w:pos="1339" w:leader="none"/>
        </w:tabs>
        <w:spacing w:lineRule="auto" w:line="240" w:before="0" w:after="0"/>
        <w:jc w:val="center"/>
        <w:rPr>
          <w:color w:val="000000"/>
          <w:szCs w:val="22"/>
        </w:rPr>
      </w:pPr>
      <w:r>
        <w:rPr>
          <w:szCs w:val="22"/>
        </w:rPr>
        <w:t>(PAPEL TIMBRADO DO PROPONENTE)</w:t>
      </w:r>
    </w:p>
    <w:p>
      <w:pPr>
        <w:pStyle w:val="Textbody"/>
        <w:tabs>
          <w:tab w:val="clear" w:pos="708"/>
          <w:tab w:val="left" w:pos="1339" w:leader="none"/>
        </w:tabs>
        <w:spacing w:lineRule="auto" w:line="240" w:before="0" w:after="0"/>
        <w:rPr>
          <w:szCs w:val="22"/>
        </w:rPr>
      </w:pPr>
      <w:r>
        <w:rPr>
          <w:szCs w:val="22"/>
        </w:rPr>
      </w:r>
    </w:p>
    <w:p>
      <w:pPr>
        <w:pStyle w:val="Textbody"/>
        <w:tabs>
          <w:tab w:val="clear" w:pos="708"/>
          <w:tab w:val="left" w:pos="1339" w:leader="none"/>
        </w:tabs>
        <w:spacing w:lineRule="auto" w:line="240" w:before="0" w:after="0"/>
        <w:rPr>
          <w:b/>
          <w:szCs w:val="22"/>
        </w:rPr>
      </w:pPr>
      <w:r>
        <w:rPr>
          <w:b/>
          <w:szCs w:val="22"/>
        </w:rPr>
      </w:r>
    </w:p>
    <w:p>
      <w:pPr>
        <w:pStyle w:val="Textbody"/>
        <w:tabs>
          <w:tab w:val="clear" w:pos="708"/>
          <w:tab w:val="left" w:pos="1339" w:leader="none"/>
        </w:tabs>
        <w:spacing w:lineRule="auto" w:line="240" w:before="0" w:after="0"/>
        <w:rPr>
          <w:color w:val="000000"/>
        </w:rPr>
      </w:pPr>
      <w:r>
        <w:rPr>
          <w:b/>
          <w:color w:val="000000"/>
          <w:szCs w:val="22"/>
        </w:rPr>
        <w:t>CONCORRÊNCIA ELETRÔNICA Nº 2026001</w:t>
      </w:r>
      <w:r>
        <w:rPr>
          <w:b/>
          <w:color w:val="000000"/>
          <w:szCs w:val="22"/>
        </w:rPr>
        <w:t>5</w:t>
      </w:r>
      <w:r>
        <w:rPr>
          <w:b/>
          <w:color w:val="000000"/>
          <w:szCs w:val="22"/>
        </w:rPr>
        <w:t>/CIDADES/COREV</w:t>
      </w:r>
    </w:p>
    <w:p>
      <w:pPr>
        <w:pStyle w:val="Textbody"/>
        <w:tabs>
          <w:tab w:val="clear" w:pos="708"/>
          <w:tab w:val="left" w:pos="1339" w:leader="none"/>
        </w:tabs>
        <w:spacing w:lineRule="auto" w:line="240" w:before="0" w:after="0"/>
        <w:rPr>
          <w:color w:val="000000"/>
        </w:rPr>
      </w:pPr>
      <w:r>
        <w:rPr>
          <w:rFonts w:eastAsia="Calibri, 'Century Gothic'" w:cs="Calibri, 'Century Gothic'"/>
          <w:b/>
          <w:bCs/>
          <w:i w:val="false"/>
          <w:iCs w:val="false"/>
          <w:caps w:val="false"/>
          <w:smallCaps w:val="false"/>
          <w:color w:val="000000"/>
          <w:spacing w:val="0"/>
          <w:sz w:val="22"/>
          <w:szCs w:val="22"/>
          <w:shd w:fill="FFFFFF" w:val="clear"/>
          <w:lang w:eastAsia="pt-BR"/>
        </w:rPr>
        <w:t xml:space="preserve">PROCESSO Nº </w:t>
      </w:r>
      <w:r>
        <w:rPr>
          <w:rFonts w:eastAsia="Times New Roman" w:cs="Arial"/>
          <w:b/>
          <w:bCs/>
          <w:i w:val="false"/>
          <w:iCs w:val="false"/>
          <w:caps w:val="false"/>
          <w:smallCaps w:val="false"/>
          <w:color w:val="000000"/>
          <w:spacing w:val="0"/>
          <w:kern w:val="0"/>
          <w:sz w:val="22"/>
          <w:szCs w:val="22"/>
          <w:shd w:fill="FFFFFF" w:val="clear"/>
          <w:lang w:val="pt-BR" w:eastAsia="pt-BR" w:bidi="ar-SA"/>
        </w:rPr>
        <w:t>43001.006594/2026-11</w:t>
      </w:r>
    </w:p>
    <w:p>
      <w:pPr>
        <w:pStyle w:val="NormalWeb"/>
        <w:spacing w:lineRule="auto" w:line="240" w:before="0" w:after="0"/>
        <w:jc w:val="both"/>
        <w:rPr/>
      </w:pPr>
      <w:r>
        <w:rPr/>
      </w:r>
    </w:p>
    <w:p>
      <w:pPr>
        <w:pStyle w:val="NormalWeb"/>
        <w:spacing w:lineRule="auto" w:line="240" w:before="0" w:after="0"/>
        <w:jc w:val="both"/>
        <w:rPr/>
      </w:pPr>
      <w:r>
        <w:rPr/>
      </w:r>
    </w:p>
    <w:p>
      <w:pPr>
        <w:pStyle w:val="NormalWeb"/>
        <w:spacing w:lineRule="auto" w:line="240" w:before="0" w:after="0"/>
        <w:jc w:val="both"/>
        <w:rPr/>
      </w:pPr>
      <w:r>
        <w:rPr/>
      </w:r>
    </w:p>
    <w:p>
      <w:pPr>
        <w:pStyle w:val="NormalWeb"/>
        <w:spacing w:lineRule="auto" w:line="240" w:before="0" w:after="0"/>
        <w:jc w:val="both"/>
        <w:rPr>
          <w:rFonts w:ascii="Arial" w:hAnsi="Arial" w:cs="Arial"/>
          <w:color w:val="000000"/>
          <w:sz w:val="22"/>
          <w:szCs w:val="22"/>
          <w:lang w:val="pt-BR"/>
        </w:rPr>
      </w:pPr>
      <w:r>
        <w:rPr>
          <w:rFonts w:cs="Arial" w:ascii="Arial" w:hAnsi="Arial"/>
          <w:color w:val="000000"/>
          <w:sz w:val="22"/>
          <w:szCs w:val="22"/>
          <w:lang w:val="pt-BR"/>
        </w:rPr>
        <w:t>Dados pessoais do(s) representantes(s) e/ou procurador(es) da futura CONTRATADA, indicado(s) para assinatura do Contrato:</w:t>
      </w:r>
    </w:p>
    <w:tbl>
      <w:tblPr>
        <w:tblW w:w="8505" w:type="dxa"/>
        <w:jc w:val="left"/>
        <w:tblInd w:w="0" w:type="dxa"/>
        <w:tblLayout w:type="fixed"/>
        <w:tblCellMar>
          <w:top w:w="0" w:type="dxa"/>
          <w:left w:w="0" w:type="dxa"/>
          <w:bottom w:w="0" w:type="dxa"/>
          <w:right w:w="0" w:type="dxa"/>
        </w:tblCellMar>
      </w:tblPr>
      <w:tblGrid>
        <w:gridCol w:w="1979"/>
        <w:gridCol w:w="6525"/>
      </w:tblGrid>
      <w:tr>
        <w:trPr/>
        <w:tc>
          <w:tcPr>
            <w:tcW w:w="1979" w:type="dxa"/>
            <w:tcBorders/>
            <w:vAlign w:val="center"/>
          </w:tcPr>
          <w:p>
            <w:pPr>
              <w:pStyle w:val="Western1"/>
              <w:widowControl w:val="false"/>
              <w:suppressAutoHyphens w:val="true"/>
              <w:spacing w:before="0" w:after="0"/>
              <w:jc w:val="both"/>
              <w:rPr>
                <w:kern w:val="0"/>
                <w:sz w:val="20"/>
                <w:szCs w:val="20"/>
              </w:rPr>
            </w:pPr>
            <w:r>
              <w:rPr>
                <w:rFonts w:cs="Arial" w:ascii="Arial" w:hAnsi="Arial"/>
                <w:b/>
                <w:bCs/>
                <w:kern w:val="0"/>
                <w:sz w:val="22"/>
                <w:szCs w:val="22"/>
              </w:rPr>
              <w:t>NOME:</w:t>
            </w:r>
          </w:p>
        </w:tc>
        <w:tc>
          <w:tcPr>
            <w:tcW w:w="6525" w:type="dxa"/>
            <w:tcBorders>
              <w:bottom w:val="single" w:sz="6" w:space="0" w:color="000000"/>
            </w:tcBorders>
            <w:vAlign w:val="center"/>
          </w:tcPr>
          <w:p>
            <w:pPr>
              <w:pStyle w:val="Western1"/>
              <w:widowControl w:val="false"/>
              <w:suppressAutoHyphens w:val="true"/>
              <w:spacing w:before="0" w:after="0"/>
              <w:jc w:val="both"/>
              <w:rPr>
                <w:kern w:val="0"/>
                <w:sz w:val="20"/>
                <w:szCs w:val="20"/>
              </w:rPr>
            </w:pPr>
            <w:r>
              <w:rPr>
                <w:kern w:val="0"/>
                <w:sz w:val="20"/>
                <w:szCs w:val="20"/>
              </w:rPr>
            </w:r>
          </w:p>
        </w:tc>
      </w:tr>
      <w:tr>
        <w:trPr/>
        <w:tc>
          <w:tcPr>
            <w:tcW w:w="1979" w:type="dxa"/>
            <w:tcBorders/>
            <w:vAlign w:val="center"/>
          </w:tcPr>
          <w:p>
            <w:pPr>
              <w:pStyle w:val="Western1"/>
              <w:widowControl w:val="false"/>
              <w:suppressAutoHyphens w:val="true"/>
              <w:spacing w:before="0" w:after="0"/>
              <w:jc w:val="both"/>
              <w:rPr>
                <w:kern w:val="0"/>
                <w:sz w:val="20"/>
                <w:szCs w:val="20"/>
              </w:rPr>
            </w:pPr>
            <w:r>
              <w:rPr>
                <w:rFonts w:cs="Arial" w:ascii="Arial" w:hAnsi="Arial"/>
                <w:b/>
                <w:bCs/>
                <w:kern w:val="0"/>
                <w:sz w:val="22"/>
                <w:szCs w:val="22"/>
              </w:rPr>
              <w:t>NACIONALIDADE:</w:t>
            </w:r>
          </w:p>
        </w:tc>
        <w:tc>
          <w:tcPr>
            <w:tcW w:w="6525" w:type="dxa"/>
            <w:tcBorders>
              <w:bottom w:val="single" w:sz="6" w:space="0" w:color="000000"/>
            </w:tcBorders>
            <w:vAlign w:val="center"/>
          </w:tcPr>
          <w:p>
            <w:pPr>
              <w:pStyle w:val="Western1"/>
              <w:widowControl w:val="false"/>
              <w:suppressAutoHyphens w:val="true"/>
              <w:spacing w:before="0" w:after="0"/>
              <w:jc w:val="both"/>
              <w:rPr>
                <w:kern w:val="0"/>
                <w:sz w:val="20"/>
                <w:szCs w:val="20"/>
              </w:rPr>
            </w:pPr>
            <w:r>
              <w:rPr>
                <w:kern w:val="0"/>
                <w:sz w:val="20"/>
                <w:szCs w:val="20"/>
              </w:rPr>
            </w:r>
          </w:p>
        </w:tc>
      </w:tr>
      <w:tr>
        <w:trPr/>
        <w:tc>
          <w:tcPr>
            <w:tcW w:w="1979" w:type="dxa"/>
            <w:tcBorders/>
            <w:vAlign w:val="center"/>
          </w:tcPr>
          <w:p>
            <w:pPr>
              <w:pStyle w:val="Western1"/>
              <w:widowControl w:val="false"/>
              <w:suppressAutoHyphens w:val="true"/>
              <w:spacing w:before="0" w:after="0"/>
              <w:jc w:val="both"/>
              <w:rPr>
                <w:kern w:val="0"/>
                <w:sz w:val="20"/>
                <w:szCs w:val="20"/>
              </w:rPr>
            </w:pPr>
            <w:r>
              <w:rPr>
                <w:rFonts w:cs="Arial" w:ascii="Arial" w:hAnsi="Arial"/>
                <w:b/>
                <w:bCs/>
                <w:kern w:val="0"/>
                <w:sz w:val="22"/>
                <w:szCs w:val="22"/>
              </w:rPr>
              <w:t>ESTADO CIVIL:</w:t>
            </w:r>
          </w:p>
        </w:tc>
        <w:tc>
          <w:tcPr>
            <w:tcW w:w="6525" w:type="dxa"/>
            <w:tcBorders>
              <w:bottom w:val="single" w:sz="6" w:space="0" w:color="000000"/>
            </w:tcBorders>
            <w:vAlign w:val="center"/>
          </w:tcPr>
          <w:p>
            <w:pPr>
              <w:pStyle w:val="Western1"/>
              <w:widowControl w:val="false"/>
              <w:suppressAutoHyphens w:val="true"/>
              <w:spacing w:before="0" w:after="0"/>
              <w:jc w:val="both"/>
              <w:rPr>
                <w:kern w:val="0"/>
                <w:sz w:val="20"/>
                <w:szCs w:val="20"/>
              </w:rPr>
            </w:pPr>
            <w:r>
              <w:rPr>
                <w:kern w:val="0"/>
                <w:sz w:val="20"/>
                <w:szCs w:val="20"/>
              </w:rPr>
            </w:r>
          </w:p>
        </w:tc>
      </w:tr>
      <w:tr>
        <w:trPr/>
        <w:tc>
          <w:tcPr>
            <w:tcW w:w="1979" w:type="dxa"/>
            <w:tcBorders/>
            <w:vAlign w:val="center"/>
          </w:tcPr>
          <w:p>
            <w:pPr>
              <w:pStyle w:val="Western1"/>
              <w:widowControl w:val="false"/>
              <w:suppressAutoHyphens w:val="true"/>
              <w:spacing w:before="0" w:after="0"/>
              <w:jc w:val="both"/>
              <w:rPr>
                <w:kern w:val="0"/>
                <w:sz w:val="20"/>
                <w:szCs w:val="20"/>
              </w:rPr>
            </w:pPr>
            <w:r>
              <w:rPr>
                <w:rFonts w:cs="Arial" w:ascii="Arial" w:hAnsi="Arial"/>
                <w:b/>
                <w:bCs/>
                <w:kern w:val="0"/>
                <w:sz w:val="22"/>
                <w:szCs w:val="22"/>
              </w:rPr>
              <w:t>PROFISSÃO:</w:t>
            </w:r>
          </w:p>
        </w:tc>
        <w:tc>
          <w:tcPr>
            <w:tcW w:w="6525" w:type="dxa"/>
            <w:tcBorders>
              <w:bottom w:val="single" w:sz="6" w:space="0" w:color="000000"/>
            </w:tcBorders>
            <w:vAlign w:val="center"/>
          </w:tcPr>
          <w:p>
            <w:pPr>
              <w:pStyle w:val="Western1"/>
              <w:widowControl w:val="false"/>
              <w:suppressAutoHyphens w:val="true"/>
              <w:spacing w:before="0" w:after="0"/>
              <w:jc w:val="both"/>
              <w:rPr>
                <w:kern w:val="0"/>
                <w:sz w:val="20"/>
                <w:szCs w:val="20"/>
              </w:rPr>
            </w:pPr>
            <w:r>
              <w:rPr>
                <w:kern w:val="0"/>
                <w:sz w:val="20"/>
                <w:szCs w:val="20"/>
              </w:rPr>
            </w:r>
          </w:p>
        </w:tc>
      </w:tr>
      <w:tr>
        <w:trPr/>
        <w:tc>
          <w:tcPr>
            <w:tcW w:w="1979" w:type="dxa"/>
            <w:tcBorders/>
            <w:vAlign w:val="center"/>
          </w:tcPr>
          <w:p>
            <w:pPr>
              <w:pStyle w:val="Western1"/>
              <w:widowControl w:val="false"/>
              <w:suppressAutoHyphens w:val="true"/>
              <w:spacing w:before="0" w:after="0"/>
              <w:jc w:val="both"/>
              <w:rPr>
                <w:kern w:val="0"/>
                <w:sz w:val="20"/>
                <w:szCs w:val="20"/>
              </w:rPr>
            </w:pPr>
            <w:r>
              <w:rPr>
                <w:rFonts w:cs="Arial" w:ascii="Arial" w:hAnsi="Arial"/>
                <w:b/>
                <w:bCs/>
                <w:kern w:val="0"/>
                <w:sz w:val="22"/>
                <w:szCs w:val="22"/>
              </w:rPr>
              <w:t>RG:</w:t>
            </w:r>
          </w:p>
        </w:tc>
        <w:tc>
          <w:tcPr>
            <w:tcW w:w="6525" w:type="dxa"/>
            <w:tcBorders>
              <w:bottom w:val="single" w:sz="6" w:space="0" w:color="000000"/>
            </w:tcBorders>
            <w:vAlign w:val="center"/>
          </w:tcPr>
          <w:p>
            <w:pPr>
              <w:pStyle w:val="Western1"/>
              <w:widowControl w:val="false"/>
              <w:suppressAutoHyphens w:val="true"/>
              <w:spacing w:before="0" w:after="0"/>
              <w:jc w:val="both"/>
              <w:rPr>
                <w:kern w:val="0"/>
                <w:sz w:val="20"/>
                <w:szCs w:val="20"/>
              </w:rPr>
            </w:pPr>
            <w:r>
              <w:rPr>
                <w:kern w:val="0"/>
                <w:sz w:val="20"/>
                <w:szCs w:val="20"/>
              </w:rPr>
            </w:r>
          </w:p>
        </w:tc>
      </w:tr>
      <w:tr>
        <w:trPr/>
        <w:tc>
          <w:tcPr>
            <w:tcW w:w="1979" w:type="dxa"/>
            <w:tcBorders/>
            <w:vAlign w:val="center"/>
          </w:tcPr>
          <w:p>
            <w:pPr>
              <w:pStyle w:val="Western1"/>
              <w:widowControl w:val="false"/>
              <w:suppressAutoHyphens w:val="true"/>
              <w:spacing w:before="0" w:after="0"/>
              <w:jc w:val="both"/>
              <w:rPr>
                <w:kern w:val="0"/>
                <w:sz w:val="20"/>
                <w:szCs w:val="20"/>
              </w:rPr>
            </w:pPr>
            <w:r>
              <w:rPr>
                <w:rFonts w:cs="Arial" w:ascii="Arial" w:hAnsi="Arial"/>
                <w:b/>
                <w:bCs/>
                <w:kern w:val="0"/>
                <w:sz w:val="22"/>
                <w:szCs w:val="22"/>
              </w:rPr>
              <w:t>CPF:</w:t>
            </w:r>
          </w:p>
        </w:tc>
        <w:tc>
          <w:tcPr>
            <w:tcW w:w="6525" w:type="dxa"/>
            <w:tcBorders>
              <w:bottom w:val="single" w:sz="6" w:space="0" w:color="000000"/>
            </w:tcBorders>
            <w:vAlign w:val="center"/>
          </w:tcPr>
          <w:p>
            <w:pPr>
              <w:pStyle w:val="Western1"/>
              <w:widowControl w:val="false"/>
              <w:suppressAutoHyphens w:val="true"/>
              <w:spacing w:before="0" w:after="0"/>
              <w:jc w:val="both"/>
              <w:rPr>
                <w:kern w:val="0"/>
                <w:sz w:val="20"/>
                <w:szCs w:val="20"/>
              </w:rPr>
            </w:pPr>
            <w:r>
              <w:rPr>
                <w:kern w:val="0"/>
                <w:sz w:val="20"/>
                <w:szCs w:val="20"/>
              </w:rPr>
            </w:r>
          </w:p>
        </w:tc>
      </w:tr>
      <w:tr>
        <w:trPr/>
        <w:tc>
          <w:tcPr>
            <w:tcW w:w="1979" w:type="dxa"/>
            <w:tcBorders/>
            <w:vAlign w:val="center"/>
          </w:tcPr>
          <w:p>
            <w:pPr>
              <w:pStyle w:val="Western1"/>
              <w:widowControl w:val="false"/>
              <w:suppressAutoHyphens w:val="true"/>
              <w:spacing w:before="0" w:after="0"/>
              <w:jc w:val="both"/>
              <w:rPr>
                <w:kern w:val="0"/>
                <w:sz w:val="20"/>
                <w:szCs w:val="20"/>
              </w:rPr>
            </w:pPr>
            <w:r>
              <w:rPr>
                <w:rFonts w:cs="Arial" w:ascii="Arial" w:hAnsi="Arial"/>
                <w:b/>
                <w:bCs/>
                <w:kern w:val="0"/>
                <w:sz w:val="22"/>
                <w:szCs w:val="22"/>
              </w:rPr>
              <w:t>DOMICÍLIO:</w:t>
            </w:r>
          </w:p>
        </w:tc>
        <w:tc>
          <w:tcPr>
            <w:tcW w:w="6525" w:type="dxa"/>
            <w:tcBorders>
              <w:bottom w:val="single" w:sz="6" w:space="0" w:color="000000"/>
            </w:tcBorders>
            <w:vAlign w:val="center"/>
          </w:tcPr>
          <w:p>
            <w:pPr>
              <w:pStyle w:val="Western1"/>
              <w:widowControl w:val="false"/>
              <w:suppressAutoHyphens w:val="true"/>
              <w:spacing w:before="0" w:after="0"/>
              <w:jc w:val="both"/>
              <w:rPr>
                <w:kern w:val="0"/>
                <w:sz w:val="20"/>
                <w:szCs w:val="20"/>
              </w:rPr>
            </w:pPr>
            <w:r>
              <w:rPr>
                <w:kern w:val="0"/>
                <w:sz w:val="20"/>
                <w:szCs w:val="20"/>
              </w:rPr>
            </w:r>
          </w:p>
        </w:tc>
      </w:tr>
      <w:tr>
        <w:trPr/>
        <w:tc>
          <w:tcPr>
            <w:tcW w:w="1979" w:type="dxa"/>
            <w:tcBorders/>
            <w:vAlign w:val="center"/>
          </w:tcPr>
          <w:p>
            <w:pPr>
              <w:pStyle w:val="Western1"/>
              <w:widowControl w:val="false"/>
              <w:suppressAutoHyphens w:val="true"/>
              <w:spacing w:before="0" w:after="0"/>
              <w:jc w:val="both"/>
              <w:rPr>
                <w:kern w:val="0"/>
                <w:sz w:val="20"/>
                <w:szCs w:val="20"/>
              </w:rPr>
            </w:pPr>
            <w:r>
              <w:rPr>
                <w:rFonts w:cs="Arial" w:ascii="Arial" w:hAnsi="Arial"/>
                <w:b/>
                <w:bCs/>
                <w:kern w:val="0"/>
                <w:sz w:val="22"/>
                <w:szCs w:val="22"/>
              </w:rPr>
              <w:t>CIDADE:</w:t>
            </w:r>
          </w:p>
        </w:tc>
        <w:tc>
          <w:tcPr>
            <w:tcW w:w="6525" w:type="dxa"/>
            <w:tcBorders>
              <w:bottom w:val="single" w:sz="6" w:space="0" w:color="000000"/>
            </w:tcBorders>
            <w:vAlign w:val="center"/>
          </w:tcPr>
          <w:p>
            <w:pPr>
              <w:pStyle w:val="Western1"/>
              <w:widowControl w:val="false"/>
              <w:suppressAutoHyphens w:val="true"/>
              <w:spacing w:before="0" w:after="0"/>
              <w:jc w:val="both"/>
              <w:rPr>
                <w:kern w:val="0"/>
                <w:sz w:val="20"/>
                <w:szCs w:val="20"/>
              </w:rPr>
            </w:pPr>
            <w:r>
              <w:rPr>
                <w:kern w:val="0"/>
                <w:sz w:val="20"/>
                <w:szCs w:val="20"/>
              </w:rPr>
            </w:r>
          </w:p>
        </w:tc>
      </w:tr>
      <w:tr>
        <w:trPr/>
        <w:tc>
          <w:tcPr>
            <w:tcW w:w="1979" w:type="dxa"/>
            <w:tcBorders/>
            <w:vAlign w:val="center"/>
          </w:tcPr>
          <w:p>
            <w:pPr>
              <w:pStyle w:val="Western1"/>
              <w:widowControl w:val="false"/>
              <w:suppressAutoHyphens w:val="true"/>
              <w:spacing w:before="0" w:after="0"/>
              <w:jc w:val="both"/>
              <w:rPr>
                <w:kern w:val="0"/>
                <w:sz w:val="20"/>
                <w:szCs w:val="20"/>
              </w:rPr>
            </w:pPr>
            <w:r>
              <w:rPr>
                <w:rFonts w:cs="Arial" w:ascii="Arial" w:hAnsi="Arial"/>
                <w:b/>
                <w:bCs/>
                <w:kern w:val="0"/>
                <w:sz w:val="22"/>
                <w:szCs w:val="22"/>
              </w:rPr>
              <w:t>UF:</w:t>
            </w:r>
          </w:p>
        </w:tc>
        <w:tc>
          <w:tcPr>
            <w:tcW w:w="6525" w:type="dxa"/>
            <w:tcBorders>
              <w:bottom w:val="single" w:sz="6" w:space="0" w:color="000000"/>
            </w:tcBorders>
            <w:vAlign w:val="center"/>
          </w:tcPr>
          <w:p>
            <w:pPr>
              <w:pStyle w:val="Western1"/>
              <w:widowControl w:val="false"/>
              <w:suppressAutoHyphens w:val="true"/>
              <w:spacing w:before="0" w:after="0"/>
              <w:jc w:val="both"/>
              <w:rPr>
                <w:kern w:val="0"/>
                <w:sz w:val="20"/>
                <w:szCs w:val="20"/>
              </w:rPr>
            </w:pPr>
            <w:r>
              <w:rPr>
                <w:kern w:val="0"/>
                <w:sz w:val="20"/>
                <w:szCs w:val="20"/>
              </w:rPr>
            </w:r>
          </w:p>
        </w:tc>
      </w:tr>
      <w:tr>
        <w:trPr/>
        <w:tc>
          <w:tcPr>
            <w:tcW w:w="1979" w:type="dxa"/>
            <w:tcBorders/>
            <w:vAlign w:val="center"/>
          </w:tcPr>
          <w:p>
            <w:pPr>
              <w:pStyle w:val="Western1"/>
              <w:widowControl w:val="false"/>
              <w:suppressAutoHyphens w:val="true"/>
              <w:spacing w:before="0" w:after="0"/>
              <w:jc w:val="both"/>
              <w:rPr>
                <w:kern w:val="0"/>
                <w:sz w:val="20"/>
                <w:szCs w:val="20"/>
              </w:rPr>
            </w:pPr>
            <w:r>
              <w:rPr>
                <w:rFonts w:cs="Arial" w:ascii="Arial" w:hAnsi="Arial"/>
                <w:b/>
                <w:bCs/>
                <w:kern w:val="0"/>
                <w:sz w:val="22"/>
                <w:szCs w:val="22"/>
              </w:rPr>
              <w:t>FONE:</w:t>
            </w:r>
          </w:p>
        </w:tc>
        <w:tc>
          <w:tcPr>
            <w:tcW w:w="6525" w:type="dxa"/>
            <w:tcBorders>
              <w:bottom w:val="single" w:sz="6" w:space="0" w:color="000000"/>
            </w:tcBorders>
            <w:vAlign w:val="center"/>
          </w:tcPr>
          <w:p>
            <w:pPr>
              <w:pStyle w:val="Western1"/>
              <w:widowControl w:val="false"/>
              <w:suppressAutoHyphens w:val="true"/>
              <w:spacing w:before="0" w:after="0"/>
              <w:jc w:val="both"/>
              <w:rPr>
                <w:kern w:val="0"/>
                <w:sz w:val="20"/>
                <w:szCs w:val="20"/>
              </w:rPr>
            </w:pPr>
            <w:r>
              <w:rPr>
                <w:kern w:val="0"/>
                <w:sz w:val="20"/>
                <w:szCs w:val="20"/>
              </w:rPr>
            </w:r>
          </w:p>
        </w:tc>
      </w:tr>
      <w:tr>
        <w:trPr/>
        <w:tc>
          <w:tcPr>
            <w:tcW w:w="1979" w:type="dxa"/>
            <w:tcBorders/>
            <w:vAlign w:val="center"/>
          </w:tcPr>
          <w:p>
            <w:pPr>
              <w:pStyle w:val="Western1"/>
              <w:widowControl w:val="false"/>
              <w:suppressAutoHyphens w:val="true"/>
              <w:spacing w:before="0" w:after="0"/>
              <w:jc w:val="both"/>
              <w:rPr>
                <w:kern w:val="0"/>
                <w:sz w:val="20"/>
                <w:szCs w:val="20"/>
              </w:rPr>
            </w:pPr>
            <w:r>
              <w:rPr>
                <w:rFonts w:cs="Arial" w:ascii="Arial" w:hAnsi="Arial"/>
                <w:b/>
                <w:bCs/>
                <w:kern w:val="0"/>
                <w:sz w:val="22"/>
                <w:szCs w:val="22"/>
              </w:rPr>
              <w:t>FAX:</w:t>
            </w:r>
          </w:p>
        </w:tc>
        <w:tc>
          <w:tcPr>
            <w:tcW w:w="6525" w:type="dxa"/>
            <w:tcBorders>
              <w:bottom w:val="single" w:sz="6" w:space="0" w:color="000000"/>
            </w:tcBorders>
            <w:vAlign w:val="center"/>
          </w:tcPr>
          <w:p>
            <w:pPr>
              <w:pStyle w:val="Western1"/>
              <w:widowControl w:val="false"/>
              <w:suppressAutoHyphens w:val="true"/>
              <w:spacing w:before="0" w:after="0"/>
              <w:jc w:val="both"/>
              <w:rPr>
                <w:kern w:val="0"/>
                <w:sz w:val="20"/>
                <w:szCs w:val="20"/>
              </w:rPr>
            </w:pPr>
            <w:r>
              <w:rPr>
                <w:kern w:val="0"/>
                <w:sz w:val="20"/>
                <w:szCs w:val="20"/>
              </w:rPr>
            </w:r>
          </w:p>
        </w:tc>
      </w:tr>
      <w:tr>
        <w:trPr/>
        <w:tc>
          <w:tcPr>
            <w:tcW w:w="1979" w:type="dxa"/>
            <w:tcBorders/>
            <w:vAlign w:val="center"/>
          </w:tcPr>
          <w:p>
            <w:pPr>
              <w:pStyle w:val="Western1"/>
              <w:widowControl w:val="false"/>
              <w:suppressAutoHyphens w:val="true"/>
              <w:spacing w:before="0" w:after="0"/>
              <w:jc w:val="both"/>
              <w:rPr>
                <w:kern w:val="0"/>
                <w:sz w:val="20"/>
                <w:szCs w:val="20"/>
              </w:rPr>
            </w:pPr>
            <w:r>
              <w:rPr>
                <w:rFonts w:cs="Arial" w:ascii="Arial" w:hAnsi="Arial"/>
                <w:b/>
                <w:bCs/>
                <w:kern w:val="0"/>
                <w:sz w:val="22"/>
                <w:szCs w:val="22"/>
              </w:rPr>
              <w:t>E-MAIL:</w:t>
            </w:r>
          </w:p>
        </w:tc>
        <w:tc>
          <w:tcPr>
            <w:tcW w:w="6525" w:type="dxa"/>
            <w:tcBorders>
              <w:bottom w:val="single" w:sz="6" w:space="0" w:color="000000"/>
            </w:tcBorders>
            <w:vAlign w:val="center"/>
          </w:tcPr>
          <w:p>
            <w:pPr>
              <w:pStyle w:val="Western1"/>
              <w:widowControl w:val="false"/>
              <w:suppressAutoHyphens w:val="true"/>
              <w:spacing w:before="0" w:after="0"/>
              <w:jc w:val="both"/>
              <w:rPr>
                <w:kern w:val="0"/>
                <w:sz w:val="20"/>
                <w:szCs w:val="20"/>
              </w:rPr>
            </w:pPr>
            <w:r>
              <w:rPr>
                <w:kern w:val="0"/>
                <w:sz w:val="20"/>
                <w:szCs w:val="20"/>
              </w:rPr>
            </w:r>
          </w:p>
        </w:tc>
      </w:tr>
    </w:tbl>
    <w:p>
      <w:pPr>
        <w:pStyle w:val="NormalWeb"/>
        <w:spacing w:lineRule="auto" w:line="240" w:before="0" w:after="0"/>
        <w:jc w:val="both"/>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p>
      <w:pPr>
        <w:pStyle w:val="Textbody"/>
        <w:spacing w:lineRule="auto" w:line="240" w:before="0" w:after="0"/>
        <w:rPr/>
      </w:pPr>
      <w:r>
        <w:rPr/>
      </w:r>
    </w:p>
    <w:sectPr>
      <w:headerReference w:type="even" r:id="rId19"/>
      <w:headerReference w:type="default" r:id="rId20"/>
      <w:headerReference w:type="first" r:id="rId21"/>
      <w:footerReference w:type="even" r:id="rId22"/>
      <w:footerReference w:type="default" r:id="rId23"/>
      <w:footerReference w:type="first" r:id="rId24"/>
      <w:type w:val="nextPage"/>
      <w:pgSz w:w="11906" w:h="16838"/>
      <w:pgMar w:left="1417" w:right="1417" w:gutter="0" w:header="708" w:top="3325" w:footer="9" w:bottom="2015"/>
      <w:pgNumType w:start="1" w:fmt="decimal"/>
      <w:formProt w:val="false"/>
      <w:textDirection w:val="lrTb"/>
      <w:docGrid w:type="default" w:linePitch="240" w:charSpace="983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imesNewRoman">
    <w:altName w:val=" ''Times New Roma"/>
    <w:charset w:val="00"/>
    <w:family w:val="roman"/>
    <w:pitch w:val="variable"/>
  </w:font>
  <w:font w:name="Liberation Serif">
    <w:altName w:val="Times New Roman"/>
    <w:charset w:val="00"/>
    <w:family w:val="swiss"/>
    <w:pitch w:val="variable"/>
  </w:font>
  <w:font w:name="Segoe UI">
    <w:charset w:val="00"/>
    <w:family w:val="roman"/>
    <w:pitch w:val="variable"/>
  </w:font>
  <w:font w:name="OpenSymbol">
    <w:altName w:val="Arial Unicode MS"/>
    <w:charset w:val="00"/>
    <w:family w:val="roman"/>
    <w:pitch w:val="variable"/>
  </w:font>
  <w:font w:name="Symbol">
    <w:charset w:val="00"/>
    <w:family w:val="roman"/>
    <w:pitch w:val="variable"/>
  </w:font>
  <w:font w:name="Courier New">
    <w:charset w:val="00"/>
    <w:family w:val="roman"/>
    <w:pitch w:val="variable"/>
  </w:font>
  <w:font w:name="Wingdings">
    <w:charset w:val="00"/>
    <w:family w:val="roman"/>
    <w:pitch w:val="variable"/>
  </w:font>
  <w:font w:name="ArialNarrow">
    <w:charset w:val="00"/>
    <w:family w:val="roman"/>
    <w:pitch w:val="variable"/>
  </w:font>
  <w:font w:name="Cumberland AMT">
    <w:altName w:val="Courier New"/>
    <w:charset w:val="00"/>
    <w:family w:val="roman"/>
    <w:pitch w:val="variable"/>
  </w:font>
  <w:font w:name="Liberation Sans">
    <w:altName w:val="Arial"/>
    <w:charset w:val="00"/>
    <w:family w:val="roman"/>
    <w:pitch w:val="variable"/>
  </w:font>
  <w:font w:name="Calibri">
    <w:charset w:val="00"/>
    <w:family w:val="roman"/>
    <w:pitch w:val="variable"/>
  </w:font>
  <w:font w:name="Arial">
    <w:charset w:val="00"/>
    <w:family w:val="roman"/>
    <w:pitch w:val="variable"/>
  </w:font>
  <w:font w:name="Calibri">
    <w:altName w:val="sans-serif"/>
    <w:charset w:val="00"/>
    <w:family w:val="roman"/>
    <w:pitch w:val="variable"/>
  </w:font>
  <w:font w:name="Helvetica">
    <w:altName w:val="Arial"/>
    <w:charset w:val="00"/>
    <w:family w:val="roman"/>
    <w:pitch w:val="variable"/>
  </w:font>
  <w:font w:name="ArialMT">
    <w:charset w:val="00"/>
    <w:family w:val="roman"/>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1"/>
      <w:rPr/>
    </w:pPr>
    <w:r>
      <w:rPr/>
      <w:drawing>
        <wp:anchor behindDoc="1" distT="0" distB="0" distL="114935" distR="114935" simplePos="0" locked="0" layoutInCell="0" allowOverlap="1" relativeHeight="60">
          <wp:simplePos x="0" y="0"/>
          <wp:positionH relativeFrom="column">
            <wp:posOffset>-1079500</wp:posOffset>
          </wp:positionH>
          <wp:positionV relativeFrom="paragraph">
            <wp:posOffset>92075</wp:posOffset>
          </wp:positionV>
          <wp:extent cx="7556500" cy="806450"/>
          <wp:effectExtent l="0" t="0" r="0" b="0"/>
          <wp:wrapSquare wrapText="bothSides"/>
          <wp:docPr id="3" name="Figur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4" descr=""/>
                  <pic:cNvPicPr>
                    <a:picLocks noChangeAspect="1" noChangeArrowheads="1"/>
                  </pic:cNvPicPr>
                </pic:nvPicPr>
                <pic:blipFill>
                  <a:blip r:embed="rId1"/>
                  <a:srcRect l="-43" t="-400" r="-43" b="-400"/>
                  <a:stretch>
                    <a:fillRect/>
                  </a:stretch>
                </pic:blipFill>
                <pic:spPr bwMode="auto">
                  <a:xfrm>
                    <a:off x="0" y="0"/>
                    <a:ext cx="7556500" cy="806450"/>
                  </a:xfrm>
                  <a:prstGeom prst="rect">
                    <a:avLst/>
                  </a:prstGeom>
                </pic:spPr>
              </pic:pic>
            </a:graphicData>
          </a:graphic>
        </wp:anchor>
      </w:drawing>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1"/>
      <w:rPr/>
    </w:pPr>
    <w:r>
      <w:rPr/>
      <w:drawing>
        <wp:anchor behindDoc="1" distT="0" distB="0" distL="114935" distR="114935" simplePos="0" locked="0" layoutInCell="0" allowOverlap="1" relativeHeight="60">
          <wp:simplePos x="0" y="0"/>
          <wp:positionH relativeFrom="column">
            <wp:posOffset>-1079500</wp:posOffset>
          </wp:positionH>
          <wp:positionV relativeFrom="paragraph">
            <wp:posOffset>92075</wp:posOffset>
          </wp:positionV>
          <wp:extent cx="7556500" cy="806450"/>
          <wp:effectExtent l="0" t="0" r="0" b="0"/>
          <wp:wrapSquare wrapText="bothSides"/>
          <wp:docPr id="4" name="Figur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4" descr=""/>
                  <pic:cNvPicPr>
                    <a:picLocks noChangeAspect="1" noChangeArrowheads="1"/>
                  </pic:cNvPicPr>
                </pic:nvPicPr>
                <pic:blipFill>
                  <a:blip r:embed="rId1"/>
                  <a:srcRect l="-43" t="-400" r="-43" b="-400"/>
                  <a:stretch>
                    <a:fillRect/>
                  </a:stretch>
                </pic:blipFill>
                <pic:spPr bwMode="auto">
                  <a:xfrm>
                    <a:off x="0" y="0"/>
                    <a:ext cx="7556500" cy="806450"/>
                  </a:xfrm>
                  <a:prstGeom prst="rect">
                    <a:avLst/>
                  </a:prstGeom>
                </pic:spPr>
              </pic:pic>
            </a:graphicData>
          </a:graphic>
        </wp:anchor>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0" distR="0" simplePos="0" locked="0" layoutInCell="0" allowOverlap="1" relativeHeight="119">
          <wp:simplePos x="0" y="0"/>
          <wp:positionH relativeFrom="column">
            <wp:posOffset>2094865</wp:posOffset>
          </wp:positionH>
          <wp:positionV relativeFrom="paragraph">
            <wp:posOffset>-307975</wp:posOffset>
          </wp:positionV>
          <wp:extent cx="1920875" cy="1913255"/>
          <wp:effectExtent l="0" t="0" r="0" b="0"/>
          <wp:wrapSquare wrapText="largest"/>
          <wp:docPr id="1"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2" descr=""/>
                  <pic:cNvPicPr>
                    <a:picLocks noChangeAspect="1" noChangeArrowheads="1"/>
                  </pic:cNvPicPr>
                </pic:nvPicPr>
                <pic:blipFill>
                  <a:blip r:embed="rId1"/>
                  <a:srcRect l="-178" t="-180" r="-178" b="-180"/>
                  <a:stretch>
                    <a:fillRect/>
                  </a:stretch>
                </pic:blipFill>
                <pic:spPr bwMode="auto">
                  <a:xfrm>
                    <a:off x="0" y="0"/>
                    <a:ext cx="1920875" cy="1913255"/>
                  </a:xfrm>
                  <a:prstGeom prst="rect">
                    <a:avLst/>
                  </a:prstGeom>
                </pic:spPr>
              </pic:pic>
            </a:graphicData>
          </a:graphic>
        </wp:anchor>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0" distR="0" simplePos="0" locked="0" layoutInCell="0" allowOverlap="1" relativeHeight="119">
          <wp:simplePos x="0" y="0"/>
          <wp:positionH relativeFrom="column">
            <wp:posOffset>2094865</wp:posOffset>
          </wp:positionH>
          <wp:positionV relativeFrom="paragraph">
            <wp:posOffset>-307975</wp:posOffset>
          </wp:positionV>
          <wp:extent cx="1920875" cy="1913255"/>
          <wp:effectExtent l="0" t="0" r="0" b="0"/>
          <wp:wrapSquare wrapText="largest"/>
          <wp:docPr id="2"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2" descr=""/>
                  <pic:cNvPicPr>
                    <a:picLocks noChangeAspect="1" noChangeArrowheads="1"/>
                  </pic:cNvPicPr>
                </pic:nvPicPr>
                <pic:blipFill>
                  <a:blip r:embed="rId1"/>
                  <a:srcRect l="-178" t="-180" r="-178" b="-180"/>
                  <a:stretch>
                    <a:fillRect/>
                  </a:stretch>
                </pic:blipFill>
                <pic:spPr bwMode="auto">
                  <a:xfrm>
                    <a:off x="0" y="0"/>
                    <a:ext cx="1920875" cy="191325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080" w:hanging="360"/>
      </w:pPr>
      <w:rPr/>
    </w:lvl>
    <w:lvl w:ilvl="2">
      <w:start w:val="1"/>
      <w:numFmt w:val="lowerLetter"/>
      <w:lvlText w:val="%3)"/>
      <w:lvlJc w:val="left"/>
      <w:pPr>
        <w:tabs>
          <w:tab w:val="num" w:pos="0"/>
        </w:tabs>
        <w:ind w:left="1440" w:hanging="360"/>
      </w:pPr>
      <w:rPr/>
    </w:lvl>
    <w:lvl w:ilvl="3">
      <w:start w:val="1"/>
      <w:numFmt w:val="lowerLetter"/>
      <w:lvlText w:val="%4)"/>
      <w:lvlJc w:val="left"/>
      <w:pPr>
        <w:tabs>
          <w:tab w:val="num" w:pos="0"/>
        </w:tabs>
        <w:ind w:left="1800" w:hanging="360"/>
      </w:pPr>
      <w:rPr/>
    </w:lvl>
    <w:lvl w:ilvl="4">
      <w:start w:val="1"/>
      <w:numFmt w:val="lowerLetter"/>
      <w:lvlText w:val="%5)"/>
      <w:lvlJc w:val="left"/>
      <w:pPr>
        <w:tabs>
          <w:tab w:val="num" w:pos="0"/>
        </w:tabs>
        <w:ind w:left="2160" w:hanging="360"/>
      </w:pPr>
      <w:rPr/>
    </w:lvl>
    <w:lvl w:ilvl="5">
      <w:start w:val="1"/>
      <w:numFmt w:val="lowerLetter"/>
      <w:lvlText w:val="%6)"/>
      <w:lvlJc w:val="left"/>
      <w:pPr>
        <w:tabs>
          <w:tab w:val="num" w:pos="0"/>
        </w:tabs>
        <w:ind w:left="2520" w:hanging="360"/>
      </w:pPr>
      <w:rPr/>
    </w:lvl>
    <w:lvl w:ilvl="6">
      <w:start w:val="1"/>
      <w:numFmt w:val="lowerLetter"/>
      <w:lvlText w:val="%7)"/>
      <w:lvlJc w:val="left"/>
      <w:pPr>
        <w:tabs>
          <w:tab w:val="num" w:pos="0"/>
        </w:tabs>
        <w:ind w:left="2880" w:hanging="360"/>
      </w:pPr>
      <w:rPr/>
    </w:lvl>
    <w:lvl w:ilvl="7">
      <w:start w:val="1"/>
      <w:numFmt w:val="lowerLetter"/>
      <w:lvlText w:val="%8)"/>
      <w:lvlJc w:val="left"/>
      <w:pPr>
        <w:tabs>
          <w:tab w:val="num" w:pos="0"/>
        </w:tabs>
        <w:ind w:left="3240" w:hanging="360"/>
      </w:pPr>
      <w:rPr/>
    </w:lvl>
    <w:lvl w:ilvl="8">
      <w:start w:val="1"/>
      <w:numFmt w:val="lowerLetter"/>
      <w:lvlText w:val="%9)"/>
      <w:lvlJc w:val="left"/>
      <w:pPr>
        <w:tabs>
          <w:tab w:val="num" w:pos="0"/>
        </w:tabs>
        <w:ind w:left="3600" w:hanging="360"/>
      </w:pPr>
      <w:rPr/>
    </w:lvl>
  </w:abstractNum>
  <w:abstractNum w:abstractNumId="2">
    <w:lvl w:ilvl="0">
      <w:start w:val="1"/>
      <w:numFmt w:val="lowerLetter"/>
      <w:lvlText w:val="%1)"/>
      <w:lvlJc w:val="left"/>
      <w:pPr>
        <w:tabs>
          <w:tab w:val="num" w:pos="0"/>
        </w:tabs>
        <w:ind w:left="720" w:hanging="360"/>
      </w:pPr>
      <w:rPr/>
    </w:lvl>
    <w:lvl w:ilvl="1">
      <w:start w:val="1"/>
      <w:numFmt w:val="upperRoman"/>
      <w:lvlText w:val="%2."/>
      <w:lvlJc w:val="left"/>
      <w:pPr>
        <w:tabs>
          <w:tab w:val="num" w:pos="0"/>
        </w:tabs>
        <w:ind w:left="1080" w:hanging="360"/>
      </w:pPr>
      <w:rPr/>
    </w:lvl>
    <w:lvl w:ilvl="2">
      <w:start w:val="1"/>
      <w:numFmt w:val="lowerLetter"/>
      <w:lvlText w:val="%3)"/>
      <w:lvlJc w:val="left"/>
      <w:pPr>
        <w:tabs>
          <w:tab w:val="num" w:pos="0"/>
        </w:tabs>
        <w:ind w:left="1440" w:hanging="360"/>
      </w:pPr>
      <w:rPr/>
    </w:lvl>
    <w:lvl w:ilvl="3">
      <w:start w:val="1"/>
      <w:numFmt w:val="lowerLetter"/>
      <w:lvlText w:val="%4)"/>
      <w:lvlJc w:val="left"/>
      <w:pPr>
        <w:tabs>
          <w:tab w:val="num" w:pos="0"/>
        </w:tabs>
        <w:ind w:left="1800" w:hanging="360"/>
      </w:pPr>
      <w:rPr/>
    </w:lvl>
    <w:lvl w:ilvl="4">
      <w:start w:val="1"/>
      <w:numFmt w:val="lowerLetter"/>
      <w:lvlText w:val="%5)"/>
      <w:lvlJc w:val="left"/>
      <w:pPr>
        <w:tabs>
          <w:tab w:val="num" w:pos="0"/>
        </w:tabs>
        <w:ind w:left="2160" w:hanging="360"/>
      </w:pPr>
      <w:rPr/>
    </w:lvl>
    <w:lvl w:ilvl="5">
      <w:start w:val="1"/>
      <w:numFmt w:val="lowerLetter"/>
      <w:lvlText w:val="%6)"/>
      <w:lvlJc w:val="left"/>
      <w:pPr>
        <w:tabs>
          <w:tab w:val="num" w:pos="0"/>
        </w:tabs>
        <w:ind w:left="2520" w:hanging="360"/>
      </w:pPr>
      <w:rPr/>
    </w:lvl>
    <w:lvl w:ilvl="6">
      <w:start w:val="1"/>
      <w:numFmt w:val="lowerLetter"/>
      <w:lvlText w:val="%7)"/>
      <w:lvlJc w:val="left"/>
      <w:pPr>
        <w:tabs>
          <w:tab w:val="num" w:pos="0"/>
        </w:tabs>
        <w:ind w:left="2880" w:hanging="360"/>
      </w:pPr>
      <w:rPr/>
    </w:lvl>
    <w:lvl w:ilvl="7">
      <w:start w:val="1"/>
      <w:numFmt w:val="lowerLetter"/>
      <w:lvlText w:val="%8)"/>
      <w:lvlJc w:val="left"/>
      <w:pPr>
        <w:tabs>
          <w:tab w:val="num" w:pos="0"/>
        </w:tabs>
        <w:ind w:left="3240" w:hanging="360"/>
      </w:pPr>
      <w:rPr/>
    </w:lvl>
    <w:lvl w:ilvl="8">
      <w:start w:val="1"/>
      <w:numFmt w:val="lowerLetter"/>
      <w:lvlText w:val="%9)"/>
      <w:lvlJc w:val="left"/>
      <w:pPr>
        <w:tabs>
          <w:tab w:val="num" w:pos="0"/>
        </w:tabs>
        <w:ind w:left="3600" w:hanging="360"/>
      </w:pPr>
      <w:rPr/>
    </w:lvl>
  </w:abstractNum>
  <w:abstractNum w:abstractNumId="3">
    <w:lvl w:ilvl="0">
      <w:start w:val="5"/>
      <w:numFmt w:val="lowerLetter"/>
      <w:lvlText w:val="%1)"/>
      <w:lvlJc w:val="left"/>
      <w:pPr>
        <w:tabs>
          <w:tab w:val="num" w:pos="0"/>
        </w:tabs>
        <w:ind w:left="720" w:hanging="360"/>
      </w:pPr>
      <w:rPr/>
    </w:lvl>
    <w:lvl w:ilvl="1">
      <w:start w:val="1"/>
      <w:numFmt w:val="lowerLetter"/>
      <w:lvlText w:val="%2)"/>
      <w:lvlJc w:val="left"/>
      <w:pPr>
        <w:tabs>
          <w:tab w:val="num" w:pos="0"/>
        </w:tabs>
        <w:ind w:left="1080" w:hanging="360"/>
      </w:pPr>
      <w:rPr/>
    </w:lvl>
    <w:lvl w:ilvl="2">
      <w:start w:val="1"/>
      <w:numFmt w:val="lowerLetter"/>
      <w:lvlText w:val="%3)"/>
      <w:lvlJc w:val="left"/>
      <w:pPr>
        <w:tabs>
          <w:tab w:val="num" w:pos="0"/>
        </w:tabs>
        <w:ind w:left="1440" w:hanging="360"/>
      </w:pPr>
      <w:rPr/>
    </w:lvl>
    <w:lvl w:ilvl="3">
      <w:start w:val="1"/>
      <w:numFmt w:val="lowerLetter"/>
      <w:lvlText w:val="%4)"/>
      <w:lvlJc w:val="left"/>
      <w:pPr>
        <w:tabs>
          <w:tab w:val="num" w:pos="0"/>
        </w:tabs>
        <w:ind w:left="1800" w:hanging="360"/>
      </w:pPr>
      <w:rPr/>
    </w:lvl>
    <w:lvl w:ilvl="4">
      <w:start w:val="1"/>
      <w:numFmt w:val="lowerLetter"/>
      <w:lvlText w:val="%5)"/>
      <w:lvlJc w:val="left"/>
      <w:pPr>
        <w:tabs>
          <w:tab w:val="num" w:pos="0"/>
        </w:tabs>
        <w:ind w:left="2160" w:hanging="360"/>
      </w:pPr>
      <w:rPr/>
    </w:lvl>
    <w:lvl w:ilvl="5">
      <w:start w:val="1"/>
      <w:numFmt w:val="lowerLetter"/>
      <w:lvlText w:val="%6)"/>
      <w:lvlJc w:val="left"/>
      <w:pPr>
        <w:tabs>
          <w:tab w:val="num" w:pos="0"/>
        </w:tabs>
        <w:ind w:left="2520" w:hanging="360"/>
      </w:pPr>
      <w:rPr/>
    </w:lvl>
    <w:lvl w:ilvl="6">
      <w:start w:val="1"/>
      <w:numFmt w:val="lowerLetter"/>
      <w:lvlText w:val="%7)"/>
      <w:lvlJc w:val="left"/>
      <w:pPr>
        <w:tabs>
          <w:tab w:val="num" w:pos="0"/>
        </w:tabs>
        <w:ind w:left="2880" w:hanging="360"/>
      </w:pPr>
      <w:rPr/>
    </w:lvl>
    <w:lvl w:ilvl="7">
      <w:start w:val="1"/>
      <w:numFmt w:val="lowerLetter"/>
      <w:lvlText w:val="%8)"/>
      <w:lvlJc w:val="left"/>
      <w:pPr>
        <w:tabs>
          <w:tab w:val="num" w:pos="0"/>
        </w:tabs>
        <w:ind w:left="3240" w:hanging="360"/>
      </w:pPr>
      <w:rPr/>
    </w:lvl>
    <w:lvl w:ilvl="8">
      <w:start w:val="1"/>
      <w:numFmt w:val="lowerLetter"/>
      <w:lvlText w:val="%9)"/>
      <w:lvlJc w:val="left"/>
      <w:pPr>
        <w:tabs>
          <w:tab w:val="num" w:pos="0"/>
        </w:tabs>
        <w:ind w:left="3600" w:hanging="360"/>
      </w:pPr>
      <w:rPr/>
    </w:lvl>
  </w:abstractNum>
  <w:abstractNum w:abstractNumId="4">
    <w:lvl w:ilvl="0">
      <w:start w:val="1"/>
      <w:numFmt w:val="upperRoman"/>
      <w:lvlText w:val="%1."/>
      <w:lvlJc w:val="left"/>
      <w:pPr>
        <w:tabs>
          <w:tab w:val="num" w:pos="0"/>
        </w:tabs>
        <w:ind w:left="720" w:hanging="360"/>
      </w:pPr>
      <w:rPr/>
    </w:lvl>
    <w:lvl w:ilvl="1">
      <w:start w:val="1"/>
      <w:numFmt w:val="upperRoman"/>
      <w:lvlText w:val="%2."/>
      <w:lvlJc w:val="left"/>
      <w:pPr>
        <w:tabs>
          <w:tab w:val="num" w:pos="0"/>
        </w:tabs>
        <w:ind w:left="1080" w:hanging="360"/>
      </w:pPr>
      <w:rPr/>
    </w:lvl>
    <w:lvl w:ilvl="2">
      <w:start w:val="1"/>
      <w:numFmt w:val="upperRoman"/>
      <w:lvlText w:val="%3."/>
      <w:lvlJc w:val="left"/>
      <w:pPr>
        <w:tabs>
          <w:tab w:val="num" w:pos="0"/>
        </w:tabs>
        <w:ind w:left="1440" w:hanging="360"/>
      </w:pPr>
      <w:rPr/>
    </w:lvl>
    <w:lvl w:ilvl="3">
      <w:start w:val="1"/>
      <w:numFmt w:val="upperRoman"/>
      <w:lvlText w:val="%4."/>
      <w:lvlJc w:val="left"/>
      <w:pPr>
        <w:tabs>
          <w:tab w:val="num" w:pos="0"/>
        </w:tabs>
        <w:ind w:left="1800" w:hanging="360"/>
      </w:pPr>
      <w:rPr/>
    </w:lvl>
    <w:lvl w:ilvl="4">
      <w:start w:val="1"/>
      <w:numFmt w:val="upperRoman"/>
      <w:lvlText w:val="%5."/>
      <w:lvlJc w:val="left"/>
      <w:pPr>
        <w:tabs>
          <w:tab w:val="num" w:pos="0"/>
        </w:tabs>
        <w:ind w:left="2160" w:hanging="360"/>
      </w:pPr>
      <w:rPr/>
    </w:lvl>
    <w:lvl w:ilvl="5">
      <w:start w:val="1"/>
      <w:numFmt w:val="upperRoman"/>
      <w:lvlText w:val="%6."/>
      <w:lvlJc w:val="left"/>
      <w:pPr>
        <w:tabs>
          <w:tab w:val="num" w:pos="0"/>
        </w:tabs>
        <w:ind w:left="2520" w:hanging="360"/>
      </w:pPr>
      <w:rPr/>
    </w:lvl>
    <w:lvl w:ilvl="6">
      <w:start w:val="1"/>
      <w:numFmt w:val="upperRoman"/>
      <w:lvlText w:val="%7."/>
      <w:lvlJc w:val="left"/>
      <w:pPr>
        <w:tabs>
          <w:tab w:val="num" w:pos="0"/>
        </w:tabs>
        <w:ind w:left="2880" w:hanging="360"/>
      </w:pPr>
      <w:rPr/>
    </w:lvl>
    <w:lvl w:ilvl="7">
      <w:start w:val="1"/>
      <w:numFmt w:val="upperRoman"/>
      <w:lvlText w:val="%8."/>
      <w:lvlJc w:val="left"/>
      <w:pPr>
        <w:tabs>
          <w:tab w:val="num" w:pos="0"/>
        </w:tabs>
        <w:ind w:left="3240" w:hanging="360"/>
      </w:pPr>
      <w:rPr/>
    </w:lvl>
    <w:lvl w:ilvl="8">
      <w:start w:val="1"/>
      <w:numFmt w:val="upperRoman"/>
      <w:lvlText w:val="%9."/>
      <w:lvlJc w:val="left"/>
      <w:pPr>
        <w:tabs>
          <w:tab w:val="num" w:pos="0"/>
        </w:tabs>
        <w:ind w:left="3600" w:hanging="360"/>
      </w:pPr>
      <w:rPr/>
    </w:lvl>
  </w:abstractNum>
  <w:abstractNum w:abstractNumId="5">
    <w:lvl w:ilvl="0">
      <w:start w:val="1"/>
      <w:numFmt w:val="bullet"/>
      <w:lvlText w:val=""/>
      <w:lvlJc w:val="left"/>
      <w:pPr>
        <w:tabs>
          <w:tab w:val="num" w:pos="0"/>
        </w:tabs>
        <w:ind w:left="720" w:hanging="360"/>
      </w:pPr>
      <w:rPr>
        <w:rFonts w:ascii="Symbol" w:hAnsi="Symbol" w:cs="Symbol" w:hint="default"/>
      </w:rPr>
    </w:lvl>
    <w:lvl w:ilvl="1">
      <w:start w:val="1"/>
      <w:numFmt w:val="bullet"/>
      <w:lvlText w:val=""/>
      <w:lvlJc w:val="left"/>
      <w:pPr>
        <w:tabs>
          <w:tab w:val="num" w:pos="0"/>
        </w:tabs>
        <w:ind w:left="1080" w:hanging="360"/>
      </w:pPr>
      <w:rPr>
        <w:rFonts w:ascii="Symbol" w:hAnsi="Symbol" w:cs="Symbol" w:hint="default"/>
      </w:rPr>
    </w:lvl>
    <w:lvl w:ilvl="2">
      <w:start w:val="1"/>
      <w:numFmt w:val="bullet"/>
      <w:lvlText w:val=""/>
      <w:lvlJc w:val="left"/>
      <w:pPr>
        <w:tabs>
          <w:tab w:val="num" w:pos="0"/>
        </w:tabs>
        <w:ind w:left="1440" w:hanging="360"/>
      </w:pPr>
      <w:rPr>
        <w:rFonts w:ascii="Symbol" w:hAnsi="Symbol" w:cs="Symbol" w:hint="default"/>
      </w:rPr>
    </w:lvl>
    <w:lvl w:ilvl="3">
      <w:start w:val="1"/>
      <w:numFmt w:val="bullet"/>
      <w:lvlText w:val=""/>
      <w:lvlJc w:val="left"/>
      <w:pPr>
        <w:tabs>
          <w:tab w:val="num" w:pos="0"/>
        </w:tabs>
        <w:ind w:left="1800" w:hanging="360"/>
      </w:pPr>
      <w:rPr>
        <w:rFonts w:ascii="Symbol" w:hAnsi="Symbol" w:cs="Symbol" w:hint="default"/>
      </w:rPr>
    </w:lvl>
    <w:lvl w:ilvl="4">
      <w:start w:val="1"/>
      <w:numFmt w:val="bullet"/>
      <w:lvlText w:val=""/>
      <w:lvlJc w:val="left"/>
      <w:pPr>
        <w:tabs>
          <w:tab w:val="num" w:pos="0"/>
        </w:tabs>
        <w:ind w:left="2160" w:hanging="360"/>
      </w:pPr>
      <w:rPr>
        <w:rFonts w:ascii="Symbol" w:hAnsi="Symbol" w:cs="Symbol" w:hint="default"/>
      </w:rPr>
    </w:lvl>
    <w:lvl w:ilvl="5">
      <w:start w:val="1"/>
      <w:numFmt w:val="bullet"/>
      <w:lvlText w:val=""/>
      <w:lvlJc w:val="left"/>
      <w:pPr>
        <w:tabs>
          <w:tab w:val="num" w:pos="0"/>
        </w:tabs>
        <w:ind w:left="2520" w:hanging="360"/>
      </w:pPr>
      <w:rPr>
        <w:rFonts w:ascii="Symbol" w:hAnsi="Symbol" w:cs="Symbol" w:hint="default"/>
      </w:rPr>
    </w:lvl>
    <w:lvl w:ilvl="6">
      <w:start w:val="1"/>
      <w:numFmt w:val="bullet"/>
      <w:lvlText w:val=""/>
      <w:lvlJc w:val="left"/>
      <w:pPr>
        <w:tabs>
          <w:tab w:val="num" w:pos="0"/>
        </w:tabs>
        <w:ind w:left="2880" w:hanging="360"/>
      </w:pPr>
      <w:rPr>
        <w:rFonts w:ascii="Symbol" w:hAnsi="Symbol" w:cs="Symbol" w:hint="default"/>
      </w:rPr>
    </w:lvl>
    <w:lvl w:ilvl="7">
      <w:start w:val="1"/>
      <w:numFmt w:val="bullet"/>
      <w:lvlText w:val=""/>
      <w:lvlJc w:val="left"/>
      <w:pPr>
        <w:tabs>
          <w:tab w:val="num" w:pos="0"/>
        </w:tabs>
        <w:ind w:left="3240" w:hanging="360"/>
      </w:pPr>
      <w:rPr>
        <w:rFonts w:ascii="Symbol" w:hAnsi="Symbol" w:cs="Symbol" w:hint="default"/>
      </w:rPr>
    </w:lvl>
    <w:lvl w:ilvl="8">
      <w:start w:val="1"/>
      <w:numFmt w:val="bullet"/>
      <w:lvlText w:val=""/>
      <w:lvlJc w:val="left"/>
      <w:pPr>
        <w:tabs>
          <w:tab w:val="num" w:pos="0"/>
        </w:tabs>
        <w:ind w:left="3600" w:hanging="360"/>
      </w:pPr>
      <w:rPr>
        <w:rFonts w:ascii="Symbol" w:hAnsi="Symbol" w:cs="Symbol" w:hint="default"/>
      </w:rPr>
    </w:lvl>
  </w:abstractNum>
  <w:abstractNum w:abstractNumId="6">
    <w:lvl w:ilvl="0">
      <w:start w:val="1"/>
      <w:numFmt w:val="bullet"/>
      <w:lvlText w:val=""/>
      <w:lvlJc w:val="left"/>
      <w:pPr>
        <w:tabs>
          <w:tab w:val="num" w:pos="0"/>
        </w:tabs>
        <w:ind w:left="720" w:hanging="360"/>
      </w:pPr>
      <w:rPr>
        <w:rFonts w:ascii="Symbol" w:hAnsi="Symbol" w:cs="Symbol" w:hint="default"/>
      </w:rPr>
    </w:lvl>
    <w:lvl w:ilvl="1">
      <w:start w:val="1"/>
      <w:numFmt w:val="bullet"/>
      <w:lvlText w:val="◦"/>
      <w:lvlJc w:val="left"/>
      <w:pPr>
        <w:tabs>
          <w:tab w:val="num" w:pos="0"/>
        </w:tabs>
        <w:ind w:left="1080" w:hanging="360"/>
      </w:pPr>
      <w:rPr>
        <w:rFonts w:ascii="OpenSymbol" w:hAnsi="OpenSymbol" w:cs="OpenSymbol" w:hint="default"/>
      </w:rPr>
    </w:lvl>
    <w:lvl w:ilvl="2">
      <w:start w:val="1"/>
      <w:numFmt w:val="bullet"/>
      <w:lvlText w:val="▪"/>
      <w:lvlJc w:val="left"/>
      <w:pPr>
        <w:tabs>
          <w:tab w:val="num" w:pos="0"/>
        </w:tabs>
        <w:ind w:left="1440" w:hanging="360"/>
      </w:pPr>
      <w:rPr>
        <w:rFonts w:ascii="OpenSymbol" w:hAnsi="OpenSymbol" w:cs="OpenSymbol" w:hint="default"/>
      </w:rPr>
    </w:lvl>
    <w:lvl w:ilvl="3">
      <w:start w:val="1"/>
      <w:numFmt w:val="bullet"/>
      <w:lvlText w:val=""/>
      <w:lvlJc w:val="left"/>
      <w:pPr>
        <w:tabs>
          <w:tab w:val="num" w:pos="0"/>
        </w:tabs>
        <w:ind w:left="1800" w:hanging="360"/>
      </w:pPr>
      <w:rPr>
        <w:rFonts w:ascii="Symbol" w:hAnsi="Symbol" w:cs="Symbol" w:hint="default"/>
      </w:rPr>
    </w:lvl>
    <w:lvl w:ilvl="4">
      <w:start w:val="1"/>
      <w:numFmt w:val="bullet"/>
      <w:lvlText w:val="◦"/>
      <w:lvlJc w:val="left"/>
      <w:pPr>
        <w:tabs>
          <w:tab w:val="num" w:pos="0"/>
        </w:tabs>
        <w:ind w:left="2160" w:hanging="360"/>
      </w:pPr>
      <w:rPr>
        <w:rFonts w:ascii="OpenSymbol" w:hAnsi="OpenSymbol" w:cs="OpenSymbol" w:hint="default"/>
      </w:rPr>
    </w:lvl>
    <w:lvl w:ilvl="5">
      <w:start w:val="1"/>
      <w:numFmt w:val="bullet"/>
      <w:lvlText w:val="▪"/>
      <w:lvlJc w:val="left"/>
      <w:pPr>
        <w:tabs>
          <w:tab w:val="num" w:pos="0"/>
        </w:tabs>
        <w:ind w:left="2520" w:hanging="360"/>
      </w:pPr>
      <w:rPr>
        <w:rFonts w:ascii="OpenSymbol" w:hAnsi="OpenSymbol" w:cs="OpenSymbol" w:hint="default"/>
      </w:rPr>
    </w:lvl>
    <w:lvl w:ilvl="6">
      <w:start w:val="1"/>
      <w:numFmt w:val="bullet"/>
      <w:lvlText w:val=""/>
      <w:lvlJc w:val="left"/>
      <w:pPr>
        <w:tabs>
          <w:tab w:val="num" w:pos="0"/>
        </w:tabs>
        <w:ind w:left="2880" w:hanging="360"/>
      </w:pPr>
      <w:rPr>
        <w:rFonts w:ascii="Symbol" w:hAnsi="Symbol" w:cs="Symbol" w:hint="default"/>
      </w:rPr>
    </w:lvl>
    <w:lvl w:ilvl="7">
      <w:start w:val="1"/>
      <w:numFmt w:val="bullet"/>
      <w:lvlText w:val="◦"/>
      <w:lvlJc w:val="left"/>
      <w:pPr>
        <w:tabs>
          <w:tab w:val="num" w:pos="0"/>
        </w:tabs>
        <w:ind w:left="3240" w:hanging="360"/>
      </w:pPr>
      <w:rPr>
        <w:rFonts w:ascii="OpenSymbol" w:hAnsi="OpenSymbol" w:cs="OpenSymbol" w:hint="default"/>
      </w:rPr>
    </w:lvl>
    <w:lvl w:ilvl="8">
      <w:start w:val="1"/>
      <w:numFmt w:val="bullet"/>
      <w:lvlText w:val="▪"/>
      <w:lvlJc w:val="left"/>
      <w:pPr>
        <w:tabs>
          <w:tab w:val="num" w:pos="0"/>
        </w:tabs>
        <w:ind w:left="3600" w:hanging="360"/>
      </w:pPr>
      <w:rPr>
        <w:rFonts w:ascii="OpenSymbol" w:hAnsi="OpenSymbol" w:cs="OpenSymbol" w:hint="default"/>
      </w:rPr>
    </w:lvl>
  </w:abstractNum>
  <w:abstractNum w:abstractNumId="7">
    <w:lvl w:ilvl="0">
      <w:start w:val="1"/>
      <w:numFmt w:val="bullet"/>
      <w:lvlText w:val=""/>
      <w:lvlJc w:val="left"/>
      <w:pPr>
        <w:tabs>
          <w:tab w:val="num" w:pos="0"/>
        </w:tabs>
        <w:ind w:left="720" w:hanging="360"/>
      </w:pPr>
      <w:rPr>
        <w:rFonts w:ascii="Symbol" w:hAnsi="Symbol" w:cs="Symbol" w:hint="default"/>
      </w:rPr>
    </w:lvl>
    <w:lvl w:ilvl="1">
      <w:start w:val="1"/>
      <w:numFmt w:val="bullet"/>
      <w:lvlText w:val=""/>
      <w:lvlJc w:val="left"/>
      <w:pPr>
        <w:tabs>
          <w:tab w:val="num" w:pos="0"/>
        </w:tabs>
        <w:ind w:left="1080" w:hanging="360"/>
      </w:pPr>
      <w:rPr>
        <w:rFonts w:ascii="Symbol" w:hAnsi="Symbol" w:cs="Symbol" w:hint="default"/>
      </w:rPr>
    </w:lvl>
    <w:lvl w:ilvl="2">
      <w:start w:val="1"/>
      <w:numFmt w:val="bullet"/>
      <w:lvlText w:val=""/>
      <w:lvlJc w:val="left"/>
      <w:pPr>
        <w:tabs>
          <w:tab w:val="num" w:pos="0"/>
        </w:tabs>
        <w:ind w:left="1440" w:hanging="360"/>
      </w:pPr>
      <w:rPr>
        <w:rFonts w:ascii="Symbol" w:hAnsi="Symbol" w:cs="Symbol" w:hint="default"/>
      </w:rPr>
    </w:lvl>
    <w:lvl w:ilvl="3">
      <w:start w:val="1"/>
      <w:numFmt w:val="bullet"/>
      <w:lvlText w:val=""/>
      <w:lvlJc w:val="left"/>
      <w:pPr>
        <w:tabs>
          <w:tab w:val="num" w:pos="0"/>
        </w:tabs>
        <w:ind w:left="1800" w:hanging="360"/>
      </w:pPr>
      <w:rPr>
        <w:rFonts w:ascii="Symbol" w:hAnsi="Symbol" w:cs="Symbol" w:hint="default"/>
      </w:rPr>
    </w:lvl>
    <w:lvl w:ilvl="4">
      <w:start w:val="1"/>
      <w:numFmt w:val="bullet"/>
      <w:lvlText w:val=""/>
      <w:lvlJc w:val="left"/>
      <w:pPr>
        <w:tabs>
          <w:tab w:val="num" w:pos="0"/>
        </w:tabs>
        <w:ind w:left="2160" w:hanging="360"/>
      </w:pPr>
      <w:rPr>
        <w:rFonts w:ascii="Symbol" w:hAnsi="Symbol" w:cs="Symbol" w:hint="default"/>
      </w:rPr>
    </w:lvl>
    <w:lvl w:ilvl="5">
      <w:start w:val="1"/>
      <w:numFmt w:val="bullet"/>
      <w:lvlText w:val=""/>
      <w:lvlJc w:val="left"/>
      <w:pPr>
        <w:tabs>
          <w:tab w:val="num" w:pos="0"/>
        </w:tabs>
        <w:ind w:left="2520" w:hanging="360"/>
      </w:pPr>
      <w:rPr>
        <w:rFonts w:ascii="Symbol" w:hAnsi="Symbol" w:cs="Symbol" w:hint="default"/>
      </w:rPr>
    </w:lvl>
    <w:lvl w:ilvl="6">
      <w:start w:val="1"/>
      <w:numFmt w:val="bullet"/>
      <w:lvlText w:val=""/>
      <w:lvlJc w:val="left"/>
      <w:pPr>
        <w:tabs>
          <w:tab w:val="num" w:pos="0"/>
        </w:tabs>
        <w:ind w:left="2880" w:hanging="360"/>
      </w:pPr>
      <w:rPr>
        <w:rFonts w:ascii="Symbol" w:hAnsi="Symbol" w:cs="Symbol" w:hint="default"/>
      </w:rPr>
    </w:lvl>
    <w:lvl w:ilvl="7">
      <w:start w:val="1"/>
      <w:numFmt w:val="bullet"/>
      <w:lvlText w:val=""/>
      <w:lvlJc w:val="left"/>
      <w:pPr>
        <w:tabs>
          <w:tab w:val="num" w:pos="0"/>
        </w:tabs>
        <w:ind w:left="3240" w:hanging="360"/>
      </w:pPr>
      <w:rPr>
        <w:rFonts w:ascii="Symbol" w:hAnsi="Symbol" w:cs="Symbol" w:hint="default"/>
      </w:rPr>
    </w:lvl>
    <w:lvl w:ilvl="8">
      <w:start w:val="1"/>
      <w:numFmt w:val="bullet"/>
      <w:lvlText w:val=""/>
      <w:lvlJc w:val="left"/>
      <w:pPr>
        <w:tabs>
          <w:tab w:val="num" w:pos="0"/>
        </w:tabs>
        <w:ind w:left="3600" w:hanging="360"/>
      </w:pPr>
      <w:rPr>
        <w:rFonts w:ascii="Symbol" w:hAnsi="Symbol" w:cs="Symbol" w:hint="default"/>
      </w:rPr>
    </w:lvl>
  </w:abstractNum>
  <w:abstractNum w:abstractNumId="8">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080" w:hanging="360"/>
      </w:pPr>
      <w:rPr/>
    </w:lvl>
    <w:lvl w:ilvl="2">
      <w:start w:val="1"/>
      <w:numFmt w:val="lowerLetter"/>
      <w:lvlText w:val="%3)"/>
      <w:lvlJc w:val="left"/>
      <w:pPr>
        <w:tabs>
          <w:tab w:val="num" w:pos="0"/>
        </w:tabs>
        <w:ind w:left="1440" w:hanging="360"/>
      </w:pPr>
      <w:rPr/>
    </w:lvl>
    <w:lvl w:ilvl="3">
      <w:start w:val="1"/>
      <w:numFmt w:val="lowerLetter"/>
      <w:lvlText w:val="%4)"/>
      <w:lvlJc w:val="left"/>
      <w:pPr>
        <w:tabs>
          <w:tab w:val="num" w:pos="0"/>
        </w:tabs>
        <w:ind w:left="1800" w:hanging="360"/>
      </w:pPr>
      <w:rPr/>
    </w:lvl>
    <w:lvl w:ilvl="4">
      <w:start w:val="1"/>
      <w:numFmt w:val="lowerLetter"/>
      <w:lvlText w:val="%5)"/>
      <w:lvlJc w:val="left"/>
      <w:pPr>
        <w:tabs>
          <w:tab w:val="num" w:pos="0"/>
        </w:tabs>
        <w:ind w:left="2160" w:hanging="360"/>
      </w:pPr>
      <w:rPr/>
    </w:lvl>
    <w:lvl w:ilvl="5">
      <w:start w:val="1"/>
      <w:numFmt w:val="lowerLetter"/>
      <w:lvlText w:val="%6)"/>
      <w:lvlJc w:val="left"/>
      <w:pPr>
        <w:tabs>
          <w:tab w:val="num" w:pos="0"/>
        </w:tabs>
        <w:ind w:left="2520" w:hanging="360"/>
      </w:pPr>
      <w:rPr/>
    </w:lvl>
    <w:lvl w:ilvl="6">
      <w:start w:val="1"/>
      <w:numFmt w:val="lowerLetter"/>
      <w:lvlText w:val="%7)"/>
      <w:lvlJc w:val="left"/>
      <w:pPr>
        <w:tabs>
          <w:tab w:val="num" w:pos="0"/>
        </w:tabs>
        <w:ind w:left="2880" w:hanging="360"/>
      </w:pPr>
      <w:rPr/>
    </w:lvl>
    <w:lvl w:ilvl="7">
      <w:start w:val="1"/>
      <w:numFmt w:val="lowerLetter"/>
      <w:lvlText w:val="%8)"/>
      <w:lvlJc w:val="left"/>
      <w:pPr>
        <w:tabs>
          <w:tab w:val="num" w:pos="0"/>
        </w:tabs>
        <w:ind w:left="3240" w:hanging="360"/>
      </w:pPr>
      <w:rPr/>
    </w:lvl>
    <w:lvl w:ilvl="8">
      <w:start w:val="1"/>
      <w:numFmt w:val="lowerLetter"/>
      <w:lvlText w:val="%9)"/>
      <w:lvlJc w:val="left"/>
      <w:pPr>
        <w:tabs>
          <w:tab w:val="num" w:pos="0"/>
        </w:tabs>
        <w:ind w:left="3600" w:hanging="360"/>
      </w:pPr>
      <w:rPr/>
    </w:lvl>
  </w:abstractNum>
  <w:abstractNum w:abstractNumId="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110"/>
  <w:defaultTabStop w:val="708"/>
  <w:autoHyphenation w:val="true"/>
  <w:hyphenationZone w:val="360"/>
  <w:compat>
    <w:doNotExpandShiftReturn/>
    <w:compatSetting w:name="compatibilityMode" w:uri="http://schemas.microsoft.com/office/word" w:val="12"/>
    <w:compatSetting w:name="useWord2013TrackBottomHyphen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Times New Roman"/>
        <w:lang w:val="pt-BR"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textAlignment w:val="baseline"/>
    </w:pPr>
    <w:rPr>
      <w:rFonts w:ascii="TimesNewRoman, ''Times New Roma" w:hAnsi="TimesNewRoman, ''Times New Roma" w:eastAsia="NSimSun" w:cs="Times New Roman"/>
      <w:color w:val="auto"/>
      <w:kern w:val="0"/>
      <w:sz w:val="20"/>
      <w:szCs w:val="20"/>
      <w:lang w:val="pt-BR" w:eastAsia="zh-CN" w:bidi="hi-IN"/>
    </w:rPr>
  </w:style>
  <w:style w:type="paragraph" w:styleId="Ttulo3">
    <w:name w:val="Heading 3"/>
    <w:basedOn w:val="Ttulo"/>
    <w:next w:val="Corpodotexto"/>
    <w:qFormat/>
    <w:pPr>
      <w:numPr>
        <w:ilvl w:val="0"/>
        <w:numId w:val="0"/>
      </w:numPr>
      <w:spacing w:before="140" w:after="120"/>
      <w:outlineLvl w:val="2"/>
    </w:pPr>
    <w:rPr>
      <w:rFonts w:ascii="Liberation Serif" w:hAnsi="Liberation Serif" w:eastAsia="NSimSun" w:cs="Lucida Sans"/>
      <w:b/>
      <w:bCs/>
      <w:sz w:val="28"/>
      <w:szCs w:val="28"/>
    </w:rPr>
  </w:style>
  <w:style w:type="character" w:styleId="DefaultParagraphFont">
    <w:name w:val="Default Paragraph Font"/>
    <w:qFormat/>
    <w:rPr/>
  </w:style>
  <w:style w:type="character" w:styleId="Strong">
    <w:name w:val="Strong"/>
    <w:qFormat/>
    <w:rPr>
      <w:b/>
      <w:bCs/>
    </w:rPr>
  </w:style>
  <w:style w:type="character" w:styleId="LinkdaInternet">
    <w:name w:val="Hyperlink"/>
    <w:rPr>
      <w:color w:val="000080"/>
      <w:u w:val="single"/>
      <w:lang w:val="zh-CN" w:eastAsia="zh-CN" w:bidi="zh-CN"/>
    </w:rPr>
  </w:style>
  <w:style w:type="character" w:styleId="Nfase1">
    <w:name w:val="Ênfase1"/>
    <w:qFormat/>
    <w:rPr>
      <w:i/>
      <w:iCs/>
    </w:rPr>
  </w:style>
  <w:style w:type="character" w:styleId="CabealhoChar">
    <w:name w:val="Cabeçalho Char"/>
    <w:basedOn w:val="DefaultParagraphFont"/>
    <w:qFormat/>
    <w:rPr/>
  </w:style>
  <w:style w:type="character" w:styleId="RodapChar">
    <w:name w:val="Rodapé Char"/>
    <w:basedOn w:val="DefaultParagraphFont"/>
    <w:qFormat/>
    <w:rPr/>
  </w:style>
  <w:style w:type="character" w:styleId="TextodebaloChar">
    <w:name w:val="Texto de balão Char"/>
    <w:qFormat/>
    <w:rPr>
      <w:rFonts w:ascii="Segoe UI" w:hAnsi="Segoe UI" w:cs="Segoe UI"/>
      <w:sz w:val="18"/>
      <w:szCs w:val="18"/>
    </w:rPr>
  </w:style>
  <w:style w:type="character" w:styleId="Internetlink">
    <w:name w:val="Internet link"/>
    <w:qFormat/>
    <w:rPr>
      <w:color w:val="000080"/>
      <w:u w:val="single"/>
    </w:rPr>
  </w:style>
  <w:style w:type="character" w:styleId="WW-Fontepargpadro">
    <w:name w:val="WW-Fonte parág. padrão"/>
    <w:qFormat/>
    <w:rPr/>
  </w:style>
  <w:style w:type="character" w:styleId="VisitedInternetLink">
    <w:name w:val="Visited Internet Link"/>
    <w:basedOn w:val="WW-Fontepargpadro"/>
    <w:qFormat/>
    <w:rPr>
      <w:color w:val="800080"/>
      <w:u w:val="single"/>
    </w:rPr>
  </w:style>
  <w:style w:type="character" w:styleId="Fontepargpadro1">
    <w:name w:val="Fonte parág. padrão1"/>
    <w:qFormat/>
    <w:rPr/>
  </w:style>
  <w:style w:type="character" w:styleId="Marcas">
    <w:name w:val="Marcas"/>
    <w:qFormat/>
    <w:rPr>
      <w:rFonts w:ascii="OpenSymbol" w:hAnsi="OpenSymbol" w:eastAsia="OpenSymbol" w:cs="OpenSymbol"/>
    </w:rPr>
  </w:style>
  <w:style w:type="character" w:styleId="WW8Num8z0">
    <w:name w:val="WW8Num8z0"/>
    <w:qFormat/>
    <w:rPr>
      <w:rFonts w:ascii="Symbol" w:hAnsi="Symbol" w:cs="Symbol"/>
    </w:rPr>
  </w:style>
  <w:style w:type="character" w:styleId="WW8Num8z1">
    <w:name w:val="WW8Num8z1"/>
    <w:qFormat/>
    <w:rPr>
      <w:rFonts w:ascii="Courier New" w:hAnsi="Courier New" w:cs="Courier New"/>
    </w:rPr>
  </w:style>
  <w:style w:type="character" w:styleId="WW8Num8z2">
    <w:name w:val="WW8Num8z2"/>
    <w:qFormat/>
    <w:rPr>
      <w:rFonts w:ascii="Wingdings" w:hAnsi="Wingdings" w:cs="Wingdings"/>
    </w:rPr>
  </w:style>
  <w:style w:type="character" w:styleId="WW8Num9z0">
    <w:name w:val="WW8Num9z0"/>
    <w:qFormat/>
    <w:rPr/>
  </w:style>
  <w:style w:type="character" w:styleId="WW8Num2z0">
    <w:name w:val="WW8Num2z0"/>
    <w:qFormat/>
    <w:rPr>
      <w:rFonts w:ascii="Symbol" w:hAnsi="Symbol" w:cs="OpenSymbol, 'Arial Unicode MS'"/>
      <w:sz w:val="18"/>
      <w:szCs w:val="18"/>
      <w:lang w:eastAsia="pt-BR"/>
    </w:rPr>
  </w:style>
  <w:style w:type="character" w:styleId="WW8Num2z1">
    <w:name w:val="WW8Num2z1"/>
    <w:qFormat/>
    <w:rPr>
      <w:rFonts w:ascii="OpenSymbol, 'Arial Unicode MS'" w:hAnsi="OpenSymbol, 'Arial Unicode MS'" w:cs="OpenSymbol, 'Arial Unicode MS'"/>
    </w:rPr>
  </w:style>
  <w:style w:type="character" w:styleId="WW8Num2z3">
    <w:name w:val="WW8Num2z3"/>
    <w:qFormat/>
    <w:rPr>
      <w:rFonts w:ascii="Symbol" w:hAnsi="Symbol" w:cs="OpenSymbol, 'Arial Unicode MS'"/>
    </w:rPr>
  </w:style>
  <w:style w:type="character" w:styleId="WW8Num15z0">
    <w:name w:val="WW8Num15z0"/>
    <w:qFormat/>
    <w:rPr>
      <w:rFonts w:ascii="Symbol" w:hAnsi="Symbol" w:cs="Symbol"/>
    </w:rPr>
  </w:style>
  <w:style w:type="character" w:styleId="WW8Num15z1">
    <w:name w:val="WW8Num15z1"/>
    <w:qFormat/>
    <w:rPr>
      <w:rFonts w:ascii="Courier New" w:hAnsi="Courier New" w:cs="Courier New"/>
    </w:rPr>
  </w:style>
  <w:style w:type="character" w:styleId="WW8Num15z2">
    <w:name w:val="WW8Num15z2"/>
    <w:qFormat/>
    <w:rPr>
      <w:rFonts w:ascii="Wingdings" w:hAnsi="Wingdings" w:cs="Wingdings"/>
    </w:rPr>
  </w:style>
  <w:style w:type="character" w:styleId="WW8Num12z0">
    <w:name w:val="WW8Num12z0"/>
    <w:qFormat/>
    <w:rPr>
      <w:rFonts w:ascii="Symbol" w:hAnsi="Symbol" w:cs="Symbol"/>
    </w:rPr>
  </w:style>
  <w:style w:type="character" w:styleId="WW8Num12z1">
    <w:name w:val="WW8Num12z1"/>
    <w:qFormat/>
    <w:rPr>
      <w:rFonts w:ascii="Courier New" w:hAnsi="Courier New" w:cs="Courier New"/>
    </w:rPr>
  </w:style>
  <w:style w:type="character" w:styleId="WW8Num12z2">
    <w:name w:val="WW8Num12z2"/>
    <w:qFormat/>
    <w:rPr>
      <w:rFonts w:ascii="Wingdings" w:hAnsi="Wingdings" w:cs="Wingdings"/>
    </w:rPr>
  </w:style>
  <w:style w:type="character" w:styleId="WW8Num10z0">
    <w:name w:val="WW8Num10z0"/>
    <w:qFormat/>
    <w:rPr>
      <w:rFonts w:ascii="Symbol" w:hAnsi="Symbol" w:cs="Symbol"/>
    </w:rPr>
  </w:style>
  <w:style w:type="character" w:styleId="WW8Num10z1">
    <w:name w:val="WW8Num10z1"/>
    <w:qFormat/>
    <w:rPr>
      <w:rFonts w:ascii="Courier New" w:hAnsi="Courier New" w:cs="Courier New"/>
    </w:rPr>
  </w:style>
  <w:style w:type="character" w:styleId="WW8Num10z2">
    <w:name w:val="WW8Num10z2"/>
    <w:qFormat/>
    <w:rPr>
      <w:rFonts w:ascii="Wingdings" w:hAnsi="Wingdings" w:cs="Wingdings"/>
    </w:rPr>
  </w:style>
  <w:style w:type="character" w:styleId="WW8Num3z0">
    <w:name w:val="WW8Num3z0"/>
    <w:qFormat/>
    <w:rPr>
      <w:rFonts w:ascii="Symbol" w:hAnsi="Symbol" w:cs="Symbol"/>
    </w:rPr>
  </w:style>
  <w:style w:type="character" w:styleId="WW8Num3z1">
    <w:name w:val="WW8Num3z1"/>
    <w:qFormat/>
    <w:rPr>
      <w:rFonts w:ascii="Courier New" w:hAnsi="Courier New" w:cs="Courier New"/>
    </w:rPr>
  </w:style>
  <w:style w:type="character" w:styleId="WW8Num3z2">
    <w:name w:val="WW8Num3z2"/>
    <w:qFormat/>
    <w:rPr>
      <w:rFonts w:ascii="Wingdings" w:hAnsi="Wingdings" w:cs="Wingdings"/>
    </w:rPr>
  </w:style>
  <w:style w:type="character" w:styleId="WW8Num14z0">
    <w:name w:val="WW8Num14z0"/>
    <w:qFormat/>
    <w:rPr>
      <w:rFonts w:ascii="Symbol" w:hAnsi="Symbol" w:cs="Symbol"/>
    </w:rPr>
  </w:style>
  <w:style w:type="character" w:styleId="WW8Num14z1">
    <w:name w:val="WW8Num14z1"/>
    <w:qFormat/>
    <w:rPr>
      <w:rFonts w:ascii="Courier New" w:hAnsi="Courier New" w:cs="Courier New"/>
    </w:rPr>
  </w:style>
  <w:style w:type="character" w:styleId="WW8Num14z2">
    <w:name w:val="WW8Num14z2"/>
    <w:qFormat/>
    <w:rPr>
      <w:rFonts w:ascii="Wingdings" w:hAnsi="Wingdings" w:cs="Wingdings"/>
    </w:rPr>
  </w:style>
  <w:style w:type="character" w:styleId="WW8Num36z0">
    <w:name w:val="WW8Num36z0"/>
    <w:qFormat/>
    <w:rPr>
      <w:rFonts w:ascii="Symbol" w:hAnsi="Symbol" w:cs="Symbol"/>
    </w:rPr>
  </w:style>
  <w:style w:type="character" w:styleId="WW8Num36z1">
    <w:name w:val="WW8Num36z1"/>
    <w:qFormat/>
    <w:rPr>
      <w:rFonts w:ascii="Courier New" w:hAnsi="Courier New" w:cs="Courier New"/>
    </w:rPr>
  </w:style>
  <w:style w:type="character" w:styleId="WW8Num36z2">
    <w:name w:val="WW8Num36z2"/>
    <w:qFormat/>
    <w:rPr>
      <w:rFonts w:ascii="Wingdings" w:hAnsi="Wingdings" w:cs="Wingdings"/>
    </w:rPr>
  </w:style>
  <w:style w:type="character" w:styleId="WW8Num25z0">
    <w:name w:val="WW8Num25z0"/>
    <w:qFormat/>
    <w:rPr>
      <w:rFonts w:ascii="Symbol" w:hAnsi="Symbol" w:cs="Symbol"/>
    </w:rPr>
  </w:style>
  <w:style w:type="character" w:styleId="WW8Num25z1">
    <w:name w:val="WW8Num25z1"/>
    <w:qFormat/>
    <w:rPr>
      <w:rFonts w:ascii="Courier New" w:hAnsi="Courier New" w:cs="Courier New"/>
    </w:rPr>
  </w:style>
  <w:style w:type="character" w:styleId="WW8Num25z2">
    <w:name w:val="WW8Num25z2"/>
    <w:qFormat/>
    <w:rPr>
      <w:rFonts w:ascii="Wingdings" w:hAnsi="Wingdings" w:cs="Wingdings"/>
    </w:rPr>
  </w:style>
  <w:style w:type="character" w:styleId="WW8Num34z0">
    <w:name w:val="WW8Num34z0"/>
    <w:qFormat/>
    <w:rPr>
      <w:rFonts w:ascii="Symbol" w:hAnsi="Symbol" w:cs="Symbol"/>
    </w:rPr>
  </w:style>
  <w:style w:type="character" w:styleId="WW8Num34z1">
    <w:name w:val="WW8Num34z1"/>
    <w:qFormat/>
    <w:rPr>
      <w:rFonts w:ascii="Courier New" w:hAnsi="Courier New" w:cs="Courier New"/>
    </w:rPr>
  </w:style>
  <w:style w:type="character" w:styleId="WW8Num34z2">
    <w:name w:val="WW8Num34z2"/>
    <w:qFormat/>
    <w:rPr>
      <w:rFonts w:ascii="Wingdings" w:hAnsi="Wingdings" w:cs="Wingdings"/>
    </w:rPr>
  </w:style>
  <w:style w:type="character" w:styleId="WW8Num19z0">
    <w:name w:val="WW8Num19z0"/>
    <w:qFormat/>
    <w:rPr>
      <w:rFonts w:ascii="Symbol" w:hAnsi="Symbol" w:cs="Symbol"/>
    </w:rPr>
  </w:style>
  <w:style w:type="character" w:styleId="WW8Num19z1">
    <w:name w:val="WW8Num19z1"/>
    <w:qFormat/>
    <w:rPr>
      <w:rFonts w:ascii="Courier New" w:hAnsi="Courier New" w:cs="Courier New"/>
    </w:rPr>
  </w:style>
  <w:style w:type="character" w:styleId="WW8Num19z2">
    <w:name w:val="WW8Num19z2"/>
    <w:qFormat/>
    <w:rPr>
      <w:rFonts w:ascii="Wingdings" w:hAnsi="Wingdings" w:cs="Wingdings"/>
    </w:rPr>
  </w:style>
  <w:style w:type="character" w:styleId="WW8Num21z0">
    <w:name w:val="WW8Num21z0"/>
    <w:qFormat/>
    <w:rPr/>
  </w:style>
  <w:style w:type="character" w:styleId="WW8Num35z0">
    <w:name w:val="WW8Num35z0"/>
    <w:qFormat/>
    <w:rPr>
      <w:rFonts w:ascii="Symbol" w:hAnsi="Symbol" w:cs="Symbol"/>
    </w:rPr>
  </w:style>
  <w:style w:type="character" w:styleId="WW8Num35z1">
    <w:name w:val="WW8Num35z1"/>
    <w:qFormat/>
    <w:rPr>
      <w:rFonts w:ascii="Courier New" w:hAnsi="Courier New" w:cs="Courier New"/>
    </w:rPr>
  </w:style>
  <w:style w:type="character" w:styleId="WW8Num35z2">
    <w:name w:val="WW8Num35z2"/>
    <w:qFormat/>
    <w:rPr>
      <w:rFonts w:ascii="Wingdings" w:hAnsi="Wingdings" w:cs="Wingdings"/>
    </w:rPr>
  </w:style>
  <w:style w:type="character" w:styleId="WW8Num26z0">
    <w:name w:val="WW8Num26z0"/>
    <w:qFormat/>
    <w:rPr>
      <w:rFonts w:ascii="Symbol" w:hAnsi="Symbol" w:cs="Symbol"/>
    </w:rPr>
  </w:style>
  <w:style w:type="character" w:styleId="WW8Num26z1">
    <w:name w:val="WW8Num26z1"/>
    <w:qFormat/>
    <w:rPr>
      <w:rFonts w:ascii="Courier New" w:hAnsi="Courier New" w:cs="Courier New"/>
    </w:rPr>
  </w:style>
  <w:style w:type="character" w:styleId="WW8Num26z2">
    <w:name w:val="WW8Num26z2"/>
    <w:qFormat/>
    <w:rPr>
      <w:rFonts w:ascii="Wingdings" w:hAnsi="Wingdings" w:cs="Wingdings"/>
    </w:rPr>
  </w:style>
  <w:style w:type="character" w:styleId="WW8Num18z0">
    <w:name w:val="WW8Num18z0"/>
    <w:qFormat/>
    <w:rPr/>
  </w:style>
  <w:style w:type="character" w:styleId="WW8Num20z0">
    <w:name w:val="WW8Num20z0"/>
    <w:qFormat/>
    <w:rPr>
      <w:rFonts w:ascii="Symbol" w:hAnsi="Symbol" w:cs="Symbol"/>
    </w:rPr>
  </w:style>
  <w:style w:type="character" w:styleId="WW8Num20z1">
    <w:name w:val="WW8Num20z1"/>
    <w:qFormat/>
    <w:rPr>
      <w:rFonts w:ascii="Courier New" w:hAnsi="Courier New" w:cs="Courier New"/>
    </w:rPr>
  </w:style>
  <w:style w:type="character" w:styleId="WW8Num20z2">
    <w:name w:val="WW8Num20z2"/>
    <w:qFormat/>
    <w:rPr>
      <w:rFonts w:ascii="Wingdings" w:hAnsi="Wingdings" w:cs="Wingdings"/>
    </w:rPr>
  </w:style>
  <w:style w:type="character" w:styleId="WW8Num7z0">
    <w:name w:val="WW8Num7z0"/>
    <w:qFormat/>
    <w:rPr/>
  </w:style>
  <w:style w:type="character" w:styleId="WW8Num28z0">
    <w:name w:val="WW8Num28z0"/>
    <w:qFormat/>
    <w:rPr>
      <w:rFonts w:ascii="Symbol" w:hAnsi="Symbol" w:cs="Symbol"/>
    </w:rPr>
  </w:style>
  <w:style w:type="character" w:styleId="WW8Num28z1">
    <w:name w:val="WW8Num28z1"/>
    <w:qFormat/>
    <w:rPr>
      <w:rFonts w:ascii="Courier New" w:hAnsi="Courier New" w:cs="Courier New"/>
    </w:rPr>
  </w:style>
  <w:style w:type="character" w:styleId="WW8Num28z2">
    <w:name w:val="WW8Num28z2"/>
    <w:qFormat/>
    <w:rPr>
      <w:rFonts w:ascii="Wingdings" w:hAnsi="Wingdings" w:cs="Wingdings"/>
    </w:rPr>
  </w:style>
  <w:style w:type="character" w:styleId="WW8Num11z0">
    <w:name w:val="WW8Num11z0"/>
    <w:qFormat/>
    <w:rPr>
      <w:rFonts w:ascii="Symbol" w:hAnsi="Symbol" w:cs="Symbol"/>
    </w:rPr>
  </w:style>
  <w:style w:type="character" w:styleId="WW8Num11z1">
    <w:name w:val="WW8Num11z1"/>
    <w:qFormat/>
    <w:rPr>
      <w:rFonts w:ascii="Courier New" w:hAnsi="Courier New" w:cs="Courier New"/>
    </w:rPr>
  </w:style>
  <w:style w:type="character" w:styleId="WW8Num11z2">
    <w:name w:val="WW8Num11z2"/>
    <w:qFormat/>
    <w:rPr>
      <w:rFonts w:ascii="Wingdings" w:hAnsi="Wingdings" w:cs="Wingdings"/>
    </w:rPr>
  </w:style>
  <w:style w:type="character" w:styleId="WW8Num29z0">
    <w:name w:val="WW8Num29z0"/>
    <w:qFormat/>
    <w:rPr>
      <w:rFonts w:ascii="Symbol" w:hAnsi="Symbol" w:cs="Symbol"/>
    </w:rPr>
  </w:style>
  <w:style w:type="character" w:styleId="WW8Num29z1">
    <w:name w:val="WW8Num29z1"/>
    <w:qFormat/>
    <w:rPr>
      <w:rFonts w:ascii="Courier New" w:hAnsi="Courier New" w:cs="Courier New"/>
    </w:rPr>
  </w:style>
  <w:style w:type="character" w:styleId="WW8Num29z2">
    <w:name w:val="WW8Num29z2"/>
    <w:qFormat/>
    <w:rPr>
      <w:rFonts w:ascii="Wingdings" w:hAnsi="Wingdings" w:cs="Wingdings"/>
    </w:rPr>
  </w:style>
  <w:style w:type="character" w:styleId="WW8Num13z0">
    <w:name w:val="WW8Num13z0"/>
    <w:qFormat/>
    <w:rPr/>
  </w:style>
  <w:style w:type="character" w:styleId="WW8Num32z0">
    <w:name w:val="WW8Num32z0"/>
    <w:qFormat/>
    <w:rPr/>
  </w:style>
  <w:style w:type="character" w:styleId="WW8Num22z0">
    <w:name w:val="WW8Num22z0"/>
    <w:qFormat/>
    <w:rPr/>
  </w:style>
  <w:style w:type="character" w:styleId="Smbolosdenumerao">
    <w:name w:val="Símbolos de numeração"/>
    <w:qFormat/>
    <w:rPr/>
  </w:style>
  <w:style w:type="character" w:styleId="CabealhoChar1">
    <w:name w:val="Cabeçalho Char1"/>
    <w:basedOn w:val="DefaultParagraphFont"/>
    <w:qFormat/>
    <w:rPr>
      <w:rFonts w:ascii="TimesNewRoman, ''Times New Roma" w:hAnsi="TimesNewRoman, ''Times New Roma"/>
      <w:sz w:val="20"/>
      <w:szCs w:val="18"/>
    </w:rPr>
  </w:style>
  <w:style w:type="character" w:styleId="RodapChar1">
    <w:name w:val="Rodapé Char1"/>
    <w:basedOn w:val="DefaultParagraphFont"/>
    <w:qFormat/>
    <w:rPr>
      <w:rFonts w:ascii="TimesNewRoman, ''Times New Roma" w:hAnsi="TimesNewRoman, ''Times New Roma"/>
      <w:sz w:val="20"/>
      <w:szCs w:val="18"/>
    </w:rPr>
  </w:style>
  <w:style w:type="character" w:styleId="Fontstyle01">
    <w:name w:val="fontstyle01"/>
    <w:basedOn w:val="DefaultParagraphFont"/>
    <w:qFormat/>
    <w:rPr>
      <w:rFonts w:ascii="ArialNarrow" w:hAnsi="ArialNarrow"/>
      <w:color w:val="000000"/>
      <w:sz w:val="12"/>
      <w:szCs w:val="12"/>
    </w:rPr>
  </w:style>
  <w:style w:type="character" w:styleId="Pr-formataoHTMLChar">
    <w:name w:val="Pré-formatação HTML Char"/>
    <w:basedOn w:val="DefaultParagraphFont"/>
    <w:link w:val="HTMLPreformatted"/>
    <w:qFormat/>
    <w:rPr>
      <w:rFonts w:ascii="Cumberland AMT" w:hAnsi="Cumberland AMT" w:eastAsia="Times New Roman" w:cs="Courier New"/>
    </w:rPr>
  </w:style>
  <w:style w:type="character" w:styleId="Fontepargpadro">
    <w:name w:val="Fonte parág. padrão"/>
    <w:qFormat/>
    <w:rPr/>
  </w:style>
  <w:style w:type="character" w:styleId="Normaltextrun">
    <w:name w:val="normaltextrun"/>
    <w:basedOn w:val="DefaultParagraphFont"/>
    <w:qFormat/>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lineRule="auto" w:line="288" w:before="0" w:after="140"/>
    </w:pPr>
    <w:rPr/>
  </w:style>
  <w:style w:type="paragraph" w:styleId="Lista">
    <w:name w:val="List"/>
    <w:pPr>
      <w:widowControl w:val="false"/>
      <w:suppressAutoHyphens w:val="true"/>
      <w:overflowPunct w:val="false"/>
      <w:bidi w:val="0"/>
      <w:spacing w:before="0" w:after="0"/>
      <w:jc w:val="left"/>
    </w:pPr>
    <w:rPr>
      <w:rFonts w:ascii="Liberation Serif" w:hAnsi="Liberation Serif" w:eastAsia="NSimSun" w:cs="Mangal"/>
      <w:color w:val="auto"/>
      <w:kern w:val="0"/>
      <w:sz w:val="24"/>
      <w:szCs w:val="20"/>
      <w:lang w:val="pt-BR" w:eastAsia="zh-CN" w:bidi="hi-IN"/>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Standard"/>
    <w:qFormat/>
    <w:pPr>
      <w:suppressLineNumbers/>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BodyTextIndent2">
    <w:name w:val="Body Text Indent 2"/>
    <w:basedOn w:val="Standard"/>
    <w:qFormat/>
    <w:pPr>
      <w:spacing w:lineRule="auto" w:line="480" w:before="0" w:after="120"/>
      <w:ind w:left="283" w:hanging="0"/>
    </w:pPr>
    <w:rPr/>
  </w:style>
  <w:style w:type="paragraph" w:styleId="Standard">
    <w:name w:val="Standard"/>
    <w:qFormat/>
    <w:pPr>
      <w:widowControl/>
      <w:suppressAutoHyphens w:val="true"/>
      <w:overflowPunct w:val="false"/>
      <w:bidi w:val="0"/>
      <w:spacing w:before="0" w:after="0"/>
      <w:jc w:val="left"/>
      <w:textAlignment w:val="baseline"/>
    </w:pPr>
    <w:rPr>
      <w:rFonts w:ascii="Calibri" w:hAnsi="Calibri" w:eastAsia="Calibri" w:cs="Times New Roman"/>
      <w:color w:val="auto"/>
      <w:kern w:val="0"/>
      <w:sz w:val="24"/>
      <w:szCs w:val="24"/>
      <w:lang w:val="pt-BR" w:eastAsia="zh-CN" w:bidi="ar-SA"/>
    </w:rPr>
  </w:style>
  <w:style w:type="paragraph" w:styleId="NormalWeb">
    <w:name w:val="Normal (Web)"/>
    <w:qFormat/>
    <w:pPr>
      <w:widowControl/>
      <w:suppressAutoHyphens w:val="true"/>
      <w:overflowPunct w:val="false"/>
      <w:bidi w:val="0"/>
      <w:spacing w:lineRule="auto" w:line="276" w:before="280" w:after="0"/>
      <w:jc w:val="left"/>
    </w:pPr>
    <w:rPr>
      <w:rFonts w:ascii="Times New Roman" w:hAnsi="Times New Roman" w:eastAsia="SimSun" w:cs="Times New Roman"/>
      <w:color w:val="auto"/>
      <w:kern w:val="0"/>
      <w:sz w:val="20"/>
      <w:szCs w:val="24"/>
      <w:lang w:val="en-US" w:eastAsia="zh-CN" w:bidi="ar-SA"/>
    </w:rPr>
  </w:style>
  <w:style w:type="paragraph" w:styleId="BodyText3">
    <w:name w:val="Body Text 3"/>
    <w:basedOn w:val="Standard"/>
    <w:qFormat/>
    <w:pPr>
      <w:spacing w:lineRule="auto" w:line="360" w:before="120" w:after="120"/>
    </w:pPr>
    <w:rPr>
      <w:rFonts w:ascii="Arial" w:hAnsi="Arial" w:eastAsia="Times New Roman" w:cs="Arial"/>
      <w:sz w:val="16"/>
      <w:szCs w:val="16"/>
    </w:rPr>
  </w:style>
  <w:style w:type="paragraph" w:styleId="HTMLPreformatted">
    <w:name w:val="HTML Preformatted"/>
    <w:basedOn w:val="Normal"/>
    <w:link w:val="Pr-formataoHTMLChar"/>
    <w:qFormat/>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spacing w:lineRule="auto" w:line="276"/>
      <w:textAlignment w:val="auto"/>
    </w:pPr>
    <w:rPr>
      <w:rFonts w:ascii="Cumberland AMT" w:hAnsi="Cumberland AMT" w:eastAsia="Times New Roman" w:cs="Courier New"/>
      <w:lang w:eastAsia="pt-BR" w:bidi="ar-SA"/>
    </w:rPr>
  </w:style>
  <w:style w:type="paragraph" w:styleId="BodyText2">
    <w:name w:val="Body Text 2"/>
    <w:basedOn w:val="Standard"/>
    <w:qFormat/>
    <w:pPr>
      <w:spacing w:lineRule="auto" w:line="480" w:before="120" w:after="120"/>
    </w:pPr>
    <w:rPr>
      <w:rFonts w:ascii="Arial" w:hAnsi="Arial" w:eastAsia="Times New Roman" w:cs="Arial"/>
      <w:sz w:val="22"/>
      <w:szCs w:val="22"/>
    </w:rPr>
  </w:style>
  <w:style w:type="paragraph" w:styleId="Cabealhoerodap">
    <w:name w:val="Cabeçalho e rodapé"/>
    <w:basedOn w:val="Normal"/>
    <w:qFormat/>
    <w:pPr/>
    <w:rPr/>
  </w:style>
  <w:style w:type="paragraph" w:styleId="CabealhoeRodap1">
    <w:name w:val="Cabeçalho e Rodapé"/>
    <w:basedOn w:val="Normal"/>
    <w:qFormat/>
    <w:pPr/>
    <w:rPr/>
  </w:style>
  <w:style w:type="paragraph" w:styleId="Cabealhoerodap11">
    <w:name w:val="Cabeçalho e rodapé1"/>
    <w:basedOn w:val="Normal"/>
    <w:qFormat/>
    <w:pPr/>
    <w:rPr/>
  </w:style>
  <w:style w:type="paragraph" w:styleId="Cabealho">
    <w:name w:val="Header"/>
    <w:basedOn w:val="CabealhoeRodap111"/>
    <w:pPr/>
    <w:rPr/>
  </w:style>
  <w:style w:type="paragraph" w:styleId="CabealhoeRodap111">
    <w:name w:val="Cabeçalho e Rodapé11"/>
    <w:basedOn w:val="Standard"/>
    <w:qFormat/>
    <w:pPr>
      <w:suppressLineNumbers/>
      <w:tabs>
        <w:tab w:val="clear" w:pos="708"/>
        <w:tab w:val="center" w:pos="4819" w:leader="none"/>
        <w:tab w:val="right" w:pos="9638" w:leader="none"/>
      </w:tabs>
    </w:pPr>
    <w:rPr/>
  </w:style>
  <w:style w:type="paragraph" w:styleId="Rodap">
    <w:name w:val="Footer"/>
    <w:basedOn w:val="CabealhoeRodap111"/>
    <w:pPr/>
    <w:rPr/>
  </w:style>
  <w:style w:type="paragraph" w:styleId="BodyTextIndent3">
    <w:name w:val="Body Text Indent 3"/>
    <w:basedOn w:val="Standard"/>
    <w:qFormat/>
    <w:pPr>
      <w:spacing w:before="0" w:after="120"/>
      <w:ind w:left="283" w:hanging="0"/>
    </w:pPr>
    <w:rPr>
      <w:sz w:val="16"/>
      <w:szCs w:val="16"/>
    </w:rPr>
  </w:style>
  <w:style w:type="paragraph" w:styleId="BalloonText">
    <w:name w:val="Balloon Text"/>
    <w:basedOn w:val="Standard"/>
    <w:qFormat/>
    <w:pPr/>
    <w:rPr>
      <w:rFonts w:ascii="Segoe UI" w:hAnsi="Segoe UI" w:cs="Segoe UI"/>
      <w:sz w:val="18"/>
      <w:szCs w:val="18"/>
    </w:rPr>
  </w:style>
  <w:style w:type="paragraph" w:styleId="Subttulo">
    <w:name w:val="Subtitle"/>
    <w:basedOn w:val="Ttulo1"/>
    <w:qFormat/>
    <w:pPr>
      <w:spacing w:lineRule="auto" w:line="276" w:before="57" w:after="57"/>
      <w:jc w:val="center"/>
    </w:pPr>
    <w:rPr>
      <w:rFonts w:ascii="Arial" w:hAnsi="Arial"/>
      <w:sz w:val="36"/>
      <w:szCs w:val="36"/>
    </w:rPr>
  </w:style>
  <w:style w:type="paragraph" w:styleId="Ttulo1">
    <w:name w:val="Título1"/>
    <w:basedOn w:val="Standard"/>
    <w:next w:val="Corpodotexto"/>
    <w:qFormat/>
    <w:pPr>
      <w:keepNext w:val="true"/>
      <w:spacing w:before="240" w:after="120"/>
    </w:pPr>
    <w:rPr>
      <w:rFonts w:ascii="Liberation Sans" w:hAnsi="Liberation Sans" w:eastAsia="Microsoft YaHei" w:cs="Mangal"/>
      <w:sz w:val="28"/>
      <w:szCs w:val="28"/>
    </w:rPr>
  </w:style>
  <w:style w:type="paragraph" w:styleId="Ttulo111">
    <w:name w:val="Título111"/>
    <w:basedOn w:val="Normal"/>
    <w:next w:val="Corpodotexto"/>
    <w:qFormat/>
    <w:pPr>
      <w:keepNext w:val="true"/>
      <w:spacing w:before="240" w:after="120"/>
    </w:pPr>
    <w:rPr>
      <w:rFonts w:ascii="Liberation Sans" w:hAnsi="Liberation Sans" w:eastAsia="Microsoft YaHei" w:cs="Mangal"/>
      <w:sz w:val="28"/>
      <w:szCs w:val="28"/>
    </w:rPr>
  </w:style>
  <w:style w:type="paragraph" w:styleId="Caption1">
    <w:name w:val="caption1"/>
    <w:basedOn w:val="Normal"/>
    <w:qFormat/>
    <w:pPr>
      <w:suppressLineNumbers/>
      <w:spacing w:before="120" w:after="120"/>
    </w:pPr>
    <w:rPr>
      <w:rFonts w:cs="Mangal"/>
      <w:i/>
      <w:iCs/>
      <w:sz w:val="24"/>
      <w:szCs w:val="24"/>
    </w:rPr>
  </w:style>
  <w:style w:type="paragraph" w:styleId="Ttulo11">
    <w:name w:val="Título11"/>
    <w:basedOn w:val="Normal"/>
    <w:next w:val="Corpodotexto"/>
    <w:qFormat/>
    <w:pPr>
      <w:keepNext w:val="true"/>
      <w:spacing w:before="240" w:after="120"/>
    </w:pPr>
    <w:rPr>
      <w:rFonts w:ascii="Liberation Sans" w:hAnsi="Liberation Sans" w:eastAsia="Microsoft YaHei" w:cs="Mangal"/>
      <w:sz w:val="28"/>
      <w:szCs w:val="28"/>
    </w:rPr>
  </w:style>
  <w:style w:type="paragraph" w:styleId="Ttulo112">
    <w:name w:val="Título 11"/>
    <w:basedOn w:val="Ttulo1"/>
    <w:qFormat/>
    <w:pPr>
      <w:numPr>
        <w:ilvl w:val="0"/>
        <w:numId w:val="0"/>
      </w:numPr>
      <w:spacing w:lineRule="auto" w:line="276" w:before="227" w:after="57"/>
      <w:jc w:val="both"/>
      <w:outlineLvl w:val="0"/>
    </w:pPr>
    <w:rPr>
      <w:rFonts w:ascii="Arial" w:hAnsi="Arial"/>
      <w:b/>
      <w:bCs/>
      <w:sz w:val="36"/>
      <w:szCs w:val="36"/>
    </w:rPr>
  </w:style>
  <w:style w:type="paragraph" w:styleId="Ttulo21">
    <w:name w:val="Título 21"/>
    <w:basedOn w:val="LO-normal"/>
    <w:qFormat/>
    <w:pPr>
      <w:keepNext w:val="true"/>
      <w:keepLines/>
      <w:spacing w:before="360" w:after="120"/>
    </w:pPr>
    <w:rPr>
      <w:sz w:val="32"/>
      <w:szCs w:val="32"/>
    </w:rPr>
  </w:style>
  <w:style w:type="paragraph" w:styleId="LO-normal">
    <w:name w:val="LO-normal"/>
    <w:qFormat/>
    <w:pPr>
      <w:widowControl/>
      <w:suppressAutoHyphens w:val="true"/>
      <w:overflowPunct w:val="false"/>
      <w:bidi w:val="0"/>
      <w:spacing w:before="0" w:after="0"/>
      <w:jc w:val="left"/>
      <w:textAlignment w:val="baseline"/>
    </w:pPr>
    <w:rPr>
      <w:rFonts w:ascii="Liberation Serif" w:hAnsi="Liberation Serif" w:eastAsia="NSimSun" w:cs="Mangal"/>
      <w:color w:val="auto"/>
      <w:kern w:val="0"/>
      <w:sz w:val="24"/>
      <w:szCs w:val="24"/>
      <w:lang w:val="pt-BR" w:eastAsia="zh-CN" w:bidi="hi-IN"/>
    </w:rPr>
  </w:style>
  <w:style w:type="paragraph" w:styleId="Ttulo41">
    <w:name w:val="Título 41"/>
    <w:basedOn w:val="Standard"/>
    <w:qFormat/>
    <w:pPr>
      <w:keepNext w:val="true"/>
      <w:numPr>
        <w:ilvl w:val="0"/>
        <w:numId w:val="0"/>
      </w:numPr>
      <w:spacing w:lineRule="auto" w:line="360" w:before="240" w:after="60"/>
      <w:outlineLvl w:val="3"/>
    </w:pPr>
    <w:rPr>
      <w:rFonts w:ascii="Times New Roman" w:hAnsi="Times New Roman" w:eastAsia="Times New Roman"/>
      <w:b/>
      <w:bCs/>
      <w:sz w:val="28"/>
      <w:szCs w:val="28"/>
    </w:rPr>
  </w:style>
  <w:style w:type="paragraph" w:styleId="Legenda1">
    <w:name w:val="Legenda1"/>
    <w:basedOn w:val="Standard"/>
    <w:qFormat/>
    <w:pPr>
      <w:suppressLineNumbers/>
      <w:spacing w:before="120" w:after="120"/>
    </w:pPr>
    <w:rPr>
      <w:rFonts w:cs="Mangal"/>
      <w:i/>
      <w:iCs/>
    </w:rPr>
  </w:style>
  <w:style w:type="paragraph" w:styleId="Textbody">
    <w:name w:val="Text body"/>
    <w:basedOn w:val="Standard"/>
    <w:qFormat/>
    <w:pPr>
      <w:spacing w:lineRule="auto" w:line="360" w:before="170" w:after="170"/>
      <w:jc w:val="both"/>
    </w:pPr>
    <w:rPr>
      <w:rFonts w:ascii="Arial" w:hAnsi="Arial" w:eastAsia="Times New Roman" w:cs="Bookman Old Style"/>
      <w:sz w:val="22"/>
      <w:szCs w:val="20"/>
    </w:rPr>
  </w:style>
  <w:style w:type="paragraph" w:styleId="Cabealho1">
    <w:name w:val="Cabeçalho1"/>
    <w:basedOn w:val="Standard"/>
    <w:qFormat/>
    <w:pPr/>
    <w:rPr/>
  </w:style>
  <w:style w:type="paragraph" w:styleId="Rodap1">
    <w:name w:val="Rodapé1"/>
    <w:basedOn w:val="Standard"/>
    <w:qFormat/>
    <w:pPr/>
    <w:rPr/>
  </w:style>
  <w:style w:type="paragraph" w:styleId="Contedodoquadro">
    <w:name w:val="Conteúdo do quadro"/>
    <w:basedOn w:val="Standard"/>
    <w:qFormat/>
    <w:pPr/>
    <w:rPr/>
  </w:style>
  <w:style w:type="paragraph" w:styleId="Recuodecorpodetexto21">
    <w:name w:val="Recuo de corpo de texto 21"/>
    <w:basedOn w:val="Standard"/>
    <w:qFormat/>
    <w:pPr>
      <w:ind w:firstLine="851"/>
      <w:jc w:val="both"/>
    </w:pPr>
    <w:rPr>
      <w:rFonts w:ascii="Arial" w:hAnsi="Arial" w:eastAsia="Arial" w:cs="Arial"/>
      <w:sz w:val="32"/>
    </w:rPr>
  </w:style>
  <w:style w:type="paragraph" w:styleId="Nivel2">
    <w:name w:val="Nivel 2"/>
    <w:basedOn w:val="Standard"/>
    <w:qFormat/>
    <w:pPr>
      <w:spacing w:lineRule="auto" w:line="276" w:before="120" w:after="120"/>
      <w:jc w:val="both"/>
    </w:pPr>
    <w:rPr>
      <w:rFonts w:ascii="Arial" w:hAnsi="Arial" w:cs="Arial"/>
      <w:color w:val="000000"/>
      <w:sz w:val="20"/>
      <w:szCs w:val="20"/>
    </w:rPr>
  </w:style>
  <w:style w:type="paragraph" w:styleId="Textoprformatado">
    <w:name w:val="Texto préformatado"/>
    <w:basedOn w:val="Normal"/>
    <w:qFormat/>
    <w:pPr>
      <w:suppressAutoHyphens w:val="true"/>
    </w:pPr>
    <w:rPr>
      <w:rFonts w:ascii="Cumberland AMT" w:hAnsi="Cumberland AMT" w:eastAsia="Cumberland AMT" w:cs="Cumberland AMT"/>
    </w:rPr>
  </w:style>
  <w:style w:type="paragraph" w:styleId="Contedodatabela">
    <w:name w:val="Conteúdo da tabela"/>
    <w:basedOn w:val="Normal"/>
    <w:qFormat/>
    <w:pPr>
      <w:widowControl w:val="false"/>
      <w:suppressLineNumbers/>
    </w:pPr>
    <w:rPr/>
  </w:style>
  <w:style w:type="paragraph" w:styleId="ListParagraph">
    <w:name w:val="List Paragraph"/>
    <w:basedOn w:val="Standard"/>
    <w:qFormat/>
    <w:pPr>
      <w:ind w:left="720" w:hanging="0"/>
    </w:pPr>
    <w:rPr>
      <w:rFonts w:cs="Calibri"/>
      <w:sz w:val="22"/>
      <w:szCs w:val="22"/>
    </w:rPr>
  </w:style>
  <w:style w:type="paragraph" w:styleId="Nivel3">
    <w:name w:val="Nivel 3"/>
    <w:basedOn w:val="Standard"/>
    <w:qFormat/>
    <w:pPr>
      <w:spacing w:lineRule="auto" w:line="276" w:before="120" w:after="120"/>
      <w:jc w:val="both"/>
    </w:pPr>
    <w:rPr>
      <w:rFonts w:ascii="Arial" w:hAnsi="Arial" w:cs="Arial"/>
      <w:color w:val="000000"/>
      <w:sz w:val="20"/>
      <w:szCs w:val="20"/>
    </w:rPr>
  </w:style>
  <w:style w:type="paragraph" w:styleId="Textopadro">
    <w:name w:val="Texto padrão"/>
    <w:basedOn w:val="Standard"/>
    <w:qFormat/>
    <w:pPr>
      <w:widowControl w:val="false"/>
    </w:pPr>
    <w:rPr>
      <w:lang w:val="en-US"/>
    </w:rPr>
  </w:style>
  <w:style w:type="paragraph" w:styleId="Nvel2-Red">
    <w:name w:val="Nível 2 -Red"/>
    <w:basedOn w:val="Nivel2"/>
    <w:qFormat/>
    <w:pPr/>
    <w:rPr>
      <w:i/>
      <w:iCs/>
      <w:color w:val="FF0000"/>
    </w:rPr>
  </w:style>
  <w:style w:type="paragraph" w:styleId="Default">
    <w:name w:val="Default"/>
    <w:qFormat/>
    <w:pPr>
      <w:widowControl/>
      <w:suppressAutoHyphens w:val="true"/>
      <w:overflowPunct w:val="false"/>
      <w:bidi w:val="0"/>
      <w:spacing w:before="0" w:after="0"/>
      <w:jc w:val="left"/>
      <w:textAlignment w:val="baseline"/>
    </w:pPr>
    <w:rPr>
      <w:rFonts w:ascii="TimesNewRoman, ''Times New Roma" w:hAnsi="TimesNewRoman, ''Times New Roma" w:eastAsia="NSimSun" w:cs="Times New Roman"/>
      <w:color w:val="auto"/>
      <w:kern w:val="0"/>
      <w:sz w:val="20"/>
      <w:szCs w:val="20"/>
      <w:lang w:val="pt-BR" w:eastAsia="zh-CN" w:bidi="hi-IN"/>
    </w:rPr>
  </w:style>
  <w:style w:type="paragraph" w:styleId="Nivel4">
    <w:name w:val="Nivel 4"/>
    <w:basedOn w:val="Nivel3"/>
    <w:qFormat/>
    <w:pPr>
      <w:ind w:left="851" w:hanging="0"/>
    </w:pPr>
    <w:rPr>
      <w:color w:val="00000A"/>
    </w:rPr>
  </w:style>
  <w:style w:type="paragraph" w:styleId="Nvel4-R">
    <w:name w:val="Nível 4-R"/>
    <w:basedOn w:val="Nivel4"/>
    <w:qFormat/>
    <w:pPr>
      <w:ind w:left="2491" w:hanging="648"/>
    </w:pPr>
    <w:rPr>
      <w:i/>
      <w:iCs/>
      <w:color w:val="FF0000"/>
    </w:rPr>
  </w:style>
  <w:style w:type="paragraph" w:styleId="Nvel3-R">
    <w:name w:val="Nível 3-R"/>
    <w:basedOn w:val="Nivel3"/>
    <w:qFormat/>
    <w:pPr>
      <w:ind w:left="3198" w:hanging="504"/>
    </w:pPr>
    <w:rPr>
      <w:i/>
      <w:iCs/>
      <w:color w:val="FF0000"/>
    </w:rPr>
  </w:style>
  <w:style w:type="paragraph" w:styleId="Ttulodetabela">
    <w:name w:val="Título de tabela"/>
    <w:basedOn w:val="Contedodatabela"/>
    <w:qFormat/>
    <w:pPr>
      <w:suppressLineNumbers/>
      <w:jc w:val="center"/>
    </w:pPr>
    <w:rPr>
      <w:b/>
      <w:bCs/>
    </w:rPr>
  </w:style>
  <w:style w:type="paragraph" w:styleId="Nomal2">
    <w:name w:val="Nomal2"/>
    <w:basedOn w:val="Standard"/>
    <w:qFormat/>
    <w:pPr>
      <w:spacing w:lineRule="auto" w:line="288" w:before="280" w:after="280"/>
      <w:jc w:val="both"/>
    </w:pPr>
    <w:rPr>
      <w:rFonts w:ascii="Arial" w:hAnsi="Arial" w:eastAsia="Times New Roman" w:cs="Arial"/>
      <w:sz w:val="22"/>
      <w:szCs w:val="20"/>
    </w:rPr>
  </w:style>
  <w:style w:type="paragraph" w:styleId="Textbodyindent">
    <w:name w:val="Text body indent"/>
    <w:basedOn w:val="Standard"/>
    <w:qFormat/>
    <w:pPr>
      <w:spacing w:lineRule="auto" w:line="276" w:before="0" w:after="120"/>
      <w:ind w:left="283" w:hanging="0"/>
    </w:pPr>
    <w:rPr>
      <w:sz w:val="22"/>
      <w:szCs w:val="22"/>
    </w:rPr>
  </w:style>
  <w:style w:type="paragraph" w:styleId="Western">
    <w:name w:val="western"/>
    <w:qFormat/>
    <w:pPr>
      <w:widowControl/>
      <w:suppressAutoHyphens w:val="true"/>
      <w:overflowPunct w:val="false"/>
      <w:bidi w:val="0"/>
      <w:spacing w:before="0" w:after="0"/>
      <w:jc w:val="left"/>
    </w:pPr>
    <w:rPr>
      <w:rFonts w:ascii="Calibri" w:hAnsi="Calibri" w:eastAsia="SimSun" w:cs="Times New Roman"/>
      <w:color w:val="auto"/>
      <w:kern w:val="0"/>
      <w:sz w:val="20"/>
      <w:szCs w:val="20"/>
      <w:lang w:val="en-US" w:eastAsia="zh-CN" w:bidi="ar-SA"/>
    </w:rPr>
  </w:style>
  <w:style w:type="paragraph" w:styleId="Western1">
    <w:name w:val="western1"/>
    <w:qFormat/>
    <w:pPr>
      <w:widowControl/>
      <w:suppressAutoHyphens w:val="true"/>
      <w:overflowPunct w:val="false"/>
      <w:bidi w:val="0"/>
      <w:spacing w:before="0" w:after="0"/>
      <w:jc w:val="left"/>
    </w:pPr>
    <w:rPr>
      <w:rFonts w:ascii="Calibri" w:hAnsi="Calibri" w:eastAsia="SimSun" w:cs="Times New Roman"/>
      <w:color w:val="auto"/>
      <w:kern w:val="0"/>
      <w:sz w:val="20"/>
      <w:szCs w:val="20"/>
      <w:lang w:val="en-US" w:eastAsia="zh-CN" w:bidi="ar-SA"/>
    </w:rPr>
  </w:style>
  <w:style w:type="paragraph" w:styleId="Cabealhoesquerda">
    <w:name w:val="Cabeçalho à esquerda"/>
    <w:basedOn w:val="Cabealho"/>
    <w:qFormat/>
    <w:pPr>
      <w:suppressLineNumbers/>
      <w:tabs>
        <w:tab w:val="clear" w:pos="4819"/>
        <w:tab w:val="clear" w:pos="9638"/>
        <w:tab w:val="center" w:pos="4536" w:leader="none"/>
        <w:tab w:val="right" w:pos="9072" w:leader="none"/>
      </w:tabs>
    </w:pPr>
    <w:rPr/>
  </w:style>
  <w:style w:type="paragraph" w:styleId="Linhahorizontal">
    <w:name w:val="Linha horizontal"/>
    <w:basedOn w:val="Normal"/>
    <w:next w:val="Corpodotexto"/>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ortalcompras.ce.gov.br/" TargetMode="External"/><Relationship Id="rId3" Type="http://schemas.openxmlformats.org/officeDocument/2006/relationships/hyperlink" Target="https://www.gov.br/compras/pt-br/acesso-a-informacao/consulta-detalhada" TargetMode="External"/><Relationship Id="rId4" Type="http://schemas.openxmlformats.org/officeDocument/2006/relationships/hyperlink" Target="https://www.comprasnet.gov.br/seguro/loginPortal.asp" TargetMode="External"/><Relationship Id="rId5" Type="http://schemas.openxmlformats.org/officeDocument/2006/relationships/hyperlink" Target="mailto:licitacao@pge.ce.gov.br" TargetMode="External"/><Relationship Id="rId6" Type="http://schemas.openxmlformats.org/officeDocument/2006/relationships/hyperlink" Target="http://www.gov.br/compras" TargetMode="External"/><Relationship Id="rId7" Type="http://schemas.openxmlformats.org/officeDocument/2006/relationships/hyperlink" Target="http://www.planalto.gov.br/ccivil_03/_ato2019-2022/2021/lei/L14133.htm" TargetMode="External"/><Relationship Id="rId8" Type="http://schemas.openxmlformats.org/officeDocument/2006/relationships/hyperlink" Target="https://www.planalto.gov.br/ccivil_03/constituicao/constituicaocompilado.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ortaltransparencia.gov.br/sancoes/ceis" TargetMode="External"/><Relationship Id="rId11" Type="http://schemas.openxmlformats.org/officeDocument/2006/relationships/hyperlink" Target="https://www.portaltransparencia.gov.br/sancoes" TargetMode="External"/><Relationship Id="rId12" Type="http://schemas.openxmlformats.org/officeDocument/2006/relationships/hyperlink" Target="mailto:juary.oliveira@cidades.ce.gov.br" TargetMode="External"/><Relationship Id="rId13" Type="http://schemas.openxmlformats.org/officeDocument/2006/relationships/hyperlink" Target="http://www.planalto.gov.br/ccivil_03/_ato2019-2022/2021/lei/L14133.htm" TargetMode="External"/><Relationship Id="rId14" Type="http://schemas.openxmlformats.org/officeDocument/2006/relationships/hyperlink" Target="https://drive.google.com/drive/folders/18IP3Eoc7SfPgE2JxlVv0yLDoytapewJ-?usp=sharing" TargetMode="External"/><Relationship Id="rId15"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_ato2011-2014/2013/lei/l12846.htm" TargetMode="External"/><Relationship Id="rId17"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8078compilado.htm" TargetMode="External"/><Relationship Id="rId19" Type="http://schemas.openxmlformats.org/officeDocument/2006/relationships/header" Target="header1.xml"/><Relationship Id="rId20" Type="http://schemas.openxmlformats.org/officeDocument/2006/relationships/header" Target="header2.xml"/><Relationship Id="rId21" Type="http://schemas.openxmlformats.org/officeDocument/2006/relationships/header" Target="header3.xml"/><Relationship Id="rId22" Type="http://schemas.openxmlformats.org/officeDocument/2006/relationships/footer" Target="footer1.xml"/><Relationship Id="rId23" Type="http://schemas.openxmlformats.org/officeDocument/2006/relationships/footer" Target="footer2.xml"/><Relationship Id="rId24" Type="http://schemas.openxmlformats.org/officeDocument/2006/relationships/footer" Target="footer3.xml"/><Relationship Id="rId25" Type="http://schemas.openxmlformats.org/officeDocument/2006/relationships/numbering" Target="numbering.xml"/><Relationship Id="rId26" Type="http://schemas.openxmlformats.org/officeDocument/2006/relationships/fontTable" Target="fontTable.xml"/><Relationship Id="rId27" Type="http://schemas.openxmlformats.org/officeDocument/2006/relationships/settings" Target="settings.xml"/><Relationship Id="rId28"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image" Target="media/image2.png"/>
</Relationships>
</file>

<file path=word/_rels/footer3.xml.rels><?xml version="1.0" encoding="UTF-8"?>
<Relationships xmlns="http://schemas.openxmlformats.org/package/2006/relationships"><Relationship Id="rId1"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1595</TotalTime>
  <Application>LibreOffice/7.5.1.2$Windows_X86_64 LibreOffice_project/fcbaee479e84c6cd81291587d2ee68cba099e129</Application>
  <AppVersion>15.0000</AppVersion>
  <Pages>59</Pages>
  <Words>22297</Words>
  <Characters>129708</Characters>
  <CharactersWithSpaces>151500</CharactersWithSpaces>
  <Paragraphs>929</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2024-11-11T16:20:00Z</dcterms:created>
  <dc:creator>José de Sousa Braga Filho</dc:creator>
  <dc:description/>
  <dc:language>pt-BR</dc:language>
  <cp:lastModifiedBy/>
  <cp:lastPrinted>2025-05-08T14:25:00Z</cp:lastPrinted>
  <dcterms:modified xsi:type="dcterms:W3CDTF">2026-10-14T09:34:51Z</dcterms:modified>
  <cp:revision>238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88D04A15D8714D408A7F2250AB81A5E6_13</vt:lpwstr>
  </property>
  <property fmtid="{D5CDD505-2E9C-101B-9397-08002B2CF9AE}" pid="3" name="KSOProductBuildVer">
    <vt:lpwstr>1046-12.2.0.23131</vt:lpwstr>
  </property>
  <property fmtid="{D5CDD505-2E9C-101B-9397-08002B2CF9AE}" pid="4" name="LinksUpToDate">
    <vt:bool>0</vt:bool>
  </property>
  <property fmtid="{D5CDD505-2E9C-101B-9397-08002B2CF9AE}" pid="5" name="MSIP_Label_defa4170-0d19-0005-0004-bc88714345d2_ActionId">
    <vt:lpwstr>ba7bd544-fbad-426b-92ef-d5780cc51454</vt:lpwstr>
  </property>
  <property fmtid="{D5CDD505-2E9C-101B-9397-08002B2CF9AE}" pid="6" name="MSIP_Label_defa4170-0d19-0005-0004-bc88714345d2_ContentBits">
    <vt:lpwstr>0</vt:lpwstr>
  </property>
  <property fmtid="{D5CDD505-2E9C-101B-9397-08002B2CF9AE}" pid="7" name="MSIP_Label_defa4170-0d19-0005-0004-bc88714345d2_Enabled">
    <vt:lpwstr>true</vt:lpwstr>
  </property>
  <property fmtid="{D5CDD505-2E9C-101B-9397-08002B2CF9AE}" pid="8" name="MSIP_Label_defa4170-0d19-0005-0004-bc88714345d2_Method">
    <vt:lpwstr>Standard</vt:lpwstr>
  </property>
  <property fmtid="{D5CDD505-2E9C-101B-9397-08002B2CF9AE}" pid="9" name="MSIP_Label_defa4170-0d19-0005-0004-bc88714345d2_Name">
    <vt:lpwstr>defa4170-0d19-0005-0004-bc88714345d2</vt:lpwstr>
  </property>
  <property fmtid="{D5CDD505-2E9C-101B-9397-08002B2CF9AE}" pid="10" name="MSIP_Label_defa4170-0d19-0005-0004-bc88714345d2_SetDate">
    <vt:lpwstr>2023-03-22T15:52:34Z</vt:lpwstr>
  </property>
  <property fmtid="{D5CDD505-2E9C-101B-9397-08002B2CF9AE}" pid="11" name="MSIP_Label_defa4170-0d19-0005-0004-bc88714345d2_SiteId">
    <vt:lpwstr>d994ddef-51c7-4851-9e6e-51209c4dc3e4</vt:lpwstr>
  </property>
  <property fmtid="{D5CDD505-2E9C-101B-9397-08002B2CF9AE}" pid="12" name="ScaleCrop">
    <vt:bool>0</vt:bool>
  </property>
</Properties>
</file>