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384"/>
        <w:tblW w:w="97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78"/>
        <w:gridCol w:w="1273"/>
        <w:gridCol w:w="1836"/>
        <w:gridCol w:w="4633"/>
      </w:tblGrid>
      <w:tr w:rsidR="00333147" w:rsidRPr="00333147" w14:paraId="629EADCC" w14:textId="77777777" w:rsidTr="00333147">
        <w:trPr>
          <w:trHeight w:val="1893"/>
        </w:trPr>
        <w:tc>
          <w:tcPr>
            <w:tcW w:w="9720" w:type="dxa"/>
            <w:gridSpan w:val="4"/>
            <w:tcBorders>
              <w:top w:val="single" w:sz="12" w:space="0" w:color="000000"/>
              <w:left w:val="single" w:sz="12" w:space="0" w:color="000000"/>
              <w:bottom w:val="single" w:sz="6" w:space="0" w:color="000000"/>
              <w:right w:val="single" w:sz="12" w:space="0" w:color="000000"/>
            </w:tcBorders>
            <w:hideMark/>
          </w:tcPr>
          <w:p w14:paraId="365B2B73" w14:textId="1ACA0FB2" w:rsidR="00333147" w:rsidRPr="00333147" w:rsidRDefault="00333147" w:rsidP="00ED54C5">
            <w:pPr>
              <w:rPr>
                <w:rFonts w:ascii="Palatino Linotype" w:hAnsi="Palatino Linotype"/>
                <w:b/>
                <w:bCs/>
                <w:lang w:val="pt-PT"/>
              </w:rPr>
            </w:pPr>
            <w:r w:rsidRPr="00333147">
              <w:rPr>
                <w:rFonts w:ascii="Palatino Linotype" w:hAnsi="Palatino Linotype"/>
                <w:b/>
                <w:bCs/>
                <w:lang w:val="pt-PT"/>
              </w:rPr>
              <w:t>Aviso de DISPENSA ELETRÔNICA Nº 900</w:t>
            </w:r>
            <w:r w:rsidR="005E5D59">
              <w:rPr>
                <w:rFonts w:ascii="Palatino Linotype" w:hAnsi="Palatino Linotype"/>
                <w:b/>
                <w:bCs/>
                <w:lang w:val="pt-PT"/>
              </w:rPr>
              <w:t>12</w:t>
            </w:r>
            <w:r w:rsidRPr="00333147">
              <w:rPr>
                <w:rFonts w:ascii="Palatino Linotype" w:hAnsi="Palatino Linotype"/>
                <w:b/>
                <w:bCs/>
                <w:lang w:val="pt-PT"/>
              </w:rPr>
              <w:t>/</w:t>
            </w:r>
            <w:r w:rsidR="00E41658">
              <w:rPr>
                <w:rFonts w:ascii="Palatino Linotype" w:hAnsi="Palatino Linotype"/>
                <w:b/>
                <w:bCs/>
                <w:lang w:val="pt-PT"/>
              </w:rPr>
              <w:t>2026</w:t>
            </w:r>
          </w:p>
        </w:tc>
      </w:tr>
      <w:tr w:rsidR="00333147" w:rsidRPr="00333147" w14:paraId="2F2C26DF" w14:textId="77777777" w:rsidTr="00333147">
        <w:trPr>
          <w:trHeight w:val="3076"/>
        </w:trPr>
        <w:tc>
          <w:tcPr>
            <w:tcW w:w="1978" w:type="dxa"/>
            <w:tcBorders>
              <w:top w:val="single" w:sz="6" w:space="0" w:color="000000"/>
              <w:left w:val="single" w:sz="12" w:space="0" w:color="000000"/>
              <w:bottom w:val="single" w:sz="6" w:space="0" w:color="000000"/>
              <w:right w:val="single" w:sz="6" w:space="0" w:color="000000"/>
            </w:tcBorders>
          </w:tcPr>
          <w:p w14:paraId="7C7E4ED6" w14:textId="77777777" w:rsidR="00333147" w:rsidRPr="00333147" w:rsidRDefault="00333147" w:rsidP="00333147">
            <w:pPr>
              <w:rPr>
                <w:rFonts w:ascii="Palatino Linotype" w:hAnsi="Palatino Linotype"/>
                <w:b/>
                <w:bCs/>
                <w:lang w:val="pt-PT"/>
              </w:rPr>
            </w:pPr>
          </w:p>
          <w:p w14:paraId="14A35EE2" w14:textId="77777777" w:rsidR="00333147" w:rsidRPr="00333147" w:rsidRDefault="00333147" w:rsidP="00333147">
            <w:pPr>
              <w:rPr>
                <w:rFonts w:ascii="Palatino Linotype" w:hAnsi="Palatino Linotype"/>
                <w:b/>
                <w:bCs/>
                <w:lang w:val="pt-PT"/>
              </w:rPr>
            </w:pPr>
          </w:p>
          <w:p w14:paraId="5A7BB062" w14:textId="77777777" w:rsidR="00333147" w:rsidRPr="00333147" w:rsidRDefault="00333147" w:rsidP="00333147">
            <w:pPr>
              <w:rPr>
                <w:rFonts w:ascii="Palatino Linotype" w:hAnsi="Palatino Linotype"/>
                <w:b/>
                <w:bCs/>
                <w:lang w:val="pt-PT"/>
              </w:rPr>
            </w:pPr>
          </w:p>
          <w:p w14:paraId="562A86DA" w14:textId="77777777" w:rsidR="00333147" w:rsidRPr="00333147" w:rsidRDefault="00333147" w:rsidP="00333147">
            <w:pPr>
              <w:rPr>
                <w:rFonts w:ascii="Palatino Linotype" w:hAnsi="Palatino Linotype"/>
                <w:b/>
                <w:bCs/>
                <w:lang w:val="pt-PT"/>
              </w:rPr>
            </w:pPr>
          </w:p>
          <w:p w14:paraId="38843E9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OBJETO</w:t>
            </w:r>
          </w:p>
        </w:tc>
        <w:tc>
          <w:tcPr>
            <w:tcW w:w="7742" w:type="dxa"/>
            <w:gridSpan w:val="3"/>
            <w:tcBorders>
              <w:top w:val="single" w:sz="6" w:space="0" w:color="000000"/>
              <w:left w:val="single" w:sz="6" w:space="0" w:color="000000"/>
              <w:bottom w:val="single" w:sz="6" w:space="0" w:color="000000"/>
              <w:right w:val="single" w:sz="12" w:space="0" w:color="000000"/>
            </w:tcBorders>
          </w:tcPr>
          <w:p w14:paraId="44615E06" w14:textId="77777777" w:rsidR="00333147" w:rsidRPr="00333147" w:rsidRDefault="00333147" w:rsidP="00333147">
            <w:pPr>
              <w:rPr>
                <w:rFonts w:ascii="Palatino Linotype" w:hAnsi="Palatino Linotype"/>
                <w:b/>
                <w:bCs/>
                <w:lang w:val="pt-PT"/>
              </w:rPr>
            </w:pPr>
          </w:p>
          <w:p w14:paraId="6660F71A" w14:textId="116B86D6" w:rsidR="00333147" w:rsidRPr="00333147" w:rsidRDefault="00333147" w:rsidP="00333147">
            <w:pPr>
              <w:jc w:val="both"/>
              <w:rPr>
                <w:rFonts w:ascii="Palatino Linotype" w:hAnsi="Palatino Linotype"/>
                <w:b/>
                <w:bCs/>
                <w:lang w:val="pt-PT"/>
              </w:rPr>
            </w:pPr>
            <w:r w:rsidRPr="00333147">
              <w:rPr>
                <w:rFonts w:ascii="Palatino Linotype" w:hAnsi="Palatino Linotype"/>
                <w:b/>
                <w:bCs/>
                <w:lang w:val="pt-PT"/>
              </w:rPr>
              <w:t xml:space="preserve">O objeto </w:t>
            </w:r>
            <w:r w:rsidRPr="00333147">
              <w:rPr>
                <w:rFonts w:ascii="Palatino Linotype" w:hAnsi="Palatino Linotype"/>
                <w:b/>
                <w:bCs/>
              </w:rPr>
              <w:t xml:space="preserve">contratação tem por </w:t>
            </w:r>
            <w:r>
              <w:rPr>
                <w:rFonts w:ascii="Palatino Linotype" w:hAnsi="Palatino Linotype"/>
                <w:b/>
                <w:bCs/>
              </w:rPr>
              <w:t xml:space="preserve">finalidade </w:t>
            </w:r>
            <w:r w:rsidR="00ED30B7" w:rsidRPr="00ED30B7">
              <w:rPr>
                <w:rFonts w:ascii="Palatino Linotype" w:hAnsi="Palatino Linotype"/>
                <w:b/>
                <w:bCs/>
              </w:rPr>
              <w:t>Aquisição de etiquetas patrimoniais e impressora padrão destinada ao tombamento de bens móveis desta Junta Comercial do Estado do RN - JUCERN</w:t>
            </w:r>
            <w:r>
              <w:rPr>
                <w:rFonts w:ascii="Palatino Linotype" w:hAnsi="Palatino Linotype"/>
                <w:b/>
                <w:bCs/>
              </w:rPr>
              <w:t xml:space="preserve">. </w:t>
            </w:r>
            <w:r w:rsidRPr="00333147">
              <w:rPr>
                <w:rFonts w:ascii="Palatino Linotype" w:hAnsi="Palatino Linotype"/>
                <w:b/>
                <w:bCs/>
                <w:lang w:val="pt-PT"/>
              </w:rPr>
              <w:t>(Dispensa de Licitação), conforme previsão legal contida no art. 75, inciso II, da Lei nº</w:t>
            </w:r>
          </w:p>
          <w:p w14:paraId="30F48201"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14.133/2021.</w:t>
            </w:r>
          </w:p>
        </w:tc>
      </w:tr>
      <w:tr w:rsidR="00333147" w:rsidRPr="00333147" w14:paraId="7912D6AE" w14:textId="77777777" w:rsidTr="00333147">
        <w:trPr>
          <w:trHeight w:val="1708"/>
        </w:trPr>
        <w:tc>
          <w:tcPr>
            <w:tcW w:w="5087" w:type="dxa"/>
            <w:gridSpan w:val="3"/>
            <w:tcBorders>
              <w:top w:val="single" w:sz="6" w:space="0" w:color="000000"/>
              <w:left w:val="single" w:sz="12" w:space="0" w:color="000000"/>
              <w:bottom w:val="single" w:sz="6" w:space="0" w:color="000000"/>
              <w:right w:val="single" w:sz="6" w:space="0" w:color="000000"/>
            </w:tcBorders>
          </w:tcPr>
          <w:p w14:paraId="4BDC0FEE" w14:textId="77777777" w:rsidR="00333147" w:rsidRPr="00333147" w:rsidRDefault="00333147" w:rsidP="00333147">
            <w:pPr>
              <w:rPr>
                <w:rFonts w:ascii="Palatino Linotype" w:hAnsi="Palatino Linotype"/>
                <w:b/>
                <w:bCs/>
                <w:lang w:val="pt-PT"/>
              </w:rPr>
            </w:pPr>
          </w:p>
          <w:p w14:paraId="545BEBE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PROPOSTAS</w:t>
            </w:r>
          </w:p>
          <w:p w14:paraId="65762A4D" w14:textId="3F9C759B"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5F6A03">
              <w:rPr>
                <w:rFonts w:ascii="Palatino Linotype" w:hAnsi="Palatino Linotype"/>
                <w:b/>
                <w:bCs/>
                <w:lang w:val="pt-PT"/>
              </w:rPr>
              <w:t>15</w:t>
            </w:r>
            <w:r w:rsidR="00662A37">
              <w:rPr>
                <w:rFonts w:ascii="Palatino Linotype" w:hAnsi="Palatino Linotype"/>
                <w:b/>
                <w:bCs/>
                <w:lang w:val="pt-PT"/>
              </w:rPr>
              <w:t>/0</w:t>
            </w:r>
            <w:r w:rsidR="005F6A03">
              <w:rPr>
                <w:rFonts w:ascii="Palatino Linotype" w:hAnsi="Palatino Linotype"/>
                <w:b/>
                <w:bCs/>
                <w:lang w:val="pt-PT"/>
              </w:rPr>
              <w:t>6</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w:t>
            </w:r>
            <w:r w:rsidR="005F6A03">
              <w:rPr>
                <w:rFonts w:ascii="Palatino Linotype" w:hAnsi="Palatino Linotype"/>
                <w:b/>
                <w:bCs/>
                <w:lang w:val="pt-PT"/>
              </w:rPr>
              <w:t>09</w:t>
            </w:r>
            <w:r w:rsidRPr="00333147">
              <w:rPr>
                <w:rFonts w:ascii="Palatino Linotype" w:hAnsi="Palatino Linotype"/>
                <w:b/>
                <w:bCs/>
                <w:lang w:val="pt-PT"/>
              </w:rPr>
              <w:t>h</w:t>
            </w:r>
          </w:p>
          <w:p w14:paraId="0141B1F4" w14:textId="799C51BE"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E71819">
              <w:rPr>
                <w:rFonts w:ascii="Palatino Linotype" w:hAnsi="Palatino Linotype"/>
                <w:b/>
                <w:bCs/>
                <w:lang w:val="pt-PT"/>
              </w:rPr>
              <w:t>18</w:t>
            </w:r>
            <w:r w:rsidR="00AD64DB">
              <w:rPr>
                <w:rFonts w:ascii="Palatino Linotype" w:hAnsi="Palatino Linotype"/>
                <w:b/>
                <w:bCs/>
                <w:lang w:val="pt-PT"/>
              </w:rPr>
              <w:t>/0</w:t>
            </w:r>
            <w:r w:rsidR="005F6A03">
              <w:rPr>
                <w:rFonts w:ascii="Palatino Linotype" w:hAnsi="Palatino Linotype"/>
                <w:b/>
                <w:bCs/>
                <w:lang w:val="pt-PT"/>
              </w:rPr>
              <w:t>6</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w:t>
            </w:r>
            <w:r w:rsidR="003C5FBC">
              <w:rPr>
                <w:rFonts w:ascii="Palatino Linotype" w:hAnsi="Palatino Linotype"/>
                <w:b/>
                <w:bCs/>
                <w:lang w:val="pt-PT"/>
              </w:rPr>
              <w:t>09</w:t>
            </w:r>
            <w:r w:rsidRPr="00333147">
              <w:rPr>
                <w:rFonts w:ascii="Palatino Linotype" w:hAnsi="Palatino Linotype"/>
                <w:b/>
                <w:bCs/>
                <w:lang w:val="pt-PT"/>
              </w:rPr>
              <w:t>h</w:t>
            </w:r>
          </w:p>
        </w:tc>
        <w:tc>
          <w:tcPr>
            <w:tcW w:w="4633" w:type="dxa"/>
            <w:tcBorders>
              <w:top w:val="single" w:sz="6" w:space="0" w:color="000000"/>
              <w:left w:val="single" w:sz="6" w:space="0" w:color="000000"/>
              <w:bottom w:val="single" w:sz="6" w:space="0" w:color="000000"/>
              <w:right w:val="single" w:sz="12" w:space="0" w:color="000000"/>
            </w:tcBorders>
          </w:tcPr>
          <w:p w14:paraId="50549948" w14:textId="77777777" w:rsidR="00333147" w:rsidRPr="00333147" w:rsidRDefault="00333147" w:rsidP="00333147">
            <w:pPr>
              <w:rPr>
                <w:rFonts w:ascii="Palatino Linotype" w:hAnsi="Palatino Linotype"/>
                <w:b/>
                <w:bCs/>
                <w:lang w:val="pt-PT"/>
              </w:rPr>
            </w:pPr>
          </w:p>
          <w:p w14:paraId="58894F7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LANCES</w:t>
            </w:r>
          </w:p>
          <w:p w14:paraId="26BAC4FA" w14:textId="2F77C5FE"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E71819">
              <w:rPr>
                <w:rFonts w:ascii="Palatino Linotype" w:hAnsi="Palatino Linotype"/>
                <w:b/>
                <w:bCs/>
                <w:lang w:val="pt-PT"/>
              </w:rPr>
              <w:t>1</w:t>
            </w:r>
            <w:r w:rsidR="003C5FBC">
              <w:rPr>
                <w:rFonts w:ascii="Palatino Linotype" w:hAnsi="Palatino Linotype"/>
                <w:b/>
                <w:bCs/>
                <w:lang w:val="pt-PT"/>
              </w:rPr>
              <w:t>8</w:t>
            </w:r>
            <w:r w:rsidR="00AD64DB">
              <w:rPr>
                <w:rFonts w:ascii="Palatino Linotype" w:hAnsi="Palatino Linotype"/>
                <w:b/>
                <w:bCs/>
                <w:lang w:val="pt-PT"/>
              </w:rPr>
              <w:t>/0</w:t>
            </w:r>
            <w:r w:rsidR="003C5FBC">
              <w:rPr>
                <w:rFonts w:ascii="Palatino Linotype" w:hAnsi="Palatino Linotype"/>
                <w:b/>
                <w:bCs/>
                <w:lang w:val="pt-PT"/>
              </w:rPr>
              <w:t>6</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w:t>
            </w:r>
            <w:r w:rsidR="003C5FBC">
              <w:rPr>
                <w:rFonts w:ascii="Palatino Linotype" w:hAnsi="Palatino Linotype"/>
                <w:b/>
                <w:bCs/>
                <w:lang w:val="pt-PT"/>
              </w:rPr>
              <w:t>9</w:t>
            </w:r>
            <w:r w:rsidRPr="00333147">
              <w:rPr>
                <w:rFonts w:ascii="Palatino Linotype" w:hAnsi="Palatino Linotype"/>
                <w:b/>
                <w:bCs/>
                <w:lang w:val="pt-PT"/>
              </w:rPr>
              <w:t>h</w:t>
            </w:r>
          </w:p>
          <w:p w14:paraId="66237380" w14:textId="363FEACC"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E71819">
              <w:rPr>
                <w:rFonts w:ascii="Palatino Linotype" w:hAnsi="Palatino Linotype"/>
                <w:b/>
                <w:bCs/>
                <w:lang w:val="pt-PT"/>
              </w:rPr>
              <w:t>1</w:t>
            </w:r>
            <w:r w:rsidR="003C5FBC">
              <w:rPr>
                <w:rFonts w:ascii="Palatino Linotype" w:hAnsi="Palatino Linotype"/>
                <w:b/>
                <w:bCs/>
                <w:lang w:val="pt-PT"/>
              </w:rPr>
              <w:t>8</w:t>
            </w:r>
            <w:r w:rsidR="00AD64DB">
              <w:rPr>
                <w:rFonts w:ascii="Palatino Linotype" w:hAnsi="Palatino Linotype"/>
                <w:b/>
                <w:bCs/>
                <w:lang w:val="pt-PT"/>
              </w:rPr>
              <w:t>/0</w:t>
            </w:r>
            <w:r w:rsidR="003C5FBC">
              <w:rPr>
                <w:rFonts w:ascii="Palatino Linotype" w:hAnsi="Palatino Linotype"/>
                <w:b/>
                <w:bCs/>
                <w:lang w:val="pt-PT"/>
              </w:rPr>
              <w:t>6</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1</w:t>
            </w:r>
            <w:r w:rsidR="003C5FBC">
              <w:rPr>
                <w:rFonts w:ascii="Palatino Linotype" w:hAnsi="Palatino Linotype"/>
                <w:b/>
                <w:bCs/>
                <w:lang w:val="pt-PT"/>
              </w:rPr>
              <w:t>5</w:t>
            </w:r>
            <w:r w:rsidRPr="00333147">
              <w:rPr>
                <w:rFonts w:ascii="Palatino Linotype" w:hAnsi="Palatino Linotype"/>
                <w:b/>
                <w:bCs/>
                <w:lang w:val="pt-PT"/>
              </w:rPr>
              <w:t>h</w:t>
            </w:r>
          </w:p>
        </w:tc>
      </w:tr>
      <w:tr w:rsidR="00333147" w:rsidRPr="00333147" w14:paraId="2172F42C" w14:textId="77777777" w:rsidTr="00333147">
        <w:trPr>
          <w:trHeight w:val="880"/>
        </w:trPr>
        <w:tc>
          <w:tcPr>
            <w:tcW w:w="3251" w:type="dxa"/>
            <w:gridSpan w:val="2"/>
            <w:tcBorders>
              <w:top w:val="single" w:sz="6" w:space="0" w:color="000000"/>
              <w:left w:val="single" w:sz="12" w:space="0" w:color="000000"/>
              <w:bottom w:val="single" w:sz="6" w:space="0" w:color="000000"/>
              <w:right w:val="single" w:sz="6" w:space="0" w:color="000000"/>
            </w:tcBorders>
            <w:hideMark/>
          </w:tcPr>
          <w:p w14:paraId="62C2C19A"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VALOR TOTAL DA CONTRATAÇÃO</w:t>
            </w:r>
          </w:p>
        </w:tc>
        <w:tc>
          <w:tcPr>
            <w:tcW w:w="6469" w:type="dxa"/>
            <w:gridSpan w:val="2"/>
            <w:tcBorders>
              <w:top w:val="single" w:sz="6" w:space="0" w:color="000000"/>
              <w:left w:val="single" w:sz="6" w:space="0" w:color="000000"/>
              <w:bottom w:val="single" w:sz="6" w:space="0" w:color="000000"/>
              <w:right w:val="single" w:sz="12" w:space="0" w:color="000000"/>
            </w:tcBorders>
            <w:hideMark/>
          </w:tcPr>
          <w:p w14:paraId="648A1C77" w14:textId="533BFA0F"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R$ </w:t>
            </w:r>
            <w:r w:rsidR="00FB213D" w:rsidRPr="00FB213D">
              <w:rPr>
                <w:rFonts w:ascii="Palatino Linotype" w:hAnsi="Palatino Linotype"/>
                <w:b/>
                <w:bCs/>
              </w:rPr>
              <w:t>2.961,53</w:t>
            </w:r>
            <w:r w:rsidR="0015042A" w:rsidRPr="0015042A">
              <w:rPr>
                <w:rFonts w:ascii="Palatino Linotype" w:hAnsi="Palatino Linotype"/>
                <w:b/>
                <w:bCs/>
              </w:rPr>
              <w:t xml:space="preserve"> (</w:t>
            </w:r>
            <w:r w:rsidR="00FB213D">
              <w:rPr>
                <w:rFonts w:ascii="Palatino Linotype" w:hAnsi="Palatino Linotype"/>
                <w:b/>
                <w:bCs/>
              </w:rPr>
              <w:t>dois mil novecentos e sessenta e um reais e cinquenta e três centavos</w:t>
            </w:r>
            <w:r w:rsidR="0015042A" w:rsidRPr="0015042A">
              <w:rPr>
                <w:rFonts w:ascii="Palatino Linotype" w:hAnsi="Palatino Linotype"/>
                <w:b/>
                <w:bCs/>
              </w:rPr>
              <w:t>)</w:t>
            </w:r>
          </w:p>
        </w:tc>
      </w:tr>
      <w:tr w:rsidR="00333147" w:rsidRPr="00333147" w14:paraId="714486E0" w14:textId="77777777" w:rsidTr="00333147">
        <w:trPr>
          <w:trHeight w:val="292"/>
        </w:trPr>
        <w:tc>
          <w:tcPr>
            <w:tcW w:w="5087" w:type="dxa"/>
            <w:gridSpan w:val="3"/>
            <w:tcBorders>
              <w:top w:val="single" w:sz="6" w:space="0" w:color="000000"/>
              <w:left w:val="single" w:sz="12" w:space="0" w:color="000000"/>
              <w:bottom w:val="single" w:sz="6" w:space="0" w:color="000000"/>
              <w:right w:val="single" w:sz="6" w:space="0" w:color="000000"/>
            </w:tcBorders>
            <w:hideMark/>
          </w:tcPr>
          <w:p w14:paraId="520E07E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Endereço Eletrônico</w:t>
            </w:r>
          </w:p>
        </w:tc>
        <w:tc>
          <w:tcPr>
            <w:tcW w:w="4633" w:type="dxa"/>
            <w:tcBorders>
              <w:top w:val="single" w:sz="6" w:space="0" w:color="000000"/>
              <w:left w:val="single" w:sz="6" w:space="0" w:color="000000"/>
              <w:bottom w:val="single" w:sz="6" w:space="0" w:color="000000"/>
              <w:right w:val="single" w:sz="12" w:space="0" w:color="000000"/>
            </w:tcBorders>
            <w:hideMark/>
          </w:tcPr>
          <w:p w14:paraId="7F516960"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https://</w:t>
            </w:r>
            <w:hyperlink r:id="rId5" w:history="1">
              <w:r w:rsidRPr="00333147">
                <w:rPr>
                  <w:rStyle w:val="Hyperlink"/>
                  <w:rFonts w:ascii="Palatino Linotype" w:hAnsi="Palatino Linotype"/>
                  <w:b/>
                  <w:bCs/>
                  <w:lang w:val="pt-PT"/>
                </w:rPr>
                <w:t>www.gov.br/compras/</w:t>
              </w:r>
            </w:hyperlink>
          </w:p>
        </w:tc>
      </w:tr>
      <w:tr w:rsidR="00333147" w:rsidRPr="00333147" w14:paraId="2D7FFA35" w14:textId="77777777" w:rsidTr="00333147">
        <w:trPr>
          <w:trHeight w:val="3517"/>
        </w:trPr>
        <w:tc>
          <w:tcPr>
            <w:tcW w:w="9720" w:type="dxa"/>
            <w:gridSpan w:val="4"/>
            <w:tcBorders>
              <w:top w:val="single" w:sz="6" w:space="0" w:color="000000"/>
              <w:left w:val="single" w:sz="12" w:space="0" w:color="000000"/>
              <w:bottom w:val="single" w:sz="12" w:space="0" w:color="000000"/>
              <w:right w:val="single" w:sz="12" w:space="0" w:color="000000"/>
            </w:tcBorders>
          </w:tcPr>
          <w:p w14:paraId="6CF73B14" w14:textId="77777777" w:rsidR="00333147" w:rsidRPr="00333147" w:rsidRDefault="00333147" w:rsidP="00333147">
            <w:pPr>
              <w:rPr>
                <w:rFonts w:ascii="Palatino Linotype" w:hAnsi="Palatino Linotype"/>
                <w:b/>
                <w:bCs/>
                <w:lang w:val="pt-PT"/>
              </w:rPr>
            </w:pPr>
          </w:p>
          <w:p w14:paraId="63A26A45" w14:textId="77777777" w:rsidR="00333147" w:rsidRPr="00333147" w:rsidRDefault="00333147" w:rsidP="00333147">
            <w:pPr>
              <w:rPr>
                <w:rFonts w:ascii="Palatino Linotype" w:hAnsi="Palatino Linotype"/>
                <w:b/>
                <w:bCs/>
                <w:lang w:val="pt-PT"/>
              </w:rPr>
            </w:pPr>
          </w:p>
          <w:p w14:paraId="68D3CA95"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CONDIÇÕES GERAIS DA CONTRATAÇÃO</w:t>
            </w:r>
          </w:p>
          <w:p w14:paraId="200F9717" w14:textId="77777777" w:rsidR="00333147" w:rsidRPr="00333147" w:rsidRDefault="00333147" w:rsidP="00333147">
            <w:pPr>
              <w:rPr>
                <w:rFonts w:ascii="Palatino Linotype" w:hAnsi="Palatino Linotype"/>
                <w:b/>
                <w:bCs/>
                <w:lang w:val="pt-PT"/>
              </w:rPr>
            </w:pPr>
          </w:p>
          <w:p w14:paraId="1124027C" w14:textId="3B8E02FB" w:rsidR="00333147" w:rsidRPr="00333147" w:rsidRDefault="00333147" w:rsidP="00333147">
            <w:pPr>
              <w:rPr>
                <w:rFonts w:ascii="Palatino Linotype" w:hAnsi="Palatino Linotype"/>
                <w:b/>
                <w:bCs/>
                <w:lang w:val="pt-PT"/>
              </w:rPr>
            </w:pPr>
            <w:r>
              <w:rPr>
                <w:rFonts w:ascii="Palatino Linotype" w:hAnsi="Palatino Linotype"/>
                <w:b/>
                <w:bCs/>
                <w:lang w:val="pt-PT"/>
              </w:rPr>
              <w:t>A</w:t>
            </w:r>
            <w:r w:rsidRPr="00333147">
              <w:rPr>
                <w:rFonts w:ascii="Palatino Linotype" w:hAnsi="Palatino Linotype"/>
                <w:b/>
                <w:bCs/>
                <w:lang w:val="pt-PT"/>
              </w:rPr>
              <w:t xml:space="preserve"> </w:t>
            </w:r>
            <w:r>
              <w:rPr>
                <w:rFonts w:ascii="Palatino Linotype" w:hAnsi="Palatino Linotype"/>
                <w:b/>
                <w:bCs/>
                <w:lang w:val="pt-PT"/>
              </w:rPr>
              <w:t xml:space="preserve">Junta comercial do rio grande do norte </w:t>
            </w:r>
            <w:r w:rsidRPr="00333147">
              <w:rPr>
                <w:rFonts w:ascii="Palatino Linotype" w:hAnsi="Palatino Linotype"/>
                <w:b/>
                <w:bCs/>
                <w:lang w:val="pt-PT"/>
              </w:rPr>
              <w:t xml:space="preserve">(UASG </w:t>
            </w:r>
            <w:r>
              <w:rPr>
                <w:rFonts w:ascii="Palatino Linotype" w:hAnsi="Palatino Linotype"/>
                <w:b/>
                <w:bCs/>
                <w:lang w:val="pt-PT"/>
              </w:rPr>
              <w:t>925771</w:t>
            </w:r>
            <w:r w:rsidRPr="00333147">
              <w:rPr>
                <w:rFonts w:ascii="Palatino Linotype" w:hAnsi="Palatino Linotype"/>
                <w:b/>
                <w:bCs/>
                <w:lang w:val="pt-PT"/>
              </w:rPr>
              <w:t>) torna pública a realização da Dispensa Eletrônica, com critério de julgamento MENOR PREÇO, na hipótese do inciso II do art. 75 da Lei nº 14.133/2021 e demais legislações aplicáveis. A participação se dará mediante Sistema de Dispensa Eletrônica integrante do Sistema de Compras do Governo Federal – ComprasNet 4.0, disponível no endereço eletrônico: https://</w:t>
            </w:r>
            <w:r>
              <w:fldChar w:fldCharType="begin"/>
            </w:r>
            <w:r>
              <w:instrText>HYPERLINK "http://www.gov.br/compras/pt-br/"</w:instrText>
            </w:r>
            <w:r>
              <w:fldChar w:fldCharType="separate"/>
            </w:r>
            <w:r w:rsidRPr="00333147">
              <w:rPr>
                <w:rStyle w:val="Hyperlink"/>
                <w:rFonts w:ascii="Palatino Linotype" w:hAnsi="Palatino Linotype"/>
                <w:b/>
                <w:bCs/>
                <w:lang w:val="pt-PT"/>
              </w:rPr>
              <w:t>www.gov.br/compras/pt-br/.</w:t>
            </w:r>
            <w:r>
              <w:fldChar w:fldCharType="end"/>
            </w:r>
            <w:r w:rsidRPr="00333147">
              <w:rPr>
                <w:rFonts w:ascii="Palatino Linotype" w:hAnsi="Palatino Linotype"/>
                <w:b/>
                <w:bCs/>
                <w:lang w:val="pt-PT"/>
              </w:rPr>
              <w:t xml:space="preserve"> O envio de propostas e lances deverá ocorrer, exclusivamente, por meio desse sistema eletrônico.</w:t>
            </w:r>
          </w:p>
        </w:tc>
      </w:tr>
    </w:tbl>
    <w:p w14:paraId="2ED09B9C" w14:textId="6E95365E" w:rsidR="00333147" w:rsidRDefault="00333147">
      <w:pPr>
        <w:rPr>
          <w:rFonts w:ascii="Palatino Linotype" w:hAnsi="Palatino Linotype"/>
          <w:b/>
          <w:bCs/>
        </w:rPr>
      </w:pPr>
    </w:p>
    <w:p w14:paraId="0651758E" w14:textId="77777777" w:rsidR="00786353" w:rsidRDefault="00786353">
      <w:pPr>
        <w:rPr>
          <w:rFonts w:ascii="Palatino Linotype" w:hAnsi="Palatino Linotype"/>
          <w:b/>
          <w:bCs/>
        </w:rPr>
      </w:pPr>
    </w:p>
    <w:p w14:paraId="7031FA8E" w14:textId="27280929" w:rsidR="003F1DAC" w:rsidRDefault="003F1DAC" w:rsidP="003F1DAC">
      <w:pPr>
        <w:ind w:left="-426"/>
        <w:jc w:val="center"/>
        <w:rPr>
          <w:rFonts w:ascii="Palatino Linotype" w:hAnsi="Palatino Linotype"/>
          <w:b/>
          <w:bCs/>
        </w:rPr>
      </w:pPr>
      <w:r w:rsidRPr="003F1DAC">
        <w:rPr>
          <w:rFonts w:ascii="Palatino Linotype" w:hAnsi="Palatino Linotype"/>
          <w:b/>
          <w:bCs/>
        </w:rPr>
        <w:t xml:space="preserve">AVISO DE CONTRATAÇÃO DIRETA </w:t>
      </w:r>
      <w:r w:rsidR="00333147">
        <w:rPr>
          <w:rFonts w:ascii="Palatino Linotype" w:hAnsi="Palatino Linotype"/>
          <w:b/>
          <w:bCs/>
        </w:rPr>
        <w:t>–</w:t>
      </w:r>
      <w:r w:rsidRPr="003F1DAC">
        <w:rPr>
          <w:rFonts w:ascii="Palatino Linotype" w:hAnsi="Palatino Linotype"/>
          <w:b/>
          <w:bCs/>
        </w:rPr>
        <w:t xml:space="preserve"> DISPENSA</w:t>
      </w:r>
    </w:p>
    <w:p w14:paraId="0EF2E84A" w14:textId="77777777" w:rsidR="00333147" w:rsidRDefault="00333147" w:rsidP="003F1DAC">
      <w:pPr>
        <w:ind w:left="-426"/>
        <w:jc w:val="center"/>
        <w:rPr>
          <w:rFonts w:ascii="Palatino Linotype" w:hAnsi="Palatino Linotype"/>
          <w:b/>
          <w:bCs/>
        </w:rPr>
      </w:pPr>
    </w:p>
    <w:p w14:paraId="4865FD17" w14:textId="11EA3983" w:rsidR="003F1DAC" w:rsidRPr="00A915F0" w:rsidRDefault="003F1DAC" w:rsidP="003F1DAC">
      <w:pPr>
        <w:ind w:left="-426"/>
        <w:jc w:val="center"/>
        <w:rPr>
          <w:rFonts w:ascii="Palatino Linotype" w:hAnsi="Palatino Linotype"/>
        </w:rPr>
      </w:pPr>
      <w:r w:rsidRPr="00A915F0">
        <w:rPr>
          <w:rFonts w:ascii="Palatino Linotype" w:hAnsi="Palatino Linotype"/>
          <w:b/>
          <w:bCs/>
        </w:rPr>
        <w:lastRenderedPageBreak/>
        <w:t xml:space="preserve">AVISO DE CONTRATAÇÃO DIRETA Nº </w:t>
      </w:r>
      <w:r w:rsidR="00B40F79" w:rsidRPr="00A915F0">
        <w:rPr>
          <w:rFonts w:ascii="Palatino Linotype" w:hAnsi="Palatino Linotype"/>
          <w:b/>
          <w:bCs/>
        </w:rPr>
        <w:t>900</w:t>
      </w:r>
      <w:r w:rsidR="001E341A">
        <w:rPr>
          <w:rFonts w:ascii="Palatino Linotype" w:hAnsi="Palatino Linotype"/>
          <w:b/>
          <w:bCs/>
        </w:rPr>
        <w:t>12</w:t>
      </w:r>
      <w:r w:rsidRPr="00A915F0">
        <w:rPr>
          <w:rFonts w:ascii="Palatino Linotype" w:hAnsi="Palatino Linotype"/>
          <w:b/>
          <w:bCs/>
        </w:rPr>
        <w:t>/</w:t>
      </w:r>
      <w:r w:rsidR="00E41658" w:rsidRPr="00A915F0">
        <w:rPr>
          <w:rFonts w:ascii="Palatino Linotype" w:hAnsi="Palatino Linotype"/>
          <w:b/>
          <w:bCs/>
        </w:rPr>
        <w:t>2026</w:t>
      </w:r>
      <w:r w:rsidRPr="00A915F0">
        <w:rPr>
          <w:rFonts w:ascii="Palatino Linotype" w:hAnsi="Palatino Linotype"/>
          <w:b/>
          <w:bCs/>
          <w:color w:val="EE0000"/>
        </w:rPr>
        <w:t xml:space="preserve"> </w:t>
      </w:r>
      <w:r w:rsidRPr="00A915F0">
        <w:rPr>
          <w:rFonts w:ascii="Palatino Linotype" w:hAnsi="Palatino Linotype"/>
          <w:b/>
          <w:bCs/>
        </w:rPr>
        <w:t>- JUCERN/RN</w:t>
      </w:r>
    </w:p>
    <w:p w14:paraId="0BAB3D97" w14:textId="6A804A8D" w:rsidR="003F1DAC" w:rsidRPr="00A915F0" w:rsidRDefault="003F1DAC" w:rsidP="003F1DAC">
      <w:pPr>
        <w:ind w:left="-426"/>
        <w:jc w:val="center"/>
        <w:rPr>
          <w:rFonts w:ascii="Palatino Linotype" w:hAnsi="Palatino Linotype"/>
        </w:rPr>
      </w:pPr>
      <w:r w:rsidRPr="00A915F0">
        <w:rPr>
          <w:rFonts w:ascii="Palatino Linotype" w:hAnsi="Palatino Linotype"/>
        </w:rPr>
        <w:t xml:space="preserve">(Processo Administrativo nº </w:t>
      </w:r>
      <w:r w:rsidR="001E341A" w:rsidRPr="001E341A">
        <w:rPr>
          <w:rFonts w:ascii="Palatino Linotype" w:hAnsi="Palatino Linotype"/>
        </w:rPr>
        <w:t>04110006.000416/2026-65</w:t>
      </w:r>
      <w:r w:rsidRPr="00A915F0">
        <w:rPr>
          <w:rFonts w:ascii="Palatino Linotype" w:hAnsi="Palatino Linotype"/>
        </w:rPr>
        <w:t>)</w:t>
      </w:r>
    </w:p>
    <w:p w14:paraId="7F4C6B02" w14:textId="77777777" w:rsidR="003F1DAC" w:rsidRPr="00A915F0" w:rsidRDefault="003F1DAC" w:rsidP="003F1DAC">
      <w:pPr>
        <w:ind w:left="-426"/>
        <w:jc w:val="center"/>
        <w:rPr>
          <w:rFonts w:ascii="Palatino Linotype" w:hAnsi="Palatino Linotype"/>
        </w:rPr>
      </w:pPr>
    </w:p>
    <w:p w14:paraId="4366825A" w14:textId="77777777" w:rsidR="003F1DAC" w:rsidRPr="00A915F0" w:rsidRDefault="003F1DAC" w:rsidP="003F1DAC">
      <w:pPr>
        <w:ind w:left="-426"/>
        <w:rPr>
          <w:rFonts w:ascii="Palatino Linotype" w:hAnsi="Palatino Linotype"/>
        </w:rPr>
      </w:pPr>
      <w:r w:rsidRPr="00A915F0">
        <w:rPr>
          <w:rFonts w:ascii="Palatino Linotype" w:hAnsi="Palatino Linotype"/>
        </w:rPr>
        <w:t>Torna-se público que a JUNTA COMERCIAL DO RIO GRANDE DO NORTE, por meio da Coordenadoria de Administração, realizará Dispensa Eletrônica, nos termos da Lei nº 14.133 de 1º de abril de 2021, na hipótese do art. 75, inciso II, do Decreto nº 33.089 de 27 de outubro de 2023, e demais normas aplicáveis.</w:t>
      </w:r>
    </w:p>
    <w:p w14:paraId="1000C0CA" w14:textId="77777777" w:rsidR="003F1DAC" w:rsidRPr="00A915F0" w:rsidRDefault="003F1DAC" w:rsidP="003F1DAC">
      <w:pPr>
        <w:ind w:left="-426"/>
        <w:rPr>
          <w:rFonts w:ascii="Palatino Linotype" w:hAnsi="Palatino Linotype"/>
        </w:rPr>
      </w:pPr>
    </w:p>
    <w:p w14:paraId="4EA38EE3" w14:textId="7D0BCA38"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DATA DA SESSÃO:</w:t>
      </w:r>
      <w:r w:rsidRPr="00A915F0">
        <w:rPr>
          <w:rFonts w:ascii="Palatino Linotype" w:hAnsi="Palatino Linotype"/>
        </w:rPr>
        <w:t> </w:t>
      </w:r>
      <w:r w:rsidR="00FC0A5D" w:rsidRPr="00A915F0">
        <w:rPr>
          <w:rFonts w:ascii="Palatino Linotype" w:hAnsi="Palatino Linotype"/>
        </w:rPr>
        <w:t>1</w:t>
      </w:r>
      <w:r w:rsidR="00DC1C0C">
        <w:rPr>
          <w:rFonts w:ascii="Palatino Linotype" w:hAnsi="Palatino Linotype"/>
        </w:rPr>
        <w:t>8</w:t>
      </w:r>
      <w:r w:rsidR="004B1DAD" w:rsidRPr="00A915F0">
        <w:rPr>
          <w:rFonts w:ascii="Palatino Linotype" w:hAnsi="Palatino Linotype"/>
        </w:rPr>
        <w:t>/0</w:t>
      </w:r>
      <w:r w:rsidR="00DC1C0C">
        <w:rPr>
          <w:rFonts w:ascii="Palatino Linotype" w:hAnsi="Palatino Linotype"/>
        </w:rPr>
        <w:t>6</w:t>
      </w:r>
      <w:r w:rsidRPr="00A915F0">
        <w:rPr>
          <w:rFonts w:ascii="Palatino Linotype" w:hAnsi="Palatino Linotype"/>
        </w:rPr>
        <w:t>/</w:t>
      </w:r>
      <w:r w:rsidR="00E41658" w:rsidRPr="00A915F0">
        <w:rPr>
          <w:rFonts w:ascii="Palatino Linotype" w:hAnsi="Palatino Linotype"/>
        </w:rPr>
        <w:t>2026</w:t>
      </w:r>
    </w:p>
    <w:p w14:paraId="73AD6C49" w14:textId="4FF2413D"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PRAZO PARA SUBMISSÃO DE PROPOSTAS:</w:t>
      </w:r>
      <w:r w:rsidRPr="00A915F0">
        <w:rPr>
          <w:rFonts w:ascii="Palatino Linotype" w:hAnsi="Palatino Linotype"/>
        </w:rPr>
        <w:t xml:space="preserve"> Até às </w:t>
      </w:r>
      <w:r w:rsidR="00DC1C0C">
        <w:rPr>
          <w:rFonts w:ascii="Palatino Linotype" w:hAnsi="Palatino Linotype"/>
        </w:rPr>
        <w:t>08</w:t>
      </w:r>
      <w:r w:rsidRPr="00A915F0">
        <w:rPr>
          <w:rFonts w:ascii="Palatino Linotype" w:hAnsi="Palatino Linotype"/>
        </w:rPr>
        <w:t xml:space="preserve">h59 de </w:t>
      </w:r>
      <w:r w:rsidR="00FC0A5D" w:rsidRPr="00A915F0">
        <w:rPr>
          <w:rFonts w:ascii="Palatino Linotype" w:hAnsi="Palatino Linotype"/>
        </w:rPr>
        <w:t>18</w:t>
      </w:r>
      <w:r w:rsidR="004B1DAD" w:rsidRPr="00A915F0">
        <w:rPr>
          <w:rFonts w:ascii="Palatino Linotype" w:hAnsi="Palatino Linotype"/>
        </w:rPr>
        <w:t>/0</w:t>
      </w:r>
      <w:r w:rsidR="00DC1C0C">
        <w:rPr>
          <w:rFonts w:ascii="Palatino Linotype" w:hAnsi="Palatino Linotype"/>
        </w:rPr>
        <w:t>6</w:t>
      </w:r>
      <w:r w:rsidRPr="00A915F0">
        <w:rPr>
          <w:rFonts w:ascii="Palatino Linotype" w:hAnsi="Palatino Linotype"/>
        </w:rPr>
        <w:t>/</w:t>
      </w:r>
      <w:r w:rsidR="00E41658" w:rsidRPr="00A915F0">
        <w:rPr>
          <w:rFonts w:ascii="Palatino Linotype" w:hAnsi="Palatino Linotype"/>
        </w:rPr>
        <w:t>2026</w:t>
      </w:r>
    </w:p>
    <w:p w14:paraId="5F2013D8" w14:textId="33C9173C"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HORÁRIO DE INÍCIO DA FASE DE LANCES:</w:t>
      </w:r>
      <w:r w:rsidRPr="00A915F0">
        <w:rPr>
          <w:rFonts w:ascii="Palatino Linotype" w:hAnsi="Palatino Linotype"/>
        </w:rPr>
        <w:t> 0</w:t>
      </w:r>
      <w:r w:rsidR="00DC1C0C">
        <w:rPr>
          <w:rFonts w:ascii="Palatino Linotype" w:hAnsi="Palatino Linotype"/>
        </w:rPr>
        <w:t>9</w:t>
      </w:r>
      <w:r w:rsidRPr="00A915F0">
        <w:rPr>
          <w:rFonts w:ascii="Palatino Linotype" w:hAnsi="Palatino Linotype"/>
        </w:rPr>
        <w:t xml:space="preserve">:00 de </w:t>
      </w:r>
      <w:r w:rsidR="00E819F4" w:rsidRPr="00A915F0">
        <w:rPr>
          <w:rFonts w:ascii="Palatino Linotype" w:hAnsi="Palatino Linotype"/>
        </w:rPr>
        <w:t>1</w:t>
      </w:r>
      <w:r w:rsidR="00DC1C0C">
        <w:rPr>
          <w:rFonts w:ascii="Palatino Linotype" w:hAnsi="Palatino Linotype"/>
        </w:rPr>
        <w:t>8</w:t>
      </w:r>
      <w:r w:rsidR="004B1DAD" w:rsidRPr="00A915F0">
        <w:rPr>
          <w:rFonts w:ascii="Palatino Linotype" w:hAnsi="Palatino Linotype"/>
        </w:rPr>
        <w:t>/0</w:t>
      </w:r>
      <w:r w:rsidR="00DC1C0C">
        <w:rPr>
          <w:rFonts w:ascii="Palatino Linotype" w:hAnsi="Palatino Linotype"/>
        </w:rPr>
        <w:t>6</w:t>
      </w:r>
      <w:r w:rsidRPr="00A915F0">
        <w:rPr>
          <w:rFonts w:ascii="Palatino Linotype" w:hAnsi="Palatino Linotype"/>
        </w:rPr>
        <w:t>/</w:t>
      </w:r>
      <w:r w:rsidR="00E41658" w:rsidRPr="00A915F0">
        <w:rPr>
          <w:rFonts w:ascii="Palatino Linotype" w:hAnsi="Palatino Linotype"/>
        </w:rPr>
        <w:t>2026</w:t>
      </w:r>
    </w:p>
    <w:p w14:paraId="6CA631E3" w14:textId="73F9D5A1"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HORÁRIO DE TÉRMINO DA FASE DE LANCES:</w:t>
      </w:r>
      <w:r w:rsidRPr="00A915F0">
        <w:rPr>
          <w:rFonts w:ascii="Palatino Linotype" w:hAnsi="Palatino Linotype"/>
        </w:rPr>
        <w:t> 1</w:t>
      </w:r>
      <w:r w:rsidR="00DC1C0C">
        <w:rPr>
          <w:rFonts w:ascii="Palatino Linotype" w:hAnsi="Palatino Linotype"/>
        </w:rPr>
        <w:t>5</w:t>
      </w:r>
      <w:r w:rsidRPr="00A915F0">
        <w:rPr>
          <w:rFonts w:ascii="Palatino Linotype" w:hAnsi="Palatino Linotype"/>
        </w:rPr>
        <w:t xml:space="preserve">:00 de </w:t>
      </w:r>
      <w:r w:rsidR="00E819F4" w:rsidRPr="00A915F0">
        <w:rPr>
          <w:rFonts w:ascii="Palatino Linotype" w:hAnsi="Palatino Linotype"/>
        </w:rPr>
        <w:t>1</w:t>
      </w:r>
      <w:r w:rsidR="00DC1C0C">
        <w:rPr>
          <w:rFonts w:ascii="Palatino Linotype" w:hAnsi="Palatino Linotype"/>
        </w:rPr>
        <w:t>8</w:t>
      </w:r>
      <w:r w:rsidR="004B1DAD" w:rsidRPr="00A915F0">
        <w:rPr>
          <w:rFonts w:ascii="Palatino Linotype" w:hAnsi="Palatino Linotype"/>
        </w:rPr>
        <w:t>/0</w:t>
      </w:r>
      <w:r w:rsidR="00DC1C0C">
        <w:rPr>
          <w:rFonts w:ascii="Palatino Linotype" w:hAnsi="Palatino Linotype"/>
        </w:rPr>
        <w:t>6</w:t>
      </w:r>
      <w:r w:rsidRPr="00A915F0">
        <w:rPr>
          <w:rFonts w:ascii="Palatino Linotype" w:hAnsi="Palatino Linotype"/>
        </w:rPr>
        <w:t>/</w:t>
      </w:r>
      <w:r w:rsidR="00E41658" w:rsidRPr="00A915F0">
        <w:rPr>
          <w:rFonts w:ascii="Palatino Linotype" w:hAnsi="Palatino Linotype"/>
        </w:rPr>
        <w:t>2026</w:t>
      </w:r>
    </w:p>
    <w:p w14:paraId="3ED4CB4C" w14:textId="77777777"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LINK:</w:t>
      </w:r>
      <w:r w:rsidRPr="00A915F0">
        <w:rPr>
          <w:rFonts w:ascii="Palatino Linotype" w:hAnsi="Palatino Linotype"/>
        </w:rPr>
        <w:t> </w:t>
      </w:r>
      <w:hyperlink r:id="rId6" w:history="1">
        <w:r w:rsidRPr="00A915F0">
          <w:rPr>
            <w:rStyle w:val="Hyperlink"/>
            <w:rFonts w:ascii="Palatino Linotype" w:hAnsi="Palatino Linotype"/>
          </w:rPr>
          <w:t>https://www.gov.br/compras/pt-br</w:t>
        </w:r>
      </w:hyperlink>
    </w:p>
    <w:p w14:paraId="048809F0" w14:textId="77777777"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CRITÉRIO DE JULGAMENTO:</w:t>
      </w:r>
      <w:r w:rsidRPr="00A915F0">
        <w:rPr>
          <w:rFonts w:ascii="Palatino Linotype" w:hAnsi="Palatino Linotype"/>
        </w:rPr>
        <w:t> MENOR PREÇO</w:t>
      </w:r>
    </w:p>
    <w:p w14:paraId="3CA816CA" w14:textId="77777777" w:rsidR="003F1DAC" w:rsidRPr="00A915F0" w:rsidRDefault="003F1DAC" w:rsidP="003F1DAC">
      <w:pPr>
        <w:ind w:left="-426"/>
        <w:rPr>
          <w:rFonts w:ascii="Palatino Linotype" w:hAnsi="Palatino Linotype"/>
        </w:rPr>
      </w:pPr>
    </w:p>
    <w:p w14:paraId="1D0EB967" w14:textId="77777777" w:rsidR="003C62BC" w:rsidRPr="00A915F0" w:rsidRDefault="003F1DAC" w:rsidP="00EF2F91">
      <w:pPr>
        <w:numPr>
          <w:ilvl w:val="0"/>
          <w:numId w:val="2"/>
        </w:numPr>
        <w:spacing w:after="0"/>
        <w:ind w:left="-426"/>
        <w:jc w:val="both"/>
        <w:rPr>
          <w:rFonts w:ascii="Palatino Linotype" w:hAnsi="Palatino Linotype"/>
        </w:rPr>
      </w:pPr>
      <w:r w:rsidRPr="00A915F0">
        <w:rPr>
          <w:rFonts w:ascii="Palatino Linotype" w:hAnsi="Palatino Linotype"/>
          <w:b/>
          <w:bCs/>
        </w:rPr>
        <w:t>OBJETO DA CONTRATAÇÃO DIRETA</w:t>
      </w:r>
      <w:r w:rsidR="007445FC" w:rsidRPr="00A915F0">
        <w:rPr>
          <w:rFonts w:ascii="Palatino Linotype" w:hAnsi="Palatino Linotype"/>
        </w:rPr>
        <w:t>:</w:t>
      </w:r>
    </w:p>
    <w:p w14:paraId="71F2022B" w14:textId="57EF1EF9" w:rsidR="003F1DAC" w:rsidRPr="00A915F0" w:rsidRDefault="003F1DAC" w:rsidP="00EF2F91">
      <w:pPr>
        <w:spacing w:after="0"/>
        <w:jc w:val="both"/>
        <w:rPr>
          <w:rFonts w:ascii="Palatino Linotype" w:hAnsi="Palatino Linotype"/>
        </w:rPr>
      </w:pPr>
      <w:r w:rsidRPr="00A915F0">
        <w:rPr>
          <w:rFonts w:ascii="Palatino Linotype" w:hAnsi="Palatino Linotype"/>
        </w:rPr>
        <w:br/>
        <w:t xml:space="preserve">1.1. O objeto do presente procedimento </w:t>
      </w:r>
      <w:r w:rsidR="00ED30B7" w:rsidRPr="00ED30B7">
        <w:rPr>
          <w:rFonts w:ascii="Palatino Linotype" w:hAnsi="Palatino Linotype"/>
          <w:b/>
          <w:bCs/>
        </w:rPr>
        <w:t>Aquisição de etiquetas patrimoniais e impressora padrão destinada ao tombamento de bens móveis desta Junta Comercial do Estado do RN - JUCERN</w:t>
      </w:r>
      <w:r w:rsidRPr="00A915F0">
        <w:rPr>
          <w:rFonts w:ascii="Palatino Linotype" w:hAnsi="Palatino Linotype"/>
        </w:rPr>
        <w:t>, conforme condições, quantidades e exigências estabelecidas neste Aviso de Contratação Direta e seus anexos.</w:t>
      </w:r>
      <w:r w:rsidRPr="00A915F0">
        <w:rPr>
          <w:rFonts w:ascii="Palatino Linotype" w:hAnsi="Palatino Linotype"/>
        </w:rPr>
        <w:br/>
        <w:t>1.2. O critério de julgamento adotado será o MENOR PREÇO, observadas as exigências contidas neste Aviso de Contratação Direta e seus Anexos quanto às especificações do objeto.</w:t>
      </w:r>
    </w:p>
    <w:p w14:paraId="34523CE4" w14:textId="77777777" w:rsidR="003A33B0"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ESPECIFICAÇÃO DO OBJETO</w:t>
      </w:r>
      <w:r w:rsidR="00CA1F9D" w:rsidRPr="00A915F0">
        <w:rPr>
          <w:rFonts w:ascii="Palatino Linotype" w:hAnsi="Palatino Linotype"/>
          <w:b/>
          <w:bCs/>
        </w:rPr>
        <w:t>:</w:t>
      </w:r>
    </w:p>
    <w:p w14:paraId="46856054" w14:textId="77777777" w:rsidR="00C0573E" w:rsidRPr="00C0573E" w:rsidRDefault="00C0573E" w:rsidP="00C0573E">
      <w:pPr>
        <w:pStyle w:val="itemnivel2"/>
        <w:numPr>
          <w:ilvl w:val="1"/>
          <w:numId w:val="12"/>
        </w:numPr>
        <w:rPr>
          <w:rFonts w:ascii="Palatino Linotype" w:hAnsi="Palatino Linotype" w:cs="Calibri"/>
          <w:color w:val="000000"/>
          <w:sz w:val="22"/>
          <w:szCs w:val="22"/>
        </w:rPr>
      </w:pPr>
      <w:r w:rsidRPr="00C0573E">
        <w:rPr>
          <w:rFonts w:ascii="Palatino Linotype" w:hAnsi="Palatino Linotype" w:cs="Calibri"/>
          <w:color w:val="000000"/>
          <w:sz w:val="20"/>
          <w:szCs w:val="20"/>
        </w:rPr>
        <w:t xml:space="preserve"> </w:t>
      </w:r>
      <w:r w:rsidRPr="00C0573E">
        <w:rPr>
          <w:rFonts w:ascii="Palatino Linotype" w:hAnsi="Palatino Linotype" w:cs="Calibri"/>
          <w:color w:val="000000"/>
          <w:sz w:val="22"/>
          <w:szCs w:val="22"/>
        </w:rPr>
        <w:t>A presente solicitação tem por finalidade a contratação de empresa especializada para o fornecimento de etiquetas patrimoniais e impressora padrão destinada ao tombamento de bens móveis deste órgão.</w:t>
      </w:r>
    </w:p>
    <w:p w14:paraId="05CD4438" w14:textId="77777777" w:rsidR="00C0573E" w:rsidRPr="00C0573E" w:rsidRDefault="00C0573E" w:rsidP="00C0573E">
      <w:pPr>
        <w:pStyle w:val="itemnivel2"/>
        <w:numPr>
          <w:ilvl w:val="1"/>
          <w:numId w:val="12"/>
        </w:numPr>
        <w:rPr>
          <w:rFonts w:ascii="Palatino Linotype" w:hAnsi="Palatino Linotype" w:cs="Calibri"/>
          <w:color w:val="000000"/>
          <w:sz w:val="22"/>
          <w:szCs w:val="22"/>
        </w:rPr>
      </w:pPr>
      <w:r w:rsidRPr="00C0573E">
        <w:rPr>
          <w:rFonts w:ascii="Palatino Linotype" w:hAnsi="Palatino Linotype" w:cs="Calibri"/>
          <w:color w:val="000000"/>
          <w:sz w:val="22"/>
          <w:szCs w:val="22"/>
        </w:rPr>
        <w:t>A aquisição justifica-se pela necessidade de adequação às diretrizes estabelecidas no </w:t>
      </w:r>
      <w:r w:rsidRPr="00C0573E">
        <w:rPr>
          <w:rFonts w:ascii="Palatino Linotype" w:hAnsi="Palatino Linotype" w:cs="Calibri"/>
          <w:b/>
          <w:bCs/>
          <w:color w:val="000000"/>
          <w:sz w:val="22"/>
          <w:szCs w:val="22"/>
        </w:rPr>
        <w:t>Manual de Gestão Patrimonial de Bens Móveis – 1ª edição</w:t>
      </w:r>
      <w:r w:rsidRPr="00C0573E">
        <w:rPr>
          <w:rFonts w:ascii="Palatino Linotype" w:hAnsi="Palatino Linotype" w:cs="Calibri"/>
          <w:color w:val="000000"/>
          <w:sz w:val="22"/>
          <w:szCs w:val="22"/>
        </w:rPr>
        <w:t>, confeccionado pela Secretaria de Estado de Administração (SEAD), o qual determina que cada órgão deverá providenciar a aquisição de etiquetas e impressora padrão para identificação e controle de seus bens patrimoniais.</w:t>
      </w:r>
    </w:p>
    <w:p w14:paraId="2EBED9AF" w14:textId="77777777" w:rsidR="00C0573E" w:rsidRPr="00C0573E" w:rsidRDefault="00C0573E" w:rsidP="00C0573E">
      <w:pPr>
        <w:pStyle w:val="itemnivel2"/>
        <w:numPr>
          <w:ilvl w:val="1"/>
          <w:numId w:val="12"/>
        </w:numPr>
        <w:rPr>
          <w:rFonts w:ascii="Palatino Linotype" w:hAnsi="Palatino Linotype" w:cs="Calibri"/>
          <w:color w:val="000000"/>
          <w:sz w:val="22"/>
          <w:szCs w:val="22"/>
        </w:rPr>
      </w:pPr>
      <w:r w:rsidRPr="00C0573E">
        <w:rPr>
          <w:rFonts w:ascii="Palatino Linotype" w:hAnsi="Palatino Linotype" w:cs="Calibri"/>
          <w:color w:val="000000"/>
          <w:sz w:val="22"/>
          <w:szCs w:val="22"/>
        </w:rPr>
        <w:t xml:space="preserve">O tombamento adequado dos bens móveis é </w:t>
      </w:r>
      <w:proofErr w:type="gramStart"/>
      <w:r w:rsidRPr="00C0573E">
        <w:rPr>
          <w:rFonts w:ascii="Palatino Linotype" w:hAnsi="Palatino Linotype" w:cs="Calibri"/>
          <w:color w:val="000000"/>
          <w:sz w:val="22"/>
          <w:szCs w:val="22"/>
        </w:rPr>
        <w:t>medida</w:t>
      </w:r>
      <w:proofErr w:type="gramEnd"/>
      <w:r w:rsidRPr="00C0573E">
        <w:rPr>
          <w:rFonts w:ascii="Palatino Linotype" w:hAnsi="Palatino Linotype" w:cs="Calibri"/>
          <w:color w:val="000000"/>
          <w:sz w:val="22"/>
          <w:szCs w:val="22"/>
        </w:rPr>
        <w:t xml:space="preserve"> indispensável para assegurar a correta identificação, rastreabilidade, controle, inventário e gestão do patrimônio público, promovendo maior transparência, organização e conformidade com as normas vigentes. A padronização das etiquetas e do equipamento de impressão garante uniformidade na </w:t>
      </w:r>
      <w:r w:rsidRPr="00C0573E">
        <w:rPr>
          <w:rFonts w:ascii="Palatino Linotype" w:hAnsi="Palatino Linotype" w:cs="Calibri"/>
          <w:color w:val="000000"/>
          <w:sz w:val="22"/>
          <w:szCs w:val="22"/>
        </w:rPr>
        <w:lastRenderedPageBreak/>
        <w:t>identificação dos bens, maior durabilidade das marcações, redução de extravios e maior eficiência nos processos de fiscalização e auditoria.</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2"/>
        <w:gridCol w:w="3194"/>
        <w:gridCol w:w="949"/>
        <w:gridCol w:w="1280"/>
        <w:gridCol w:w="1071"/>
        <w:gridCol w:w="1086"/>
      </w:tblGrid>
      <w:tr w:rsidR="003A04DB" w:rsidRPr="00A915F0" w14:paraId="13B88777" w14:textId="7120F0BB" w:rsidTr="00BF0D50">
        <w:trPr>
          <w:tblHeader/>
          <w:tblCellSpacing w:w="15" w:type="dxa"/>
          <w:jc w:val="center"/>
        </w:trPr>
        <w:tc>
          <w:tcPr>
            <w:tcW w:w="793" w:type="pct"/>
            <w:hideMark/>
          </w:tcPr>
          <w:p w14:paraId="7280666B" w14:textId="5884D6BF" w:rsidR="003A04DB" w:rsidRPr="00A915F0" w:rsidRDefault="00BF0D50" w:rsidP="003A04DB">
            <w:pPr>
              <w:rPr>
                <w:rFonts w:ascii="Palatino Linotype" w:hAnsi="Palatino Linotype"/>
              </w:rPr>
            </w:pPr>
            <w:r>
              <w:rPr>
                <w:rFonts w:ascii="Palatino Linotype" w:eastAsia="Times New Roman" w:hAnsi="Palatino Linotype" w:cs="Calibri"/>
                <w:color w:val="000000"/>
                <w:kern w:val="0"/>
                <w:lang w:eastAsia="pt-BR"/>
                <w14:ligatures w14:val="none"/>
              </w:rPr>
              <w:t>ITEM</w:t>
            </w:r>
          </w:p>
        </w:tc>
        <w:tc>
          <w:tcPr>
            <w:tcW w:w="1746" w:type="pct"/>
            <w:hideMark/>
          </w:tcPr>
          <w:p w14:paraId="42E5FBF3" w14:textId="530DD969" w:rsidR="003A04DB" w:rsidRPr="00A915F0" w:rsidRDefault="003A04DB" w:rsidP="003A04DB">
            <w:pPr>
              <w:rPr>
                <w:rFonts w:ascii="Palatino Linotype" w:hAnsi="Palatino Linotype"/>
              </w:rPr>
            </w:pPr>
            <w:r w:rsidRPr="00A915F0">
              <w:rPr>
                <w:rFonts w:ascii="Palatino Linotype" w:hAnsi="Palatino Linotype" w:cs="Calibri"/>
                <w:b/>
                <w:bCs/>
                <w:color w:val="000000"/>
              </w:rPr>
              <w:t>Especificação</w:t>
            </w:r>
          </w:p>
        </w:tc>
        <w:tc>
          <w:tcPr>
            <w:tcW w:w="507" w:type="pct"/>
            <w:hideMark/>
          </w:tcPr>
          <w:p w14:paraId="0BFF7478" w14:textId="0914B3BB" w:rsidR="003A04DB" w:rsidRPr="00A915F0" w:rsidRDefault="003A04DB" w:rsidP="003A04DB">
            <w:pPr>
              <w:rPr>
                <w:rFonts w:ascii="Palatino Linotype" w:hAnsi="Palatino Linotype"/>
              </w:rPr>
            </w:pPr>
            <w:r w:rsidRPr="00A915F0">
              <w:rPr>
                <w:rFonts w:ascii="Palatino Linotype" w:hAnsi="Palatino Linotype" w:cs="Calibri"/>
                <w:b/>
                <w:bCs/>
                <w:color w:val="000000"/>
              </w:rPr>
              <w:t>Unidade de Medida</w:t>
            </w:r>
          </w:p>
        </w:tc>
        <w:tc>
          <w:tcPr>
            <w:tcW w:w="689" w:type="pct"/>
            <w:hideMark/>
          </w:tcPr>
          <w:p w14:paraId="6223D53E" w14:textId="7B46A7FE" w:rsidR="003A04DB" w:rsidRPr="00A915F0" w:rsidRDefault="003A04DB" w:rsidP="003A04DB">
            <w:pPr>
              <w:rPr>
                <w:rFonts w:ascii="Palatino Linotype" w:hAnsi="Palatino Linotype"/>
              </w:rPr>
            </w:pPr>
            <w:r w:rsidRPr="00A915F0">
              <w:rPr>
                <w:rFonts w:ascii="Palatino Linotype" w:hAnsi="Palatino Linotype" w:cs="Calibri"/>
                <w:b/>
                <w:bCs/>
                <w:color w:val="000000"/>
              </w:rPr>
              <w:t>Quantidade</w:t>
            </w:r>
          </w:p>
        </w:tc>
        <w:tc>
          <w:tcPr>
            <w:tcW w:w="574" w:type="pct"/>
          </w:tcPr>
          <w:p w14:paraId="65965846" w14:textId="1EB5FEB9" w:rsidR="003A04DB" w:rsidRPr="00A915F0" w:rsidRDefault="003A04DB" w:rsidP="003A04DB">
            <w:pPr>
              <w:rPr>
                <w:rFonts w:ascii="Palatino Linotype" w:hAnsi="Palatino Linotype"/>
              </w:rPr>
            </w:pPr>
            <w:r w:rsidRPr="00A915F0">
              <w:rPr>
                <w:rStyle w:val="Forte"/>
                <w:rFonts w:ascii="Palatino Linotype" w:hAnsi="Palatino Linotype" w:cs="Calibri"/>
                <w:color w:val="000000"/>
              </w:rPr>
              <w:t>Valor Unitário</w:t>
            </w:r>
          </w:p>
        </w:tc>
        <w:tc>
          <w:tcPr>
            <w:tcW w:w="574" w:type="pct"/>
          </w:tcPr>
          <w:p w14:paraId="17C0370A" w14:textId="7798AF18" w:rsidR="003A04DB" w:rsidRPr="00A915F0" w:rsidRDefault="003A04DB" w:rsidP="003A04DB">
            <w:pPr>
              <w:rPr>
                <w:rFonts w:ascii="Palatino Linotype" w:hAnsi="Palatino Linotype"/>
              </w:rPr>
            </w:pPr>
            <w:r w:rsidRPr="00A915F0">
              <w:rPr>
                <w:rStyle w:val="Forte"/>
                <w:rFonts w:ascii="Palatino Linotype" w:hAnsi="Palatino Linotype" w:cs="Calibri"/>
                <w:color w:val="000000"/>
              </w:rPr>
              <w:t>Valor Total</w:t>
            </w:r>
          </w:p>
        </w:tc>
      </w:tr>
      <w:tr w:rsidR="00BF0D50" w:rsidRPr="00A915F0" w14:paraId="3E72F12A" w14:textId="77777777" w:rsidTr="00BF0D50">
        <w:trPr>
          <w:tblHeader/>
          <w:tblCellSpacing w:w="15" w:type="dxa"/>
          <w:jc w:val="center"/>
        </w:trPr>
        <w:tc>
          <w:tcPr>
            <w:tcW w:w="793" w:type="pct"/>
          </w:tcPr>
          <w:p w14:paraId="1893B03F" w14:textId="66E94011" w:rsidR="00BF0D50" w:rsidRPr="00A915F0" w:rsidRDefault="00BF0D50" w:rsidP="007E3B3D">
            <w:pPr>
              <w:rPr>
                <w:rFonts w:ascii="Palatino Linotype" w:hAnsi="Palatino Linotype"/>
              </w:rPr>
            </w:pPr>
            <w:r>
              <w:rPr>
                <w:rFonts w:ascii="Palatino Linotype" w:hAnsi="Palatino Linotype"/>
              </w:rPr>
              <w:t>1</w:t>
            </w:r>
          </w:p>
        </w:tc>
        <w:tc>
          <w:tcPr>
            <w:tcW w:w="1746" w:type="pct"/>
          </w:tcPr>
          <w:p w14:paraId="74DD2E49" w14:textId="77777777" w:rsidR="00BF0D50" w:rsidRPr="00E02D86" w:rsidRDefault="00BF0D50" w:rsidP="007E3B3D">
            <w:pPr>
              <w:pStyle w:val="textojustificado"/>
              <w:spacing w:before="120" w:beforeAutospacing="0" w:after="120" w:afterAutospacing="0"/>
              <w:ind w:left="120" w:right="120"/>
              <w:jc w:val="both"/>
              <w:rPr>
                <w:rFonts w:ascii="Palatino Linotype" w:hAnsi="Palatino Linotype" w:cs="Calibri"/>
                <w:color w:val="000000"/>
                <w:sz w:val="20"/>
                <w:szCs w:val="20"/>
              </w:rPr>
            </w:pPr>
            <w:r w:rsidRPr="00E02D86">
              <w:rPr>
                <w:rStyle w:val="Forte"/>
                <w:rFonts w:ascii="Palatino Linotype" w:eastAsiaTheme="majorEastAsia" w:hAnsi="Palatino Linotype"/>
                <w:sz w:val="22"/>
                <w:szCs w:val="22"/>
              </w:rPr>
              <w:t>IMPRESSORA TERMICA TSC TTP SIMILAR A 245C.</w:t>
            </w:r>
          </w:p>
          <w:p w14:paraId="644598B5" w14:textId="77777777" w:rsidR="00BF0D50" w:rsidRPr="00A915F0" w:rsidRDefault="00BF0D50" w:rsidP="007E3B3D">
            <w:pPr>
              <w:rPr>
                <w:rFonts w:ascii="Palatino Linotype" w:hAnsi="Palatino Linotype"/>
              </w:rPr>
            </w:pPr>
            <w:r w:rsidRPr="00A915F0">
              <w:rPr>
                <w:rFonts w:ascii="Palatino Linotype" w:hAnsi="Palatino Linotype" w:cs="Calibri"/>
                <w:color w:val="000000"/>
              </w:rPr>
              <w:t xml:space="preserve">Capacidade: 300 ml; Material: vidro temperado, transparente de alta resistência; Bordas arredondadas; Design ergonômico; Resistência a choque térmico; </w:t>
            </w:r>
            <w:proofErr w:type="gramStart"/>
            <w:r w:rsidRPr="00A915F0">
              <w:rPr>
                <w:rFonts w:ascii="Palatino Linotype" w:hAnsi="Palatino Linotype" w:cs="Calibri"/>
                <w:color w:val="000000"/>
              </w:rPr>
              <w:t>Lavável</w:t>
            </w:r>
            <w:proofErr w:type="gramEnd"/>
            <w:r w:rsidRPr="00A915F0">
              <w:rPr>
                <w:rFonts w:ascii="Palatino Linotype" w:hAnsi="Palatino Linotype" w:cs="Calibri"/>
                <w:color w:val="000000"/>
              </w:rPr>
              <w:t xml:space="preserve"> em lava-louças; Uso institucional em copa e refeitório.</w:t>
            </w:r>
          </w:p>
        </w:tc>
        <w:tc>
          <w:tcPr>
            <w:tcW w:w="507" w:type="pct"/>
          </w:tcPr>
          <w:p w14:paraId="5D005110" w14:textId="77777777" w:rsidR="00BF0D50" w:rsidRPr="00A915F0" w:rsidRDefault="00BF0D50" w:rsidP="007E3B3D">
            <w:pPr>
              <w:pStyle w:val="tabelatextocentralizado"/>
              <w:spacing w:before="0" w:beforeAutospacing="0" w:after="0" w:afterAutospacing="0"/>
              <w:ind w:left="60" w:right="60"/>
              <w:jc w:val="center"/>
              <w:rPr>
                <w:rFonts w:ascii="Palatino Linotype" w:hAnsi="Palatino Linotype" w:cs="Calibri"/>
                <w:color w:val="000000"/>
                <w:sz w:val="22"/>
                <w:szCs w:val="22"/>
              </w:rPr>
            </w:pPr>
            <w:r w:rsidRPr="00A915F0">
              <w:rPr>
                <w:rFonts w:ascii="Palatino Linotype" w:hAnsi="Palatino Linotype" w:cs="Calibri"/>
                <w:color w:val="000000"/>
                <w:sz w:val="22"/>
                <w:szCs w:val="22"/>
              </w:rPr>
              <w:t> </w:t>
            </w:r>
          </w:p>
          <w:p w14:paraId="7032AF92" w14:textId="77777777" w:rsidR="00BF0D50" w:rsidRPr="00A915F0" w:rsidRDefault="00BF0D50" w:rsidP="007E3B3D">
            <w:pPr>
              <w:rPr>
                <w:rFonts w:ascii="Palatino Linotype" w:hAnsi="Palatino Linotype"/>
              </w:rPr>
            </w:pPr>
            <w:r w:rsidRPr="00A915F0">
              <w:rPr>
                <w:rFonts w:ascii="Palatino Linotype" w:hAnsi="Palatino Linotype" w:cs="Calibri"/>
                <w:color w:val="000000"/>
              </w:rPr>
              <w:t>UND</w:t>
            </w:r>
          </w:p>
        </w:tc>
        <w:tc>
          <w:tcPr>
            <w:tcW w:w="689" w:type="pct"/>
          </w:tcPr>
          <w:p w14:paraId="63866F4B" w14:textId="77777777" w:rsidR="00BF0D50" w:rsidRPr="00A915F0" w:rsidRDefault="00BF0D50" w:rsidP="007E3B3D">
            <w:pPr>
              <w:pStyle w:val="tabelatextocentralizado"/>
              <w:spacing w:before="0" w:beforeAutospacing="0" w:after="0" w:afterAutospacing="0"/>
              <w:ind w:left="60" w:right="60"/>
              <w:jc w:val="center"/>
              <w:rPr>
                <w:rFonts w:ascii="Palatino Linotype" w:hAnsi="Palatino Linotype" w:cs="Calibri"/>
                <w:color w:val="000000"/>
                <w:sz w:val="22"/>
                <w:szCs w:val="22"/>
              </w:rPr>
            </w:pPr>
            <w:r w:rsidRPr="00A915F0">
              <w:rPr>
                <w:rFonts w:ascii="Palatino Linotype" w:hAnsi="Palatino Linotype" w:cs="Calibri"/>
                <w:color w:val="000000"/>
                <w:sz w:val="22"/>
                <w:szCs w:val="22"/>
              </w:rPr>
              <w:t> </w:t>
            </w:r>
          </w:p>
          <w:p w14:paraId="376888CE" w14:textId="77777777" w:rsidR="00BF0D50" w:rsidRPr="00A915F0" w:rsidRDefault="00BF0D50" w:rsidP="007E3B3D">
            <w:pPr>
              <w:rPr>
                <w:rFonts w:ascii="Palatino Linotype" w:hAnsi="Palatino Linotype"/>
              </w:rPr>
            </w:pPr>
            <w:r>
              <w:rPr>
                <w:rFonts w:ascii="Palatino Linotype" w:hAnsi="Palatino Linotype"/>
              </w:rPr>
              <w:t>1</w:t>
            </w:r>
          </w:p>
        </w:tc>
        <w:tc>
          <w:tcPr>
            <w:tcW w:w="574" w:type="pct"/>
          </w:tcPr>
          <w:p w14:paraId="40552AA4" w14:textId="77777777" w:rsidR="00BF0D50" w:rsidRPr="00A915F0" w:rsidRDefault="00BF0D50" w:rsidP="007E3B3D">
            <w:pPr>
              <w:rPr>
                <w:rFonts w:ascii="Palatino Linotype" w:hAnsi="Palatino Linotype" w:cs="Calibri"/>
                <w:color w:val="000000"/>
              </w:rPr>
            </w:pPr>
            <w:r w:rsidRPr="00A915F0">
              <w:rPr>
                <w:rFonts w:ascii="Palatino Linotype" w:hAnsi="Palatino Linotype" w:cs="Calibri"/>
                <w:color w:val="000000"/>
              </w:rPr>
              <w:t xml:space="preserve">R$ </w:t>
            </w:r>
            <w:r w:rsidRPr="00BF0D50">
              <w:rPr>
                <w:rFonts w:ascii="Palatino Linotype" w:hAnsi="Palatino Linotype" w:cs="Calibri"/>
                <w:color w:val="000000"/>
              </w:rPr>
              <w:t>2.191,0900</w:t>
            </w:r>
          </w:p>
        </w:tc>
        <w:tc>
          <w:tcPr>
            <w:tcW w:w="574" w:type="pct"/>
          </w:tcPr>
          <w:p w14:paraId="1E51AD52" w14:textId="77777777" w:rsidR="00BF0D50" w:rsidRPr="00A915F0" w:rsidRDefault="00BF0D50" w:rsidP="007E3B3D">
            <w:pPr>
              <w:rPr>
                <w:rFonts w:ascii="Palatino Linotype" w:hAnsi="Palatino Linotype" w:cs="Calibri"/>
                <w:color w:val="000000"/>
              </w:rPr>
            </w:pPr>
            <w:r w:rsidRPr="00A915F0">
              <w:rPr>
                <w:rFonts w:ascii="Palatino Linotype" w:hAnsi="Palatino Linotype" w:cs="Calibri"/>
                <w:color w:val="000000"/>
              </w:rPr>
              <w:t xml:space="preserve">R$ </w:t>
            </w:r>
            <w:r w:rsidRPr="00BF0D50">
              <w:rPr>
                <w:rFonts w:ascii="Palatino Linotype" w:hAnsi="Palatino Linotype" w:cs="Calibri"/>
                <w:color w:val="000000"/>
              </w:rPr>
              <w:t>2.191,0900</w:t>
            </w:r>
          </w:p>
        </w:tc>
      </w:tr>
      <w:tr w:rsidR="003A04DB" w:rsidRPr="00A915F0" w14:paraId="70C329E8" w14:textId="49BA4682" w:rsidTr="00BF0D50">
        <w:trPr>
          <w:tblHeader/>
          <w:tblCellSpacing w:w="15" w:type="dxa"/>
          <w:jc w:val="center"/>
        </w:trPr>
        <w:tc>
          <w:tcPr>
            <w:tcW w:w="793" w:type="pct"/>
          </w:tcPr>
          <w:p w14:paraId="76F5183C" w14:textId="29AA283D" w:rsidR="003A04DB" w:rsidRPr="00A915F0" w:rsidRDefault="003A04DB" w:rsidP="003A04DB">
            <w:pPr>
              <w:rPr>
                <w:rFonts w:ascii="Palatino Linotype" w:hAnsi="Palatino Linotype"/>
              </w:rPr>
            </w:pPr>
            <w:r w:rsidRPr="00A915F0">
              <w:rPr>
                <w:rFonts w:ascii="Palatino Linotype" w:hAnsi="Palatino Linotype" w:cs="Calibri"/>
                <w:b/>
                <w:bCs/>
                <w:color w:val="000000"/>
              </w:rPr>
              <w:t>2</w:t>
            </w:r>
          </w:p>
        </w:tc>
        <w:tc>
          <w:tcPr>
            <w:tcW w:w="1746" w:type="pct"/>
          </w:tcPr>
          <w:p w14:paraId="09641B4A" w14:textId="77777777" w:rsidR="009D085B" w:rsidRDefault="009D085B" w:rsidP="003A04DB">
            <w:pPr>
              <w:rPr>
                <w:rFonts w:ascii="Times New Roman" w:eastAsiaTheme="majorEastAsia" w:hAnsi="Times New Roman" w:cs="Times New Roman"/>
                <w:b/>
                <w:bCs/>
                <w:kern w:val="0"/>
                <w:sz w:val="24"/>
                <w:szCs w:val="24"/>
                <w:lang w:eastAsia="pt-BR"/>
                <w14:ligatures w14:val="none"/>
              </w:rPr>
            </w:pPr>
            <w:r w:rsidRPr="009D085B">
              <w:rPr>
                <w:rFonts w:ascii="Times New Roman" w:eastAsiaTheme="majorEastAsia" w:hAnsi="Times New Roman" w:cs="Times New Roman"/>
                <w:b/>
                <w:bCs/>
                <w:kern w:val="0"/>
                <w:sz w:val="24"/>
                <w:szCs w:val="24"/>
                <w:lang w:eastAsia="pt-BR"/>
                <w14:ligatures w14:val="none"/>
              </w:rPr>
              <w:t>Etiqueta Adesiva</w:t>
            </w:r>
          </w:p>
          <w:p w14:paraId="33AFB267" w14:textId="5348FD53" w:rsidR="003A04DB" w:rsidRPr="00A915F0" w:rsidRDefault="009D085B" w:rsidP="003A04DB">
            <w:pPr>
              <w:rPr>
                <w:rFonts w:ascii="Palatino Linotype" w:hAnsi="Palatino Linotype"/>
              </w:rPr>
            </w:pPr>
            <w:r w:rsidRPr="009D085B">
              <w:rPr>
                <w:rFonts w:ascii="Palatino Linotype" w:hAnsi="Palatino Linotype" w:cs="Calibri"/>
                <w:color w:val="000000"/>
              </w:rPr>
              <w:t>altura: 25,5, aplicação: impressora térmica, apresentação: rolo 1 colu</w:t>
            </w:r>
            <w:r w:rsidR="00E02D86">
              <w:rPr>
                <w:rFonts w:ascii="Palatino Linotype" w:hAnsi="Palatino Linotype" w:cs="Calibri"/>
                <w:color w:val="000000"/>
              </w:rPr>
              <w:t>n</w:t>
            </w:r>
            <w:r w:rsidRPr="009D085B">
              <w:rPr>
                <w:rFonts w:ascii="Palatino Linotype" w:hAnsi="Palatino Linotype" w:cs="Calibri"/>
                <w:color w:val="000000"/>
              </w:rPr>
              <w:t>a com 1.000 etiquetas, características adicionais: sem impressão, cor: transparente, formato: retangular, largura: 50, material: polipropileno</w:t>
            </w:r>
          </w:p>
        </w:tc>
        <w:tc>
          <w:tcPr>
            <w:tcW w:w="507" w:type="pct"/>
          </w:tcPr>
          <w:p w14:paraId="496A879E" w14:textId="77777777" w:rsidR="003A04DB" w:rsidRPr="00A915F0" w:rsidRDefault="003A04DB" w:rsidP="003A04DB">
            <w:pPr>
              <w:pStyle w:val="tabelatextocentralizado"/>
              <w:spacing w:before="0" w:beforeAutospacing="0" w:after="0" w:afterAutospacing="0"/>
              <w:ind w:left="60" w:right="60"/>
              <w:jc w:val="center"/>
              <w:rPr>
                <w:rFonts w:ascii="Palatino Linotype" w:hAnsi="Palatino Linotype" w:cs="Calibri"/>
                <w:color w:val="000000"/>
                <w:sz w:val="22"/>
                <w:szCs w:val="22"/>
              </w:rPr>
            </w:pPr>
            <w:r w:rsidRPr="00A915F0">
              <w:rPr>
                <w:rFonts w:ascii="Palatino Linotype" w:hAnsi="Palatino Linotype" w:cs="Calibri"/>
                <w:color w:val="000000"/>
                <w:sz w:val="22"/>
                <w:szCs w:val="22"/>
              </w:rPr>
              <w:t> </w:t>
            </w:r>
          </w:p>
          <w:p w14:paraId="765BF5F4" w14:textId="16E19D1B" w:rsidR="003A04DB" w:rsidRPr="00A915F0" w:rsidRDefault="003A04DB" w:rsidP="003A04DB">
            <w:pPr>
              <w:rPr>
                <w:rFonts w:ascii="Palatino Linotype" w:hAnsi="Palatino Linotype"/>
              </w:rPr>
            </w:pPr>
            <w:r w:rsidRPr="00A915F0">
              <w:rPr>
                <w:rFonts w:ascii="Palatino Linotype" w:hAnsi="Palatino Linotype" w:cs="Calibri"/>
                <w:color w:val="000000"/>
              </w:rPr>
              <w:t>UND</w:t>
            </w:r>
          </w:p>
        </w:tc>
        <w:tc>
          <w:tcPr>
            <w:tcW w:w="689" w:type="pct"/>
          </w:tcPr>
          <w:p w14:paraId="6854CD14" w14:textId="77777777" w:rsidR="003A04DB" w:rsidRPr="00A915F0" w:rsidRDefault="003A04DB" w:rsidP="003A04DB">
            <w:pPr>
              <w:pStyle w:val="tabelatextocentralizado"/>
              <w:spacing w:before="0" w:beforeAutospacing="0" w:after="0" w:afterAutospacing="0"/>
              <w:ind w:left="60" w:right="60"/>
              <w:jc w:val="center"/>
              <w:rPr>
                <w:rFonts w:ascii="Palatino Linotype" w:hAnsi="Palatino Linotype" w:cs="Calibri"/>
                <w:color w:val="000000"/>
                <w:sz w:val="22"/>
                <w:szCs w:val="22"/>
              </w:rPr>
            </w:pPr>
            <w:r w:rsidRPr="00A915F0">
              <w:rPr>
                <w:rFonts w:ascii="Palatino Linotype" w:hAnsi="Palatino Linotype" w:cs="Calibri"/>
                <w:color w:val="000000"/>
                <w:sz w:val="22"/>
                <w:szCs w:val="22"/>
              </w:rPr>
              <w:t> </w:t>
            </w:r>
          </w:p>
          <w:p w14:paraId="40F777FE" w14:textId="76F7C2C0" w:rsidR="003A04DB" w:rsidRPr="00A915F0" w:rsidRDefault="009D085B" w:rsidP="003A04DB">
            <w:pPr>
              <w:rPr>
                <w:rFonts w:ascii="Palatino Linotype" w:hAnsi="Palatino Linotype"/>
              </w:rPr>
            </w:pPr>
            <w:r>
              <w:rPr>
                <w:rFonts w:ascii="Palatino Linotype" w:hAnsi="Palatino Linotype"/>
              </w:rPr>
              <w:t>3</w:t>
            </w:r>
          </w:p>
        </w:tc>
        <w:tc>
          <w:tcPr>
            <w:tcW w:w="574" w:type="pct"/>
          </w:tcPr>
          <w:p w14:paraId="3B440CE6" w14:textId="68A8D9F7" w:rsidR="003A04DB" w:rsidRPr="00A915F0" w:rsidRDefault="003A04DB" w:rsidP="003A04DB">
            <w:pPr>
              <w:rPr>
                <w:rFonts w:ascii="Palatino Linotype" w:hAnsi="Palatino Linotype" w:cs="Calibri"/>
                <w:color w:val="000000"/>
              </w:rPr>
            </w:pPr>
            <w:r w:rsidRPr="00A915F0">
              <w:rPr>
                <w:rFonts w:ascii="Palatino Linotype" w:hAnsi="Palatino Linotype" w:cs="Calibri"/>
                <w:color w:val="000000"/>
              </w:rPr>
              <w:t xml:space="preserve">R$ </w:t>
            </w:r>
            <w:r w:rsidR="00DA039E" w:rsidRPr="00DA039E">
              <w:rPr>
                <w:rFonts w:ascii="Palatino Linotype" w:hAnsi="Palatino Linotype" w:cs="Calibri"/>
                <w:color w:val="000000"/>
              </w:rPr>
              <w:t>174,7300</w:t>
            </w:r>
          </w:p>
        </w:tc>
        <w:tc>
          <w:tcPr>
            <w:tcW w:w="574" w:type="pct"/>
          </w:tcPr>
          <w:p w14:paraId="0A2FCAF0" w14:textId="1B2ED1EC" w:rsidR="003A04DB" w:rsidRPr="00A915F0" w:rsidRDefault="003A04DB" w:rsidP="003A04DB">
            <w:pPr>
              <w:rPr>
                <w:rFonts w:ascii="Palatino Linotype" w:hAnsi="Palatino Linotype" w:cs="Calibri"/>
                <w:color w:val="000000"/>
              </w:rPr>
            </w:pPr>
            <w:r w:rsidRPr="00A915F0">
              <w:rPr>
                <w:rFonts w:ascii="Palatino Linotype" w:hAnsi="Palatino Linotype" w:cs="Calibri"/>
                <w:color w:val="000000"/>
              </w:rPr>
              <w:t xml:space="preserve">R$ </w:t>
            </w:r>
            <w:r w:rsidR="00DA039E" w:rsidRPr="00DA039E">
              <w:rPr>
                <w:rFonts w:ascii="Palatino Linotype" w:hAnsi="Palatino Linotype" w:cs="Calibri"/>
                <w:color w:val="000000"/>
              </w:rPr>
              <w:t>524,19</w:t>
            </w:r>
          </w:p>
        </w:tc>
      </w:tr>
      <w:tr w:rsidR="003A04DB" w:rsidRPr="00A915F0" w14:paraId="025EAE1C" w14:textId="46D13839" w:rsidTr="00BF0D50">
        <w:trPr>
          <w:tblHeader/>
          <w:tblCellSpacing w:w="15" w:type="dxa"/>
          <w:jc w:val="center"/>
        </w:trPr>
        <w:tc>
          <w:tcPr>
            <w:tcW w:w="793" w:type="pct"/>
          </w:tcPr>
          <w:p w14:paraId="491FCA25" w14:textId="17F708EA" w:rsidR="003A04DB" w:rsidRPr="00A915F0" w:rsidRDefault="003A04DB" w:rsidP="003A04DB">
            <w:pPr>
              <w:rPr>
                <w:rFonts w:ascii="Palatino Linotype" w:hAnsi="Palatino Linotype"/>
              </w:rPr>
            </w:pPr>
            <w:r w:rsidRPr="00A915F0">
              <w:rPr>
                <w:rFonts w:ascii="Palatino Linotype" w:hAnsi="Palatino Linotype" w:cs="Calibri"/>
                <w:color w:val="000000"/>
              </w:rPr>
              <w:t>3</w:t>
            </w:r>
          </w:p>
        </w:tc>
        <w:tc>
          <w:tcPr>
            <w:tcW w:w="1746" w:type="pct"/>
          </w:tcPr>
          <w:p w14:paraId="0C513AA2" w14:textId="1DA53E57" w:rsidR="00EF1CA3" w:rsidRDefault="00EF1CA3" w:rsidP="003A04DB">
            <w:pPr>
              <w:rPr>
                <w:rFonts w:ascii="Palatino Linotype" w:eastAsiaTheme="majorEastAsia" w:hAnsi="Palatino Linotype" w:cs="Calibri"/>
                <w:b/>
                <w:bCs/>
                <w:color w:val="000000"/>
                <w:kern w:val="0"/>
                <w:lang w:eastAsia="pt-BR"/>
                <w14:ligatures w14:val="none"/>
              </w:rPr>
            </w:pPr>
            <w:proofErr w:type="spellStart"/>
            <w:r w:rsidRPr="00EF1CA3">
              <w:rPr>
                <w:rFonts w:ascii="Palatino Linotype" w:eastAsiaTheme="majorEastAsia" w:hAnsi="Palatino Linotype" w:cs="Calibri"/>
                <w:b/>
                <w:bCs/>
                <w:color w:val="000000"/>
                <w:kern w:val="0"/>
                <w:lang w:eastAsia="pt-BR"/>
                <w14:ligatures w14:val="none"/>
              </w:rPr>
              <w:t>Ribbon</w:t>
            </w:r>
            <w:proofErr w:type="spellEnd"/>
            <w:r w:rsidR="003D629E">
              <w:rPr>
                <w:rFonts w:ascii="Palatino Linotype" w:eastAsiaTheme="majorEastAsia" w:hAnsi="Palatino Linotype" w:cs="Calibri"/>
                <w:b/>
                <w:bCs/>
                <w:color w:val="000000"/>
                <w:kern w:val="0"/>
                <w:lang w:eastAsia="pt-BR"/>
                <w14:ligatures w14:val="none"/>
              </w:rPr>
              <w:t xml:space="preserve"> Resina</w:t>
            </w:r>
          </w:p>
          <w:p w14:paraId="639ABD3D" w14:textId="4DC96736" w:rsidR="003A04DB" w:rsidRPr="00A915F0" w:rsidRDefault="00EF1CA3" w:rsidP="003A04DB">
            <w:pPr>
              <w:rPr>
                <w:rFonts w:ascii="Palatino Linotype" w:hAnsi="Palatino Linotype"/>
              </w:rPr>
            </w:pPr>
            <w:r w:rsidRPr="00EF1CA3">
              <w:rPr>
                <w:rFonts w:ascii="Palatino Linotype" w:hAnsi="Palatino Linotype" w:cs="Calibri"/>
                <w:color w:val="000000"/>
              </w:rPr>
              <w:t>aplicação: impressora térmica, comprimento: 74, cor: preta, largura: 110, material: carbono</w:t>
            </w:r>
          </w:p>
        </w:tc>
        <w:tc>
          <w:tcPr>
            <w:tcW w:w="507" w:type="pct"/>
          </w:tcPr>
          <w:p w14:paraId="1A64C784" w14:textId="77777777" w:rsidR="003A04DB" w:rsidRPr="00A915F0" w:rsidRDefault="003A04DB" w:rsidP="003A04DB">
            <w:pPr>
              <w:pStyle w:val="tabelatextocentralizado"/>
              <w:spacing w:before="0" w:beforeAutospacing="0" w:after="0" w:afterAutospacing="0"/>
              <w:ind w:left="60" w:right="60"/>
              <w:jc w:val="center"/>
              <w:rPr>
                <w:rFonts w:ascii="Palatino Linotype" w:hAnsi="Palatino Linotype" w:cs="Calibri"/>
                <w:color w:val="000000"/>
                <w:sz w:val="22"/>
                <w:szCs w:val="22"/>
              </w:rPr>
            </w:pPr>
            <w:r w:rsidRPr="00A915F0">
              <w:rPr>
                <w:rFonts w:ascii="Palatino Linotype" w:hAnsi="Palatino Linotype" w:cs="Calibri"/>
                <w:color w:val="000000"/>
                <w:sz w:val="22"/>
                <w:szCs w:val="22"/>
              </w:rPr>
              <w:t> </w:t>
            </w:r>
          </w:p>
          <w:p w14:paraId="425AC39F" w14:textId="2746D557" w:rsidR="003A04DB" w:rsidRPr="00A915F0" w:rsidRDefault="003A04DB" w:rsidP="003A04DB">
            <w:pPr>
              <w:rPr>
                <w:rFonts w:ascii="Palatino Linotype" w:hAnsi="Palatino Linotype"/>
              </w:rPr>
            </w:pPr>
            <w:r w:rsidRPr="00A915F0">
              <w:rPr>
                <w:rFonts w:ascii="Palatino Linotype" w:hAnsi="Palatino Linotype" w:cs="Calibri"/>
                <w:color w:val="000000"/>
              </w:rPr>
              <w:t>UND</w:t>
            </w:r>
          </w:p>
        </w:tc>
        <w:tc>
          <w:tcPr>
            <w:tcW w:w="689" w:type="pct"/>
          </w:tcPr>
          <w:p w14:paraId="637341E5" w14:textId="77777777" w:rsidR="003A04DB" w:rsidRPr="00A915F0" w:rsidRDefault="003A04DB" w:rsidP="003A04DB">
            <w:pPr>
              <w:pStyle w:val="tabelatextocentralizado"/>
              <w:spacing w:before="0" w:beforeAutospacing="0" w:after="0" w:afterAutospacing="0"/>
              <w:ind w:left="60" w:right="60"/>
              <w:jc w:val="center"/>
              <w:rPr>
                <w:rFonts w:ascii="Palatino Linotype" w:hAnsi="Palatino Linotype" w:cs="Calibri"/>
                <w:color w:val="000000"/>
                <w:sz w:val="22"/>
                <w:szCs w:val="22"/>
              </w:rPr>
            </w:pPr>
            <w:r w:rsidRPr="00A915F0">
              <w:rPr>
                <w:rFonts w:ascii="Palatino Linotype" w:hAnsi="Palatino Linotype" w:cs="Calibri"/>
                <w:color w:val="000000"/>
                <w:sz w:val="22"/>
                <w:szCs w:val="22"/>
              </w:rPr>
              <w:t> </w:t>
            </w:r>
          </w:p>
          <w:p w14:paraId="2F0F8B45" w14:textId="6A3A8C80" w:rsidR="003A04DB" w:rsidRPr="00A915F0" w:rsidRDefault="00DA039E" w:rsidP="003A04DB">
            <w:pPr>
              <w:rPr>
                <w:rFonts w:ascii="Palatino Linotype" w:hAnsi="Palatino Linotype"/>
              </w:rPr>
            </w:pPr>
            <w:r>
              <w:rPr>
                <w:rFonts w:ascii="Palatino Linotype" w:hAnsi="Palatino Linotype"/>
              </w:rPr>
              <w:t>5</w:t>
            </w:r>
          </w:p>
        </w:tc>
        <w:tc>
          <w:tcPr>
            <w:tcW w:w="574" w:type="pct"/>
          </w:tcPr>
          <w:p w14:paraId="3B447C03" w14:textId="62BC0A41" w:rsidR="003A04DB" w:rsidRPr="00A915F0" w:rsidRDefault="003A04DB" w:rsidP="003A04DB">
            <w:pPr>
              <w:rPr>
                <w:rFonts w:ascii="Palatino Linotype" w:hAnsi="Palatino Linotype" w:cs="Calibri"/>
                <w:color w:val="000000"/>
              </w:rPr>
            </w:pPr>
            <w:r w:rsidRPr="00A915F0">
              <w:rPr>
                <w:rFonts w:ascii="Palatino Linotype" w:hAnsi="Palatino Linotype" w:cs="Calibri"/>
                <w:color w:val="000000"/>
              </w:rPr>
              <w:t xml:space="preserve">R$ </w:t>
            </w:r>
            <w:r w:rsidR="003D629E" w:rsidRPr="003D629E">
              <w:rPr>
                <w:rFonts w:ascii="Palatino Linotype" w:hAnsi="Palatino Linotype" w:cs="Calibri"/>
                <w:color w:val="000000"/>
              </w:rPr>
              <w:t>49,25</w:t>
            </w:r>
          </w:p>
        </w:tc>
        <w:tc>
          <w:tcPr>
            <w:tcW w:w="574" w:type="pct"/>
          </w:tcPr>
          <w:p w14:paraId="6366BC52" w14:textId="4ADF64A4" w:rsidR="003A04DB" w:rsidRPr="00A915F0" w:rsidRDefault="003A04DB" w:rsidP="003A04DB">
            <w:pPr>
              <w:rPr>
                <w:rFonts w:ascii="Palatino Linotype" w:hAnsi="Palatino Linotype" w:cs="Calibri"/>
                <w:color w:val="000000"/>
              </w:rPr>
            </w:pPr>
            <w:r w:rsidRPr="00A915F0">
              <w:rPr>
                <w:rFonts w:ascii="Palatino Linotype" w:hAnsi="Palatino Linotype" w:cs="Calibri"/>
                <w:color w:val="000000"/>
              </w:rPr>
              <w:t xml:space="preserve">R$ </w:t>
            </w:r>
            <w:r w:rsidR="00E02D86" w:rsidRPr="00E02D86">
              <w:rPr>
                <w:rFonts w:ascii="Palatino Linotype" w:hAnsi="Palatino Linotype" w:cs="Calibri"/>
                <w:color w:val="000000"/>
              </w:rPr>
              <w:t>246,25</w:t>
            </w:r>
          </w:p>
        </w:tc>
      </w:tr>
    </w:tbl>
    <w:p w14:paraId="0AF4B930" w14:textId="77777777" w:rsidR="00B40F79" w:rsidRPr="00A915F0" w:rsidRDefault="00B40F79" w:rsidP="00B40F79">
      <w:pPr>
        <w:ind w:left="-426"/>
        <w:rPr>
          <w:rFonts w:ascii="Palatino Linotype" w:hAnsi="Palatino Linotype"/>
        </w:rPr>
      </w:pPr>
    </w:p>
    <w:p w14:paraId="6410E4BB" w14:textId="5DAB2D46"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PARTICIPAÇÃO NA DISPENSA ELETRÔNICA</w:t>
      </w:r>
      <w:r w:rsidRPr="00A915F0">
        <w:rPr>
          <w:rFonts w:ascii="Palatino Linotype" w:hAnsi="Palatino Linotype"/>
        </w:rPr>
        <w:br/>
        <w:t xml:space="preserve">3.1.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7" w:history="1">
        <w:r w:rsidRPr="00A915F0">
          <w:rPr>
            <w:rStyle w:val="Hyperlink"/>
            <w:rFonts w:ascii="Palatino Linotype" w:hAnsi="Palatino Linotype"/>
          </w:rPr>
          <w:t>www.gov.br/compras</w:t>
        </w:r>
      </w:hyperlink>
      <w:r w:rsidRPr="00A915F0">
        <w:rPr>
          <w:rFonts w:ascii="Palatino Linotype" w:hAnsi="Palatino Linotype"/>
        </w:rPr>
        <w:t>.</w:t>
      </w:r>
      <w:r w:rsidRPr="00A915F0">
        <w:rPr>
          <w:rFonts w:ascii="Palatino Linotype" w:hAnsi="Palatino Linotype"/>
        </w:rPr>
        <w:br/>
        <w:t xml:space="preserve">3.2. O procedimento será divulgado no Compras.gov.br e no Portal Nacional de Contratações Públicas - PNCP, e encaminhado automaticamente aos fornecedores registrados no Sistema de Registro Cadastral Unificado - </w:t>
      </w:r>
      <w:proofErr w:type="spellStart"/>
      <w:r w:rsidRPr="00A915F0">
        <w:rPr>
          <w:rFonts w:ascii="Palatino Linotype" w:hAnsi="Palatino Linotype"/>
        </w:rPr>
        <w:t>Sicaf</w:t>
      </w:r>
      <w:proofErr w:type="spellEnd"/>
      <w:r w:rsidRPr="00A915F0">
        <w:rPr>
          <w:rFonts w:ascii="Palatino Linotype" w:hAnsi="Palatino Linotype"/>
        </w:rPr>
        <w:t xml:space="preserve">, por mensagem eletrônica, na correspondente linha de </w:t>
      </w:r>
      <w:r w:rsidRPr="00A915F0">
        <w:rPr>
          <w:rFonts w:ascii="Palatino Linotype" w:hAnsi="Palatino Linotype"/>
        </w:rPr>
        <w:lastRenderedPageBreak/>
        <w:t>fornecimento que pretende atender.</w:t>
      </w:r>
      <w:r w:rsidRPr="00A915F0">
        <w:rPr>
          <w:rFonts w:ascii="Palatino Linotype" w:hAnsi="Palatino Linotype"/>
        </w:rPr>
        <w:br/>
        <w:t>3.3.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sidRPr="00A915F0">
        <w:rPr>
          <w:rFonts w:ascii="Palatino Linotype" w:hAnsi="Palatino Linotype"/>
        </w:rPr>
        <w:br/>
        <w:t>3.4. Os participantes deverão atender aos procedimentos previstos no Manual do Sistema de Dispensa Eletrônica, disponível no Portal de Compras do Governo Federal, para acesso ao sistema e operacionalização.</w:t>
      </w:r>
      <w:r w:rsidRPr="00A915F0">
        <w:rPr>
          <w:rFonts w:ascii="Palatino Linotype" w:hAnsi="Palatino Linotype"/>
        </w:rPr>
        <w:br/>
        <w:t>3.5. Não poderão participar desta dispensa de licitação:</w:t>
      </w:r>
      <w:r w:rsidRPr="00A915F0">
        <w:rPr>
          <w:rFonts w:ascii="Palatino Linotype" w:hAnsi="Palatino Linotype"/>
        </w:rPr>
        <w:br/>
        <w:t>3.5.1. Fornecedores que não atendam às condições deste Aviso de Contratação Direta e seu(s) anexo(s);</w:t>
      </w:r>
      <w:r w:rsidRPr="00A915F0">
        <w:rPr>
          <w:rFonts w:ascii="Palatino Linotype" w:hAnsi="Palatino Linotype"/>
        </w:rPr>
        <w:br/>
        <w:t>3.5.2. Estrangeiros que não tenham representação legal no Brasil com poderes expressos para receber citação e responder administrativa ou judicialmente;</w:t>
      </w:r>
      <w:r w:rsidRPr="00A915F0">
        <w:rPr>
          <w:rFonts w:ascii="Palatino Linotype" w:hAnsi="Palatino Linotype"/>
        </w:rPr>
        <w:br/>
        <w:t>3.5.3. Fornecedores que se enquadrem nas seguintes vedações:</w:t>
      </w:r>
      <w:r w:rsidRPr="00A915F0">
        <w:rPr>
          <w:rFonts w:ascii="Palatino Linotype" w:hAnsi="Palatino Linotype"/>
        </w:rPr>
        <w:br/>
        <w:t>- 3.5.3.1. Autor do anteprojeto, do projeto básico ou do projeto executivo, pessoa física ou jurídica, quando a contratação versar sobre obra, serviços ou fornecimento de bens a ele relacionados;</w:t>
      </w:r>
      <w:r w:rsidRPr="00A915F0">
        <w:rPr>
          <w:rFonts w:ascii="Palatino Linotype" w:hAnsi="Palatino Linotype"/>
        </w:rPr>
        <w:br/>
        <w:t>- 3.5.3.2.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Pr="00A915F0">
        <w:rPr>
          <w:rFonts w:ascii="Palatino Linotype" w:hAnsi="Palatino Linotype"/>
        </w:rPr>
        <w:br/>
        <w:t>- 3.5.3.3. Pessoa física ou jurídica que se encontre, ao tempo da contratação, impossibilitada de contratar em decorrência de sanção que lhe foi imposta;</w:t>
      </w:r>
      <w:r w:rsidRPr="00A915F0">
        <w:rPr>
          <w:rFonts w:ascii="Palatino Linotype" w:hAnsi="Palatino Linotype"/>
        </w:rPr>
        <w:br/>
        <w:t>- 3.5.3.4.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r w:rsidRPr="00A915F0">
        <w:rPr>
          <w:rFonts w:ascii="Palatino Linotype" w:hAnsi="Palatino Linotype"/>
        </w:rPr>
        <w:br/>
        <w:t>- 3.5.3.5. Empresas controladoras, controladas ou coligadas, nos termos da Lei nº 6.404, de 15 de dezembro de 1976, concorrendo entre si;</w:t>
      </w:r>
      <w:r w:rsidRPr="00A915F0">
        <w:rPr>
          <w:rFonts w:ascii="Palatino Linotype" w:hAnsi="Palatino Linotype"/>
        </w:rPr>
        <w:br/>
        <w:t>- 3.5.3.6.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Pr="00A915F0">
        <w:rPr>
          <w:rFonts w:ascii="Palatino Linotype" w:hAnsi="Palatino Linotype"/>
        </w:rPr>
        <w:br/>
        <w:t>- 3.5.3.7. Organizações da Sociedade Civil de Interesse Público - OSCIP, atuando nessa condição (Acórdão nº 746/2014- TCU-Plenário).</w:t>
      </w:r>
      <w:r w:rsidRPr="00A915F0">
        <w:rPr>
          <w:rFonts w:ascii="Palatino Linotype" w:hAnsi="Palatino Linotype"/>
        </w:rPr>
        <w:br/>
        <w:t>3.6. Equiparam-se aos autores do projeto as empresas integrantes do mesmo grupo econômico.</w:t>
      </w:r>
      <w:r w:rsidRPr="00A915F0">
        <w:rPr>
          <w:rFonts w:ascii="Palatino Linotype" w:hAnsi="Palatino Linotype"/>
        </w:rPr>
        <w:br/>
        <w:t>3.7. O disposto no subitem 3.5.3.3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sociedades cooperativas.</w:t>
      </w:r>
      <w:r w:rsidRPr="00A915F0">
        <w:rPr>
          <w:rFonts w:ascii="Palatino Linotype" w:hAnsi="Palatino Linotype"/>
        </w:rPr>
        <w:br/>
        <w:t xml:space="preserve">3.8. Será permitida a participação de cooperativas, desde que apresentem demonstrativo de </w:t>
      </w:r>
      <w:r w:rsidRPr="00A915F0">
        <w:rPr>
          <w:rFonts w:ascii="Palatino Linotype" w:hAnsi="Palatino Linotype"/>
        </w:rPr>
        <w:lastRenderedPageBreak/>
        <w:t>atuação em regime cooperado, com repartição de receitas e despesas entre os cooperados e atendam ao art. 16 da Lei nº 14.133, de 2021.</w:t>
      </w:r>
      <w:r w:rsidRPr="00A915F0">
        <w:rPr>
          <w:rFonts w:ascii="Palatino Linotype" w:hAnsi="Palatino Linotype"/>
        </w:rPr>
        <w:br/>
        <w:t>3.8.1. Em sendo permitida a participação de cooperativas, serão estendidas a elas os benefícios previstos para as microempresas e empresas de pequeno porte quando elas atenderem ao disposto no art. 34 da Lei n.º 11.488, de 15 de junho de 2007.</w:t>
      </w:r>
      <w:r w:rsidRPr="00A915F0">
        <w:rPr>
          <w:rFonts w:ascii="Palatino Linotype" w:hAnsi="Palatino Linotype"/>
        </w:rPr>
        <w:br/>
        <w:t>3.9.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723C48E"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INGRESSO NA DISPENSA ELETRÔNICA E CADASTRAMENTO DA PROPOSTA INICIAL</w:t>
      </w:r>
      <w:r w:rsidRPr="00A915F0">
        <w:rPr>
          <w:rFonts w:ascii="Palatino Linotype" w:hAnsi="Palatino Linotype"/>
        </w:rPr>
        <w:br/>
        <w:t>4.1. O ingresso do fornecedor na disputa da dispensa eletrônica ocorrerá com o cadastramento de sua proposta inicial, na forma deste item.</w:t>
      </w:r>
      <w:r w:rsidRPr="00A915F0">
        <w:rPr>
          <w:rFonts w:ascii="Palatino Linotype" w:hAnsi="Palatino Linotype"/>
        </w:rPr>
        <w:br/>
        <w:t>4.1.1.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Pr="00A915F0">
        <w:rPr>
          <w:rFonts w:ascii="Palatino Linotype" w:hAnsi="Palatino Linotype"/>
        </w:rPr>
        <w:br/>
        <w:t>4.1.2. O fornecedor NÃO poderá oferecer proposta em quantitativo inferior ao máximo previsto para contratação.</w:t>
      </w:r>
      <w:r w:rsidRPr="00A915F0">
        <w:rPr>
          <w:rFonts w:ascii="Palatino Linotype" w:hAnsi="Palatino Linotype"/>
        </w:rPr>
        <w:br/>
        <w:t>4.1.3. Não será admitida a previsão de preços diferentes em razão de local de entrega ou de acondicionamento, tamanho de lote ou qualquer outro motivo.</w:t>
      </w:r>
      <w:r w:rsidRPr="00A915F0">
        <w:rPr>
          <w:rFonts w:ascii="Palatino Linotype" w:hAnsi="Palatino Linotype"/>
        </w:rPr>
        <w:br/>
        <w:t>4.1.4.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A915F0">
        <w:rPr>
          <w:rFonts w:ascii="Palatino Linotype" w:hAnsi="Palatino Linotype"/>
        </w:rPr>
        <w:br/>
        <w:t>4.1.5. Nos valores propostos estarão inclusos todos os custos operacionais, encargos previdenciários, trabalhistas, tributários, comerciais e quaisquer outros que incidam direta ou indiretamente na execução do objeto.</w:t>
      </w:r>
      <w:r w:rsidRPr="00A915F0">
        <w:rPr>
          <w:rFonts w:ascii="Palatino Linotype" w:hAnsi="Palatino Linotype"/>
        </w:rPr>
        <w:br/>
        <w:t xml:space="preserve">4.1.6. Todas as especificações do objeto contidas na proposta, em especial o preço ou o </w:t>
      </w:r>
      <w:proofErr w:type="gramStart"/>
      <w:r w:rsidRPr="00A915F0">
        <w:rPr>
          <w:rFonts w:ascii="Palatino Linotype" w:hAnsi="Palatino Linotype"/>
        </w:rPr>
        <w:t>desconto ofertados</w:t>
      </w:r>
      <w:proofErr w:type="gramEnd"/>
      <w:r w:rsidRPr="00A915F0">
        <w:rPr>
          <w:rFonts w:ascii="Palatino Linotype" w:hAnsi="Palatino Linotype"/>
        </w:rPr>
        <w:t>, vinculam a Contratada.</w:t>
      </w:r>
      <w:r w:rsidRPr="00A915F0">
        <w:rPr>
          <w:rFonts w:ascii="Palatino Linotype" w:hAnsi="Palatino Linotype"/>
        </w:rPr>
        <w:br/>
        <w:t>4.1.7. Os preços ofertados, tanto na proposta inicial quanto na etapa de lances, serão de exclusiva responsabilidade do fornecedor, não lhe assistindo o direito de pleitear qualquer alteração, sob alegação de erro, omissão ou qualquer outro pretexto.</w:t>
      </w:r>
      <w:r w:rsidRPr="00A915F0">
        <w:rPr>
          <w:rFonts w:ascii="Palatino Linotype" w:hAnsi="Palatino Linotype"/>
        </w:rPr>
        <w:br/>
        <w:t>4.1.8. Se o regime tributário da empresa implicar o recolhimento de tributos em percentuais variáveis, a cotação adequada será aquela correspondente à média dos efetivos recolhimentos da empresa nos últimos doze meses.</w:t>
      </w:r>
      <w:r w:rsidRPr="00A915F0">
        <w:rPr>
          <w:rFonts w:ascii="Palatino Linotype" w:hAnsi="Palatino Linotype"/>
        </w:rPr>
        <w:br/>
        <w:t>4.1.9. Independentemente do percentual do tributo que constar da planilha, no pagamento serão retidos na fonte os percentuais estabelecidos pela legislação vigente.</w:t>
      </w:r>
      <w:r w:rsidRPr="00A915F0">
        <w:rPr>
          <w:rFonts w:ascii="Palatino Linotype" w:hAnsi="Palatino Linotype"/>
        </w:rPr>
        <w:br/>
        <w:t>4.1.10. A apresentação das propostas implica obrigatoriedade do cumprimento das disposições nelas contidas, em conformidade com o que dispõe o Termo de Referência, assumindo o proponente o compromisso de executar os serviços nos seus termos.</w:t>
      </w:r>
      <w:r w:rsidRPr="00A915F0">
        <w:rPr>
          <w:rFonts w:ascii="Palatino Linotype" w:hAnsi="Palatino Linotype"/>
        </w:rPr>
        <w:br/>
        <w:t>4.1.11. O prazo de validade da proposta não será inferior a 60 (sessenta) dias, a contar da data de sua apresentação.</w:t>
      </w:r>
      <w:r w:rsidRPr="00A915F0">
        <w:rPr>
          <w:rFonts w:ascii="Palatino Linotype" w:hAnsi="Palatino Linotype"/>
        </w:rPr>
        <w:br/>
      </w:r>
      <w:r w:rsidRPr="00A915F0">
        <w:rPr>
          <w:rFonts w:ascii="Palatino Linotype" w:hAnsi="Palatino Linotype"/>
        </w:rPr>
        <w:lastRenderedPageBreak/>
        <w:t>4.1.12. No cadastramento da proposta inicial, o fornecedor deverá, também, assinalar Termo de Aceitação, em campo próprio do sistema eletrônico, relativo às seguintes declarações:</w:t>
      </w:r>
      <w:r w:rsidRPr="00A915F0">
        <w:rPr>
          <w:rFonts w:ascii="Palatino Linotype" w:hAnsi="Palatino Linotype"/>
        </w:rPr>
        <w:br/>
        <w:t>- 4.1.12.1. Que inexistem fatos impeditivos para sua habilitação no certame, ciente da obrigatoriedade de declarar ocorrências posteriores;</w:t>
      </w:r>
      <w:r w:rsidRPr="00A915F0">
        <w:rPr>
          <w:rFonts w:ascii="Palatino Linotype" w:hAnsi="Palatino Linotype"/>
        </w:rPr>
        <w:br/>
        <w:t>- 4.1.12.2. Que está ciente e concorda com as condições contidas no Aviso de Contratação Direta e seus anexos;</w:t>
      </w:r>
      <w:r w:rsidRPr="00A915F0">
        <w:rPr>
          <w:rFonts w:ascii="Palatino Linotype" w:hAnsi="Palatino Linotype"/>
        </w:rPr>
        <w:br/>
        <w:t>- 4.1.12.3. Que se responsabiliza pelas transações que forem efetuadas no sistema, assumindo-as como firmes e verdadeiras;</w:t>
      </w:r>
      <w:r w:rsidRPr="00A915F0">
        <w:rPr>
          <w:rFonts w:ascii="Palatino Linotype" w:hAnsi="Palatino Linotype"/>
        </w:rPr>
        <w:br/>
        <w:t>- 4.1.12.4. Que cumpre as exigências de reserva de cargos para pessoa com deficiência e para reabilitado da Previdência Social, de que trata o art. 93 da Lei nº 8.213/91;</w:t>
      </w:r>
      <w:r w:rsidRPr="00A915F0">
        <w:rPr>
          <w:rFonts w:ascii="Palatino Linotype" w:hAnsi="Palatino Linotype"/>
        </w:rPr>
        <w:br/>
        <w:t>- 4.1.12.5. Que não emprega menor de 18 anos em trabalho noturno, perigoso ou insalubre e não emprega menor de 16 anos, salvo menor, a partir de 14 anos, na condição de aprendiz, nos termos do artigo 7°, XXXIII, da Constituição.</w:t>
      </w:r>
      <w:r w:rsidRPr="00A915F0">
        <w:rPr>
          <w:rFonts w:ascii="Palatino Linotype" w:hAnsi="Palatino Linotype"/>
        </w:rPr>
        <w:br/>
        <w:t>4.1.13. O fornecedor organizado em cooperativa deverá declarar, ainda, em campo próprio do sistema eletrônico, que cumpre os requisitos estabelecidos no artigo 16 da Lei nº 14.133, de 2021.</w:t>
      </w:r>
      <w:r w:rsidRPr="00A915F0">
        <w:rPr>
          <w:rFonts w:ascii="Palatino Linotype" w:hAnsi="Palatino Linotype"/>
        </w:rPr>
        <w:br/>
        <w:t xml:space="preserve">4.1.14.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915F0">
        <w:rPr>
          <w:rFonts w:ascii="Palatino Linotype" w:hAnsi="Palatino Linotype"/>
        </w:rPr>
        <w:t>arts</w:t>
      </w:r>
      <w:proofErr w:type="spellEnd"/>
      <w:r w:rsidRPr="00A915F0">
        <w:rPr>
          <w:rFonts w:ascii="Palatino Linotype" w:hAnsi="Palatino Linotype"/>
        </w:rPr>
        <w:t>. 42 a 49, observado o disposto nos §§ 1º ao 3º do art. 4º, da Lei n.º 14.133, de 2021.</w:t>
      </w:r>
      <w:r w:rsidRPr="00A915F0">
        <w:rPr>
          <w:rFonts w:ascii="Palatino Linotype" w:hAnsi="Palatino Linotype"/>
        </w:rPr>
        <w:br/>
        <w:t>4.1.15. Fica facultado ao fornecedor, ao cadastrar sua proposta inicial, a parametrização de valor final mínimo, com o registro do seu lance final aceitável (menor preço).</w:t>
      </w:r>
      <w:r w:rsidRPr="00A915F0">
        <w:rPr>
          <w:rFonts w:ascii="Palatino Linotype" w:hAnsi="Palatino Linotype"/>
        </w:rPr>
        <w:br/>
        <w:t>- 4.1.15.1. Feita essa opção, os lances serão enviados automaticamente pelo sistema, respeitados os limites cadastrados pelo fornecedor e o intervalo mínimo entre lances previsto neste aviso.</w:t>
      </w:r>
      <w:r w:rsidRPr="00A915F0">
        <w:rPr>
          <w:rFonts w:ascii="Palatino Linotype" w:hAnsi="Palatino Linotype"/>
        </w:rPr>
        <w:br/>
        <w:t>- 4.1.15.2. O valor mínimo parametrizado possui caráter sigiloso aos demais participantes do certame e para o órgão ou entidade contratante. Apenas os lances efetivamente enviados poderão ser conhecidos dos fornecedores na forma da seção seguinte deste Aviso.</w:t>
      </w:r>
      <w:r w:rsidRPr="00A915F0">
        <w:rPr>
          <w:rFonts w:ascii="Palatino Linotype" w:hAnsi="Palatino Linotype"/>
        </w:rPr>
        <w:br/>
        <w:t>4.1.16. Sem prejuízo do disposto acima, os lances poderão ser enviados manualmente, na forma da seção respectiva deste Aviso de Contratação Direta.</w:t>
      </w:r>
      <w:r w:rsidRPr="00A915F0">
        <w:rPr>
          <w:rFonts w:ascii="Palatino Linotype" w:hAnsi="Palatino Linotype"/>
        </w:rPr>
        <w:br/>
        <w:t xml:space="preserve">4.1.17. O valor final mínimo poderá ser alterado pelo fornecedor durante a fase de disputa, desde que não </w:t>
      </w:r>
      <w:proofErr w:type="spellStart"/>
      <w:r w:rsidRPr="00A915F0">
        <w:rPr>
          <w:rFonts w:ascii="Palatino Linotype" w:hAnsi="Palatino Linotype"/>
        </w:rPr>
        <w:t>assuma</w:t>
      </w:r>
      <w:proofErr w:type="spellEnd"/>
      <w:r w:rsidRPr="00A915F0">
        <w:rPr>
          <w:rFonts w:ascii="Palatino Linotype" w:hAnsi="Palatino Linotype"/>
        </w:rPr>
        <w:t xml:space="preserve"> valor superior a lance já registrado por ele no sistema.</w:t>
      </w:r>
    </w:p>
    <w:p w14:paraId="323867A2" w14:textId="76D1E9FF" w:rsidR="003F1DAC" w:rsidRPr="00A915F0" w:rsidRDefault="003F1DAC" w:rsidP="00E7779B">
      <w:pPr>
        <w:numPr>
          <w:ilvl w:val="0"/>
          <w:numId w:val="2"/>
        </w:numPr>
        <w:ind w:left="-426"/>
        <w:rPr>
          <w:rFonts w:ascii="Palatino Linotype" w:hAnsi="Palatino Linotype"/>
        </w:rPr>
      </w:pPr>
      <w:r w:rsidRPr="00A915F0">
        <w:rPr>
          <w:rFonts w:ascii="Palatino Linotype" w:hAnsi="Palatino Linotype"/>
          <w:b/>
          <w:bCs/>
        </w:rPr>
        <w:t>FASE DE LANCES</w:t>
      </w:r>
      <w:r w:rsidRPr="00A915F0">
        <w:rPr>
          <w:rFonts w:ascii="Palatino Linotype" w:hAnsi="Palatino Linotype"/>
        </w:rPr>
        <w:br/>
        <w:t>5.1. A partir da data e horário estabelecidos neste Aviso de Contratação Direta, a sessão pública será automaticamente aberta pelo sistema para o envio de lances públicos e sucessivos, exclusivamente por meio do sistema eletrônico, sendo encerrada no horário de finalização de lances também já previsto neste aviso.</w:t>
      </w:r>
      <w:r w:rsidRPr="00A915F0">
        <w:rPr>
          <w:rFonts w:ascii="Palatino Linotype" w:hAnsi="Palatino Linotype"/>
        </w:rPr>
        <w:br/>
        <w:t>5.2. Iniciada a etapa competitiva, os fornecedores deverão encaminhar lances exclusivamente por meio de sistema eletrônico, sendo imediatamente informados do seu recebimento e do valor consignado no registro.</w:t>
      </w:r>
      <w:r w:rsidRPr="00A915F0">
        <w:rPr>
          <w:rFonts w:ascii="Palatino Linotype" w:hAnsi="Palatino Linotype"/>
        </w:rPr>
        <w:br/>
        <w:t>- 5.2.1. O lance deverá ser ofertado pelo valor unitário do item.</w:t>
      </w:r>
      <w:r w:rsidRPr="00A915F0">
        <w:rPr>
          <w:rFonts w:ascii="Palatino Linotype" w:hAnsi="Palatino Linotype"/>
        </w:rPr>
        <w:br/>
        <w:t>5.3. O fornecedor somente poderá oferecer valor inferior ou percentual de desconto superior ao último lance por ele ofertado e registrado pelo sistema.</w:t>
      </w:r>
      <w:r w:rsidRPr="00A915F0">
        <w:rPr>
          <w:rFonts w:ascii="Palatino Linotype" w:hAnsi="Palatino Linotype"/>
        </w:rPr>
        <w:br/>
        <w:t xml:space="preserve">5.4. O fornecedor poderá oferecer lances sucessivos iguais ou superiores ao lance que esteja </w:t>
      </w:r>
      <w:r w:rsidRPr="00A915F0">
        <w:rPr>
          <w:rFonts w:ascii="Palatino Linotype" w:hAnsi="Palatino Linotype"/>
        </w:rPr>
        <w:lastRenderedPageBreak/>
        <w:t>vencendo o certame, desde que inferiores ao menor por ele ofertado e registrado pelo sistema, sendo tais lances definidos como “lances intermediários” para os fins deste Aviso de Contratação Direta.</w:t>
      </w:r>
      <w:r w:rsidRPr="00A915F0">
        <w:rPr>
          <w:rFonts w:ascii="Palatino Linotype" w:hAnsi="Palatino Linotype"/>
        </w:rPr>
        <w:br/>
        <w:t xml:space="preserve">5.5. O intervalo mínimo de diferença de valores entre os lances, que incidirá tanto em relação aos lances intermediários quanto em relação ao que cobrir a melhor oferta, é de R$ </w:t>
      </w:r>
      <w:r w:rsidR="009C24F6" w:rsidRPr="00A915F0">
        <w:rPr>
          <w:rFonts w:ascii="Palatino Linotype" w:hAnsi="Palatino Linotype"/>
        </w:rPr>
        <w:t>0</w:t>
      </w:r>
      <w:r w:rsidRPr="00A915F0">
        <w:rPr>
          <w:rFonts w:ascii="Palatino Linotype" w:hAnsi="Palatino Linotype"/>
        </w:rPr>
        <w:t>,</w:t>
      </w:r>
      <w:r w:rsidR="00A671A8" w:rsidRPr="00A915F0">
        <w:rPr>
          <w:rFonts w:ascii="Palatino Linotype" w:hAnsi="Palatino Linotype"/>
        </w:rPr>
        <w:t>1</w:t>
      </w:r>
      <w:r w:rsidRPr="00A915F0">
        <w:rPr>
          <w:rFonts w:ascii="Palatino Linotype" w:hAnsi="Palatino Linotype"/>
        </w:rPr>
        <w:t>0 (</w:t>
      </w:r>
      <w:r w:rsidR="00A671A8" w:rsidRPr="00A915F0">
        <w:rPr>
          <w:rFonts w:ascii="Palatino Linotype" w:hAnsi="Palatino Linotype"/>
        </w:rPr>
        <w:t>dez centavos</w:t>
      </w:r>
      <w:r w:rsidRPr="00A915F0">
        <w:rPr>
          <w:rFonts w:ascii="Palatino Linotype" w:hAnsi="Palatino Linotype"/>
        </w:rPr>
        <w:t>).</w:t>
      </w:r>
      <w:r w:rsidRPr="00A915F0">
        <w:rPr>
          <w:rFonts w:ascii="Palatino Linotype" w:hAnsi="Palatino Linotype"/>
        </w:rPr>
        <w:br/>
        <w:t>5.6. Havendo lances iguais ao menor já ofertado, prevalecerá aquele que for recebido e registrado primeiro no sistema.</w:t>
      </w:r>
      <w:r w:rsidRPr="00A915F0">
        <w:rPr>
          <w:rFonts w:ascii="Palatino Linotype" w:hAnsi="Palatino Linotype"/>
        </w:rPr>
        <w:br/>
        <w:t>5.7. Caso o fornecedor não apresente lances, concorrerá com o valor de sua proposta.</w:t>
      </w:r>
      <w:r w:rsidRPr="00A915F0">
        <w:rPr>
          <w:rFonts w:ascii="Palatino Linotype" w:hAnsi="Palatino Linotype"/>
        </w:rPr>
        <w:br/>
        <w:t>5.8. Durante o procedimento, os fornecedores serão informados, em tempo real, do valor do menor lance ou do maior desconto registrado, vedada a identificação do fornecedor.</w:t>
      </w:r>
      <w:r w:rsidRPr="00A915F0">
        <w:rPr>
          <w:rFonts w:ascii="Palatino Linotype" w:hAnsi="Palatino Linotype"/>
        </w:rPr>
        <w:br/>
        <w:t>5.9. Imediatamente após o término do prazo estabelecido para a fase de lances, haverá o seu encerramento, com o ordenamento e divulgação dos lances, pelo sistema, em ordem crescente de classificação.</w:t>
      </w:r>
      <w:r w:rsidRPr="00A915F0">
        <w:rPr>
          <w:rFonts w:ascii="Palatino Linotype" w:hAnsi="Palatino Linotype"/>
        </w:rPr>
        <w:br/>
        <w:t>5.10. O encerramento da fase de lances ocorrerá de forma automática pontualmente no horário indicado, sem qualquer possibilidade de prorrogação e não havendo tempo aleatório ou mecanismo similar.</w:t>
      </w:r>
    </w:p>
    <w:p w14:paraId="38EC88FE"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JULGAMENTO E ACEITAÇÃO DAS PROPOSTAS</w:t>
      </w:r>
      <w:r w:rsidRPr="00A915F0">
        <w:rPr>
          <w:rFonts w:ascii="Palatino Linotype" w:hAnsi="Palatino Linotype"/>
        </w:rPr>
        <w:br/>
        <w:t>6.1. Encerrada a fase de lances, ainda que a proposta do primeiro colocado esteja compatível com preço máximo definido para a contratação, o agente de contratação negociará condições mais vantajosas.</w:t>
      </w:r>
      <w:r w:rsidRPr="00A915F0">
        <w:rPr>
          <w:rFonts w:ascii="Palatino Linotype" w:hAnsi="Palatino Linotype"/>
        </w:rPr>
        <w:br/>
        <w:t>- 6.1.1. Sob nenhuma hipótese, serão aceitos preços superiores ao Preço Máximo de Venda ao Governo - PMVG, estabelecido na Resolução da CMED nº 03, de 02 de março de 2011.</w:t>
      </w:r>
      <w:r w:rsidRPr="00A915F0">
        <w:rPr>
          <w:rFonts w:ascii="Palatino Linotype" w:hAnsi="Palatino Linotype"/>
        </w:rPr>
        <w:br/>
        <w:t>- 6.1.2. Neste caso, será encaminhada contraproposta ao fornecedor que tenha apresentado o menor preço, para que seja obtida a melhor proposta compatível em relação ao estipulado pela Administração.</w:t>
      </w:r>
      <w:r w:rsidRPr="00A915F0">
        <w:rPr>
          <w:rFonts w:ascii="Palatino Linotype" w:hAnsi="Palatino Linotype"/>
        </w:rPr>
        <w:br/>
        <w:t>- 6.1.3.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ou por qualquer outro motivo que enseje a desclassificação.</w:t>
      </w:r>
      <w:r w:rsidRPr="00A915F0">
        <w:rPr>
          <w:rFonts w:ascii="Palatino Linotype" w:hAnsi="Palatino Linotype"/>
        </w:rPr>
        <w:br/>
        <w:t>6.2. Concluída a negociação, se houver, o resultado será divulgado a todos e registrado na ata do procedimento da dispensa eletrônica, devendo esta ser anexada aos autos do processo de contratação.</w:t>
      </w:r>
      <w:r w:rsidRPr="00A915F0">
        <w:rPr>
          <w:rFonts w:ascii="Palatino Linotype" w:hAnsi="Palatino Linotype"/>
        </w:rPr>
        <w:br/>
        <w:t>6.3. Constada a compatibilidade entre o valor da proposta e o estipulado para a contratação, será solicitado ao fornecedor o envio da proposta adequada ao último lance ofertado ou ao valor negociado, se for o caso, acompanhado dos documentos complementares, quando necessários.</w:t>
      </w:r>
      <w:r w:rsidRPr="00A915F0">
        <w:rPr>
          <w:rFonts w:ascii="Palatino Linotype" w:hAnsi="Palatino Linotype"/>
        </w:rPr>
        <w:br/>
        <w:t>- 6.3.1. Como anexo da proposta deverá obrigatoriamente apresentar comprovante do registro na Anvisa ou Comprovante da Notificação Simplificada.</w:t>
      </w:r>
      <w:r w:rsidRPr="00A915F0">
        <w:rPr>
          <w:rFonts w:ascii="Palatino Linotype" w:hAnsi="Palatino Linotype"/>
        </w:rPr>
        <w:br/>
        <w:t>- 6.3.2. Para propostas de medicamentos que contenham substâncias constantes no Anexo I do Regulamento Técnico sobre substâncias e medicamentos sujeitos a controle especial, Portaria nº 344, de 12 de maio de 1998, deverão apresentar cópia da Autorização Especial, conforme Art. 2º da referida Portaria.</w:t>
      </w:r>
      <w:r w:rsidRPr="00A915F0">
        <w:rPr>
          <w:rFonts w:ascii="Palatino Linotype" w:hAnsi="Palatino Linotype"/>
        </w:rPr>
        <w:br/>
        <w:t xml:space="preserve">6.4. Para o envio da proposta como anexo, por meio do sistema, será concedido o prazo de 02 </w:t>
      </w:r>
      <w:r w:rsidRPr="00A915F0">
        <w:rPr>
          <w:rFonts w:ascii="Palatino Linotype" w:hAnsi="Palatino Linotype"/>
        </w:rPr>
        <w:lastRenderedPageBreak/>
        <w:t>(duas) horas, sob pena de desclassificação.</w:t>
      </w:r>
      <w:r w:rsidRPr="00A915F0">
        <w:rPr>
          <w:rFonts w:ascii="Palatino Linotype" w:hAnsi="Palatino Linotype"/>
        </w:rPr>
        <w:br/>
        <w:t>6.5. O agente de contratação verificará se o fornecedor provisoriamente classificado em primeiro lugar atende às condições de participação no certame, conforme previsto no art. 14 da Lei nº 14.133/2021, legislação correlata bem como quanto à existência de sanção que impeça a participação no processo de contratação direta ou a futura contratação, mediante a consulta aos seguintes cadastros:</w:t>
      </w:r>
      <w:r w:rsidRPr="00A915F0">
        <w:rPr>
          <w:rFonts w:ascii="Palatino Linotype" w:hAnsi="Palatino Linotype"/>
        </w:rPr>
        <w:br/>
        <w:t>- 6.5.1. SICAF;</w:t>
      </w:r>
      <w:r w:rsidRPr="00A915F0">
        <w:rPr>
          <w:rFonts w:ascii="Palatino Linotype" w:hAnsi="Palatino Linotype"/>
        </w:rPr>
        <w:br/>
        <w:t>- 6.5.2. Cadastro Nacional de Empresas Inidôneas e Suspensas - CEIS, mantido pela Controladoria-Geral da União (</w:t>
      </w:r>
      <w:hyperlink r:id="rId8" w:history="1">
        <w:r w:rsidRPr="00A915F0">
          <w:rPr>
            <w:rStyle w:val="Hyperlink"/>
            <w:rFonts w:ascii="Palatino Linotype" w:hAnsi="Palatino Linotype"/>
          </w:rPr>
          <w:t>https://www.portaltransparencia.gov.br/sancoes/ceis</w:t>
        </w:r>
      </w:hyperlink>
      <w:r w:rsidRPr="00A915F0">
        <w:rPr>
          <w:rFonts w:ascii="Palatino Linotype" w:hAnsi="Palatino Linotype"/>
        </w:rPr>
        <w:t>);</w:t>
      </w:r>
      <w:r w:rsidRPr="00A915F0">
        <w:rPr>
          <w:rFonts w:ascii="Palatino Linotype" w:hAnsi="Palatino Linotype"/>
        </w:rPr>
        <w:br/>
        <w:t>- 6.5.3. Cadastro Nacional de Empresas Punidas – CNEP, mantido pela Controladoria-Geral da União (</w:t>
      </w:r>
      <w:hyperlink r:id="rId9" w:history="1">
        <w:r w:rsidRPr="00A915F0">
          <w:rPr>
            <w:rStyle w:val="Hyperlink"/>
            <w:rFonts w:ascii="Palatino Linotype" w:hAnsi="Palatino Linotype"/>
          </w:rPr>
          <w:t>https://www.portaltransparencia.gov.br/sancoes/cnep</w:t>
        </w:r>
      </w:hyperlink>
      <w:r w:rsidRPr="00A915F0">
        <w:rPr>
          <w:rFonts w:ascii="Palatino Linotype" w:hAnsi="Palatino Linotype"/>
        </w:rPr>
        <w:t>).</w:t>
      </w:r>
      <w:r w:rsidRPr="00A915F0">
        <w:rPr>
          <w:rFonts w:ascii="Palatino Linotype" w:hAnsi="Palatino Linotype"/>
        </w:rPr>
        <w:br/>
        <w:t xml:space="preserve">6.6. A consulta aos cadastros será realizada em nome da empresa fornecedora </w:t>
      </w:r>
      <w:proofErr w:type="gramStart"/>
      <w:r w:rsidRPr="00A915F0">
        <w:rPr>
          <w:rFonts w:ascii="Palatino Linotype" w:hAnsi="Palatino Linotype"/>
        </w:rPr>
        <w:t>e também</w:t>
      </w:r>
      <w:proofErr w:type="gramEnd"/>
      <w:r w:rsidRPr="00A915F0">
        <w:rPr>
          <w:rFonts w:ascii="Palatino Linotype" w:hAnsi="Palatino Linotype"/>
        </w:rPr>
        <w:t xml:space="preserve"> de seu sócio majoritário, por força da vedação de que trata o artigo 12 da Lei nº 8.429, de 1992.</w:t>
      </w:r>
      <w:r w:rsidRPr="00A915F0">
        <w:rPr>
          <w:rFonts w:ascii="Palatino Linotype" w:hAnsi="Palatino Linotype"/>
        </w:rPr>
        <w:br/>
        <w:t>- 6.6.1. Caso conste na Consulta de Situação do fornecedor a existência de Ocorrências Impeditivas Indiretas, o órgão diligenciará para verificar se houve fraude por parte das empresas apontadas no Relatório de Ocorrências Impeditivas Indiretas.</w:t>
      </w:r>
      <w:r w:rsidRPr="00A915F0">
        <w:rPr>
          <w:rFonts w:ascii="Palatino Linotype" w:hAnsi="Palatino Linotype"/>
        </w:rPr>
        <w:br/>
        <w:t>6.7. A tentativa de burla será verificada por meio dos vínculos societários, linhas de fornecimento similares, dentre outros.</w:t>
      </w:r>
      <w:r w:rsidRPr="00A915F0">
        <w:rPr>
          <w:rFonts w:ascii="Palatino Linotype" w:hAnsi="Palatino Linotype"/>
        </w:rPr>
        <w:br/>
        <w:t>6.8. O fornecedor será convocado para manifestação previamente a uma eventual desclassificação.</w:t>
      </w:r>
      <w:r w:rsidRPr="00A915F0">
        <w:rPr>
          <w:rFonts w:ascii="Palatino Linotype" w:hAnsi="Palatino Linotype"/>
        </w:rPr>
        <w:br/>
        <w:t>6.9. Constada a existência de sanção, o fornecedor será reputado inabilitado, por falta de condição de participação.</w:t>
      </w:r>
      <w:r w:rsidRPr="00A915F0">
        <w:rPr>
          <w:rFonts w:ascii="Palatino Linotype" w:hAnsi="Palatino Linotype"/>
        </w:rPr>
        <w:br/>
        <w:t>6.10.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r w:rsidRPr="00A915F0">
        <w:rPr>
          <w:rFonts w:ascii="Palatino Linotype" w:hAnsi="Palatino Linotype"/>
        </w:rPr>
        <w:br/>
        <w:t>6.11. Será desclassificada a proposta vencedora que:</w:t>
      </w:r>
      <w:r w:rsidRPr="00A915F0">
        <w:rPr>
          <w:rFonts w:ascii="Palatino Linotype" w:hAnsi="Palatino Linotype"/>
        </w:rPr>
        <w:br/>
        <w:t>- 6.11.1. Contiver vícios insanáveis;</w:t>
      </w:r>
      <w:r w:rsidRPr="00A915F0">
        <w:rPr>
          <w:rFonts w:ascii="Palatino Linotype" w:hAnsi="Palatino Linotype"/>
        </w:rPr>
        <w:br/>
        <w:t>- 6.11.2. Não obedecer às especificações técnicas pormenorizadas neste aviso ou em seus anexos;</w:t>
      </w:r>
      <w:r w:rsidRPr="00A915F0">
        <w:rPr>
          <w:rFonts w:ascii="Palatino Linotype" w:hAnsi="Palatino Linotype"/>
        </w:rPr>
        <w:br/>
        <w:t>- 6.11.3. Apresentar preços inexequíveis ou que permanecerem acima do preço máximo definido para a contratação;</w:t>
      </w:r>
      <w:r w:rsidRPr="00A915F0">
        <w:rPr>
          <w:rFonts w:ascii="Palatino Linotype" w:hAnsi="Palatino Linotype"/>
        </w:rPr>
        <w:br/>
        <w:t>- 6.11.4. Não tiver sua exequibilidade demonstrada, quando exigido pela Administração;</w:t>
      </w:r>
      <w:r w:rsidRPr="00A915F0">
        <w:rPr>
          <w:rFonts w:ascii="Palatino Linotype" w:hAnsi="Palatino Linotype"/>
        </w:rPr>
        <w:br/>
        <w:t>- 6.11.5. Apresentar desconformidade com quaisquer outras exigências deste aviso ou seus anexos, desde que insanável.</w:t>
      </w:r>
      <w:r w:rsidRPr="00A915F0">
        <w:rPr>
          <w:rFonts w:ascii="Palatino Linotype" w:hAnsi="Palatino Linotype"/>
        </w:rPr>
        <w:br/>
        <w:t>6.12. Para fins de análise da proposta quanto ao cumprimento das especificações do objeto, poderá ser colhida a manifestação escrita do setor requisitante do serviço ou da área especializada no objeto.</w:t>
      </w:r>
      <w:r w:rsidRPr="00A915F0">
        <w:rPr>
          <w:rFonts w:ascii="Palatino Linotype" w:hAnsi="Palatino Linotype"/>
        </w:rPr>
        <w:br/>
        <w:t>6.13. Se a proposta ou lance vencedor for desclassificado, será examinada a proposta ou lance subsequente, e assim sucessivamente, na ordem de classificação.</w:t>
      </w:r>
      <w:r w:rsidRPr="00A915F0">
        <w:rPr>
          <w:rFonts w:ascii="Palatino Linotype" w:hAnsi="Palatino Linotype"/>
        </w:rPr>
        <w:br/>
        <w:t>6.14. Havendo necessidade, a sessão será suspensa, informando-se no “chat” a nova data e horário para a sua continuidade.</w:t>
      </w:r>
      <w:r w:rsidRPr="00A915F0">
        <w:rPr>
          <w:rFonts w:ascii="Palatino Linotype" w:hAnsi="Palatino Linotype"/>
        </w:rPr>
        <w:br/>
        <w:t>6.15. Não havendo data e horário definidos para reinício da sessão, o agente de contratação registrará no chat, com antecedência de no mínimo 24 (vinte e quatro) horas, a fim de que todos os participantes tenham acesso à informação em tempo hábil.</w:t>
      </w:r>
      <w:r w:rsidRPr="00A915F0">
        <w:rPr>
          <w:rFonts w:ascii="Palatino Linotype" w:hAnsi="Palatino Linotype"/>
        </w:rPr>
        <w:br/>
      </w:r>
      <w:r w:rsidRPr="00A915F0">
        <w:rPr>
          <w:rFonts w:ascii="Palatino Linotype" w:hAnsi="Palatino Linotype"/>
        </w:rPr>
        <w:lastRenderedPageBreak/>
        <w:t>6.16. Encerrada a análise quanto à aceitação da proposta, será iniciada a fase de habilitação, observado o disposto neste Aviso de Contratação Direta.</w:t>
      </w:r>
    </w:p>
    <w:p w14:paraId="65505BA0"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HABILITAÇÃO</w:t>
      </w:r>
      <w:r w:rsidRPr="00A915F0">
        <w:rPr>
          <w:rFonts w:ascii="Palatino Linotype" w:hAnsi="Palatino Linotype"/>
        </w:rPr>
        <w:br/>
        <w:t xml:space="preserve">7.1. Os documentos a serem exigidos para fins de habilitação, nos termos dos </w:t>
      </w:r>
      <w:proofErr w:type="spellStart"/>
      <w:r w:rsidRPr="00A915F0">
        <w:rPr>
          <w:rFonts w:ascii="Palatino Linotype" w:hAnsi="Palatino Linotype"/>
        </w:rPr>
        <w:t>arts</w:t>
      </w:r>
      <w:proofErr w:type="spellEnd"/>
      <w:r w:rsidRPr="00A915F0">
        <w:rPr>
          <w:rFonts w:ascii="Palatino Linotype" w:hAnsi="Palatino Linotype"/>
        </w:rPr>
        <w:t xml:space="preserve">. 62 a 70 da Lei nº 14.133, de 2021, elencados no Termo de Referência, serão solicitados do fornecedor </w:t>
      </w:r>
      <w:proofErr w:type="gramStart"/>
      <w:r w:rsidRPr="00A915F0">
        <w:rPr>
          <w:rFonts w:ascii="Palatino Linotype" w:hAnsi="Palatino Linotype"/>
        </w:rPr>
        <w:t>melhor</w:t>
      </w:r>
      <w:proofErr w:type="gramEnd"/>
      <w:r w:rsidRPr="00A915F0">
        <w:rPr>
          <w:rFonts w:ascii="Palatino Linotype" w:hAnsi="Palatino Linotype"/>
        </w:rPr>
        <w:t xml:space="preserve"> classificado na fase de lances.</w:t>
      </w:r>
      <w:r w:rsidRPr="00A915F0">
        <w:rPr>
          <w:rFonts w:ascii="Palatino Linotype" w:hAnsi="Palatino Linotype"/>
        </w:rPr>
        <w:br/>
        <w:t>- 7.1.1. Será concedido o prazo de 02 (duas) horas para envio dos documentos solicitados como anexo, sob pena de inabilitação.</w:t>
      </w:r>
      <w:r w:rsidRPr="00A915F0">
        <w:rPr>
          <w:rFonts w:ascii="Palatino Linotype" w:hAnsi="Palatino Linotype"/>
        </w:rPr>
        <w:br/>
        <w:t>7.2. A habilitação dos fornecedores será verificada por meio do SICAF, nos documentos por ele abrangidos.</w:t>
      </w:r>
      <w:r w:rsidRPr="00A915F0">
        <w:rPr>
          <w:rFonts w:ascii="Palatino Linotype" w:hAnsi="Palatino Linotype"/>
        </w:rPr>
        <w:br/>
        <w:t>- 7.2.1. É dever do fornecedor atualizar previamente as comprovações constantes do SICAF para que estejam vigentes na data da abertura da sessão pública ou encaminhar, quando solicitado, a respectiva documentação atualizada.</w:t>
      </w:r>
      <w:r w:rsidRPr="00A915F0">
        <w:rPr>
          <w:rFonts w:ascii="Palatino Linotype" w:hAnsi="Palatino Linotype"/>
        </w:rPr>
        <w:br/>
        <w:t>- 7.2.2. O descumprimento do subitem acima implicará a inabilitação do fornecedor, exceto se a consulta aos sítios eletrônicos oficiais emissores de certidões lograr êxito em encontrar a(s) certidão(</w:t>
      </w:r>
      <w:proofErr w:type="spellStart"/>
      <w:r w:rsidRPr="00A915F0">
        <w:rPr>
          <w:rFonts w:ascii="Palatino Linotype" w:hAnsi="Palatino Linotype"/>
        </w:rPr>
        <w:t>ões</w:t>
      </w:r>
      <w:proofErr w:type="spellEnd"/>
      <w:r w:rsidRPr="00A915F0">
        <w:rPr>
          <w:rFonts w:ascii="Palatino Linotype" w:hAnsi="Palatino Linotype"/>
        </w:rPr>
        <w:t>) válida(s).</w:t>
      </w:r>
      <w:r w:rsidRPr="00A915F0">
        <w:rPr>
          <w:rFonts w:ascii="Palatino Linotype" w:hAnsi="Palatino Linotype"/>
        </w:rPr>
        <w:br/>
        <w:t>7.3. Os documentos necessários para habilitação técnica, descritos no item 8.29 e seguintes do Termo de Referência, deverão ser enviados quando da solicitação do agente de contratação, sob pena de inabilitação.</w:t>
      </w:r>
      <w:r w:rsidRPr="00A915F0">
        <w:rPr>
          <w:rFonts w:ascii="Palatino Linotype" w:hAnsi="Palatino Linotype"/>
        </w:rPr>
        <w:br/>
        <w:t>- 7.3.1. O participante deverá, ainda, apresentar comprovante de consulta ao Cadastro Informativo de Créditos não Quitados do Setor Público - CADIN.</w:t>
      </w:r>
      <w:r w:rsidRPr="00A915F0">
        <w:rPr>
          <w:rFonts w:ascii="Palatino Linotype" w:hAnsi="Palatino Linotype"/>
        </w:rPr>
        <w:br/>
        <w:t>7.4.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02 (duas) horas, sob pena de inabilitação.</w:t>
      </w:r>
      <w:r w:rsidRPr="00A915F0">
        <w:rPr>
          <w:rFonts w:ascii="Palatino Linotype" w:hAnsi="Palatino Linotype"/>
        </w:rPr>
        <w:br/>
        <w:t xml:space="preserve">7.5. Somente haverá a necessidade de comprovação do preenchimento de requisitos mediante apresentação dos documentos originais </w:t>
      </w:r>
      <w:proofErr w:type="spellStart"/>
      <w:r w:rsidRPr="00A915F0">
        <w:rPr>
          <w:rFonts w:ascii="Palatino Linotype" w:hAnsi="Palatino Linotype"/>
        </w:rPr>
        <w:t>não-digitais</w:t>
      </w:r>
      <w:proofErr w:type="spellEnd"/>
      <w:r w:rsidRPr="00A915F0">
        <w:rPr>
          <w:rFonts w:ascii="Palatino Linotype" w:hAnsi="Palatino Linotype"/>
        </w:rPr>
        <w:t xml:space="preserve"> quando houver dúvida em relação à integridade do documento digital.</w:t>
      </w:r>
      <w:r w:rsidRPr="00A915F0">
        <w:rPr>
          <w:rFonts w:ascii="Palatino Linotype" w:hAnsi="Palatino Linotype"/>
        </w:rPr>
        <w:br/>
        <w:t>7.6. Não serão aceitos documentos de habilitação com indicação de CNPJ/CPF diferentes, salvo aqueles legalmente permitidos.</w:t>
      </w:r>
      <w:r w:rsidRPr="00A915F0">
        <w:rPr>
          <w:rFonts w:ascii="Palatino Linotype" w:hAnsi="Palatino Linotype"/>
        </w:rPr>
        <w:br/>
        <w:t>7.7.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sidRPr="00A915F0">
        <w:rPr>
          <w:rFonts w:ascii="Palatino Linotype" w:hAnsi="Palatino Linotype"/>
        </w:rPr>
        <w:br/>
        <w:t>7.8. Serão aceitos registros de CNPJ de fornecedor matriz e filial com diferenças de números de documentos pertinentes ao CND e ao CRF/FGTS, quando for comprovada a centralização do recolhimento dessas contribuições.</w:t>
      </w:r>
      <w:r w:rsidRPr="00A915F0">
        <w:rPr>
          <w:rFonts w:ascii="Palatino Linotype" w:hAnsi="Palatino Linotype"/>
        </w:rPr>
        <w:br/>
        <w:t>7.9. Havendo necessidade de analisar minuciosamente os documentos exigidos, a sessão será suspensa, sendo informada a nova data e horário para a sua continuidade.</w:t>
      </w:r>
      <w:r w:rsidRPr="00A915F0">
        <w:rPr>
          <w:rFonts w:ascii="Palatino Linotype" w:hAnsi="Palatino Linotype"/>
        </w:rPr>
        <w:br/>
        <w:t>7.10. Será inabilitado o fornecedor que não comprovar sua habilitação, seja por não apresentar quaisquer dos documentos exigidos ou apresentá-los em desacordo com o estabelecido neste Aviso de Contratação Direta.</w:t>
      </w:r>
      <w:r w:rsidRPr="00A915F0">
        <w:rPr>
          <w:rFonts w:ascii="Palatino Linotype" w:hAnsi="Palatino Linotype"/>
        </w:rPr>
        <w:br/>
        <w:t xml:space="preserve">7.11. Na hipótese de o fornecedor não atender às exigências para a habilitação, o órgão ou </w:t>
      </w:r>
      <w:r w:rsidRPr="00A915F0">
        <w:rPr>
          <w:rFonts w:ascii="Palatino Linotype" w:hAnsi="Palatino Linotype"/>
        </w:rPr>
        <w:lastRenderedPageBreak/>
        <w:t>entidade examinará a proposta subsequente, e assim sucessivamente, na ordem de classificação, até a apuração de uma proposta que atenda às especificações do objeto e as condições de habilitação.</w:t>
      </w:r>
      <w:r w:rsidRPr="00A915F0">
        <w:rPr>
          <w:rFonts w:ascii="Palatino Linotype" w:hAnsi="Palatino Linotype"/>
        </w:rPr>
        <w:br/>
        <w:t>7.12. Constatado o atendimento às exigências de habilitação, o fornecedor será habilitado.</w:t>
      </w:r>
    </w:p>
    <w:p w14:paraId="56D803C8"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CONTRATAÇÃO</w:t>
      </w:r>
      <w:r w:rsidRPr="00A915F0">
        <w:rPr>
          <w:rFonts w:ascii="Palatino Linotype" w:hAnsi="Palatino Linotype"/>
        </w:rPr>
        <w:br/>
        <w:t>8.1. Após a homologação e adjudicação, caso se conclua pela contratação, será firmado Termo de Contrato ou emitido instrumento equivalente.</w:t>
      </w:r>
      <w:r w:rsidRPr="00A915F0">
        <w:rPr>
          <w:rFonts w:ascii="Palatino Linotype" w:hAnsi="Palatino Linotype"/>
        </w:rPr>
        <w:br/>
        <w:t>8.2. O adjudicatário terá o prazo de 05 (cinco) dias úteis, contados a partir da data de sua convocação, para assinar o Termo de Contrato ou aceitar instrumento equivalente, conforme o caso (Nota de Empenho/Autorização), sob pena de decair o direito à contratação, sem prejuízo das sanções previstas neste Aviso de Contratação Direta.</w:t>
      </w:r>
      <w:r w:rsidRPr="00A915F0">
        <w:rPr>
          <w:rFonts w:ascii="Palatino Linotype" w:hAnsi="Palatino Linotype"/>
        </w:rPr>
        <w:br/>
        <w:t>8.3. Alternativamente à convocação para comparecer perante o órgão ou entidade para a assinatura do Termo de Contrato, a Administração poderá encaminhá-lo para assinatura, por meio de acesso a um sistema de processo eletrônico para esse fim, para que seja assinado e devolvido no prazo de 05 (cinco) dias, a contar da disponibilização do acesso ao sistema de processo eletrônico.</w:t>
      </w:r>
      <w:r w:rsidRPr="00A915F0">
        <w:rPr>
          <w:rFonts w:ascii="Palatino Linotype" w:hAnsi="Palatino Linotype"/>
        </w:rPr>
        <w:br/>
        <w:t>8.4. A Nota de Empenho ou do instrumento equivalente, emitida ao fornecedor adjudicado, implica o reconhecimento de que:</w:t>
      </w:r>
      <w:r w:rsidRPr="00A915F0">
        <w:rPr>
          <w:rFonts w:ascii="Palatino Linotype" w:hAnsi="Palatino Linotype"/>
        </w:rPr>
        <w:br/>
        <w:t>- 8.4.1. A contratada se vincula à sua proposta e às previsões contidas no Aviso de Contratação Direta e seus anexos;</w:t>
      </w:r>
      <w:r w:rsidRPr="00A915F0">
        <w:rPr>
          <w:rFonts w:ascii="Palatino Linotype" w:hAnsi="Palatino Linotype"/>
        </w:rPr>
        <w:br/>
        <w:t>- 8.4.2. A contratada reconhece que as hipóteses de rescisão são aquelas previstas nos artigos 137 e 138 da Lei nº 14.133, de 2021, e reconhece os direitos da Administração previstos nos artigos 137 a 139 da mesma Lei.</w:t>
      </w:r>
      <w:r w:rsidRPr="00A915F0">
        <w:rPr>
          <w:rFonts w:ascii="Palatino Linotype" w:hAnsi="Palatino Linotype"/>
        </w:rPr>
        <w:br/>
        <w:t>8.5. O prazo de vigência da contratação é o estabelecido no Termo de Referência.</w:t>
      </w:r>
      <w:r w:rsidRPr="00A915F0">
        <w:rPr>
          <w:rFonts w:ascii="Palatino Linotype" w:hAnsi="Palatino Linotype"/>
        </w:rPr>
        <w:br/>
        <w:t>8.6. Na assinatura do contrato ou do instrumento equivalente será exigida a comprovação das condições de habilitação e contratação consignadas neste aviso, que deverão ser mantidas pelo fornecedor durante a vigência do contrato.</w:t>
      </w:r>
    </w:p>
    <w:p w14:paraId="3815F6C2"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INFRAÇÕES E SANÇÕES ADMINISTRATIVAS</w:t>
      </w:r>
      <w:r w:rsidRPr="00A915F0">
        <w:rPr>
          <w:rFonts w:ascii="Palatino Linotype" w:hAnsi="Palatino Linotype"/>
        </w:rPr>
        <w:br/>
        <w:t>9.1. Comete infração administrativa, nos termos da Lei nº 14.133, de 2021, o contratado que:</w:t>
      </w:r>
      <w:r w:rsidRPr="00A915F0">
        <w:rPr>
          <w:rFonts w:ascii="Palatino Linotype" w:hAnsi="Palatino Linotype"/>
        </w:rPr>
        <w:br/>
        <w:t>- 9.1.1. Der causa à inexecução parcial do contrato.</w:t>
      </w:r>
      <w:r w:rsidRPr="00A915F0">
        <w:rPr>
          <w:rFonts w:ascii="Palatino Linotype" w:hAnsi="Palatino Linotype"/>
        </w:rPr>
        <w:br/>
        <w:t xml:space="preserve">- 9.1.2. Der causa à inexecução parcial do </w:t>
      </w:r>
      <w:proofErr w:type="spellStart"/>
      <w:r w:rsidRPr="00A915F0">
        <w:rPr>
          <w:rFonts w:ascii="Palatino Linotype" w:hAnsi="Palatino Linotype"/>
        </w:rPr>
        <w:t>contracto</w:t>
      </w:r>
      <w:proofErr w:type="spellEnd"/>
      <w:r w:rsidRPr="00A915F0">
        <w:rPr>
          <w:rFonts w:ascii="Palatino Linotype" w:hAnsi="Palatino Linotype"/>
        </w:rPr>
        <w:t xml:space="preserve"> que cause grave dano à Administração ou ao funcionamento dos serviços públicos ou ao interesse coletivo.</w:t>
      </w:r>
      <w:r w:rsidRPr="00A915F0">
        <w:rPr>
          <w:rFonts w:ascii="Palatino Linotype" w:hAnsi="Palatino Linotype"/>
        </w:rPr>
        <w:br/>
        <w:t>- 9.1.3. Der causa à inexecução total do contrato.</w:t>
      </w:r>
      <w:r w:rsidRPr="00A915F0">
        <w:rPr>
          <w:rFonts w:ascii="Palatino Linotype" w:hAnsi="Palatino Linotype"/>
        </w:rPr>
        <w:br/>
        <w:t>- 9.1.4. Ensejar o retardamento da execução ou da entrega do objeto da contratação sem motivo justificado.</w:t>
      </w:r>
      <w:r w:rsidRPr="00A915F0">
        <w:rPr>
          <w:rFonts w:ascii="Palatino Linotype" w:hAnsi="Palatino Linotype"/>
        </w:rPr>
        <w:br/>
        <w:t>- 9.1.5. Apresentar documentação falsa ou prestar declaração falsa durante a execução do contrato.</w:t>
      </w:r>
      <w:r w:rsidRPr="00A915F0">
        <w:rPr>
          <w:rFonts w:ascii="Palatino Linotype" w:hAnsi="Palatino Linotype"/>
        </w:rPr>
        <w:br/>
        <w:t>- 9.1.6. Praticar ato fraudulento na execução do contrato.</w:t>
      </w:r>
      <w:r w:rsidRPr="00A915F0">
        <w:rPr>
          <w:rFonts w:ascii="Palatino Linotype" w:hAnsi="Palatino Linotype"/>
        </w:rPr>
        <w:br/>
        <w:t>- 9.1.7. Comportar-se de modo inidôneo ou cometer fraude de qualquer natureza.</w:t>
      </w:r>
      <w:r w:rsidRPr="00A915F0">
        <w:rPr>
          <w:rFonts w:ascii="Palatino Linotype" w:hAnsi="Palatino Linotype"/>
        </w:rPr>
        <w:br/>
        <w:t>- 9.1.8. Praticar ato lesivo previsto no art. 5º da Lei nº 12.846, de 1º de agosto de 2013.</w:t>
      </w:r>
      <w:r w:rsidRPr="00A915F0">
        <w:rPr>
          <w:rFonts w:ascii="Palatino Linotype" w:hAnsi="Palatino Linotype"/>
        </w:rPr>
        <w:br/>
        <w:t>9.2. Serão aplicadas ao contratado que incorrer nas infrações acima descritas as seguintes sanções:</w:t>
      </w:r>
      <w:r w:rsidRPr="00A915F0">
        <w:rPr>
          <w:rFonts w:ascii="Palatino Linotype" w:hAnsi="Palatino Linotype"/>
        </w:rPr>
        <w:br/>
        <w:t xml:space="preserve">- 9.2.1. Advertência, quando o contratado der causa à inexecução parcial do contrato, sempre que </w:t>
      </w:r>
      <w:r w:rsidRPr="00A915F0">
        <w:rPr>
          <w:rFonts w:ascii="Palatino Linotype" w:hAnsi="Palatino Linotype"/>
        </w:rPr>
        <w:lastRenderedPageBreak/>
        <w:t>não se justificar a imposição de penalidade mais grave (art. 156, §2º, da Lei nº 14.133, de 2021).</w:t>
      </w:r>
      <w:r w:rsidRPr="00A915F0">
        <w:rPr>
          <w:rFonts w:ascii="Palatino Linotype" w:hAnsi="Palatino Linotype"/>
        </w:rPr>
        <w:br/>
        <w:t>- 9.2.2. Impedimento de licitar e contratar, quando praticadas as condutas descritas nas alíneas "b", "c" e "d" do subitem acima deste Contrato, sempre que não se justificar a imposição de penalidade mais grave (art. 156, § 4º, da Lei nº 14.133, de 2021).</w:t>
      </w:r>
      <w:r w:rsidRPr="00A915F0">
        <w:rPr>
          <w:rFonts w:ascii="Palatino Linotype" w:hAnsi="Palatino Linotype"/>
        </w:rPr>
        <w:br/>
        <w:t>- 9.2.3. Declaração de inidoneidade para licitar e contratar, quando praticadas as condutas descritas nas alíneas "e", "f", "g" e "h" do subitem acima deste Contrato, bem como nas alíneas "b", "c" e "d", que justifiquem a imposição de penalidade mais grave (art. 156, §5º, da Lei nº 14.133, de 2021).</w:t>
      </w:r>
      <w:r w:rsidRPr="00A915F0">
        <w:rPr>
          <w:rFonts w:ascii="Palatino Linotype" w:hAnsi="Palatino Linotype"/>
        </w:rPr>
        <w:br/>
        <w:t>- 9.2.4. Multa:</w:t>
      </w:r>
      <w:r w:rsidRPr="00A915F0">
        <w:rPr>
          <w:rFonts w:ascii="Palatino Linotype" w:hAnsi="Palatino Linotype"/>
        </w:rPr>
        <w:br/>
        <w:t>- Moratória de 0,5% (cinco décimos por cento) por dia de atraso injustificado sobre o valor da parcela inadimplida, até o limite de 30 (trinta) dias.</w:t>
      </w:r>
      <w:r w:rsidRPr="00A915F0">
        <w:rPr>
          <w:rFonts w:ascii="Palatino Linotype" w:hAnsi="Palatino Linotype"/>
        </w:rPr>
        <w:br/>
        <w:t>- Moratória de 0,5% (cinco décimos por cento) por dia de atraso injustificado sobre o valor total do contrato, até o máximo de 30% (trinta por cento), pela inobservância do prazo fixado para apresentação, suplementação ou reposição da garantia.</w:t>
      </w:r>
      <w:r w:rsidRPr="00A915F0">
        <w:rPr>
          <w:rFonts w:ascii="Palatino Linotype" w:hAnsi="Palatino Linotype"/>
        </w:rPr>
        <w:br/>
        <w:t>- O atraso superior a 60 dias autoriza a Administração a promover a extinção do contrato por descumprimento ou cumprimento irregular de suas cláusulas, conforme dispõe o inciso I do art. 137 da Lei n. 14.133, de 2021.</w:t>
      </w:r>
      <w:r w:rsidRPr="00A915F0">
        <w:rPr>
          <w:rFonts w:ascii="Palatino Linotype" w:hAnsi="Palatino Linotype"/>
        </w:rPr>
        <w:br/>
        <w:t>- Compensatória de 10% (dez por cento) sobre o valor total do contrato, no caso de inexecução total do objeto.</w:t>
      </w:r>
      <w:r w:rsidRPr="00A915F0">
        <w:rPr>
          <w:rFonts w:ascii="Palatino Linotype" w:hAnsi="Palatino Linotype"/>
        </w:rPr>
        <w:br/>
        <w:t>9.3. A aplicação das sanções previstas neste Contrato não exclui, em hipótese alguma, a obrigação de reparação integral do dano causado ao Contratante (art. 156, §9º, da Lei nº 14.133, de 2021).</w:t>
      </w:r>
      <w:r w:rsidRPr="00A915F0">
        <w:rPr>
          <w:rFonts w:ascii="Palatino Linotype" w:hAnsi="Palatino Linotype"/>
        </w:rPr>
        <w:br/>
        <w:t>9.4. Todas as sanções previstas neste Contrato poderão ser aplicadas cumulativamente com a multa (art. 156, §7º, da Lei nº 14.133, de 2021).</w:t>
      </w:r>
      <w:r w:rsidRPr="00A915F0">
        <w:rPr>
          <w:rFonts w:ascii="Palatino Linotype" w:hAnsi="Palatino Linotype"/>
        </w:rPr>
        <w:br/>
        <w:t>9.5. Antes da aplicação da multa será facultada a defesa do interessado no prazo de 15 (quinze) dias úteis, contado da data de sua intimação (art. 157, da Lei nº 14.133, de 2021).</w:t>
      </w:r>
      <w:r w:rsidRPr="00A915F0">
        <w:rPr>
          <w:rFonts w:ascii="Palatino Linotype" w:hAnsi="Palatino Linotype"/>
        </w:rPr>
        <w:br/>
        <w:t>9.6.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r w:rsidRPr="00A915F0">
        <w:rPr>
          <w:rFonts w:ascii="Palatino Linotype" w:hAnsi="Palatino Linotype"/>
        </w:rPr>
        <w:br/>
        <w:t>9.7. Previamente ao encaminhamento à cobrança judicial, a multa poderá ser recolhida administrativamente no prazo máximo de 05 (cinco) dias úteis, a contar da data do recebimento da comunicação enviada pela autoridade competente.</w:t>
      </w:r>
      <w:r w:rsidRPr="00A915F0">
        <w:rPr>
          <w:rFonts w:ascii="Palatino Linotype" w:hAnsi="Palatino Linotype"/>
        </w:rPr>
        <w:b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r w:rsidRPr="00A915F0">
        <w:rPr>
          <w:rFonts w:ascii="Palatino Linotype" w:hAnsi="Palatino Linotype"/>
        </w:rPr>
        <w:br/>
        <w:t>9.9. Na aplicação das sanções serão considerados (art. 156, §1º, da Lei nº 14.133, de 2021):</w:t>
      </w:r>
      <w:r w:rsidRPr="00A915F0">
        <w:rPr>
          <w:rFonts w:ascii="Palatino Linotype" w:hAnsi="Palatino Linotype"/>
        </w:rPr>
        <w:br/>
        <w:t>- A natureza e a gravidade da infração cometida.</w:t>
      </w:r>
      <w:r w:rsidRPr="00A915F0">
        <w:rPr>
          <w:rFonts w:ascii="Palatino Linotype" w:hAnsi="Palatino Linotype"/>
        </w:rPr>
        <w:br/>
        <w:t>- As peculiaridades do caso concreto.</w:t>
      </w:r>
      <w:r w:rsidRPr="00A915F0">
        <w:rPr>
          <w:rFonts w:ascii="Palatino Linotype" w:hAnsi="Palatino Linotype"/>
        </w:rPr>
        <w:br/>
        <w:t>- As circunstâncias agravantes ou atenuantes.</w:t>
      </w:r>
      <w:r w:rsidRPr="00A915F0">
        <w:rPr>
          <w:rFonts w:ascii="Palatino Linotype" w:hAnsi="Palatino Linotype"/>
        </w:rPr>
        <w:br/>
        <w:t>- Os danos que dela provierem para o Contratante.</w:t>
      </w:r>
      <w:r w:rsidRPr="00A915F0">
        <w:rPr>
          <w:rFonts w:ascii="Palatino Linotype" w:hAnsi="Palatino Linotype"/>
        </w:rPr>
        <w:br/>
        <w:t>- A implantação ou o aperfeiçoamento de programa de integridade, conforme normas e orientações dos órgãos de controle.</w:t>
      </w:r>
      <w:r w:rsidRPr="00A915F0">
        <w:rPr>
          <w:rFonts w:ascii="Palatino Linotype" w:hAnsi="Palatino Linotype"/>
        </w:rPr>
        <w:br/>
      </w:r>
      <w:r w:rsidRPr="00A915F0">
        <w:rPr>
          <w:rFonts w:ascii="Palatino Linotype" w:hAnsi="Palatino Linotype"/>
        </w:rPr>
        <w:lastRenderedPageBreak/>
        <w:t>9.10.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Pr="00A915F0">
        <w:rPr>
          <w:rFonts w:ascii="Palatino Linotype" w:hAnsi="Palatino Linotype"/>
        </w:rPr>
        <w:br/>
        <w:t>9.11.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r w:rsidRPr="00A915F0">
        <w:rPr>
          <w:rFonts w:ascii="Palatino Linotype" w:hAnsi="Palatino Linotype"/>
        </w:rPr>
        <w:br/>
        <w:t>9.12.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915F0">
        <w:rPr>
          <w:rFonts w:ascii="Palatino Linotype" w:hAnsi="Palatino Linotype"/>
        </w:rPr>
        <w:t>Ceis</w:t>
      </w:r>
      <w:proofErr w:type="spellEnd"/>
      <w:r w:rsidRPr="00A915F0">
        <w:rPr>
          <w:rFonts w:ascii="Palatino Linotype" w:hAnsi="Palatino Linotype"/>
        </w:rPr>
        <w:t>) e no Cadastro Nacional de Empresas Punidas (</w:t>
      </w:r>
      <w:proofErr w:type="spellStart"/>
      <w:r w:rsidRPr="00A915F0">
        <w:rPr>
          <w:rFonts w:ascii="Palatino Linotype" w:hAnsi="Palatino Linotype"/>
        </w:rPr>
        <w:t>Cnep</w:t>
      </w:r>
      <w:proofErr w:type="spellEnd"/>
      <w:r w:rsidRPr="00A915F0">
        <w:rPr>
          <w:rFonts w:ascii="Palatino Linotype" w:hAnsi="Palatino Linotype"/>
        </w:rPr>
        <w:t>), instituídos no âmbito do Poder Executivo Federal (Art. 161, da Lei nº 14.133, de 2021).</w:t>
      </w:r>
      <w:r w:rsidRPr="00A915F0">
        <w:rPr>
          <w:rFonts w:ascii="Palatino Linotype" w:hAnsi="Palatino Linotype"/>
        </w:rPr>
        <w:br/>
        <w:t>9.13. As sanções de impedimento de licitar e contratar e declaração de inidoneidade para licitar ou contratar são passíveis de reabilitação na forma do art. 163 da Lei nº 14.133/21.</w:t>
      </w:r>
      <w:r w:rsidRPr="00A915F0">
        <w:rPr>
          <w:rFonts w:ascii="Palatino Linotype" w:hAnsi="Palatino Linotype"/>
        </w:rPr>
        <w:br/>
        <w:t>9.14.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DA847EB"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DAS DISPOSIÇÕES GERAIS</w:t>
      </w:r>
      <w:r w:rsidRPr="00A915F0">
        <w:rPr>
          <w:rFonts w:ascii="Palatino Linotype" w:hAnsi="Palatino Linotype"/>
        </w:rPr>
        <w:br/>
        <w:t xml:space="preserve">10.1. No caso de todos os fornecedores restarem desclassificados ou inabilitados (procedimento fracassado), a Administração poderá: </w:t>
      </w:r>
    </w:p>
    <w:p w14:paraId="7BDBDB3C" w14:textId="77777777" w:rsidR="003F1DAC" w:rsidRPr="00A915F0" w:rsidRDefault="003F1DAC" w:rsidP="003F1DAC">
      <w:pPr>
        <w:numPr>
          <w:ilvl w:val="1"/>
          <w:numId w:val="2"/>
        </w:numPr>
        <w:ind w:left="-426"/>
        <w:rPr>
          <w:rFonts w:ascii="Palatino Linotype" w:hAnsi="Palatino Linotype"/>
        </w:rPr>
      </w:pPr>
      <w:r w:rsidRPr="00A915F0">
        <w:rPr>
          <w:rFonts w:ascii="Palatino Linotype" w:hAnsi="Palatino Linotype"/>
        </w:rPr>
        <w:t>10.1.1. Republicar o presente aviso com uma nova data.</w:t>
      </w:r>
    </w:p>
    <w:p w14:paraId="3C7676F9" w14:textId="77777777" w:rsidR="003F1DAC" w:rsidRPr="00A915F0" w:rsidRDefault="003F1DAC" w:rsidP="003F1DAC">
      <w:pPr>
        <w:numPr>
          <w:ilvl w:val="1"/>
          <w:numId w:val="2"/>
        </w:numPr>
        <w:ind w:left="-426"/>
        <w:rPr>
          <w:rFonts w:ascii="Palatino Linotype" w:hAnsi="Palatino Linotype"/>
        </w:rPr>
      </w:pPr>
      <w:r w:rsidRPr="00A915F0">
        <w:rPr>
          <w:rFonts w:ascii="Palatino Linotype" w:hAnsi="Palatino Linotype"/>
        </w:rPr>
        <w:t>10.1.2. Valer-se, para a contratação, de proposta obtida na pesquisa de preços que serviu de base ao procedimento, se houver, privilegiando-se os menores preços, sempre que possível, e desde que atendidas às condições de habilitação exigidas.</w:t>
      </w:r>
    </w:p>
    <w:p w14:paraId="27BEF0C5" w14:textId="77777777" w:rsidR="003F1DAC" w:rsidRPr="00A915F0" w:rsidRDefault="003F1DAC" w:rsidP="003F1DAC">
      <w:pPr>
        <w:numPr>
          <w:ilvl w:val="2"/>
          <w:numId w:val="2"/>
        </w:numPr>
        <w:ind w:left="-426"/>
        <w:rPr>
          <w:rFonts w:ascii="Palatino Linotype" w:hAnsi="Palatino Linotype"/>
        </w:rPr>
      </w:pPr>
      <w:r w:rsidRPr="00A915F0">
        <w:rPr>
          <w:rFonts w:ascii="Palatino Linotype" w:hAnsi="Palatino Linotype"/>
        </w:rPr>
        <w:t>10.1.2.1. No caso do subitem anterior, a contratação será operacionalizada fora deste procedimento.</w:t>
      </w:r>
    </w:p>
    <w:p w14:paraId="6F20AC9B" w14:textId="77777777" w:rsidR="004E0F08" w:rsidRDefault="003F1DAC" w:rsidP="004E0F08">
      <w:pPr>
        <w:ind w:left="-426"/>
        <w:rPr>
          <w:rFonts w:ascii="Palatino Linotype" w:hAnsi="Palatino Linotype"/>
        </w:rPr>
      </w:pPr>
      <w:r w:rsidRPr="00A915F0">
        <w:rPr>
          <w:rFonts w:ascii="Palatino Linotype" w:hAnsi="Palatino Linotype"/>
        </w:rPr>
        <w:t>10.1.3. Fixar prazo para que possa haver adequação das propostas ou da documentação de habilitação, conforme o caso.</w:t>
      </w:r>
      <w:r w:rsidRPr="00A915F0">
        <w:rPr>
          <w:rFonts w:ascii="Palatino Linotype" w:hAnsi="Palatino Linotype"/>
        </w:rPr>
        <w:br/>
        <w:t>10.2. As providências dos subitens 10.1.1 e 10.1.2 também poderão ser utilizadas se não houver o comparecimento de quaisquer fornecedores interessados (procedimento deserto).</w:t>
      </w:r>
      <w:r w:rsidRPr="00A915F0">
        <w:rPr>
          <w:rFonts w:ascii="Palatino Linotype" w:hAnsi="Palatino Linotype"/>
        </w:rPr>
        <w:br/>
        <w:t>10.3. Havendo a necessidade de realização de ato de qualquer natureza pelos fornecedores, cujo prazo não conste deste Aviso de Contratação Direta, deverá ser atendido o prazo indicado pelo agente competente da Administração na respectiva notificação.</w:t>
      </w:r>
      <w:r w:rsidRPr="00A915F0">
        <w:rPr>
          <w:rFonts w:ascii="Palatino Linotype" w:hAnsi="Palatino Linotype"/>
        </w:rPr>
        <w:br/>
        <w:t xml:space="preserve">10.4. Caberá ao participante acompanhar as operações, ficando responsável pelo ônus decorrente </w:t>
      </w:r>
      <w:r w:rsidRPr="00A915F0">
        <w:rPr>
          <w:rFonts w:ascii="Palatino Linotype" w:hAnsi="Palatino Linotype"/>
        </w:rPr>
        <w:lastRenderedPageBreak/>
        <w:t>da perda do negócio diante da inobservância de quaisquer mensagens emitidas pela Administração ou de sua desconexão.</w:t>
      </w:r>
      <w:r w:rsidRPr="00A915F0">
        <w:rPr>
          <w:rFonts w:ascii="Palatino Linotype" w:hAnsi="Palatino Linotype"/>
        </w:rPr>
        <w:b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Pr="00A915F0">
        <w:rPr>
          <w:rFonts w:ascii="Palatino Linotype" w:hAnsi="Palatino Linotype"/>
        </w:rPr>
        <w:br/>
        <w:t>10.6. Os horários estabelecidos na divulgação deste procedimento e durante o envio de lances observarão o horário de Brasília-DF, inclusive para contagem de tempo e registro no Sistema e na documentação relativa ao procedimento.</w:t>
      </w:r>
      <w:r w:rsidRPr="00A915F0">
        <w:rPr>
          <w:rFonts w:ascii="Palatino Linotype" w:hAnsi="Palatino Linotype"/>
        </w:rPr>
        <w:b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Pr="00A915F0">
        <w:rPr>
          <w:rFonts w:ascii="Palatino Linotype" w:hAnsi="Palatino Linotype"/>
        </w:rPr>
        <w:b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Pr="00A915F0">
        <w:rPr>
          <w:rFonts w:ascii="Palatino Linotype" w:hAnsi="Palatino Linotype"/>
        </w:rPr>
        <w:br/>
        <w:t>10.9. Os fornecedores assumem todos os custos de preparação e apresentação de suas propostas e a Administração não será, em nenhum caso, responsável por esses custos, independentemente da condução ou do resultado do processo de contratação.</w:t>
      </w:r>
      <w:r w:rsidRPr="00A915F0">
        <w:rPr>
          <w:rFonts w:ascii="Palatino Linotype" w:hAnsi="Palatino Linotype"/>
        </w:rPr>
        <w:br/>
        <w:t>10.10. Em caso de divergência entre disposições deste Aviso de Contratação Direta e de seus anexos ou demais peças que compõem o processo, prevalecerão as deste Aviso.</w:t>
      </w:r>
      <w:r w:rsidRPr="00A915F0">
        <w:rPr>
          <w:rFonts w:ascii="Palatino Linotype" w:hAnsi="Palatino Linotype"/>
        </w:rPr>
        <w:br/>
        <w:t>10.11. Da sessão pública será divulgada Ata no sistema eletrônico.</w:t>
      </w:r>
      <w:r w:rsidRPr="00A915F0">
        <w:rPr>
          <w:rFonts w:ascii="Palatino Linotype" w:hAnsi="Palatino Linotype"/>
        </w:rPr>
        <w:br/>
        <w:t>10.12. Integram este Aviso de Contratação Direta, para todos os fins e efeitos, os seguintes anexos: ANEXO I – Termo de Referência.</w:t>
      </w:r>
      <w:r w:rsidR="004E0F08" w:rsidRPr="00A915F0">
        <w:rPr>
          <w:rFonts w:ascii="Palatino Linotype" w:hAnsi="Palatino Linotype"/>
        </w:rPr>
        <w:t xml:space="preserve">     </w:t>
      </w:r>
      <w:r w:rsidR="004E0F08" w:rsidRPr="00A915F0">
        <w:rPr>
          <w:rFonts w:ascii="Palatino Linotype" w:hAnsi="Palatino Linotype"/>
        </w:rPr>
        <w:tab/>
      </w:r>
      <w:r w:rsidR="004E0F08" w:rsidRPr="00A915F0">
        <w:rPr>
          <w:rFonts w:ascii="Palatino Linotype" w:hAnsi="Palatino Linotype"/>
        </w:rPr>
        <w:tab/>
      </w:r>
      <w:r w:rsidR="004E0F08" w:rsidRPr="00A915F0">
        <w:rPr>
          <w:rFonts w:ascii="Palatino Linotype" w:hAnsi="Palatino Linotype"/>
        </w:rPr>
        <w:tab/>
      </w:r>
    </w:p>
    <w:p w14:paraId="23A4B683" w14:textId="77777777" w:rsidR="00A915F0" w:rsidRPr="00A915F0" w:rsidRDefault="00A915F0" w:rsidP="004E0F08">
      <w:pPr>
        <w:ind w:left="-426"/>
        <w:rPr>
          <w:rFonts w:ascii="Palatino Linotype" w:hAnsi="Palatino Linotype"/>
        </w:rPr>
      </w:pPr>
    </w:p>
    <w:p w14:paraId="7E484AE0" w14:textId="7EA36BAC" w:rsidR="003F1DAC" w:rsidRPr="00A915F0" w:rsidRDefault="003F1DAC" w:rsidP="00A915F0">
      <w:pPr>
        <w:ind w:left="-426"/>
        <w:jc w:val="right"/>
        <w:rPr>
          <w:rFonts w:ascii="Palatino Linotype" w:hAnsi="Palatino Linotype"/>
        </w:rPr>
      </w:pPr>
      <w:r w:rsidRPr="00A915F0">
        <w:rPr>
          <w:rFonts w:ascii="Palatino Linotype" w:hAnsi="Palatino Linotype"/>
        </w:rPr>
        <w:t xml:space="preserve">Natal/RN, </w:t>
      </w:r>
      <w:r w:rsidR="00863AA9" w:rsidRPr="00A915F0">
        <w:rPr>
          <w:rFonts w:ascii="Palatino Linotype" w:hAnsi="Palatino Linotype"/>
        </w:rPr>
        <w:t>12</w:t>
      </w:r>
      <w:r w:rsidRPr="00A915F0">
        <w:rPr>
          <w:rFonts w:ascii="Palatino Linotype" w:hAnsi="Palatino Linotype"/>
        </w:rPr>
        <w:t xml:space="preserve"> de </w:t>
      </w:r>
      <w:proofErr w:type="gramStart"/>
      <w:r w:rsidR="00E02D86">
        <w:rPr>
          <w:rFonts w:ascii="Palatino Linotype" w:hAnsi="Palatino Linotype"/>
        </w:rPr>
        <w:t>Junho</w:t>
      </w:r>
      <w:proofErr w:type="gramEnd"/>
      <w:r w:rsidRPr="00A915F0">
        <w:rPr>
          <w:rFonts w:ascii="Palatino Linotype" w:hAnsi="Palatino Linotype"/>
        </w:rPr>
        <w:t xml:space="preserve"> de </w:t>
      </w:r>
      <w:r w:rsidR="00E41658" w:rsidRPr="00A915F0">
        <w:rPr>
          <w:rFonts w:ascii="Palatino Linotype" w:hAnsi="Palatino Linotype"/>
        </w:rPr>
        <w:t>2026</w:t>
      </w:r>
      <w:r w:rsidRPr="00A915F0">
        <w:rPr>
          <w:rFonts w:ascii="Palatino Linotype" w:hAnsi="Palatino Linotype"/>
        </w:rPr>
        <w:t>.</w:t>
      </w:r>
    </w:p>
    <w:p w14:paraId="30F1CEF7" w14:textId="77777777" w:rsidR="0023514E" w:rsidRPr="0023514E" w:rsidRDefault="003127D8" w:rsidP="0023514E">
      <w:pPr>
        <w:pStyle w:val="textocentralizadomaiusculas"/>
        <w:jc w:val="center"/>
        <w:rPr>
          <w:rFonts w:ascii="Palatino Linotype" w:hAnsi="Palatino Linotype" w:cs="Calibri"/>
          <w:caps/>
          <w:color w:val="000000"/>
          <w:sz w:val="22"/>
          <w:szCs w:val="22"/>
        </w:rPr>
      </w:pPr>
      <w:r w:rsidRPr="00A915F0">
        <w:rPr>
          <w:rFonts w:ascii="Palatino Linotype" w:hAnsi="Palatino Linotype"/>
        </w:rPr>
        <w:br w:type="page"/>
      </w:r>
      <w:r w:rsidR="0023514E" w:rsidRPr="0023514E">
        <w:rPr>
          <w:rFonts w:ascii="Palatino Linotype" w:hAnsi="Palatino Linotype" w:cs="Calibri"/>
          <w:caps/>
          <w:color w:val="000000"/>
          <w:sz w:val="22"/>
          <w:szCs w:val="22"/>
        </w:rPr>
        <w:lastRenderedPageBreak/>
        <w:t>Termo de Referência</w:t>
      </w:r>
    </w:p>
    <w:p w14:paraId="479DB55E"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Processo nº 04110006.000416/2026-65</w:t>
      </w:r>
    </w:p>
    <w:p w14:paraId="0843B69C"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OBJETO</w:t>
      </w:r>
    </w:p>
    <w:p w14:paraId="28C141E2"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Aquisição de etiquetas patrimoniais e impressora padrão destinada ao tombamento de bens móveis desta Junta Comercial do Estado do RN - JUCERN.</w:t>
      </w:r>
    </w:p>
    <w:p w14:paraId="19095252"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JUSTIFICATIVA DA NECESSIDADE DA CONTRATAÇÃO</w:t>
      </w:r>
    </w:p>
    <w:p w14:paraId="15A7D7C0"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 presente documento refere-se à aquisição de uma impressora para etiquetas modelo TSC - TTP-245 e rolo de etiquetas específicas. A proposta de iniciar um processo licitatório tem como objetivo</w:t>
      </w:r>
      <w:r w:rsidRPr="0023514E">
        <w:rPr>
          <w:rFonts w:ascii="Palatino Linotype" w:eastAsia="Times New Roman" w:hAnsi="Palatino Linotype" w:cs="Calibri"/>
          <w:b/>
          <w:bCs/>
          <w:color w:val="000000"/>
          <w:kern w:val="0"/>
          <w:lang w:eastAsia="pt-BR"/>
          <w14:ligatures w14:val="none"/>
        </w:rPr>
        <w:t> </w:t>
      </w:r>
      <w:r w:rsidRPr="0023514E">
        <w:rPr>
          <w:rFonts w:ascii="Palatino Linotype" w:eastAsia="Times New Roman" w:hAnsi="Palatino Linotype" w:cs="Calibri"/>
          <w:color w:val="000000"/>
          <w:kern w:val="0"/>
          <w:lang w:eastAsia="pt-BR"/>
          <w14:ligatures w14:val="none"/>
        </w:rPr>
        <w:t>garantir a conformidade com as normas estabelecidas</w:t>
      </w:r>
      <w:r w:rsidRPr="0023514E">
        <w:rPr>
          <w:rFonts w:ascii="Palatino Linotype" w:eastAsia="Times New Roman" w:hAnsi="Palatino Linotype" w:cs="Calibri"/>
          <w:b/>
          <w:bCs/>
          <w:color w:val="000000"/>
          <w:kern w:val="0"/>
          <w:lang w:eastAsia="pt-BR"/>
          <w14:ligatures w14:val="none"/>
        </w:rPr>
        <w:t> </w:t>
      </w:r>
      <w:r w:rsidRPr="0023514E">
        <w:rPr>
          <w:rFonts w:ascii="Palatino Linotype" w:eastAsia="Times New Roman" w:hAnsi="Palatino Linotype" w:cs="Calibri"/>
          <w:color w:val="000000"/>
          <w:kern w:val="0"/>
          <w:lang w:eastAsia="pt-BR"/>
          <w14:ligatures w14:val="none"/>
        </w:rPr>
        <w:t>pelo GT SIPAC.</w:t>
      </w:r>
      <w:r w:rsidRPr="0023514E">
        <w:rPr>
          <w:rFonts w:ascii="Palatino Linotype" w:eastAsia="Times New Roman" w:hAnsi="Palatino Linotype" w:cs="Calibri"/>
          <w:b/>
          <w:bCs/>
          <w:color w:val="000000"/>
          <w:kern w:val="0"/>
          <w:lang w:eastAsia="pt-BR"/>
          <w14:ligatures w14:val="none"/>
        </w:rPr>
        <w:t> </w:t>
      </w:r>
      <w:r w:rsidRPr="0023514E">
        <w:rPr>
          <w:rFonts w:ascii="Palatino Linotype" w:eastAsia="Times New Roman" w:hAnsi="Palatino Linotype" w:cs="Calibri"/>
          <w:color w:val="000000"/>
          <w:kern w:val="0"/>
          <w:lang w:eastAsia="pt-BR"/>
          <w14:ligatures w14:val="none"/>
        </w:rPr>
        <w:t>A impressora TSC - TTP-245C é adequada para atender às necessidades de impressão de etiquetas com alta precisão e durabilidade, essenciais para a identificação e controle de patrimônio e materiais.</w:t>
      </w:r>
    </w:p>
    <w:p w14:paraId="630CB0EC"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aquisição desses itens deve ser considerada à luz da busca pela economicidade, eficiência e transparência, princípios que norteiam a administração pública e estão previstos no artigo 37 da Constituição Federal, sendo também explicitados na nova legislação de licitações. No contexto da Lei nº 14.133/21, a impressora para etiquetas adotadas e o rolo de etiquetas autoadesivas se enquadram nas categorias de bens e serviços que são necessários para a operação </w:t>
      </w:r>
      <w:r w:rsidRPr="0023514E">
        <w:rPr>
          <w:rFonts w:ascii="Palatino Linotype" w:eastAsia="Times New Roman" w:hAnsi="Palatino Linotype" w:cs="Calibri"/>
          <w:color w:val="000000"/>
          <w:kern w:val="0"/>
          <w:shd w:val="clear" w:color="auto" w:fill="FFFFFF"/>
          <w:lang w:eastAsia="pt-BR"/>
          <w14:ligatures w14:val="none"/>
        </w:rPr>
        <w:t>cotidiana da SEAP</w:t>
      </w:r>
      <w:r w:rsidRPr="0023514E">
        <w:rPr>
          <w:rFonts w:ascii="Palatino Linotype" w:eastAsia="Times New Roman" w:hAnsi="Palatino Linotype" w:cs="Calibri"/>
          <w:color w:val="000000"/>
          <w:kern w:val="0"/>
          <w:lang w:eastAsia="pt-BR"/>
          <w14:ligatures w14:val="none"/>
        </w:rPr>
        <w:t>, sem os quais seria impossível garantir a regulamentação e o controle de patrimônio e materiais sob a posse da Secretária de Administração Penitenciária - SEAP.</w:t>
      </w:r>
    </w:p>
    <w:p w14:paraId="78EC3535"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Trata-se de justificativa acerca da necessidade de contratação, mediante dispensa eletrônica, com fulcro no artigo 75, Inciso II, da Lei Federal nº 14.133/21, da aquisição da impressora para etiquetas modelo TSC - TTP-245C e etiquetas autoadesivas, visando padronizar e trazer eficácia aos processos administrativos.</w:t>
      </w:r>
    </w:p>
    <w:p w14:paraId="18C22C8A"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presente solicitação tem por finalidade a contratação de empresa especializada para o fornecimento de etiquetas patrimoniais e impressora padrão destinada ao tombamento de bens móveis deste órgão.</w:t>
      </w:r>
    </w:p>
    <w:p w14:paraId="6C336E64"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aquisição justifica-se pela necessidade de adequação às diretrizes estabelecidas no </w:t>
      </w:r>
      <w:r w:rsidRPr="0023514E">
        <w:rPr>
          <w:rFonts w:ascii="Palatino Linotype" w:eastAsia="Times New Roman" w:hAnsi="Palatino Linotype" w:cs="Calibri"/>
          <w:b/>
          <w:bCs/>
          <w:color w:val="000000"/>
          <w:kern w:val="0"/>
          <w:lang w:eastAsia="pt-BR"/>
          <w14:ligatures w14:val="none"/>
        </w:rPr>
        <w:t>Manual de Gestão Patrimonial de Bens Móveis – 1ª edição</w:t>
      </w:r>
      <w:r w:rsidRPr="0023514E">
        <w:rPr>
          <w:rFonts w:ascii="Palatino Linotype" w:eastAsia="Times New Roman" w:hAnsi="Palatino Linotype" w:cs="Calibri"/>
          <w:color w:val="000000"/>
          <w:kern w:val="0"/>
          <w:lang w:eastAsia="pt-BR"/>
          <w14:ligatures w14:val="none"/>
        </w:rPr>
        <w:t>, confeccionado pela Secretaria de Estado de Administração (SEAD), o qual determina que cada órgão deverá providenciar a aquisição de etiquetas e impressora padrão para identificação e controle de seus bens patrimoniais.</w:t>
      </w:r>
    </w:p>
    <w:p w14:paraId="0C1EDE61"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 xml:space="preserve">O tombamento adequado dos bens móveis é </w:t>
      </w:r>
      <w:proofErr w:type="gramStart"/>
      <w:r w:rsidRPr="0023514E">
        <w:rPr>
          <w:rFonts w:ascii="Palatino Linotype" w:eastAsia="Times New Roman" w:hAnsi="Palatino Linotype" w:cs="Calibri"/>
          <w:color w:val="000000"/>
          <w:kern w:val="0"/>
          <w:lang w:eastAsia="pt-BR"/>
          <w14:ligatures w14:val="none"/>
        </w:rPr>
        <w:t>medida</w:t>
      </w:r>
      <w:proofErr w:type="gramEnd"/>
      <w:r w:rsidRPr="0023514E">
        <w:rPr>
          <w:rFonts w:ascii="Palatino Linotype" w:eastAsia="Times New Roman" w:hAnsi="Palatino Linotype" w:cs="Calibri"/>
          <w:color w:val="000000"/>
          <w:kern w:val="0"/>
          <w:lang w:eastAsia="pt-BR"/>
          <w14:ligatures w14:val="none"/>
        </w:rPr>
        <w:t xml:space="preserve"> indispensável para assegurar a correta identificação, rastreabilidade, controle, inventário e gestão do patrimônio público, promovendo maior transparência, organização e conformidade com as normas vigentes. A padronização das etiquetas e do equipamento de impressão garante uniformidade na identificação dos bens, maior durabilidade das marcações, redução de extravios e maior eficiência nos processos de fiscalização e auditoria.</w:t>
      </w:r>
    </w:p>
    <w:p w14:paraId="1745E005"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Ressalta-se que a ausência desses materiais compromete a regularização patrimonial do órgão, podendo gerar inconsistências nos registros, dificuldades na conferência física dos bens e riscos de responsabilização administrativa.</w:t>
      </w:r>
    </w:p>
    <w:p w14:paraId="6EAFDCCE"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lastRenderedPageBreak/>
        <w:t>Dessa forma, a contratação pretendida é medida necessária e essencial para o cumprimento das normas estabelecidas pela SEAD, bem como para o adequado gerenciamento e salvaguarda do patrimônio público sob responsabilidade deste órgão</w:t>
      </w:r>
    </w:p>
    <w:p w14:paraId="6BB6C57E"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DESCRIÇÃO DETALHADA DO OBJETO</w:t>
      </w:r>
    </w:p>
    <w:tbl>
      <w:tblPr>
        <w:tblW w:w="10180" w:type="dxa"/>
        <w:tblInd w:w="-413" w:type="dxa"/>
        <w:tblCellMar>
          <w:top w:w="15" w:type="dxa"/>
          <w:left w:w="15" w:type="dxa"/>
          <w:bottom w:w="15" w:type="dxa"/>
          <w:right w:w="15" w:type="dxa"/>
        </w:tblCellMar>
        <w:tblLook w:val="04A0" w:firstRow="1" w:lastRow="0" w:firstColumn="1" w:lastColumn="0" w:noHBand="0" w:noVBand="1"/>
      </w:tblPr>
      <w:tblGrid>
        <w:gridCol w:w="971"/>
        <w:gridCol w:w="3455"/>
        <w:gridCol w:w="1426"/>
        <w:gridCol w:w="1648"/>
        <w:gridCol w:w="1298"/>
        <w:gridCol w:w="1382"/>
      </w:tblGrid>
      <w:tr w:rsidR="0023514E" w:rsidRPr="0023514E" w14:paraId="488FB1CB" w14:textId="77777777" w:rsidTr="002250B7">
        <w:tc>
          <w:tcPr>
            <w:tcW w:w="971"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5DC359F3" w14:textId="77777777" w:rsidR="0023514E" w:rsidRPr="0023514E" w:rsidRDefault="0023514E" w:rsidP="0023514E">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b/>
                <w:bCs/>
                <w:color w:val="000000"/>
                <w:kern w:val="0"/>
                <w:lang w:eastAsia="pt-BR"/>
                <w14:ligatures w14:val="none"/>
              </w:rPr>
              <w:t>Item</w:t>
            </w:r>
          </w:p>
        </w:tc>
        <w:tc>
          <w:tcPr>
            <w:tcW w:w="3455" w:type="dxa"/>
            <w:tcBorders>
              <w:top w:val="nil"/>
              <w:left w:val="nil"/>
              <w:bottom w:val="single" w:sz="6" w:space="0" w:color="auto"/>
              <w:right w:val="single" w:sz="6" w:space="0" w:color="auto"/>
            </w:tcBorders>
            <w:tcMar>
              <w:top w:w="105" w:type="dxa"/>
              <w:left w:w="105" w:type="dxa"/>
              <w:bottom w:w="105" w:type="dxa"/>
              <w:right w:w="105" w:type="dxa"/>
            </w:tcMar>
            <w:hideMark/>
          </w:tcPr>
          <w:p w14:paraId="2A5E9DC3" w14:textId="77777777" w:rsidR="0023514E" w:rsidRPr="0023514E" w:rsidRDefault="0023514E" w:rsidP="0023514E">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b/>
                <w:bCs/>
                <w:color w:val="000000"/>
                <w:kern w:val="0"/>
                <w:lang w:eastAsia="pt-BR"/>
                <w14:ligatures w14:val="none"/>
              </w:rPr>
              <w:t>Especificação</w:t>
            </w:r>
          </w:p>
        </w:tc>
        <w:tc>
          <w:tcPr>
            <w:tcW w:w="1426" w:type="dxa"/>
            <w:tcBorders>
              <w:top w:val="nil"/>
              <w:left w:val="nil"/>
              <w:bottom w:val="single" w:sz="6" w:space="0" w:color="auto"/>
              <w:right w:val="single" w:sz="6" w:space="0" w:color="auto"/>
            </w:tcBorders>
            <w:tcMar>
              <w:top w:w="105" w:type="dxa"/>
              <w:left w:w="105" w:type="dxa"/>
              <w:bottom w:w="105" w:type="dxa"/>
              <w:right w:w="105" w:type="dxa"/>
            </w:tcMar>
            <w:hideMark/>
          </w:tcPr>
          <w:p w14:paraId="0AD71D8E" w14:textId="77777777" w:rsidR="0023514E" w:rsidRPr="0023514E" w:rsidRDefault="0023514E" w:rsidP="0023514E">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b/>
                <w:bCs/>
                <w:color w:val="000000"/>
                <w:kern w:val="0"/>
                <w:lang w:eastAsia="pt-BR"/>
                <w14:ligatures w14:val="none"/>
              </w:rPr>
              <w:t>Unidade de Medida</w:t>
            </w:r>
          </w:p>
        </w:tc>
        <w:tc>
          <w:tcPr>
            <w:tcW w:w="1648" w:type="dxa"/>
            <w:tcBorders>
              <w:top w:val="nil"/>
              <w:left w:val="nil"/>
              <w:bottom w:val="single" w:sz="6" w:space="0" w:color="auto"/>
              <w:right w:val="single" w:sz="6" w:space="0" w:color="auto"/>
            </w:tcBorders>
            <w:tcMar>
              <w:top w:w="105" w:type="dxa"/>
              <w:left w:w="105" w:type="dxa"/>
              <w:bottom w:w="105" w:type="dxa"/>
              <w:right w:w="105" w:type="dxa"/>
            </w:tcMar>
            <w:hideMark/>
          </w:tcPr>
          <w:p w14:paraId="799590A5" w14:textId="77777777" w:rsidR="0023514E" w:rsidRPr="0023514E" w:rsidRDefault="0023514E" w:rsidP="0023514E">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b/>
                <w:bCs/>
                <w:color w:val="000000"/>
                <w:kern w:val="0"/>
                <w:lang w:eastAsia="pt-BR"/>
                <w14:ligatures w14:val="none"/>
              </w:rPr>
              <w:t>Quantidade</w:t>
            </w:r>
          </w:p>
        </w:tc>
        <w:tc>
          <w:tcPr>
            <w:tcW w:w="1298" w:type="dxa"/>
            <w:tcBorders>
              <w:top w:val="nil"/>
              <w:left w:val="nil"/>
              <w:bottom w:val="single" w:sz="6" w:space="0" w:color="auto"/>
              <w:right w:val="single" w:sz="6" w:space="0" w:color="auto"/>
            </w:tcBorders>
            <w:tcMar>
              <w:top w:w="105" w:type="dxa"/>
              <w:left w:w="105" w:type="dxa"/>
              <w:bottom w:w="105" w:type="dxa"/>
              <w:right w:w="105" w:type="dxa"/>
            </w:tcMar>
            <w:hideMark/>
          </w:tcPr>
          <w:p w14:paraId="79DB15C1" w14:textId="77777777" w:rsidR="0023514E" w:rsidRPr="0023514E" w:rsidRDefault="0023514E" w:rsidP="0023514E">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b/>
                <w:bCs/>
                <w:color w:val="000000"/>
                <w:kern w:val="0"/>
                <w:lang w:eastAsia="pt-BR"/>
                <w14:ligatures w14:val="none"/>
              </w:rPr>
              <w:t>Valor Unitário</w:t>
            </w:r>
          </w:p>
        </w:tc>
        <w:tc>
          <w:tcPr>
            <w:tcW w:w="1382" w:type="dxa"/>
            <w:tcBorders>
              <w:top w:val="nil"/>
              <w:left w:val="nil"/>
              <w:bottom w:val="single" w:sz="6" w:space="0" w:color="auto"/>
              <w:right w:val="single" w:sz="6" w:space="0" w:color="auto"/>
            </w:tcBorders>
            <w:tcMar>
              <w:top w:w="105" w:type="dxa"/>
              <w:left w:w="105" w:type="dxa"/>
              <w:bottom w:w="105" w:type="dxa"/>
              <w:right w:w="105" w:type="dxa"/>
            </w:tcMar>
            <w:hideMark/>
          </w:tcPr>
          <w:p w14:paraId="64DE8B37" w14:textId="77777777" w:rsidR="0023514E" w:rsidRPr="0023514E" w:rsidRDefault="0023514E" w:rsidP="0023514E">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b/>
                <w:bCs/>
                <w:color w:val="000000"/>
                <w:kern w:val="0"/>
                <w:lang w:eastAsia="pt-BR"/>
                <w14:ligatures w14:val="none"/>
              </w:rPr>
              <w:t>Valor Total</w:t>
            </w:r>
          </w:p>
        </w:tc>
      </w:tr>
      <w:tr w:rsidR="0023514E" w:rsidRPr="0023514E" w14:paraId="364D86F3" w14:textId="77777777" w:rsidTr="002250B7">
        <w:tc>
          <w:tcPr>
            <w:tcW w:w="971"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4BA49967"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b/>
                <w:bCs/>
                <w:color w:val="000000"/>
                <w:kern w:val="0"/>
                <w:lang w:eastAsia="pt-BR"/>
                <w14:ligatures w14:val="none"/>
              </w:rPr>
              <w:t>1</w:t>
            </w:r>
          </w:p>
        </w:tc>
        <w:tc>
          <w:tcPr>
            <w:tcW w:w="3455" w:type="dxa"/>
            <w:tcBorders>
              <w:top w:val="nil"/>
              <w:left w:val="nil"/>
              <w:bottom w:val="single" w:sz="6" w:space="0" w:color="auto"/>
              <w:right w:val="single" w:sz="6" w:space="0" w:color="auto"/>
            </w:tcBorders>
            <w:tcMar>
              <w:top w:w="105" w:type="dxa"/>
              <w:left w:w="105" w:type="dxa"/>
              <w:bottom w:w="105" w:type="dxa"/>
              <w:right w:w="105" w:type="dxa"/>
            </w:tcMar>
            <w:hideMark/>
          </w:tcPr>
          <w:p w14:paraId="049DEA66"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Impressora TSC - TTP - 245C.</w:t>
            </w:r>
          </w:p>
        </w:tc>
        <w:tc>
          <w:tcPr>
            <w:tcW w:w="1426" w:type="dxa"/>
            <w:tcBorders>
              <w:top w:val="nil"/>
              <w:left w:val="nil"/>
              <w:bottom w:val="single" w:sz="6" w:space="0" w:color="auto"/>
              <w:right w:val="single" w:sz="6" w:space="0" w:color="auto"/>
            </w:tcBorders>
            <w:tcMar>
              <w:top w:w="105" w:type="dxa"/>
              <w:left w:w="105" w:type="dxa"/>
              <w:bottom w:w="105" w:type="dxa"/>
              <w:right w:w="105" w:type="dxa"/>
            </w:tcMar>
            <w:hideMark/>
          </w:tcPr>
          <w:p w14:paraId="393606B3"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UND</w:t>
            </w:r>
          </w:p>
        </w:tc>
        <w:tc>
          <w:tcPr>
            <w:tcW w:w="1648" w:type="dxa"/>
            <w:tcBorders>
              <w:top w:val="nil"/>
              <w:left w:val="nil"/>
              <w:bottom w:val="single" w:sz="6" w:space="0" w:color="auto"/>
              <w:right w:val="single" w:sz="6" w:space="0" w:color="auto"/>
            </w:tcBorders>
            <w:tcMar>
              <w:top w:w="105" w:type="dxa"/>
              <w:left w:w="105" w:type="dxa"/>
              <w:bottom w:w="105" w:type="dxa"/>
              <w:right w:w="105" w:type="dxa"/>
            </w:tcMar>
            <w:hideMark/>
          </w:tcPr>
          <w:p w14:paraId="68ABCAFB"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01</w:t>
            </w:r>
          </w:p>
        </w:tc>
        <w:tc>
          <w:tcPr>
            <w:tcW w:w="1298" w:type="dxa"/>
            <w:tcBorders>
              <w:top w:val="nil"/>
              <w:left w:val="nil"/>
              <w:bottom w:val="single" w:sz="6" w:space="0" w:color="auto"/>
              <w:right w:val="single" w:sz="6" w:space="0" w:color="auto"/>
            </w:tcBorders>
            <w:tcMar>
              <w:top w:w="105" w:type="dxa"/>
              <w:left w:w="105" w:type="dxa"/>
              <w:bottom w:w="105" w:type="dxa"/>
              <w:right w:w="105" w:type="dxa"/>
            </w:tcMar>
            <w:hideMark/>
          </w:tcPr>
          <w:p w14:paraId="2196E3BD"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R$ 2.191,09</w:t>
            </w:r>
          </w:p>
        </w:tc>
        <w:tc>
          <w:tcPr>
            <w:tcW w:w="1382" w:type="dxa"/>
            <w:tcBorders>
              <w:top w:val="nil"/>
              <w:left w:val="nil"/>
              <w:bottom w:val="single" w:sz="6" w:space="0" w:color="auto"/>
              <w:right w:val="single" w:sz="6" w:space="0" w:color="auto"/>
            </w:tcBorders>
            <w:tcMar>
              <w:top w:w="105" w:type="dxa"/>
              <w:left w:w="105" w:type="dxa"/>
              <w:bottom w:w="105" w:type="dxa"/>
              <w:right w:w="105" w:type="dxa"/>
            </w:tcMar>
            <w:hideMark/>
          </w:tcPr>
          <w:p w14:paraId="34AB9A5C"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R$ 2.191,09</w:t>
            </w:r>
          </w:p>
        </w:tc>
      </w:tr>
      <w:tr w:rsidR="0023514E" w:rsidRPr="0023514E" w14:paraId="48C36F96" w14:textId="77777777" w:rsidTr="002250B7">
        <w:tc>
          <w:tcPr>
            <w:tcW w:w="971"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573EF5B6"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b/>
                <w:bCs/>
                <w:color w:val="000000"/>
                <w:kern w:val="0"/>
                <w:lang w:eastAsia="pt-BR"/>
                <w14:ligatures w14:val="none"/>
              </w:rPr>
              <w:t>2</w:t>
            </w:r>
          </w:p>
        </w:tc>
        <w:tc>
          <w:tcPr>
            <w:tcW w:w="3455" w:type="dxa"/>
            <w:tcBorders>
              <w:top w:val="nil"/>
              <w:left w:val="nil"/>
              <w:bottom w:val="single" w:sz="6" w:space="0" w:color="auto"/>
              <w:right w:val="single" w:sz="6" w:space="0" w:color="auto"/>
            </w:tcBorders>
            <w:tcMar>
              <w:top w:w="105" w:type="dxa"/>
              <w:left w:w="105" w:type="dxa"/>
              <w:bottom w:w="105" w:type="dxa"/>
              <w:right w:w="105" w:type="dxa"/>
            </w:tcMar>
            <w:hideMark/>
          </w:tcPr>
          <w:p w14:paraId="2565345D"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 xml:space="preserve">Etiqueta autoadesiva, com acrílico permanente, produzida em poliéster prata cromo fosco, com dimensões 45x20x1 mm, </w:t>
            </w:r>
            <w:proofErr w:type="spellStart"/>
            <w:r w:rsidRPr="0023514E">
              <w:rPr>
                <w:rFonts w:ascii="Palatino Linotype" w:eastAsia="Times New Roman" w:hAnsi="Palatino Linotype" w:cs="Calibri"/>
                <w:color w:val="000000"/>
                <w:kern w:val="0"/>
                <w:lang w:eastAsia="pt-BR"/>
                <w14:ligatures w14:val="none"/>
              </w:rPr>
              <w:t>ribbon</w:t>
            </w:r>
            <w:proofErr w:type="spellEnd"/>
            <w:r w:rsidRPr="0023514E">
              <w:rPr>
                <w:rFonts w:ascii="Palatino Linotype" w:eastAsia="Times New Roman" w:hAnsi="Palatino Linotype" w:cs="Calibri"/>
                <w:color w:val="000000"/>
                <w:kern w:val="0"/>
                <w:lang w:eastAsia="pt-BR"/>
                <w14:ligatures w14:val="none"/>
              </w:rPr>
              <w:t xml:space="preserve"> resina.</w:t>
            </w:r>
          </w:p>
        </w:tc>
        <w:tc>
          <w:tcPr>
            <w:tcW w:w="1426" w:type="dxa"/>
            <w:tcBorders>
              <w:top w:val="nil"/>
              <w:left w:val="nil"/>
              <w:bottom w:val="single" w:sz="6" w:space="0" w:color="auto"/>
              <w:right w:val="single" w:sz="6" w:space="0" w:color="auto"/>
            </w:tcBorders>
            <w:tcMar>
              <w:top w:w="105" w:type="dxa"/>
              <w:left w:w="105" w:type="dxa"/>
              <w:bottom w:w="105" w:type="dxa"/>
              <w:right w:w="105" w:type="dxa"/>
            </w:tcMar>
            <w:hideMark/>
          </w:tcPr>
          <w:p w14:paraId="3696A72E"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 </w:t>
            </w:r>
          </w:p>
          <w:p w14:paraId="4C986FEB"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ROLO</w:t>
            </w:r>
          </w:p>
          <w:p w14:paraId="0F0A6CE8"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(Com 1.000 unidades)</w:t>
            </w:r>
          </w:p>
        </w:tc>
        <w:tc>
          <w:tcPr>
            <w:tcW w:w="1648" w:type="dxa"/>
            <w:tcBorders>
              <w:top w:val="nil"/>
              <w:left w:val="nil"/>
              <w:bottom w:val="single" w:sz="6" w:space="0" w:color="auto"/>
              <w:right w:val="single" w:sz="6" w:space="0" w:color="auto"/>
            </w:tcBorders>
            <w:tcMar>
              <w:top w:w="105" w:type="dxa"/>
              <w:left w:w="105" w:type="dxa"/>
              <w:bottom w:w="105" w:type="dxa"/>
              <w:right w:w="105" w:type="dxa"/>
            </w:tcMar>
            <w:hideMark/>
          </w:tcPr>
          <w:p w14:paraId="1E00AE4A"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03</w:t>
            </w:r>
          </w:p>
        </w:tc>
        <w:tc>
          <w:tcPr>
            <w:tcW w:w="1298" w:type="dxa"/>
            <w:tcBorders>
              <w:top w:val="nil"/>
              <w:left w:val="nil"/>
              <w:bottom w:val="single" w:sz="6" w:space="0" w:color="auto"/>
              <w:right w:val="single" w:sz="6" w:space="0" w:color="auto"/>
            </w:tcBorders>
            <w:tcMar>
              <w:top w:w="105" w:type="dxa"/>
              <w:left w:w="105" w:type="dxa"/>
              <w:bottom w:w="105" w:type="dxa"/>
              <w:right w:w="105" w:type="dxa"/>
            </w:tcMar>
            <w:hideMark/>
          </w:tcPr>
          <w:p w14:paraId="1B2B1497"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R$ 174,73</w:t>
            </w:r>
          </w:p>
        </w:tc>
        <w:tc>
          <w:tcPr>
            <w:tcW w:w="1382" w:type="dxa"/>
            <w:tcBorders>
              <w:top w:val="nil"/>
              <w:left w:val="nil"/>
              <w:bottom w:val="single" w:sz="6" w:space="0" w:color="auto"/>
              <w:right w:val="single" w:sz="6" w:space="0" w:color="auto"/>
            </w:tcBorders>
            <w:tcMar>
              <w:top w:w="105" w:type="dxa"/>
              <w:left w:w="105" w:type="dxa"/>
              <w:bottom w:w="105" w:type="dxa"/>
              <w:right w:w="105" w:type="dxa"/>
            </w:tcMar>
            <w:hideMark/>
          </w:tcPr>
          <w:p w14:paraId="5EC1B82D"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R$ 524,19</w:t>
            </w:r>
          </w:p>
        </w:tc>
      </w:tr>
      <w:tr w:rsidR="0023514E" w:rsidRPr="0023514E" w14:paraId="1119CA09" w14:textId="77777777" w:rsidTr="002250B7">
        <w:tc>
          <w:tcPr>
            <w:tcW w:w="971"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0C9CB426"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3</w:t>
            </w:r>
          </w:p>
        </w:tc>
        <w:tc>
          <w:tcPr>
            <w:tcW w:w="3455" w:type="dxa"/>
            <w:tcBorders>
              <w:top w:val="nil"/>
              <w:left w:val="nil"/>
              <w:bottom w:val="single" w:sz="6" w:space="0" w:color="auto"/>
              <w:right w:val="single" w:sz="6" w:space="0" w:color="auto"/>
            </w:tcBorders>
            <w:tcMar>
              <w:top w:w="105" w:type="dxa"/>
              <w:left w:w="105" w:type="dxa"/>
              <w:bottom w:w="105" w:type="dxa"/>
              <w:right w:w="105" w:type="dxa"/>
            </w:tcMar>
            <w:hideMark/>
          </w:tcPr>
          <w:p w14:paraId="72B7C36F"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proofErr w:type="spellStart"/>
            <w:r w:rsidRPr="0023514E">
              <w:rPr>
                <w:rFonts w:ascii="Palatino Linotype" w:eastAsia="Times New Roman" w:hAnsi="Palatino Linotype" w:cs="Calibri"/>
                <w:color w:val="000000"/>
                <w:kern w:val="0"/>
                <w:lang w:eastAsia="pt-BR"/>
                <w14:ligatures w14:val="none"/>
              </w:rPr>
              <w:t>Ribbon</w:t>
            </w:r>
            <w:proofErr w:type="spellEnd"/>
            <w:r w:rsidRPr="0023514E">
              <w:rPr>
                <w:rFonts w:ascii="Palatino Linotype" w:eastAsia="Times New Roman" w:hAnsi="Palatino Linotype" w:cs="Calibri"/>
                <w:color w:val="000000"/>
                <w:kern w:val="0"/>
                <w:lang w:eastAsia="pt-BR"/>
                <w14:ligatures w14:val="none"/>
              </w:rPr>
              <w:t xml:space="preserve"> Resina 110mm x 74m</w:t>
            </w:r>
          </w:p>
        </w:tc>
        <w:tc>
          <w:tcPr>
            <w:tcW w:w="1426" w:type="dxa"/>
            <w:tcBorders>
              <w:top w:val="nil"/>
              <w:left w:val="nil"/>
              <w:bottom w:val="single" w:sz="6" w:space="0" w:color="auto"/>
              <w:right w:val="single" w:sz="6" w:space="0" w:color="auto"/>
            </w:tcBorders>
            <w:tcMar>
              <w:top w:w="105" w:type="dxa"/>
              <w:left w:w="105" w:type="dxa"/>
              <w:bottom w:w="105" w:type="dxa"/>
              <w:right w:w="105" w:type="dxa"/>
            </w:tcMar>
            <w:hideMark/>
          </w:tcPr>
          <w:p w14:paraId="0ED16AEB"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UND</w:t>
            </w:r>
          </w:p>
        </w:tc>
        <w:tc>
          <w:tcPr>
            <w:tcW w:w="1648" w:type="dxa"/>
            <w:tcBorders>
              <w:top w:val="nil"/>
              <w:left w:val="nil"/>
              <w:bottom w:val="single" w:sz="6" w:space="0" w:color="auto"/>
              <w:right w:val="single" w:sz="6" w:space="0" w:color="auto"/>
            </w:tcBorders>
            <w:tcMar>
              <w:top w:w="105" w:type="dxa"/>
              <w:left w:w="105" w:type="dxa"/>
              <w:bottom w:w="105" w:type="dxa"/>
              <w:right w:w="105" w:type="dxa"/>
            </w:tcMar>
            <w:hideMark/>
          </w:tcPr>
          <w:p w14:paraId="12FF7AF0"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05</w:t>
            </w:r>
          </w:p>
        </w:tc>
        <w:tc>
          <w:tcPr>
            <w:tcW w:w="1298" w:type="dxa"/>
            <w:tcBorders>
              <w:top w:val="nil"/>
              <w:left w:val="nil"/>
              <w:bottom w:val="single" w:sz="6" w:space="0" w:color="auto"/>
              <w:right w:val="single" w:sz="6" w:space="0" w:color="auto"/>
            </w:tcBorders>
            <w:tcMar>
              <w:top w:w="105" w:type="dxa"/>
              <w:left w:w="105" w:type="dxa"/>
              <w:bottom w:w="105" w:type="dxa"/>
              <w:right w:w="105" w:type="dxa"/>
            </w:tcMar>
            <w:hideMark/>
          </w:tcPr>
          <w:p w14:paraId="6E1BFA30"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R$ 49,25</w:t>
            </w:r>
          </w:p>
        </w:tc>
        <w:tc>
          <w:tcPr>
            <w:tcW w:w="1382" w:type="dxa"/>
            <w:tcBorders>
              <w:top w:val="nil"/>
              <w:left w:val="nil"/>
              <w:bottom w:val="single" w:sz="6" w:space="0" w:color="auto"/>
              <w:right w:val="single" w:sz="6" w:space="0" w:color="auto"/>
            </w:tcBorders>
            <w:tcMar>
              <w:top w:w="105" w:type="dxa"/>
              <w:left w:w="105" w:type="dxa"/>
              <w:bottom w:w="105" w:type="dxa"/>
              <w:right w:w="105" w:type="dxa"/>
            </w:tcMar>
            <w:hideMark/>
          </w:tcPr>
          <w:p w14:paraId="4259FBB3"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R$ 246,25</w:t>
            </w:r>
          </w:p>
        </w:tc>
      </w:tr>
      <w:tr w:rsidR="0023514E" w:rsidRPr="0023514E" w14:paraId="6E7B66AD" w14:textId="77777777" w:rsidTr="002250B7">
        <w:tc>
          <w:tcPr>
            <w:tcW w:w="8798" w:type="dxa"/>
            <w:gridSpan w:val="5"/>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2568841A"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TOTAL:</w:t>
            </w:r>
          </w:p>
        </w:tc>
        <w:tc>
          <w:tcPr>
            <w:tcW w:w="1382" w:type="dxa"/>
            <w:tcBorders>
              <w:top w:val="nil"/>
              <w:left w:val="nil"/>
              <w:bottom w:val="single" w:sz="6" w:space="0" w:color="auto"/>
              <w:right w:val="single" w:sz="6" w:space="0" w:color="auto"/>
            </w:tcBorders>
            <w:tcMar>
              <w:top w:w="105" w:type="dxa"/>
              <w:left w:w="105" w:type="dxa"/>
              <w:bottom w:w="105" w:type="dxa"/>
              <w:right w:w="105" w:type="dxa"/>
            </w:tcMar>
            <w:hideMark/>
          </w:tcPr>
          <w:p w14:paraId="35A0A234" w14:textId="77777777" w:rsidR="0023514E" w:rsidRPr="0023514E" w:rsidRDefault="0023514E" w:rsidP="002250B7">
            <w:pPr>
              <w:spacing w:after="0" w:line="240" w:lineRule="auto"/>
              <w:ind w:left="120" w:right="120"/>
              <w:jc w:val="center"/>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R$ 2.961,53</w:t>
            </w:r>
          </w:p>
        </w:tc>
      </w:tr>
    </w:tbl>
    <w:p w14:paraId="0F1EE71F"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DISPONIBILIDADE ORÇAMENTÁRIA</w:t>
      </w:r>
    </w:p>
    <w:p w14:paraId="2F9555DF"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 xml:space="preserve">A despesa classifica-se em 20205.23.691.4008.150001.0002 – Promoção e Participação no Desenvolvimento Econômico e Territorial do </w:t>
      </w:r>
      <w:proofErr w:type="gramStart"/>
      <w:r w:rsidRPr="0023514E">
        <w:rPr>
          <w:rFonts w:ascii="Palatino Linotype" w:eastAsia="Times New Roman" w:hAnsi="Palatino Linotype" w:cs="Calibri"/>
          <w:color w:val="000000"/>
          <w:kern w:val="0"/>
          <w:lang w:eastAsia="pt-BR"/>
          <w14:ligatures w14:val="none"/>
        </w:rPr>
        <w:t>RN ,</w:t>
      </w:r>
      <w:proofErr w:type="gramEnd"/>
      <w:r w:rsidRPr="0023514E">
        <w:rPr>
          <w:rFonts w:ascii="Palatino Linotype" w:eastAsia="Times New Roman" w:hAnsi="Palatino Linotype" w:cs="Calibri"/>
          <w:color w:val="000000"/>
          <w:kern w:val="0"/>
          <w:lang w:eastAsia="pt-BR"/>
          <w14:ligatures w14:val="none"/>
        </w:rPr>
        <w:t xml:space="preserve"> Elemento 44.90.52 – Equipamentos e Material Permanente, Subelemento 36 – Máquinas, Instalações e </w:t>
      </w:r>
      <w:proofErr w:type="spellStart"/>
      <w:r w:rsidRPr="0023514E">
        <w:rPr>
          <w:rFonts w:ascii="Palatino Linotype" w:eastAsia="Times New Roman" w:hAnsi="Palatino Linotype" w:cs="Calibri"/>
          <w:color w:val="000000"/>
          <w:kern w:val="0"/>
          <w:lang w:eastAsia="pt-BR"/>
          <w14:ligatures w14:val="none"/>
        </w:rPr>
        <w:t>Utens</w:t>
      </w:r>
      <w:proofErr w:type="spellEnd"/>
      <w:r w:rsidRPr="0023514E">
        <w:rPr>
          <w:rFonts w:ascii="Palatino Linotype" w:eastAsia="Times New Roman" w:hAnsi="Palatino Linotype" w:cs="Calibri"/>
          <w:color w:val="000000"/>
          <w:kern w:val="0"/>
          <w:lang w:eastAsia="pt-BR"/>
          <w14:ligatures w14:val="none"/>
        </w:rPr>
        <w:t>. Escritório, na Fonte 4.5.01.000000 – Outros Recursos não vinculados - SF (Superávit financeiro).</w:t>
      </w:r>
    </w:p>
    <w:p w14:paraId="0F0C1C0A"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RECEBIMENTO DO OBJETO</w:t>
      </w:r>
    </w:p>
    <w:p w14:paraId="5E9C5ECF"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 prazo para fornecimento dos equipamentos é de 30 (trinta) dias corridos, contados recebimento da nota de empenho.</w:t>
      </w:r>
    </w:p>
    <w:p w14:paraId="2FEE075D"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entrega dos materiais deverá ser realizada na sede da Junta Comercial do Estado do Rio Grande do Norte - JUCERN, localizado na Avenida Duque de Caxias, nº 214, Bairro Ribeira- Natal/RN, CEP 49.081-000;</w:t>
      </w:r>
    </w:p>
    <w:p w14:paraId="599D3E4B"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 horário de entrega deste equipamento será de segunda a sexta-feira, das 08h às 14h;</w:t>
      </w:r>
    </w:p>
    <w:p w14:paraId="006BB657"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Os equipamentos deverão ser entregues embalados adequadamente, não sendo aceito equipamentos com caixa violada;</w:t>
      </w:r>
    </w:p>
    <w:p w14:paraId="3F3EDB15"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Os equipamentos deverão ser novos e de primeiro uso e deverá ser entregue em perfeito estado de funcionamento, sem marcas e avarias.</w:t>
      </w:r>
    </w:p>
    <w:p w14:paraId="6967864D"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Caso a qualidade do equipamento entregue não correspondam ao solicitado, estive fora das especificações ou apresentarem defeitos durante ou imediatamente após a instalação, a remessa será colocada à disposição da CONTRATADA para que, no prazo máximo de 5 (cinco) dias úteis, faça a devida substituição, sem ônus para a CONTRATANTE;</w:t>
      </w:r>
    </w:p>
    <w:p w14:paraId="43981CD4"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lastRenderedPageBreak/>
        <w:t>Constatada a ocorrência prevista neste item, após a notificação por escrito à CONTRATADA, serão interrompidos os prazos de recebimento e suspenso o pagamento, até que sanada a situação;</w:t>
      </w:r>
    </w:p>
    <w:p w14:paraId="3D96B739"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Após o recebimento provisório do objeto, em um prazo máximo de 05 (cinco) dias úteis será verificada pela Coordenadoria de Administração da Junta Comercial do Estado do Rio Grande do Norte a conformidade dos equipamentos fornecidos com as especificações contidas neste Termo e a qualidade dos produtos, por meio de testes sumários de uso;</w:t>
      </w:r>
    </w:p>
    <w:p w14:paraId="59FFE71D"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Caso seja verificada qualquer incompatibilidade ou irregularidade, o equipamento deverá ser substituído, por conta e ônus da Contratada, em no máximo 5 (cinco) dias úteis, não considerados como prorrogação do prazo de entrega.</w:t>
      </w:r>
    </w:p>
    <w:p w14:paraId="49522278"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Esse processo de verificação de compatibilidade e regularidade será também aplicado ao equipamento encaminhado pela CONTRATADA em substituição ao rejeitado, sendo o objeto da licitação definitivamente recebido e aceito somente após o cumprimento desta etapa;</w:t>
      </w:r>
    </w:p>
    <w:p w14:paraId="6F0134C0"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 recebimento definitivo não excluirá a responsabilidade da Contratada pela perfeita qualidade e funcionalidade do equipamento fornecido, cabendo-lhe sanar quaisquer irregularidades detectadas quando da utilização desse equipamento dentro do prazo de validade ou garantia do produto, observado o prazo previsto nos subitens anteriores.</w:t>
      </w:r>
    </w:p>
    <w:p w14:paraId="1C519DD1"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do pagamento </w:t>
      </w:r>
    </w:p>
    <w:p w14:paraId="02201C58"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Verificada a qualidade do equipamento fornecido e a compatibilidade com as exigências deste termo, da proposta apresentada pela empresa, proceder-se-á com os trâmites pertinentes à realização do pagamento, que ocorrerá sempre que houver o efetivo fornecimento dos materiais, observando-se o prazo de até 05 (cinco) dias úteis contados da data em que for atestada a respectiva nota fiscal.</w:t>
      </w:r>
    </w:p>
    <w:p w14:paraId="24EBFF0A"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Contratada deverá comprovar a regularidade junto ao FGTS, bem como apresentar as certidões negativas de débitos municipal, estadual, federal e trabalhista além da nota fiscal/fatura referente ao equipamento Entregue.</w:t>
      </w:r>
    </w:p>
    <w:p w14:paraId="0CA3D66A"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Os documentos supracitados, os quais são imprescindíveis para a concretização do pagamento, deverão ser apresentados à Coordenadoria Administrativa para conferência, cabendo a Gestão de Contratos da JUCERN atestar a respectiva nota fiscal da instituição atestar a respectiva nota fiscal, desde que constate que tudo está em conformidade com este termo de referência</w:t>
      </w:r>
    </w:p>
    <w:p w14:paraId="04655855"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Constatada a regularidade da Contratada e atestado o recebimento dos materiais na nota fiscal apresentada, esta será encaminhada à Coordenadoria de Finanças e Contabilidade para pagamento.</w:t>
      </w:r>
    </w:p>
    <w:p w14:paraId="3EFA74B8"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da documentação</w:t>
      </w:r>
    </w:p>
    <w:p w14:paraId="295C8765"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contratada deverá apresentar os seguintes documentos para comprovação de regularidade jurídica, fiscal, trabalhista e econômico-financeira:</w:t>
      </w:r>
    </w:p>
    <w:p w14:paraId="5DC2EB48"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Prova de inscrição no Cadastro Nacional de Pessoas Jurídicas (CNPJ), conforme o caso, expedido pela Secretaria da Receita Federal;</w:t>
      </w:r>
    </w:p>
    <w:p w14:paraId="19C90ED6"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Prova de constituição social, podendo ser:</w:t>
      </w:r>
    </w:p>
    <w:p w14:paraId="514AEDE0"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lastRenderedPageBreak/>
        <w:t>Registro comercial, no caso de empresa individual;</w:t>
      </w:r>
    </w:p>
    <w:p w14:paraId="429484D0"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Ato constitutivo, estatuto ou contrato social em vigor, devidamente registrado, em caso se tratando de sociedades comerciais, e, no caso de sociedades por ações, acompanhado de documentos de eleição de seus administradores;</w:t>
      </w:r>
    </w:p>
    <w:p w14:paraId="56B8029E"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em caso de sociedade civil, o respectivo ato constitutivo, registrado no cartório competente, acompanhado de prova da diretoria em exercício;</w:t>
      </w:r>
    </w:p>
    <w:p w14:paraId="6C49462E"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Decreto autorização, em se tratando de empresa ou sociedade estrangeira em funcionamento no país, e ato de registro ou autorização para funcionamento expedido pelo órgão competente, quando a atividade assim o exigir.</w:t>
      </w:r>
    </w:p>
    <w:p w14:paraId="52164A4C"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Cópia dos documentos pessoais do representante legal da empresa e/ou do responsável pela assinatura do instrumento contratual, neste último caso, acompanhado de instrumento de mandato público ou particular, com poderes específicos para tal ato;</w:t>
      </w:r>
    </w:p>
    <w:p w14:paraId="3C2D1B8D"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Prova de regularidade para com a Fazenda Municipal do domicílio ou sede, mediante apresentação de certidão emitida pela Secretaria competente do Município;</w:t>
      </w:r>
    </w:p>
    <w:p w14:paraId="2986D72D"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Prova de regularidade para com a Fazenda Estadual, mediante apresentação de certidão emitida pelo órgão competente do estado;</w:t>
      </w:r>
    </w:p>
    <w:p w14:paraId="34F9A2DA"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Prova de regularidade para com a Fazenda Federal, mediante apresentação de Certidão Conjunta de Débitos relativos a Tributos Federais e à Dívida Ativa da União, fornecida pela Secretaria da Receita Federal ou pela Procuradoria-Geral da Fazenda Nacional, abrangendo inclusive as Contribuições Sociais previstas nas alíneas “a” a “d” do Parágrafo único do art. 11 da Lei 8.212/91;</w:t>
      </w:r>
    </w:p>
    <w:p w14:paraId="67E9664D"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Prova de regularidade relativa ao Fundo de Garantia por Tempo de Serviço (FGTS), demonstrando situação regular no cumprimento dos encargos sociais instituídos por lei;</w:t>
      </w:r>
    </w:p>
    <w:p w14:paraId="00068167"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Prova de inexistência de débitos inadimplidos perante a Justiça do Trabalho, mediante a apresentação de certidão negativa, nos termos do Título VII-A da CLT, aprovada pelo Decreto-Lei nº 5.452, de 1º de maio de 1943 – CNDT</w:t>
      </w:r>
    </w:p>
    <w:p w14:paraId="149EEF56"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VALOR ESTIMADO DA CONTRATAÇÃO </w:t>
      </w:r>
    </w:p>
    <w:p w14:paraId="30508272"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 valor total estimado para essa contratação é de: R$ 2.961,53 (Dois mil, novecentos e sessenta e um reais e cinquenta e três centavos).</w:t>
      </w:r>
    </w:p>
    <w:p w14:paraId="1BA92C7F"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OBRIGAÇÕES DA CONTRATADA</w:t>
      </w:r>
    </w:p>
    <w:p w14:paraId="441CC6AC"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proofErr w:type="spellStart"/>
      <w:r w:rsidRPr="0023514E">
        <w:rPr>
          <w:rFonts w:ascii="Palatino Linotype" w:eastAsia="Times New Roman" w:hAnsi="Palatino Linotype" w:cs="Calibri"/>
          <w:color w:val="000000"/>
          <w:kern w:val="0"/>
          <w:lang w:eastAsia="pt-BR"/>
          <w14:ligatures w14:val="none"/>
        </w:rPr>
        <w:t>Fornecer</w:t>
      </w:r>
      <w:proofErr w:type="spellEnd"/>
      <w:r w:rsidRPr="0023514E">
        <w:rPr>
          <w:rFonts w:ascii="Palatino Linotype" w:eastAsia="Times New Roman" w:hAnsi="Palatino Linotype" w:cs="Calibri"/>
          <w:color w:val="000000"/>
          <w:kern w:val="0"/>
          <w:lang w:eastAsia="pt-BR"/>
          <w14:ligatures w14:val="none"/>
        </w:rPr>
        <w:t xml:space="preserve"> as etiquetas patrimoniais e a impressora de acordo com as especificações técnicas, quantidades e condições estabelecidas neste Termo de Referência.</w:t>
      </w:r>
    </w:p>
    <w:p w14:paraId="1EFE99B7"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Entregar os materiais novos, sem uso anterior, em perfeitas condições de funcionamento e devidamente acondicionados para transporte.</w:t>
      </w:r>
    </w:p>
    <w:p w14:paraId="285BC42B"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Garantir a qualidade e a durabilidade das etiquetas patrimoniais, assegurando resistência compatível com sua finalidade de identificação e controle patrimonial.</w:t>
      </w:r>
    </w:p>
    <w:p w14:paraId="6381726C"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Fornecer manuais, drivers, softwares, acessórios e demais itens necessários ao pleno funcionamento da impressora, quando aplicável.</w:t>
      </w:r>
    </w:p>
    <w:p w14:paraId="780F7A0A"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lastRenderedPageBreak/>
        <w:t>Substituir, sem ônus para a Contratante, os produtos que apresentarem defeitos, avarias, vícios de fabricação ou que estejam em desacordo com as especificações exigidas.</w:t>
      </w:r>
    </w:p>
    <w:p w14:paraId="04C9C58D"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Prestar assistência técnica durante o período de garantia da impressora, conforme as condições ofertadas e a legislação aplicável.</w:t>
      </w:r>
    </w:p>
    <w:p w14:paraId="4BAC65B3"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Responsabilizar-se por todas as despesas relacionadas ao transporte, carga, descarga, seguros, tributos, encargos trabalhistas, previdenciários e demais custos decorrentes do fornecimento.</w:t>
      </w:r>
    </w:p>
    <w:p w14:paraId="2FC655B3"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OBRIGAÇÕES DA CONTRATANTE</w:t>
      </w:r>
    </w:p>
    <w:p w14:paraId="66D28D6A"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Proporcionar as condições necessárias para o recebimento dos materiais.</w:t>
      </w:r>
    </w:p>
    <w:p w14:paraId="36881019"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Receber, conferir e atestar os produtos entregues, verificando sua conformidade com as especificações estabelecidas neste Termo de Referência.</w:t>
      </w:r>
    </w:p>
    <w:p w14:paraId="1CDE5AD6"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Rejeitar, total ou parcialmente, os materiais entregues em desacordo com as exigências estabelecidas.</w:t>
      </w:r>
    </w:p>
    <w:p w14:paraId="194F8FB9"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 xml:space="preserve">Comunicar formalmente à </w:t>
      </w:r>
      <w:proofErr w:type="gramStart"/>
      <w:r w:rsidRPr="0023514E">
        <w:rPr>
          <w:rFonts w:ascii="Palatino Linotype" w:eastAsia="Times New Roman" w:hAnsi="Palatino Linotype" w:cs="Calibri"/>
          <w:color w:val="000000"/>
          <w:kern w:val="0"/>
          <w:lang w:eastAsia="pt-BR"/>
          <w14:ligatures w14:val="none"/>
        </w:rPr>
        <w:t>Contratada quaisquer irregularidades</w:t>
      </w:r>
      <w:proofErr w:type="gramEnd"/>
      <w:r w:rsidRPr="0023514E">
        <w:rPr>
          <w:rFonts w:ascii="Palatino Linotype" w:eastAsia="Times New Roman" w:hAnsi="Palatino Linotype" w:cs="Calibri"/>
          <w:color w:val="000000"/>
          <w:kern w:val="0"/>
          <w:lang w:eastAsia="pt-BR"/>
          <w14:ligatures w14:val="none"/>
        </w:rPr>
        <w:t xml:space="preserve"> verificadas na execução do objeto.</w:t>
      </w:r>
    </w:p>
    <w:p w14:paraId="1C4966BB"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Efetuar o pagamento à Contratada após o recebimento definitivo dos materiais e apresentação da documentação fiscal correspondente, observadas as condições e prazos estabelecidos.</w:t>
      </w:r>
    </w:p>
    <w:p w14:paraId="46F6C217"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Fiscalizar e acompanhar a execução do fornecimento por intermédio de servidor ou comissão designada para esse fim.</w:t>
      </w:r>
    </w:p>
    <w:p w14:paraId="0380C201"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SANÇÕES ADMINISTRATIVAS (PENALIDADES)</w:t>
      </w:r>
    </w:p>
    <w:p w14:paraId="7D9F4513"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 licitante ou contratado que cometer infrações administrativas ficará sujeito às sanções previstas nos artigos 155 a 163 da Lei nº 14.133/2021, assegurados o contraditório e a ampla defesa.</w:t>
      </w:r>
    </w:p>
    <w:p w14:paraId="6229EA41"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Pela inexecução total ou parcial do objeto, pelo atraso injustificado na entrega ou pelo descumprimento das obrigações contratuais, poderão ser aplicadas as seguintes penalidades:</w:t>
      </w:r>
    </w:p>
    <w:p w14:paraId="7D0C9F4B"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Advertência;</w:t>
      </w:r>
    </w:p>
    <w:p w14:paraId="6847FEB9"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Multa, na forma prevista no instrumento convocatório e/ou contrato;</w:t>
      </w:r>
    </w:p>
    <w:p w14:paraId="2D03F06D"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Impedimento de licitar e contratar com a Administração Pública pelo prazo legalmente previsto;</w:t>
      </w:r>
    </w:p>
    <w:p w14:paraId="0B2B4AAF" w14:textId="77777777" w:rsidR="0023514E" w:rsidRPr="0023514E" w:rsidRDefault="0023514E" w:rsidP="0023514E">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Declaração de inidoneidade para licitar ou contratar com a Administração Pública, nos casos previstos em lei.</w:t>
      </w:r>
    </w:p>
    <w:p w14:paraId="16DCE12F"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As penalidades poderão ser aplicadas isolada ou cumulativamente, conforme a gravidade da infração.</w:t>
      </w:r>
    </w:p>
    <w:p w14:paraId="32B79819"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aplicação de qualquer sanção não exime a Contratada da obrigação de reparar integralmente os danos eventualmente causados à Administração.</w:t>
      </w:r>
    </w:p>
    <w:p w14:paraId="4852D09F"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lastRenderedPageBreak/>
        <w:t>Os valores das multas aplicadas poderão ser descontados dos pagamentos devidos à Contratada ou cobrados administrativamente e/ou judicialmente, na forma da legislação vigente.</w:t>
      </w:r>
    </w:p>
    <w:p w14:paraId="2C1A3FED"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GESTÃO E FISCALIZAÇÃO CONTRATUAL</w:t>
      </w:r>
    </w:p>
    <w:p w14:paraId="06132A9D"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JUCERN é responsável pela gestão do contrato no que compete a execução do fornecimento dos produtos, observando todos os aspectos contratados, conforme requisitos estabelecidos no art. 7º da Lei n° 14.133/21 ou pelos respectivos substitutos.</w:t>
      </w:r>
    </w:p>
    <w:p w14:paraId="28566F66"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 fiscal do Contrato anotará em registro próprio todas as ocorrências relacionadas à execução do contrato, determinando o que for necessário para a regularização das faltas ou dos defeitos observados.</w:t>
      </w:r>
    </w:p>
    <w:p w14:paraId="16FC75E6"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fiscalização do cumprimento das obrigações emanadas deste Contrato será realizada pelos servidores Éden Paulo Lopes Guerra – Gestor do Contrato (CPF 01061535444 e matrícula 2252732) e GEINIZA MARIA F SARMENTO – Fiscal do Contrato (CPF 21466220406 e matrícula 1693956), respectivamente, titular e suplente serão os fiscais deste contrato em questão.</w:t>
      </w:r>
    </w:p>
    <w:p w14:paraId="6E43A3DC" w14:textId="77777777" w:rsidR="0023514E" w:rsidRPr="0023514E" w:rsidRDefault="0023514E" w:rsidP="0023514E">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23514E">
        <w:rPr>
          <w:rFonts w:ascii="Palatino Linotype" w:eastAsia="Times New Roman" w:hAnsi="Palatino Linotype" w:cs="Calibri"/>
          <w:b/>
          <w:bCs/>
          <w:caps/>
          <w:color w:val="000000"/>
          <w:kern w:val="0"/>
          <w:lang w:eastAsia="pt-BR"/>
          <w14:ligatures w14:val="none"/>
        </w:rPr>
        <w:t>DISPOSIÇÕES GERAIS</w:t>
      </w:r>
    </w:p>
    <w:p w14:paraId="33F22EAD"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 objeto desta contratação consiste na aquisição de etiquetas patrimoniais e impressora padrão destinada ao tombamento de bens móveis da Junta Comercial do Estado do Rio Grande do Norte – JUCERN, conforme especificações e quantitativos definidos neste Termo de Referência.</w:t>
      </w:r>
    </w:p>
    <w:p w14:paraId="6CF57125"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Todos os materiais fornecidos deverão ser novos, de primeiro uso, sem defeitos de fabricação e em conformidade com as especificações técnicas exigidas.</w:t>
      </w:r>
    </w:p>
    <w:p w14:paraId="1F029187"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entrega dos produtos deverá ocorrer no local indicado pela JUCERN, dentro do prazo estabelecido na Nota de Empenho ou instrumento equivalente.</w:t>
      </w:r>
    </w:p>
    <w:p w14:paraId="4095AFE6"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 recebimento dos materiais será realizado provisoriamente para conferência e, posteriormente, de forma definitiva, após a verificação da conformidade com as especificações contratadas.</w:t>
      </w:r>
    </w:p>
    <w:p w14:paraId="4989EBD0"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garantia da impressora deverá observar o prazo mínimo oferecido pelo fabricante, sem prejuízo das garantias legais previstas na legislação aplicável.</w:t>
      </w:r>
    </w:p>
    <w:p w14:paraId="4B285B8F"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 xml:space="preserve">Eventuais defeitos, vícios ou </w:t>
      </w:r>
      <w:proofErr w:type="gramStart"/>
      <w:r w:rsidRPr="0023514E">
        <w:rPr>
          <w:rFonts w:ascii="Palatino Linotype" w:eastAsia="Times New Roman" w:hAnsi="Palatino Linotype" w:cs="Calibri"/>
          <w:color w:val="000000"/>
          <w:kern w:val="0"/>
          <w:lang w:eastAsia="pt-BR"/>
          <w14:ligatures w14:val="none"/>
        </w:rPr>
        <w:t>irregularidades constatados</w:t>
      </w:r>
      <w:proofErr w:type="gramEnd"/>
      <w:r w:rsidRPr="0023514E">
        <w:rPr>
          <w:rFonts w:ascii="Palatino Linotype" w:eastAsia="Times New Roman" w:hAnsi="Palatino Linotype" w:cs="Calibri"/>
          <w:color w:val="000000"/>
          <w:kern w:val="0"/>
          <w:lang w:eastAsia="pt-BR"/>
          <w14:ligatures w14:val="none"/>
        </w:rPr>
        <w:t xml:space="preserve"> durante o período de garantia deverão ser corrigidos pela Contratada, sem custos adicionais para a Contratante.</w:t>
      </w:r>
    </w:p>
    <w:p w14:paraId="664D6459"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fiscalização da execução do objeto será exercida por servidor ou comissão designada pela JUCERN, a quem competirá acompanhar, fiscalizar e atestar o recebimento dos materiais.</w:t>
      </w:r>
    </w:p>
    <w:p w14:paraId="420F9DA6"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A Contratada deverá observar integralmente as normas legais, regulamentares e técnicas aplicáveis ao objeto da contratação.</w:t>
      </w:r>
    </w:p>
    <w:p w14:paraId="6C1FB1AF"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Os casos omissos serão resolvidos pela Administração, com fundamento na Lei nº 14.133/2021 e demais normas pertinentes.</w:t>
      </w:r>
    </w:p>
    <w:p w14:paraId="16F07240" w14:textId="77777777" w:rsidR="0023514E" w:rsidRPr="0023514E" w:rsidRDefault="0023514E" w:rsidP="0023514E">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23514E">
        <w:rPr>
          <w:rFonts w:ascii="Palatino Linotype" w:eastAsia="Times New Roman" w:hAnsi="Palatino Linotype" w:cs="Calibri"/>
          <w:color w:val="000000"/>
          <w:kern w:val="0"/>
          <w:lang w:eastAsia="pt-BR"/>
          <w14:ligatures w14:val="none"/>
        </w:rPr>
        <w:t>Integram este Termo de Referência todos os documentos que o acompanham, independentemente de transcrição.</w:t>
      </w:r>
    </w:p>
    <w:p w14:paraId="204231EF" w14:textId="215BB57A" w:rsidR="00864DFA" w:rsidRPr="00864DFA" w:rsidRDefault="00864DFA" w:rsidP="0023514E">
      <w:pPr>
        <w:jc w:val="center"/>
        <w:rPr>
          <w:rFonts w:ascii="Palatino Linotype" w:eastAsia="Times New Roman" w:hAnsi="Palatino Linotype" w:cs="Calibri"/>
          <w:color w:val="000000"/>
          <w:kern w:val="0"/>
          <w:lang w:eastAsia="pt-BR"/>
          <w14:ligatures w14:val="none"/>
        </w:rPr>
      </w:pPr>
    </w:p>
    <w:p w14:paraId="16DF61BD" w14:textId="6DD47D11" w:rsidR="00842F07" w:rsidRPr="004E0F08" w:rsidRDefault="00842F07" w:rsidP="003127D8">
      <w:pPr>
        <w:ind w:left="-426"/>
        <w:rPr>
          <w:rFonts w:ascii="Palatino Linotype" w:hAnsi="Palatino Linotype" w:cs="Arial"/>
        </w:rPr>
      </w:pPr>
    </w:p>
    <w:sectPr w:rsidR="00842F07" w:rsidRPr="004E0F08" w:rsidSect="003F1DAC">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04358"/>
    <w:multiLevelType w:val="multilevel"/>
    <w:tmpl w:val="B434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530CB"/>
    <w:multiLevelType w:val="multilevel"/>
    <w:tmpl w:val="1870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D6212"/>
    <w:multiLevelType w:val="multilevel"/>
    <w:tmpl w:val="1432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8B6CA9"/>
    <w:multiLevelType w:val="multilevel"/>
    <w:tmpl w:val="ACE41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3B6017"/>
    <w:multiLevelType w:val="multilevel"/>
    <w:tmpl w:val="3A56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A6379"/>
    <w:multiLevelType w:val="multilevel"/>
    <w:tmpl w:val="B50A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E61E46"/>
    <w:multiLevelType w:val="multilevel"/>
    <w:tmpl w:val="15943C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D47FA2"/>
    <w:multiLevelType w:val="multilevel"/>
    <w:tmpl w:val="58B6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3A757F"/>
    <w:multiLevelType w:val="multilevel"/>
    <w:tmpl w:val="970E7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2A1BD7"/>
    <w:multiLevelType w:val="multilevel"/>
    <w:tmpl w:val="74E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5B7828"/>
    <w:multiLevelType w:val="multilevel"/>
    <w:tmpl w:val="D36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323294"/>
    <w:multiLevelType w:val="multilevel"/>
    <w:tmpl w:val="0BD6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D0596"/>
    <w:multiLevelType w:val="multilevel"/>
    <w:tmpl w:val="0002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E26A8D"/>
    <w:multiLevelType w:val="multilevel"/>
    <w:tmpl w:val="CB62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FD2B30"/>
    <w:multiLevelType w:val="multilevel"/>
    <w:tmpl w:val="3D94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631949"/>
    <w:multiLevelType w:val="multilevel"/>
    <w:tmpl w:val="6FE8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9560E3"/>
    <w:multiLevelType w:val="multilevel"/>
    <w:tmpl w:val="63D4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B95CB2"/>
    <w:multiLevelType w:val="multilevel"/>
    <w:tmpl w:val="C718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588082">
    <w:abstractNumId w:val="2"/>
  </w:num>
  <w:num w:numId="2" w16cid:durableId="355011090">
    <w:abstractNumId w:val="3"/>
  </w:num>
  <w:num w:numId="3" w16cid:durableId="977340777">
    <w:abstractNumId w:val="0"/>
  </w:num>
  <w:num w:numId="4" w16cid:durableId="1566597986">
    <w:abstractNumId w:val="4"/>
  </w:num>
  <w:num w:numId="5" w16cid:durableId="1397126578">
    <w:abstractNumId w:val="17"/>
  </w:num>
  <w:num w:numId="6" w16cid:durableId="910844970">
    <w:abstractNumId w:val="7"/>
  </w:num>
  <w:num w:numId="7" w16cid:durableId="1618175128">
    <w:abstractNumId w:val="16"/>
  </w:num>
  <w:num w:numId="8" w16cid:durableId="340090121">
    <w:abstractNumId w:val="12"/>
  </w:num>
  <w:num w:numId="9" w16cid:durableId="1845901628">
    <w:abstractNumId w:val="8"/>
  </w:num>
  <w:num w:numId="10" w16cid:durableId="1989091805">
    <w:abstractNumId w:val="14"/>
  </w:num>
  <w:num w:numId="11" w16cid:durableId="1456295559">
    <w:abstractNumId w:val="13"/>
  </w:num>
  <w:num w:numId="12" w16cid:durableId="887913834">
    <w:abstractNumId w:val="6"/>
  </w:num>
  <w:num w:numId="13" w16cid:durableId="969634297">
    <w:abstractNumId w:val="11"/>
  </w:num>
  <w:num w:numId="14" w16cid:durableId="202526661">
    <w:abstractNumId w:val="5"/>
  </w:num>
  <w:num w:numId="15" w16cid:durableId="1223642760">
    <w:abstractNumId w:val="1"/>
  </w:num>
  <w:num w:numId="16" w16cid:durableId="1024480393">
    <w:abstractNumId w:val="15"/>
  </w:num>
  <w:num w:numId="17" w16cid:durableId="1650398180">
    <w:abstractNumId w:val="10"/>
  </w:num>
  <w:num w:numId="18" w16cid:durableId="7015211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DAC"/>
    <w:rsid w:val="00027B05"/>
    <w:rsid w:val="0006438E"/>
    <w:rsid w:val="0006452A"/>
    <w:rsid w:val="000A6926"/>
    <w:rsid w:val="000E2CA3"/>
    <w:rsid w:val="0015042A"/>
    <w:rsid w:val="00157E51"/>
    <w:rsid w:val="001763FD"/>
    <w:rsid w:val="001A53C1"/>
    <w:rsid w:val="001C4D02"/>
    <w:rsid w:val="001E341A"/>
    <w:rsid w:val="001E4FA4"/>
    <w:rsid w:val="001F18EA"/>
    <w:rsid w:val="001F1E78"/>
    <w:rsid w:val="001F2B3A"/>
    <w:rsid w:val="001F4D2B"/>
    <w:rsid w:val="0022359D"/>
    <w:rsid w:val="002250B7"/>
    <w:rsid w:val="0023514E"/>
    <w:rsid w:val="00237954"/>
    <w:rsid w:val="0028032F"/>
    <w:rsid w:val="002A401F"/>
    <w:rsid w:val="002B020E"/>
    <w:rsid w:val="002B093E"/>
    <w:rsid w:val="002B18C1"/>
    <w:rsid w:val="002D7B8B"/>
    <w:rsid w:val="002F77A2"/>
    <w:rsid w:val="00300254"/>
    <w:rsid w:val="003043E8"/>
    <w:rsid w:val="00307816"/>
    <w:rsid w:val="003127D8"/>
    <w:rsid w:val="00333147"/>
    <w:rsid w:val="003826ED"/>
    <w:rsid w:val="003A04DB"/>
    <w:rsid w:val="003A33B0"/>
    <w:rsid w:val="003A61C3"/>
    <w:rsid w:val="003C22D8"/>
    <w:rsid w:val="003C5FBC"/>
    <w:rsid w:val="003C62BC"/>
    <w:rsid w:val="003D629E"/>
    <w:rsid w:val="003E3D6A"/>
    <w:rsid w:val="003F1DAC"/>
    <w:rsid w:val="004262E1"/>
    <w:rsid w:val="00440A89"/>
    <w:rsid w:val="00450776"/>
    <w:rsid w:val="004516D6"/>
    <w:rsid w:val="0046283C"/>
    <w:rsid w:val="004729F3"/>
    <w:rsid w:val="004741E3"/>
    <w:rsid w:val="004B1DAD"/>
    <w:rsid w:val="004E0F08"/>
    <w:rsid w:val="004F2D07"/>
    <w:rsid w:val="00516AB3"/>
    <w:rsid w:val="00520B46"/>
    <w:rsid w:val="00544282"/>
    <w:rsid w:val="005703D4"/>
    <w:rsid w:val="0058277C"/>
    <w:rsid w:val="00583EA0"/>
    <w:rsid w:val="005A6778"/>
    <w:rsid w:val="005B6DD3"/>
    <w:rsid w:val="005E5D59"/>
    <w:rsid w:val="005F669F"/>
    <w:rsid w:val="005F6A03"/>
    <w:rsid w:val="00615040"/>
    <w:rsid w:val="00615179"/>
    <w:rsid w:val="00662344"/>
    <w:rsid w:val="00662A37"/>
    <w:rsid w:val="00663769"/>
    <w:rsid w:val="006652D3"/>
    <w:rsid w:val="006D0F36"/>
    <w:rsid w:val="006D550A"/>
    <w:rsid w:val="006E3FBB"/>
    <w:rsid w:val="006F355B"/>
    <w:rsid w:val="006F6402"/>
    <w:rsid w:val="007039FE"/>
    <w:rsid w:val="00705C46"/>
    <w:rsid w:val="007136F0"/>
    <w:rsid w:val="00715B24"/>
    <w:rsid w:val="007445FC"/>
    <w:rsid w:val="00786353"/>
    <w:rsid w:val="007B2239"/>
    <w:rsid w:val="007C44BD"/>
    <w:rsid w:val="007D4194"/>
    <w:rsid w:val="008039F9"/>
    <w:rsid w:val="00803C4A"/>
    <w:rsid w:val="008127A8"/>
    <w:rsid w:val="00822397"/>
    <w:rsid w:val="00831196"/>
    <w:rsid w:val="00842F07"/>
    <w:rsid w:val="008431EA"/>
    <w:rsid w:val="00863AA9"/>
    <w:rsid w:val="00864DFA"/>
    <w:rsid w:val="00871E6D"/>
    <w:rsid w:val="008960C5"/>
    <w:rsid w:val="008C3866"/>
    <w:rsid w:val="008F271B"/>
    <w:rsid w:val="00911CD5"/>
    <w:rsid w:val="00947F55"/>
    <w:rsid w:val="009552F7"/>
    <w:rsid w:val="00957B2A"/>
    <w:rsid w:val="00960D19"/>
    <w:rsid w:val="009930C5"/>
    <w:rsid w:val="00994407"/>
    <w:rsid w:val="00997951"/>
    <w:rsid w:val="00997BE3"/>
    <w:rsid w:val="009C24F6"/>
    <w:rsid w:val="009D085B"/>
    <w:rsid w:val="009D3809"/>
    <w:rsid w:val="00A20AD6"/>
    <w:rsid w:val="00A63285"/>
    <w:rsid w:val="00A671A8"/>
    <w:rsid w:val="00A915F0"/>
    <w:rsid w:val="00AD64DB"/>
    <w:rsid w:val="00AE0BD1"/>
    <w:rsid w:val="00AE445E"/>
    <w:rsid w:val="00AF709E"/>
    <w:rsid w:val="00B07B96"/>
    <w:rsid w:val="00B25FE9"/>
    <w:rsid w:val="00B265EE"/>
    <w:rsid w:val="00B40F79"/>
    <w:rsid w:val="00B73655"/>
    <w:rsid w:val="00B7562D"/>
    <w:rsid w:val="00BA7338"/>
    <w:rsid w:val="00BC009F"/>
    <w:rsid w:val="00BC6E6D"/>
    <w:rsid w:val="00BF0D50"/>
    <w:rsid w:val="00C0573E"/>
    <w:rsid w:val="00C204F9"/>
    <w:rsid w:val="00C40133"/>
    <w:rsid w:val="00C63405"/>
    <w:rsid w:val="00C64C0C"/>
    <w:rsid w:val="00C71E00"/>
    <w:rsid w:val="00C86312"/>
    <w:rsid w:val="00C90346"/>
    <w:rsid w:val="00CA1F9D"/>
    <w:rsid w:val="00CF5731"/>
    <w:rsid w:val="00D31F24"/>
    <w:rsid w:val="00D67F22"/>
    <w:rsid w:val="00D958EF"/>
    <w:rsid w:val="00DA039E"/>
    <w:rsid w:val="00DB0345"/>
    <w:rsid w:val="00DB0FAA"/>
    <w:rsid w:val="00DC1C0C"/>
    <w:rsid w:val="00DD462D"/>
    <w:rsid w:val="00E02D86"/>
    <w:rsid w:val="00E06B3F"/>
    <w:rsid w:val="00E3365E"/>
    <w:rsid w:val="00E41658"/>
    <w:rsid w:val="00E51850"/>
    <w:rsid w:val="00E71819"/>
    <w:rsid w:val="00E72445"/>
    <w:rsid w:val="00E77284"/>
    <w:rsid w:val="00E7779B"/>
    <w:rsid w:val="00E819F4"/>
    <w:rsid w:val="00E97DB7"/>
    <w:rsid w:val="00EA7CE8"/>
    <w:rsid w:val="00ED30B7"/>
    <w:rsid w:val="00ED54C5"/>
    <w:rsid w:val="00EF1CA3"/>
    <w:rsid w:val="00EF2F91"/>
    <w:rsid w:val="00F43217"/>
    <w:rsid w:val="00F50C61"/>
    <w:rsid w:val="00F74581"/>
    <w:rsid w:val="00F86ACF"/>
    <w:rsid w:val="00FA4732"/>
    <w:rsid w:val="00FB213D"/>
    <w:rsid w:val="00FC0A5D"/>
    <w:rsid w:val="00FC249A"/>
    <w:rsid w:val="00FD7457"/>
    <w:rsid w:val="00FF60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AD7B"/>
  <w15:chartTrackingRefBased/>
  <w15:docId w15:val="{0FE2A3E8-32A8-4F7C-94B6-99E1222D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F1D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F1D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F1D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F1D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F1D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F1DA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F1DA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F1DA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F1DA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F1D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F1D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F1D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F1D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F1D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F1D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F1D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F1D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F1DAC"/>
    <w:rPr>
      <w:rFonts w:eastAsiaTheme="majorEastAsia" w:cstheme="majorBidi"/>
      <w:color w:val="272727" w:themeColor="text1" w:themeTint="D8"/>
    </w:rPr>
  </w:style>
  <w:style w:type="paragraph" w:styleId="Ttulo">
    <w:name w:val="Title"/>
    <w:basedOn w:val="Normal"/>
    <w:next w:val="Normal"/>
    <w:link w:val="TtuloChar"/>
    <w:uiPriority w:val="10"/>
    <w:qFormat/>
    <w:rsid w:val="003F1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F1D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F1DA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F1D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F1DAC"/>
    <w:pPr>
      <w:spacing w:before="160"/>
      <w:jc w:val="center"/>
    </w:pPr>
    <w:rPr>
      <w:i/>
      <w:iCs/>
      <w:color w:val="404040" w:themeColor="text1" w:themeTint="BF"/>
    </w:rPr>
  </w:style>
  <w:style w:type="character" w:customStyle="1" w:styleId="CitaoChar">
    <w:name w:val="Citação Char"/>
    <w:basedOn w:val="Fontepargpadro"/>
    <w:link w:val="Citao"/>
    <w:uiPriority w:val="29"/>
    <w:rsid w:val="003F1DAC"/>
    <w:rPr>
      <w:i/>
      <w:iCs/>
      <w:color w:val="404040" w:themeColor="text1" w:themeTint="BF"/>
    </w:rPr>
  </w:style>
  <w:style w:type="paragraph" w:styleId="PargrafodaLista">
    <w:name w:val="List Paragraph"/>
    <w:basedOn w:val="Normal"/>
    <w:uiPriority w:val="34"/>
    <w:qFormat/>
    <w:rsid w:val="003F1DAC"/>
    <w:pPr>
      <w:ind w:left="720"/>
      <w:contextualSpacing/>
    </w:pPr>
  </w:style>
  <w:style w:type="character" w:styleId="nfaseIntensa">
    <w:name w:val="Intense Emphasis"/>
    <w:basedOn w:val="Fontepargpadro"/>
    <w:uiPriority w:val="21"/>
    <w:qFormat/>
    <w:rsid w:val="003F1DAC"/>
    <w:rPr>
      <w:i/>
      <w:iCs/>
      <w:color w:val="0F4761" w:themeColor="accent1" w:themeShade="BF"/>
    </w:rPr>
  </w:style>
  <w:style w:type="paragraph" w:styleId="CitaoIntensa">
    <w:name w:val="Intense Quote"/>
    <w:basedOn w:val="Normal"/>
    <w:next w:val="Normal"/>
    <w:link w:val="CitaoIntensaChar"/>
    <w:uiPriority w:val="30"/>
    <w:qFormat/>
    <w:rsid w:val="003F1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F1DAC"/>
    <w:rPr>
      <w:i/>
      <w:iCs/>
      <w:color w:val="0F4761" w:themeColor="accent1" w:themeShade="BF"/>
    </w:rPr>
  </w:style>
  <w:style w:type="character" w:styleId="RefernciaIntensa">
    <w:name w:val="Intense Reference"/>
    <w:basedOn w:val="Fontepargpadro"/>
    <w:uiPriority w:val="32"/>
    <w:qFormat/>
    <w:rsid w:val="003F1DAC"/>
    <w:rPr>
      <w:b/>
      <w:bCs/>
      <w:smallCaps/>
      <w:color w:val="0F4761" w:themeColor="accent1" w:themeShade="BF"/>
      <w:spacing w:val="5"/>
    </w:rPr>
  </w:style>
  <w:style w:type="character" w:styleId="Hyperlink">
    <w:name w:val="Hyperlink"/>
    <w:basedOn w:val="Fontepargpadro"/>
    <w:uiPriority w:val="99"/>
    <w:unhideWhenUsed/>
    <w:rsid w:val="003F1DAC"/>
    <w:rPr>
      <w:color w:val="467886" w:themeColor="hyperlink"/>
      <w:u w:val="single"/>
    </w:rPr>
  </w:style>
  <w:style w:type="character" w:styleId="MenoPendente">
    <w:name w:val="Unresolved Mention"/>
    <w:basedOn w:val="Fontepargpadro"/>
    <w:uiPriority w:val="99"/>
    <w:semiHidden/>
    <w:unhideWhenUsed/>
    <w:rsid w:val="003F1DAC"/>
    <w:rPr>
      <w:color w:val="605E5C"/>
      <w:shd w:val="clear" w:color="auto" w:fill="E1DFDD"/>
    </w:rPr>
  </w:style>
  <w:style w:type="paragraph" w:customStyle="1" w:styleId="tabelatextocentralizado">
    <w:name w:val="tabela_texto_centralizado"/>
    <w:basedOn w:val="Normal"/>
    <w:rsid w:val="006D0F3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6D0F36"/>
    <w:rPr>
      <w:b/>
      <w:bCs/>
    </w:rPr>
  </w:style>
  <w:style w:type="paragraph" w:styleId="NormalWeb">
    <w:name w:val="Normal (Web)"/>
    <w:basedOn w:val="Normal"/>
    <w:uiPriority w:val="99"/>
    <w:semiHidden/>
    <w:unhideWhenUsed/>
    <w:rsid w:val="001763F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1763F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nfase">
    <w:name w:val="Emphasis"/>
    <w:basedOn w:val="Fontepargpadro"/>
    <w:uiPriority w:val="20"/>
    <w:qFormat/>
    <w:rsid w:val="001763FD"/>
    <w:rPr>
      <w:i/>
      <w:iCs/>
    </w:rPr>
  </w:style>
  <w:style w:type="paragraph" w:customStyle="1" w:styleId="itemnivel2">
    <w:name w:val="item_nivel2"/>
    <w:basedOn w:val="Normal"/>
    <w:rsid w:val="003C62B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3514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087920">
      <w:bodyDiv w:val="1"/>
      <w:marLeft w:val="0"/>
      <w:marRight w:val="0"/>
      <w:marTop w:val="0"/>
      <w:marBottom w:val="0"/>
      <w:divBdr>
        <w:top w:val="none" w:sz="0" w:space="0" w:color="auto"/>
        <w:left w:val="none" w:sz="0" w:space="0" w:color="auto"/>
        <w:bottom w:val="none" w:sz="0" w:space="0" w:color="auto"/>
        <w:right w:val="none" w:sz="0" w:space="0" w:color="auto"/>
      </w:divBdr>
    </w:div>
    <w:div w:id="312220138">
      <w:bodyDiv w:val="1"/>
      <w:marLeft w:val="0"/>
      <w:marRight w:val="0"/>
      <w:marTop w:val="0"/>
      <w:marBottom w:val="0"/>
      <w:divBdr>
        <w:top w:val="none" w:sz="0" w:space="0" w:color="auto"/>
        <w:left w:val="none" w:sz="0" w:space="0" w:color="auto"/>
        <w:bottom w:val="none" w:sz="0" w:space="0" w:color="auto"/>
        <w:right w:val="none" w:sz="0" w:space="0" w:color="auto"/>
      </w:divBdr>
    </w:div>
    <w:div w:id="613634410">
      <w:bodyDiv w:val="1"/>
      <w:marLeft w:val="0"/>
      <w:marRight w:val="0"/>
      <w:marTop w:val="0"/>
      <w:marBottom w:val="0"/>
      <w:divBdr>
        <w:top w:val="none" w:sz="0" w:space="0" w:color="auto"/>
        <w:left w:val="none" w:sz="0" w:space="0" w:color="auto"/>
        <w:bottom w:val="none" w:sz="0" w:space="0" w:color="auto"/>
        <w:right w:val="none" w:sz="0" w:space="0" w:color="auto"/>
      </w:divBdr>
    </w:div>
    <w:div w:id="686294775">
      <w:bodyDiv w:val="1"/>
      <w:marLeft w:val="0"/>
      <w:marRight w:val="0"/>
      <w:marTop w:val="0"/>
      <w:marBottom w:val="0"/>
      <w:divBdr>
        <w:top w:val="none" w:sz="0" w:space="0" w:color="auto"/>
        <w:left w:val="none" w:sz="0" w:space="0" w:color="auto"/>
        <w:bottom w:val="none" w:sz="0" w:space="0" w:color="auto"/>
        <w:right w:val="none" w:sz="0" w:space="0" w:color="auto"/>
      </w:divBdr>
    </w:div>
    <w:div w:id="707145236">
      <w:bodyDiv w:val="1"/>
      <w:marLeft w:val="0"/>
      <w:marRight w:val="0"/>
      <w:marTop w:val="0"/>
      <w:marBottom w:val="0"/>
      <w:divBdr>
        <w:top w:val="none" w:sz="0" w:space="0" w:color="auto"/>
        <w:left w:val="none" w:sz="0" w:space="0" w:color="auto"/>
        <w:bottom w:val="none" w:sz="0" w:space="0" w:color="auto"/>
        <w:right w:val="none" w:sz="0" w:space="0" w:color="auto"/>
      </w:divBdr>
    </w:div>
    <w:div w:id="795026990">
      <w:bodyDiv w:val="1"/>
      <w:marLeft w:val="0"/>
      <w:marRight w:val="0"/>
      <w:marTop w:val="0"/>
      <w:marBottom w:val="0"/>
      <w:divBdr>
        <w:top w:val="none" w:sz="0" w:space="0" w:color="auto"/>
        <w:left w:val="none" w:sz="0" w:space="0" w:color="auto"/>
        <w:bottom w:val="none" w:sz="0" w:space="0" w:color="auto"/>
        <w:right w:val="none" w:sz="0" w:space="0" w:color="auto"/>
      </w:divBdr>
    </w:div>
    <w:div w:id="1189953061">
      <w:bodyDiv w:val="1"/>
      <w:marLeft w:val="0"/>
      <w:marRight w:val="0"/>
      <w:marTop w:val="0"/>
      <w:marBottom w:val="0"/>
      <w:divBdr>
        <w:top w:val="none" w:sz="0" w:space="0" w:color="auto"/>
        <w:left w:val="none" w:sz="0" w:space="0" w:color="auto"/>
        <w:bottom w:val="none" w:sz="0" w:space="0" w:color="auto"/>
        <w:right w:val="none" w:sz="0" w:space="0" w:color="auto"/>
      </w:divBdr>
    </w:div>
    <w:div w:id="1209756071">
      <w:bodyDiv w:val="1"/>
      <w:marLeft w:val="0"/>
      <w:marRight w:val="0"/>
      <w:marTop w:val="0"/>
      <w:marBottom w:val="0"/>
      <w:divBdr>
        <w:top w:val="none" w:sz="0" w:space="0" w:color="auto"/>
        <w:left w:val="none" w:sz="0" w:space="0" w:color="auto"/>
        <w:bottom w:val="none" w:sz="0" w:space="0" w:color="auto"/>
        <w:right w:val="none" w:sz="0" w:space="0" w:color="auto"/>
      </w:divBdr>
    </w:div>
    <w:div w:id="147344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eis" TargetMode="External"/><Relationship Id="rId3" Type="http://schemas.openxmlformats.org/officeDocument/2006/relationships/settings" Target="settings.xml"/><Relationship Id="rId7" Type="http://schemas.openxmlformats.org/officeDocument/2006/relationships/hyperlink" Target="http://www.gov.br/compr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br/compras/pt-br" TargetMode="External"/><Relationship Id="rId11" Type="http://schemas.openxmlformats.org/officeDocument/2006/relationships/theme" Target="theme/theme1.xml"/><Relationship Id="rId5" Type="http://schemas.openxmlformats.org/officeDocument/2006/relationships/hyperlink" Target="http://www.gov.br/compra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rtaltransparencia.gov.br/sancoes/cne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TotalTime>
  <Pages>20</Pages>
  <Words>7967</Words>
  <Characters>43026</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elgiano gomes</dc:creator>
  <cp:keywords/>
  <dc:description/>
  <cp:lastModifiedBy>elgiano gomes</cp:lastModifiedBy>
  <cp:revision>116</cp:revision>
  <dcterms:created xsi:type="dcterms:W3CDTF">2025-06-30T20:00:00Z</dcterms:created>
  <dcterms:modified xsi:type="dcterms:W3CDTF">2026-06-12T16:32:00Z</dcterms:modified>
</cp:coreProperties>
</file>