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384"/>
        <w:tblW w:w="97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78"/>
        <w:gridCol w:w="1273"/>
        <w:gridCol w:w="1836"/>
        <w:gridCol w:w="4633"/>
      </w:tblGrid>
      <w:tr w:rsidR="00333147" w:rsidRPr="00333147" w14:paraId="629EADCC" w14:textId="77777777" w:rsidTr="00333147">
        <w:trPr>
          <w:trHeight w:val="1893"/>
        </w:trPr>
        <w:tc>
          <w:tcPr>
            <w:tcW w:w="9720" w:type="dxa"/>
            <w:gridSpan w:val="4"/>
            <w:tcBorders>
              <w:top w:val="single" w:sz="12" w:space="0" w:color="000000"/>
              <w:left w:val="single" w:sz="12" w:space="0" w:color="000000"/>
              <w:bottom w:val="single" w:sz="6" w:space="0" w:color="000000"/>
              <w:right w:val="single" w:sz="12" w:space="0" w:color="000000"/>
            </w:tcBorders>
            <w:hideMark/>
          </w:tcPr>
          <w:p w14:paraId="365B2B73" w14:textId="6DA95962" w:rsidR="00333147" w:rsidRPr="00333147" w:rsidRDefault="00333147" w:rsidP="00ED54C5">
            <w:pPr>
              <w:rPr>
                <w:rFonts w:ascii="Palatino Linotype" w:hAnsi="Palatino Linotype"/>
                <w:b/>
                <w:bCs/>
                <w:lang w:val="pt-PT"/>
              </w:rPr>
            </w:pPr>
            <w:r w:rsidRPr="00333147">
              <w:rPr>
                <w:rFonts w:ascii="Palatino Linotype" w:hAnsi="Palatino Linotype"/>
                <w:b/>
                <w:bCs/>
                <w:lang w:val="pt-PT"/>
              </w:rPr>
              <w:t>Aviso de DISPENSA ELETRÔNICA Nº 900</w:t>
            </w:r>
            <w:r w:rsidR="00FE4E15">
              <w:rPr>
                <w:rFonts w:ascii="Palatino Linotype" w:hAnsi="Palatino Linotype"/>
                <w:b/>
                <w:bCs/>
                <w:lang w:val="pt-PT"/>
              </w:rPr>
              <w:t>14</w:t>
            </w:r>
            <w:r w:rsidRPr="00333147">
              <w:rPr>
                <w:rFonts w:ascii="Palatino Linotype" w:hAnsi="Palatino Linotype"/>
                <w:b/>
                <w:bCs/>
                <w:lang w:val="pt-PT"/>
              </w:rPr>
              <w:t>/</w:t>
            </w:r>
            <w:r w:rsidR="00E41658">
              <w:rPr>
                <w:rFonts w:ascii="Palatino Linotype" w:hAnsi="Palatino Linotype"/>
                <w:b/>
                <w:bCs/>
                <w:lang w:val="pt-PT"/>
              </w:rPr>
              <w:t>2026</w:t>
            </w:r>
          </w:p>
        </w:tc>
      </w:tr>
      <w:tr w:rsidR="00333147" w:rsidRPr="00333147" w14:paraId="2F2C26DF" w14:textId="77777777" w:rsidTr="00333147">
        <w:trPr>
          <w:trHeight w:val="3076"/>
        </w:trPr>
        <w:tc>
          <w:tcPr>
            <w:tcW w:w="1978" w:type="dxa"/>
            <w:tcBorders>
              <w:top w:val="single" w:sz="6" w:space="0" w:color="000000"/>
              <w:left w:val="single" w:sz="12" w:space="0" w:color="000000"/>
              <w:bottom w:val="single" w:sz="6" w:space="0" w:color="000000"/>
              <w:right w:val="single" w:sz="6" w:space="0" w:color="000000"/>
            </w:tcBorders>
          </w:tcPr>
          <w:p w14:paraId="7C7E4ED6" w14:textId="77777777" w:rsidR="00333147" w:rsidRPr="00333147" w:rsidRDefault="00333147" w:rsidP="00333147">
            <w:pPr>
              <w:rPr>
                <w:rFonts w:ascii="Palatino Linotype" w:hAnsi="Palatino Linotype"/>
                <w:b/>
                <w:bCs/>
                <w:lang w:val="pt-PT"/>
              </w:rPr>
            </w:pPr>
          </w:p>
          <w:p w14:paraId="14A35EE2" w14:textId="77777777" w:rsidR="00333147" w:rsidRPr="00333147" w:rsidRDefault="00333147" w:rsidP="00333147">
            <w:pPr>
              <w:rPr>
                <w:rFonts w:ascii="Palatino Linotype" w:hAnsi="Palatino Linotype"/>
                <w:b/>
                <w:bCs/>
                <w:lang w:val="pt-PT"/>
              </w:rPr>
            </w:pPr>
          </w:p>
          <w:p w14:paraId="5A7BB062" w14:textId="77777777" w:rsidR="00333147" w:rsidRPr="00333147" w:rsidRDefault="00333147" w:rsidP="00333147">
            <w:pPr>
              <w:rPr>
                <w:rFonts w:ascii="Palatino Linotype" w:hAnsi="Palatino Linotype"/>
                <w:b/>
                <w:bCs/>
                <w:lang w:val="pt-PT"/>
              </w:rPr>
            </w:pPr>
          </w:p>
          <w:p w14:paraId="562A86DA" w14:textId="77777777" w:rsidR="00333147" w:rsidRPr="00333147" w:rsidRDefault="00333147" w:rsidP="00333147">
            <w:pPr>
              <w:rPr>
                <w:rFonts w:ascii="Palatino Linotype" w:hAnsi="Palatino Linotype"/>
                <w:b/>
                <w:bCs/>
                <w:lang w:val="pt-PT"/>
              </w:rPr>
            </w:pPr>
          </w:p>
          <w:p w14:paraId="38843E93"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OBJETO</w:t>
            </w:r>
          </w:p>
        </w:tc>
        <w:tc>
          <w:tcPr>
            <w:tcW w:w="7742" w:type="dxa"/>
            <w:gridSpan w:val="3"/>
            <w:tcBorders>
              <w:top w:val="single" w:sz="6" w:space="0" w:color="000000"/>
              <w:left w:val="single" w:sz="6" w:space="0" w:color="000000"/>
              <w:bottom w:val="single" w:sz="6" w:space="0" w:color="000000"/>
              <w:right w:val="single" w:sz="12" w:space="0" w:color="000000"/>
            </w:tcBorders>
          </w:tcPr>
          <w:p w14:paraId="44615E06" w14:textId="77777777" w:rsidR="00333147" w:rsidRPr="00333147" w:rsidRDefault="00333147" w:rsidP="00333147">
            <w:pPr>
              <w:rPr>
                <w:rFonts w:ascii="Palatino Linotype" w:hAnsi="Palatino Linotype"/>
                <w:b/>
                <w:bCs/>
                <w:lang w:val="pt-PT"/>
              </w:rPr>
            </w:pPr>
          </w:p>
          <w:p w14:paraId="6660F71A" w14:textId="564D003F" w:rsidR="00333147" w:rsidRPr="00333147" w:rsidRDefault="00333147" w:rsidP="00333147">
            <w:pPr>
              <w:jc w:val="both"/>
              <w:rPr>
                <w:rFonts w:ascii="Palatino Linotype" w:hAnsi="Palatino Linotype"/>
                <w:b/>
                <w:bCs/>
                <w:lang w:val="pt-PT"/>
              </w:rPr>
            </w:pPr>
            <w:r w:rsidRPr="00333147">
              <w:rPr>
                <w:rFonts w:ascii="Palatino Linotype" w:hAnsi="Palatino Linotype"/>
                <w:b/>
                <w:bCs/>
                <w:lang w:val="pt-PT"/>
              </w:rPr>
              <w:t xml:space="preserve">O objeto </w:t>
            </w:r>
            <w:r w:rsidRPr="00333147">
              <w:rPr>
                <w:rFonts w:ascii="Palatino Linotype" w:hAnsi="Palatino Linotype"/>
                <w:b/>
                <w:bCs/>
              </w:rPr>
              <w:t xml:space="preserve">contratação tem por </w:t>
            </w:r>
            <w:r>
              <w:rPr>
                <w:rFonts w:ascii="Palatino Linotype" w:hAnsi="Palatino Linotype"/>
                <w:b/>
                <w:bCs/>
              </w:rPr>
              <w:t xml:space="preserve">finalidade </w:t>
            </w:r>
            <w:r w:rsidR="009D26A6" w:rsidRPr="009D26A6">
              <w:rPr>
                <w:rFonts w:ascii="Palatino Linotype" w:hAnsi="Palatino Linotype"/>
                <w:b/>
                <w:bCs/>
              </w:rPr>
              <w:t>Aquisição de eletrodomésticos destinados a equipar as unidades da Junta Comercial do Estado do Rio Grande do Norte (JUCERN)</w:t>
            </w:r>
            <w:r>
              <w:rPr>
                <w:rFonts w:ascii="Palatino Linotype" w:hAnsi="Palatino Linotype"/>
                <w:b/>
                <w:bCs/>
              </w:rPr>
              <w:t xml:space="preserve">. </w:t>
            </w:r>
            <w:r w:rsidRPr="00333147">
              <w:rPr>
                <w:rFonts w:ascii="Palatino Linotype" w:hAnsi="Palatino Linotype"/>
                <w:b/>
                <w:bCs/>
                <w:lang w:val="pt-PT"/>
              </w:rPr>
              <w:t>(Dispensa de Licitação), conforme previsão legal contida no art. 75, inciso II, da Lei nº</w:t>
            </w:r>
          </w:p>
          <w:p w14:paraId="30F48201"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14.133/2021.</w:t>
            </w:r>
          </w:p>
        </w:tc>
      </w:tr>
      <w:tr w:rsidR="00333147" w:rsidRPr="00333147" w14:paraId="7912D6AE" w14:textId="77777777" w:rsidTr="00333147">
        <w:trPr>
          <w:trHeight w:val="1708"/>
        </w:trPr>
        <w:tc>
          <w:tcPr>
            <w:tcW w:w="5087" w:type="dxa"/>
            <w:gridSpan w:val="3"/>
            <w:tcBorders>
              <w:top w:val="single" w:sz="6" w:space="0" w:color="000000"/>
              <w:left w:val="single" w:sz="12" w:space="0" w:color="000000"/>
              <w:bottom w:val="single" w:sz="6" w:space="0" w:color="000000"/>
              <w:right w:val="single" w:sz="6" w:space="0" w:color="000000"/>
            </w:tcBorders>
          </w:tcPr>
          <w:p w14:paraId="4BDC0FEE" w14:textId="77777777" w:rsidR="00333147" w:rsidRPr="00333147" w:rsidRDefault="00333147" w:rsidP="00333147">
            <w:pPr>
              <w:rPr>
                <w:rFonts w:ascii="Palatino Linotype" w:hAnsi="Palatino Linotype"/>
                <w:b/>
                <w:bCs/>
                <w:lang w:val="pt-PT"/>
              </w:rPr>
            </w:pPr>
          </w:p>
          <w:p w14:paraId="545BEBE9"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PERÍODO DE PROPOSTAS</w:t>
            </w:r>
          </w:p>
          <w:p w14:paraId="65762A4D" w14:textId="5815D922"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De </w:t>
            </w:r>
            <w:r w:rsidR="009552F7">
              <w:rPr>
                <w:rFonts w:ascii="Palatino Linotype" w:hAnsi="Palatino Linotype"/>
                <w:b/>
                <w:bCs/>
                <w:lang w:val="pt-PT"/>
              </w:rPr>
              <w:t>1</w:t>
            </w:r>
            <w:r w:rsidR="00636586">
              <w:rPr>
                <w:rFonts w:ascii="Palatino Linotype" w:hAnsi="Palatino Linotype"/>
                <w:b/>
                <w:bCs/>
                <w:lang w:val="pt-PT"/>
              </w:rPr>
              <w:t>5</w:t>
            </w:r>
            <w:r w:rsidR="00662A37">
              <w:rPr>
                <w:rFonts w:ascii="Palatino Linotype" w:hAnsi="Palatino Linotype"/>
                <w:b/>
                <w:bCs/>
                <w:lang w:val="pt-PT"/>
              </w:rPr>
              <w:t>/0</w:t>
            </w:r>
            <w:r w:rsidR="00636586">
              <w:rPr>
                <w:rFonts w:ascii="Palatino Linotype" w:hAnsi="Palatino Linotype"/>
                <w:b/>
                <w:bCs/>
                <w:lang w:val="pt-PT"/>
              </w:rPr>
              <w:t>6</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w:t>
            </w:r>
            <w:r>
              <w:rPr>
                <w:rFonts w:ascii="Palatino Linotype" w:hAnsi="Palatino Linotype"/>
                <w:b/>
                <w:bCs/>
                <w:lang w:val="pt-PT"/>
              </w:rPr>
              <w:t>12</w:t>
            </w:r>
            <w:r w:rsidRPr="00333147">
              <w:rPr>
                <w:rFonts w:ascii="Palatino Linotype" w:hAnsi="Palatino Linotype"/>
                <w:b/>
                <w:bCs/>
                <w:lang w:val="pt-PT"/>
              </w:rPr>
              <w:t>h</w:t>
            </w:r>
          </w:p>
          <w:p w14:paraId="0141B1F4" w14:textId="72423331"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Até </w:t>
            </w:r>
            <w:r w:rsidR="00E71819">
              <w:rPr>
                <w:rFonts w:ascii="Palatino Linotype" w:hAnsi="Palatino Linotype"/>
                <w:b/>
                <w:bCs/>
                <w:lang w:val="pt-PT"/>
              </w:rPr>
              <w:t>18</w:t>
            </w:r>
            <w:r w:rsidR="00AD64DB">
              <w:rPr>
                <w:rFonts w:ascii="Palatino Linotype" w:hAnsi="Palatino Linotype"/>
                <w:b/>
                <w:bCs/>
                <w:lang w:val="pt-PT"/>
              </w:rPr>
              <w:t>/0</w:t>
            </w:r>
            <w:r w:rsidR="009552F7">
              <w:rPr>
                <w:rFonts w:ascii="Palatino Linotype" w:hAnsi="Palatino Linotype"/>
                <w:b/>
                <w:bCs/>
                <w:lang w:val="pt-PT"/>
              </w:rPr>
              <w:t>3</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w:t>
            </w:r>
            <w:r w:rsidR="00BC6E6D">
              <w:rPr>
                <w:rFonts w:ascii="Palatino Linotype" w:hAnsi="Palatino Linotype"/>
                <w:b/>
                <w:bCs/>
                <w:lang w:val="pt-PT"/>
              </w:rPr>
              <w:t>17</w:t>
            </w:r>
            <w:r w:rsidRPr="00333147">
              <w:rPr>
                <w:rFonts w:ascii="Palatino Linotype" w:hAnsi="Palatino Linotype"/>
                <w:b/>
                <w:bCs/>
                <w:lang w:val="pt-PT"/>
              </w:rPr>
              <w:t>h</w:t>
            </w:r>
          </w:p>
        </w:tc>
        <w:tc>
          <w:tcPr>
            <w:tcW w:w="4633" w:type="dxa"/>
            <w:tcBorders>
              <w:top w:val="single" w:sz="6" w:space="0" w:color="000000"/>
              <w:left w:val="single" w:sz="6" w:space="0" w:color="000000"/>
              <w:bottom w:val="single" w:sz="6" w:space="0" w:color="000000"/>
              <w:right w:val="single" w:sz="12" w:space="0" w:color="000000"/>
            </w:tcBorders>
          </w:tcPr>
          <w:p w14:paraId="50549948" w14:textId="77777777" w:rsidR="00333147" w:rsidRPr="00333147" w:rsidRDefault="00333147" w:rsidP="00333147">
            <w:pPr>
              <w:rPr>
                <w:rFonts w:ascii="Palatino Linotype" w:hAnsi="Palatino Linotype"/>
                <w:b/>
                <w:bCs/>
                <w:lang w:val="pt-PT"/>
              </w:rPr>
            </w:pPr>
          </w:p>
          <w:p w14:paraId="58894F79"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PERÍODO DE LANCES</w:t>
            </w:r>
          </w:p>
          <w:p w14:paraId="26BAC4FA" w14:textId="17560FCE"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De </w:t>
            </w:r>
            <w:r w:rsidR="00E71819">
              <w:rPr>
                <w:rFonts w:ascii="Palatino Linotype" w:hAnsi="Palatino Linotype"/>
                <w:b/>
                <w:bCs/>
                <w:lang w:val="pt-PT"/>
              </w:rPr>
              <w:t>1</w:t>
            </w:r>
            <w:r w:rsidR="00BC6E6D">
              <w:rPr>
                <w:rFonts w:ascii="Palatino Linotype" w:hAnsi="Palatino Linotype"/>
                <w:b/>
                <w:bCs/>
                <w:lang w:val="pt-PT"/>
              </w:rPr>
              <w:t>9</w:t>
            </w:r>
            <w:r w:rsidR="00AD64DB">
              <w:rPr>
                <w:rFonts w:ascii="Palatino Linotype" w:hAnsi="Palatino Linotype"/>
                <w:b/>
                <w:bCs/>
                <w:lang w:val="pt-PT"/>
              </w:rPr>
              <w:t>/0</w:t>
            </w:r>
            <w:r w:rsidR="001C4D02">
              <w:rPr>
                <w:rFonts w:ascii="Palatino Linotype" w:hAnsi="Palatino Linotype"/>
                <w:b/>
                <w:bCs/>
                <w:lang w:val="pt-PT"/>
              </w:rPr>
              <w:t>3</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8h</w:t>
            </w:r>
          </w:p>
          <w:p w14:paraId="66237380" w14:textId="004E87F1"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Até </w:t>
            </w:r>
            <w:r w:rsidR="00E71819">
              <w:rPr>
                <w:rFonts w:ascii="Palatino Linotype" w:hAnsi="Palatino Linotype"/>
                <w:b/>
                <w:bCs/>
                <w:lang w:val="pt-PT"/>
              </w:rPr>
              <w:t>1</w:t>
            </w:r>
            <w:r w:rsidR="00BC6E6D">
              <w:rPr>
                <w:rFonts w:ascii="Palatino Linotype" w:hAnsi="Palatino Linotype"/>
                <w:b/>
                <w:bCs/>
                <w:lang w:val="pt-PT"/>
              </w:rPr>
              <w:t>9</w:t>
            </w:r>
            <w:r w:rsidR="00AD64DB">
              <w:rPr>
                <w:rFonts w:ascii="Palatino Linotype" w:hAnsi="Palatino Linotype"/>
                <w:b/>
                <w:bCs/>
                <w:lang w:val="pt-PT"/>
              </w:rPr>
              <w:t>/0</w:t>
            </w:r>
            <w:r w:rsidR="001C4D02">
              <w:rPr>
                <w:rFonts w:ascii="Palatino Linotype" w:hAnsi="Palatino Linotype"/>
                <w:b/>
                <w:bCs/>
                <w:lang w:val="pt-PT"/>
              </w:rPr>
              <w:t>3</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14h</w:t>
            </w:r>
          </w:p>
        </w:tc>
      </w:tr>
      <w:tr w:rsidR="00333147" w:rsidRPr="00333147" w14:paraId="2172F42C" w14:textId="77777777" w:rsidTr="00333147">
        <w:trPr>
          <w:trHeight w:val="880"/>
        </w:trPr>
        <w:tc>
          <w:tcPr>
            <w:tcW w:w="3251" w:type="dxa"/>
            <w:gridSpan w:val="2"/>
            <w:tcBorders>
              <w:top w:val="single" w:sz="6" w:space="0" w:color="000000"/>
              <w:left w:val="single" w:sz="12" w:space="0" w:color="000000"/>
              <w:bottom w:val="single" w:sz="6" w:space="0" w:color="000000"/>
              <w:right w:val="single" w:sz="6" w:space="0" w:color="000000"/>
            </w:tcBorders>
            <w:hideMark/>
          </w:tcPr>
          <w:p w14:paraId="62C2C19A"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VALOR TOTAL DA CONTRATAÇÃO</w:t>
            </w:r>
          </w:p>
        </w:tc>
        <w:tc>
          <w:tcPr>
            <w:tcW w:w="6469" w:type="dxa"/>
            <w:gridSpan w:val="2"/>
            <w:tcBorders>
              <w:top w:val="single" w:sz="6" w:space="0" w:color="000000"/>
              <w:left w:val="single" w:sz="6" w:space="0" w:color="000000"/>
              <w:bottom w:val="single" w:sz="6" w:space="0" w:color="000000"/>
              <w:right w:val="single" w:sz="12" w:space="0" w:color="000000"/>
            </w:tcBorders>
            <w:hideMark/>
          </w:tcPr>
          <w:p w14:paraId="648A1C77" w14:textId="72CC58A5"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R$ </w:t>
            </w:r>
            <w:r w:rsidR="00636586" w:rsidRPr="00636586">
              <w:rPr>
                <w:rFonts w:ascii="Palatino Linotype" w:hAnsi="Palatino Linotype"/>
                <w:b/>
                <w:bCs/>
              </w:rPr>
              <w:t>28.738,28</w:t>
            </w:r>
            <w:r w:rsidR="0015042A" w:rsidRPr="0015042A">
              <w:rPr>
                <w:rFonts w:ascii="Palatino Linotype" w:hAnsi="Palatino Linotype"/>
                <w:b/>
                <w:bCs/>
              </w:rPr>
              <w:t xml:space="preserve"> (</w:t>
            </w:r>
            <w:r w:rsidR="00636586">
              <w:rPr>
                <w:rFonts w:ascii="Palatino Linotype" w:hAnsi="Palatino Linotype"/>
                <w:b/>
                <w:bCs/>
              </w:rPr>
              <w:t>vinte e oito mil setecentos e trinta e oito reais e vinte e oito centavos</w:t>
            </w:r>
            <w:r w:rsidR="0015042A" w:rsidRPr="0015042A">
              <w:rPr>
                <w:rFonts w:ascii="Palatino Linotype" w:hAnsi="Palatino Linotype"/>
                <w:b/>
                <w:bCs/>
              </w:rPr>
              <w:t>)</w:t>
            </w:r>
          </w:p>
        </w:tc>
      </w:tr>
      <w:tr w:rsidR="00333147" w:rsidRPr="00333147" w14:paraId="714486E0" w14:textId="77777777" w:rsidTr="00333147">
        <w:trPr>
          <w:trHeight w:val="292"/>
        </w:trPr>
        <w:tc>
          <w:tcPr>
            <w:tcW w:w="5087" w:type="dxa"/>
            <w:gridSpan w:val="3"/>
            <w:tcBorders>
              <w:top w:val="single" w:sz="6" w:space="0" w:color="000000"/>
              <w:left w:val="single" w:sz="12" w:space="0" w:color="000000"/>
              <w:bottom w:val="single" w:sz="6" w:space="0" w:color="000000"/>
              <w:right w:val="single" w:sz="6" w:space="0" w:color="000000"/>
            </w:tcBorders>
            <w:hideMark/>
          </w:tcPr>
          <w:p w14:paraId="520E07E3"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Endereço Eletrônico</w:t>
            </w:r>
          </w:p>
        </w:tc>
        <w:tc>
          <w:tcPr>
            <w:tcW w:w="4633" w:type="dxa"/>
            <w:tcBorders>
              <w:top w:val="single" w:sz="6" w:space="0" w:color="000000"/>
              <w:left w:val="single" w:sz="6" w:space="0" w:color="000000"/>
              <w:bottom w:val="single" w:sz="6" w:space="0" w:color="000000"/>
              <w:right w:val="single" w:sz="12" w:space="0" w:color="000000"/>
            </w:tcBorders>
            <w:hideMark/>
          </w:tcPr>
          <w:p w14:paraId="7F516960"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https://</w:t>
            </w:r>
            <w:hyperlink r:id="rId5" w:history="1">
              <w:r w:rsidRPr="00333147">
                <w:rPr>
                  <w:rStyle w:val="Hyperlink"/>
                  <w:rFonts w:ascii="Palatino Linotype" w:hAnsi="Palatino Linotype"/>
                  <w:b/>
                  <w:bCs/>
                  <w:lang w:val="pt-PT"/>
                </w:rPr>
                <w:t>www.gov.br/compras/</w:t>
              </w:r>
            </w:hyperlink>
          </w:p>
        </w:tc>
      </w:tr>
      <w:tr w:rsidR="00333147" w:rsidRPr="00333147" w14:paraId="2D7FFA35" w14:textId="77777777" w:rsidTr="00333147">
        <w:trPr>
          <w:trHeight w:val="3517"/>
        </w:trPr>
        <w:tc>
          <w:tcPr>
            <w:tcW w:w="9720" w:type="dxa"/>
            <w:gridSpan w:val="4"/>
            <w:tcBorders>
              <w:top w:val="single" w:sz="6" w:space="0" w:color="000000"/>
              <w:left w:val="single" w:sz="12" w:space="0" w:color="000000"/>
              <w:bottom w:val="single" w:sz="12" w:space="0" w:color="000000"/>
              <w:right w:val="single" w:sz="12" w:space="0" w:color="000000"/>
            </w:tcBorders>
          </w:tcPr>
          <w:p w14:paraId="6CF73B14" w14:textId="77777777" w:rsidR="00333147" w:rsidRPr="00333147" w:rsidRDefault="00333147" w:rsidP="00333147">
            <w:pPr>
              <w:rPr>
                <w:rFonts w:ascii="Palatino Linotype" w:hAnsi="Palatino Linotype"/>
                <w:b/>
                <w:bCs/>
                <w:lang w:val="pt-PT"/>
              </w:rPr>
            </w:pPr>
          </w:p>
          <w:p w14:paraId="63A26A45" w14:textId="77777777" w:rsidR="00333147" w:rsidRPr="00333147" w:rsidRDefault="00333147" w:rsidP="00333147">
            <w:pPr>
              <w:rPr>
                <w:rFonts w:ascii="Palatino Linotype" w:hAnsi="Palatino Linotype"/>
                <w:b/>
                <w:bCs/>
                <w:lang w:val="pt-PT"/>
              </w:rPr>
            </w:pPr>
          </w:p>
          <w:p w14:paraId="68D3CA95"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CONDIÇÕES GERAIS DA CONTRATAÇÃO</w:t>
            </w:r>
          </w:p>
          <w:p w14:paraId="200F9717" w14:textId="77777777" w:rsidR="00333147" w:rsidRPr="00333147" w:rsidRDefault="00333147" w:rsidP="00333147">
            <w:pPr>
              <w:rPr>
                <w:rFonts w:ascii="Palatino Linotype" w:hAnsi="Palatino Linotype"/>
                <w:b/>
                <w:bCs/>
                <w:lang w:val="pt-PT"/>
              </w:rPr>
            </w:pPr>
          </w:p>
          <w:p w14:paraId="1124027C" w14:textId="3B8E02FB" w:rsidR="00333147" w:rsidRPr="00333147" w:rsidRDefault="00333147" w:rsidP="00333147">
            <w:pPr>
              <w:rPr>
                <w:rFonts w:ascii="Palatino Linotype" w:hAnsi="Palatino Linotype"/>
                <w:b/>
                <w:bCs/>
                <w:lang w:val="pt-PT"/>
              </w:rPr>
            </w:pPr>
            <w:r>
              <w:rPr>
                <w:rFonts w:ascii="Palatino Linotype" w:hAnsi="Palatino Linotype"/>
                <w:b/>
                <w:bCs/>
                <w:lang w:val="pt-PT"/>
              </w:rPr>
              <w:t>A</w:t>
            </w:r>
            <w:r w:rsidRPr="00333147">
              <w:rPr>
                <w:rFonts w:ascii="Palatino Linotype" w:hAnsi="Palatino Linotype"/>
                <w:b/>
                <w:bCs/>
                <w:lang w:val="pt-PT"/>
              </w:rPr>
              <w:t xml:space="preserve"> </w:t>
            </w:r>
            <w:r>
              <w:rPr>
                <w:rFonts w:ascii="Palatino Linotype" w:hAnsi="Palatino Linotype"/>
                <w:b/>
                <w:bCs/>
                <w:lang w:val="pt-PT"/>
              </w:rPr>
              <w:t xml:space="preserve">Junta comercial do rio grande do norte </w:t>
            </w:r>
            <w:r w:rsidRPr="00333147">
              <w:rPr>
                <w:rFonts w:ascii="Palatino Linotype" w:hAnsi="Palatino Linotype"/>
                <w:b/>
                <w:bCs/>
                <w:lang w:val="pt-PT"/>
              </w:rPr>
              <w:t xml:space="preserve">(UASG </w:t>
            </w:r>
            <w:r>
              <w:rPr>
                <w:rFonts w:ascii="Palatino Linotype" w:hAnsi="Palatino Linotype"/>
                <w:b/>
                <w:bCs/>
                <w:lang w:val="pt-PT"/>
              </w:rPr>
              <w:t>925771</w:t>
            </w:r>
            <w:r w:rsidRPr="00333147">
              <w:rPr>
                <w:rFonts w:ascii="Palatino Linotype" w:hAnsi="Palatino Linotype"/>
                <w:b/>
                <w:bCs/>
                <w:lang w:val="pt-PT"/>
              </w:rPr>
              <w:t>) torna pública a realização da Dispensa Eletrônica, com critério de julgamento MENOR PREÇO, na hipótese do inciso II do art. 75 da Lei nº 14.133/2021 e demais legislações aplicáveis. A participação se dará mediante Sistema de Dispensa Eletrônica integrante do Sistema de Compras do Governo Federal – ComprasNet 4.0, disponível no endereço eletrônico: https://</w:t>
            </w:r>
            <w:hyperlink r:id="rId6" w:history="1">
              <w:r w:rsidRPr="00333147">
                <w:rPr>
                  <w:rStyle w:val="Hyperlink"/>
                  <w:rFonts w:ascii="Palatino Linotype" w:hAnsi="Palatino Linotype"/>
                  <w:b/>
                  <w:bCs/>
                  <w:lang w:val="pt-PT"/>
                </w:rPr>
                <w:t>www.gov.br/compras/pt-br/.</w:t>
              </w:r>
            </w:hyperlink>
            <w:r w:rsidRPr="00333147">
              <w:rPr>
                <w:rFonts w:ascii="Palatino Linotype" w:hAnsi="Palatino Linotype"/>
                <w:b/>
                <w:bCs/>
                <w:lang w:val="pt-PT"/>
              </w:rPr>
              <w:t xml:space="preserve"> O envio de propostas e lances deverá ocorrer, exclusivamente, por meio desse sistema eletrônico.</w:t>
            </w:r>
          </w:p>
        </w:tc>
      </w:tr>
    </w:tbl>
    <w:p w14:paraId="2ED09B9C" w14:textId="6E95365E" w:rsidR="00333147" w:rsidRDefault="00333147">
      <w:pPr>
        <w:rPr>
          <w:rFonts w:ascii="Palatino Linotype" w:hAnsi="Palatino Linotype"/>
          <w:b/>
          <w:bCs/>
        </w:rPr>
      </w:pPr>
    </w:p>
    <w:p w14:paraId="0651758E" w14:textId="77777777" w:rsidR="00786353" w:rsidRDefault="00786353">
      <w:pPr>
        <w:rPr>
          <w:rFonts w:ascii="Palatino Linotype" w:hAnsi="Palatino Linotype"/>
          <w:b/>
          <w:bCs/>
        </w:rPr>
      </w:pPr>
    </w:p>
    <w:p w14:paraId="7031FA8E" w14:textId="27280929" w:rsidR="003F1DAC" w:rsidRDefault="003F1DAC" w:rsidP="003F1DAC">
      <w:pPr>
        <w:ind w:left="-426"/>
        <w:jc w:val="center"/>
        <w:rPr>
          <w:rFonts w:ascii="Palatino Linotype" w:hAnsi="Palatino Linotype"/>
          <w:b/>
          <w:bCs/>
        </w:rPr>
      </w:pPr>
      <w:r w:rsidRPr="003F1DAC">
        <w:rPr>
          <w:rFonts w:ascii="Palatino Linotype" w:hAnsi="Palatino Linotype"/>
          <w:b/>
          <w:bCs/>
        </w:rPr>
        <w:t xml:space="preserve">AVISO DE CONTRATAÇÃO DIRETA </w:t>
      </w:r>
      <w:r w:rsidR="00333147">
        <w:rPr>
          <w:rFonts w:ascii="Palatino Linotype" w:hAnsi="Palatino Linotype"/>
          <w:b/>
          <w:bCs/>
        </w:rPr>
        <w:t>–</w:t>
      </w:r>
      <w:r w:rsidRPr="003F1DAC">
        <w:rPr>
          <w:rFonts w:ascii="Palatino Linotype" w:hAnsi="Palatino Linotype"/>
          <w:b/>
          <w:bCs/>
        </w:rPr>
        <w:t xml:space="preserve"> DISPENSA</w:t>
      </w:r>
    </w:p>
    <w:p w14:paraId="0EF2E84A" w14:textId="77777777" w:rsidR="00333147" w:rsidRDefault="00333147" w:rsidP="003F1DAC">
      <w:pPr>
        <w:ind w:left="-426"/>
        <w:jc w:val="center"/>
        <w:rPr>
          <w:rFonts w:ascii="Palatino Linotype" w:hAnsi="Palatino Linotype"/>
          <w:b/>
          <w:bCs/>
        </w:rPr>
      </w:pPr>
    </w:p>
    <w:p w14:paraId="4865FD17" w14:textId="515B11FE" w:rsidR="003F1DAC" w:rsidRPr="00A915F0" w:rsidRDefault="003F1DAC" w:rsidP="003F1DAC">
      <w:pPr>
        <w:ind w:left="-426"/>
        <w:jc w:val="center"/>
        <w:rPr>
          <w:rFonts w:ascii="Palatino Linotype" w:hAnsi="Palatino Linotype"/>
        </w:rPr>
      </w:pPr>
      <w:r w:rsidRPr="00A915F0">
        <w:rPr>
          <w:rFonts w:ascii="Palatino Linotype" w:hAnsi="Palatino Linotype"/>
          <w:b/>
          <w:bCs/>
        </w:rPr>
        <w:lastRenderedPageBreak/>
        <w:t xml:space="preserve">AVISO DE CONTRATAÇÃO DIRETA Nº </w:t>
      </w:r>
      <w:r w:rsidR="00B40F79" w:rsidRPr="00A915F0">
        <w:rPr>
          <w:rFonts w:ascii="Palatino Linotype" w:hAnsi="Palatino Linotype"/>
          <w:b/>
          <w:bCs/>
        </w:rPr>
        <w:t>900</w:t>
      </w:r>
      <w:r w:rsidR="00021407">
        <w:rPr>
          <w:rFonts w:ascii="Palatino Linotype" w:hAnsi="Palatino Linotype"/>
          <w:b/>
          <w:bCs/>
        </w:rPr>
        <w:t>14</w:t>
      </w:r>
      <w:r w:rsidRPr="00A915F0">
        <w:rPr>
          <w:rFonts w:ascii="Palatino Linotype" w:hAnsi="Palatino Linotype"/>
          <w:b/>
          <w:bCs/>
        </w:rPr>
        <w:t>/</w:t>
      </w:r>
      <w:r w:rsidR="00E41658" w:rsidRPr="00A915F0">
        <w:rPr>
          <w:rFonts w:ascii="Palatino Linotype" w:hAnsi="Palatino Linotype"/>
          <w:b/>
          <w:bCs/>
        </w:rPr>
        <w:t>2026</w:t>
      </w:r>
      <w:r w:rsidRPr="00A915F0">
        <w:rPr>
          <w:rFonts w:ascii="Palatino Linotype" w:hAnsi="Palatino Linotype"/>
          <w:b/>
          <w:bCs/>
          <w:color w:val="EE0000"/>
        </w:rPr>
        <w:t xml:space="preserve"> </w:t>
      </w:r>
      <w:r w:rsidRPr="00A915F0">
        <w:rPr>
          <w:rFonts w:ascii="Palatino Linotype" w:hAnsi="Palatino Linotype"/>
          <w:b/>
          <w:bCs/>
        </w:rPr>
        <w:t>- JUCERN/RN</w:t>
      </w:r>
    </w:p>
    <w:p w14:paraId="0BAB3D97" w14:textId="1D6E6CE1" w:rsidR="003F1DAC" w:rsidRPr="00A915F0" w:rsidRDefault="003F1DAC" w:rsidP="003F1DAC">
      <w:pPr>
        <w:ind w:left="-426"/>
        <w:jc w:val="center"/>
        <w:rPr>
          <w:rFonts w:ascii="Palatino Linotype" w:hAnsi="Palatino Linotype"/>
        </w:rPr>
      </w:pPr>
      <w:r w:rsidRPr="00A915F0">
        <w:rPr>
          <w:rFonts w:ascii="Palatino Linotype" w:hAnsi="Palatino Linotype"/>
        </w:rPr>
        <w:t xml:space="preserve">(Processo Administrativo nº </w:t>
      </w:r>
      <w:r w:rsidR="00021407" w:rsidRPr="00021407">
        <w:rPr>
          <w:rFonts w:ascii="Palatino Linotype" w:hAnsi="Palatino Linotype"/>
        </w:rPr>
        <w:t>04110006.000396/2026-22</w:t>
      </w:r>
      <w:r w:rsidRPr="00A915F0">
        <w:rPr>
          <w:rFonts w:ascii="Palatino Linotype" w:hAnsi="Palatino Linotype"/>
        </w:rPr>
        <w:t>)</w:t>
      </w:r>
    </w:p>
    <w:p w14:paraId="7F4C6B02" w14:textId="77777777" w:rsidR="003F1DAC" w:rsidRPr="00A915F0" w:rsidRDefault="003F1DAC" w:rsidP="003F1DAC">
      <w:pPr>
        <w:ind w:left="-426"/>
        <w:jc w:val="center"/>
        <w:rPr>
          <w:rFonts w:ascii="Palatino Linotype" w:hAnsi="Palatino Linotype"/>
        </w:rPr>
      </w:pPr>
    </w:p>
    <w:p w14:paraId="4366825A" w14:textId="77777777" w:rsidR="003F1DAC" w:rsidRPr="00A915F0" w:rsidRDefault="003F1DAC" w:rsidP="003F1DAC">
      <w:pPr>
        <w:ind w:left="-426"/>
        <w:rPr>
          <w:rFonts w:ascii="Palatino Linotype" w:hAnsi="Palatino Linotype"/>
        </w:rPr>
      </w:pPr>
      <w:r w:rsidRPr="00A915F0">
        <w:rPr>
          <w:rFonts w:ascii="Palatino Linotype" w:hAnsi="Palatino Linotype"/>
        </w:rPr>
        <w:t>Torna-se público que a JUNTA COMERCIAL DO RIO GRANDE DO NORTE, por meio da Coordenadoria de Administração, realizará Dispensa Eletrônica, nos termos da Lei nº 14.133 de 1º de abril de 2021, na hipótese do art. 75, inciso II, do Decreto nº 33.089 de 27 de outubro de 2023, e demais normas aplicáveis.</w:t>
      </w:r>
    </w:p>
    <w:p w14:paraId="1000C0CA" w14:textId="77777777" w:rsidR="003F1DAC" w:rsidRPr="00A915F0" w:rsidRDefault="003F1DAC" w:rsidP="003F1DAC">
      <w:pPr>
        <w:ind w:left="-426"/>
        <w:rPr>
          <w:rFonts w:ascii="Palatino Linotype" w:hAnsi="Palatino Linotype"/>
        </w:rPr>
      </w:pPr>
    </w:p>
    <w:p w14:paraId="4EA38EE3" w14:textId="1CB775DD"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DATA DA SESSÃO:</w:t>
      </w:r>
      <w:r w:rsidRPr="00A915F0">
        <w:rPr>
          <w:rFonts w:ascii="Palatino Linotype" w:hAnsi="Palatino Linotype"/>
        </w:rPr>
        <w:t> </w:t>
      </w:r>
      <w:r w:rsidR="00FC0A5D" w:rsidRPr="00A915F0">
        <w:rPr>
          <w:rFonts w:ascii="Palatino Linotype" w:hAnsi="Palatino Linotype"/>
        </w:rPr>
        <w:t>1</w:t>
      </w:r>
      <w:r w:rsidR="00BC6E6D">
        <w:rPr>
          <w:rFonts w:ascii="Palatino Linotype" w:hAnsi="Palatino Linotype"/>
        </w:rPr>
        <w:t>9</w:t>
      </w:r>
      <w:r w:rsidR="004B1DAD" w:rsidRPr="00A915F0">
        <w:rPr>
          <w:rFonts w:ascii="Palatino Linotype" w:hAnsi="Palatino Linotype"/>
        </w:rPr>
        <w:t>/0</w:t>
      </w:r>
      <w:r w:rsidR="009D26A6">
        <w:rPr>
          <w:rFonts w:ascii="Palatino Linotype" w:hAnsi="Palatino Linotype"/>
        </w:rPr>
        <w:t>6</w:t>
      </w:r>
      <w:r w:rsidRPr="00A915F0">
        <w:rPr>
          <w:rFonts w:ascii="Palatino Linotype" w:hAnsi="Palatino Linotype"/>
        </w:rPr>
        <w:t>/</w:t>
      </w:r>
      <w:r w:rsidR="00E41658" w:rsidRPr="00A915F0">
        <w:rPr>
          <w:rFonts w:ascii="Palatino Linotype" w:hAnsi="Palatino Linotype"/>
        </w:rPr>
        <w:t>2026</w:t>
      </w:r>
    </w:p>
    <w:p w14:paraId="73AD6C49" w14:textId="123ABDC1"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PRAZO PARA SUBMISSÃO DE PROPOSTAS:</w:t>
      </w:r>
      <w:r w:rsidRPr="00A915F0">
        <w:rPr>
          <w:rFonts w:ascii="Palatino Linotype" w:hAnsi="Palatino Linotype"/>
        </w:rPr>
        <w:t xml:space="preserve"> Até às </w:t>
      </w:r>
      <w:r w:rsidR="00BC6E6D">
        <w:rPr>
          <w:rFonts w:ascii="Palatino Linotype" w:hAnsi="Palatino Linotype"/>
        </w:rPr>
        <w:t>16</w:t>
      </w:r>
      <w:r w:rsidRPr="00A915F0">
        <w:rPr>
          <w:rFonts w:ascii="Palatino Linotype" w:hAnsi="Palatino Linotype"/>
        </w:rPr>
        <w:t xml:space="preserve">h59 de </w:t>
      </w:r>
      <w:r w:rsidR="00FC0A5D" w:rsidRPr="00A915F0">
        <w:rPr>
          <w:rFonts w:ascii="Palatino Linotype" w:hAnsi="Palatino Linotype"/>
        </w:rPr>
        <w:t>18</w:t>
      </w:r>
      <w:r w:rsidR="004B1DAD" w:rsidRPr="00A915F0">
        <w:rPr>
          <w:rFonts w:ascii="Palatino Linotype" w:hAnsi="Palatino Linotype"/>
        </w:rPr>
        <w:t>/0</w:t>
      </w:r>
      <w:r w:rsidR="009D26A6">
        <w:rPr>
          <w:rFonts w:ascii="Palatino Linotype" w:hAnsi="Palatino Linotype"/>
        </w:rPr>
        <w:t>6</w:t>
      </w:r>
      <w:r w:rsidRPr="00A915F0">
        <w:rPr>
          <w:rFonts w:ascii="Palatino Linotype" w:hAnsi="Palatino Linotype"/>
        </w:rPr>
        <w:t>/</w:t>
      </w:r>
      <w:r w:rsidR="00E41658" w:rsidRPr="00A915F0">
        <w:rPr>
          <w:rFonts w:ascii="Palatino Linotype" w:hAnsi="Palatino Linotype"/>
        </w:rPr>
        <w:t>2026</w:t>
      </w:r>
    </w:p>
    <w:p w14:paraId="5F2013D8" w14:textId="57FC5518"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HORÁRIO DE INÍCIO DA FASE DE LANCES:</w:t>
      </w:r>
      <w:r w:rsidRPr="00A915F0">
        <w:rPr>
          <w:rFonts w:ascii="Palatino Linotype" w:hAnsi="Palatino Linotype"/>
        </w:rPr>
        <w:t xml:space="preserve"> 08:00 de </w:t>
      </w:r>
      <w:r w:rsidR="00E819F4" w:rsidRPr="00A915F0">
        <w:rPr>
          <w:rFonts w:ascii="Palatino Linotype" w:hAnsi="Palatino Linotype"/>
        </w:rPr>
        <w:t>1</w:t>
      </w:r>
      <w:r w:rsidR="00BC6E6D">
        <w:rPr>
          <w:rFonts w:ascii="Palatino Linotype" w:hAnsi="Palatino Linotype"/>
        </w:rPr>
        <w:t>9</w:t>
      </w:r>
      <w:r w:rsidR="004B1DAD" w:rsidRPr="00A915F0">
        <w:rPr>
          <w:rFonts w:ascii="Palatino Linotype" w:hAnsi="Palatino Linotype"/>
        </w:rPr>
        <w:t>/0</w:t>
      </w:r>
      <w:r w:rsidR="009D26A6">
        <w:rPr>
          <w:rFonts w:ascii="Palatino Linotype" w:hAnsi="Palatino Linotype"/>
        </w:rPr>
        <w:t>6</w:t>
      </w:r>
      <w:r w:rsidRPr="00A915F0">
        <w:rPr>
          <w:rFonts w:ascii="Palatino Linotype" w:hAnsi="Palatino Linotype"/>
        </w:rPr>
        <w:t>/</w:t>
      </w:r>
      <w:r w:rsidR="00E41658" w:rsidRPr="00A915F0">
        <w:rPr>
          <w:rFonts w:ascii="Palatino Linotype" w:hAnsi="Palatino Linotype"/>
        </w:rPr>
        <w:t>2026</w:t>
      </w:r>
    </w:p>
    <w:p w14:paraId="6CA631E3" w14:textId="2EA4C711"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HORÁRIO DE TÉRMINO DA FASE DE LANCES:</w:t>
      </w:r>
      <w:r w:rsidRPr="00A915F0">
        <w:rPr>
          <w:rFonts w:ascii="Palatino Linotype" w:hAnsi="Palatino Linotype"/>
        </w:rPr>
        <w:t xml:space="preserve"> 14:00 de </w:t>
      </w:r>
      <w:r w:rsidR="00E819F4" w:rsidRPr="00A915F0">
        <w:rPr>
          <w:rFonts w:ascii="Palatino Linotype" w:hAnsi="Palatino Linotype"/>
        </w:rPr>
        <w:t>1</w:t>
      </w:r>
      <w:r w:rsidR="00BC6E6D">
        <w:rPr>
          <w:rFonts w:ascii="Palatino Linotype" w:hAnsi="Palatino Linotype"/>
        </w:rPr>
        <w:t>9</w:t>
      </w:r>
      <w:r w:rsidR="004B1DAD" w:rsidRPr="00A915F0">
        <w:rPr>
          <w:rFonts w:ascii="Palatino Linotype" w:hAnsi="Palatino Linotype"/>
        </w:rPr>
        <w:t>/0</w:t>
      </w:r>
      <w:r w:rsidR="009D26A6">
        <w:rPr>
          <w:rFonts w:ascii="Palatino Linotype" w:hAnsi="Palatino Linotype"/>
        </w:rPr>
        <w:t>6</w:t>
      </w:r>
      <w:r w:rsidRPr="00A915F0">
        <w:rPr>
          <w:rFonts w:ascii="Palatino Linotype" w:hAnsi="Palatino Linotype"/>
        </w:rPr>
        <w:t>/</w:t>
      </w:r>
      <w:r w:rsidR="00E41658" w:rsidRPr="00A915F0">
        <w:rPr>
          <w:rFonts w:ascii="Palatino Linotype" w:hAnsi="Palatino Linotype"/>
        </w:rPr>
        <w:t>2026</w:t>
      </w:r>
    </w:p>
    <w:p w14:paraId="3ED4CB4C" w14:textId="77777777"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LINK:</w:t>
      </w:r>
      <w:r w:rsidRPr="00A915F0">
        <w:rPr>
          <w:rFonts w:ascii="Palatino Linotype" w:hAnsi="Palatino Linotype"/>
        </w:rPr>
        <w:t> </w:t>
      </w:r>
      <w:hyperlink r:id="rId7" w:history="1">
        <w:r w:rsidRPr="00A915F0">
          <w:rPr>
            <w:rStyle w:val="Hyperlink"/>
            <w:rFonts w:ascii="Palatino Linotype" w:hAnsi="Palatino Linotype"/>
          </w:rPr>
          <w:t>https://www.gov.br/compras/pt-br</w:t>
        </w:r>
      </w:hyperlink>
    </w:p>
    <w:p w14:paraId="048809F0" w14:textId="77777777"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CRITÉRIO DE JULGAMENTO:</w:t>
      </w:r>
      <w:r w:rsidRPr="00A915F0">
        <w:rPr>
          <w:rFonts w:ascii="Palatino Linotype" w:hAnsi="Palatino Linotype"/>
        </w:rPr>
        <w:t> MENOR PREÇO</w:t>
      </w:r>
    </w:p>
    <w:p w14:paraId="3CA816CA" w14:textId="77777777" w:rsidR="003F1DAC" w:rsidRPr="00A915F0" w:rsidRDefault="003F1DAC" w:rsidP="003F1DAC">
      <w:pPr>
        <w:ind w:left="-426"/>
        <w:rPr>
          <w:rFonts w:ascii="Palatino Linotype" w:hAnsi="Palatino Linotype"/>
        </w:rPr>
      </w:pPr>
    </w:p>
    <w:p w14:paraId="1D0EB967" w14:textId="77777777" w:rsidR="003C62BC" w:rsidRPr="00A915F0" w:rsidRDefault="003F1DAC" w:rsidP="00EF2F91">
      <w:pPr>
        <w:numPr>
          <w:ilvl w:val="0"/>
          <w:numId w:val="2"/>
        </w:numPr>
        <w:spacing w:after="0"/>
        <w:ind w:left="-426"/>
        <w:jc w:val="both"/>
        <w:rPr>
          <w:rFonts w:ascii="Palatino Linotype" w:hAnsi="Palatino Linotype"/>
        </w:rPr>
      </w:pPr>
      <w:r w:rsidRPr="00A915F0">
        <w:rPr>
          <w:rFonts w:ascii="Palatino Linotype" w:hAnsi="Palatino Linotype"/>
          <w:b/>
          <w:bCs/>
        </w:rPr>
        <w:t>OBJETO DA CONTRATAÇÃO DIRETA</w:t>
      </w:r>
      <w:r w:rsidR="007445FC" w:rsidRPr="00A915F0">
        <w:rPr>
          <w:rFonts w:ascii="Palatino Linotype" w:hAnsi="Palatino Linotype"/>
        </w:rPr>
        <w:t>:</w:t>
      </w:r>
    </w:p>
    <w:p w14:paraId="71F2022B" w14:textId="465856FC" w:rsidR="003F1DAC" w:rsidRPr="00A915F0" w:rsidRDefault="003F1DAC" w:rsidP="00EF2F91">
      <w:pPr>
        <w:spacing w:after="0"/>
        <w:jc w:val="both"/>
        <w:rPr>
          <w:rFonts w:ascii="Palatino Linotype" w:hAnsi="Palatino Linotype"/>
        </w:rPr>
      </w:pPr>
      <w:r w:rsidRPr="00A915F0">
        <w:rPr>
          <w:rFonts w:ascii="Palatino Linotype" w:hAnsi="Palatino Linotype"/>
        </w:rPr>
        <w:br/>
        <w:t xml:space="preserve">1.1. O objeto do presente procedimento </w:t>
      </w:r>
      <w:r w:rsidR="009D26A6" w:rsidRPr="009D26A6">
        <w:rPr>
          <w:rFonts w:ascii="Palatino Linotype" w:hAnsi="Palatino Linotype"/>
          <w:b/>
          <w:bCs/>
        </w:rPr>
        <w:t>Aquisição de eletrodomésticos destinados a equipar as unidades da Junta Comercial do Estado do Rio Grande do Norte (JUCERN)</w:t>
      </w:r>
      <w:r w:rsidRPr="00A915F0">
        <w:rPr>
          <w:rFonts w:ascii="Palatino Linotype" w:hAnsi="Palatino Linotype"/>
        </w:rPr>
        <w:t>, conforme condições, quantidades e exigências estabelecidas neste Aviso de Contratação Direta e seus anexos.</w:t>
      </w:r>
      <w:r w:rsidRPr="00A915F0">
        <w:rPr>
          <w:rFonts w:ascii="Palatino Linotype" w:hAnsi="Palatino Linotype"/>
        </w:rPr>
        <w:br/>
        <w:t>1.2. O critério de julgamento adotado será o MENOR PREÇO, observadas as exigências contidas neste Aviso de Contratação Direta e seus Anexos quanto às especificações do objeto.</w:t>
      </w:r>
    </w:p>
    <w:p w14:paraId="34523CE4" w14:textId="77777777" w:rsidR="003A33B0"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ESPECIFICAÇÃO DO OBJETO</w:t>
      </w:r>
      <w:r w:rsidR="00CA1F9D" w:rsidRPr="00A915F0">
        <w:rPr>
          <w:rFonts w:ascii="Palatino Linotype" w:hAnsi="Palatino Linotype"/>
          <w:b/>
          <w:bCs/>
        </w:rPr>
        <w:t>:</w:t>
      </w:r>
    </w:p>
    <w:p w14:paraId="1D6D52C8" w14:textId="77777777" w:rsidR="00DC7127" w:rsidRPr="00DC7127" w:rsidRDefault="009722ED" w:rsidP="00DC7127">
      <w:pPr>
        <w:pStyle w:val="itemnivel2"/>
        <w:numPr>
          <w:ilvl w:val="1"/>
          <w:numId w:val="12"/>
        </w:numPr>
        <w:rPr>
          <w:rFonts w:ascii="Palatino Linotype" w:hAnsi="Palatino Linotype" w:cs="Calibri"/>
          <w:color w:val="000000"/>
          <w:sz w:val="22"/>
          <w:szCs w:val="22"/>
        </w:rPr>
      </w:pPr>
      <w:r w:rsidRPr="00DC7127">
        <w:rPr>
          <w:rFonts w:ascii="Palatino Linotype" w:hAnsi="Palatino Linotype" w:cs="Calibri"/>
          <w:color w:val="000000"/>
          <w:sz w:val="20"/>
          <w:szCs w:val="20"/>
        </w:rPr>
        <w:t xml:space="preserve"> </w:t>
      </w:r>
      <w:r w:rsidR="00DC7127" w:rsidRPr="00DC7127">
        <w:rPr>
          <w:rFonts w:ascii="Palatino Linotype" w:hAnsi="Palatino Linotype" w:cs="Calibri"/>
          <w:color w:val="000000"/>
          <w:sz w:val="22"/>
          <w:szCs w:val="22"/>
        </w:rPr>
        <w:t>A presente solicitação tem por finalidade a aquisição de eletrodomésticos destinados a atender às necessidades operacionais da Junta Comercial do Estado do Rio Grande do Norte - JUCERN, visando garantir condições adequadas de funcionamento, melhoria da infraestrutura e suporte às atividades institucionais desenvolvidas.</w:t>
      </w:r>
    </w:p>
    <w:p w14:paraId="060D8486" w14:textId="77777777" w:rsidR="00DC7127" w:rsidRPr="00DC7127" w:rsidRDefault="00DC7127" w:rsidP="00DC7127">
      <w:pPr>
        <w:pStyle w:val="itemnivel2"/>
        <w:numPr>
          <w:ilvl w:val="1"/>
          <w:numId w:val="12"/>
        </w:numPr>
        <w:rPr>
          <w:rFonts w:ascii="Palatino Linotype" w:hAnsi="Palatino Linotype" w:cs="Calibri"/>
          <w:color w:val="000000"/>
          <w:sz w:val="22"/>
          <w:szCs w:val="22"/>
        </w:rPr>
      </w:pPr>
      <w:r w:rsidRPr="00DC7127">
        <w:rPr>
          <w:rFonts w:ascii="Palatino Linotype" w:hAnsi="Palatino Linotype" w:cs="Calibri"/>
          <w:color w:val="000000"/>
          <w:sz w:val="22"/>
          <w:szCs w:val="22"/>
        </w:rPr>
        <w:t>A aquisição dos referidos equipamentos justifica-se pelas seguintes razões técnicas e operacionais:</w:t>
      </w:r>
    </w:p>
    <w:p w14:paraId="4FA1C632" w14:textId="77777777" w:rsidR="00DC7127" w:rsidRPr="00DC7127" w:rsidRDefault="00DC7127" w:rsidP="00DC7127">
      <w:pPr>
        <w:pStyle w:val="itemnivel2"/>
        <w:numPr>
          <w:ilvl w:val="1"/>
          <w:numId w:val="12"/>
        </w:numPr>
        <w:rPr>
          <w:rFonts w:ascii="Palatino Linotype" w:hAnsi="Palatino Linotype" w:cs="Calibri"/>
          <w:color w:val="000000"/>
          <w:sz w:val="22"/>
          <w:szCs w:val="22"/>
        </w:rPr>
      </w:pPr>
      <w:r w:rsidRPr="00DC7127">
        <w:rPr>
          <w:rFonts w:ascii="Palatino Linotype" w:hAnsi="Palatino Linotype" w:cs="Calibri"/>
          <w:b/>
          <w:bCs/>
          <w:color w:val="000000"/>
          <w:sz w:val="22"/>
          <w:szCs w:val="22"/>
          <w:u w:val="single"/>
        </w:rPr>
        <w:t>Estrutura de Apoio (Copa e Cozinha</w:t>
      </w:r>
      <w:r w:rsidRPr="00DC7127">
        <w:rPr>
          <w:rFonts w:ascii="Palatino Linotype" w:hAnsi="Palatino Linotype" w:cs="Calibri"/>
          <w:color w:val="000000"/>
          <w:sz w:val="22"/>
          <w:szCs w:val="22"/>
          <w:u w:val="single"/>
        </w:rPr>
        <w:t>)</w:t>
      </w:r>
    </w:p>
    <w:p w14:paraId="05B3D643" w14:textId="77777777" w:rsidR="005E745F" w:rsidRDefault="00DC7127" w:rsidP="005E745F">
      <w:pPr>
        <w:pStyle w:val="itemnivel2"/>
        <w:rPr>
          <w:rFonts w:ascii="Palatino Linotype" w:hAnsi="Palatino Linotype" w:cs="Calibri"/>
          <w:color w:val="000000"/>
          <w:sz w:val="22"/>
          <w:szCs w:val="22"/>
        </w:rPr>
      </w:pPr>
      <w:r w:rsidRPr="00DC7127">
        <w:rPr>
          <w:rFonts w:ascii="Palatino Linotype" w:hAnsi="Palatino Linotype" w:cs="Calibri"/>
          <w:color w:val="000000"/>
          <w:sz w:val="22"/>
          <w:szCs w:val="22"/>
        </w:rPr>
        <w:t>Os equipamentos </w:t>
      </w:r>
      <w:r w:rsidRPr="00DC7127">
        <w:rPr>
          <w:rFonts w:ascii="Palatino Linotype" w:hAnsi="Palatino Linotype" w:cs="Calibri"/>
          <w:b/>
          <w:bCs/>
          <w:color w:val="000000"/>
          <w:sz w:val="22"/>
          <w:szCs w:val="22"/>
        </w:rPr>
        <w:t>liquidificador, fogão, torradeira, air fryer e cafeteira de cápsula</w:t>
      </w:r>
      <w:r w:rsidRPr="00DC7127">
        <w:rPr>
          <w:rFonts w:ascii="Palatino Linotype" w:hAnsi="Palatino Linotype" w:cs="Calibri"/>
          <w:color w:val="000000"/>
          <w:sz w:val="22"/>
          <w:szCs w:val="22"/>
        </w:rPr>
        <w:t> são essenciais para garantir infraestrutura mínima de apoio às atividades institucionais, possibilitando:</w:t>
      </w:r>
    </w:p>
    <w:p w14:paraId="266E3DA1" w14:textId="1930F1AA" w:rsidR="00DC7127" w:rsidRPr="00DC7127" w:rsidRDefault="00DC7127" w:rsidP="005E745F">
      <w:pPr>
        <w:pStyle w:val="itemnivel2"/>
        <w:rPr>
          <w:rFonts w:ascii="Palatino Linotype" w:hAnsi="Palatino Linotype" w:cs="Calibri"/>
          <w:color w:val="000000"/>
          <w:sz w:val="22"/>
          <w:szCs w:val="22"/>
        </w:rPr>
      </w:pPr>
      <w:r w:rsidRPr="00DC7127">
        <w:rPr>
          <w:rFonts w:ascii="Palatino Linotype" w:hAnsi="Palatino Linotype" w:cs="Calibri"/>
          <w:color w:val="000000"/>
          <w:sz w:val="22"/>
          <w:szCs w:val="22"/>
        </w:rPr>
        <w:t>Preparação de alimentos e bebidas em atividades internas e eventos institucionais;</w:t>
      </w:r>
    </w:p>
    <w:p w14:paraId="6E3F238D" w14:textId="77777777" w:rsidR="00DC7127" w:rsidRP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lastRenderedPageBreak/>
        <w:t>Atendimento adequado a servidores, colaboradores, autoridades e visitantes;</w:t>
      </w:r>
    </w:p>
    <w:p w14:paraId="0743BECE" w14:textId="77777777" w:rsidR="00DC7127" w:rsidRP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t>Melhoria das condições de trabalho e bem-estar no ambiente organizacional;</w:t>
      </w:r>
    </w:p>
    <w:p w14:paraId="4CFB8B93" w14:textId="77777777" w:rsidR="00DC7127" w:rsidRP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t>Suporte logístico em reuniões prolongadas, capacitações e ações institucionais.</w:t>
      </w:r>
    </w:p>
    <w:p w14:paraId="69265CB8" w14:textId="77777777" w:rsidR="00DC7127" w:rsidRPr="00DC7127" w:rsidRDefault="00DC7127" w:rsidP="00DC7127">
      <w:pPr>
        <w:pStyle w:val="itemnivel2"/>
        <w:numPr>
          <w:ilvl w:val="1"/>
          <w:numId w:val="12"/>
        </w:numPr>
        <w:rPr>
          <w:rFonts w:ascii="Palatino Linotype" w:hAnsi="Palatino Linotype" w:cs="Calibri"/>
          <w:color w:val="000000"/>
          <w:sz w:val="22"/>
          <w:szCs w:val="22"/>
        </w:rPr>
      </w:pPr>
      <w:r w:rsidRPr="00DC7127">
        <w:rPr>
          <w:rFonts w:ascii="Palatino Linotype" w:hAnsi="Palatino Linotype" w:cs="Calibri"/>
          <w:b/>
          <w:bCs/>
          <w:color w:val="000000"/>
          <w:sz w:val="22"/>
          <w:szCs w:val="22"/>
          <w:u w:val="single"/>
        </w:rPr>
        <w:t>Higienização e Conservação de Materiais</w:t>
      </w:r>
    </w:p>
    <w:p w14:paraId="7FBFE245" w14:textId="77777777" w:rsidR="00DC7127" w:rsidRP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t>A </w:t>
      </w:r>
      <w:r w:rsidRPr="00DC7127">
        <w:rPr>
          <w:rFonts w:ascii="Palatino Linotype" w:hAnsi="Palatino Linotype" w:cs="Calibri"/>
          <w:b/>
          <w:bCs/>
          <w:color w:val="000000"/>
          <w:sz w:val="22"/>
          <w:szCs w:val="22"/>
        </w:rPr>
        <w:t>máquina de lavar</w:t>
      </w:r>
      <w:r w:rsidRPr="00DC7127">
        <w:rPr>
          <w:rFonts w:ascii="Palatino Linotype" w:hAnsi="Palatino Linotype" w:cs="Calibri"/>
          <w:color w:val="000000"/>
          <w:sz w:val="22"/>
          <w:szCs w:val="22"/>
        </w:rPr>
        <w:t> é necessária para a higienização de panos, toalhas e demais materiais utilizados nas rotinas do setor, garantindo:</w:t>
      </w:r>
    </w:p>
    <w:p w14:paraId="7F5872B0" w14:textId="77777777" w:rsidR="00DC7127" w:rsidRP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t>Condições adequadas de limpeza e conservação;</w:t>
      </w:r>
    </w:p>
    <w:p w14:paraId="7F34D36D" w14:textId="77777777" w:rsidR="00DC7127" w:rsidRP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t>Atendimento às normas sanitárias aplicáveis;</w:t>
      </w:r>
    </w:p>
    <w:p w14:paraId="28A008CA" w14:textId="77777777" w:rsidR="00DC7127" w:rsidRP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t>Redução de custos com serviços terceirizados de lavanderia;</w:t>
      </w:r>
    </w:p>
    <w:p w14:paraId="1E7E0188" w14:textId="77777777" w:rsid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t>Maior controle sobre os processos internos de higienização.</w:t>
      </w:r>
    </w:p>
    <w:p w14:paraId="0021308B" w14:textId="77777777" w:rsidR="008D3A9E" w:rsidRPr="00DC7127" w:rsidRDefault="008D3A9E" w:rsidP="008D3A9E">
      <w:pPr>
        <w:pStyle w:val="itemnivel2"/>
        <w:spacing w:before="0" w:beforeAutospacing="0" w:after="0" w:afterAutospacing="0"/>
        <w:rPr>
          <w:rFonts w:ascii="Palatino Linotype" w:hAnsi="Palatino Linotype" w:cs="Calibri"/>
          <w:color w:val="000000"/>
          <w:sz w:val="22"/>
          <w:szCs w:val="22"/>
        </w:rPr>
      </w:pPr>
    </w:p>
    <w:p w14:paraId="630D7135" w14:textId="3CD944FD" w:rsidR="00DC7127" w:rsidRDefault="00DC7127" w:rsidP="005E745F">
      <w:pPr>
        <w:pStyle w:val="itemnivel2"/>
        <w:numPr>
          <w:ilvl w:val="1"/>
          <w:numId w:val="12"/>
        </w:numPr>
        <w:spacing w:before="0" w:beforeAutospacing="0" w:after="0" w:afterAutospacing="0"/>
        <w:rPr>
          <w:rFonts w:ascii="Palatino Linotype" w:hAnsi="Palatino Linotype" w:cs="Calibri"/>
          <w:b/>
          <w:bCs/>
          <w:color w:val="000000"/>
          <w:sz w:val="22"/>
          <w:szCs w:val="22"/>
          <w:u w:val="single"/>
        </w:rPr>
      </w:pPr>
      <w:r w:rsidRPr="00DC7127">
        <w:rPr>
          <w:rFonts w:ascii="Palatino Linotype" w:hAnsi="Palatino Linotype" w:cs="Calibri"/>
          <w:b/>
          <w:bCs/>
          <w:color w:val="000000"/>
          <w:sz w:val="22"/>
          <w:szCs w:val="22"/>
          <w:u w:val="single"/>
        </w:rPr>
        <w:t>Suporte Tecnológico e Comunicação Institucional</w:t>
      </w:r>
    </w:p>
    <w:p w14:paraId="4156DFEC" w14:textId="77777777" w:rsidR="005E745F" w:rsidRPr="00DC7127" w:rsidRDefault="005E745F" w:rsidP="005E745F">
      <w:pPr>
        <w:pStyle w:val="itemnivel2"/>
        <w:spacing w:before="0" w:beforeAutospacing="0" w:after="0" w:afterAutospacing="0"/>
        <w:ind w:left="360"/>
        <w:rPr>
          <w:rFonts w:ascii="Palatino Linotype" w:hAnsi="Palatino Linotype" w:cs="Calibri"/>
          <w:color w:val="000000"/>
          <w:sz w:val="22"/>
          <w:szCs w:val="22"/>
        </w:rPr>
      </w:pPr>
    </w:p>
    <w:p w14:paraId="15BCDDF1" w14:textId="77777777" w:rsidR="00DC7127" w:rsidRP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t>Os </w:t>
      </w:r>
      <w:r w:rsidRPr="00DC7127">
        <w:rPr>
          <w:rFonts w:ascii="Palatino Linotype" w:hAnsi="Palatino Linotype" w:cs="Calibri"/>
          <w:b/>
          <w:bCs/>
          <w:color w:val="000000"/>
          <w:sz w:val="22"/>
          <w:szCs w:val="22"/>
        </w:rPr>
        <w:t>televisores de 75 e 60 polegadas</w:t>
      </w:r>
      <w:r w:rsidRPr="00DC7127">
        <w:rPr>
          <w:rFonts w:ascii="Palatino Linotype" w:hAnsi="Palatino Linotype" w:cs="Calibri"/>
          <w:color w:val="000000"/>
          <w:sz w:val="22"/>
          <w:szCs w:val="22"/>
        </w:rPr>
        <w:t> serão destinados a:</w:t>
      </w:r>
    </w:p>
    <w:p w14:paraId="099B184F" w14:textId="77777777" w:rsidR="00DC7127" w:rsidRP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t>Realização de reuniões, treinamentos e capacitações;</w:t>
      </w:r>
    </w:p>
    <w:p w14:paraId="1E003331" w14:textId="77777777" w:rsidR="00DC7127" w:rsidRP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t>Videoconferências e transmissões institucionais;</w:t>
      </w:r>
    </w:p>
    <w:p w14:paraId="08B8A3E3" w14:textId="77777777" w:rsidR="00DC7127" w:rsidRP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t>Apresentações técnicas e exibição de conteúdos educativos e administrativos;</w:t>
      </w:r>
    </w:p>
    <w:p w14:paraId="2E740113" w14:textId="77777777" w:rsidR="00DC7127" w:rsidRPr="00DC7127" w:rsidRDefault="00DC7127" w:rsidP="008D3A9E">
      <w:pPr>
        <w:pStyle w:val="itemnivel2"/>
        <w:spacing w:before="0" w:beforeAutospacing="0" w:after="0" w:afterAutospacing="0"/>
        <w:rPr>
          <w:rFonts w:ascii="Palatino Linotype" w:hAnsi="Palatino Linotype" w:cs="Calibri"/>
          <w:color w:val="000000"/>
          <w:sz w:val="22"/>
          <w:szCs w:val="22"/>
        </w:rPr>
      </w:pPr>
      <w:r w:rsidRPr="00DC7127">
        <w:rPr>
          <w:rFonts w:ascii="Palatino Linotype" w:hAnsi="Palatino Linotype" w:cs="Calibri"/>
          <w:color w:val="000000"/>
          <w:sz w:val="22"/>
          <w:szCs w:val="22"/>
        </w:rPr>
        <w:t>Divulgação de informações institucionais em ambientes de recepção ou auditórios.</w:t>
      </w:r>
    </w:p>
    <w:p w14:paraId="335A05ED" w14:textId="77777777" w:rsidR="00DC7127" w:rsidRPr="00DC7127" w:rsidRDefault="00DC7127" w:rsidP="00DC7127">
      <w:pPr>
        <w:pStyle w:val="itemnivel2"/>
        <w:numPr>
          <w:ilvl w:val="1"/>
          <w:numId w:val="12"/>
        </w:numPr>
        <w:rPr>
          <w:rFonts w:ascii="Palatino Linotype" w:hAnsi="Palatino Linotype" w:cs="Calibri"/>
          <w:color w:val="000000"/>
          <w:sz w:val="22"/>
          <w:szCs w:val="22"/>
        </w:rPr>
      </w:pPr>
      <w:r w:rsidRPr="00DC7127">
        <w:rPr>
          <w:rFonts w:ascii="Palatino Linotype" w:hAnsi="Palatino Linotype" w:cs="Calibri"/>
          <w:color w:val="000000"/>
          <w:sz w:val="22"/>
          <w:szCs w:val="22"/>
        </w:rPr>
        <w:t>O dimensionamento das polegadas considera o tamanho dos ambientes e a necessidade de adequada visualização, garantindo qualidade na comunicação e eficiência na execução das atividades.</w:t>
      </w:r>
    </w:p>
    <w:p w14:paraId="1FA22EA4" w14:textId="77777777" w:rsidR="00DC7127" w:rsidRPr="00DC7127" w:rsidRDefault="00DC7127" w:rsidP="00DC7127">
      <w:pPr>
        <w:pStyle w:val="itemnivel2"/>
        <w:numPr>
          <w:ilvl w:val="1"/>
          <w:numId w:val="12"/>
        </w:numPr>
        <w:rPr>
          <w:rFonts w:ascii="Palatino Linotype" w:hAnsi="Palatino Linotype" w:cs="Calibri"/>
          <w:color w:val="000000"/>
          <w:sz w:val="22"/>
          <w:szCs w:val="22"/>
        </w:rPr>
      </w:pPr>
      <w:r w:rsidRPr="00DC7127">
        <w:rPr>
          <w:rFonts w:ascii="Palatino Linotype" w:hAnsi="Palatino Linotype" w:cs="Calibri"/>
          <w:color w:val="000000"/>
          <w:sz w:val="22"/>
          <w:szCs w:val="22"/>
        </w:rPr>
        <w:t>Diante do exposto, resta devidamente demonstrada a necessidade da contratação, considerando sua relevância operacional, administrativa e institucional, estando alinhada ao planejamento do órgão e ao interesse público.</w:t>
      </w:r>
    </w:p>
    <w:p w14:paraId="6C4A1E7C" w14:textId="6AFAAA39" w:rsidR="003F1DAC" w:rsidRPr="00A915F0" w:rsidRDefault="003F1DAC" w:rsidP="003A33B0">
      <w:pPr>
        <w:ind w:left="-426"/>
        <w:rPr>
          <w:rFonts w:ascii="Palatino Linotype" w:hAnsi="Palatino Linotype"/>
        </w:rPr>
      </w:pP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0"/>
        <w:gridCol w:w="4366"/>
        <w:gridCol w:w="949"/>
        <w:gridCol w:w="1278"/>
        <w:gridCol w:w="924"/>
        <w:gridCol w:w="985"/>
      </w:tblGrid>
      <w:tr w:rsidR="003A04DB" w:rsidRPr="00A915F0" w14:paraId="13B88777" w14:textId="7120F0BB" w:rsidTr="00115619">
        <w:trPr>
          <w:tblHeader/>
          <w:tblCellSpacing w:w="15" w:type="dxa"/>
          <w:jc w:val="center"/>
        </w:trPr>
        <w:tc>
          <w:tcPr>
            <w:tcW w:w="284" w:type="pct"/>
            <w:hideMark/>
          </w:tcPr>
          <w:p w14:paraId="7280666B" w14:textId="1E540AD0" w:rsidR="003A04DB" w:rsidRPr="00A915F0" w:rsidRDefault="003A04DB" w:rsidP="003A04DB">
            <w:pPr>
              <w:rPr>
                <w:rFonts w:ascii="Palatino Linotype" w:hAnsi="Palatino Linotype"/>
              </w:rPr>
            </w:pPr>
            <w:r w:rsidRPr="00A915F0">
              <w:rPr>
                <w:rFonts w:ascii="Palatino Linotype" w:hAnsi="Palatino Linotype" w:cs="Calibri"/>
                <w:b/>
                <w:bCs/>
                <w:color w:val="000000"/>
              </w:rPr>
              <w:lastRenderedPageBreak/>
              <w:t>Item</w:t>
            </w:r>
          </w:p>
        </w:tc>
        <w:tc>
          <w:tcPr>
            <w:tcW w:w="2392" w:type="pct"/>
            <w:hideMark/>
          </w:tcPr>
          <w:p w14:paraId="42E5FBF3" w14:textId="530DD969" w:rsidR="003A04DB" w:rsidRPr="00A915F0" w:rsidRDefault="003A04DB" w:rsidP="003A04DB">
            <w:pPr>
              <w:rPr>
                <w:rFonts w:ascii="Palatino Linotype" w:hAnsi="Palatino Linotype"/>
              </w:rPr>
            </w:pPr>
            <w:r w:rsidRPr="00A915F0">
              <w:rPr>
                <w:rFonts w:ascii="Palatino Linotype" w:hAnsi="Palatino Linotype" w:cs="Calibri"/>
                <w:b/>
                <w:bCs/>
                <w:color w:val="000000"/>
              </w:rPr>
              <w:t>Especificação</w:t>
            </w:r>
          </w:p>
        </w:tc>
        <w:tc>
          <w:tcPr>
            <w:tcW w:w="507" w:type="pct"/>
            <w:hideMark/>
          </w:tcPr>
          <w:p w14:paraId="0BFF7478" w14:textId="0914B3BB" w:rsidR="003A04DB" w:rsidRPr="00A915F0" w:rsidRDefault="003A04DB" w:rsidP="003A04DB">
            <w:pPr>
              <w:rPr>
                <w:rFonts w:ascii="Palatino Linotype" w:hAnsi="Palatino Linotype"/>
              </w:rPr>
            </w:pPr>
            <w:r w:rsidRPr="00A915F0">
              <w:rPr>
                <w:rFonts w:ascii="Palatino Linotype" w:hAnsi="Palatino Linotype" w:cs="Calibri"/>
                <w:b/>
                <w:bCs/>
                <w:color w:val="000000"/>
              </w:rPr>
              <w:t>Unidade de Medida</w:t>
            </w:r>
          </w:p>
        </w:tc>
        <w:tc>
          <w:tcPr>
            <w:tcW w:w="689" w:type="pct"/>
            <w:hideMark/>
          </w:tcPr>
          <w:p w14:paraId="6223D53E" w14:textId="7B46A7FE" w:rsidR="003A04DB" w:rsidRPr="00A915F0" w:rsidRDefault="003A04DB" w:rsidP="003A04DB">
            <w:pPr>
              <w:rPr>
                <w:rFonts w:ascii="Palatino Linotype" w:hAnsi="Palatino Linotype"/>
              </w:rPr>
            </w:pPr>
            <w:r w:rsidRPr="00A915F0">
              <w:rPr>
                <w:rFonts w:ascii="Palatino Linotype" w:hAnsi="Palatino Linotype" w:cs="Calibri"/>
                <w:b/>
                <w:bCs/>
                <w:color w:val="000000"/>
              </w:rPr>
              <w:t>Quantidade</w:t>
            </w:r>
          </w:p>
        </w:tc>
        <w:tc>
          <w:tcPr>
            <w:tcW w:w="493" w:type="pct"/>
          </w:tcPr>
          <w:p w14:paraId="65965846" w14:textId="1EB5FEB9" w:rsidR="003A04DB" w:rsidRPr="00A915F0" w:rsidRDefault="003A04DB" w:rsidP="003A04DB">
            <w:pPr>
              <w:rPr>
                <w:rFonts w:ascii="Palatino Linotype" w:hAnsi="Palatino Linotype"/>
              </w:rPr>
            </w:pPr>
            <w:r w:rsidRPr="00A915F0">
              <w:rPr>
                <w:rStyle w:val="Forte"/>
                <w:rFonts w:ascii="Palatino Linotype" w:hAnsi="Palatino Linotype" w:cs="Calibri"/>
                <w:color w:val="000000"/>
              </w:rPr>
              <w:t>Valor Unitário</w:t>
            </w:r>
          </w:p>
        </w:tc>
        <w:tc>
          <w:tcPr>
            <w:tcW w:w="519" w:type="pct"/>
          </w:tcPr>
          <w:p w14:paraId="17C0370A" w14:textId="7798AF18" w:rsidR="003A04DB" w:rsidRPr="00A915F0" w:rsidRDefault="003A04DB" w:rsidP="003A04DB">
            <w:pPr>
              <w:rPr>
                <w:rFonts w:ascii="Palatino Linotype" w:hAnsi="Palatino Linotype"/>
              </w:rPr>
            </w:pPr>
            <w:r w:rsidRPr="00A915F0">
              <w:rPr>
                <w:rStyle w:val="Forte"/>
                <w:rFonts w:ascii="Palatino Linotype" w:hAnsi="Palatino Linotype" w:cs="Calibri"/>
                <w:color w:val="000000"/>
              </w:rPr>
              <w:t>Valor Total</w:t>
            </w:r>
          </w:p>
        </w:tc>
      </w:tr>
      <w:tr w:rsidR="00115619" w:rsidRPr="00A915F0" w14:paraId="0B87E3DA" w14:textId="4FECCE9B" w:rsidTr="00115619">
        <w:trPr>
          <w:tblHeader/>
          <w:tblCellSpacing w:w="15" w:type="dxa"/>
          <w:jc w:val="center"/>
        </w:trPr>
        <w:tc>
          <w:tcPr>
            <w:tcW w:w="284" w:type="pct"/>
          </w:tcPr>
          <w:p w14:paraId="4825F745" w14:textId="0B5F61C3" w:rsidR="00115619" w:rsidRPr="00115619" w:rsidRDefault="00115619" w:rsidP="00115619">
            <w:pPr>
              <w:rPr>
                <w:rFonts w:ascii="Palatino Linotype" w:hAnsi="Palatino Linotype"/>
              </w:rPr>
            </w:pPr>
            <w:r w:rsidRPr="00115619">
              <w:rPr>
                <w:rFonts w:ascii="Palatino Linotype" w:hAnsi="Palatino Linotype" w:cs="Calibri"/>
                <w:color w:val="000000"/>
              </w:rPr>
              <w:t>1</w:t>
            </w:r>
          </w:p>
        </w:tc>
        <w:tc>
          <w:tcPr>
            <w:tcW w:w="2392" w:type="pct"/>
          </w:tcPr>
          <w:p w14:paraId="738BF0B3" w14:textId="2034C62F" w:rsidR="00115619" w:rsidRPr="00115619" w:rsidRDefault="00115619" w:rsidP="00115619">
            <w:pPr>
              <w:rPr>
                <w:rFonts w:ascii="Palatino Linotype" w:hAnsi="Palatino Linotype"/>
              </w:rPr>
            </w:pPr>
            <w:r w:rsidRPr="00115619">
              <w:rPr>
                <w:rFonts w:ascii="Palatino Linotype" w:hAnsi="Palatino Linotype" w:cs="Calibri"/>
                <w:color w:val="000000"/>
              </w:rPr>
              <w:t>fogão 4 bocas doméstico, função elétrica, acendimento automático cor branco ou inox, pés altos para facilitar a limpeza do piso, tampa de vidro, grade para panelas em arame arredondado, espaçamento igual entre os queimadores, grades e capas dos queimadores removíveis para facilitar a limpeza, mesa do fogão selada em aço inox , painel mecânico, injetor de gás horizontal e acendimento automático. forno com válvula de segurança, prateleira deslizante, auto limpante, vidro duplo na porta e iluminação central.</w:t>
            </w:r>
          </w:p>
        </w:tc>
        <w:tc>
          <w:tcPr>
            <w:tcW w:w="507" w:type="pct"/>
          </w:tcPr>
          <w:p w14:paraId="694660D2"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4BFD4828"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4EC607A3"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5A9DECAD" w14:textId="1E1FE1A4" w:rsidR="00115619" w:rsidRPr="00115619" w:rsidRDefault="00115619" w:rsidP="00115619">
            <w:pPr>
              <w:rPr>
                <w:rFonts w:ascii="Palatino Linotype" w:hAnsi="Palatino Linotype"/>
              </w:rPr>
            </w:pPr>
            <w:r w:rsidRPr="00115619">
              <w:rPr>
                <w:rFonts w:ascii="Palatino Linotype" w:hAnsi="Palatino Linotype" w:cs="Calibri"/>
                <w:color w:val="000000"/>
              </w:rPr>
              <w:t>UND</w:t>
            </w:r>
          </w:p>
        </w:tc>
        <w:tc>
          <w:tcPr>
            <w:tcW w:w="689" w:type="pct"/>
          </w:tcPr>
          <w:p w14:paraId="482019DC"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128CD921"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4072700D"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778D872E" w14:textId="01416AE2" w:rsidR="00115619" w:rsidRPr="00115619" w:rsidRDefault="00115619" w:rsidP="00115619">
            <w:pPr>
              <w:rPr>
                <w:rFonts w:ascii="Palatino Linotype" w:hAnsi="Palatino Linotype"/>
              </w:rPr>
            </w:pPr>
            <w:r w:rsidRPr="00115619">
              <w:rPr>
                <w:rFonts w:ascii="Palatino Linotype" w:hAnsi="Palatino Linotype" w:cs="Calibri"/>
                <w:color w:val="000000"/>
              </w:rPr>
              <w:t>03</w:t>
            </w:r>
          </w:p>
        </w:tc>
        <w:tc>
          <w:tcPr>
            <w:tcW w:w="493" w:type="pct"/>
          </w:tcPr>
          <w:p w14:paraId="45AE1081"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41BC0BBE"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2879F5BD" w14:textId="661B4606" w:rsidR="00115619" w:rsidRPr="00115619" w:rsidRDefault="00115619" w:rsidP="00115619">
            <w:pPr>
              <w:rPr>
                <w:rFonts w:ascii="Palatino Linotype" w:hAnsi="Palatino Linotype" w:cs="Calibri"/>
                <w:color w:val="000000"/>
              </w:rPr>
            </w:pPr>
            <w:r w:rsidRPr="00115619">
              <w:rPr>
                <w:rFonts w:ascii="Palatino Linotype" w:hAnsi="Palatino Linotype" w:cs="Calibri"/>
                <w:color w:val="000000"/>
              </w:rPr>
              <w:t>R$ 781,98</w:t>
            </w:r>
          </w:p>
        </w:tc>
        <w:tc>
          <w:tcPr>
            <w:tcW w:w="519" w:type="pct"/>
          </w:tcPr>
          <w:p w14:paraId="3F5A3164"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0225A1AC"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4ABEFEE7" w14:textId="78B7FCE0" w:rsidR="00115619" w:rsidRPr="00115619" w:rsidRDefault="00115619" w:rsidP="00115619">
            <w:pPr>
              <w:rPr>
                <w:rFonts w:ascii="Palatino Linotype" w:hAnsi="Palatino Linotype" w:cs="Calibri"/>
                <w:color w:val="000000"/>
              </w:rPr>
            </w:pPr>
            <w:r w:rsidRPr="00115619">
              <w:rPr>
                <w:rFonts w:ascii="Palatino Linotype" w:hAnsi="Palatino Linotype" w:cs="Calibri"/>
                <w:color w:val="000000"/>
              </w:rPr>
              <w:t>R$ 2.345,94</w:t>
            </w:r>
          </w:p>
        </w:tc>
      </w:tr>
      <w:tr w:rsidR="00115619" w:rsidRPr="00A915F0" w14:paraId="70C329E8" w14:textId="49BA4682" w:rsidTr="00115619">
        <w:trPr>
          <w:tblHeader/>
          <w:tblCellSpacing w:w="15" w:type="dxa"/>
          <w:jc w:val="center"/>
        </w:trPr>
        <w:tc>
          <w:tcPr>
            <w:tcW w:w="284" w:type="pct"/>
          </w:tcPr>
          <w:p w14:paraId="76F5183C" w14:textId="456D22D3" w:rsidR="00115619" w:rsidRPr="00115619" w:rsidRDefault="00115619" w:rsidP="00115619">
            <w:pPr>
              <w:rPr>
                <w:rFonts w:ascii="Palatino Linotype" w:hAnsi="Palatino Linotype"/>
              </w:rPr>
            </w:pPr>
            <w:r w:rsidRPr="00115619">
              <w:rPr>
                <w:rFonts w:ascii="Palatino Linotype" w:hAnsi="Palatino Linotype" w:cs="Calibri"/>
                <w:b/>
                <w:bCs/>
                <w:color w:val="000000"/>
              </w:rPr>
              <w:t>2</w:t>
            </w:r>
          </w:p>
        </w:tc>
        <w:tc>
          <w:tcPr>
            <w:tcW w:w="2392" w:type="pct"/>
          </w:tcPr>
          <w:p w14:paraId="33AFB267" w14:textId="642BBFD0" w:rsidR="00115619" w:rsidRPr="00115619" w:rsidRDefault="00115619" w:rsidP="00115619">
            <w:pPr>
              <w:rPr>
                <w:rFonts w:ascii="Palatino Linotype" w:hAnsi="Palatino Linotype"/>
              </w:rPr>
            </w:pPr>
            <w:r w:rsidRPr="00115619">
              <w:rPr>
                <w:rFonts w:ascii="Palatino Linotype" w:hAnsi="Palatino Linotype" w:cs="Calibri"/>
                <w:color w:val="000000"/>
              </w:rPr>
              <w:t>lavadora de roupas automática, mínima de 12 kg, cor branca, mínimo 3 níveis de água, centrifugação eficiente, indicação das etapas de lavagem, cesto de polipropileno ou inox, gabinete em aço galvanizado ou polipropileno, funções lava, enxagua, centrifuga, tampa de abertura superior, tipo de água fria, gaveta multi dispenser individuais, liga/desliga, visualizador das etapas de lavagem, pés niveladores, alimentação 220 volts, garantia mínima de 12 meses</w:t>
            </w:r>
          </w:p>
        </w:tc>
        <w:tc>
          <w:tcPr>
            <w:tcW w:w="507" w:type="pct"/>
          </w:tcPr>
          <w:p w14:paraId="077676B9"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66B55A1E"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765BF5F4" w14:textId="564F129B" w:rsidR="00115619" w:rsidRPr="00115619" w:rsidRDefault="00115619" w:rsidP="00115619">
            <w:pPr>
              <w:rPr>
                <w:rFonts w:ascii="Palatino Linotype" w:hAnsi="Palatino Linotype"/>
              </w:rPr>
            </w:pPr>
            <w:r w:rsidRPr="00115619">
              <w:rPr>
                <w:rFonts w:ascii="Palatino Linotype" w:hAnsi="Palatino Linotype" w:cs="Calibri"/>
                <w:color w:val="000000"/>
              </w:rPr>
              <w:t>UND</w:t>
            </w:r>
          </w:p>
        </w:tc>
        <w:tc>
          <w:tcPr>
            <w:tcW w:w="689" w:type="pct"/>
          </w:tcPr>
          <w:p w14:paraId="328998C1"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63B5F2C9"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40F777FE" w14:textId="562FFE95" w:rsidR="00115619" w:rsidRPr="00115619" w:rsidRDefault="00115619" w:rsidP="00115619">
            <w:pPr>
              <w:rPr>
                <w:rFonts w:ascii="Palatino Linotype" w:hAnsi="Palatino Linotype"/>
              </w:rPr>
            </w:pPr>
            <w:r w:rsidRPr="00115619">
              <w:rPr>
                <w:rFonts w:ascii="Palatino Linotype" w:hAnsi="Palatino Linotype" w:cs="Calibri"/>
                <w:color w:val="000000"/>
              </w:rPr>
              <w:t>01</w:t>
            </w:r>
          </w:p>
        </w:tc>
        <w:tc>
          <w:tcPr>
            <w:tcW w:w="493" w:type="pct"/>
          </w:tcPr>
          <w:p w14:paraId="0A4673BF"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3B440CE6" w14:textId="4BD32327" w:rsidR="00115619" w:rsidRPr="00115619" w:rsidRDefault="00115619" w:rsidP="00115619">
            <w:pPr>
              <w:rPr>
                <w:rFonts w:ascii="Palatino Linotype" w:hAnsi="Palatino Linotype" w:cs="Calibri"/>
                <w:color w:val="000000"/>
              </w:rPr>
            </w:pPr>
            <w:r w:rsidRPr="00115619">
              <w:rPr>
                <w:rFonts w:ascii="Palatino Linotype" w:hAnsi="Palatino Linotype" w:cs="Calibri"/>
                <w:color w:val="000000"/>
              </w:rPr>
              <w:t>R$ 2.227,67</w:t>
            </w:r>
          </w:p>
        </w:tc>
        <w:tc>
          <w:tcPr>
            <w:tcW w:w="519" w:type="pct"/>
          </w:tcPr>
          <w:p w14:paraId="7DF874EB"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0A2FCAF0" w14:textId="3FAA4ED6" w:rsidR="00115619" w:rsidRPr="00115619" w:rsidRDefault="00115619" w:rsidP="00115619">
            <w:pPr>
              <w:rPr>
                <w:rFonts w:ascii="Palatino Linotype" w:hAnsi="Palatino Linotype" w:cs="Calibri"/>
                <w:color w:val="000000"/>
              </w:rPr>
            </w:pPr>
            <w:r w:rsidRPr="00115619">
              <w:rPr>
                <w:rFonts w:ascii="Palatino Linotype" w:hAnsi="Palatino Linotype" w:cs="Calibri"/>
                <w:color w:val="000000"/>
              </w:rPr>
              <w:t>R$ 2.227,67</w:t>
            </w:r>
          </w:p>
        </w:tc>
      </w:tr>
      <w:tr w:rsidR="00115619" w:rsidRPr="00A915F0" w14:paraId="025EAE1C" w14:textId="46D13839" w:rsidTr="00115619">
        <w:trPr>
          <w:tblHeader/>
          <w:tblCellSpacing w:w="15" w:type="dxa"/>
          <w:jc w:val="center"/>
        </w:trPr>
        <w:tc>
          <w:tcPr>
            <w:tcW w:w="284" w:type="pct"/>
          </w:tcPr>
          <w:p w14:paraId="491FCA25" w14:textId="039F3E23" w:rsidR="00115619" w:rsidRPr="00115619" w:rsidRDefault="00115619" w:rsidP="00115619">
            <w:pPr>
              <w:rPr>
                <w:rFonts w:ascii="Palatino Linotype" w:hAnsi="Palatino Linotype"/>
              </w:rPr>
            </w:pPr>
            <w:r w:rsidRPr="00115619">
              <w:rPr>
                <w:rFonts w:ascii="Palatino Linotype" w:hAnsi="Palatino Linotype" w:cs="Calibri"/>
                <w:color w:val="000000"/>
              </w:rPr>
              <w:t>3</w:t>
            </w:r>
          </w:p>
        </w:tc>
        <w:tc>
          <w:tcPr>
            <w:tcW w:w="2392" w:type="pct"/>
          </w:tcPr>
          <w:p w14:paraId="639ABD3D" w14:textId="79EE5E27" w:rsidR="00115619" w:rsidRPr="00115619" w:rsidRDefault="00115619" w:rsidP="00115619">
            <w:pPr>
              <w:rPr>
                <w:rFonts w:ascii="Palatino Linotype" w:hAnsi="Palatino Linotype"/>
              </w:rPr>
            </w:pPr>
            <w:r w:rsidRPr="00115619">
              <w:rPr>
                <w:rFonts w:ascii="Palatino Linotype" w:hAnsi="Palatino Linotype" w:cs="Calibri"/>
                <w:color w:val="000000"/>
              </w:rPr>
              <w:t>sanduicheira - material: revestimento antiaderente, cor: branca, capacidade: 2 sanduiches, potencia: 750 watts, tensao: 110 v, dimensao (h x l x p): 225 x 80 x 235 mm, acessorio: n/a</w:t>
            </w:r>
          </w:p>
        </w:tc>
        <w:tc>
          <w:tcPr>
            <w:tcW w:w="507" w:type="pct"/>
          </w:tcPr>
          <w:p w14:paraId="47CE04E4"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425AC39F" w14:textId="459E822F" w:rsidR="00115619" w:rsidRPr="00115619" w:rsidRDefault="00115619" w:rsidP="00115619">
            <w:pPr>
              <w:rPr>
                <w:rFonts w:ascii="Palatino Linotype" w:hAnsi="Palatino Linotype"/>
              </w:rPr>
            </w:pPr>
            <w:r w:rsidRPr="00115619">
              <w:rPr>
                <w:rFonts w:ascii="Palatino Linotype" w:hAnsi="Palatino Linotype" w:cs="Calibri"/>
                <w:color w:val="000000"/>
              </w:rPr>
              <w:t>UND</w:t>
            </w:r>
          </w:p>
        </w:tc>
        <w:tc>
          <w:tcPr>
            <w:tcW w:w="689" w:type="pct"/>
          </w:tcPr>
          <w:p w14:paraId="6CF5195E"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2F0F8B45" w14:textId="11DB1241" w:rsidR="00115619" w:rsidRPr="00115619" w:rsidRDefault="00115619" w:rsidP="00115619">
            <w:pPr>
              <w:rPr>
                <w:rFonts w:ascii="Palatino Linotype" w:hAnsi="Palatino Linotype"/>
              </w:rPr>
            </w:pPr>
            <w:r w:rsidRPr="00115619">
              <w:rPr>
                <w:rFonts w:ascii="Palatino Linotype" w:hAnsi="Palatino Linotype" w:cs="Calibri"/>
                <w:color w:val="000000"/>
              </w:rPr>
              <w:t>04</w:t>
            </w:r>
          </w:p>
        </w:tc>
        <w:tc>
          <w:tcPr>
            <w:tcW w:w="493" w:type="pct"/>
          </w:tcPr>
          <w:p w14:paraId="1C57F8B2"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3B447C03" w14:textId="75EC772A" w:rsidR="00115619" w:rsidRPr="00115619" w:rsidRDefault="00115619" w:rsidP="00115619">
            <w:pPr>
              <w:rPr>
                <w:rFonts w:ascii="Palatino Linotype" w:hAnsi="Palatino Linotype" w:cs="Calibri"/>
                <w:color w:val="000000"/>
              </w:rPr>
            </w:pPr>
            <w:r w:rsidRPr="00115619">
              <w:rPr>
                <w:rFonts w:ascii="Palatino Linotype" w:hAnsi="Palatino Linotype" w:cs="Calibri"/>
                <w:color w:val="000000"/>
              </w:rPr>
              <w:t>R$ 133,45</w:t>
            </w:r>
          </w:p>
        </w:tc>
        <w:tc>
          <w:tcPr>
            <w:tcW w:w="519" w:type="pct"/>
          </w:tcPr>
          <w:p w14:paraId="0BA4706F"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6366BC52" w14:textId="3E7A14A3" w:rsidR="00115619" w:rsidRPr="00115619" w:rsidRDefault="00115619" w:rsidP="00115619">
            <w:pPr>
              <w:rPr>
                <w:rFonts w:ascii="Palatino Linotype" w:hAnsi="Palatino Linotype" w:cs="Calibri"/>
                <w:color w:val="000000"/>
              </w:rPr>
            </w:pPr>
            <w:r w:rsidRPr="00115619">
              <w:rPr>
                <w:rFonts w:ascii="Palatino Linotype" w:hAnsi="Palatino Linotype" w:cs="Calibri"/>
                <w:color w:val="000000"/>
              </w:rPr>
              <w:t>R$ 533,80</w:t>
            </w:r>
          </w:p>
        </w:tc>
      </w:tr>
      <w:tr w:rsidR="00115619" w:rsidRPr="00A915F0" w14:paraId="7CE9DDDE" w14:textId="77FB59DF" w:rsidTr="00115619">
        <w:trPr>
          <w:tblHeader/>
          <w:tblCellSpacing w:w="15" w:type="dxa"/>
          <w:jc w:val="center"/>
        </w:trPr>
        <w:tc>
          <w:tcPr>
            <w:tcW w:w="284" w:type="pct"/>
          </w:tcPr>
          <w:p w14:paraId="5A23779E" w14:textId="6C768189" w:rsidR="00115619" w:rsidRPr="00115619" w:rsidRDefault="00115619" w:rsidP="00115619">
            <w:pPr>
              <w:rPr>
                <w:rFonts w:ascii="Palatino Linotype" w:hAnsi="Palatino Linotype"/>
              </w:rPr>
            </w:pPr>
            <w:r w:rsidRPr="00115619">
              <w:rPr>
                <w:rFonts w:ascii="Palatino Linotype" w:hAnsi="Palatino Linotype" w:cs="Calibri"/>
                <w:color w:val="000000"/>
              </w:rPr>
              <w:t>4</w:t>
            </w:r>
          </w:p>
        </w:tc>
        <w:tc>
          <w:tcPr>
            <w:tcW w:w="2392" w:type="pct"/>
          </w:tcPr>
          <w:p w14:paraId="1DB0DF76" w14:textId="12B480C0" w:rsidR="00115619" w:rsidRPr="00115619" w:rsidRDefault="00115619" w:rsidP="00115619">
            <w:pPr>
              <w:rPr>
                <w:rFonts w:ascii="Palatino Linotype" w:hAnsi="Palatino Linotype"/>
              </w:rPr>
            </w:pPr>
            <w:r w:rsidRPr="00115619">
              <w:rPr>
                <w:rFonts w:ascii="Palatino Linotype" w:hAnsi="Palatino Linotype" w:cs="Calibri"/>
                <w:color w:val="000000"/>
              </w:rPr>
              <w:t>liquidificador - modelo: doméstico; requisito: copo graduado em acrílico com capacidade total de 2,0 litros, três velocidades, tecla auto limpante, tecla pulsar, potência mínima de 600 w</w:t>
            </w:r>
          </w:p>
        </w:tc>
        <w:tc>
          <w:tcPr>
            <w:tcW w:w="507" w:type="pct"/>
          </w:tcPr>
          <w:p w14:paraId="541488D3"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25797D66" w14:textId="32D1F8FE" w:rsidR="00115619" w:rsidRPr="00115619" w:rsidRDefault="00115619" w:rsidP="00115619">
            <w:pPr>
              <w:rPr>
                <w:rFonts w:ascii="Palatino Linotype" w:hAnsi="Palatino Linotype"/>
              </w:rPr>
            </w:pPr>
            <w:r w:rsidRPr="00115619">
              <w:rPr>
                <w:rFonts w:ascii="Palatino Linotype" w:hAnsi="Palatino Linotype" w:cs="Calibri"/>
                <w:color w:val="000000"/>
              </w:rPr>
              <w:t>UND</w:t>
            </w:r>
          </w:p>
        </w:tc>
        <w:tc>
          <w:tcPr>
            <w:tcW w:w="689" w:type="pct"/>
          </w:tcPr>
          <w:p w14:paraId="3C4A0928"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40CC6921" w14:textId="7F4E180C" w:rsidR="00115619" w:rsidRPr="00115619" w:rsidRDefault="00115619" w:rsidP="00115619">
            <w:pPr>
              <w:rPr>
                <w:rFonts w:ascii="Palatino Linotype" w:hAnsi="Palatino Linotype"/>
              </w:rPr>
            </w:pPr>
            <w:r w:rsidRPr="00115619">
              <w:rPr>
                <w:rFonts w:ascii="Palatino Linotype" w:hAnsi="Palatino Linotype" w:cs="Calibri"/>
                <w:color w:val="000000"/>
              </w:rPr>
              <w:t>04</w:t>
            </w:r>
          </w:p>
        </w:tc>
        <w:tc>
          <w:tcPr>
            <w:tcW w:w="493" w:type="pct"/>
          </w:tcPr>
          <w:p w14:paraId="71FD805D"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015614C5" w14:textId="2532614E" w:rsidR="00115619" w:rsidRPr="00115619" w:rsidRDefault="00115619" w:rsidP="00115619">
            <w:pPr>
              <w:rPr>
                <w:rFonts w:ascii="Palatino Linotype" w:hAnsi="Palatino Linotype" w:cs="Calibri"/>
                <w:color w:val="000000"/>
              </w:rPr>
            </w:pPr>
            <w:r w:rsidRPr="00115619">
              <w:rPr>
                <w:rFonts w:ascii="Palatino Linotype" w:hAnsi="Palatino Linotype" w:cs="Calibri"/>
                <w:color w:val="000000"/>
              </w:rPr>
              <w:t>R$ 208,06</w:t>
            </w:r>
          </w:p>
        </w:tc>
        <w:tc>
          <w:tcPr>
            <w:tcW w:w="519" w:type="pct"/>
          </w:tcPr>
          <w:p w14:paraId="18CBA802"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00B3CAA2" w14:textId="57F910D1" w:rsidR="00115619" w:rsidRPr="00115619" w:rsidRDefault="00115619" w:rsidP="00115619">
            <w:pPr>
              <w:rPr>
                <w:rFonts w:ascii="Palatino Linotype" w:hAnsi="Palatino Linotype" w:cs="Calibri"/>
                <w:color w:val="000000"/>
              </w:rPr>
            </w:pPr>
            <w:r w:rsidRPr="00115619">
              <w:rPr>
                <w:rFonts w:ascii="Palatino Linotype" w:hAnsi="Palatino Linotype" w:cs="Calibri"/>
                <w:color w:val="000000"/>
              </w:rPr>
              <w:t>R$ 832,24</w:t>
            </w:r>
          </w:p>
        </w:tc>
      </w:tr>
      <w:tr w:rsidR="00115619" w:rsidRPr="00A915F0" w14:paraId="7D300A05" w14:textId="702C6024" w:rsidTr="00115619">
        <w:trPr>
          <w:tblHeader/>
          <w:tblCellSpacing w:w="15" w:type="dxa"/>
          <w:jc w:val="center"/>
        </w:trPr>
        <w:tc>
          <w:tcPr>
            <w:tcW w:w="284" w:type="pct"/>
          </w:tcPr>
          <w:p w14:paraId="44975EF9" w14:textId="090715B2" w:rsidR="00115619" w:rsidRPr="00115619" w:rsidRDefault="00115619" w:rsidP="00115619">
            <w:pPr>
              <w:rPr>
                <w:rFonts w:ascii="Palatino Linotype" w:hAnsi="Palatino Linotype"/>
              </w:rPr>
            </w:pPr>
            <w:r w:rsidRPr="00115619">
              <w:rPr>
                <w:rFonts w:ascii="Palatino Linotype" w:hAnsi="Palatino Linotype" w:cs="Calibri"/>
                <w:color w:val="000000"/>
              </w:rPr>
              <w:lastRenderedPageBreak/>
              <w:t>5</w:t>
            </w:r>
          </w:p>
        </w:tc>
        <w:tc>
          <w:tcPr>
            <w:tcW w:w="2392" w:type="pct"/>
          </w:tcPr>
          <w:p w14:paraId="7E235B15" w14:textId="140A0F99" w:rsidR="00115619" w:rsidRPr="00115619" w:rsidRDefault="00115619" w:rsidP="00115619">
            <w:pPr>
              <w:rPr>
                <w:rFonts w:ascii="Palatino Linotype" w:hAnsi="Palatino Linotype"/>
              </w:rPr>
            </w:pPr>
            <w:r w:rsidRPr="00115619">
              <w:rPr>
                <w:rFonts w:ascii="Palatino Linotype" w:hAnsi="Palatino Linotype" w:cs="Calibri"/>
                <w:color w:val="000000"/>
              </w:rPr>
              <w:t>televisor - tipo: smart tv led; tamanho da tela: 60"; formato da tela: widescreen 16:9; resolução: ultra hd (uhd) 4k; voltagem: bivolt; dados complementares: com conversor digital embutido.</w:t>
            </w:r>
          </w:p>
        </w:tc>
        <w:tc>
          <w:tcPr>
            <w:tcW w:w="507" w:type="pct"/>
          </w:tcPr>
          <w:p w14:paraId="4A970BEF"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2D6A32A9" w14:textId="1FB1ACAA" w:rsidR="00115619" w:rsidRPr="00115619" w:rsidRDefault="00115619" w:rsidP="00115619">
            <w:pPr>
              <w:rPr>
                <w:rFonts w:ascii="Palatino Linotype" w:hAnsi="Palatino Linotype"/>
              </w:rPr>
            </w:pPr>
            <w:r w:rsidRPr="00115619">
              <w:rPr>
                <w:rFonts w:ascii="Palatino Linotype" w:hAnsi="Palatino Linotype" w:cs="Calibri"/>
                <w:color w:val="000000"/>
              </w:rPr>
              <w:t>UND</w:t>
            </w:r>
          </w:p>
        </w:tc>
        <w:tc>
          <w:tcPr>
            <w:tcW w:w="689" w:type="pct"/>
          </w:tcPr>
          <w:p w14:paraId="7E39AB41"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5E2644F3" w14:textId="056BD0FB" w:rsidR="00115619" w:rsidRPr="00115619" w:rsidRDefault="00115619" w:rsidP="00115619">
            <w:pPr>
              <w:rPr>
                <w:rFonts w:ascii="Palatino Linotype" w:hAnsi="Palatino Linotype"/>
              </w:rPr>
            </w:pPr>
            <w:r w:rsidRPr="00115619">
              <w:rPr>
                <w:rFonts w:ascii="Palatino Linotype" w:hAnsi="Palatino Linotype" w:cs="Calibri"/>
                <w:color w:val="000000"/>
              </w:rPr>
              <w:t>02</w:t>
            </w:r>
          </w:p>
        </w:tc>
        <w:tc>
          <w:tcPr>
            <w:tcW w:w="493" w:type="pct"/>
          </w:tcPr>
          <w:p w14:paraId="12FBAFDA" w14:textId="143CE41C" w:rsidR="00115619" w:rsidRPr="00115619" w:rsidRDefault="00115619" w:rsidP="00115619">
            <w:pPr>
              <w:rPr>
                <w:rFonts w:ascii="Palatino Linotype" w:hAnsi="Palatino Linotype"/>
              </w:rPr>
            </w:pPr>
            <w:r w:rsidRPr="00115619">
              <w:rPr>
                <w:rFonts w:ascii="Palatino Linotype" w:hAnsi="Palatino Linotype" w:cs="Calibri"/>
                <w:color w:val="000000"/>
              </w:rPr>
              <w:t>R$ 2.802,53</w:t>
            </w:r>
          </w:p>
        </w:tc>
        <w:tc>
          <w:tcPr>
            <w:tcW w:w="519" w:type="pct"/>
          </w:tcPr>
          <w:p w14:paraId="7171298E" w14:textId="7F07BF1D" w:rsidR="00115619" w:rsidRPr="00115619" w:rsidRDefault="00115619" w:rsidP="00115619">
            <w:pPr>
              <w:rPr>
                <w:rFonts w:ascii="Palatino Linotype" w:hAnsi="Palatino Linotype"/>
              </w:rPr>
            </w:pPr>
            <w:r w:rsidRPr="00115619">
              <w:rPr>
                <w:rFonts w:ascii="Palatino Linotype" w:hAnsi="Palatino Linotype" w:cs="Calibri"/>
                <w:color w:val="000000"/>
              </w:rPr>
              <w:t>R$ 5.605,06</w:t>
            </w:r>
          </w:p>
        </w:tc>
      </w:tr>
      <w:tr w:rsidR="00115619" w:rsidRPr="00A915F0" w14:paraId="363CAE87" w14:textId="2FD934BF" w:rsidTr="00115619">
        <w:trPr>
          <w:tblHeader/>
          <w:tblCellSpacing w:w="15" w:type="dxa"/>
          <w:jc w:val="center"/>
        </w:trPr>
        <w:tc>
          <w:tcPr>
            <w:tcW w:w="284" w:type="pct"/>
          </w:tcPr>
          <w:p w14:paraId="0BA9AA07" w14:textId="673BBD89" w:rsidR="00115619" w:rsidRPr="00115619" w:rsidRDefault="00115619" w:rsidP="00115619">
            <w:pPr>
              <w:rPr>
                <w:rFonts w:ascii="Palatino Linotype" w:hAnsi="Palatino Linotype"/>
              </w:rPr>
            </w:pPr>
            <w:r w:rsidRPr="00115619">
              <w:rPr>
                <w:rFonts w:ascii="Palatino Linotype" w:hAnsi="Palatino Linotype" w:cs="Calibri"/>
                <w:color w:val="000000"/>
              </w:rPr>
              <w:t>6</w:t>
            </w:r>
          </w:p>
        </w:tc>
        <w:tc>
          <w:tcPr>
            <w:tcW w:w="2392" w:type="pct"/>
          </w:tcPr>
          <w:p w14:paraId="06EC883E" w14:textId="1C242682" w:rsidR="00115619" w:rsidRPr="00115619" w:rsidRDefault="00115619" w:rsidP="00115619">
            <w:pPr>
              <w:rPr>
                <w:rFonts w:ascii="Palatino Linotype" w:hAnsi="Palatino Linotype"/>
              </w:rPr>
            </w:pPr>
            <w:r w:rsidRPr="00115619">
              <w:rPr>
                <w:rFonts w:ascii="Palatino Linotype" w:hAnsi="Palatino Linotype" w:cs="Calibri"/>
                <w:color w:val="000000"/>
              </w:rPr>
              <w:t>televisor - tipo: smart tv led; tamanho da tela: 75"; formato da tela: widescreen 16:9; resolução: ultra hd (uhd) 4k; voltagem: bivolt; dados complementares: com conversor digital embutido.</w:t>
            </w:r>
          </w:p>
        </w:tc>
        <w:tc>
          <w:tcPr>
            <w:tcW w:w="507" w:type="pct"/>
          </w:tcPr>
          <w:p w14:paraId="16F54A85"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3B3360C1" w14:textId="5B387D32" w:rsidR="00115619" w:rsidRPr="00115619" w:rsidRDefault="00115619" w:rsidP="00115619">
            <w:pPr>
              <w:rPr>
                <w:rFonts w:ascii="Palatino Linotype" w:hAnsi="Palatino Linotype"/>
              </w:rPr>
            </w:pPr>
            <w:r w:rsidRPr="00115619">
              <w:rPr>
                <w:rFonts w:ascii="Palatino Linotype" w:hAnsi="Palatino Linotype" w:cs="Calibri"/>
                <w:color w:val="000000"/>
              </w:rPr>
              <w:t>UND</w:t>
            </w:r>
          </w:p>
        </w:tc>
        <w:tc>
          <w:tcPr>
            <w:tcW w:w="689" w:type="pct"/>
          </w:tcPr>
          <w:p w14:paraId="2127DFCD"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3D13A8BA" w14:textId="11C17FE3" w:rsidR="00115619" w:rsidRPr="00115619" w:rsidRDefault="00115619" w:rsidP="00115619">
            <w:pPr>
              <w:rPr>
                <w:rFonts w:ascii="Palatino Linotype" w:hAnsi="Palatino Linotype"/>
              </w:rPr>
            </w:pPr>
            <w:r w:rsidRPr="00115619">
              <w:rPr>
                <w:rFonts w:ascii="Palatino Linotype" w:hAnsi="Palatino Linotype" w:cs="Calibri"/>
                <w:color w:val="000000"/>
              </w:rPr>
              <w:t>02</w:t>
            </w:r>
          </w:p>
        </w:tc>
        <w:tc>
          <w:tcPr>
            <w:tcW w:w="493" w:type="pct"/>
          </w:tcPr>
          <w:p w14:paraId="26F07D4F" w14:textId="4753D4B9" w:rsidR="00115619" w:rsidRPr="00115619" w:rsidRDefault="00115619" w:rsidP="00115619">
            <w:pPr>
              <w:rPr>
                <w:rFonts w:ascii="Palatino Linotype" w:hAnsi="Palatino Linotype"/>
              </w:rPr>
            </w:pPr>
            <w:r w:rsidRPr="00115619">
              <w:rPr>
                <w:rFonts w:ascii="Palatino Linotype" w:hAnsi="Palatino Linotype" w:cs="Calibri"/>
                <w:color w:val="000000"/>
              </w:rPr>
              <w:t>R$ 5.598,84</w:t>
            </w:r>
          </w:p>
        </w:tc>
        <w:tc>
          <w:tcPr>
            <w:tcW w:w="519" w:type="pct"/>
          </w:tcPr>
          <w:p w14:paraId="3AC94A0B" w14:textId="76148BF4" w:rsidR="00115619" w:rsidRPr="00115619" w:rsidRDefault="00115619" w:rsidP="00115619">
            <w:pPr>
              <w:rPr>
                <w:rFonts w:ascii="Palatino Linotype" w:hAnsi="Palatino Linotype"/>
              </w:rPr>
            </w:pPr>
            <w:r w:rsidRPr="00115619">
              <w:rPr>
                <w:rFonts w:ascii="Palatino Linotype" w:hAnsi="Palatino Linotype" w:cs="Calibri"/>
                <w:color w:val="000000"/>
              </w:rPr>
              <w:t>R$ 11.197,68</w:t>
            </w:r>
          </w:p>
        </w:tc>
      </w:tr>
      <w:tr w:rsidR="00115619" w:rsidRPr="00A915F0" w14:paraId="5C3C19F4" w14:textId="0F6F29D4" w:rsidTr="00115619">
        <w:trPr>
          <w:tblHeader/>
          <w:tblCellSpacing w:w="15" w:type="dxa"/>
          <w:jc w:val="center"/>
        </w:trPr>
        <w:tc>
          <w:tcPr>
            <w:tcW w:w="284" w:type="pct"/>
          </w:tcPr>
          <w:p w14:paraId="1DBD17F4" w14:textId="0D4A0C2D" w:rsidR="00115619" w:rsidRPr="00115619" w:rsidRDefault="00115619" w:rsidP="00115619">
            <w:pPr>
              <w:rPr>
                <w:rFonts w:ascii="Palatino Linotype" w:hAnsi="Palatino Linotype"/>
              </w:rPr>
            </w:pPr>
            <w:r w:rsidRPr="00115619">
              <w:rPr>
                <w:rFonts w:ascii="Palatino Linotype" w:hAnsi="Palatino Linotype" w:cs="Calibri"/>
                <w:color w:val="000000"/>
              </w:rPr>
              <w:t>7</w:t>
            </w:r>
          </w:p>
        </w:tc>
        <w:tc>
          <w:tcPr>
            <w:tcW w:w="2392" w:type="pct"/>
          </w:tcPr>
          <w:p w14:paraId="7A4CB1D8" w14:textId="50201352" w:rsidR="00115619" w:rsidRPr="00115619" w:rsidRDefault="00115619" w:rsidP="00115619">
            <w:pPr>
              <w:rPr>
                <w:rFonts w:ascii="Palatino Linotype" w:hAnsi="Palatino Linotype"/>
              </w:rPr>
            </w:pPr>
            <w:r w:rsidRPr="00115619">
              <w:rPr>
                <w:rFonts w:ascii="Palatino Linotype" w:hAnsi="Palatino Linotype" w:cs="Calibri"/>
                <w:color w:val="000000"/>
              </w:rPr>
              <w:t>air fryer preta e inox 8l com timer 1500w, 220v- tem capacidade para 8 litros com tecnologia de circulação de ar quente, ela cozinha, assa e frita sem necessidade de usar óleo ou manteiga, seu cesto quadrado, com a maior área plana do mercado, além de ser removível para facilitar seu manuseio e a limpeza. o controle de temperatura até 200°c e o timer de até 60 minutos com desligamento automático tornam ainda mais prática essa fritadeira elétrica. versátil</w:t>
            </w:r>
          </w:p>
        </w:tc>
        <w:tc>
          <w:tcPr>
            <w:tcW w:w="507" w:type="pct"/>
          </w:tcPr>
          <w:p w14:paraId="6160F091"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5EF9C4D0"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2F004D1C"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6B4FB33D" w14:textId="399AF414" w:rsidR="00115619" w:rsidRPr="00115619" w:rsidRDefault="00115619" w:rsidP="00115619">
            <w:pPr>
              <w:rPr>
                <w:rFonts w:ascii="Palatino Linotype" w:hAnsi="Palatino Linotype"/>
              </w:rPr>
            </w:pPr>
            <w:r w:rsidRPr="00115619">
              <w:rPr>
                <w:rFonts w:ascii="Palatino Linotype" w:hAnsi="Palatino Linotype" w:cs="Calibri"/>
                <w:color w:val="000000"/>
              </w:rPr>
              <w:t>UND</w:t>
            </w:r>
          </w:p>
        </w:tc>
        <w:tc>
          <w:tcPr>
            <w:tcW w:w="689" w:type="pct"/>
          </w:tcPr>
          <w:p w14:paraId="089272FE"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755237F0"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6E38DED5"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6B9C0A18" w14:textId="16C979E8" w:rsidR="00115619" w:rsidRPr="00115619" w:rsidRDefault="00115619" w:rsidP="00115619">
            <w:pPr>
              <w:rPr>
                <w:rFonts w:ascii="Palatino Linotype" w:hAnsi="Palatino Linotype"/>
              </w:rPr>
            </w:pPr>
            <w:r w:rsidRPr="00115619">
              <w:rPr>
                <w:rFonts w:ascii="Palatino Linotype" w:hAnsi="Palatino Linotype" w:cs="Calibri"/>
                <w:color w:val="000000"/>
              </w:rPr>
              <w:t>04</w:t>
            </w:r>
          </w:p>
        </w:tc>
        <w:tc>
          <w:tcPr>
            <w:tcW w:w="493" w:type="pct"/>
          </w:tcPr>
          <w:p w14:paraId="39147301" w14:textId="4A567BBE" w:rsidR="00115619" w:rsidRPr="00115619" w:rsidRDefault="00115619" w:rsidP="00115619">
            <w:pPr>
              <w:rPr>
                <w:rFonts w:ascii="Palatino Linotype" w:hAnsi="Palatino Linotype"/>
              </w:rPr>
            </w:pPr>
            <w:r w:rsidRPr="00115619">
              <w:rPr>
                <w:rFonts w:ascii="Palatino Linotype" w:hAnsi="Palatino Linotype" w:cs="Calibri"/>
                <w:color w:val="000000"/>
              </w:rPr>
              <w:t>R$ 393,55</w:t>
            </w:r>
          </w:p>
        </w:tc>
        <w:tc>
          <w:tcPr>
            <w:tcW w:w="519" w:type="pct"/>
          </w:tcPr>
          <w:p w14:paraId="36A46296" w14:textId="72D60648" w:rsidR="00115619" w:rsidRPr="00115619" w:rsidRDefault="00115619" w:rsidP="00115619">
            <w:pPr>
              <w:rPr>
                <w:rFonts w:ascii="Palatino Linotype" w:hAnsi="Palatino Linotype"/>
              </w:rPr>
            </w:pPr>
            <w:r w:rsidRPr="00115619">
              <w:rPr>
                <w:rFonts w:ascii="Palatino Linotype" w:hAnsi="Palatino Linotype" w:cs="Calibri"/>
                <w:color w:val="000000"/>
              </w:rPr>
              <w:t>R$ 1.574,20</w:t>
            </w:r>
          </w:p>
        </w:tc>
      </w:tr>
      <w:tr w:rsidR="00115619" w:rsidRPr="00A915F0" w14:paraId="589920A4" w14:textId="77777777" w:rsidTr="00115619">
        <w:trPr>
          <w:tblHeader/>
          <w:tblCellSpacing w:w="15" w:type="dxa"/>
          <w:jc w:val="center"/>
        </w:trPr>
        <w:tc>
          <w:tcPr>
            <w:tcW w:w="284" w:type="pct"/>
          </w:tcPr>
          <w:p w14:paraId="23516F39" w14:textId="17BBE554" w:rsidR="00115619" w:rsidRPr="00115619" w:rsidRDefault="00115619" w:rsidP="00115619">
            <w:pPr>
              <w:rPr>
                <w:rFonts w:ascii="Palatino Linotype" w:hAnsi="Palatino Linotype"/>
              </w:rPr>
            </w:pPr>
            <w:r w:rsidRPr="00115619">
              <w:rPr>
                <w:rFonts w:ascii="Palatino Linotype" w:hAnsi="Palatino Linotype" w:cs="Calibri"/>
                <w:color w:val="000000"/>
              </w:rPr>
              <w:lastRenderedPageBreak/>
              <w:t>8</w:t>
            </w:r>
          </w:p>
        </w:tc>
        <w:tc>
          <w:tcPr>
            <w:tcW w:w="2392" w:type="pct"/>
          </w:tcPr>
          <w:p w14:paraId="0624A9EA" w14:textId="3BBF095B" w:rsidR="00115619" w:rsidRPr="00115619" w:rsidRDefault="00115619" w:rsidP="00115619">
            <w:pPr>
              <w:rPr>
                <w:rFonts w:ascii="Palatino Linotype" w:hAnsi="Palatino Linotype"/>
              </w:rPr>
            </w:pPr>
            <w:r w:rsidRPr="00115619">
              <w:rPr>
                <w:rFonts w:ascii="Palatino Linotype" w:hAnsi="Palatino Linotype" w:cs="Calibri"/>
                <w:color w:val="000000"/>
              </w:rPr>
              <w:t>cafeteira para café expresso, com sistema de suprimento de cápsula • tipo: automática, multibebidas (preparação para cafés expressos, bebidas cremosas e chás) • pressão da bomba: 15 bar • capacidade do reservatório de água: aproximadamente de 800 ml • potência: em torno de 1.350 w • voltagem: 110v • dimensões aproximadas (axlxp): 27,3 x 11 x 28,7 cm • compatível com mais de 30 tipos de bebidas, incluindo cafés, chás e chocolates • contendo 30 cápsulas de café tradicional e 30 cápsulas de cappuccino • modo eco com desligamento automático após 1 minuto de inatividade. • alerta de descalcificação: indica quando é necessário realizar a limpeza interna da máquina • função xl: permite preparar bebidas maiores, até 300 ml • controle de volume: ajuste manual da quantidade de água para personalizar a intensidade da bebida • preparo de bebidas quentes e frias: versatilidade para diferentes preferências • reservatório de água em acrílico e removível: facilita o reabastecimento e a limpeza • bandeja coletora ajustável: adapta-se a diferentes tamanhos de xícaras e é removível para limpeza • base antiderrapante • sistema de cápsulas fechado: evita sujeira e facilita a limpeza após o uso.</w:t>
            </w:r>
          </w:p>
        </w:tc>
        <w:tc>
          <w:tcPr>
            <w:tcW w:w="507" w:type="pct"/>
          </w:tcPr>
          <w:p w14:paraId="6D9048BF"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5343CBC9"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6AEDB65C"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3C79C72E"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26DB0EF2"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3CD92E95"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72DCEDB5"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47971F12" w14:textId="209821F5" w:rsidR="00115619" w:rsidRPr="00115619" w:rsidRDefault="00115619" w:rsidP="00115619">
            <w:pPr>
              <w:rPr>
                <w:rFonts w:ascii="Palatino Linotype" w:hAnsi="Palatino Linotype"/>
              </w:rPr>
            </w:pPr>
            <w:r w:rsidRPr="00115619">
              <w:rPr>
                <w:rFonts w:ascii="Palatino Linotype" w:hAnsi="Palatino Linotype" w:cs="Calibri"/>
                <w:color w:val="000000"/>
              </w:rPr>
              <w:t>UND</w:t>
            </w:r>
          </w:p>
        </w:tc>
        <w:tc>
          <w:tcPr>
            <w:tcW w:w="689" w:type="pct"/>
          </w:tcPr>
          <w:p w14:paraId="075B6862"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58C029CD"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5F109222"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19C31B70"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6D005F8B"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425E38C1"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33B41543" w14:textId="77777777" w:rsidR="00115619" w:rsidRPr="00115619" w:rsidRDefault="00115619" w:rsidP="00115619">
            <w:pPr>
              <w:pStyle w:val="textocentralizado"/>
              <w:spacing w:before="120" w:beforeAutospacing="0" w:after="120" w:afterAutospacing="0"/>
              <w:ind w:left="120" w:right="120"/>
              <w:jc w:val="center"/>
              <w:rPr>
                <w:rFonts w:ascii="Palatino Linotype" w:hAnsi="Palatino Linotype" w:cs="Calibri"/>
                <w:color w:val="000000"/>
                <w:sz w:val="22"/>
                <w:szCs w:val="22"/>
              </w:rPr>
            </w:pPr>
            <w:r w:rsidRPr="00115619">
              <w:rPr>
                <w:rFonts w:ascii="Palatino Linotype" w:hAnsi="Palatino Linotype" w:cs="Calibri"/>
                <w:color w:val="000000"/>
                <w:sz w:val="22"/>
                <w:szCs w:val="22"/>
              </w:rPr>
              <w:t> </w:t>
            </w:r>
          </w:p>
          <w:p w14:paraId="0B8FBDB3" w14:textId="1EA07A51" w:rsidR="00115619" w:rsidRPr="00115619" w:rsidRDefault="00115619" w:rsidP="00115619">
            <w:pPr>
              <w:rPr>
                <w:rFonts w:ascii="Palatino Linotype" w:hAnsi="Palatino Linotype"/>
              </w:rPr>
            </w:pPr>
            <w:r w:rsidRPr="00115619">
              <w:rPr>
                <w:rFonts w:ascii="Palatino Linotype" w:hAnsi="Palatino Linotype" w:cs="Calibri"/>
                <w:color w:val="000000"/>
              </w:rPr>
              <w:t>07</w:t>
            </w:r>
          </w:p>
        </w:tc>
        <w:tc>
          <w:tcPr>
            <w:tcW w:w="493" w:type="pct"/>
          </w:tcPr>
          <w:p w14:paraId="246D2C6F" w14:textId="0D813A23" w:rsidR="00115619" w:rsidRPr="00115619" w:rsidRDefault="00115619" w:rsidP="00115619">
            <w:pPr>
              <w:rPr>
                <w:rFonts w:ascii="Palatino Linotype" w:hAnsi="Palatino Linotype"/>
              </w:rPr>
            </w:pPr>
            <w:r w:rsidRPr="00115619">
              <w:rPr>
                <w:rFonts w:ascii="Palatino Linotype" w:hAnsi="Palatino Linotype" w:cs="Calibri"/>
                <w:color w:val="000000"/>
              </w:rPr>
              <w:t>R$ 631,67</w:t>
            </w:r>
          </w:p>
        </w:tc>
        <w:tc>
          <w:tcPr>
            <w:tcW w:w="519" w:type="pct"/>
          </w:tcPr>
          <w:p w14:paraId="0B4E5ED7" w14:textId="31A019D9" w:rsidR="00115619" w:rsidRPr="00115619" w:rsidRDefault="00115619" w:rsidP="00115619">
            <w:pPr>
              <w:rPr>
                <w:rFonts w:ascii="Palatino Linotype" w:hAnsi="Palatino Linotype"/>
              </w:rPr>
            </w:pPr>
            <w:r w:rsidRPr="00115619">
              <w:rPr>
                <w:rFonts w:ascii="Palatino Linotype" w:hAnsi="Palatino Linotype" w:cs="Calibri"/>
                <w:color w:val="000000"/>
              </w:rPr>
              <w:t>R$ 4.421,69</w:t>
            </w:r>
          </w:p>
        </w:tc>
      </w:tr>
    </w:tbl>
    <w:p w14:paraId="0AF4B930" w14:textId="77777777" w:rsidR="00B40F79" w:rsidRPr="00A915F0" w:rsidRDefault="00B40F79" w:rsidP="00B40F79">
      <w:pPr>
        <w:ind w:left="-426"/>
        <w:rPr>
          <w:rFonts w:ascii="Palatino Linotype" w:hAnsi="Palatino Linotype"/>
        </w:rPr>
      </w:pPr>
    </w:p>
    <w:p w14:paraId="6410E4BB" w14:textId="5DAB2D46"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PARTICIPAÇÃO NA DISPENSA ELETRÔNICA</w:t>
      </w:r>
      <w:r w:rsidRPr="00A915F0">
        <w:rPr>
          <w:rFonts w:ascii="Palatino Linotype" w:hAnsi="Palatino Linotype"/>
        </w:rPr>
        <w:br/>
        <w:t xml:space="preserve">3.1. 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8" w:history="1">
        <w:r w:rsidRPr="00A915F0">
          <w:rPr>
            <w:rStyle w:val="Hyperlink"/>
            <w:rFonts w:ascii="Palatino Linotype" w:hAnsi="Palatino Linotype"/>
          </w:rPr>
          <w:t>www.gov.br/compras</w:t>
        </w:r>
      </w:hyperlink>
      <w:r w:rsidRPr="00A915F0">
        <w:rPr>
          <w:rFonts w:ascii="Palatino Linotype" w:hAnsi="Palatino Linotype"/>
        </w:rPr>
        <w:t>.</w:t>
      </w:r>
      <w:r w:rsidRPr="00A915F0">
        <w:rPr>
          <w:rFonts w:ascii="Palatino Linotype" w:hAnsi="Palatino Linotype"/>
        </w:rPr>
        <w:br/>
        <w:t>3.2. O procedimento será divulgado no Compras.gov.br e no Portal Nacional de Contratações Públicas - PNCP, e encaminhado automaticamente aos fornecedores registrados no Sistema de Registro Cadastral Unificado - Sicaf, por mensagem eletrônica, na correspondente linha de fornecimento que pretende atender.</w:t>
      </w:r>
      <w:r w:rsidRPr="00A915F0">
        <w:rPr>
          <w:rFonts w:ascii="Palatino Linotype" w:hAnsi="Palatino Linotype"/>
        </w:rPr>
        <w:br/>
        <w:t xml:space="preserve">3.3. O fornecedor é o responsável por qualquer transação efetuada diretamente ou por seu </w:t>
      </w:r>
      <w:r w:rsidRPr="00A915F0">
        <w:rPr>
          <w:rFonts w:ascii="Palatino Linotype" w:hAnsi="Palatino Linotype"/>
        </w:rPr>
        <w:lastRenderedPageBreak/>
        <w:t>representante no Sistema de Dispensa Eletrônica, não cabendo ao provedor do Sistema ou ao órgão entidade promotor do procedimento a responsabilidade por eventuais danos decorrentes de uso indevido da senha, ainda que por terceiros não autorizados.</w:t>
      </w:r>
      <w:r w:rsidRPr="00A915F0">
        <w:rPr>
          <w:rFonts w:ascii="Palatino Linotype" w:hAnsi="Palatino Linotype"/>
        </w:rPr>
        <w:br/>
        <w:t>3.4. Os participantes deverão atender aos procedimentos previstos no Manual do Sistema de Dispensa Eletrônica, disponível no Portal de Compras do Governo Federal, para acesso ao sistema e operacionalização.</w:t>
      </w:r>
      <w:r w:rsidRPr="00A915F0">
        <w:rPr>
          <w:rFonts w:ascii="Palatino Linotype" w:hAnsi="Palatino Linotype"/>
        </w:rPr>
        <w:br/>
        <w:t>3.5. Não poderão participar desta dispensa de licitação:</w:t>
      </w:r>
      <w:r w:rsidRPr="00A915F0">
        <w:rPr>
          <w:rFonts w:ascii="Palatino Linotype" w:hAnsi="Palatino Linotype"/>
        </w:rPr>
        <w:br/>
        <w:t>3.5.1. Fornecedores que não atendam às condições deste Aviso de Contratação Direta e seu(s) anexo(s);</w:t>
      </w:r>
      <w:r w:rsidRPr="00A915F0">
        <w:rPr>
          <w:rFonts w:ascii="Palatino Linotype" w:hAnsi="Palatino Linotype"/>
        </w:rPr>
        <w:br/>
        <w:t>3.5.2. Estrangeiros que não tenham representação legal no Brasil com poderes expressos para receber citação e responder administrativa ou judicialmente;</w:t>
      </w:r>
      <w:r w:rsidRPr="00A915F0">
        <w:rPr>
          <w:rFonts w:ascii="Palatino Linotype" w:hAnsi="Palatino Linotype"/>
        </w:rPr>
        <w:br/>
        <w:t>3.5.3. Fornecedores que se enquadrem nas seguintes vedações:</w:t>
      </w:r>
      <w:r w:rsidRPr="00A915F0">
        <w:rPr>
          <w:rFonts w:ascii="Palatino Linotype" w:hAnsi="Palatino Linotype"/>
        </w:rPr>
        <w:br/>
        <w:t>- 3.5.3.1. Autor do anteprojeto, do projeto básico ou do projeto executivo, pessoa física ou jurídica, quando a contratação versar sobre obra, serviços ou fornecimento de bens a ele relacionados;</w:t>
      </w:r>
      <w:r w:rsidRPr="00A915F0">
        <w:rPr>
          <w:rFonts w:ascii="Palatino Linotype" w:hAnsi="Palatino Linotype"/>
        </w:rPr>
        <w:br/>
        <w:t>- 3.5.3.2.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RPr="00A915F0">
        <w:rPr>
          <w:rFonts w:ascii="Palatino Linotype" w:hAnsi="Palatino Linotype"/>
        </w:rPr>
        <w:br/>
        <w:t>- 3.5.3.3. Pessoa física ou jurídica que se encontre, ao tempo da contratação, impossibilitada de contratar em decorrência de sanção que lhe foi imposta;</w:t>
      </w:r>
      <w:r w:rsidRPr="00A915F0">
        <w:rPr>
          <w:rFonts w:ascii="Palatino Linotype" w:hAnsi="Palatino Linotype"/>
        </w:rPr>
        <w:br/>
        <w:t>- 3.5.3.4.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r w:rsidRPr="00A915F0">
        <w:rPr>
          <w:rFonts w:ascii="Palatino Linotype" w:hAnsi="Palatino Linotype"/>
        </w:rPr>
        <w:br/>
        <w:t>- 3.5.3.5. Empresas controladoras, controladas ou coligadas, nos termos da Lei nº 6.404, de 15 de dezembro de 1976, concorrendo entre si;</w:t>
      </w:r>
      <w:r w:rsidRPr="00A915F0">
        <w:rPr>
          <w:rFonts w:ascii="Palatino Linotype" w:hAnsi="Palatino Linotype"/>
        </w:rPr>
        <w:br/>
        <w:t>- 3.5.3.6.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Pr="00A915F0">
        <w:rPr>
          <w:rFonts w:ascii="Palatino Linotype" w:hAnsi="Palatino Linotype"/>
        </w:rPr>
        <w:br/>
        <w:t>- 3.5.3.7. Organizações da Sociedade Civil de Interesse Público - OSCIP, atuando nessa condição (Acórdão nº 746/2014- TCU-Plenário).</w:t>
      </w:r>
      <w:r w:rsidRPr="00A915F0">
        <w:rPr>
          <w:rFonts w:ascii="Palatino Linotype" w:hAnsi="Palatino Linotype"/>
        </w:rPr>
        <w:br/>
        <w:t>3.6. Equiparam-se aos autores do projeto as empresas integrantes do mesmo grupo econômico.</w:t>
      </w:r>
      <w:r w:rsidRPr="00A915F0">
        <w:rPr>
          <w:rFonts w:ascii="Palatino Linotype" w:hAnsi="Palatino Linotype"/>
        </w:rPr>
        <w:br/>
        <w:t>3.7. O disposto no subitem 3.5.3.3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sociedades cooperativas.</w:t>
      </w:r>
      <w:r w:rsidRPr="00A915F0">
        <w:rPr>
          <w:rFonts w:ascii="Palatino Linotype" w:hAnsi="Palatino Linotype"/>
        </w:rPr>
        <w:br/>
        <w:t>3.8. Será permitida a participação de cooperativas, desde que apresentem demonstrativo de atuação em regime cooperado, com repartição de receitas e despesas entre os cooperados e atendam ao art. 16 da Lei nº 14.133, de 2021.</w:t>
      </w:r>
      <w:r w:rsidRPr="00A915F0">
        <w:rPr>
          <w:rFonts w:ascii="Palatino Linotype" w:hAnsi="Palatino Linotype"/>
        </w:rPr>
        <w:br/>
      </w:r>
      <w:r w:rsidRPr="00A915F0">
        <w:rPr>
          <w:rFonts w:ascii="Palatino Linotype" w:hAnsi="Palatino Linotype"/>
        </w:rPr>
        <w:lastRenderedPageBreak/>
        <w:t>3.8.1. Em sendo permitida a participação de cooperativas, serão estendidas a elas os benefícios previstos para as microempresas e empresas de pequeno porte quando elas atenderem ao disposto no art. 34 da Lei n.º 11.488, de 15 de junho de 2007.</w:t>
      </w:r>
      <w:r w:rsidRPr="00A915F0">
        <w:rPr>
          <w:rFonts w:ascii="Palatino Linotype" w:hAnsi="Palatino Linotype"/>
        </w:rPr>
        <w:br/>
        <w:t>3.9.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723C48E"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INGRESSO NA DISPENSA ELETRÔNICA E CADASTRAMENTO DA PROPOSTA INICIAL</w:t>
      </w:r>
      <w:r w:rsidRPr="00A915F0">
        <w:rPr>
          <w:rFonts w:ascii="Palatino Linotype" w:hAnsi="Palatino Linotype"/>
        </w:rPr>
        <w:br/>
        <w:t>4.1. O ingresso do fornecedor na disputa da dispensa eletrônica ocorrerá com o cadastramento de sua proposta inicial, na forma deste item.</w:t>
      </w:r>
      <w:r w:rsidRPr="00A915F0">
        <w:rPr>
          <w:rFonts w:ascii="Palatino Linotype" w:hAnsi="Palatino Linotype"/>
        </w:rPr>
        <w:br/>
        <w:t>4.1.1.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Pr="00A915F0">
        <w:rPr>
          <w:rFonts w:ascii="Palatino Linotype" w:hAnsi="Palatino Linotype"/>
        </w:rPr>
        <w:br/>
        <w:t>4.1.2. O fornecedor NÃO poderá oferecer proposta em quantitativo inferior ao máximo previsto para contratação.</w:t>
      </w:r>
      <w:r w:rsidRPr="00A915F0">
        <w:rPr>
          <w:rFonts w:ascii="Palatino Linotype" w:hAnsi="Palatino Linotype"/>
        </w:rPr>
        <w:br/>
        <w:t>4.1.3. Não será admitida a previsão de preços diferentes em razão de local de entrega ou de acondicionamento, tamanho de lote ou qualquer outro motivo.</w:t>
      </w:r>
      <w:r w:rsidRPr="00A915F0">
        <w:rPr>
          <w:rFonts w:ascii="Palatino Linotype" w:hAnsi="Palatino Linotype"/>
        </w:rPr>
        <w:br/>
        <w:t>4.1.4.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A915F0">
        <w:rPr>
          <w:rFonts w:ascii="Palatino Linotype" w:hAnsi="Palatino Linotype"/>
        </w:rPr>
        <w:br/>
        <w:t>4.1.5. Nos valores propostos estarão inclusos todos os custos operacionais, encargos previdenciários, trabalhistas, tributários, comerciais e quaisquer outros que incidam direta ou indiretamente na execução do objeto.</w:t>
      </w:r>
      <w:r w:rsidRPr="00A915F0">
        <w:rPr>
          <w:rFonts w:ascii="Palatino Linotype" w:hAnsi="Palatino Linotype"/>
        </w:rPr>
        <w:br/>
        <w:t>4.1.6. Todas as especificações do objeto contidas na proposta, em especial o preço ou o desconto ofertados, vinculam a Contratada.</w:t>
      </w:r>
      <w:r w:rsidRPr="00A915F0">
        <w:rPr>
          <w:rFonts w:ascii="Palatino Linotype" w:hAnsi="Palatino Linotype"/>
        </w:rPr>
        <w:br/>
        <w:t>4.1.7. Os preços ofertados, tanto na proposta inicial quanto na etapa de lances, serão de exclusiva responsabilidade do fornecedor, não lhe assistindo o direito de pleitear qualquer alteração, sob alegação de erro, omissão ou qualquer outro pretexto.</w:t>
      </w:r>
      <w:r w:rsidRPr="00A915F0">
        <w:rPr>
          <w:rFonts w:ascii="Palatino Linotype" w:hAnsi="Palatino Linotype"/>
        </w:rPr>
        <w:br/>
        <w:t>4.1.8. Se o regime tributário da empresa implicar o recolhimento de tributos em percentuais variáveis, a cotação adequada será aquela correspondente à média dos efetivos recolhimentos da empresa nos últimos doze meses.</w:t>
      </w:r>
      <w:r w:rsidRPr="00A915F0">
        <w:rPr>
          <w:rFonts w:ascii="Palatino Linotype" w:hAnsi="Palatino Linotype"/>
        </w:rPr>
        <w:br/>
        <w:t>4.1.9. Independentemente do percentual do tributo que constar da planilha, no pagamento serão retidos na fonte os percentuais estabelecidos pela legislação vigente.</w:t>
      </w:r>
      <w:r w:rsidRPr="00A915F0">
        <w:rPr>
          <w:rFonts w:ascii="Palatino Linotype" w:hAnsi="Palatino Linotype"/>
        </w:rPr>
        <w:br/>
        <w:t>4.1.10. A apresentação das propostas implica obrigatoriedade do cumprimento das disposições nelas contidas, em conformidade com o que dispõe o Termo de Referência, assumindo o proponente o compromisso de executar os serviços nos seus termos.</w:t>
      </w:r>
      <w:r w:rsidRPr="00A915F0">
        <w:rPr>
          <w:rFonts w:ascii="Palatino Linotype" w:hAnsi="Palatino Linotype"/>
        </w:rPr>
        <w:br/>
        <w:t>4.1.11. O prazo de validade da proposta não será inferior a 60 (sessenta) dias, a contar da data de sua apresentação.</w:t>
      </w:r>
      <w:r w:rsidRPr="00A915F0">
        <w:rPr>
          <w:rFonts w:ascii="Palatino Linotype" w:hAnsi="Palatino Linotype"/>
        </w:rPr>
        <w:br/>
        <w:t>4.1.12. No cadastramento da proposta inicial, o fornecedor deverá, também, assinalar Termo de Aceitação, em campo próprio do sistema eletrônico, relativo às seguintes declarações:</w:t>
      </w:r>
      <w:r w:rsidRPr="00A915F0">
        <w:rPr>
          <w:rFonts w:ascii="Palatino Linotype" w:hAnsi="Palatino Linotype"/>
        </w:rPr>
        <w:br/>
      </w:r>
      <w:r w:rsidRPr="00A915F0">
        <w:rPr>
          <w:rFonts w:ascii="Palatino Linotype" w:hAnsi="Palatino Linotype"/>
        </w:rPr>
        <w:lastRenderedPageBreak/>
        <w:t>- 4.1.12.1. Que inexistem fatos impeditivos para sua habilitação no certame, ciente da obrigatoriedade de declarar ocorrências posteriores;</w:t>
      </w:r>
      <w:r w:rsidRPr="00A915F0">
        <w:rPr>
          <w:rFonts w:ascii="Palatino Linotype" w:hAnsi="Palatino Linotype"/>
        </w:rPr>
        <w:br/>
        <w:t>- 4.1.12.2. Que está ciente e concorda com as condições contidas no Aviso de Contratação Direta e seus anexos;</w:t>
      </w:r>
      <w:r w:rsidRPr="00A915F0">
        <w:rPr>
          <w:rFonts w:ascii="Palatino Linotype" w:hAnsi="Palatino Linotype"/>
        </w:rPr>
        <w:br/>
        <w:t>- 4.1.12.3. Que se responsabiliza pelas transações que forem efetuadas no sistema, assumindo-as como firmes e verdadeiras;</w:t>
      </w:r>
      <w:r w:rsidRPr="00A915F0">
        <w:rPr>
          <w:rFonts w:ascii="Palatino Linotype" w:hAnsi="Palatino Linotype"/>
        </w:rPr>
        <w:br/>
        <w:t>- 4.1.12.4. Que cumpre as exigências de reserva de cargos para pessoa com deficiência e para reabilitado da Previdência Social, de que trata o art. 93 da Lei nº 8.213/91;</w:t>
      </w:r>
      <w:r w:rsidRPr="00A915F0">
        <w:rPr>
          <w:rFonts w:ascii="Palatino Linotype" w:hAnsi="Palatino Linotype"/>
        </w:rPr>
        <w:br/>
        <w:t>- 4.1.12.5. Que não emprega menor de 18 anos em trabalho noturno, perigoso ou insalubre e não emprega menor de 16 anos, salvo menor, a partir de 14 anos, na condição de aprendiz, nos termos do artigo 7°, XXXIII, da Constituição.</w:t>
      </w:r>
      <w:r w:rsidRPr="00A915F0">
        <w:rPr>
          <w:rFonts w:ascii="Palatino Linotype" w:hAnsi="Palatino Linotype"/>
        </w:rPr>
        <w:br/>
        <w:t>4.1.13. O fornecedor organizado em cooperativa deverá declarar, ainda, em campo próprio do sistema eletrônico, que cumpre os requisitos estabelecidos no artigo 16 da Lei nº 14.133, de 2021.</w:t>
      </w:r>
      <w:r w:rsidRPr="00A915F0">
        <w:rPr>
          <w:rFonts w:ascii="Palatino Linotype" w:hAnsi="Palatino Linotype"/>
        </w:rPr>
        <w:br/>
        <w:t>4.1.14.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r w:rsidRPr="00A915F0">
        <w:rPr>
          <w:rFonts w:ascii="Palatino Linotype" w:hAnsi="Palatino Linotype"/>
        </w:rPr>
        <w:br/>
        <w:t>4.1.15. Fica facultado ao fornecedor, ao cadastrar sua proposta inicial, a parametrização de valor final mínimo, com o registro do seu lance final aceitável (menor preço).</w:t>
      </w:r>
      <w:r w:rsidRPr="00A915F0">
        <w:rPr>
          <w:rFonts w:ascii="Palatino Linotype" w:hAnsi="Palatino Linotype"/>
        </w:rPr>
        <w:br/>
        <w:t>- 4.1.15.1. Feita essa opção, os lances serão enviados automaticamente pelo sistema, respeitados os limites cadastrados pelo fornecedor e o intervalo mínimo entre lances previsto neste aviso.</w:t>
      </w:r>
      <w:r w:rsidRPr="00A915F0">
        <w:rPr>
          <w:rFonts w:ascii="Palatino Linotype" w:hAnsi="Palatino Linotype"/>
        </w:rPr>
        <w:br/>
        <w:t>- 4.1.15.2. O valor mínimo parametrizado possui caráter sigiloso aos demais participantes do certame e para o órgão ou entidade contratante. Apenas os lances efetivamente enviados poderão ser conhecidos dos fornecedores na forma da seção seguinte deste Aviso.</w:t>
      </w:r>
      <w:r w:rsidRPr="00A915F0">
        <w:rPr>
          <w:rFonts w:ascii="Palatino Linotype" w:hAnsi="Palatino Linotype"/>
        </w:rPr>
        <w:br/>
        <w:t>4.1.16. Sem prejuízo do disposto acima, os lances poderão ser enviados manualmente, na forma da seção respectiva deste Aviso de Contratação Direta.</w:t>
      </w:r>
      <w:r w:rsidRPr="00A915F0">
        <w:rPr>
          <w:rFonts w:ascii="Palatino Linotype" w:hAnsi="Palatino Linotype"/>
        </w:rPr>
        <w:br/>
        <w:t>4.1.17. O valor final mínimo poderá ser alterado pelo fornecedor durante a fase de disputa, desde que não assuma valor superior a lance já registrado por ele no sistema.</w:t>
      </w:r>
    </w:p>
    <w:p w14:paraId="323867A2" w14:textId="76D1E9FF" w:rsidR="003F1DAC" w:rsidRPr="00A915F0" w:rsidRDefault="003F1DAC" w:rsidP="00E7779B">
      <w:pPr>
        <w:numPr>
          <w:ilvl w:val="0"/>
          <w:numId w:val="2"/>
        </w:numPr>
        <w:ind w:left="-426"/>
        <w:rPr>
          <w:rFonts w:ascii="Palatino Linotype" w:hAnsi="Palatino Linotype"/>
        </w:rPr>
      </w:pPr>
      <w:r w:rsidRPr="00A915F0">
        <w:rPr>
          <w:rFonts w:ascii="Palatino Linotype" w:hAnsi="Palatino Linotype"/>
          <w:b/>
          <w:bCs/>
        </w:rPr>
        <w:t>FASE DE LANCES</w:t>
      </w:r>
      <w:r w:rsidRPr="00A915F0">
        <w:rPr>
          <w:rFonts w:ascii="Palatino Linotype" w:hAnsi="Palatino Linotype"/>
        </w:rPr>
        <w:br/>
        <w:t>5.1. A partir da data e horário estabelecidos neste Aviso de Contratação Direta, a sessão pública será automaticamente aberta pelo sistema para o envio de lances públicos e sucessivos, exclusivamente por meio do sistema eletrônico, sendo encerrada no horário de finalização de lances também já previsto neste aviso.</w:t>
      </w:r>
      <w:r w:rsidRPr="00A915F0">
        <w:rPr>
          <w:rFonts w:ascii="Palatino Linotype" w:hAnsi="Palatino Linotype"/>
        </w:rPr>
        <w:br/>
        <w:t>5.2. Iniciada a etapa competitiva, os fornecedores deverão encaminhar lances exclusivamente por meio de sistema eletrônico, sendo imediatamente informados do seu recebimento e do valor consignado no registro.</w:t>
      </w:r>
      <w:r w:rsidRPr="00A915F0">
        <w:rPr>
          <w:rFonts w:ascii="Palatino Linotype" w:hAnsi="Palatino Linotype"/>
        </w:rPr>
        <w:br/>
        <w:t>- 5.2.1. O lance deverá ser ofertado pelo valor unitário do item.</w:t>
      </w:r>
      <w:r w:rsidRPr="00A915F0">
        <w:rPr>
          <w:rFonts w:ascii="Palatino Linotype" w:hAnsi="Palatino Linotype"/>
        </w:rPr>
        <w:br/>
        <w:t>5.3. O fornecedor somente poderá oferecer valor inferior ou percentual de desconto superior ao último lance por ele ofertado e registrado pelo sistema.</w:t>
      </w:r>
      <w:r w:rsidRPr="00A915F0">
        <w:rPr>
          <w:rFonts w:ascii="Palatino Linotype" w:hAnsi="Palatino Linotype"/>
        </w:rPr>
        <w:br/>
        <w:t xml:space="preserve">5.4.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w:t>
      </w:r>
      <w:r w:rsidRPr="00A915F0">
        <w:rPr>
          <w:rFonts w:ascii="Palatino Linotype" w:hAnsi="Palatino Linotype"/>
        </w:rPr>
        <w:lastRenderedPageBreak/>
        <w:t>Direta.</w:t>
      </w:r>
      <w:r w:rsidRPr="00A915F0">
        <w:rPr>
          <w:rFonts w:ascii="Palatino Linotype" w:hAnsi="Palatino Linotype"/>
        </w:rPr>
        <w:br/>
        <w:t xml:space="preserve">5.5. O intervalo mínimo de diferença de valores entre os lances, que incidirá tanto em relação aos lances intermediários quanto em relação ao que cobrir a melhor oferta, é de R$ </w:t>
      </w:r>
      <w:r w:rsidR="009C24F6" w:rsidRPr="00A915F0">
        <w:rPr>
          <w:rFonts w:ascii="Palatino Linotype" w:hAnsi="Palatino Linotype"/>
        </w:rPr>
        <w:t>0</w:t>
      </w:r>
      <w:r w:rsidRPr="00A915F0">
        <w:rPr>
          <w:rFonts w:ascii="Palatino Linotype" w:hAnsi="Palatino Linotype"/>
        </w:rPr>
        <w:t>,</w:t>
      </w:r>
      <w:r w:rsidR="00A671A8" w:rsidRPr="00A915F0">
        <w:rPr>
          <w:rFonts w:ascii="Palatino Linotype" w:hAnsi="Palatino Linotype"/>
        </w:rPr>
        <w:t>1</w:t>
      </w:r>
      <w:r w:rsidRPr="00A915F0">
        <w:rPr>
          <w:rFonts w:ascii="Palatino Linotype" w:hAnsi="Palatino Linotype"/>
        </w:rPr>
        <w:t>0 (</w:t>
      </w:r>
      <w:r w:rsidR="00A671A8" w:rsidRPr="00A915F0">
        <w:rPr>
          <w:rFonts w:ascii="Palatino Linotype" w:hAnsi="Palatino Linotype"/>
        </w:rPr>
        <w:t>dez centavos</w:t>
      </w:r>
      <w:r w:rsidRPr="00A915F0">
        <w:rPr>
          <w:rFonts w:ascii="Palatino Linotype" w:hAnsi="Palatino Linotype"/>
        </w:rPr>
        <w:t>).</w:t>
      </w:r>
      <w:r w:rsidRPr="00A915F0">
        <w:rPr>
          <w:rFonts w:ascii="Palatino Linotype" w:hAnsi="Palatino Linotype"/>
        </w:rPr>
        <w:br/>
        <w:t>5.6. Havendo lances iguais ao menor já ofertado, prevalecerá aquele que for recebido e registrado primeiro no sistema.</w:t>
      </w:r>
      <w:r w:rsidRPr="00A915F0">
        <w:rPr>
          <w:rFonts w:ascii="Palatino Linotype" w:hAnsi="Palatino Linotype"/>
        </w:rPr>
        <w:br/>
        <w:t>5.7. Caso o fornecedor não apresente lances, concorrerá com o valor de sua proposta.</w:t>
      </w:r>
      <w:r w:rsidRPr="00A915F0">
        <w:rPr>
          <w:rFonts w:ascii="Palatino Linotype" w:hAnsi="Palatino Linotype"/>
        </w:rPr>
        <w:br/>
        <w:t>5.8. Durante o procedimento, os fornecedores serão informados, em tempo real, do valor do menor lance ou do maior desconto registrado, vedada a identificação do fornecedor.</w:t>
      </w:r>
      <w:r w:rsidRPr="00A915F0">
        <w:rPr>
          <w:rFonts w:ascii="Palatino Linotype" w:hAnsi="Palatino Linotype"/>
        </w:rPr>
        <w:br/>
        <w:t>5.9. Imediatamente após o término do prazo estabelecido para a fase de lances, haverá o seu encerramento, com o ordenamento e divulgação dos lances, pelo sistema, em ordem crescente de classificação.</w:t>
      </w:r>
      <w:r w:rsidRPr="00A915F0">
        <w:rPr>
          <w:rFonts w:ascii="Palatino Linotype" w:hAnsi="Palatino Linotype"/>
        </w:rPr>
        <w:br/>
        <w:t>5.10. O encerramento da fase de lances ocorrerá de forma automática pontualmente no horário indicado, sem qualquer possibilidade de prorrogação e não havendo tempo aleatório ou mecanismo similar.</w:t>
      </w:r>
    </w:p>
    <w:p w14:paraId="38EC88FE"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JULGAMENTO E ACEITAÇÃO DAS PROPOSTAS</w:t>
      </w:r>
      <w:r w:rsidRPr="00A915F0">
        <w:rPr>
          <w:rFonts w:ascii="Palatino Linotype" w:hAnsi="Palatino Linotype"/>
        </w:rPr>
        <w:br/>
        <w:t>6.1. Encerrada a fase de lances, ainda que a proposta do primeiro colocado esteja compatível com preço máximo definido para a contratação, o agente de contratação negociará condições mais vantajosas.</w:t>
      </w:r>
      <w:r w:rsidRPr="00A915F0">
        <w:rPr>
          <w:rFonts w:ascii="Palatino Linotype" w:hAnsi="Palatino Linotype"/>
        </w:rPr>
        <w:br/>
        <w:t>- 6.1.1. Sob nenhuma hipótese, serão aceitos preços superiores ao Preço Máximo de Venda ao Governo - PMVG, estabelecido na Resolução da CMED nº 03, de 02 de março de 2011.</w:t>
      </w:r>
      <w:r w:rsidRPr="00A915F0">
        <w:rPr>
          <w:rFonts w:ascii="Palatino Linotype" w:hAnsi="Palatino Linotype"/>
        </w:rPr>
        <w:br/>
        <w:t>- 6.1.2. Neste caso, será encaminhada contraproposta ao fornecedor que tenha apresentado o menor preço, para que seja obtida a melhor proposta compatível em relação ao estipulado pela Administração.</w:t>
      </w:r>
      <w:r w:rsidRPr="00A915F0">
        <w:rPr>
          <w:rFonts w:ascii="Palatino Linotype" w:hAnsi="Palatino Linotype"/>
        </w:rPr>
        <w:br/>
        <w:t>- 6.1.3.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ou por qualquer outro motivo que enseje a desclassificação.</w:t>
      </w:r>
      <w:r w:rsidRPr="00A915F0">
        <w:rPr>
          <w:rFonts w:ascii="Palatino Linotype" w:hAnsi="Palatino Linotype"/>
        </w:rPr>
        <w:br/>
        <w:t>6.2. Concluída a negociação, se houver, o resultado será divulgado a todos e registrado na ata do procedimento da dispensa eletrônica, devendo esta ser anexada aos autos do processo de contratação.</w:t>
      </w:r>
      <w:r w:rsidRPr="00A915F0">
        <w:rPr>
          <w:rFonts w:ascii="Palatino Linotype" w:hAnsi="Palatino Linotype"/>
        </w:rPr>
        <w:br/>
        <w:t>6.3. Constada a compatibilidade entre o valor da proposta e o estipulado para a contratação, será solicitado ao fornecedor o envio da proposta adequada ao último lance ofertado ou ao valor negociado, se for o caso, acompanhado dos documentos complementares, quando necessários.</w:t>
      </w:r>
      <w:r w:rsidRPr="00A915F0">
        <w:rPr>
          <w:rFonts w:ascii="Palatino Linotype" w:hAnsi="Palatino Linotype"/>
        </w:rPr>
        <w:br/>
        <w:t>- 6.3.1. Como anexo da proposta deverá obrigatoriamente apresentar comprovante do registro na Anvisa ou Comprovante da Notificação Simplificada.</w:t>
      </w:r>
      <w:r w:rsidRPr="00A915F0">
        <w:rPr>
          <w:rFonts w:ascii="Palatino Linotype" w:hAnsi="Palatino Linotype"/>
        </w:rPr>
        <w:br/>
        <w:t>- 6.3.2. Para propostas de medicamentos que contenham substâncias constantes no Anexo I do Regulamento Técnico sobre substâncias e medicamentos sujeitos a controle especial, Portaria nº 344, de 12 de maio de 1998, deverão apresentar cópia da Autorização Especial, conforme Art. 2º da referida Portaria.</w:t>
      </w:r>
      <w:r w:rsidRPr="00A915F0">
        <w:rPr>
          <w:rFonts w:ascii="Palatino Linotype" w:hAnsi="Palatino Linotype"/>
        </w:rPr>
        <w:br/>
        <w:t>6.4. Para o envio da proposta como anexo, por meio do sistema, será concedido o prazo de 02 (duas) horas, sob pena de desclassificação.</w:t>
      </w:r>
      <w:r w:rsidRPr="00A915F0">
        <w:rPr>
          <w:rFonts w:ascii="Palatino Linotype" w:hAnsi="Palatino Linotype"/>
        </w:rPr>
        <w:br/>
        <w:t xml:space="preserve">6.5. O agente de contratação verificará se o fornecedor provisoriamente classificado em primeiro </w:t>
      </w:r>
      <w:r w:rsidRPr="00A915F0">
        <w:rPr>
          <w:rFonts w:ascii="Palatino Linotype" w:hAnsi="Palatino Linotype"/>
        </w:rPr>
        <w:lastRenderedPageBreak/>
        <w:t>lugar atende às condições de participação no certame, conforme previsto no art. 14 da Lei nº 14.133/2021, legislação correlata bem como quanto à existência de sanção que impeça a participação no processo de contratação direta ou a futura contratação, mediante a consulta aos seguintes cadastros:</w:t>
      </w:r>
      <w:r w:rsidRPr="00A915F0">
        <w:rPr>
          <w:rFonts w:ascii="Palatino Linotype" w:hAnsi="Palatino Linotype"/>
        </w:rPr>
        <w:br/>
        <w:t>- 6.5.1. SICAF;</w:t>
      </w:r>
      <w:r w:rsidRPr="00A915F0">
        <w:rPr>
          <w:rFonts w:ascii="Palatino Linotype" w:hAnsi="Palatino Linotype"/>
        </w:rPr>
        <w:br/>
        <w:t>- 6.5.2. Cadastro Nacional de Empresas Inidôneas e Suspensas - CEIS, mantido pela Controladoria-Geral da União (</w:t>
      </w:r>
      <w:hyperlink r:id="rId9" w:history="1">
        <w:r w:rsidRPr="00A915F0">
          <w:rPr>
            <w:rStyle w:val="Hyperlink"/>
            <w:rFonts w:ascii="Palatino Linotype" w:hAnsi="Palatino Linotype"/>
          </w:rPr>
          <w:t>https://www.portaltransparencia.gov.br/sancoes/ceis</w:t>
        </w:r>
      </w:hyperlink>
      <w:r w:rsidRPr="00A915F0">
        <w:rPr>
          <w:rFonts w:ascii="Palatino Linotype" w:hAnsi="Palatino Linotype"/>
        </w:rPr>
        <w:t>);</w:t>
      </w:r>
      <w:r w:rsidRPr="00A915F0">
        <w:rPr>
          <w:rFonts w:ascii="Palatino Linotype" w:hAnsi="Palatino Linotype"/>
        </w:rPr>
        <w:br/>
        <w:t>- 6.5.3. Cadastro Nacional de Empresas Punidas – CNEP, mantido pela Controladoria-Geral da União (</w:t>
      </w:r>
      <w:hyperlink r:id="rId10" w:history="1">
        <w:r w:rsidRPr="00A915F0">
          <w:rPr>
            <w:rStyle w:val="Hyperlink"/>
            <w:rFonts w:ascii="Palatino Linotype" w:hAnsi="Palatino Linotype"/>
          </w:rPr>
          <w:t>https://www.portaltransparencia.gov.br/sancoes/cnep</w:t>
        </w:r>
      </w:hyperlink>
      <w:r w:rsidRPr="00A915F0">
        <w:rPr>
          <w:rFonts w:ascii="Palatino Linotype" w:hAnsi="Palatino Linotype"/>
        </w:rPr>
        <w:t>).</w:t>
      </w:r>
      <w:r w:rsidRPr="00A915F0">
        <w:rPr>
          <w:rFonts w:ascii="Palatino Linotype" w:hAnsi="Palatino Linotype"/>
        </w:rPr>
        <w:br/>
        <w:t>6.6. A consulta aos cadastros será realizada em nome da empresa fornecedora e também de seu sócio majoritário, por força da vedação de que trata o artigo 12 da Lei nº 8.429, de 1992.</w:t>
      </w:r>
      <w:r w:rsidRPr="00A915F0">
        <w:rPr>
          <w:rFonts w:ascii="Palatino Linotype" w:hAnsi="Palatino Linotype"/>
        </w:rPr>
        <w:br/>
        <w:t>- 6.6.1. Caso conste na Consulta de Situação do fornecedor a existência de Ocorrências Impeditivas Indiretas, o órgão diligenciará para verificar se houve fraude por parte das empresas apontadas no Relatório de Ocorrências Impeditivas Indiretas.</w:t>
      </w:r>
      <w:r w:rsidRPr="00A915F0">
        <w:rPr>
          <w:rFonts w:ascii="Palatino Linotype" w:hAnsi="Palatino Linotype"/>
        </w:rPr>
        <w:br/>
        <w:t>6.7. A tentativa de burla será verificada por meio dos vínculos societários, linhas de fornecimento similares, dentre outros.</w:t>
      </w:r>
      <w:r w:rsidRPr="00A915F0">
        <w:rPr>
          <w:rFonts w:ascii="Palatino Linotype" w:hAnsi="Palatino Linotype"/>
        </w:rPr>
        <w:br/>
        <w:t>6.8. O fornecedor será convocado para manifestação previamente a uma eventual desclassificação.</w:t>
      </w:r>
      <w:r w:rsidRPr="00A915F0">
        <w:rPr>
          <w:rFonts w:ascii="Palatino Linotype" w:hAnsi="Palatino Linotype"/>
        </w:rPr>
        <w:br/>
        <w:t>6.9. Constada a existência de sanção, o fornecedor será reputado inabilitado, por falta de condição de participação.</w:t>
      </w:r>
      <w:r w:rsidRPr="00A915F0">
        <w:rPr>
          <w:rFonts w:ascii="Palatino Linotype" w:hAnsi="Palatino Linotype"/>
        </w:rPr>
        <w:br/>
        <w:t>6.10. 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r w:rsidRPr="00A915F0">
        <w:rPr>
          <w:rFonts w:ascii="Palatino Linotype" w:hAnsi="Palatino Linotype"/>
        </w:rPr>
        <w:br/>
        <w:t>6.11. Será desclassificada a proposta vencedora que:</w:t>
      </w:r>
      <w:r w:rsidRPr="00A915F0">
        <w:rPr>
          <w:rFonts w:ascii="Palatino Linotype" w:hAnsi="Palatino Linotype"/>
        </w:rPr>
        <w:br/>
        <w:t>- 6.11.1. Contiver vícios insanáveis;</w:t>
      </w:r>
      <w:r w:rsidRPr="00A915F0">
        <w:rPr>
          <w:rFonts w:ascii="Palatino Linotype" w:hAnsi="Palatino Linotype"/>
        </w:rPr>
        <w:br/>
        <w:t>- 6.11.2. Não obedecer às especificações técnicas pormenorizadas neste aviso ou em seus anexos;</w:t>
      </w:r>
      <w:r w:rsidRPr="00A915F0">
        <w:rPr>
          <w:rFonts w:ascii="Palatino Linotype" w:hAnsi="Palatino Linotype"/>
        </w:rPr>
        <w:br/>
        <w:t>- 6.11.3. Apresentar preços inexequíveis ou que permanecerem acima do preço máximo definido para a contratação;</w:t>
      </w:r>
      <w:r w:rsidRPr="00A915F0">
        <w:rPr>
          <w:rFonts w:ascii="Palatino Linotype" w:hAnsi="Palatino Linotype"/>
        </w:rPr>
        <w:br/>
        <w:t>- 6.11.4. Não tiver sua exequibilidade demonstrada, quando exigido pela Administração;</w:t>
      </w:r>
      <w:r w:rsidRPr="00A915F0">
        <w:rPr>
          <w:rFonts w:ascii="Palatino Linotype" w:hAnsi="Palatino Linotype"/>
        </w:rPr>
        <w:br/>
        <w:t>- 6.11.5. Apresentar desconformidade com quaisquer outras exigências deste aviso ou seus anexos, desde que insanável.</w:t>
      </w:r>
      <w:r w:rsidRPr="00A915F0">
        <w:rPr>
          <w:rFonts w:ascii="Palatino Linotype" w:hAnsi="Palatino Linotype"/>
        </w:rPr>
        <w:br/>
        <w:t>6.12. Para fins de análise da proposta quanto ao cumprimento das especificações do objeto, poderá ser colhida a manifestação escrita do setor requisitante do serviço ou da área especializada no objeto.</w:t>
      </w:r>
      <w:r w:rsidRPr="00A915F0">
        <w:rPr>
          <w:rFonts w:ascii="Palatino Linotype" w:hAnsi="Palatino Linotype"/>
        </w:rPr>
        <w:br/>
        <w:t>6.13. Se a proposta ou lance vencedor for desclassificado, será examinada a proposta ou lance subsequente, e assim sucessivamente, na ordem de classificação.</w:t>
      </w:r>
      <w:r w:rsidRPr="00A915F0">
        <w:rPr>
          <w:rFonts w:ascii="Palatino Linotype" w:hAnsi="Palatino Linotype"/>
        </w:rPr>
        <w:br/>
        <w:t>6.14. Havendo necessidade, a sessão será suspensa, informando-se no “chat” a nova data e horário para a sua continuidade.</w:t>
      </w:r>
      <w:r w:rsidRPr="00A915F0">
        <w:rPr>
          <w:rFonts w:ascii="Palatino Linotype" w:hAnsi="Palatino Linotype"/>
        </w:rPr>
        <w:br/>
        <w:t>6.15. Não havendo data e horário definidos para reinício da sessão, o agente de contratação registrará no chat, com antecedência de no mínimo 24 (vinte e quatro) horas, a fim de que todos os participantes tenham acesso à informação em tempo hábil.</w:t>
      </w:r>
      <w:r w:rsidRPr="00A915F0">
        <w:rPr>
          <w:rFonts w:ascii="Palatino Linotype" w:hAnsi="Palatino Linotype"/>
        </w:rPr>
        <w:br/>
        <w:t>6.16. Encerrada a análise quanto à aceitação da proposta, será iniciada a fase de habilitação, observado o disposto neste Aviso de Contratação Direta.</w:t>
      </w:r>
    </w:p>
    <w:p w14:paraId="65505BA0"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lastRenderedPageBreak/>
        <w:t>HABILITAÇÃO</w:t>
      </w:r>
      <w:r w:rsidRPr="00A915F0">
        <w:rPr>
          <w:rFonts w:ascii="Palatino Linotype" w:hAnsi="Palatino Linotype"/>
        </w:rPr>
        <w:br/>
        <w:t>7.1. Os documentos a serem exigidos para fins de habilitação, nos termos dos arts. 62 a 70 da Lei nº 14.133, de 2021, elencados no Termo de Referência, serão solicitados do fornecedor melhor classificado na fase de lances.</w:t>
      </w:r>
      <w:r w:rsidRPr="00A915F0">
        <w:rPr>
          <w:rFonts w:ascii="Palatino Linotype" w:hAnsi="Palatino Linotype"/>
        </w:rPr>
        <w:br/>
        <w:t>- 7.1.1. Será concedido o prazo de 02 (duas) horas para envio dos documentos solicitados como anexo, sob pena de inabilitação.</w:t>
      </w:r>
      <w:r w:rsidRPr="00A915F0">
        <w:rPr>
          <w:rFonts w:ascii="Palatino Linotype" w:hAnsi="Palatino Linotype"/>
        </w:rPr>
        <w:br/>
        <w:t>7.2. A habilitação dos fornecedores será verificada por meio do SICAF, nos documentos por ele abrangidos.</w:t>
      </w:r>
      <w:r w:rsidRPr="00A915F0">
        <w:rPr>
          <w:rFonts w:ascii="Palatino Linotype" w:hAnsi="Palatino Linotype"/>
        </w:rPr>
        <w:br/>
        <w:t>- 7.2.1. É dever do fornecedor atualizar previamente as comprovações constantes do SICAF para que estejam vigentes na data da abertura da sessão pública ou encaminhar, quando solicitado, a respectiva documentação atualizada.</w:t>
      </w:r>
      <w:r w:rsidRPr="00A915F0">
        <w:rPr>
          <w:rFonts w:ascii="Palatino Linotype" w:hAnsi="Palatino Linotype"/>
        </w:rPr>
        <w:br/>
        <w:t>- 7.2.2. O descumprimento do subitem acima implicará a inabilitação do fornecedor, exceto se a consulta aos sítios eletrônicos oficiais emissores de certidões lograr êxito em encontrar a(s) certidão(ões) válida(s).</w:t>
      </w:r>
      <w:r w:rsidRPr="00A915F0">
        <w:rPr>
          <w:rFonts w:ascii="Palatino Linotype" w:hAnsi="Palatino Linotype"/>
        </w:rPr>
        <w:br/>
        <w:t>7.3. Os documentos necessários para habilitação técnica, descritos no item 8.29 e seguintes do Termo de Referência, deverão ser enviados quando da solicitação do agente de contratação, sob pena de inabilitação.</w:t>
      </w:r>
      <w:r w:rsidRPr="00A915F0">
        <w:rPr>
          <w:rFonts w:ascii="Palatino Linotype" w:hAnsi="Palatino Linotype"/>
        </w:rPr>
        <w:br/>
        <w:t>- 7.3.1. O participante deverá, ainda, apresentar comprovante de consulta ao Cadastro Informativo de Créditos não Quitados do Setor Público - CADIN.</w:t>
      </w:r>
      <w:r w:rsidRPr="00A915F0">
        <w:rPr>
          <w:rFonts w:ascii="Palatino Linotype" w:hAnsi="Palatino Linotype"/>
        </w:rPr>
        <w:br/>
        <w:t>7.4.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02 (duas) horas, sob pena de inabilitação.</w:t>
      </w:r>
      <w:r w:rsidRPr="00A915F0">
        <w:rPr>
          <w:rFonts w:ascii="Palatino Linotype" w:hAnsi="Palatino Linotype"/>
        </w:rPr>
        <w:br/>
        <w:t>7.5. Somente haverá a necessidade de comprovação do preenchimento de requisitos mediante apresentação dos documentos originais não-digitais quando houver dúvida em relação à integridade do documento digital.</w:t>
      </w:r>
      <w:r w:rsidRPr="00A915F0">
        <w:rPr>
          <w:rFonts w:ascii="Palatino Linotype" w:hAnsi="Palatino Linotype"/>
        </w:rPr>
        <w:br/>
        <w:t>7.6. Não serão aceitos documentos de habilitação com indicação de CNPJ/CPF diferentes, salvo aqueles legalmente permitidos.</w:t>
      </w:r>
      <w:r w:rsidRPr="00A915F0">
        <w:rPr>
          <w:rFonts w:ascii="Palatino Linotype" w:hAnsi="Palatino Linotype"/>
        </w:rPr>
        <w:br/>
        <w:t>7.7.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r w:rsidRPr="00A915F0">
        <w:rPr>
          <w:rFonts w:ascii="Palatino Linotype" w:hAnsi="Palatino Linotype"/>
        </w:rPr>
        <w:br/>
        <w:t>7.8. Serão aceitos registros de CNPJ de fornecedor matriz e filial com diferenças de números de documentos pertinentes ao CND e ao CRF/FGTS, quando for comprovada a centralização do recolhimento dessas contribuições.</w:t>
      </w:r>
      <w:r w:rsidRPr="00A915F0">
        <w:rPr>
          <w:rFonts w:ascii="Palatino Linotype" w:hAnsi="Palatino Linotype"/>
        </w:rPr>
        <w:br/>
        <w:t>7.9. Havendo necessidade de analisar minuciosamente os documentos exigidos, a sessão será suspensa, sendo informada a nova data e horário para a sua continuidade.</w:t>
      </w:r>
      <w:r w:rsidRPr="00A915F0">
        <w:rPr>
          <w:rFonts w:ascii="Palatino Linotype" w:hAnsi="Palatino Linotype"/>
        </w:rPr>
        <w:br/>
        <w:t>7.10. Será inabilitado o fornecedor que não comprovar sua habilitação, seja por não apresentar quaisquer dos documentos exigidos ou apresentá-los em desacordo com o estabelecido neste Aviso de Contratação Direta.</w:t>
      </w:r>
      <w:r w:rsidRPr="00A915F0">
        <w:rPr>
          <w:rFonts w:ascii="Palatino Linotype" w:hAnsi="Palatino Linotype"/>
        </w:rPr>
        <w:br/>
        <w:t xml:space="preserve">7.11.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r w:rsidRPr="00A915F0">
        <w:rPr>
          <w:rFonts w:ascii="Palatino Linotype" w:hAnsi="Palatino Linotype"/>
        </w:rPr>
        <w:lastRenderedPageBreak/>
        <w:t>habilitação.</w:t>
      </w:r>
      <w:r w:rsidRPr="00A915F0">
        <w:rPr>
          <w:rFonts w:ascii="Palatino Linotype" w:hAnsi="Palatino Linotype"/>
        </w:rPr>
        <w:br/>
        <w:t>7.12. Constatado o atendimento às exigências de habilitação, o fornecedor será habilitado.</w:t>
      </w:r>
    </w:p>
    <w:p w14:paraId="56D803C8"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CONTRATAÇÃO</w:t>
      </w:r>
      <w:r w:rsidRPr="00A915F0">
        <w:rPr>
          <w:rFonts w:ascii="Palatino Linotype" w:hAnsi="Palatino Linotype"/>
        </w:rPr>
        <w:br/>
        <w:t>8.1. Após a homologação e adjudicação, caso se conclua pela contratação, será firmado Termo de Contrato ou emitido instrumento equivalente.</w:t>
      </w:r>
      <w:r w:rsidRPr="00A915F0">
        <w:rPr>
          <w:rFonts w:ascii="Palatino Linotype" w:hAnsi="Palatino Linotype"/>
        </w:rPr>
        <w:br/>
        <w:t>8.2. O adjudicatário terá o prazo de 05 (cinco) dias úteis, contados a partir da data de sua convocação, para assinar o Termo de Contrato ou aceitar instrumento equivalente, conforme o caso (Nota de Empenho/Autorização), sob pena de decair o direito à contratação, sem prejuízo das sanções previstas neste Aviso de Contratação Direta.</w:t>
      </w:r>
      <w:r w:rsidRPr="00A915F0">
        <w:rPr>
          <w:rFonts w:ascii="Palatino Linotype" w:hAnsi="Palatino Linotype"/>
        </w:rPr>
        <w:br/>
        <w:t>8.3. Alternativamente à convocação para comparecer perante o órgão ou entidade para a assinatura do Termo de Contrato, a Administração poderá encaminhá-lo para assinatura, por meio de acesso a um sistema de processo eletrônico para esse fim, para que seja assinado e devolvido no prazo de 05 (cinco) dias, a contar da disponibilização do acesso ao sistema de processo eletrônico.</w:t>
      </w:r>
      <w:r w:rsidRPr="00A915F0">
        <w:rPr>
          <w:rFonts w:ascii="Palatino Linotype" w:hAnsi="Palatino Linotype"/>
        </w:rPr>
        <w:br/>
        <w:t>8.4. A Nota de Empenho ou do instrumento equivalente, emitida ao fornecedor adjudicado, implica o reconhecimento de que:</w:t>
      </w:r>
      <w:r w:rsidRPr="00A915F0">
        <w:rPr>
          <w:rFonts w:ascii="Palatino Linotype" w:hAnsi="Palatino Linotype"/>
        </w:rPr>
        <w:br/>
        <w:t>- 8.4.1. A contratada se vincula à sua proposta e às previsões contidas no Aviso de Contratação Direta e seus anexos;</w:t>
      </w:r>
      <w:r w:rsidRPr="00A915F0">
        <w:rPr>
          <w:rFonts w:ascii="Palatino Linotype" w:hAnsi="Palatino Linotype"/>
        </w:rPr>
        <w:br/>
        <w:t>- 8.4.2. A contratada reconhece que as hipóteses de rescisão são aquelas previstas nos artigos 137 e 138 da Lei nº 14.133, de 2021, e reconhece os direitos da Administração previstos nos artigos 137 a 139 da mesma Lei.</w:t>
      </w:r>
      <w:r w:rsidRPr="00A915F0">
        <w:rPr>
          <w:rFonts w:ascii="Palatino Linotype" w:hAnsi="Palatino Linotype"/>
        </w:rPr>
        <w:br/>
        <w:t>8.5. O prazo de vigência da contratação é o estabelecido no Termo de Referência.</w:t>
      </w:r>
      <w:r w:rsidRPr="00A915F0">
        <w:rPr>
          <w:rFonts w:ascii="Palatino Linotype" w:hAnsi="Palatino Linotype"/>
        </w:rPr>
        <w:br/>
        <w:t>8.6. Na assinatura do contrato ou do instrumento equivalente será exigida a comprovação das condições de habilitação e contratação consignadas neste aviso, que deverão ser mantidas pelo fornecedor durante a vigência do contrato.</w:t>
      </w:r>
    </w:p>
    <w:p w14:paraId="3815F6C2"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INFRAÇÕES E SANÇÕES ADMINISTRATIVAS</w:t>
      </w:r>
      <w:r w:rsidRPr="00A915F0">
        <w:rPr>
          <w:rFonts w:ascii="Palatino Linotype" w:hAnsi="Palatino Linotype"/>
        </w:rPr>
        <w:br/>
        <w:t>9.1. Comete infração administrativa, nos termos da Lei nº 14.133, de 2021, o contratado que:</w:t>
      </w:r>
      <w:r w:rsidRPr="00A915F0">
        <w:rPr>
          <w:rFonts w:ascii="Palatino Linotype" w:hAnsi="Palatino Linotype"/>
        </w:rPr>
        <w:br/>
        <w:t>- 9.1.1. Der causa à inexecução parcial do contrato.</w:t>
      </w:r>
      <w:r w:rsidRPr="00A915F0">
        <w:rPr>
          <w:rFonts w:ascii="Palatino Linotype" w:hAnsi="Palatino Linotype"/>
        </w:rPr>
        <w:br/>
        <w:t>- 9.1.2. Der causa à inexecução parcial do contracto que cause grave dano à Administração ou ao funcionamento dos serviços públicos ou ao interesse coletivo.</w:t>
      </w:r>
      <w:r w:rsidRPr="00A915F0">
        <w:rPr>
          <w:rFonts w:ascii="Palatino Linotype" w:hAnsi="Palatino Linotype"/>
        </w:rPr>
        <w:br/>
        <w:t>- 9.1.3. Der causa à inexecução total do contrato.</w:t>
      </w:r>
      <w:r w:rsidRPr="00A915F0">
        <w:rPr>
          <w:rFonts w:ascii="Palatino Linotype" w:hAnsi="Palatino Linotype"/>
        </w:rPr>
        <w:br/>
        <w:t>- 9.1.4. Ensejar o retardamento da execução ou da entrega do objeto da contratação sem motivo justificado.</w:t>
      </w:r>
      <w:r w:rsidRPr="00A915F0">
        <w:rPr>
          <w:rFonts w:ascii="Palatino Linotype" w:hAnsi="Palatino Linotype"/>
        </w:rPr>
        <w:br/>
        <w:t>- 9.1.5. Apresentar documentação falsa ou prestar declaração falsa durante a execução do contrato.</w:t>
      </w:r>
      <w:r w:rsidRPr="00A915F0">
        <w:rPr>
          <w:rFonts w:ascii="Palatino Linotype" w:hAnsi="Palatino Linotype"/>
        </w:rPr>
        <w:br/>
        <w:t>- 9.1.6. Praticar ato fraudulento na execução do contrato.</w:t>
      </w:r>
      <w:r w:rsidRPr="00A915F0">
        <w:rPr>
          <w:rFonts w:ascii="Palatino Linotype" w:hAnsi="Palatino Linotype"/>
        </w:rPr>
        <w:br/>
        <w:t>- 9.1.7. Comportar-se de modo inidôneo ou cometer fraude de qualquer natureza.</w:t>
      </w:r>
      <w:r w:rsidRPr="00A915F0">
        <w:rPr>
          <w:rFonts w:ascii="Palatino Linotype" w:hAnsi="Palatino Linotype"/>
        </w:rPr>
        <w:br/>
        <w:t>- 9.1.8. Praticar ato lesivo previsto no art. 5º da Lei nº 12.846, de 1º de agosto de 2013.</w:t>
      </w:r>
      <w:r w:rsidRPr="00A915F0">
        <w:rPr>
          <w:rFonts w:ascii="Palatino Linotype" w:hAnsi="Palatino Linotype"/>
        </w:rPr>
        <w:br/>
        <w:t>9.2. Serão aplicadas ao contratado que incorrer nas infrações acima descritas as seguintes sanções:</w:t>
      </w:r>
      <w:r w:rsidRPr="00A915F0">
        <w:rPr>
          <w:rFonts w:ascii="Palatino Linotype" w:hAnsi="Palatino Linotype"/>
        </w:rPr>
        <w:br/>
        <w:t>- 9.2.1. Advertência, quando o contratado der causa à inexecução parcial do contrato, sempre que não se justificar a imposição de penalidade mais grave (art. 156, §2º, da Lei nº 14.133, de 2021).</w:t>
      </w:r>
      <w:r w:rsidRPr="00A915F0">
        <w:rPr>
          <w:rFonts w:ascii="Palatino Linotype" w:hAnsi="Palatino Linotype"/>
        </w:rPr>
        <w:br/>
        <w:t xml:space="preserve">- 9.2.2. Impedimento de licitar e contratar, quando praticadas as condutas descritas nas alíneas </w:t>
      </w:r>
      <w:r w:rsidRPr="00A915F0">
        <w:rPr>
          <w:rFonts w:ascii="Palatino Linotype" w:hAnsi="Palatino Linotype"/>
        </w:rPr>
        <w:lastRenderedPageBreak/>
        <w:t>"b", "c" e "d" do subitem acima deste Contrato, sempre que não se justificar a imposição de penalidade mais grave (art. 156, § 4º, da Lei nº 14.133, de 2021).</w:t>
      </w:r>
      <w:r w:rsidRPr="00A915F0">
        <w:rPr>
          <w:rFonts w:ascii="Palatino Linotype" w:hAnsi="Palatino Linotype"/>
        </w:rPr>
        <w:br/>
        <w:t>- 9.2.3. Declaração de inidoneidade para licitar e contratar, quando praticadas as condutas descritas nas alíneas "e", "f", "g" e "h" do subitem acima deste Contrato, bem como nas alíneas "b", "c" e "d", que justifiquem a imposição de penalidade mais grave (art. 156, §5º, da Lei nº 14.133, de 2021).</w:t>
      </w:r>
      <w:r w:rsidRPr="00A915F0">
        <w:rPr>
          <w:rFonts w:ascii="Palatino Linotype" w:hAnsi="Palatino Linotype"/>
        </w:rPr>
        <w:br/>
        <w:t>- 9.2.4. Multa:</w:t>
      </w:r>
      <w:r w:rsidRPr="00A915F0">
        <w:rPr>
          <w:rFonts w:ascii="Palatino Linotype" w:hAnsi="Palatino Linotype"/>
        </w:rPr>
        <w:br/>
        <w:t>- Moratória de 0,5% (cinco décimos por cento) por dia de atraso injustificado sobre o valor da parcela inadimplida, até o limite de 30 (trinta) dias.</w:t>
      </w:r>
      <w:r w:rsidRPr="00A915F0">
        <w:rPr>
          <w:rFonts w:ascii="Palatino Linotype" w:hAnsi="Palatino Linotype"/>
        </w:rPr>
        <w:br/>
        <w:t>- Moratória de 0,5% (cinco décimos por cento) por dia de atraso injustificado sobre o valor total do contrato, até o máximo de 30% (trinta por cento), pela inobservância do prazo fixado para apresentação, suplementação ou reposição da garantia.</w:t>
      </w:r>
      <w:r w:rsidRPr="00A915F0">
        <w:rPr>
          <w:rFonts w:ascii="Palatino Linotype" w:hAnsi="Palatino Linotype"/>
        </w:rPr>
        <w:br/>
        <w:t>- O atraso superior a 60 dias autoriza a Administração a promover a extinção do contrato por descumprimento ou cumprimento irregular de suas cláusulas, conforme dispõe o inciso I do art. 137 da Lei n. 14.133, de 2021.</w:t>
      </w:r>
      <w:r w:rsidRPr="00A915F0">
        <w:rPr>
          <w:rFonts w:ascii="Palatino Linotype" w:hAnsi="Palatino Linotype"/>
        </w:rPr>
        <w:br/>
        <w:t>- Compensatória de 10% (dez por cento) sobre o valor total do contrato, no caso de inexecução total do objeto.</w:t>
      </w:r>
      <w:r w:rsidRPr="00A915F0">
        <w:rPr>
          <w:rFonts w:ascii="Palatino Linotype" w:hAnsi="Palatino Linotype"/>
        </w:rPr>
        <w:br/>
        <w:t>9.3. A aplicação das sanções previstas neste Contrato não exclui, em hipótese alguma, a obrigação de reparação integral do dano causado ao Contratante (art. 156, §9º, da Lei nº 14.133, de 2021).</w:t>
      </w:r>
      <w:r w:rsidRPr="00A915F0">
        <w:rPr>
          <w:rFonts w:ascii="Palatino Linotype" w:hAnsi="Palatino Linotype"/>
        </w:rPr>
        <w:br/>
        <w:t>9.4. Todas as sanções previstas neste Contrato poderão ser aplicadas cumulativamente com a multa (art. 156, §7º, da Lei nº 14.133, de 2021).</w:t>
      </w:r>
      <w:r w:rsidRPr="00A915F0">
        <w:rPr>
          <w:rFonts w:ascii="Palatino Linotype" w:hAnsi="Palatino Linotype"/>
        </w:rPr>
        <w:br/>
        <w:t>9.5. Antes da aplicação da multa será facultada a defesa do interessado no prazo de 15 (quinze) dias úteis, contado da data de sua intimação (art. 157, da Lei nº 14.133, de 2021).</w:t>
      </w:r>
      <w:r w:rsidRPr="00A915F0">
        <w:rPr>
          <w:rFonts w:ascii="Palatino Linotype" w:hAnsi="Palatino Linotype"/>
        </w:rPr>
        <w:br/>
        <w:t>9.6.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r w:rsidRPr="00A915F0">
        <w:rPr>
          <w:rFonts w:ascii="Palatino Linotype" w:hAnsi="Palatino Linotype"/>
        </w:rPr>
        <w:br/>
        <w:t>9.7. Previamente ao encaminhamento à cobrança judicial, a multa poderá ser recolhida administrativamente no prazo máximo de 05 (cinco) dias úteis, a contar da data do recebimento da comunicação enviada pela autoridade competente.</w:t>
      </w:r>
      <w:r w:rsidRPr="00A915F0">
        <w:rPr>
          <w:rFonts w:ascii="Palatino Linotype" w:hAnsi="Palatino Linotype"/>
        </w:rPr>
        <w:b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r w:rsidRPr="00A915F0">
        <w:rPr>
          <w:rFonts w:ascii="Palatino Linotype" w:hAnsi="Palatino Linotype"/>
        </w:rPr>
        <w:br/>
        <w:t>9.9. Na aplicação das sanções serão considerados (art. 156, §1º, da Lei nº 14.133, de 2021):</w:t>
      </w:r>
      <w:r w:rsidRPr="00A915F0">
        <w:rPr>
          <w:rFonts w:ascii="Palatino Linotype" w:hAnsi="Palatino Linotype"/>
        </w:rPr>
        <w:br/>
        <w:t>- A natureza e a gravidade da infração cometida.</w:t>
      </w:r>
      <w:r w:rsidRPr="00A915F0">
        <w:rPr>
          <w:rFonts w:ascii="Palatino Linotype" w:hAnsi="Palatino Linotype"/>
        </w:rPr>
        <w:br/>
        <w:t>- As peculiaridades do caso concreto.</w:t>
      </w:r>
      <w:r w:rsidRPr="00A915F0">
        <w:rPr>
          <w:rFonts w:ascii="Palatino Linotype" w:hAnsi="Palatino Linotype"/>
        </w:rPr>
        <w:br/>
        <w:t>- As circunstâncias agravantes ou atenuantes.</w:t>
      </w:r>
      <w:r w:rsidRPr="00A915F0">
        <w:rPr>
          <w:rFonts w:ascii="Palatino Linotype" w:hAnsi="Palatino Linotype"/>
        </w:rPr>
        <w:br/>
        <w:t>- Os danos que dela provierem para o Contratante.</w:t>
      </w:r>
      <w:r w:rsidRPr="00A915F0">
        <w:rPr>
          <w:rFonts w:ascii="Palatino Linotype" w:hAnsi="Palatino Linotype"/>
        </w:rPr>
        <w:br/>
        <w:t>- A implantação ou o aperfeiçoamento de programa de integridade, conforme normas e orientações dos órgãos de controle.</w:t>
      </w:r>
      <w:r w:rsidRPr="00A915F0">
        <w:rPr>
          <w:rFonts w:ascii="Palatino Linotype" w:hAnsi="Palatino Linotype"/>
        </w:rPr>
        <w:br/>
        <w:t xml:space="preserve">9.10. Os atos previstos como infrações administrativas na Lei nº 14.133, de 2021, ou em outras leis de licitações e contratos da Administração Pública que também sejam tipificados como atos </w:t>
      </w:r>
      <w:r w:rsidRPr="00A915F0">
        <w:rPr>
          <w:rFonts w:ascii="Palatino Linotype" w:hAnsi="Palatino Linotype"/>
        </w:rPr>
        <w:lastRenderedPageBreak/>
        <w:t>lesivos na Lei nº 12.846, de 2013, serão apurados e julgados conjuntamente, nos mesmos autos, observados o rito procedimental e autoridade competente definidos na referida Lei (art. 159).</w:t>
      </w:r>
      <w:r w:rsidRPr="00A915F0">
        <w:rPr>
          <w:rFonts w:ascii="Palatino Linotype" w:hAnsi="Palatino Linotype"/>
        </w:rPr>
        <w:br/>
        <w:t>9.11.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r w:rsidRPr="00A915F0">
        <w:rPr>
          <w:rFonts w:ascii="Palatino Linotype" w:hAnsi="Palatino Linotype"/>
        </w:rPr>
        <w:br/>
        <w:t>9.12.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r w:rsidRPr="00A915F0">
        <w:rPr>
          <w:rFonts w:ascii="Palatino Linotype" w:hAnsi="Palatino Linotype"/>
        </w:rPr>
        <w:br/>
        <w:t>9.13. As sanções de impedimento de licitar e contratar e declaração de inidoneidade para licitar ou contratar são passíveis de reabilitação na forma do art. 163 da Lei nº 14.133/21.</w:t>
      </w:r>
      <w:r w:rsidRPr="00A915F0">
        <w:rPr>
          <w:rFonts w:ascii="Palatino Linotype" w:hAnsi="Palatino Linotype"/>
        </w:rPr>
        <w:br/>
        <w:t>9.14.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DA847EB"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DAS DISPOSIÇÕES GERAIS</w:t>
      </w:r>
      <w:r w:rsidRPr="00A915F0">
        <w:rPr>
          <w:rFonts w:ascii="Palatino Linotype" w:hAnsi="Palatino Linotype"/>
        </w:rPr>
        <w:br/>
        <w:t xml:space="preserve">10.1. No caso de todos os fornecedores restarem desclassificados ou inabilitados (procedimento fracassado), a Administração poderá: </w:t>
      </w:r>
    </w:p>
    <w:p w14:paraId="7BDBDB3C" w14:textId="77777777" w:rsidR="003F1DAC" w:rsidRPr="00A915F0" w:rsidRDefault="003F1DAC" w:rsidP="003F1DAC">
      <w:pPr>
        <w:numPr>
          <w:ilvl w:val="1"/>
          <w:numId w:val="2"/>
        </w:numPr>
        <w:ind w:left="-426"/>
        <w:rPr>
          <w:rFonts w:ascii="Palatino Linotype" w:hAnsi="Palatino Linotype"/>
        </w:rPr>
      </w:pPr>
      <w:r w:rsidRPr="00A915F0">
        <w:rPr>
          <w:rFonts w:ascii="Palatino Linotype" w:hAnsi="Palatino Linotype"/>
        </w:rPr>
        <w:t>10.1.1. Republicar o presente aviso com uma nova data.</w:t>
      </w:r>
    </w:p>
    <w:p w14:paraId="3C7676F9" w14:textId="77777777" w:rsidR="003F1DAC" w:rsidRPr="00A915F0" w:rsidRDefault="003F1DAC" w:rsidP="003F1DAC">
      <w:pPr>
        <w:numPr>
          <w:ilvl w:val="1"/>
          <w:numId w:val="2"/>
        </w:numPr>
        <w:ind w:left="-426"/>
        <w:rPr>
          <w:rFonts w:ascii="Palatino Linotype" w:hAnsi="Palatino Linotype"/>
        </w:rPr>
      </w:pPr>
      <w:r w:rsidRPr="00A915F0">
        <w:rPr>
          <w:rFonts w:ascii="Palatino Linotype" w:hAnsi="Palatino Linotype"/>
        </w:rPr>
        <w:t>10.1.2. Valer-se, para a contratação, de proposta obtida na pesquisa de preços que serviu de base ao procedimento, se houver, privilegiando-se os menores preços, sempre que possível, e desde que atendidas às condições de habilitação exigidas.</w:t>
      </w:r>
    </w:p>
    <w:p w14:paraId="27BEF0C5" w14:textId="77777777" w:rsidR="003F1DAC" w:rsidRPr="00A915F0" w:rsidRDefault="003F1DAC" w:rsidP="003F1DAC">
      <w:pPr>
        <w:numPr>
          <w:ilvl w:val="2"/>
          <w:numId w:val="2"/>
        </w:numPr>
        <w:ind w:left="-426"/>
        <w:rPr>
          <w:rFonts w:ascii="Palatino Linotype" w:hAnsi="Palatino Linotype"/>
        </w:rPr>
      </w:pPr>
      <w:r w:rsidRPr="00A915F0">
        <w:rPr>
          <w:rFonts w:ascii="Palatino Linotype" w:hAnsi="Palatino Linotype"/>
        </w:rPr>
        <w:t>10.1.2.1. No caso do subitem anterior, a contratação será operacionalizada fora deste procedimento.</w:t>
      </w:r>
    </w:p>
    <w:p w14:paraId="6F20AC9B" w14:textId="77777777" w:rsidR="004E0F08" w:rsidRDefault="003F1DAC" w:rsidP="004E0F08">
      <w:pPr>
        <w:ind w:left="-426"/>
        <w:rPr>
          <w:rFonts w:ascii="Palatino Linotype" w:hAnsi="Palatino Linotype"/>
        </w:rPr>
      </w:pPr>
      <w:r w:rsidRPr="00A915F0">
        <w:rPr>
          <w:rFonts w:ascii="Palatino Linotype" w:hAnsi="Palatino Linotype"/>
        </w:rPr>
        <w:t>10.1.3. Fixar prazo para que possa haver adequação das propostas ou da documentação de habilitação, conforme o caso.</w:t>
      </w:r>
      <w:r w:rsidRPr="00A915F0">
        <w:rPr>
          <w:rFonts w:ascii="Palatino Linotype" w:hAnsi="Palatino Linotype"/>
        </w:rPr>
        <w:br/>
        <w:t>10.2. As providências dos subitens 10.1.1 e 10.1.2 também poderão ser utilizadas se não houver o comparecimento de quaisquer fornecedores interessados (procedimento deserto).</w:t>
      </w:r>
      <w:r w:rsidRPr="00A915F0">
        <w:rPr>
          <w:rFonts w:ascii="Palatino Linotype" w:hAnsi="Palatino Linotype"/>
        </w:rPr>
        <w:br/>
        <w:t>10.3. Havendo a necessidade de realização de ato de qualquer natureza pelos fornecedores, cujo prazo não conste deste Aviso de Contratação Direta, deverá ser atendido o prazo indicado pelo agente competente da Administração na respectiva notificação.</w:t>
      </w:r>
      <w:r w:rsidRPr="00A915F0">
        <w:rPr>
          <w:rFonts w:ascii="Palatino Linotype" w:hAnsi="Palatino Linotype"/>
        </w:rPr>
        <w:br/>
        <w:t>10.4. Caberá ao participante acompanhar as operações, ficando responsável pelo ônus decorrente da perda do negócio diante da inobservância de quaisquer mensagens emitidas pela Administração ou de sua desconexão.</w:t>
      </w:r>
      <w:r w:rsidRPr="00A915F0">
        <w:rPr>
          <w:rFonts w:ascii="Palatino Linotype" w:hAnsi="Palatino Linotype"/>
        </w:rPr>
        <w:br/>
      </w:r>
      <w:r w:rsidRPr="00A915F0">
        <w:rPr>
          <w:rFonts w:ascii="Palatino Linotype" w:hAnsi="Palatino Linotype"/>
        </w:rPr>
        <w:lastRenderedPageBreak/>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sidRPr="00A915F0">
        <w:rPr>
          <w:rFonts w:ascii="Palatino Linotype" w:hAnsi="Palatino Linotype"/>
        </w:rPr>
        <w:br/>
        <w:t>10.6. Os horários estabelecidos na divulgação deste procedimento e durante o envio de lances observarão o horário de Brasília-DF, inclusive para contagem de tempo e registro no Sistema e na documentação relativa ao procedimento.</w:t>
      </w:r>
      <w:r w:rsidRPr="00A915F0">
        <w:rPr>
          <w:rFonts w:ascii="Palatino Linotype" w:hAnsi="Palatino Linotype"/>
        </w:rPr>
        <w:b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Pr="00A915F0">
        <w:rPr>
          <w:rFonts w:ascii="Palatino Linotype" w:hAnsi="Palatino Linotype"/>
        </w:rPr>
        <w:b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r w:rsidRPr="00A915F0">
        <w:rPr>
          <w:rFonts w:ascii="Palatino Linotype" w:hAnsi="Palatino Linotype"/>
        </w:rPr>
        <w:br/>
        <w:t>10.9. Os fornecedores assumem todos os custos de preparação e apresentação de suas propostas e a Administração não será, em nenhum caso, responsável por esses custos, independentemente da condução ou do resultado do processo de contratação.</w:t>
      </w:r>
      <w:r w:rsidRPr="00A915F0">
        <w:rPr>
          <w:rFonts w:ascii="Palatino Linotype" w:hAnsi="Palatino Linotype"/>
        </w:rPr>
        <w:br/>
        <w:t>10.10. Em caso de divergência entre disposições deste Aviso de Contratação Direta e de seus anexos ou demais peças que compõem o processo, prevalecerão as deste Aviso.</w:t>
      </w:r>
      <w:r w:rsidRPr="00A915F0">
        <w:rPr>
          <w:rFonts w:ascii="Palatino Linotype" w:hAnsi="Palatino Linotype"/>
        </w:rPr>
        <w:br/>
        <w:t>10.11. Da sessão pública será divulgada Ata no sistema eletrônico.</w:t>
      </w:r>
      <w:r w:rsidRPr="00A915F0">
        <w:rPr>
          <w:rFonts w:ascii="Palatino Linotype" w:hAnsi="Palatino Linotype"/>
        </w:rPr>
        <w:br/>
        <w:t>10.12. Integram este Aviso de Contratação Direta, para todos os fins e efeitos, os seguintes anexos: ANEXO I – Termo de Referência.</w:t>
      </w:r>
      <w:r w:rsidR="004E0F08" w:rsidRPr="00A915F0">
        <w:rPr>
          <w:rFonts w:ascii="Palatino Linotype" w:hAnsi="Palatino Linotype"/>
        </w:rPr>
        <w:t xml:space="preserve">     </w:t>
      </w:r>
      <w:r w:rsidR="004E0F08" w:rsidRPr="00A915F0">
        <w:rPr>
          <w:rFonts w:ascii="Palatino Linotype" w:hAnsi="Palatino Linotype"/>
        </w:rPr>
        <w:tab/>
      </w:r>
      <w:r w:rsidR="004E0F08" w:rsidRPr="00A915F0">
        <w:rPr>
          <w:rFonts w:ascii="Palatino Linotype" w:hAnsi="Palatino Linotype"/>
        </w:rPr>
        <w:tab/>
      </w:r>
      <w:r w:rsidR="004E0F08" w:rsidRPr="00A915F0">
        <w:rPr>
          <w:rFonts w:ascii="Palatino Linotype" w:hAnsi="Palatino Linotype"/>
        </w:rPr>
        <w:tab/>
      </w:r>
    </w:p>
    <w:p w14:paraId="23A4B683" w14:textId="77777777" w:rsidR="00A915F0" w:rsidRPr="00A915F0" w:rsidRDefault="00A915F0" w:rsidP="004E0F08">
      <w:pPr>
        <w:ind w:left="-426"/>
        <w:rPr>
          <w:rFonts w:ascii="Palatino Linotype" w:hAnsi="Palatino Linotype"/>
        </w:rPr>
      </w:pPr>
    </w:p>
    <w:p w14:paraId="204231EF" w14:textId="6EE89D08" w:rsidR="003C6F06" w:rsidRDefault="003F1DAC" w:rsidP="007E1BAC">
      <w:pPr>
        <w:ind w:left="-426"/>
        <w:jc w:val="right"/>
        <w:rPr>
          <w:rFonts w:ascii="Palatino Linotype" w:hAnsi="Palatino Linotype"/>
        </w:rPr>
      </w:pPr>
      <w:r w:rsidRPr="00A915F0">
        <w:rPr>
          <w:rFonts w:ascii="Palatino Linotype" w:hAnsi="Palatino Linotype"/>
        </w:rPr>
        <w:t xml:space="preserve">Natal/RN, </w:t>
      </w:r>
      <w:r w:rsidR="00863AA9" w:rsidRPr="00A915F0">
        <w:rPr>
          <w:rFonts w:ascii="Palatino Linotype" w:hAnsi="Palatino Linotype"/>
        </w:rPr>
        <w:t>12</w:t>
      </w:r>
      <w:r w:rsidRPr="00A915F0">
        <w:rPr>
          <w:rFonts w:ascii="Palatino Linotype" w:hAnsi="Palatino Linotype"/>
        </w:rPr>
        <w:t xml:space="preserve"> de </w:t>
      </w:r>
      <w:r w:rsidR="007B3C7C">
        <w:rPr>
          <w:rFonts w:ascii="Palatino Linotype" w:hAnsi="Palatino Linotype"/>
        </w:rPr>
        <w:t>Junho</w:t>
      </w:r>
      <w:r w:rsidRPr="00A915F0">
        <w:rPr>
          <w:rFonts w:ascii="Palatino Linotype" w:hAnsi="Palatino Linotype"/>
        </w:rPr>
        <w:t xml:space="preserve"> de </w:t>
      </w:r>
      <w:r w:rsidR="00E41658" w:rsidRPr="00A915F0">
        <w:rPr>
          <w:rFonts w:ascii="Palatino Linotype" w:hAnsi="Palatino Linotype"/>
        </w:rPr>
        <w:t>2026</w:t>
      </w:r>
      <w:r w:rsidRPr="00A915F0">
        <w:rPr>
          <w:rFonts w:ascii="Palatino Linotype" w:hAnsi="Palatino Linotype"/>
        </w:rPr>
        <w:t>.</w:t>
      </w:r>
      <w:r w:rsidR="003127D8" w:rsidRPr="00A915F0">
        <w:rPr>
          <w:rFonts w:ascii="Palatino Linotype" w:hAnsi="Palatino Linotype"/>
        </w:rPr>
        <w:br w:type="page"/>
      </w:r>
    </w:p>
    <w:p w14:paraId="38AEC3FB" w14:textId="77777777" w:rsidR="003C6F06" w:rsidRPr="003C6F06" w:rsidRDefault="003C6F06" w:rsidP="003C6F06">
      <w:pPr>
        <w:spacing w:before="100" w:beforeAutospacing="1" w:after="100" w:afterAutospacing="1" w:line="240" w:lineRule="auto"/>
        <w:jc w:val="center"/>
        <w:rPr>
          <w:rFonts w:ascii="Palatino Linotype" w:eastAsia="Times New Roman" w:hAnsi="Palatino Linotype" w:cs="Calibri"/>
          <w:caps/>
          <w:color w:val="000000"/>
          <w:kern w:val="0"/>
          <w:lang w:eastAsia="pt-BR"/>
          <w14:ligatures w14:val="none"/>
        </w:rPr>
      </w:pPr>
      <w:r w:rsidRPr="003C6F06">
        <w:rPr>
          <w:rFonts w:ascii="Palatino Linotype" w:eastAsia="Times New Roman" w:hAnsi="Palatino Linotype" w:cs="Calibri"/>
          <w:caps/>
          <w:color w:val="000000"/>
          <w:kern w:val="0"/>
          <w:lang w:eastAsia="pt-BR"/>
          <w14:ligatures w14:val="none"/>
        </w:rPr>
        <w:lastRenderedPageBreak/>
        <w:t>Termo de Referência</w:t>
      </w:r>
    </w:p>
    <w:p w14:paraId="23A138BF"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Processo nº 04110006.000396/2026-22</w:t>
      </w:r>
    </w:p>
    <w:p w14:paraId="7B0AB294"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OBJETO</w:t>
      </w:r>
    </w:p>
    <w:p w14:paraId="6471C4A2"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Aquisição de eletrodomésticos destinados a equipar as unidades da Junta Comercial do Estado do Rio Grande do Norte (JUCERN).</w:t>
      </w:r>
    </w:p>
    <w:p w14:paraId="7B917834"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JUSTIFICATIVA DA NECESSIDADE DA CONTRATAÇÃO</w:t>
      </w:r>
    </w:p>
    <w:p w14:paraId="16BD5EAD"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necessidade que originou esta demanda está relacionada à adequada equipagem de ambientes institucionais com eletrodomésticos e eletrônicos de uso doméstico. Identificou-se que diferentes ambientes carecem de itens essenciais para o preparo de alimentos, limpeza, conforto e suporte a atividades institucionais, tanto em atividades administrativas quanto de acolhimento, recepção ou apoio a servidores, colaboradores e visitantes. A inexistência ou insuficiência de tais itens impacta diretamente na capacidade de atendimento das demandas diárias, prejudicando a eficiência dos serviços e o bem-estar dos usuários e dos profissionais envolvidos. Portanto, a demanda surge da necessidade de garantir ambientes funcionais, seguros e propícios ao desenvolvimento das atividades institucionais, o que está diretamente relacionado ao interesse público, dado que potencializa a prestação dos serviços, assegura condições adequadas de trabalho e atendimento e contribui para a promoção de ambientes institucionais mais adequados.</w:t>
      </w:r>
    </w:p>
    <w:p w14:paraId="79E5C905"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Durante o levantamento técnico, foram identificadas carências em ambientes institucionais cuja natureza demanda a presença de eletrodomésticos e eletrônicos voltados à preparação e armazenamento de alimentos, à limpeza de roupas e à oferta de entretenimento ou informação. As necessidades encontradas se relacionam aos seguintes itens:</w:t>
      </w:r>
    </w:p>
    <w:p w14:paraId="7F5DAB2A" w14:textId="77777777" w:rsidR="003C6F06" w:rsidRPr="003C6F06" w:rsidRDefault="003C6F06" w:rsidP="003C6F06">
      <w:pPr>
        <w:numPr>
          <w:ilvl w:val="0"/>
          <w:numId w:val="19"/>
        </w:numPr>
        <w:spacing w:before="120" w:after="120" w:line="240" w:lineRule="auto"/>
        <w:ind w:left="840" w:right="120"/>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Fogão doméstico a gás/elétrico com forno autolimpante</w:t>
      </w:r>
    </w:p>
    <w:p w14:paraId="477C6F41" w14:textId="77777777" w:rsidR="003C6F06" w:rsidRPr="003C6F06" w:rsidRDefault="003C6F06" w:rsidP="003C6F06">
      <w:pPr>
        <w:numPr>
          <w:ilvl w:val="0"/>
          <w:numId w:val="19"/>
        </w:numPr>
        <w:spacing w:before="120" w:after="120" w:line="240" w:lineRule="auto"/>
        <w:ind w:left="840" w:right="120"/>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Lavadora de roupas automática de grande capacidade</w:t>
      </w:r>
    </w:p>
    <w:p w14:paraId="0BC4FA57" w14:textId="77777777" w:rsidR="003C6F06" w:rsidRPr="003C6F06" w:rsidRDefault="003C6F06" w:rsidP="003C6F06">
      <w:pPr>
        <w:numPr>
          <w:ilvl w:val="0"/>
          <w:numId w:val="19"/>
        </w:numPr>
        <w:spacing w:before="120" w:after="120" w:line="240" w:lineRule="auto"/>
        <w:ind w:left="840" w:right="120"/>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Sanduicheira</w:t>
      </w:r>
    </w:p>
    <w:p w14:paraId="1EC49A66" w14:textId="77777777" w:rsidR="003C6F06" w:rsidRPr="003C6F06" w:rsidRDefault="003C6F06" w:rsidP="003C6F06">
      <w:pPr>
        <w:numPr>
          <w:ilvl w:val="0"/>
          <w:numId w:val="19"/>
        </w:numPr>
        <w:spacing w:before="120" w:after="120" w:line="240" w:lineRule="auto"/>
        <w:ind w:left="840" w:right="120"/>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Liquidificador</w:t>
      </w:r>
    </w:p>
    <w:p w14:paraId="7763F6C5" w14:textId="77777777" w:rsidR="003C6F06" w:rsidRPr="003C6F06" w:rsidRDefault="003C6F06" w:rsidP="003C6F06">
      <w:pPr>
        <w:numPr>
          <w:ilvl w:val="0"/>
          <w:numId w:val="19"/>
        </w:numPr>
        <w:spacing w:before="120" w:after="120" w:line="240" w:lineRule="auto"/>
        <w:ind w:left="840" w:right="120"/>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Televisor tipo smart TV LED – tamanho de tela grande</w:t>
      </w:r>
    </w:p>
    <w:p w14:paraId="50FEDADA" w14:textId="77777777" w:rsidR="003C6F06" w:rsidRPr="003C6F06" w:rsidRDefault="003C6F06" w:rsidP="003C6F06">
      <w:pPr>
        <w:numPr>
          <w:ilvl w:val="0"/>
          <w:numId w:val="19"/>
        </w:numPr>
        <w:spacing w:before="120" w:after="120" w:line="240" w:lineRule="auto"/>
        <w:ind w:left="840" w:right="120"/>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Air fryer</w:t>
      </w:r>
    </w:p>
    <w:p w14:paraId="5C1EBDA0" w14:textId="77777777" w:rsidR="003C6F06" w:rsidRPr="003C6F06" w:rsidRDefault="003C6F06" w:rsidP="003C6F06">
      <w:pPr>
        <w:numPr>
          <w:ilvl w:val="0"/>
          <w:numId w:val="19"/>
        </w:numPr>
        <w:spacing w:before="120" w:after="120" w:line="240" w:lineRule="auto"/>
        <w:ind w:left="840" w:right="120"/>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Cafeteira para café expresso com sistema de cápsula</w:t>
      </w:r>
    </w:p>
    <w:p w14:paraId="225D9A90"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Tais equipamentos são considerados indispensáveis para o preparo eficiente de refeições, para a adequada higienização de roupas, bem como para a promoção de acesso à informação e entretenimento, itens importantes para o suporte de atividades coletivas, reuniões, acolhimento ou permanência prolongada em ambientes institucionais.</w:t>
      </w:r>
    </w:p>
    <w:p w14:paraId="7BFF4E51"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DESCRIÇÃO DETALHADA DO OBJETO</w:t>
      </w:r>
    </w:p>
    <w:p w14:paraId="0C6C689F"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presente solicitação tem por finalidade a aquisição de eletrodomésticos destinados a atender às necessidades operacionais da Junta Comercial do Estado do Rio Grande do Norte - JUCERN, visando garantir condições adequadas de funcionamento, melhoria da infraestrutura e suporte às atividades institucionais desenvolvidas.</w:t>
      </w:r>
    </w:p>
    <w:p w14:paraId="35F66485"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lastRenderedPageBreak/>
        <w:t>A aquisição dos referidos equipamentos justifica-se pelas seguintes razões técnicas e operacionais:</w:t>
      </w:r>
    </w:p>
    <w:p w14:paraId="487B041A"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b/>
          <w:bCs/>
          <w:color w:val="000000"/>
          <w:kern w:val="0"/>
          <w:u w:val="single"/>
          <w:lang w:eastAsia="pt-BR"/>
          <w14:ligatures w14:val="none"/>
        </w:rPr>
        <w:t>Estrutura de Apoio (Copa e Cozinha</w:t>
      </w:r>
      <w:r w:rsidRPr="003C6F06">
        <w:rPr>
          <w:rFonts w:ascii="Palatino Linotype" w:eastAsia="Times New Roman" w:hAnsi="Palatino Linotype" w:cs="Calibri"/>
          <w:color w:val="000000"/>
          <w:kern w:val="0"/>
          <w:u w:val="single"/>
          <w:lang w:eastAsia="pt-BR"/>
          <w14:ligatures w14:val="none"/>
        </w:rPr>
        <w:t>)</w:t>
      </w:r>
    </w:p>
    <w:p w14:paraId="325945B8"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Os equipamentos </w:t>
      </w:r>
      <w:r w:rsidRPr="003C6F06">
        <w:rPr>
          <w:rFonts w:ascii="Palatino Linotype" w:eastAsia="Times New Roman" w:hAnsi="Palatino Linotype" w:cs="Calibri"/>
          <w:b/>
          <w:bCs/>
          <w:color w:val="000000"/>
          <w:kern w:val="0"/>
          <w:lang w:eastAsia="pt-BR"/>
          <w14:ligatures w14:val="none"/>
        </w:rPr>
        <w:t>liquidificador, fogão, torradeira, air fryer e cafeteira de cápsula</w:t>
      </w:r>
      <w:r w:rsidRPr="003C6F06">
        <w:rPr>
          <w:rFonts w:ascii="Palatino Linotype" w:eastAsia="Times New Roman" w:hAnsi="Palatino Linotype" w:cs="Calibri"/>
          <w:color w:val="000000"/>
          <w:kern w:val="0"/>
          <w:lang w:eastAsia="pt-BR"/>
          <w14:ligatures w14:val="none"/>
        </w:rPr>
        <w:t> são essenciais para garantir infraestrutura mínima de apoio às atividades institucionais, possibilitando:</w:t>
      </w:r>
    </w:p>
    <w:p w14:paraId="25D46961" w14:textId="77777777" w:rsidR="003C6F06" w:rsidRPr="003C6F06" w:rsidRDefault="003C6F06" w:rsidP="003C6F06">
      <w:pPr>
        <w:spacing w:before="120" w:after="120" w:line="240" w:lineRule="auto"/>
        <w:ind w:left="1800" w:right="120"/>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Preparação de alimentos e bebidas em atividades internas e eventos institucionais;</w:t>
      </w:r>
    </w:p>
    <w:p w14:paraId="60DB774B" w14:textId="77777777" w:rsidR="003C6F06" w:rsidRPr="003C6F06" w:rsidRDefault="003C6F06" w:rsidP="003C6F06">
      <w:pPr>
        <w:spacing w:before="120" w:after="120" w:line="240" w:lineRule="auto"/>
        <w:ind w:left="1800" w:right="120"/>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Atendimento adequado a servidores, colaboradores, autoridades e visitantes;</w:t>
      </w:r>
    </w:p>
    <w:p w14:paraId="5E7C55E8" w14:textId="77777777" w:rsidR="003C6F06" w:rsidRPr="003C6F06" w:rsidRDefault="003C6F06" w:rsidP="003C6F06">
      <w:pPr>
        <w:spacing w:before="120" w:after="120" w:line="240" w:lineRule="auto"/>
        <w:ind w:left="1800" w:right="120"/>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Melhoria das condições de trabalho e bem-estar no ambiente organizacional;</w:t>
      </w:r>
    </w:p>
    <w:p w14:paraId="62F88111" w14:textId="77777777" w:rsidR="003C6F06" w:rsidRPr="003C6F06" w:rsidRDefault="003C6F06" w:rsidP="003C6F06">
      <w:pPr>
        <w:spacing w:before="120" w:after="120" w:line="240" w:lineRule="auto"/>
        <w:ind w:left="1800" w:right="120"/>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Suporte logístico em reuniões prolongadas, capacitações e ações institucionais.</w:t>
      </w:r>
    </w:p>
    <w:p w14:paraId="727C5691"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b/>
          <w:bCs/>
          <w:color w:val="000000"/>
          <w:kern w:val="0"/>
          <w:u w:val="single"/>
          <w:lang w:eastAsia="pt-BR"/>
          <w14:ligatures w14:val="none"/>
        </w:rPr>
        <w:t>Higienização e Conservação de Materiais</w:t>
      </w:r>
    </w:p>
    <w:p w14:paraId="2712005F"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w:t>
      </w:r>
      <w:r w:rsidRPr="003C6F06">
        <w:rPr>
          <w:rFonts w:ascii="Palatino Linotype" w:eastAsia="Times New Roman" w:hAnsi="Palatino Linotype" w:cs="Calibri"/>
          <w:b/>
          <w:bCs/>
          <w:color w:val="000000"/>
          <w:kern w:val="0"/>
          <w:lang w:eastAsia="pt-BR"/>
          <w14:ligatures w14:val="none"/>
        </w:rPr>
        <w:t>máquina de lavar</w:t>
      </w:r>
      <w:r w:rsidRPr="003C6F06">
        <w:rPr>
          <w:rFonts w:ascii="Palatino Linotype" w:eastAsia="Times New Roman" w:hAnsi="Palatino Linotype" w:cs="Calibri"/>
          <w:color w:val="000000"/>
          <w:kern w:val="0"/>
          <w:lang w:eastAsia="pt-BR"/>
          <w14:ligatures w14:val="none"/>
        </w:rPr>
        <w:t> é necessária para a higienização de panos, toalhas e demais materiais utilizados nas rotinas do setor, garantindo:</w:t>
      </w:r>
    </w:p>
    <w:p w14:paraId="78A5148D"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Condições adequadas de limpeza e conservação;</w:t>
      </w:r>
    </w:p>
    <w:p w14:paraId="70124F78"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Atendimento às normas sanitárias aplicáveis;</w:t>
      </w:r>
    </w:p>
    <w:p w14:paraId="097F9E51"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Redução de custos com serviços terceirizados de lavanderia;</w:t>
      </w:r>
    </w:p>
    <w:p w14:paraId="7FE9364E"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Maior controle sobre os processos internos de higienização.</w:t>
      </w:r>
    </w:p>
    <w:p w14:paraId="30D546F9"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b/>
          <w:bCs/>
          <w:color w:val="000000"/>
          <w:kern w:val="0"/>
          <w:u w:val="single"/>
          <w:lang w:eastAsia="pt-BR"/>
          <w14:ligatures w14:val="none"/>
        </w:rPr>
        <w:t>Suporte Tecnológico e Comunicação Institucional</w:t>
      </w:r>
    </w:p>
    <w:p w14:paraId="01108305"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Os </w:t>
      </w:r>
      <w:r w:rsidRPr="003C6F06">
        <w:rPr>
          <w:rFonts w:ascii="Palatino Linotype" w:eastAsia="Times New Roman" w:hAnsi="Palatino Linotype" w:cs="Calibri"/>
          <w:b/>
          <w:bCs/>
          <w:color w:val="000000"/>
          <w:kern w:val="0"/>
          <w:lang w:eastAsia="pt-BR"/>
          <w14:ligatures w14:val="none"/>
        </w:rPr>
        <w:t>televisores de 75 e 60 polegadas</w:t>
      </w:r>
      <w:r w:rsidRPr="003C6F06">
        <w:rPr>
          <w:rFonts w:ascii="Palatino Linotype" w:eastAsia="Times New Roman" w:hAnsi="Palatino Linotype" w:cs="Calibri"/>
          <w:color w:val="000000"/>
          <w:kern w:val="0"/>
          <w:lang w:eastAsia="pt-BR"/>
          <w14:ligatures w14:val="none"/>
        </w:rPr>
        <w:t> serão destinados a:</w:t>
      </w:r>
    </w:p>
    <w:p w14:paraId="717F1202"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Realização de reuniões, treinamentos e capacitações;</w:t>
      </w:r>
    </w:p>
    <w:p w14:paraId="32E2C39A"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Videoconferências e transmissões institucionais;</w:t>
      </w:r>
    </w:p>
    <w:p w14:paraId="4076A71D"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Apresentações técnicas e exibição de conteúdos educativos e administrativos;</w:t>
      </w:r>
    </w:p>
    <w:p w14:paraId="22F5D7E8"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Divulgação de informações institucionais em ambientes de recepção ou auditórios.</w:t>
      </w:r>
    </w:p>
    <w:p w14:paraId="4C68A6FD"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 dimensionamento das polegadas considera o tamanho dos ambientes e a necessidade de adequada visualização, garantindo qualidade na comunicação e eficiência na execução das atividades.</w:t>
      </w:r>
    </w:p>
    <w:p w14:paraId="65DB0B3A"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Diante do exposto, resta devidamente demonstrada a necessidade da contratação, considerando sua relevância operacional, administrativa e institucional, estando alinhada ao planejamento do órgão e ao interesse público.</w:t>
      </w:r>
    </w:p>
    <w:p w14:paraId="1F4AAFAD"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tbl>
      <w:tblPr>
        <w:tblW w:w="9821" w:type="dxa"/>
        <w:tblLayout w:type="fixed"/>
        <w:tblCellMar>
          <w:top w:w="15" w:type="dxa"/>
          <w:left w:w="15" w:type="dxa"/>
          <w:bottom w:w="15" w:type="dxa"/>
          <w:right w:w="15" w:type="dxa"/>
        </w:tblCellMar>
        <w:tblLook w:val="04A0" w:firstRow="1" w:lastRow="0" w:firstColumn="1" w:lastColumn="0" w:noHBand="0" w:noVBand="1"/>
      </w:tblPr>
      <w:tblGrid>
        <w:gridCol w:w="1004"/>
        <w:gridCol w:w="4517"/>
        <w:gridCol w:w="992"/>
        <w:gridCol w:w="992"/>
        <w:gridCol w:w="1191"/>
        <w:gridCol w:w="1125"/>
      </w:tblGrid>
      <w:tr w:rsidR="003C6F06" w:rsidRPr="003C6F06" w14:paraId="77F8D5C3" w14:textId="77777777" w:rsidTr="003C6F06">
        <w:tc>
          <w:tcPr>
            <w:tcW w:w="1004"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0F424024"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b/>
                <w:bCs/>
                <w:color w:val="000000"/>
                <w:kern w:val="0"/>
                <w:lang w:eastAsia="pt-BR"/>
                <w14:ligatures w14:val="none"/>
              </w:rPr>
              <w:lastRenderedPageBreak/>
              <w:t>Item</w:t>
            </w:r>
          </w:p>
        </w:tc>
        <w:tc>
          <w:tcPr>
            <w:tcW w:w="4517" w:type="dxa"/>
            <w:tcBorders>
              <w:top w:val="nil"/>
              <w:left w:val="nil"/>
              <w:bottom w:val="single" w:sz="6" w:space="0" w:color="auto"/>
              <w:right w:val="single" w:sz="6" w:space="0" w:color="auto"/>
            </w:tcBorders>
            <w:tcMar>
              <w:top w:w="105" w:type="dxa"/>
              <w:left w:w="105" w:type="dxa"/>
              <w:bottom w:w="105" w:type="dxa"/>
              <w:right w:w="105" w:type="dxa"/>
            </w:tcMar>
            <w:hideMark/>
          </w:tcPr>
          <w:p w14:paraId="7BA352B5"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b/>
                <w:bCs/>
                <w:color w:val="000000"/>
                <w:kern w:val="0"/>
                <w:lang w:eastAsia="pt-BR"/>
                <w14:ligatures w14:val="none"/>
              </w:rPr>
              <w:t>Especificação</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43A8DB58"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b/>
                <w:bCs/>
                <w:color w:val="000000"/>
                <w:kern w:val="0"/>
                <w:lang w:eastAsia="pt-BR"/>
                <w14:ligatures w14:val="none"/>
              </w:rPr>
              <w:t>Unidade de Medida</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3FF3A6E5"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b/>
                <w:bCs/>
                <w:color w:val="000000"/>
                <w:kern w:val="0"/>
                <w:lang w:eastAsia="pt-BR"/>
                <w14:ligatures w14:val="none"/>
              </w:rPr>
              <w:t>Quantidade</w:t>
            </w:r>
          </w:p>
        </w:tc>
        <w:tc>
          <w:tcPr>
            <w:tcW w:w="1191" w:type="dxa"/>
            <w:tcBorders>
              <w:top w:val="nil"/>
              <w:left w:val="nil"/>
              <w:bottom w:val="single" w:sz="6" w:space="0" w:color="auto"/>
              <w:right w:val="single" w:sz="6" w:space="0" w:color="auto"/>
            </w:tcBorders>
            <w:tcMar>
              <w:top w:w="105" w:type="dxa"/>
              <w:left w:w="105" w:type="dxa"/>
              <w:bottom w:w="105" w:type="dxa"/>
              <w:right w:w="105" w:type="dxa"/>
            </w:tcMar>
            <w:hideMark/>
          </w:tcPr>
          <w:p w14:paraId="01567690"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b/>
                <w:bCs/>
                <w:color w:val="000000"/>
                <w:kern w:val="0"/>
                <w:lang w:eastAsia="pt-BR"/>
                <w14:ligatures w14:val="none"/>
              </w:rPr>
              <w:t>Valor Unitário</w:t>
            </w:r>
          </w:p>
        </w:tc>
        <w:tc>
          <w:tcPr>
            <w:tcW w:w="1125" w:type="dxa"/>
            <w:tcBorders>
              <w:top w:val="nil"/>
              <w:left w:val="nil"/>
              <w:bottom w:val="single" w:sz="6" w:space="0" w:color="auto"/>
              <w:right w:val="single" w:sz="6" w:space="0" w:color="auto"/>
            </w:tcBorders>
            <w:tcMar>
              <w:top w:w="105" w:type="dxa"/>
              <w:left w:w="105" w:type="dxa"/>
              <w:bottom w:w="105" w:type="dxa"/>
              <w:right w:w="105" w:type="dxa"/>
            </w:tcMar>
            <w:hideMark/>
          </w:tcPr>
          <w:p w14:paraId="6D0F1DD8"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b/>
                <w:bCs/>
                <w:color w:val="000000"/>
                <w:kern w:val="0"/>
                <w:lang w:eastAsia="pt-BR"/>
                <w14:ligatures w14:val="none"/>
              </w:rPr>
              <w:t>Valor total</w:t>
            </w:r>
          </w:p>
        </w:tc>
      </w:tr>
      <w:tr w:rsidR="003C6F06" w:rsidRPr="003C6F06" w14:paraId="04E00EE8" w14:textId="77777777" w:rsidTr="003C6F06">
        <w:tc>
          <w:tcPr>
            <w:tcW w:w="1004"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202D8D9B"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1</w:t>
            </w:r>
          </w:p>
        </w:tc>
        <w:tc>
          <w:tcPr>
            <w:tcW w:w="4517" w:type="dxa"/>
            <w:tcBorders>
              <w:top w:val="nil"/>
              <w:left w:val="nil"/>
              <w:bottom w:val="single" w:sz="6" w:space="0" w:color="auto"/>
              <w:right w:val="single" w:sz="6" w:space="0" w:color="auto"/>
            </w:tcBorders>
            <w:tcMar>
              <w:top w:w="105" w:type="dxa"/>
              <w:left w:w="105" w:type="dxa"/>
              <w:bottom w:w="105" w:type="dxa"/>
              <w:right w:w="105" w:type="dxa"/>
            </w:tcMar>
            <w:hideMark/>
          </w:tcPr>
          <w:p w14:paraId="0E9E3F37" w14:textId="77AAE6FE"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fogão 4 bocas doméstico, função elétrica, acendimento automático cor branco ou inox, pés altos para facilitar a limpeza do piso, tampa de vidro, grade para panelas em arame arredondado, espaçamento igual entre os queimadores, grades e capas dos queimadores removíveis para facilitar a limpeza, mesa do fogão selada em aço inox , painel mecânico, injetor de gás horizontal e acendimento automático. forno com válvula de segurança, prateleira deslizante, auto limpante, vidro duplo na porta e iluminação central.</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67EBD487"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5D453E0C"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446A27A1"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377F1A17"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UND</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2218AC97"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27A1D43B"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065797D4"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696862ED"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03</w:t>
            </w:r>
          </w:p>
        </w:tc>
        <w:tc>
          <w:tcPr>
            <w:tcW w:w="1191" w:type="dxa"/>
            <w:tcBorders>
              <w:top w:val="nil"/>
              <w:left w:val="nil"/>
              <w:bottom w:val="single" w:sz="6" w:space="0" w:color="auto"/>
              <w:right w:val="single" w:sz="6" w:space="0" w:color="auto"/>
            </w:tcBorders>
            <w:tcMar>
              <w:top w:w="105" w:type="dxa"/>
              <w:left w:w="105" w:type="dxa"/>
              <w:bottom w:w="105" w:type="dxa"/>
              <w:right w:w="105" w:type="dxa"/>
            </w:tcMar>
            <w:hideMark/>
          </w:tcPr>
          <w:p w14:paraId="64A7FFCD"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1C0D5648"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46B3D6D5"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R$ 781,98</w:t>
            </w:r>
          </w:p>
        </w:tc>
        <w:tc>
          <w:tcPr>
            <w:tcW w:w="1125" w:type="dxa"/>
            <w:tcBorders>
              <w:top w:val="nil"/>
              <w:left w:val="nil"/>
              <w:bottom w:val="single" w:sz="6" w:space="0" w:color="auto"/>
              <w:right w:val="single" w:sz="6" w:space="0" w:color="auto"/>
            </w:tcBorders>
            <w:tcMar>
              <w:top w:w="105" w:type="dxa"/>
              <w:left w:w="105" w:type="dxa"/>
              <w:bottom w:w="105" w:type="dxa"/>
              <w:right w:w="105" w:type="dxa"/>
            </w:tcMar>
            <w:hideMark/>
          </w:tcPr>
          <w:p w14:paraId="7C457893"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102F9F62"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0E022F5F"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R$ 2.345,94</w:t>
            </w:r>
          </w:p>
        </w:tc>
      </w:tr>
      <w:tr w:rsidR="003C6F06" w:rsidRPr="003C6F06" w14:paraId="2673FE48" w14:textId="77777777" w:rsidTr="003C6F06">
        <w:tc>
          <w:tcPr>
            <w:tcW w:w="1004"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22A88105"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b/>
                <w:bCs/>
                <w:color w:val="000000"/>
                <w:kern w:val="0"/>
                <w:lang w:eastAsia="pt-BR"/>
                <w14:ligatures w14:val="none"/>
              </w:rPr>
              <w:t>2</w:t>
            </w:r>
          </w:p>
        </w:tc>
        <w:tc>
          <w:tcPr>
            <w:tcW w:w="4517" w:type="dxa"/>
            <w:tcBorders>
              <w:top w:val="nil"/>
              <w:left w:val="nil"/>
              <w:bottom w:val="single" w:sz="6" w:space="0" w:color="auto"/>
              <w:right w:val="single" w:sz="6" w:space="0" w:color="auto"/>
            </w:tcBorders>
            <w:tcMar>
              <w:top w:w="105" w:type="dxa"/>
              <w:left w:w="105" w:type="dxa"/>
              <w:bottom w:w="105" w:type="dxa"/>
              <w:right w:w="105" w:type="dxa"/>
            </w:tcMar>
            <w:hideMark/>
          </w:tcPr>
          <w:p w14:paraId="356A7323" w14:textId="3C37A672"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lavadora de roupas automática, mínima de 12 kg, cor branca, mínimo 3 níveis de água, centrifugação eficiente, indicação das etapas de lavagem, cesto de polipropileno ou inox, gabinete em aço galvanizado ou polipropileno, funções lava, enxagua, centrifuga, tampa de abertura superior, tipo de água fria, gaveta multi dispenser individuais, liga/desliga, visualizador das etapas de lavagem, pés niveladores, alimentação 220 volts, garantia mínima de 12 meses</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4FCFC2C8"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70704DEB"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1F6A135B"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UND</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43753B96"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037BC5CF"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3E604149"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01</w:t>
            </w:r>
          </w:p>
        </w:tc>
        <w:tc>
          <w:tcPr>
            <w:tcW w:w="1191" w:type="dxa"/>
            <w:tcBorders>
              <w:top w:val="nil"/>
              <w:left w:val="nil"/>
              <w:bottom w:val="single" w:sz="6" w:space="0" w:color="auto"/>
              <w:right w:val="single" w:sz="6" w:space="0" w:color="auto"/>
            </w:tcBorders>
            <w:tcMar>
              <w:top w:w="105" w:type="dxa"/>
              <w:left w:w="105" w:type="dxa"/>
              <w:bottom w:w="105" w:type="dxa"/>
              <w:right w:w="105" w:type="dxa"/>
            </w:tcMar>
            <w:hideMark/>
          </w:tcPr>
          <w:p w14:paraId="0DB55202"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0017CAF5"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R$ 2.227,67</w:t>
            </w:r>
          </w:p>
        </w:tc>
        <w:tc>
          <w:tcPr>
            <w:tcW w:w="1125" w:type="dxa"/>
            <w:tcBorders>
              <w:top w:val="nil"/>
              <w:left w:val="nil"/>
              <w:bottom w:val="single" w:sz="6" w:space="0" w:color="auto"/>
              <w:right w:val="single" w:sz="6" w:space="0" w:color="auto"/>
            </w:tcBorders>
            <w:tcMar>
              <w:top w:w="105" w:type="dxa"/>
              <w:left w:w="105" w:type="dxa"/>
              <w:bottom w:w="105" w:type="dxa"/>
              <w:right w:w="105" w:type="dxa"/>
            </w:tcMar>
            <w:hideMark/>
          </w:tcPr>
          <w:p w14:paraId="2BD1BD45"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2856D69D"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R$ 2.227,67</w:t>
            </w:r>
          </w:p>
        </w:tc>
      </w:tr>
      <w:tr w:rsidR="003C6F06" w:rsidRPr="003C6F06" w14:paraId="55E1FCB7" w14:textId="77777777" w:rsidTr="003C6F06">
        <w:tc>
          <w:tcPr>
            <w:tcW w:w="1004"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4AEEE14E"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3</w:t>
            </w:r>
          </w:p>
        </w:tc>
        <w:tc>
          <w:tcPr>
            <w:tcW w:w="4517" w:type="dxa"/>
            <w:tcBorders>
              <w:top w:val="nil"/>
              <w:left w:val="nil"/>
              <w:bottom w:val="single" w:sz="6" w:space="0" w:color="auto"/>
              <w:right w:val="single" w:sz="6" w:space="0" w:color="auto"/>
            </w:tcBorders>
            <w:tcMar>
              <w:top w:w="105" w:type="dxa"/>
              <w:left w:w="105" w:type="dxa"/>
              <w:bottom w:w="105" w:type="dxa"/>
              <w:right w:w="105" w:type="dxa"/>
            </w:tcMar>
            <w:hideMark/>
          </w:tcPr>
          <w:p w14:paraId="49463C4F" w14:textId="1CC9C2A2"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sanduicheira - material: revestimento antiaderente, cor: branca, capacidade: 2 sanduiches, potencia: 750 watts, tensao: 110 v, dimensao (h x l x p): 225 x 80 x 235 mm, acessorio: n/a</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26848DC6"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463FAE0F"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UND</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14055A15"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2C5D88EF"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04</w:t>
            </w:r>
          </w:p>
        </w:tc>
        <w:tc>
          <w:tcPr>
            <w:tcW w:w="1191" w:type="dxa"/>
            <w:tcBorders>
              <w:top w:val="nil"/>
              <w:left w:val="nil"/>
              <w:bottom w:val="single" w:sz="6" w:space="0" w:color="auto"/>
              <w:right w:val="single" w:sz="6" w:space="0" w:color="auto"/>
            </w:tcBorders>
            <w:tcMar>
              <w:top w:w="105" w:type="dxa"/>
              <w:left w:w="105" w:type="dxa"/>
              <w:bottom w:w="105" w:type="dxa"/>
              <w:right w:w="105" w:type="dxa"/>
            </w:tcMar>
            <w:hideMark/>
          </w:tcPr>
          <w:p w14:paraId="1B5B003C"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0D24B53F"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R$ 133,45</w:t>
            </w:r>
          </w:p>
        </w:tc>
        <w:tc>
          <w:tcPr>
            <w:tcW w:w="1125" w:type="dxa"/>
            <w:tcBorders>
              <w:top w:val="nil"/>
              <w:left w:val="nil"/>
              <w:bottom w:val="single" w:sz="6" w:space="0" w:color="auto"/>
              <w:right w:val="single" w:sz="6" w:space="0" w:color="auto"/>
            </w:tcBorders>
            <w:tcMar>
              <w:top w:w="105" w:type="dxa"/>
              <w:left w:w="105" w:type="dxa"/>
              <w:bottom w:w="105" w:type="dxa"/>
              <w:right w:w="105" w:type="dxa"/>
            </w:tcMar>
            <w:hideMark/>
          </w:tcPr>
          <w:p w14:paraId="5449F53F"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3452570A"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R$ 533,80</w:t>
            </w:r>
          </w:p>
        </w:tc>
      </w:tr>
      <w:tr w:rsidR="003C6F06" w:rsidRPr="003C6F06" w14:paraId="1D360F30" w14:textId="77777777" w:rsidTr="003C6F06">
        <w:tc>
          <w:tcPr>
            <w:tcW w:w="1004"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59A8C967"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4</w:t>
            </w:r>
          </w:p>
        </w:tc>
        <w:tc>
          <w:tcPr>
            <w:tcW w:w="4517" w:type="dxa"/>
            <w:tcBorders>
              <w:top w:val="nil"/>
              <w:left w:val="nil"/>
              <w:bottom w:val="single" w:sz="6" w:space="0" w:color="auto"/>
              <w:right w:val="single" w:sz="6" w:space="0" w:color="auto"/>
            </w:tcBorders>
            <w:tcMar>
              <w:top w:w="105" w:type="dxa"/>
              <w:left w:w="105" w:type="dxa"/>
              <w:bottom w:w="105" w:type="dxa"/>
              <w:right w:w="105" w:type="dxa"/>
            </w:tcMar>
            <w:hideMark/>
          </w:tcPr>
          <w:p w14:paraId="3B4354DA" w14:textId="44A025A6"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liquidificador - modelo: doméstico; requisito: copo graduado em acrílico com capacidade total de 2,0 litros, três velocidades, tecla auto limpante, tecla pulsar, potência mínima de 600 w</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211B0045"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23E61F13"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UND</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4E42E4BB"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774DC90D"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04</w:t>
            </w:r>
          </w:p>
        </w:tc>
        <w:tc>
          <w:tcPr>
            <w:tcW w:w="1191" w:type="dxa"/>
            <w:tcBorders>
              <w:top w:val="nil"/>
              <w:left w:val="nil"/>
              <w:bottom w:val="single" w:sz="6" w:space="0" w:color="auto"/>
              <w:right w:val="single" w:sz="6" w:space="0" w:color="auto"/>
            </w:tcBorders>
            <w:tcMar>
              <w:top w:w="105" w:type="dxa"/>
              <w:left w:w="105" w:type="dxa"/>
              <w:bottom w:w="105" w:type="dxa"/>
              <w:right w:w="105" w:type="dxa"/>
            </w:tcMar>
            <w:hideMark/>
          </w:tcPr>
          <w:p w14:paraId="7E26DFDF"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34675A6F"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R$ 208,06</w:t>
            </w:r>
          </w:p>
        </w:tc>
        <w:tc>
          <w:tcPr>
            <w:tcW w:w="1125" w:type="dxa"/>
            <w:tcBorders>
              <w:top w:val="nil"/>
              <w:left w:val="nil"/>
              <w:bottom w:val="single" w:sz="6" w:space="0" w:color="auto"/>
              <w:right w:val="single" w:sz="6" w:space="0" w:color="auto"/>
            </w:tcBorders>
            <w:tcMar>
              <w:top w:w="105" w:type="dxa"/>
              <w:left w:w="105" w:type="dxa"/>
              <w:bottom w:w="105" w:type="dxa"/>
              <w:right w:w="105" w:type="dxa"/>
            </w:tcMar>
            <w:hideMark/>
          </w:tcPr>
          <w:p w14:paraId="7C0527DE"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6CD75DCA"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R$ 832,24</w:t>
            </w:r>
          </w:p>
        </w:tc>
      </w:tr>
      <w:tr w:rsidR="003C6F06" w:rsidRPr="003C6F06" w14:paraId="00C0106E" w14:textId="77777777" w:rsidTr="003C6F06">
        <w:tc>
          <w:tcPr>
            <w:tcW w:w="1004"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3DF16134"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lastRenderedPageBreak/>
              <w:t>5</w:t>
            </w:r>
          </w:p>
        </w:tc>
        <w:tc>
          <w:tcPr>
            <w:tcW w:w="4517" w:type="dxa"/>
            <w:tcBorders>
              <w:top w:val="nil"/>
              <w:left w:val="nil"/>
              <w:bottom w:val="single" w:sz="6" w:space="0" w:color="auto"/>
              <w:right w:val="single" w:sz="6" w:space="0" w:color="auto"/>
            </w:tcBorders>
            <w:tcMar>
              <w:top w:w="105" w:type="dxa"/>
              <w:left w:w="105" w:type="dxa"/>
              <w:bottom w:w="105" w:type="dxa"/>
              <w:right w:w="105" w:type="dxa"/>
            </w:tcMar>
            <w:hideMark/>
          </w:tcPr>
          <w:p w14:paraId="702AEDA4" w14:textId="494E94AB"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televisor - tipo: smart tv led; tamanho da tela: 60"; formato da tela: widescreen 16:9; resolução: ultra hd (uhd) 4k; voltagem: bivolt; dados complementares: com conversor digital embutido.</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39EBA00B"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1F679C64"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UND</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64E76C5C"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1D3502EE"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02</w:t>
            </w:r>
          </w:p>
        </w:tc>
        <w:tc>
          <w:tcPr>
            <w:tcW w:w="1191" w:type="dxa"/>
            <w:tcBorders>
              <w:top w:val="nil"/>
              <w:left w:val="nil"/>
              <w:bottom w:val="single" w:sz="6" w:space="0" w:color="auto"/>
              <w:right w:val="single" w:sz="6" w:space="0" w:color="auto"/>
            </w:tcBorders>
            <w:tcMar>
              <w:top w:w="105" w:type="dxa"/>
              <w:left w:w="105" w:type="dxa"/>
              <w:bottom w:w="105" w:type="dxa"/>
              <w:right w:w="105" w:type="dxa"/>
            </w:tcMar>
            <w:hideMark/>
          </w:tcPr>
          <w:p w14:paraId="15BE2175"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R$ 2.802,53</w:t>
            </w:r>
          </w:p>
        </w:tc>
        <w:tc>
          <w:tcPr>
            <w:tcW w:w="1125" w:type="dxa"/>
            <w:tcBorders>
              <w:top w:val="nil"/>
              <w:left w:val="nil"/>
              <w:bottom w:val="single" w:sz="6" w:space="0" w:color="auto"/>
              <w:right w:val="single" w:sz="6" w:space="0" w:color="auto"/>
            </w:tcBorders>
            <w:tcMar>
              <w:top w:w="105" w:type="dxa"/>
              <w:left w:w="105" w:type="dxa"/>
              <w:bottom w:w="105" w:type="dxa"/>
              <w:right w:w="105" w:type="dxa"/>
            </w:tcMar>
            <w:hideMark/>
          </w:tcPr>
          <w:p w14:paraId="3A163370"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R$ 5.605,06</w:t>
            </w:r>
          </w:p>
        </w:tc>
      </w:tr>
      <w:tr w:rsidR="003C6F06" w:rsidRPr="003C6F06" w14:paraId="4473C7B4" w14:textId="77777777" w:rsidTr="003C6F06">
        <w:tc>
          <w:tcPr>
            <w:tcW w:w="1004"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6342FD0A"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6</w:t>
            </w:r>
          </w:p>
        </w:tc>
        <w:tc>
          <w:tcPr>
            <w:tcW w:w="4517" w:type="dxa"/>
            <w:tcBorders>
              <w:top w:val="nil"/>
              <w:left w:val="nil"/>
              <w:bottom w:val="single" w:sz="6" w:space="0" w:color="auto"/>
              <w:right w:val="single" w:sz="6" w:space="0" w:color="auto"/>
            </w:tcBorders>
            <w:tcMar>
              <w:top w:w="105" w:type="dxa"/>
              <w:left w:w="105" w:type="dxa"/>
              <w:bottom w:w="105" w:type="dxa"/>
              <w:right w:w="105" w:type="dxa"/>
            </w:tcMar>
            <w:hideMark/>
          </w:tcPr>
          <w:p w14:paraId="1BF24180" w14:textId="2C543553"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televisor - tipo: smart tv led; tamanho da tela: 75"; formato da tela: widescreen 16:9; resolução: ultra hd (uhd) 4k; voltagem: bivolt; dados complementares: com conversor digital embutido.</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37C79AC6"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7F897E82"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UND</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58C74699"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6FEC41B5"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02</w:t>
            </w:r>
          </w:p>
        </w:tc>
        <w:tc>
          <w:tcPr>
            <w:tcW w:w="1191" w:type="dxa"/>
            <w:tcBorders>
              <w:top w:val="nil"/>
              <w:left w:val="nil"/>
              <w:bottom w:val="single" w:sz="6" w:space="0" w:color="auto"/>
              <w:right w:val="single" w:sz="6" w:space="0" w:color="auto"/>
            </w:tcBorders>
            <w:tcMar>
              <w:top w:w="105" w:type="dxa"/>
              <w:left w:w="105" w:type="dxa"/>
              <w:bottom w:w="105" w:type="dxa"/>
              <w:right w:w="105" w:type="dxa"/>
            </w:tcMar>
            <w:hideMark/>
          </w:tcPr>
          <w:p w14:paraId="55A1ACB2"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R$ 5.598,84</w:t>
            </w:r>
          </w:p>
        </w:tc>
        <w:tc>
          <w:tcPr>
            <w:tcW w:w="1125" w:type="dxa"/>
            <w:tcBorders>
              <w:top w:val="nil"/>
              <w:left w:val="nil"/>
              <w:bottom w:val="single" w:sz="6" w:space="0" w:color="auto"/>
              <w:right w:val="single" w:sz="6" w:space="0" w:color="auto"/>
            </w:tcBorders>
            <w:tcMar>
              <w:top w:w="105" w:type="dxa"/>
              <w:left w:w="105" w:type="dxa"/>
              <w:bottom w:w="105" w:type="dxa"/>
              <w:right w:w="105" w:type="dxa"/>
            </w:tcMar>
            <w:hideMark/>
          </w:tcPr>
          <w:p w14:paraId="366B10E4"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R$ 11.197,68</w:t>
            </w:r>
          </w:p>
        </w:tc>
      </w:tr>
      <w:tr w:rsidR="003C6F06" w:rsidRPr="003C6F06" w14:paraId="40C43913" w14:textId="77777777" w:rsidTr="003C6F06">
        <w:tc>
          <w:tcPr>
            <w:tcW w:w="1004"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28C12C2B"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7</w:t>
            </w:r>
          </w:p>
        </w:tc>
        <w:tc>
          <w:tcPr>
            <w:tcW w:w="4517" w:type="dxa"/>
            <w:tcBorders>
              <w:top w:val="nil"/>
              <w:left w:val="nil"/>
              <w:bottom w:val="single" w:sz="6" w:space="0" w:color="auto"/>
              <w:right w:val="single" w:sz="6" w:space="0" w:color="auto"/>
            </w:tcBorders>
            <w:tcMar>
              <w:top w:w="105" w:type="dxa"/>
              <w:left w:w="105" w:type="dxa"/>
              <w:bottom w:w="105" w:type="dxa"/>
              <w:right w:w="105" w:type="dxa"/>
            </w:tcMar>
            <w:hideMark/>
          </w:tcPr>
          <w:p w14:paraId="15C8370E" w14:textId="720F76C8"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air fryer preta e inox 8l com timer 1500w, 220v- tem capacidade para 8 litros com tecnologia de circulação de ar quente, ela cozinha, assa e frita sem necessidade de usar óleo ou manteiga, seu cesto quadrado, com a maior área plana do mercado, além de ser removível para facilitar seu manuseio e a limpeza. o controle de temperatura até 200°c e o timer de até 60 minutos com desligamento automático tornam ainda mais prática essa fritadeira elétrica. versátil</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3CF4C7DD"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15A43078"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56E4347F"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0BBEE23A"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UND</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34F988BD"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63FF80F1"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5C0285ED"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67D8AFE9"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04</w:t>
            </w:r>
          </w:p>
        </w:tc>
        <w:tc>
          <w:tcPr>
            <w:tcW w:w="1191" w:type="dxa"/>
            <w:tcBorders>
              <w:top w:val="nil"/>
              <w:left w:val="nil"/>
              <w:bottom w:val="single" w:sz="6" w:space="0" w:color="auto"/>
              <w:right w:val="single" w:sz="6" w:space="0" w:color="auto"/>
            </w:tcBorders>
            <w:tcMar>
              <w:top w:w="105" w:type="dxa"/>
              <w:left w:w="105" w:type="dxa"/>
              <w:bottom w:w="105" w:type="dxa"/>
              <w:right w:w="105" w:type="dxa"/>
            </w:tcMar>
            <w:hideMark/>
          </w:tcPr>
          <w:p w14:paraId="7EE15D2D"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R$ 393,55</w:t>
            </w:r>
          </w:p>
        </w:tc>
        <w:tc>
          <w:tcPr>
            <w:tcW w:w="1125" w:type="dxa"/>
            <w:tcBorders>
              <w:top w:val="nil"/>
              <w:left w:val="nil"/>
              <w:bottom w:val="single" w:sz="6" w:space="0" w:color="auto"/>
              <w:right w:val="single" w:sz="6" w:space="0" w:color="auto"/>
            </w:tcBorders>
            <w:tcMar>
              <w:top w:w="105" w:type="dxa"/>
              <w:left w:w="105" w:type="dxa"/>
              <w:bottom w:w="105" w:type="dxa"/>
              <w:right w:w="105" w:type="dxa"/>
            </w:tcMar>
            <w:hideMark/>
          </w:tcPr>
          <w:p w14:paraId="26C077E4"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R$ 1.574,20</w:t>
            </w:r>
          </w:p>
        </w:tc>
      </w:tr>
      <w:tr w:rsidR="003C6F06" w:rsidRPr="003C6F06" w14:paraId="367D8F86" w14:textId="77777777" w:rsidTr="003C6F06">
        <w:tc>
          <w:tcPr>
            <w:tcW w:w="1004"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42CE602C"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8</w:t>
            </w:r>
          </w:p>
        </w:tc>
        <w:tc>
          <w:tcPr>
            <w:tcW w:w="4517" w:type="dxa"/>
            <w:tcBorders>
              <w:top w:val="nil"/>
              <w:left w:val="nil"/>
              <w:bottom w:val="single" w:sz="6" w:space="0" w:color="auto"/>
              <w:right w:val="single" w:sz="6" w:space="0" w:color="auto"/>
            </w:tcBorders>
            <w:tcMar>
              <w:top w:w="105" w:type="dxa"/>
              <w:left w:w="105" w:type="dxa"/>
              <w:bottom w:w="105" w:type="dxa"/>
              <w:right w:w="105" w:type="dxa"/>
            </w:tcMar>
            <w:hideMark/>
          </w:tcPr>
          <w:p w14:paraId="024C62C3" w14:textId="0C0F7010"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xml:space="preserve">cafeteira para café expresso, com sistema de suprimento de cápsula • tipo: automática, multibebidas (preparação para cafés expressos, bebidas cremosas e chás) • pressão da bomba: 15 bar • capacidade do reservatório de água: aproximadamente de 800 ml • potência: em torno de 1.350 w • voltagem: 110v • dimensões aproximadas (axlxp): 27,3 x 11 x 28,7 cm • compatível com mais de 30 tipos de bebidas, incluindo cafés, chás e chocolates • contendo 30 cápsulas de café tradicional e 30 cápsulas de cappuccino • modo eco com desligamento automático após 1 minuto de inatividade. • alerta de descalcificação: indica quando é necessário realizar a limpeza interna da máquina • função xl: permite preparar bebidas maiores, até 300 ml • controle de volume: ajuste manual da quantidade de água para personalizar a intensidade da </w:t>
            </w:r>
            <w:r w:rsidRPr="003C6F06">
              <w:rPr>
                <w:rFonts w:ascii="Palatino Linotype" w:eastAsia="Times New Roman" w:hAnsi="Palatino Linotype" w:cs="Calibri"/>
                <w:color w:val="000000"/>
                <w:kern w:val="0"/>
                <w:lang w:eastAsia="pt-BR"/>
                <w14:ligatures w14:val="none"/>
              </w:rPr>
              <w:lastRenderedPageBreak/>
              <w:t>bebida • preparo de bebidas quentes e frias: versatilidade para diferentes preferências • reservatório de água em acrílico e removível: facilita o reabastecimento e a limpeza • bandeja coletora ajustável: adapta-se a diferentes tamanhos de xícaras e é removível para limpeza • base antiderrapante • sistema de cápsulas fechado: evita sujeira e facilita a limpeza após o uso.</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47758019"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lastRenderedPageBreak/>
              <w:t> </w:t>
            </w:r>
          </w:p>
          <w:p w14:paraId="01C00DD7"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3FDF918D"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7EDF9AA6"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633CCDA3"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2EA9BF75"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4122ABCB"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6A255EBD"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UND</w:t>
            </w:r>
          </w:p>
        </w:tc>
        <w:tc>
          <w:tcPr>
            <w:tcW w:w="992" w:type="dxa"/>
            <w:tcBorders>
              <w:top w:val="nil"/>
              <w:left w:val="nil"/>
              <w:bottom w:val="single" w:sz="6" w:space="0" w:color="auto"/>
              <w:right w:val="single" w:sz="6" w:space="0" w:color="auto"/>
            </w:tcBorders>
            <w:tcMar>
              <w:top w:w="105" w:type="dxa"/>
              <w:left w:w="105" w:type="dxa"/>
              <w:bottom w:w="105" w:type="dxa"/>
              <w:right w:w="105" w:type="dxa"/>
            </w:tcMar>
            <w:hideMark/>
          </w:tcPr>
          <w:p w14:paraId="36B06A41"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28E9012D"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0DDEF2B8"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3D122861"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7CA3D92B"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34CF2ED9"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0B4507C9"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w:t>
            </w:r>
          </w:p>
          <w:p w14:paraId="72487266"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07</w:t>
            </w:r>
          </w:p>
        </w:tc>
        <w:tc>
          <w:tcPr>
            <w:tcW w:w="1191" w:type="dxa"/>
            <w:tcBorders>
              <w:top w:val="nil"/>
              <w:left w:val="nil"/>
              <w:bottom w:val="single" w:sz="6" w:space="0" w:color="auto"/>
              <w:right w:val="single" w:sz="6" w:space="0" w:color="auto"/>
            </w:tcBorders>
            <w:tcMar>
              <w:top w:w="105" w:type="dxa"/>
              <w:left w:w="105" w:type="dxa"/>
              <w:bottom w:w="105" w:type="dxa"/>
              <w:right w:w="105" w:type="dxa"/>
            </w:tcMar>
            <w:hideMark/>
          </w:tcPr>
          <w:p w14:paraId="60599EBA"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R$ 631,67</w:t>
            </w:r>
          </w:p>
        </w:tc>
        <w:tc>
          <w:tcPr>
            <w:tcW w:w="1125" w:type="dxa"/>
            <w:tcBorders>
              <w:top w:val="nil"/>
              <w:left w:val="nil"/>
              <w:bottom w:val="single" w:sz="6" w:space="0" w:color="auto"/>
              <w:right w:val="single" w:sz="6" w:space="0" w:color="auto"/>
            </w:tcBorders>
            <w:tcMar>
              <w:top w:w="105" w:type="dxa"/>
              <w:left w:w="105" w:type="dxa"/>
              <w:bottom w:w="105" w:type="dxa"/>
              <w:right w:w="105" w:type="dxa"/>
            </w:tcMar>
            <w:hideMark/>
          </w:tcPr>
          <w:p w14:paraId="692B2028" w14:textId="77777777" w:rsidR="003C6F06" w:rsidRPr="003C6F06" w:rsidRDefault="003C6F06" w:rsidP="003C6F06">
            <w:pPr>
              <w:spacing w:after="0" w:line="240" w:lineRule="auto"/>
              <w:ind w:left="120" w:right="120"/>
              <w:jc w:val="center"/>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R$ 4.421,69</w:t>
            </w:r>
          </w:p>
        </w:tc>
      </w:tr>
    </w:tbl>
    <w:p w14:paraId="09F7DE3A"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DISPONIBILIDADE ORÇAMENTÁRIA</w:t>
      </w:r>
    </w:p>
    <w:p w14:paraId="051502AF"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despesa classifica-se em 20205.23.691.4008.150001.0002 – Promoção e Participação no Desenvolvimento Econômico e Territorial do RN , Elemento 44.90.52 – Equipamentos e Material Permanente, Subelemento 24 – Equipamentos de proteção, segurança e Socorro, na Fonte 4.5.01.000000 – Outros Recursos não vinculados - SF (Superávit financeiro).</w:t>
      </w:r>
    </w:p>
    <w:p w14:paraId="12149C1D"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RECEBIMENTO DO OBJETO</w:t>
      </w:r>
    </w:p>
    <w:p w14:paraId="3BB5C247"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 prazo para fornecimento dos equipamentos é de 30 (trinta) dias corridos, contados recebimento da nota de empenho.</w:t>
      </w:r>
    </w:p>
    <w:p w14:paraId="46EAEB0B"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entrega dos materiais deverá ser realizada na sede da Junta Comercial do Estado do Rio Grande do Norte - JUCERN, localizado na Avenida Duque de Caxias, nº 214, Bairro Ribeira- Natal/RN, CEP 49.081-000;</w:t>
      </w:r>
    </w:p>
    <w:p w14:paraId="3D47E940"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 horário de entrega deste equipamento será de segunda a sexta-feira, das 08h às 14h;</w:t>
      </w:r>
    </w:p>
    <w:p w14:paraId="0ACC1771"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Os equipamentos deverão ser entregues embalados adequadamente, não sendo aceito equipamentos com caixa violada;</w:t>
      </w:r>
    </w:p>
    <w:p w14:paraId="52ABFFB3"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Os equipamentos deverão ser novos e de primeiro uso e deverá ser entregue em perfeito estado de funcionamento, sem marcas e avarias.</w:t>
      </w:r>
    </w:p>
    <w:p w14:paraId="2B7D51F7"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Caso a qualidade do equipamento entregue não correspondam ao solicitado, estive fora das especificações ou apresentarem defeitos durante ou imediatamente após a instalação, a remessa será colocada à disposição da CONTRATADA para que, no prazo máximo de 5 (cinco) dias úteis, faça a devida substituição, sem ônus para a CONTRATANTE;</w:t>
      </w:r>
    </w:p>
    <w:p w14:paraId="01BE45B4"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Constatada a ocorrência prevista neste item, após a notificação por escrito à CONTRATADA, serão interrompidos os prazos de recebimento e suspenso o pagamento, até que sanada a situação;</w:t>
      </w:r>
    </w:p>
    <w:p w14:paraId="7B84BD1D"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Após o recebimento provisório do objeto, em um prazo máximo de 05 (cinco) dias úteis será verificada pela Coordenadoria de Administração da Junta Comercial do Estado do Rio Grande do Norte a conformidade dos equipamentos fornecidos com as especificações contidas neste Termo e a qualidade dos produtos, por meio de testes sumários de uso;</w:t>
      </w:r>
    </w:p>
    <w:p w14:paraId="2E58009E"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Caso seja verificada qualquer incompatibilidade ou irregularidade, o equipamento deverá ser substituído, por conta e ônus da Contratada, em no máximo 5 (cinco) dias úteis, não considerados como prorrogação do prazo de entrega.</w:t>
      </w:r>
    </w:p>
    <w:p w14:paraId="011C7A5B"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lastRenderedPageBreak/>
        <w:t>Esse processo de verificação de compatibilidade e regularidade será também aplicado ao equipamento encaminhado pela CONTRATADA em substituição ao rejeitado, sendo o objeto da licitação definitivamente recebido e aceito somente após o cumprimento desta etapa;</w:t>
      </w:r>
    </w:p>
    <w:p w14:paraId="3C8E9714"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 recebimento definitivo não excluirá a responsabilidade da Contratada pela perfeita qualidade e funcionalidade do equipamento fornecido, cabendo-lhe sanar quaisquer irregularidades detectadas quando da utilização desse equipamento dentro do prazo de validade ou garantia do produto, observado o prazo previsto nos subitens anteriores.</w:t>
      </w:r>
    </w:p>
    <w:p w14:paraId="45469F93"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do pagamento </w:t>
      </w:r>
    </w:p>
    <w:p w14:paraId="4164B061"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Verificada a qualidade do equipamento fornecido e a compatibilidade com as exigências deste termo, da proposta apresentada pela empresa, proceder-se-á com os trâmites pertinentes à realização do pagamento, que ocorrerá sempre que houver o efetivo fornecimento dos materiais, observando-se o prazo de até 05 (cinco) dias úteis contados da data em que for atestada a respectiva nota fiscal.</w:t>
      </w:r>
    </w:p>
    <w:p w14:paraId="4ECF5B3E"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Contratada deverá comprovar a regularidade junto ao FGTS, bem como apresentar as certidões negativas de débitos municipal, estadual, federal e trabalhista além da nota fiscal/fatura referente ao equipamento Entregue.</w:t>
      </w:r>
    </w:p>
    <w:p w14:paraId="03EC49D8"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Os documentos supracitados, os quais são imprescindíveis para a concretização do pagamento, deverão ser apresentados à Coordenadoria Administrativa para conferência, cabendo a Gestão de Contratos da JUCERN atestar a respectiva nota fiscal da instituição atestar a respectiva nota fiscal, desde que constate que tudo está em conformidade com este termo de referência</w:t>
      </w:r>
    </w:p>
    <w:p w14:paraId="1AD9A1A9"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Constatada a regularidade da Contratada e atestado o recebimento dos materiais na nota fiscal apresentada, esta será encaminhada à Coordenadoria de Finanças e Contabilidade para pagamento.</w:t>
      </w:r>
    </w:p>
    <w:p w14:paraId="2A1BA118"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documentação </w:t>
      </w:r>
    </w:p>
    <w:p w14:paraId="00FFE140"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contratada deverá apresentar os seguintes documentos para comprovação de regularidade jurídica, fiscal, trabalhista e econômico-financeira:</w:t>
      </w:r>
    </w:p>
    <w:p w14:paraId="73710B52"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Prova de inscrição no Cadastro Nacional de Pessoas Jurídicas (CNPJ), conforme o caso, expedido pela Secretaria da Receita Federal;</w:t>
      </w:r>
    </w:p>
    <w:p w14:paraId="52CC3609"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Prova de constituição social, podendo ser:</w:t>
      </w:r>
    </w:p>
    <w:p w14:paraId="7F41D633"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Registro comercial, no caso de empresa individual;</w:t>
      </w:r>
    </w:p>
    <w:p w14:paraId="1BC3680D"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Ato constitutivo, estatuto ou contrato social em vigor, devidamente registrado, em caso se tratando de sociedades comerciais, e, no caso de sociedades por ações, acompanhado de documentos de eleição de seus administradores;</w:t>
      </w:r>
    </w:p>
    <w:p w14:paraId="327B8893"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em caso de sociedade civil, o respectivo ato constitutivo, registrado no cartório competente, acompanhado de prova da diretoria em exercício;</w:t>
      </w:r>
    </w:p>
    <w:p w14:paraId="48333EAD"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 xml:space="preserve">Decreto autorização, em se tratando de empresa ou sociedade estrangeira em funcionamento no país, e ato de registro ou autorização para </w:t>
      </w:r>
      <w:r w:rsidRPr="003C6F06">
        <w:rPr>
          <w:rFonts w:ascii="Palatino Linotype" w:eastAsia="Times New Roman" w:hAnsi="Palatino Linotype" w:cs="Calibri"/>
          <w:color w:val="000000"/>
          <w:kern w:val="0"/>
          <w:lang w:eastAsia="pt-BR"/>
          <w14:ligatures w14:val="none"/>
        </w:rPr>
        <w:lastRenderedPageBreak/>
        <w:t>funcionamento expedido pelo órgão competente, quando a atividade assim o exigir.</w:t>
      </w:r>
    </w:p>
    <w:p w14:paraId="70F8536D"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Cópia dos documentos pessoais do representante legal da empresa e/ou do responsável pela assinatura do instrumento contratual, neste último caso, acompanhado de instrumento de mandato público ou particular, com poderes específicos para tal ato;</w:t>
      </w:r>
    </w:p>
    <w:p w14:paraId="01A581F9"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Prova de regularidade para com a Fazenda Municipal do domicílio ou sede, mediante apresentação de certidão emitida pela Secretaria competente do Município;</w:t>
      </w:r>
    </w:p>
    <w:p w14:paraId="4577ED39"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Prova de regularidade para com a Fazenda Estadual, mediante apresentação de certidão emitida pelo órgão competente do estado;</w:t>
      </w:r>
    </w:p>
    <w:p w14:paraId="24D46D4A"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Prova de regularidade para com a Fazenda Federal, mediante apresentação de Certidão Conjunta de Débitos relativos a Tributos Federais e à Dívida Ativa da União, fornecida pela Secretaria da Receita Federal ou pela Procuradoria-Geral da Fazenda Nacional, abrangendo inclusive as Contribuições Sociais previstas nas alíneas “a” a “d” do Parágrafo único do art. 11 da Lei 8.212/91;</w:t>
      </w:r>
    </w:p>
    <w:p w14:paraId="04717D10"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Prova de regularidade relativa ao Fundo de Garantia por Tempo de Serviço (FGTS), demonstrando situação regular no cumprimento dos encargos sociais instituídos por lei;</w:t>
      </w:r>
    </w:p>
    <w:p w14:paraId="10D785BD"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Prova de inexistência de débitos inadimplidos perante a Justiça do Trabalho, mediante a apresentação de certidão negativa, nos termos do Título VII-A da CLT, aprovada pelo Decreto-Lei nº 5.452, de 1º de maio de 1943 – CNDT</w:t>
      </w:r>
    </w:p>
    <w:p w14:paraId="37325C9B"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VALOR ESTIMADO DA CONTRATAÇÃO </w:t>
      </w:r>
    </w:p>
    <w:p w14:paraId="221781F3"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 valor total estimado para essa a aquisição é de: R$ 28.738,28 (Vinte e oito mil, setecentos e trinta e oito reais e vinte e oito centavos).</w:t>
      </w:r>
    </w:p>
    <w:p w14:paraId="7AE1005F"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OBRIGAÇÕES DA CONTRATADA</w:t>
      </w:r>
    </w:p>
    <w:p w14:paraId="24D82616"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Fornecer os eletrodomésticos conforme as especificações técnicas, quantidades e prazos estabelecidos no Termo de Referência e na proposta apresentada.</w:t>
      </w:r>
    </w:p>
    <w:p w14:paraId="1339F149"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Entregar os produtos em perfeitas condições de uso, novos, sem avarias e acompanhados dos respectivos manuais, certificados de garantia e demais documentos exigidos.</w:t>
      </w:r>
    </w:p>
    <w:p w14:paraId="30EA4873"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Responsabilizar-se pelo transporte, carregamento, descarregamento e entrega dos equipamentos no local indicado pela Contratante.</w:t>
      </w:r>
    </w:p>
    <w:p w14:paraId="26EA2FD5"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Substituir, sem ônus para a Contratante, os produtos que apresentarem defeitos de fabricação, avarias ou divergências em relação às especificações contratadas.</w:t>
      </w:r>
    </w:p>
    <w:p w14:paraId="0139BFDF"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Cumprir integralmente as normas técnicas e de segurança aplicáveis aos produtos fornecidos.</w:t>
      </w:r>
    </w:p>
    <w:p w14:paraId="1F82780C"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Manter durante toda a execução contratual as condições de habilitação e qualificação exigidas no processo de contratação.</w:t>
      </w:r>
    </w:p>
    <w:p w14:paraId="6B443A60"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OBRIGAÇÕES DA CONTRATANTE</w:t>
      </w:r>
    </w:p>
    <w:p w14:paraId="33806E4C"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Receber e conferir os produtos entregues, verificando sua conformidade com as especificações estabelecidas.</w:t>
      </w:r>
    </w:p>
    <w:p w14:paraId="61142DC1"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Rejeitar, no todo ou em parte, os itens entregues em desacordo com o Termo de Referência.</w:t>
      </w:r>
    </w:p>
    <w:p w14:paraId="5E2C1E47"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lastRenderedPageBreak/>
        <w:t>Disponibilizar as informações necessárias para o adequado cumprimento do objeto contratado.</w:t>
      </w:r>
    </w:p>
    <w:p w14:paraId="5D92697A"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Efetuar o pagamento à Contratada após o recebimento definitivo dos produtos e a apresentação da documentação fiscal correspondente, observados os prazos estabelecidos.</w:t>
      </w:r>
    </w:p>
    <w:p w14:paraId="54E5456F"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Fiscalizar e acompanhar a execução do fornecimento, registrando eventuais ocorrências e notificando a Contratada quando necessário.</w:t>
      </w:r>
    </w:p>
    <w:p w14:paraId="7AA5A48A"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SANÇÕES ADMINISTRATIVAS (PENALIDADES)</w:t>
      </w:r>
    </w:p>
    <w:p w14:paraId="3FA62D95"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 licitante ou contratado que descumprir as obrigações assumidas ficará sujeito às sanções previstas na Lei nº 14.133/2021, observada a ampla defesa e o contraditório.</w:t>
      </w:r>
    </w:p>
    <w:p w14:paraId="652F72E3"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Poderão ser aplicadas, conforme a gravidade da infração, as seguintes penalidades:</w:t>
      </w:r>
    </w:p>
    <w:p w14:paraId="68574C6C"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Advertência;</w:t>
      </w:r>
    </w:p>
    <w:p w14:paraId="781BC2E4"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Multa por atraso injustificado na entrega ou por inexecução total ou parcial do objeto;</w:t>
      </w:r>
    </w:p>
    <w:p w14:paraId="5C10A81A"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Impedimento de licitar e contratar com a Administração Pública pelo prazo previsto em lei;</w:t>
      </w:r>
    </w:p>
    <w:p w14:paraId="060DD048" w14:textId="77777777" w:rsidR="003C6F06" w:rsidRPr="003C6F06" w:rsidRDefault="003C6F06" w:rsidP="003C6F06">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Declaração de inidoneidade para licitar ou contratar com a Administração Pública, nos casos legalmente previstos.</w:t>
      </w:r>
    </w:p>
    <w:p w14:paraId="5AFBFDAC"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aplicação das penalidades não exclui a obrigação de reparar integralmente os danos causados à Administração.</w:t>
      </w:r>
    </w:p>
    <w:p w14:paraId="103F8D13"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GESTÃO E FISCALIZAÇÃO CONTRATUAL</w:t>
      </w:r>
    </w:p>
    <w:p w14:paraId="7113C05B"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JUCERN é responsável pela gestão do contrato no que compete a execução do fornecimento dos produtos, observando todos os aspectos contratados, conforme requisitos estabelecidos no art. 7º da Lei n° 14.133/21 ou pelos respectivos substitutos.</w:t>
      </w:r>
    </w:p>
    <w:p w14:paraId="1DC75494"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 fiscal do Contrato anotará em registro próprio todas as ocorrências relacionadas à execução do contrato, determinando o que for necessário para a regularização das faltas ou dos defeitos observados.</w:t>
      </w:r>
    </w:p>
    <w:p w14:paraId="03046C70"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fiscalização do cumprimento das obrigações emanadas deste Contrato será realizada pelos servidores Éden Paulo Lopes Guerra – Gestor do Contrato (CPF 01061535444 e matrícula 2252732) e GEINIZA MARIA F SARMENTO – Fiscal do Contrato (CPF 21466220406 e matrícula 1693956), respectivamente, titular e suplente serão os fiscais deste contrato em questão.</w:t>
      </w:r>
    </w:p>
    <w:p w14:paraId="5BC0C0C7" w14:textId="77777777" w:rsidR="003C6F06" w:rsidRPr="003C6F06" w:rsidRDefault="003C6F06" w:rsidP="003C6F06">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C6F06">
        <w:rPr>
          <w:rFonts w:ascii="Palatino Linotype" w:eastAsia="Times New Roman" w:hAnsi="Palatino Linotype" w:cs="Calibri"/>
          <w:b/>
          <w:bCs/>
          <w:caps/>
          <w:color w:val="000000"/>
          <w:kern w:val="0"/>
          <w:lang w:eastAsia="pt-BR"/>
          <w14:ligatures w14:val="none"/>
        </w:rPr>
        <w:t>DISPOSIÇÕES GERAIS</w:t>
      </w:r>
    </w:p>
    <w:p w14:paraId="0CB08610"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contratação será regida pelas disposições da Lei nº 14.133/2021 e demais normas aplicáveis à matéria.</w:t>
      </w:r>
    </w:p>
    <w:p w14:paraId="6B13D047"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Os casos omissos serão resolvidos pela Administração, observada a legislação vigente e os princípios que regem as contratações públicas.</w:t>
      </w:r>
    </w:p>
    <w:p w14:paraId="722A2408"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Os eletrodomésticos fornecidos deverão ser novos, de primeiro uso, sem sinais de uso anterior, e atender integralmente às especificações técnicas estabelecidas neste Termo de Referência.</w:t>
      </w:r>
    </w:p>
    <w:p w14:paraId="55B54B01"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lastRenderedPageBreak/>
        <w:t>A garantia mínima dos produtos será aquela oferecida pelo fabricante, sem prejuízo das garantias legais previstas na legislação de defesa do consumidor.</w:t>
      </w:r>
    </w:p>
    <w:p w14:paraId="270B4832"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entrega dos equipamentos deverá ocorrer no local indicado pela Contratante, dentro do prazo estabelecido na ordem de fornecimento ou instrumento equivalente.</w:t>
      </w:r>
    </w:p>
    <w:p w14:paraId="76DD700A"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A simples participação no processo de contratação implica plena aceitação, por parte da Contratada, de todas as condições estabelecidas neste Termo de Referência.</w:t>
      </w:r>
    </w:p>
    <w:p w14:paraId="28203395"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Eventuais alterações contratuais somente poderão ocorrer nas hipóteses e condições previstas na legislação vigente.</w:t>
      </w:r>
    </w:p>
    <w:p w14:paraId="7667B005" w14:textId="77777777" w:rsidR="003C6F06" w:rsidRPr="003C6F06" w:rsidRDefault="003C6F06" w:rsidP="003C6F06">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C6F06">
        <w:rPr>
          <w:rFonts w:ascii="Palatino Linotype" w:eastAsia="Times New Roman" w:hAnsi="Palatino Linotype" w:cs="Calibri"/>
          <w:color w:val="000000"/>
          <w:kern w:val="0"/>
          <w:lang w:eastAsia="pt-BR"/>
          <w14:ligatures w14:val="none"/>
        </w:rPr>
        <w:t>Integram este Termo de Referência todos os documentos e anexos que o acompanham, independentemente de transcrição.</w:t>
      </w:r>
    </w:p>
    <w:p w14:paraId="37690985" w14:textId="77777777" w:rsidR="00864DFA" w:rsidRPr="00864DFA" w:rsidRDefault="00864DFA" w:rsidP="003C6F06">
      <w:pPr>
        <w:jc w:val="center"/>
        <w:rPr>
          <w:rFonts w:ascii="Palatino Linotype" w:eastAsia="Times New Roman" w:hAnsi="Palatino Linotype" w:cs="Calibri"/>
          <w:color w:val="000000"/>
          <w:kern w:val="0"/>
          <w:lang w:eastAsia="pt-BR"/>
          <w14:ligatures w14:val="none"/>
        </w:rPr>
      </w:pPr>
    </w:p>
    <w:p w14:paraId="16DF61BD" w14:textId="6DD47D11" w:rsidR="00842F07" w:rsidRPr="004E0F08" w:rsidRDefault="00842F07" w:rsidP="003127D8">
      <w:pPr>
        <w:ind w:left="-426"/>
        <w:rPr>
          <w:rFonts w:ascii="Palatino Linotype" w:hAnsi="Palatino Linotype" w:cs="Arial"/>
        </w:rPr>
      </w:pPr>
    </w:p>
    <w:sectPr w:rsidR="00842F07" w:rsidRPr="004E0F08" w:rsidSect="003F1DAC">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04358"/>
    <w:multiLevelType w:val="multilevel"/>
    <w:tmpl w:val="B434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530CB"/>
    <w:multiLevelType w:val="multilevel"/>
    <w:tmpl w:val="1870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D6212"/>
    <w:multiLevelType w:val="multilevel"/>
    <w:tmpl w:val="1432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7A25ED"/>
    <w:multiLevelType w:val="hybridMultilevel"/>
    <w:tmpl w:val="67AA5C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B6CA9"/>
    <w:multiLevelType w:val="multilevel"/>
    <w:tmpl w:val="ACE41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3B6017"/>
    <w:multiLevelType w:val="multilevel"/>
    <w:tmpl w:val="3A56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8A6379"/>
    <w:multiLevelType w:val="multilevel"/>
    <w:tmpl w:val="B50A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61E46"/>
    <w:multiLevelType w:val="multilevel"/>
    <w:tmpl w:val="15943C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2D47FA2"/>
    <w:multiLevelType w:val="multilevel"/>
    <w:tmpl w:val="58B6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3A757F"/>
    <w:multiLevelType w:val="multilevel"/>
    <w:tmpl w:val="970E7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2A1BD7"/>
    <w:multiLevelType w:val="multilevel"/>
    <w:tmpl w:val="74E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5B7828"/>
    <w:multiLevelType w:val="multilevel"/>
    <w:tmpl w:val="D36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323294"/>
    <w:multiLevelType w:val="multilevel"/>
    <w:tmpl w:val="0BD6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7D0596"/>
    <w:multiLevelType w:val="multilevel"/>
    <w:tmpl w:val="0002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E26A8D"/>
    <w:multiLevelType w:val="multilevel"/>
    <w:tmpl w:val="CB62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B1131B"/>
    <w:multiLevelType w:val="multilevel"/>
    <w:tmpl w:val="6230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FD2B30"/>
    <w:multiLevelType w:val="multilevel"/>
    <w:tmpl w:val="3D94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631949"/>
    <w:multiLevelType w:val="multilevel"/>
    <w:tmpl w:val="6FE89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9560E3"/>
    <w:multiLevelType w:val="multilevel"/>
    <w:tmpl w:val="63D4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B95CB2"/>
    <w:multiLevelType w:val="multilevel"/>
    <w:tmpl w:val="C718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2588082">
    <w:abstractNumId w:val="2"/>
  </w:num>
  <w:num w:numId="2" w16cid:durableId="355011090">
    <w:abstractNumId w:val="4"/>
  </w:num>
  <w:num w:numId="3" w16cid:durableId="977340777">
    <w:abstractNumId w:val="0"/>
  </w:num>
  <w:num w:numId="4" w16cid:durableId="1566597986">
    <w:abstractNumId w:val="5"/>
  </w:num>
  <w:num w:numId="5" w16cid:durableId="1397126578">
    <w:abstractNumId w:val="19"/>
  </w:num>
  <w:num w:numId="6" w16cid:durableId="910844970">
    <w:abstractNumId w:val="8"/>
  </w:num>
  <w:num w:numId="7" w16cid:durableId="1618175128">
    <w:abstractNumId w:val="18"/>
  </w:num>
  <w:num w:numId="8" w16cid:durableId="340090121">
    <w:abstractNumId w:val="13"/>
  </w:num>
  <w:num w:numId="9" w16cid:durableId="1845901628">
    <w:abstractNumId w:val="9"/>
  </w:num>
  <w:num w:numId="10" w16cid:durableId="1989091805">
    <w:abstractNumId w:val="16"/>
  </w:num>
  <w:num w:numId="11" w16cid:durableId="1456295559">
    <w:abstractNumId w:val="14"/>
  </w:num>
  <w:num w:numId="12" w16cid:durableId="887913834">
    <w:abstractNumId w:val="7"/>
  </w:num>
  <w:num w:numId="13" w16cid:durableId="969634297">
    <w:abstractNumId w:val="12"/>
  </w:num>
  <w:num w:numId="14" w16cid:durableId="202526661">
    <w:abstractNumId w:val="6"/>
  </w:num>
  <w:num w:numId="15" w16cid:durableId="1223642760">
    <w:abstractNumId w:val="1"/>
  </w:num>
  <w:num w:numId="16" w16cid:durableId="1024480393">
    <w:abstractNumId w:val="17"/>
  </w:num>
  <w:num w:numId="17" w16cid:durableId="1650398180">
    <w:abstractNumId w:val="11"/>
  </w:num>
  <w:num w:numId="18" w16cid:durableId="701521190">
    <w:abstractNumId w:val="10"/>
  </w:num>
  <w:num w:numId="19" w16cid:durableId="2138644104">
    <w:abstractNumId w:val="15"/>
  </w:num>
  <w:num w:numId="20" w16cid:durableId="256132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DAC"/>
    <w:rsid w:val="00021407"/>
    <w:rsid w:val="00027B05"/>
    <w:rsid w:val="0006452A"/>
    <w:rsid w:val="000A6926"/>
    <w:rsid w:val="000E2CA3"/>
    <w:rsid w:val="00115619"/>
    <w:rsid w:val="0015042A"/>
    <w:rsid w:val="00157E51"/>
    <w:rsid w:val="001763FD"/>
    <w:rsid w:val="001A53C1"/>
    <w:rsid w:val="001C4D02"/>
    <w:rsid w:val="001E4FA4"/>
    <w:rsid w:val="001F18EA"/>
    <w:rsid w:val="001F1E78"/>
    <w:rsid w:val="001F4D2B"/>
    <w:rsid w:val="0022359D"/>
    <w:rsid w:val="00237954"/>
    <w:rsid w:val="0028032F"/>
    <w:rsid w:val="002A401F"/>
    <w:rsid w:val="002B020E"/>
    <w:rsid w:val="002B093E"/>
    <w:rsid w:val="002B18C1"/>
    <w:rsid w:val="002D7B8B"/>
    <w:rsid w:val="002F77A2"/>
    <w:rsid w:val="00300254"/>
    <w:rsid w:val="003043E8"/>
    <w:rsid w:val="00307816"/>
    <w:rsid w:val="003127D8"/>
    <w:rsid w:val="00333147"/>
    <w:rsid w:val="003A04DB"/>
    <w:rsid w:val="003A33B0"/>
    <w:rsid w:val="003A61C3"/>
    <w:rsid w:val="003C22D8"/>
    <w:rsid w:val="003C62BC"/>
    <w:rsid w:val="003C6F06"/>
    <w:rsid w:val="003E3D6A"/>
    <w:rsid w:val="003F1DAC"/>
    <w:rsid w:val="004262E1"/>
    <w:rsid w:val="00440A89"/>
    <w:rsid w:val="00450776"/>
    <w:rsid w:val="004516D6"/>
    <w:rsid w:val="0046283C"/>
    <w:rsid w:val="004729F3"/>
    <w:rsid w:val="004741E3"/>
    <w:rsid w:val="004B1DAD"/>
    <w:rsid w:val="004E0F08"/>
    <w:rsid w:val="004F2D07"/>
    <w:rsid w:val="00516AB3"/>
    <w:rsid w:val="00520B46"/>
    <w:rsid w:val="00544282"/>
    <w:rsid w:val="005703D4"/>
    <w:rsid w:val="0058277C"/>
    <w:rsid w:val="00583EA0"/>
    <w:rsid w:val="005A6778"/>
    <w:rsid w:val="005E745F"/>
    <w:rsid w:val="005F669F"/>
    <w:rsid w:val="00615040"/>
    <w:rsid w:val="00615179"/>
    <w:rsid w:val="00636586"/>
    <w:rsid w:val="00662344"/>
    <w:rsid w:val="00662A37"/>
    <w:rsid w:val="00663769"/>
    <w:rsid w:val="006652D3"/>
    <w:rsid w:val="006D0F36"/>
    <w:rsid w:val="006D550A"/>
    <w:rsid w:val="006E3FBB"/>
    <w:rsid w:val="006F355B"/>
    <w:rsid w:val="006F6402"/>
    <w:rsid w:val="007039FE"/>
    <w:rsid w:val="00705C46"/>
    <w:rsid w:val="007136F0"/>
    <w:rsid w:val="00715B24"/>
    <w:rsid w:val="007445FC"/>
    <w:rsid w:val="00786353"/>
    <w:rsid w:val="007B2239"/>
    <w:rsid w:val="007B3C7C"/>
    <w:rsid w:val="007C44BD"/>
    <w:rsid w:val="007D4194"/>
    <w:rsid w:val="007E1BAC"/>
    <w:rsid w:val="008039F9"/>
    <w:rsid w:val="00803C4A"/>
    <w:rsid w:val="008127A8"/>
    <w:rsid w:val="00822397"/>
    <w:rsid w:val="00831196"/>
    <w:rsid w:val="00842F07"/>
    <w:rsid w:val="008431EA"/>
    <w:rsid w:val="00863AA9"/>
    <w:rsid w:val="00864DFA"/>
    <w:rsid w:val="00871E6D"/>
    <w:rsid w:val="008C3866"/>
    <w:rsid w:val="008D3A9E"/>
    <w:rsid w:val="008F271B"/>
    <w:rsid w:val="00911CD5"/>
    <w:rsid w:val="00921A22"/>
    <w:rsid w:val="00947F55"/>
    <w:rsid w:val="009552F7"/>
    <w:rsid w:val="00957B2A"/>
    <w:rsid w:val="00960D19"/>
    <w:rsid w:val="009722ED"/>
    <w:rsid w:val="009930C5"/>
    <w:rsid w:val="00994407"/>
    <w:rsid w:val="00997951"/>
    <w:rsid w:val="00997BE3"/>
    <w:rsid w:val="009C24F6"/>
    <w:rsid w:val="009D26A6"/>
    <w:rsid w:val="009D3809"/>
    <w:rsid w:val="00A20AD6"/>
    <w:rsid w:val="00A63285"/>
    <w:rsid w:val="00A671A8"/>
    <w:rsid w:val="00A915F0"/>
    <w:rsid w:val="00AD64DB"/>
    <w:rsid w:val="00AE0BD1"/>
    <w:rsid w:val="00AE445E"/>
    <w:rsid w:val="00B07B96"/>
    <w:rsid w:val="00B25FE9"/>
    <w:rsid w:val="00B265EE"/>
    <w:rsid w:val="00B40F79"/>
    <w:rsid w:val="00B73655"/>
    <w:rsid w:val="00B7562D"/>
    <w:rsid w:val="00BA7338"/>
    <w:rsid w:val="00BC009F"/>
    <w:rsid w:val="00BC6E6D"/>
    <w:rsid w:val="00C204F9"/>
    <w:rsid w:val="00C40133"/>
    <w:rsid w:val="00C63405"/>
    <w:rsid w:val="00C64C0C"/>
    <w:rsid w:val="00C71E00"/>
    <w:rsid w:val="00C86312"/>
    <w:rsid w:val="00C90346"/>
    <w:rsid w:val="00CA1F9D"/>
    <w:rsid w:val="00CF5731"/>
    <w:rsid w:val="00D31F24"/>
    <w:rsid w:val="00D67F22"/>
    <w:rsid w:val="00D958EF"/>
    <w:rsid w:val="00DB0345"/>
    <w:rsid w:val="00DB0FAA"/>
    <w:rsid w:val="00DC7127"/>
    <w:rsid w:val="00DD462D"/>
    <w:rsid w:val="00E06B3F"/>
    <w:rsid w:val="00E3365E"/>
    <w:rsid w:val="00E41658"/>
    <w:rsid w:val="00E51850"/>
    <w:rsid w:val="00E71819"/>
    <w:rsid w:val="00E72445"/>
    <w:rsid w:val="00E77284"/>
    <w:rsid w:val="00E7779B"/>
    <w:rsid w:val="00E819F4"/>
    <w:rsid w:val="00E97DB7"/>
    <w:rsid w:val="00EA7CE8"/>
    <w:rsid w:val="00ED54C5"/>
    <w:rsid w:val="00EF2F91"/>
    <w:rsid w:val="00F43217"/>
    <w:rsid w:val="00F50C61"/>
    <w:rsid w:val="00F74581"/>
    <w:rsid w:val="00F86ACF"/>
    <w:rsid w:val="00FA4732"/>
    <w:rsid w:val="00FC0A5D"/>
    <w:rsid w:val="00FC249A"/>
    <w:rsid w:val="00FD7457"/>
    <w:rsid w:val="00FE4E15"/>
    <w:rsid w:val="00FF60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6AD7B"/>
  <w15:chartTrackingRefBased/>
  <w15:docId w15:val="{0FE2A3E8-32A8-4F7C-94B6-99E1222D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F1D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F1D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F1D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F1D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F1D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F1DA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F1DA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F1DA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F1DA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F1DA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F1DA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F1DA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F1DA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F1DA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F1DA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F1DA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F1DA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F1DAC"/>
    <w:rPr>
      <w:rFonts w:eastAsiaTheme="majorEastAsia" w:cstheme="majorBidi"/>
      <w:color w:val="272727" w:themeColor="text1" w:themeTint="D8"/>
    </w:rPr>
  </w:style>
  <w:style w:type="paragraph" w:styleId="Ttulo">
    <w:name w:val="Title"/>
    <w:basedOn w:val="Normal"/>
    <w:next w:val="Normal"/>
    <w:link w:val="TtuloChar"/>
    <w:uiPriority w:val="10"/>
    <w:qFormat/>
    <w:rsid w:val="003F1D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F1D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F1DA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F1DA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F1DAC"/>
    <w:pPr>
      <w:spacing w:before="160"/>
      <w:jc w:val="center"/>
    </w:pPr>
    <w:rPr>
      <w:i/>
      <w:iCs/>
      <w:color w:val="404040" w:themeColor="text1" w:themeTint="BF"/>
    </w:rPr>
  </w:style>
  <w:style w:type="character" w:customStyle="1" w:styleId="CitaoChar">
    <w:name w:val="Citação Char"/>
    <w:basedOn w:val="Fontepargpadro"/>
    <w:link w:val="Citao"/>
    <w:uiPriority w:val="29"/>
    <w:rsid w:val="003F1DAC"/>
    <w:rPr>
      <w:i/>
      <w:iCs/>
      <w:color w:val="404040" w:themeColor="text1" w:themeTint="BF"/>
    </w:rPr>
  </w:style>
  <w:style w:type="paragraph" w:styleId="PargrafodaLista">
    <w:name w:val="List Paragraph"/>
    <w:basedOn w:val="Normal"/>
    <w:uiPriority w:val="34"/>
    <w:qFormat/>
    <w:rsid w:val="003F1DAC"/>
    <w:pPr>
      <w:ind w:left="720"/>
      <w:contextualSpacing/>
    </w:pPr>
  </w:style>
  <w:style w:type="character" w:styleId="nfaseIntensa">
    <w:name w:val="Intense Emphasis"/>
    <w:basedOn w:val="Fontepargpadro"/>
    <w:uiPriority w:val="21"/>
    <w:qFormat/>
    <w:rsid w:val="003F1DAC"/>
    <w:rPr>
      <w:i/>
      <w:iCs/>
      <w:color w:val="0F4761" w:themeColor="accent1" w:themeShade="BF"/>
    </w:rPr>
  </w:style>
  <w:style w:type="paragraph" w:styleId="CitaoIntensa">
    <w:name w:val="Intense Quote"/>
    <w:basedOn w:val="Normal"/>
    <w:next w:val="Normal"/>
    <w:link w:val="CitaoIntensaChar"/>
    <w:uiPriority w:val="30"/>
    <w:qFormat/>
    <w:rsid w:val="003F1D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F1DAC"/>
    <w:rPr>
      <w:i/>
      <w:iCs/>
      <w:color w:val="0F4761" w:themeColor="accent1" w:themeShade="BF"/>
    </w:rPr>
  </w:style>
  <w:style w:type="character" w:styleId="RefernciaIntensa">
    <w:name w:val="Intense Reference"/>
    <w:basedOn w:val="Fontepargpadro"/>
    <w:uiPriority w:val="32"/>
    <w:qFormat/>
    <w:rsid w:val="003F1DAC"/>
    <w:rPr>
      <w:b/>
      <w:bCs/>
      <w:smallCaps/>
      <w:color w:val="0F4761" w:themeColor="accent1" w:themeShade="BF"/>
      <w:spacing w:val="5"/>
    </w:rPr>
  </w:style>
  <w:style w:type="character" w:styleId="Hyperlink">
    <w:name w:val="Hyperlink"/>
    <w:basedOn w:val="Fontepargpadro"/>
    <w:uiPriority w:val="99"/>
    <w:unhideWhenUsed/>
    <w:rsid w:val="003F1DAC"/>
    <w:rPr>
      <w:color w:val="467886" w:themeColor="hyperlink"/>
      <w:u w:val="single"/>
    </w:rPr>
  </w:style>
  <w:style w:type="character" w:styleId="MenoPendente">
    <w:name w:val="Unresolved Mention"/>
    <w:basedOn w:val="Fontepargpadro"/>
    <w:uiPriority w:val="99"/>
    <w:semiHidden/>
    <w:unhideWhenUsed/>
    <w:rsid w:val="003F1DAC"/>
    <w:rPr>
      <w:color w:val="605E5C"/>
      <w:shd w:val="clear" w:color="auto" w:fill="E1DFDD"/>
    </w:rPr>
  </w:style>
  <w:style w:type="paragraph" w:customStyle="1" w:styleId="tabelatextocentralizado">
    <w:name w:val="tabela_texto_centralizado"/>
    <w:basedOn w:val="Normal"/>
    <w:rsid w:val="006D0F3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6D0F36"/>
    <w:rPr>
      <w:b/>
      <w:bCs/>
    </w:rPr>
  </w:style>
  <w:style w:type="paragraph" w:styleId="NormalWeb">
    <w:name w:val="Normal (Web)"/>
    <w:basedOn w:val="Normal"/>
    <w:uiPriority w:val="99"/>
    <w:semiHidden/>
    <w:unhideWhenUsed/>
    <w:rsid w:val="001763F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1763F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nfase">
    <w:name w:val="Emphasis"/>
    <w:basedOn w:val="Fontepargpadro"/>
    <w:uiPriority w:val="20"/>
    <w:qFormat/>
    <w:rsid w:val="001763FD"/>
    <w:rPr>
      <w:i/>
      <w:iCs/>
    </w:rPr>
  </w:style>
  <w:style w:type="paragraph" w:customStyle="1" w:styleId="itemnivel2">
    <w:name w:val="item_nivel2"/>
    <w:basedOn w:val="Normal"/>
    <w:rsid w:val="003C62B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11561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087920">
      <w:bodyDiv w:val="1"/>
      <w:marLeft w:val="0"/>
      <w:marRight w:val="0"/>
      <w:marTop w:val="0"/>
      <w:marBottom w:val="0"/>
      <w:divBdr>
        <w:top w:val="none" w:sz="0" w:space="0" w:color="auto"/>
        <w:left w:val="none" w:sz="0" w:space="0" w:color="auto"/>
        <w:bottom w:val="none" w:sz="0" w:space="0" w:color="auto"/>
        <w:right w:val="none" w:sz="0" w:space="0" w:color="auto"/>
      </w:divBdr>
    </w:div>
    <w:div w:id="312220138">
      <w:bodyDiv w:val="1"/>
      <w:marLeft w:val="0"/>
      <w:marRight w:val="0"/>
      <w:marTop w:val="0"/>
      <w:marBottom w:val="0"/>
      <w:divBdr>
        <w:top w:val="none" w:sz="0" w:space="0" w:color="auto"/>
        <w:left w:val="none" w:sz="0" w:space="0" w:color="auto"/>
        <w:bottom w:val="none" w:sz="0" w:space="0" w:color="auto"/>
        <w:right w:val="none" w:sz="0" w:space="0" w:color="auto"/>
      </w:divBdr>
    </w:div>
    <w:div w:id="613634410">
      <w:bodyDiv w:val="1"/>
      <w:marLeft w:val="0"/>
      <w:marRight w:val="0"/>
      <w:marTop w:val="0"/>
      <w:marBottom w:val="0"/>
      <w:divBdr>
        <w:top w:val="none" w:sz="0" w:space="0" w:color="auto"/>
        <w:left w:val="none" w:sz="0" w:space="0" w:color="auto"/>
        <w:bottom w:val="none" w:sz="0" w:space="0" w:color="auto"/>
        <w:right w:val="none" w:sz="0" w:space="0" w:color="auto"/>
      </w:divBdr>
    </w:div>
    <w:div w:id="686294775">
      <w:bodyDiv w:val="1"/>
      <w:marLeft w:val="0"/>
      <w:marRight w:val="0"/>
      <w:marTop w:val="0"/>
      <w:marBottom w:val="0"/>
      <w:divBdr>
        <w:top w:val="none" w:sz="0" w:space="0" w:color="auto"/>
        <w:left w:val="none" w:sz="0" w:space="0" w:color="auto"/>
        <w:bottom w:val="none" w:sz="0" w:space="0" w:color="auto"/>
        <w:right w:val="none" w:sz="0" w:space="0" w:color="auto"/>
      </w:divBdr>
    </w:div>
    <w:div w:id="707145236">
      <w:bodyDiv w:val="1"/>
      <w:marLeft w:val="0"/>
      <w:marRight w:val="0"/>
      <w:marTop w:val="0"/>
      <w:marBottom w:val="0"/>
      <w:divBdr>
        <w:top w:val="none" w:sz="0" w:space="0" w:color="auto"/>
        <w:left w:val="none" w:sz="0" w:space="0" w:color="auto"/>
        <w:bottom w:val="none" w:sz="0" w:space="0" w:color="auto"/>
        <w:right w:val="none" w:sz="0" w:space="0" w:color="auto"/>
      </w:divBdr>
    </w:div>
    <w:div w:id="795026990">
      <w:bodyDiv w:val="1"/>
      <w:marLeft w:val="0"/>
      <w:marRight w:val="0"/>
      <w:marTop w:val="0"/>
      <w:marBottom w:val="0"/>
      <w:divBdr>
        <w:top w:val="none" w:sz="0" w:space="0" w:color="auto"/>
        <w:left w:val="none" w:sz="0" w:space="0" w:color="auto"/>
        <w:bottom w:val="none" w:sz="0" w:space="0" w:color="auto"/>
        <w:right w:val="none" w:sz="0" w:space="0" w:color="auto"/>
      </w:divBdr>
    </w:div>
    <w:div w:id="1189953061">
      <w:bodyDiv w:val="1"/>
      <w:marLeft w:val="0"/>
      <w:marRight w:val="0"/>
      <w:marTop w:val="0"/>
      <w:marBottom w:val="0"/>
      <w:divBdr>
        <w:top w:val="none" w:sz="0" w:space="0" w:color="auto"/>
        <w:left w:val="none" w:sz="0" w:space="0" w:color="auto"/>
        <w:bottom w:val="none" w:sz="0" w:space="0" w:color="auto"/>
        <w:right w:val="none" w:sz="0" w:space="0" w:color="auto"/>
      </w:divBdr>
    </w:div>
    <w:div w:id="1209756071">
      <w:bodyDiv w:val="1"/>
      <w:marLeft w:val="0"/>
      <w:marRight w:val="0"/>
      <w:marTop w:val="0"/>
      <w:marBottom w:val="0"/>
      <w:divBdr>
        <w:top w:val="none" w:sz="0" w:space="0" w:color="auto"/>
        <w:left w:val="none" w:sz="0" w:space="0" w:color="auto"/>
        <w:bottom w:val="none" w:sz="0" w:space="0" w:color="auto"/>
        <w:right w:val="none" w:sz="0" w:space="0" w:color="auto"/>
      </w:divBdr>
    </w:div>
    <w:div w:id="147344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3" Type="http://schemas.openxmlformats.org/officeDocument/2006/relationships/settings" Target="settings.xml"/><Relationship Id="rId7" Type="http://schemas.openxmlformats.org/officeDocument/2006/relationships/hyperlink" Target="https://www.gov.br/compras/pt-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br/compras/pt-br/" TargetMode="External"/><Relationship Id="rId11" Type="http://schemas.openxmlformats.org/officeDocument/2006/relationships/fontTable" Target="fontTable.xml"/><Relationship Id="rId5" Type="http://schemas.openxmlformats.org/officeDocument/2006/relationships/hyperlink" Target="http://www.gov.br/compras/" TargetMode="External"/><Relationship Id="rId10"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ortaltransparencia.gov.br/sancoes/cei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TotalTime>
  <Pages>25</Pages>
  <Words>9116</Words>
  <Characters>49232</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elgiano gomes</dc:creator>
  <cp:keywords/>
  <dc:description/>
  <cp:lastModifiedBy>elgiano gomes</cp:lastModifiedBy>
  <cp:revision>108</cp:revision>
  <dcterms:created xsi:type="dcterms:W3CDTF">2025-06-30T20:00:00Z</dcterms:created>
  <dcterms:modified xsi:type="dcterms:W3CDTF">2026-06-12T17:49:00Z</dcterms:modified>
</cp:coreProperties>
</file>