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5D795D">
      <w:pPr>
        <w:shd w:val="clear" w:color="auto" w:fill="D6E3BC" w:themeFill="accent3" w:themeFillTint="66"/>
        <w:tabs>
          <w:tab w:val="left" w:pos="709"/>
          <w:tab w:val="center" w:pos="5031"/>
          <w:tab w:val="left" w:pos="8190"/>
        </w:tabs>
        <w:jc w:val="center"/>
        <w:rPr>
          <w:rFonts w:ascii="Cambria" w:hAnsi="Cambria" w:cs="Times New Roman"/>
          <w:b/>
          <w:sz w:val="22"/>
          <w:szCs w:val="22"/>
        </w:rPr>
      </w:pPr>
      <w:r>
        <w:rPr>
          <w:rFonts w:ascii="Cambria" w:hAnsi="Cambria" w:cs="Times New Roman"/>
          <w:b/>
          <w:sz w:val="22"/>
          <w:szCs w:val="22"/>
        </w:rPr>
        <w:t>EDITAL DE LICITAÇÃO Nº 005/2026- PREGÃO ELETRÔNICO</w:t>
      </w:r>
    </w:p>
    <w:p w14:paraId="0A9E84F8">
      <w:pPr>
        <w:shd w:val="clear" w:color="auto" w:fill="D6E3BC" w:themeFill="accent3" w:themeFillTint="66"/>
        <w:tabs>
          <w:tab w:val="left" w:pos="709"/>
          <w:tab w:val="center" w:pos="5031"/>
          <w:tab w:val="left" w:pos="8190"/>
        </w:tabs>
        <w:jc w:val="center"/>
        <w:rPr>
          <w:rFonts w:ascii="Cambria" w:hAnsi="Cambria" w:cs="Times New Roman"/>
          <w:b/>
          <w:sz w:val="22"/>
          <w:szCs w:val="22"/>
        </w:rPr>
      </w:pPr>
      <w:r>
        <w:rPr>
          <w:rFonts w:ascii="Cambria" w:hAnsi="Cambria" w:cs="Times New Roman"/>
          <w:b/>
          <w:sz w:val="22"/>
          <w:szCs w:val="22"/>
        </w:rPr>
        <w:t>PROCESSO ADMINISTRATIVO Nº 2025.12.11.0001</w:t>
      </w:r>
    </w:p>
    <w:p w14:paraId="6A957414">
      <w:pPr>
        <w:tabs>
          <w:tab w:val="left" w:pos="709"/>
        </w:tabs>
        <w:jc w:val="both"/>
        <w:rPr>
          <w:rFonts w:ascii="Cambria" w:hAnsi="Cambria" w:cs="Times New Roman"/>
          <w:b/>
          <w:bCs/>
          <w:color w:val="000000"/>
          <w:sz w:val="22"/>
          <w:szCs w:val="22"/>
        </w:rPr>
      </w:pPr>
    </w:p>
    <w:p w14:paraId="02930F04">
      <w:pPr>
        <w:tabs>
          <w:tab w:val="left" w:pos="709"/>
        </w:tabs>
        <w:jc w:val="both"/>
        <w:rPr>
          <w:rFonts w:ascii="Cambria" w:hAnsi="Cambria" w:eastAsia="Calibri" w:cs="Times New Roman"/>
          <w:b/>
          <w:sz w:val="22"/>
          <w:szCs w:val="22"/>
        </w:rPr>
      </w:pPr>
      <w:r>
        <w:rPr>
          <w:rFonts w:ascii="Cambria" w:hAnsi="Cambria" w:cs="Times New Roman"/>
          <w:b/>
          <w:sz w:val="22"/>
          <w:szCs w:val="22"/>
        </w:rPr>
        <w:t>O MUNICÍPIO DE CARNAUBAIS/RN, PESSOA JURÍDICA DE DIREITO PÚBLICO INTERNO, CNPJ Nº 08.294.670/0001-70,</w:t>
      </w:r>
      <w:r>
        <w:rPr>
          <w:rFonts w:ascii="Cambria" w:hAnsi="Cambria" w:cs="Times New Roman"/>
          <w:bCs/>
          <w:sz w:val="22"/>
          <w:szCs w:val="22"/>
        </w:rPr>
        <w:t xml:space="preserve"> torna</w:t>
      </w:r>
      <w:r>
        <w:rPr>
          <w:rFonts w:ascii="Cambria" w:hAnsi="Cambria" w:cs="Times New Roman"/>
          <w:color w:val="000000"/>
          <w:sz w:val="22"/>
          <w:szCs w:val="22"/>
        </w:rPr>
        <w:t xml:space="preserve"> público, para conhecimento dos interessados, que irá realizar licitação na modalidade pregão</w:t>
      </w:r>
      <w:r>
        <w:rPr>
          <w:rFonts w:ascii="Cambria" w:hAnsi="Cambria" w:cs="Times New Roman"/>
          <w:bCs/>
          <w:color w:val="000000"/>
          <w:sz w:val="22"/>
          <w:szCs w:val="22"/>
        </w:rPr>
        <w:t xml:space="preserve">, </w:t>
      </w:r>
      <w:r>
        <w:rPr>
          <w:rFonts w:ascii="Cambria" w:hAnsi="Cambria" w:cs="Times New Roman"/>
          <w:color w:val="000000"/>
          <w:sz w:val="22"/>
          <w:szCs w:val="22"/>
        </w:rPr>
        <w:t>na forma</w:t>
      </w:r>
      <w:r>
        <w:rPr>
          <w:rFonts w:ascii="Cambria" w:hAnsi="Cambria" w:cs="Times New Roman"/>
          <w:bCs/>
          <w:color w:val="000000"/>
          <w:sz w:val="22"/>
          <w:szCs w:val="22"/>
        </w:rPr>
        <w:t xml:space="preserve"> </w:t>
      </w:r>
      <w:r>
        <w:rPr>
          <w:rFonts w:ascii="Cambria" w:hAnsi="Cambria" w:cs="Times New Roman"/>
          <w:color w:val="000000"/>
          <w:sz w:val="22"/>
          <w:szCs w:val="22"/>
        </w:rPr>
        <w:t>eletrônica,</w:t>
      </w:r>
      <w:r>
        <w:rPr>
          <w:rFonts w:ascii="Cambria" w:hAnsi="Cambria" w:cs="Times New Roman"/>
          <w:bCs/>
          <w:color w:val="000000"/>
          <w:sz w:val="22"/>
          <w:szCs w:val="22"/>
        </w:rPr>
        <w:t xml:space="preserve"> com critério de julgamento </w:t>
      </w:r>
      <w:r>
        <w:rPr>
          <w:rFonts w:ascii="Cambria" w:hAnsi="Cambria"/>
          <w:b/>
          <w:sz w:val="22"/>
          <w:szCs w:val="22"/>
        </w:rPr>
        <w:t>MENOR PREÇO POR ITEM,</w:t>
      </w:r>
      <w:r>
        <w:rPr>
          <w:rFonts w:ascii="Cambria" w:hAnsi="Cambria"/>
          <w:sz w:val="22"/>
          <w:szCs w:val="22"/>
        </w:rPr>
        <w:t xml:space="preserve"> </w:t>
      </w:r>
      <w:r>
        <w:rPr>
          <w:rFonts w:ascii="Cambria" w:hAnsi="Cambria" w:eastAsia="Calibri" w:cs="Times New Roman"/>
          <w:color w:val="000000"/>
          <w:sz w:val="22"/>
          <w:szCs w:val="22"/>
        </w:rPr>
        <w:t xml:space="preserve">nos termos da Lei nº </w:t>
      </w:r>
      <w:r>
        <w:rPr>
          <w:rFonts w:ascii="Cambria" w:hAnsi="Cambria" w:eastAsia="Calibri" w:cs="Times New Roman"/>
          <w:sz w:val="22"/>
          <w:szCs w:val="22"/>
        </w:rPr>
        <w:t>14.133/2021, da Lei Complementar nº 123/2006, e regulamento municipal da Lei Federal nº 14.133/21, e das exigências estabelecidas neste edital.</w:t>
      </w:r>
    </w:p>
    <w:p w14:paraId="5EB3C792">
      <w:pPr>
        <w:tabs>
          <w:tab w:val="left" w:pos="5970"/>
        </w:tabs>
        <w:jc w:val="both"/>
        <w:rPr>
          <w:rFonts w:ascii="Cambria" w:hAnsi="Cambria" w:cs="Times New Roman"/>
          <w:b/>
          <w:bCs/>
          <w:color w:val="000000"/>
          <w:sz w:val="22"/>
          <w:szCs w:val="22"/>
        </w:rPr>
      </w:pPr>
      <w:r>
        <w:rPr>
          <w:rFonts w:ascii="Cambria" w:hAnsi="Cambria" w:cs="Times New Roman"/>
          <w:b/>
          <w:bCs/>
          <w:color w:val="000000"/>
          <w:sz w:val="22"/>
          <w:szCs w:val="22"/>
        </w:rPr>
        <w:tab/>
      </w:r>
    </w:p>
    <w:p w14:paraId="31FC11F2">
      <w:pPr>
        <w:tabs>
          <w:tab w:val="left" w:pos="709"/>
        </w:tabs>
        <w:jc w:val="both"/>
        <w:rPr>
          <w:rFonts w:ascii="Cambria" w:hAnsi="Cambria" w:cs="Times New Roman"/>
          <w:sz w:val="22"/>
          <w:szCs w:val="22"/>
        </w:rPr>
      </w:pPr>
      <w:r>
        <w:rPr>
          <w:rFonts w:ascii="Cambria" w:hAnsi="Cambria" w:cs="Times New Roman"/>
          <w:sz w:val="22"/>
          <w:szCs w:val="22"/>
        </w:rPr>
        <w:t xml:space="preserve">Os trabalhos serão conduzidos por servidor designado, denominado Pregoeiro, mediante a inserção e monitoramento de dados gerados ou transferidos diretamente para a página eletrônica </w:t>
      </w:r>
      <w:r>
        <w:fldChar w:fldCharType="begin"/>
      </w:r>
      <w:r>
        <w:instrText xml:space="preserve"> HYPERLINK "http://www.portaldecompraspublicas.com.br/" \h </w:instrText>
      </w:r>
      <w:r>
        <w:fldChar w:fldCharType="separate"/>
      </w:r>
      <w:r>
        <w:rPr>
          <w:rStyle w:val="60"/>
          <w:rFonts w:ascii="Cambria" w:hAnsi="Cambria" w:cs="Times New Roman"/>
          <w:b/>
          <w:sz w:val="22"/>
          <w:szCs w:val="22"/>
        </w:rPr>
        <w:t>www.portaldecompraspublicas.com.br</w:t>
      </w:r>
      <w:r>
        <w:rPr>
          <w:rStyle w:val="60"/>
          <w:rFonts w:ascii="Cambria" w:hAnsi="Cambria" w:cs="Times New Roman"/>
          <w:b/>
          <w:sz w:val="22"/>
          <w:szCs w:val="22"/>
        </w:rPr>
        <w:fldChar w:fldCharType="end"/>
      </w:r>
      <w:r>
        <w:rPr>
          <w:rFonts w:ascii="Cambria" w:hAnsi="Cambria" w:cs="Times New Roman"/>
          <w:sz w:val="22"/>
          <w:szCs w:val="22"/>
        </w:rPr>
        <w:t>. 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B50E773">
      <w:pPr>
        <w:tabs>
          <w:tab w:val="left" w:pos="709"/>
        </w:tabs>
        <w:jc w:val="both"/>
        <w:rPr>
          <w:rFonts w:ascii="Cambria" w:hAnsi="Cambria" w:cs="Times New Roman"/>
          <w:sz w:val="22"/>
          <w:szCs w:val="22"/>
        </w:rPr>
      </w:pPr>
    </w:p>
    <w:tbl>
      <w:tblPr>
        <w:tblStyle w:val="12"/>
        <w:tblW w:w="9564"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686"/>
        <w:gridCol w:w="5878"/>
      </w:tblGrid>
      <w:tr w14:paraId="3B9C7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DF7182">
            <w:pPr>
              <w:tabs>
                <w:tab w:val="left" w:pos="709"/>
              </w:tabs>
              <w:jc w:val="both"/>
              <w:rPr>
                <w:rStyle w:val="13"/>
                <w:rFonts w:cs="Times New Roman" w:asciiTheme="minorHAnsi" w:hAnsiTheme="minorHAnsi"/>
              </w:rPr>
            </w:pPr>
            <w:r>
              <w:rPr>
                <w:rStyle w:val="13"/>
                <w:rFonts w:cs="Times New Roman" w:asciiTheme="minorHAnsi" w:hAnsiTheme="minorHAnsi"/>
              </w:rPr>
              <w:t>ÓRGÃO INTERESSADO:</w:t>
            </w:r>
          </w:p>
        </w:tc>
        <w:tc>
          <w:tcPr>
            <w:tcW w:w="5878" w:type="dxa"/>
            <w:tcBorders>
              <w:top w:val="single" w:color="auto" w:sz="4" w:space="0"/>
              <w:left w:val="single" w:color="auto" w:sz="4" w:space="0"/>
              <w:bottom w:val="single" w:color="auto" w:sz="4" w:space="0"/>
              <w:right w:val="single" w:color="auto" w:sz="4" w:space="0"/>
            </w:tcBorders>
            <w:vAlign w:val="center"/>
          </w:tcPr>
          <w:p w14:paraId="60125D91">
            <w:pPr>
              <w:pStyle w:val="59"/>
              <w:tabs>
                <w:tab w:val="left" w:pos="709"/>
              </w:tabs>
              <w:autoSpaceDE w:val="0"/>
              <w:spacing w:before="0" w:beforeAutospacing="0" w:after="0" w:afterAutospacing="0"/>
              <w:jc w:val="center"/>
              <w:rPr>
                <w:rStyle w:val="13"/>
                <w:rFonts w:asciiTheme="minorHAnsi" w:hAnsiTheme="minorHAnsi"/>
                <w:b w:val="0"/>
              </w:rPr>
            </w:pPr>
            <w:r>
              <w:rPr>
                <w:rStyle w:val="13"/>
                <w:rFonts w:asciiTheme="minorHAnsi" w:hAnsiTheme="minorHAnsi"/>
              </w:rPr>
              <w:t>MUNICÍPIO DE CARNAUBAIS/RN</w:t>
            </w:r>
          </w:p>
        </w:tc>
      </w:tr>
      <w:tr w14:paraId="49B8B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DD847C7">
            <w:pPr>
              <w:tabs>
                <w:tab w:val="left" w:pos="709"/>
              </w:tabs>
              <w:jc w:val="both"/>
              <w:rPr>
                <w:rStyle w:val="13"/>
                <w:rFonts w:cs="Times New Roman" w:asciiTheme="minorHAnsi" w:hAnsiTheme="minorHAnsi"/>
              </w:rPr>
            </w:pPr>
            <w:r>
              <w:rPr>
                <w:rStyle w:val="13"/>
                <w:rFonts w:cs="Times New Roman" w:asciiTheme="minorHAnsi" w:hAnsiTheme="minorHAnsi"/>
              </w:rPr>
              <w:t>DATA E HORA DE INICIO DAS PROPOSTAS:</w:t>
            </w:r>
          </w:p>
        </w:tc>
        <w:tc>
          <w:tcPr>
            <w:tcW w:w="5878" w:type="dxa"/>
            <w:tcBorders>
              <w:top w:val="single" w:color="auto" w:sz="4" w:space="0"/>
              <w:left w:val="single" w:color="auto" w:sz="4" w:space="0"/>
              <w:bottom w:val="single" w:color="auto" w:sz="4" w:space="0"/>
              <w:right w:val="single" w:color="auto" w:sz="4" w:space="0"/>
            </w:tcBorders>
            <w:shd w:val="clear" w:color="auto" w:fill="auto"/>
            <w:vAlign w:val="center"/>
          </w:tcPr>
          <w:p w14:paraId="6D46A1C4">
            <w:pPr>
              <w:tabs>
                <w:tab w:val="left" w:pos="709"/>
              </w:tabs>
              <w:jc w:val="center"/>
              <w:rPr>
                <w:rFonts w:cs="Times New Roman" w:asciiTheme="minorHAnsi" w:hAnsiTheme="minorHAnsi"/>
                <w:b/>
                <w:bCs/>
              </w:rPr>
            </w:pPr>
            <w:r>
              <w:rPr>
                <w:rFonts w:cs="Times New Roman" w:asciiTheme="minorHAnsi" w:hAnsiTheme="minorHAnsi"/>
                <w:b/>
                <w:bCs/>
                <w:color w:val="0D0D0D" w:themeColor="text1" w:themeTint="F2"/>
                <w14:textFill>
                  <w14:solidFill>
                    <w14:schemeClr w14:val="tx1">
                      <w14:lumMod w14:val="95000"/>
                      <w14:lumOff w14:val="5000"/>
                    </w14:schemeClr>
                  </w14:solidFill>
                </w14:textFill>
              </w:rPr>
              <w:t>0</w:t>
            </w:r>
            <w:r>
              <w:rPr>
                <w:rFonts w:hint="default" w:cs="Times New Roman" w:asciiTheme="minorHAnsi" w:hAnsiTheme="minorHAnsi"/>
                <w:b/>
                <w:bCs/>
                <w:color w:val="0D0D0D" w:themeColor="text1" w:themeTint="F2"/>
                <w:lang w:val="pt-BR"/>
                <w14:textFill>
                  <w14:solidFill>
                    <w14:schemeClr w14:val="tx1">
                      <w14:lumMod w14:val="95000"/>
                      <w14:lumOff w14:val="5000"/>
                    </w14:schemeClr>
                  </w14:solidFill>
                </w14:textFill>
              </w:rPr>
              <w:t>8</w:t>
            </w:r>
            <w:r>
              <w:rPr>
                <w:rFonts w:cs="Times New Roman" w:asciiTheme="minorHAnsi" w:hAnsiTheme="minorHAnsi"/>
                <w:b/>
                <w:bCs/>
                <w:color w:val="0D0D0D" w:themeColor="text1" w:themeTint="F2"/>
                <w14:textFill>
                  <w14:solidFill>
                    <w14:schemeClr w14:val="tx1">
                      <w14:lumMod w14:val="95000"/>
                      <w14:lumOff w14:val="5000"/>
                    </w14:schemeClr>
                  </w14:solidFill>
                </w14:textFill>
              </w:rPr>
              <w:t>H:00M DO DIA 23/01/2026 (HORÁRIO DE BRASÍLIA).</w:t>
            </w:r>
          </w:p>
        </w:tc>
      </w:tr>
      <w:tr w14:paraId="7FCF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FB8C6E">
            <w:pPr>
              <w:tabs>
                <w:tab w:val="left" w:pos="709"/>
              </w:tabs>
              <w:jc w:val="both"/>
              <w:rPr>
                <w:rStyle w:val="13"/>
                <w:rFonts w:cs="Times New Roman" w:asciiTheme="minorHAnsi" w:hAnsiTheme="minorHAnsi"/>
              </w:rPr>
            </w:pPr>
            <w:r>
              <w:rPr>
                <w:rStyle w:val="13"/>
                <w:rFonts w:cs="Times New Roman" w:asciiTheme="minorHAnsi" w:hAnsiTheme="minorHAnsi"/>
              </w:rPr>
              <w:t>DATA E HORA LIMITE PARA IMPUGNAÇÃO:</w:t>
            </w:r>
          </w:p>
        </w:tc>
        <w:tc>
          <w:tcPr>
            <w:tcW w:w="58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474283">
            <w:pPr>
              <w:tabs>
                <w:tab w:val="left" w:pos="709"/>
              </w:tabs>
              <w:jc w:val="center"/>
              <w:rPr>
                <w:rFonts w:cs="Times New Roman" w:asciiTheme="minorHAnsi" w:hAnsiTheme="minorHAnsi"/>
                <w:b/>
                <w:bCs/>
                <w:color w:val="0D0D0D" w:themeColor="text1" w:themeTint="F2"/>
                <w14:textFill>
                  <w14:solidFill>
                    <w14:schemeClr w14:val="tx1">
                      <w14:lumMod w14:val="95000"/>
                      <w14:lumOff w14:val="5000"/>
                    </w14:schemeClr>
                  </w14:solidFill>
                </w14:textFill>
              </w:rPr>
            </w:pPr>
            <w:r>
              <w:rPr>
                <w:rFonts w:cs="Times New Roman" w:asciiTheme="minorHAnsi" w:hAnsiTheme="minorHAnsi"/>
                <w:b/>
                <w:bCs/>
                <w:color w:val="0D0D0D" w:themeColor="text1" w:themeTint="F2"/>
                <w14:textFill>
                  <w14:solidFill>
                    <w14:schemeClr w14:val="tx1">
                      <w14:lumMod w14:val="95000"/>
                      <w14:lumOff w14:val="5000"/>
                    </w14:schemeClr>
                  </w14:solidFill>
                </w14:textFill>
              </w:rPr>
              <w:t>23H:59M DO DIA 0</w:t>
            </w:r>
            <w:r>
              <w:rPr>
                <w:rFonts w:hint="default" w:cs="Times New Roman" w:asciiTheme="minorHAnsi" w:hAnsiTheme="minorHAnsi"/>
                <w:b/>
                <w:bCs/>
                <w:color w:val="0D0D0D" w:themeColor="text1" w:themeTint="F2"/>
                <w:lang w:val="pt-BR"/>
                <w14:textFill>
                  <w14:solidFill>
                    <w14:schemeClr w14:val="tx1">
                      <w14:lumMod w14:val="95000"/>
                      <w14:lumOff w14:val="5000"/>
                    </w14:schemeClr>
                  </w14:solidFill>
                </w14:textFill>
              </w:rPr>
              <w:t>2</w:t>
            </w:r>
            <w:r>
              <w:rPr>
                <w:rFonts w:cs="Times New Roman" w:asciiTheme="minorHAnsi" w:hAnsiTheme="minorHAnsi"/>
                <w:b/>
                <w:bCs/>
                <w:color w:val="0D0D0D" w:themeColor="text1" w:themeTint="F2"/>
                <w14:textFill>
                  <w14:solidFill>
                    <w14:schemeClr w14:val="tx1">
                      <w14:lumMod w14:val="95000"/>
                      <w14:lumOff w14:val="5000"/>
                    </w14:schemeClr>
                  </w14:solidFill>
                </w14:textFill>
              </w:rPr>
              <w:t>/02/2026 (HORÁRIO DE BRASÍLIA).</w:t>
            </w:r>
          </w:p>
        </w:tc>
      </w:tr>
      <w:tr w14:paraId="30B9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C83D73">
            <w:pPr>
              <w:tabs>
                <w:tab w:val="left" w:pos="709"/>
              </w:tabs>
              <w:jc w:val="both"/>
              <w:rPr>
                <w:rStyle w:val="13"/>
                <w:rFonts w:cs="Times New Roman" w:asciiTheme="minorHAnsi" w:hAnsiTheme="minorHAnsi"/>
              </w:rPr>
            </w:pPr>
            <w:r>
              <w:rPr>
                <w:rStyle w:val="13"/>
                <w:rFonts w:cs="Times New Roman" w:asciiTheme="minorHAnsi" w:hAnsiTheme="minorHAnsi"/>
              </w:rPr>
              <w:t>DATA E HORA FINAL DAS PROPOSTAS:</w:t>
            </w:r>
          </w:p>
        </w:tc>
        <w:tc>
          <w:tcPr>
            <w:tcW w:w="58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EA39D3">
            <w:pPr>
              <w:tabs>
                <w:tab w:val="left" w:pos="709"/>
              </w:tabs>
              <w:jc w:val="center"/>
              <w:rPr>
                <w:rFonts w:cs="Times New Roman" w:asciiTheme="minorHAnsi" w:hAnsiTheme="minorHAnsi"/>
                <w:b/>
                <w:bCs/>
                <w:color w:val="0D0D0D" w:themeColor="text1" w:themeTint="F2"/>
                <w14:textFill>
                  <w14:solidFill>
                    <w14:schemeClr w14:val="tx1">
                      <w14:lumMod w14:val="95000"/>
                      <w14:lumOff w14:val="5000"/>
                    </w14:schemeClr>
                  </w14:solidFill>
                </w14:textFill>
              </w:rPr>
            </w:pPr>
            <w:r>
              <w:rPr>
                <w:rFonts w:cs="Times New Roman" w:asciiTheme="minorHAnsi" w:hAnsiTheme="minorHAnsi"/>
                <w:b/>
                <w:bCs/>
                <w:color w:val="0D0D0D" w:themeColor="text1" w:themeTint="F2"/>
                <w14:textFill>
                  <w14:solidFill>
                    <w14:schemeClr w14:val="tx1">
                      <w14:lumMod w14:val="95000"/>
                      <w14:lumOff w14:val="5000"/>
                    </w14:schemeClr>
                  </w14:solidFill>
                </w14:textFill>
              </w:rPr>
              <w:t>09H:00M DO DIA 0</w:t>
            </w:r>
            <w:r>
              <w:rPr>
                <w:rFonts w:hint="default" w:cs="Times New Roman" w:asciiTheme="minorHAnsi" w:hAnsiTheme="minorHAnsi"/>
                <w:b/>
                <w:bCs/>
                <w:color w:val="0D0D0D" w:themeColor="text1" w:themeTint="F2"/>
                <w:lang w:val="pt-BR"/>
                <w14:textFill>
                  <w14:solidFill>
                    <w14:schemeClr w14:val="tx1">
                      <w14:lumMod w14:val="95000"/>
                      <w14:lumOff w14:val="5000"/>
                    </w14:schemeClr>
                  </w14:solidFill>
                </w14:textFill>
              </w:rPr>
              <w:t>4</w:t>
            </w:r>
            <w:r>
              <w:rPr>
                <w:rFonts w:cs="Times New Roman" w:asciiTheme="minorHAnsi" w:hAnsiTheme="minorHAnsi"/>
                <w:b/>
                <w:bCs/>
                <w:color w:val="0D0D0D" w:themeColor="text1" w:themeTint="F2"/>
                <w14:textFill>
                  <w14:solidFill>
                    <w14:schemeClr w14:val="tx1">
                      <w14:lumMod w14:val="95000"/>
                      <w14:lumOff w14:val="5000"/>
                    </w14:schemeClr>
                  </w14:solidFill>
                </w14:textFill>
              </w:rPr>
              <w:t>/02/2026 (HORÁRIO DE BRASÍLIA).</w:t>
            </w:r>
          </w:p>
        </w:tc>
      </w:tr>
      <w:tr w14:paraId="554D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41E3ED">
            <w:pPr>
              <w:tabs>
                <w:tab w:val="left" w:pos="709"/>
              </w:tabs>
              <w:jc w:val="both"/>
              <w:rPr>
                <w:rStyle w:val="13"/>
                <w:rFonts w:cs="Times New Roman" w:asciiTheme="minorHAnsi" w:hAnsiTheme="minorHAnsi"/>
              </w:rPr>
            </w:pPr>
            <w:r>
              <w:rPr>
                <w:rStyle w:val="13"/>
                <w:rFonts w:cs="Times New Roman" w:asciiTheme="minorHAnsi" w:hAnsiTheme="minorHAnsi"/>
              </w:rPr>
              <w:t>DATA DE ABERTURA DAS PROPOSTAS – SESSÃO PÚBLICA:</w:t>
            </w:r>
          </w:p>
        </w:tc>
        <w:tc>
          <w:tcPr>
            <w:tcW w:w="5878" w:type="dxa"/>
            <w:tcBorders>
              <w:top w:val="single" w:color="auto" w:sz="4" w:space="0"/>
              <w:left w:val="single" w:color="auto" w:sz="4" w:space="0"/>
              <w:bottom w:val="single" w:color="auto" w:sz="4" w:space="0"/>
              <w:right w:val="single" w:color="auto" w:sz="4" w:space="0"/>
            </w:tcBorders>
            <w:shd w:val="clear" w:color="auto" w:fill="auto"/>
            <w:vAlign w:val="center"/>
          </w:tcPr>
          <w:p w14:paraId="68D1D7B5">
            <w:pPr>
              <w:tabs>
                <w:tab w:val="left" w:pos="709"/>
              </w:tabs>
              <w:jc w:val="center"/>
              <w:rPr>
                <w:rFonts w:cs="Times New Roman" w:asciiTheme="minorHAnsi" w:hAnsiTheme="minorHAnsi"/>
                <w:b/>
                <w:bCs/>
                <w:u w:val="single"/>
              </w:rPr>
            </w:pPr>
            <w:r>
              <w:rPr>
                <w:rFonts w:cs="Times New Roman" w:asciiTheme="minorHAnsi" w:hAnsiTheme="minorHAnsi"/>
                <w:b/>
                <w:bCs/>
                <w:color w:val="0D0D0D" w:themeColor="text1" w:themeTint="F2"/>
                <w14:textFill>
                  <w14:solidFill>
                    <w14:schemeClr w14:val="tx1">
                      <w14:lumMod w14:val="95000"/>
                      <w14:lumOff w14:val="5000"/>
                    </w14:schemeClr>
                  </w14:solidFill>
                </w14:textFill>
              </w:rPr>
              <w:t>09H:01M DO DIA 0</w:t>
            </w:r>
            <w:r>
              <w:rPr>
                <w:rFonts w:hint="default" w:cs="Times New Roman" w:asciiTheme="minorHAnsi" w:hAnsiTheme="minorHAnsi"/>
                <w:b/>
                <w:bCs/>
                <w:color w:val="0D0D0D" w:themeColor="text1" w:themeTint="F2"/>
                <w:lang w:val="pt-BR"/>
                <w14:textFill>
                  <w14:solidFill>
                    <w14:schemeClr w14:val="tx1">
                      <w14:lumMod w14:val="95000"/>
                      <w14:lumOff w14:val="5000"/>
                    </w14:schemeClr>
                  </w14:solidFill>
                </w14:textFill>
              </w:rPr>
              <w:t>4</w:t>
            </w:r>
            <w:r>
              <w:rPr>
                <w:rFonts w:cs="Times New Roman" w:asciiTheme="minorHAnsi" w:hAnsiTheme="minorHAnsi"/>
                <w:b/>
                <w:bCs/>
                <w:color w:val="0D0D0D" w:themeColor="text1" w:themeTint="F2"/>
                <w14:textFill>
                  <w14:solidFill>
                    <w14:schemeClr w14:val="tx1">
                      <w14:lumMod w14:val="95000"/>
                      <w14:lumOff w14:val="5000"/>
                    </w14:schemeClr>
                  </w14:solidFill>
                </w14:textFill>
              </w:rPr>
              <w:t>/02/2026 (HORÁRIO DE BRASÍLIA).</w:t>
            </w:r>
          </w:p>
        </w:tc>
      </w:tr>
      <w:tr w14:paraId="2B8E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7"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C073B45">
            <w:pPr>
              <w:tabs>
                <w:tab w:val="left" w:pos="709"/>
              </w:tabs>
              <w:jc w:val="both"/>
              <w:rPr>
                <w:rStyle w:val="13"/>
                <w:rFonts w:cs="Times New Roman" w:asciiTheme="minorHAnsi" w:hAnsiTheme="minorHAnsi"/>
              </w:rPr>
            </w:pPr>
            <w:r>
              <w:rPr>
                <w:rStyle w:val="13"/>
                <w:rFonts w:cs="Times New Roman" w:asciiTheme="minorHAnsi" w:hAnsiTheme="minorHAnsi"/>
              </w:rPr>
              <w:t>LOCAL:</w:t>
            </w:r>
          </w:p>
        </w:tc>
        <w:tc>
          <w:tcPr>
            <w:tcW w:w="5878" w:type="dxa"/>
            <w:tcBorders>
              <w:top w:val="single" w:color="auto" w:sz="4" w:space="0"/>
              <w:left w:val="single" w:color="auto" w:sz="4" w:space="0"/>
              <w:bottom w:val="single" w:color="auto" w:sz="4" w:space="0"/>
              <w:right w:val="single" w:color="auto" w:sz="4" w:space="0"/>
            </w:tcBorders>
            <w:shd w:val="clear" w:color="auto" w:fill="auto"/>
            <w:vAlign w:val="center"/>
          </w:tcPr>
          <w:p w14:paraId="0C797BCB">
            <w:pPr>
              <w:tabs>
                <w:tab w:val="left" w:pos="709"/>
              </w:tabs>
              <w:jc w:val="center"/>
              <w:rPr>
                <w:rStyle w:val="13"/>
                <w:rFonts w:cs="Times New Roman" w:asciiTheme="minorHAnsi" w:hAnsiTheme="minorHAnsi"/>
                <w:b w:val="0"/>
                <w:bCs w:val="0"/>
              </w:rPr>
            </w:pPr>
            <w:r>
              <w:fldChar w:fldCharType="begin"/>
            </w:r>
            <w:r>
              <w:instrText xml:space="preserve"> HYPERLINK "http://www.portaldecompraspublicas.com.br" </w:instrText>
            </w:r>
            <w:r>
              <w:fldChar w:fldCharType="separate"/>
            </w:r>
            <w:r>
              <w:rPr>
                <w:rStyle w:val="17"/>
                <w:rFonts w:cs="Times New Roman" w:asciiTheme="minorHAnsi" w:hAnsiTheme="minorHAnsi"/>
                <w:b/>
                <w:bCs/>
                <w:color w:val="auto"/>
              </w:rPr>
              <w:t>www.portaldecompraspublicas.com.br</w:t>
            </w:r>
            <w:r>
              <w:rPr>
                <w:rStyle w:val="17"/>
                <w:rFonts w:cs="Times New Roman" w:asciiTheme="minorHAnsi" w:hAnsiTheme="minorHAnsi"/>
                <w:b/>
                <w:bCs/>
                <w:color w:val="auto"/>
              </w:rPr>
              <w:fldChar w:fldCharType="end"/>
            </w:r>
          </w:p>
        </w:tc>
      </w:tr>
      <w:tr w14:paraId="7520B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91" w:hRule="atLeast"/>
        </w:trPr>
        <w:tc>
          <w:tcPr>
            <w:tcW w:w="368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1E602BC">
            <w:pPr>
              <w:tabs>
                <w:tab w:val="left" w:pos="709"/>
              </w:tabs>
              <w:jc w:val="both"/>
              <w:rPr>
                <w:rStyle w:val="13"/>
                <w:rFonts w:cs="Times New Roman" w:asciiTheme="minorHAnsi" w:hAnsiTheme="minorHAnsi"/>
              </w:rPr>
            </w:pPr>
            <w:r>
              <w:rPr>
                <w:rStyle w:val="13"/>
                <w:rFonts w:cs="Times New Roman" w:asciiTheme="minorHAnsi" w:hAnsiTheme="minorHAnsi"/>
              </w:rPr>
              <w:t>MODO DE DISPUTA</w:t>
            </w:r>
          </w:p>
        </w:tc>
        <w:tc>
          <w:tcPr>
            <w:tcW w:w="5878" w:type="dxa"/>
            <w:tcBorders>
              <w:top w:val="single" w:color="auto" w:sz="4" w:space="0"/>
              <w:left w:val="single" w:color="auto" w:sz="4" w:space="0"/>
              <w:bottom w:val="single" w:color="auto" w:sz="4" w:space="0"/>
              <w:right w:val="single" w:color="auto" w:sz="4" w:space="0"/>
            </w:tcBorders>
            <w:shd w:val="clear" w:color="auto" w:fill="auto"/>
            <w:vAlign w:val="center"/>
          </w:tcPr>
          <w:p w14:paraId="10039967">
            <w:pPr>
              <w:tabs>
                <w:tab w:val="left" w:pos="709"/>
              </w:tabs>
              <w:jc w:val="center"/>
              <w:rPr>
                <w:rFonts w:cs="Times New Roman" w:asciiTheme="minorHAnsi" w:hAnsiTheme="minorHAnsi"/>
              </w:rPr>
            </w:pPr>
            <w:r>
              <w:rPr>
                <w:rFonts w:cs="Times New Roman" w:asciiTheme="minorHAnsi" w:hAnsiTheme="minorHAnsi"/>
                <w:b/>
              </w:rPr>
              <w:t>ABERTO</w:t>
            </w:r>
          </w:p>
        </w:tc>
      </w:tr>
    </w:tbl>
    <w:p w14:paraId="39E88219">
      <w:pPr>
        <w:tabs>
          <w:tab w:val="left" w:pos="709"/>
        </w:tabs>
        <w:jc w:val="both"/>
        <w:rPr>
          <w:rFonts w:ascii="Cambria" w:hAnsi="Cambria" w:cs="Times New Roman"/>
          <w:sz w:val="22"/>
          <w:szCs w:val="22"/>
        </w:rPr>
      </w:pPr>
    </w:p>
    <w:p w14:paraId="156FA283">
      <w:pPr>
        <w:keepNext/>
        <w:keepLines/>
        <w:numPr>
          <w:ilvl w:val="0"/>
          <w:numId w:val="2"/>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OBJETO.</w:t>
      </w:r>
      <w:r>
        <w:rPr>
          <w:rFonts w:ascii="Cambria" w:hAnsi="Cambria" w:cs="Times New Roman"/>
          <w:b/>
          <w:color w:val="000000"/>
          <w:sz w:val="22"/>
          <w:szCs w:val="22"/>
        </w:rPr>
        <w:t xml:space="preserve"> </w:t>
      </w:r>
    </w:p>
    <w:p w14:paraId="08EA6824">
      <w:pPr>
        <w:keepNext/>
        <w:keepLines/>
        <w:numPr>
          <w:ilvl w:val="1"/>
          <w:numId w:val="3"/>
        </w:numPr>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ind w:left="0" w:firstLine="0"/>
        <w:jc w:val="both"/>
        <w:rPr>
          <w:rFonts w:ascii="Cambria" w:hAnsi="Cambria" w:cs="Times New Roman"/>
          <w:color w:val="000000"/>
          <w:sz w:val="22"/>
          <w:szCs w:val="22"/>
        </w:rPr>
      </w:pPr>
      <w:r>
        <w:rPr>
          <w:rFonts w:ascii="Cambria" w:hAnsi="Cambria" w:eastAsia="Calibri" w:cs="Times New Roman"/>
          <w:color w:val="000000"/>
          <w:sz w:val="22"/>
          <w:szCs w:val="22"/>
        </w:rPr>
        <w:t xml:space="preserve">O objeto da presente licitação é a </w:t>
      </w:r>
      <w:r>
        <w:rPr>
          <w:rFonts w:ascii="Cambria" w:hAnsi="Cambria"/>
          <w:b/>
          <w:sz w:val="22"/>
          <w:szCs w:val="22"/>
        </w:rPr>
        <w:t>AQUISIÇÃO DE EQUIPAMENTOS E MATERIAIS PERMANENTE, DESTINADOS AO HOSPITAL MATERNIDADE SANTA LUZIA DO MUNICÍPIO CARNAUBAIS.</w:t>
      </w:r>
    </w:p>
    <w:p w14:paraId="16C55418">
      <w:pPr>
        <w:pStyle w:val="22"/>
        <w:rPr>
          <w:sz w:val="22"/>
          <w:szCs w:val="22"/>
        </w:rPr>
      </w:pPr>
      <w:r>
        <w:rPr>
          <w:rFonts w:ascii="Cambria" w:hAnsi="Cambria" w:eastAsia="Calibri" w:cs="Times New Roman"/>
          <w:b/>
          <w:color w:val="000000"/>
          <w:sz w:val="22"/>
          <w:szCs w:val="22"/>
        </w:rPr>
        <w:t>1.2</w:t>
      </w:r>
      <w:r>
        <w:rPr>
          <w:rFonts w:ascii="Cambria" w:hAnsi="Cambria" w:eastAsia="Calibri" w:cs="Times New Roman"/>
          <w:color w:val="000000"/>
          <w:sz w:val="22"/>
          <w:szCs w:val="22"/>
        </w:rPr>
        <w:t xml:space="preserve"> </w:t>
      </w:r>
      <w:r>
        <w:rPr>
          <w:color w:val="000000"/>
          <w:sz w:val="22"/>
          <w:szCs w:val="22"/>
        </w:rPr>
        <w:t>A licita</w:t>
      </w:r>
      <w:r>
        <w:rPr>
          <w:rFonts w:hint="eastAsia"/>
          <w:color w:val="000000"/>
          <w:sz w:val="22"/>
          <w:szCs w:val="22"/>
        </w:rPr>
        <w:t>çã</w:t>
      </w:r>
      <w:r>
        <w:rPr>
          <w:color w:val="000000"/>
          <w:sz w:val="22"/>
          <w:szCs w:val="22"/>
        </w:rPr>
        <w:t>o ser</w:t>
      </w:r>
      <w:r>
        <w:rPr>
          <w:rFonts w:hint="eastAsia"/>
          <w:color w:val="000000"/>
          <w:sz w:val="22"/>
          <w:szCs w:val="22"/>
        </w:rPr>
        <w:t>á</w:t>
      </w:r>
      <w:r>
        <w:rPr>
          <w:color w:val="000000"/>
          <w:sz w:val="22"/>
          <w:szCs w:val="22"/>
        </w:rPr>
        <w:t xml:space="preserve"> dividida em </w:t>
      </w:r>
      <w:r>
        <w:rPr>
          <w:b/>
          <w:bCs/>
          <w:color w:val="000000"/>
          <w:sz w:val="22"/>
          <w:szCs w:val="22"/>
        </w:rPr>
        <w:t>ITENS</w:t>
      </w:r>
      <w:r>
        <w:rPr>
          <w:color w:val="000000"/>
          <w:sz w:val="22"/>
          <w:szCs w:val="22"/>
        </w:rPr>
        <w:t>, conforme tabela constante do Termo de Refer</w:t>
      </w:r>
      <w:r>
        <w:rPr>
          <w:rFonts w:hint="eastAsia"/>
          <w:color w:val="000000"/>
          <w:sz w:val="22"/>
          <w:szCs w:val="22"/>
        </w:rPr>
        <w:t>ê</w:t>
      </w:r>
      <w:r>
        <w:rPr>
          <w:color w:val="000000"/>
          <w:sz w:val="22"/>
          <w:szCs w:val="22"/>
        </w:rPr>
        <w:t>ncia.</w:t>
      </w:r>
    </w:p>
    <w:p w14:paraId="33B8D925">
      <w:pPr>
        <w:pBdr>
          <w:top w:val="none" w:color="auto" w:sz="0" w:space="0"/>
          <w:left w:val="none" w:color="auto" w:sz="0" w:space="0"/>
          <w:bottom w:val="none" w:color="auto" w:sz="0" w:space="0"/>
          <w:right w:val="none" w:color="auto" w:sz="0" w:space="0"/>
          <w:between w:val="none" w:color="auto" w:sz="0" w:space="0"/>
        </w:pBdr>
        <w:tabs>
          <w:tab w:val="left" w:pos="426"/>
          <w:tab w:val="left" w:pos="709"/>
        </w:tabs>
        <w:jc w:val="both"/>
        <w:rPr>
          <w:rFonts w:ascii="Cambria" w:hAnsi="Cambria" w:eastAsia="Calibri" w:cs="Times New Roman"/>
          <w:color w:val="000000"/>
          <w:sz w:val="22"/>
          <w:szCs w:val="22"/>
        </w:rPr>
      </w:pPr>
    </w:p>
    <w:p w14:paraId="556F345C">
      <w:pPr>
        <w:pStyle w:val="61"/>
        <w:keepNext/>
        <w:keepLines/>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DOS RECURSOS ORÇAMENTÁRIOS</w:t>
      </w:r>
    </w:p>
    <w:p w14:paraId="69F441FA">
      <w:pPr>
        <w:tabs>
          <w:tab w:val="left" w:pos="426"/>
          <w:tab w:val="left" w:pos="709"/>
        </w:tabs>
        <w:jc w:val="both"/>
        <w:rPr>
          <w:rFonts w:ascii="Cambria" w:hAnsi="Cambria" w:eastAsia="Calibri" w:cs="Times New Roman"/>
          <w:sz w:val="22"/>
          <w:szCs w:val="22"/>
        </w:rPr>
      </w:pPr>
      <w:r>
        <w:rPr>
          <w:rFonts w:ascii="Cambria" w:hAnsi="Cambria" w:eastAsia="Calibri" w:cs="Times New Roman"/>
          <w:b/>
          <w:sz w:val="22"/>
          <w:szCs w:val="22"/>
        </w:rPr>
        <w:t>2.1</w:t>
      </w:r>
      <w:r>
        <w:rPr>
          <w:rFonts w:ascii="Cambria" w:hAnsi="Cambria" w:eastAsia="Calibri" w:cs="Times New Roman"/>
          <w:sz w:val="22"/>
          <w:szCs w:val="22"/>
        </w:rPr>
        <w:t xml:space="preserve"> </w:t>
      </w:r>
      <w:r>
        <w:rPr>
          <w:rFonts w:ascii="Cambria" w:hAnsi="Cambria" w:cs="Times New Roman"/>
          <w:sz w:val="22"/>
          <w:szCs w:val="22"/>
        </w:rPr>
        <w:t>As despesas decorrentes desta contratação, correrão por conta de transferência de recursos financeiros nº 115092260000125016, para o Fundo Municipal de Carnaubais, vinculado a Emenda Parlamentar nº 71210010, na seguinte classificação orçamentária.</w:t>
      </w:r>
    </w:p>
    <w:p w14:paraId="39ED6451">
      <w:pPr>
        <w:tabs>
          <w:tab w:val="left" w:pos="426"/>
          <w:tab w:val="left" w:pos="709"/>
        </w:tabs>
        <w:jc w:val="both"/>
        <w:rPr>
          <w:rFonts w:ascii="Cambria" w:hAnsi="Cambria" w:eastAsia="Calibri" w:cs="Times New Roman"/>
          <w:sz w:val="22"/>
          <w:szCs w:val="22"/>
        </w:rPr>
      </w:pPr>
    </w:p>
    <w:tbl>
      <w:tblPr>
        <w:tblStyle w:val="1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710"/>
        <w:gridCol w:w="992"/>
        <w:gridCol w:w="2204"/>
        <w:gridCol w:w="3892"/>
      </w:tblGrid>
      <w:tr w14:paraId="2DED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0" w:type="dxa"/>
            <w:gridSpan w:val="2"/>
            <w:tcBorders>
              <w:top w:val="single" w:color="auto" w:sz="4" w:space="0"/>
              <w:left w:val="single" w:color="auto" w:sz="4" w:space="0"/>
              <w:bottom w:val="single" w:color="auto" w:sz="4" w:space="0"/>
              <w:right w:val="single" w:color="auto" w:sz="4" w:space="0"/>
            </w:tcBorders>
          </w:tcPr>
          <w:p w14:paraId="011BE476">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 xml:space="preserve">UNIDADE GESTORA </w:t>
            </w:r>
          </w:p>
        </w:tc>
        <w:tc>
          <w:tcPr>
            <w:tcW w:w="992" w:type="dxa"/>
            <w:tcBorders>
              <w:top w:val="single" w:color="auto" w:sz="4" w:space="0"/>
              <w:left w:val="single" w:color="auto" w:sz="4" w:space="0"/>
              <w:bottom w:val="single" w:color="auto" w:sz="4" w:space="0"/>
              <w:right w:val="single" w:color="auto" w:sz="4" w:space="0"/>
            </w:tcBorders>
          </w:tcPr>
          <w:p w14:paraId="26182317">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3</w:t>
            </w:r>
          </w:p>
        </w:tc>
        <w:tc>
          <w:tcPr>
            <w:tcW w:w="6096" w:type="dxa"/>
            <w:gridSpan w:val="2"/>
            <w:tcBorders>
              <w:top w:val="single" w:color="auto" w:sz="4" w:space="0"/>
              <w:left w:val="single" w:color="auto" w:sz="4" w:space="0"/>
              <w:bottom w:val="single" w:color="auto" w:sz="4" w:space="0"/>
              <w:right w:val="single" w:color="auto" w:sz="4" w:space="0"/>
            </w:tcBorders>
          </w:tcPr>
          <w:p w14:paraId="0706E0E2">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PREFEITURA MUNICIPAL DE CARNAUBAIS</w:t>
            </w:r>
          </w:p>
        </w:tc>
      </w:tr>
      <w:tr w14:paraId="55AC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1BBFC35C">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Órgão Orçamentário</w:t>
            </w:r>
          </w:p>
        </w:tc>
        <w:tc>
          <w:tcPr>
            <w:tcW w:w="992" w:type="dxa"/>
            <w:tcBorders>
              <w:top w:val="single" w:color="auto" w:sz="4" w:space="0"/>
              <w:left w:val="single" w:color="auto" w:sz="4" w:space="0"/>
              <w:bottom w:val="single" w:color="auto" w:sz="4" w:space="0"/>
              <w:right w:val="single" w:color="auto" w:sz="4" w:space="0"/>
            </w:tcBorders>
          </w:tcPr>
          <w:p w14:paraId="26B65CEE">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3000</w:t>
            </w:r>
          </w:p>
        </w:tc>
        <w:tc>
          <w:tcPr>
            <w:tcW w:w="6096" w:type="dxa"/>
            <w:gridSpan w:val="2"/>
            <w:tcBorders>
              <w:top w:val="single" w:color="auto" w:sz="4" w:space="0"/>
              <w:left w:val="single" w:color="auto" w:sz="4" w:space="0"/>
              <w:bottom w:val="single" w:color="auto" w:sz="4" w:space="0"/>
              <w:right w:val="single" w:color="auto" w:sz="4" w:space="0"/>
            </w:tcBorders>
          </w:tcPr>
          <w:p w14:paraId="3D17D0A5">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Fundo Municipal de Saúde</w:t>
            </w:r>
          </w:p>
        </w:tc>
      </w:tr>
      <w:tr w14:paraId="23E8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45464F7D">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Unid_Orçamentária:</w:t>
            </w:r>
          </w:p>
        </w:tc>
        <w:tc>
          <w:tcPr>
            <w:tcW w:w="992" w:type="dxa"/>
            <w:tcBorders>
              <w:top w:val="single" w:color="auto" w:sz="4" w:space="0"/>
              <w:left w:val="single" w:color="auto" w:sz="4" w:space="0"/>
              <w:bottom w:val="single" w:color="auto" w:sz="4" w:space="0"/>
              <w:right w:val="single" w:color="auto" w:sz="4" w:space="0"/>
            </w:tcBorders>
          </w:tcPr>
          <w:p w14:paraId="3564478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3001</w:t>
            </w:r>
          </w:p>
        </w:tc>
        <w:tc>
          <w:tcPr>
            <w:tcW w:w="6096" w:type="dxa"/>
            <w:gridSpan w:val="2"/>
            <w:tcBorders>
              <w:top w:val="single" w:color="auto" w:sz="4" w:space="0"/>
              <w:left w:val="single" w:color="auto" w:sz="4" w:space="0"/>
              <w:bottom w:val="single" w:color="auto" w:sz="4" w:space="0"/>
              <w:right w:val="single" w:color="auto" w:sz="4" w:space="0"/>
            </w:tcBorders>
          </w:tcPr>
          <w:p w14:paraId="6317D237">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Secretaria Municipal de Saúde</w:t>
            </w:r>
          </w:p>
        </w:tc>
      </w:tr>
      <w:tr w14:paraId="17C2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255982D3">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Função_Governo:      </w:t>
            </w:r>
          </w:p>
        </w:tc>
        <w:tc>
          <w:tcPr>
            <w:tcW w:w="992" w:type="dxa"/>
            <w:tcBorders>
              <w:top w:val="single" w:color="auto" w:sz="4" w:space="0"/>
              <w:left w:val="single" w:color="auto" w:sz="4" w:space="0"/>
              <w:bottom w:val="single" w:color="auto" w:sz="4" w:space="0"/>
              <w:right w:val="single" w:color="auto" w:sz="4" w:space="0"/>
            </w:tcBorders>
          </w:tcPr>
          <w:p w14:paraId="75FCA141">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10</w:t>
            </w:r>
          </w:p>
        </w:tc>
        <w:tc>
          <w:tcPr>
            <w:tcW w:w="6096" w:type="dxa"/>
            <w:gridSpan w:val="2"/>
            <w:tcBorders>
              <w:top w:val="single" w:color="auto" w:sz="4" w:space="0"/>
              <w:left w:val="single" w:color="auto" w:sz="4" w:space="0"/>
              <w:bottom w:val="single" w:color="auto" w:sz="4" w:space="0"/>
              <w:right w:val="single" w:color="auto" w:sz="4" w:space="0"/>
            </w:tcBorders>
          </w:tcPr>
          <w:p w14:paraId="77C33B3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Saúde</w:t>
            </w:r>
          </w:p>
        </w:tc>
      </w:tr>
      <w:tr w14:paraId="14A4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1ED91981">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Sub_Função:            </w:t>
            </w:r>
          </w:p>
        </w:tc>
        <w:tc>
          <w:tcPr>
            <w:tcW w:w="992" w:type="dxa"/>
            <w:tcBorders>
              <w:top w:val="single" w:color="auto" w:sz="4" w:space="0"/>
              <w:left w:val="single" w:color="auto" w:sz="4" w:space="0"/>
              <w:bottom w:val="single" w:color="auto" w:sz="4" w:space="0"/>
              <w:right w:val="single" w:color="auto" w:sz="4" w:space="0"/>
            </w:tcBorders>
          </w:tcPr>
          <w:p w14:paraId="09B41A92">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301</w:t>
            </w:r>
          </w:p>
        </w:tc>
        <w:tc>
          <w:tcPr>
            <w:tcW w:w="6096" w:type="dxa"/>
            <w:gridSpan w:val="2"/>
            <w:tcBorders>
              <w:top w:val="single" w:color="auto" w:sz="4" w:space="0"/>
              <w:left w:val="single" w:color="auto" w:sz="4" w:space="0"/>
              <w:bottom w:val="single" w:color="auto" w:sz="4" w:space="0"/>
              <w:right w:val="single" w:color="auto" w:sz="4" w:space="0"/>
            </w:tcBorders>
          </w:tcPr>
          <w:p w14:paraId="5D6C091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Atenção Básica</w:t>
            </w:r>
          </w:p>
        </w:tc>
      </w:tr>
      <w:tr w14:paraId="3E73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064B2ECD">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Programa:</w:t>
            </w:r>
          </w:p>
        </w:tc>
        <w:tc>
          <w:tcPr>
            <w:tcW w:w="992" w:type="dxa"/>
            <w:tcBorders>
              <w:top w:val="single" w:color="auto" w:sz="4" w:space="0"/>
              <w:left w:val="single" w:color="auto" w:sz="4" w:space="0"/>
              <w:bottom w:val="single" w:color="auto" w:sz="4" w:space="0"/>
              <w:right w:val="single" w:color="auto" w:sz="4" w:space="0"/>
            </w:tcBorders>
          </w:tcPr>
          <w:p w14:paraId="0D4F2313">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27</w:t>
            </w:r>
          </w:p>
        </w:tc>
        <w:tc>
          <w:tcPr>
            <w:tcW w:w="6096" w:type="dxa"/>
            <w:gridSpan w:val="2"/>
            <w:tcBorders>
              <w:top w:val="single" w:color="auto" w:sz="4" w:space="0"/>
              <w:left w:val="single" w:color="auto" w:sz="4" w:space="0"/>
              <w:bottom w:val="single" w:color="auto" w:sz="4" w:space="0"/>
              <w:right w:val="single" w:color="auto" w:sz="4" w:space="0"/>
            </w:tcBorders>
          </w:tcPr>
          <w:p w14:paraId="30015703">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Infraestrutura e Desenvolvimento da Saúde</w:t>
            </w:r>
          </w:p>
        </w:tc>
      </w:tr>
      <w:tr w14:paraId="419EC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7C007062">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Proj_Atividade:       </w:t>
            </w:r>
          </w:p>
        </w:tc>
        <w:tc>
          <w:tcPr>
            <w:tcW w:w="992" w:type="dxa"/>
            <w:tcBorders>
              <w:top w:val="single" w:color="auto" w:sz="4" w:space="0"/>
              <w:left w:val="single" w:color="auto" w:sz="4" w:space="0"/>
              <w:bottom w:val="single" w:color="auto" w:sz="4" w:space="0"/>
              <w:right w:val="single" w:color="auto" w:sz="4" w:space="0"/>
            </w:tcBorders>
          </w:tcPr>
          <w:p w14:paraId="37E4699F">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1.39</w:t>
            </w:r>
          </w:p>
        </w:tc>
        <w:tc>
          <w:tcPr>
            <w:tcW w:w="6096" w:type="dxa"/>
            <w:gridSpan w:val="2"/>
            <w:tcBorders>
              <w:top w:val="single" w:color="auto" w:sz="4" w:space="0"/>
              <w:left w:val="single" w:color="auto" w:sz="4" w:space="0"/>
              <w:bottom w:val="single" w:color="auto" w:sz="4" w:space="0"/>
              <w:right w:val="single" w:color="auto" w:sz="4" w:space="0"/>
            </w:tcBorders>
          </w:tcPr>
          <w:p w14:paraId="50B4C2B7">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Aquisição Equipamentos Médico Hospitalar. Odont. Laboratoriais.</w:t>
            </w:r>
          </w:p>
        </w:tc>
      </w:tr>
      <w:tr w14:paraId="2968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gridSpan w:val="3"/>
            <w:tcBorders>
              <w:top w:val="single" w:color="auto" w:sz="4" w:space="0"/>
              <w:left w:val="single" w:color="auto" w:sz="4" w:space="0"/>
              <w:bottom w:val="single" w:color="auto" w:sz="4" w:space="0"/>
              <w:right w:val="single" w:color="auto" w:sz="4" w:space="0"/>
            </w:tcBorders>
          </w:tcPr>
          <w:p w14:paraId="03DFE8F9">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ELEMENTO_DESPESA</w:t>
            </w:r>
            <w:r>
              <w:rPr>
                <w:rFonts w:ascii="Cambria" w:hAnsi="Cambria" w:cs="Times New Roman"/>
                <w:sz w:val="22"/>
                <w:szCs w:val="22"/>
                <w:lang w:eastAsia="en-US"/>
              </w:rPr>
              <w:t>:</w:t>
            </w:r>
          </w:p>
        </w:tc>
        <w:tc>
          <w:tcPr>
            <w:tcW w:w="2204" w:type="dxa"/>
            <w:tcBorders>
              <w:top w:val="single" w:color="auto" w:sz="4" w:space="0"/>
              <w:left w:val="single" w:color="auto" w:sz="4" w:space="0"/>
              <w:bottom w:val="single" w:color="auto" w:sz="4" w:space="0"/>
              <w:right w:val="single" w:color="auto" w:sz="4" w:space="0"/>
            </w:tcBorders>
          </w:tcPr>
          <w:p w14:paraId="3FF93D9F">
            <w:pPr>
              <w:pStyle w:val="31"/>
              <w:jc w:val="both"/>
              <w:rPr>
                <w:rFonts w:ascii="Cambria" w:hAnsi="Cambria" w:eastAsia="Times New Roman" w:cs="Times New Roman"/>
                <w:bCs/>
                <w:sz w:val="22"/>
                <w:szCs w:val="22"/>
                <w:lang w:eastAsia="en-US"/>
              </w:rPr>
            </w:pPr>
            <w:r>
              <w:rPr>
                <w:rFonts w:ascii="Cambria" w:hAnsi="Cambria" w:cs="Times New Roman"/>
                <w:sz w:val="22"/>
                <w:szCs w:val="22"/>
                <w:lang w:eastAsia="en-US"/>
              </w:rPr>
              <w:t>44.90.52.</w:t>
            </w:r>
            <w:r>
              <w:rPr>
                <w:rFonts w:ascii="Cambria" w:hAnsi="Cambria" w:cs="Times New Roman"/>
                <w:bCs/>
                <w:sz w:val="22"/>
                <w:szCs w:val="22"/>
                <w:lang w:eastAsia="en-US"/>
              </w:rPr>
              <w:t>00.00</w:t>
            </w:r>
          </w:p>
        </w:tc>
        <w:tc>
          <w:tcPr>
            <w:tcW w:w="3892" w:type="dxa"/>
            <w:tcBorders>
              <w:top w:val="single" w:color="auto" w:sz="4" w:space="0"/>
              <w:left w:val="single" w:color="auto" w:sz="4" w:space="0"/>
              <w:bottom w:val="single" w:color="auto" w:sz="4" w:space="0"/>
              <w:right w:val="single" w:color="auto" w:sz="4" w:space="0"/>
            </w:tcBorders>
          </w:tcPr>
          <w:p w14:paraId="57BDDA32">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Equipamento e Material Permanente</w:t>
            </w:r>
          </w:p>
        </w:tc>
      </w:tr>
      <w:tr w14:paraId="45A0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0" w:type="dxa"/>
            <w:tcBorders>
              <w:top w:val="single" w:color="auto" w:sz="4" w:space="0"/>
              <w:left w:val="single" w:color="auto" w:sz="4" w:space="0"/>
              <w:bottom w:val="single" w:color="auto" w:sz="4" w:space="0"/>
              <w:right w:val="single" w:color="auto" w:sz="4" w:space="0"/>
            </w:tcBorders>
          </w:tcPr>
          <w:p w14:paraId="2D6B988B">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Cód._Redutor: </w:t>
            </w:r>
          </w:p>
        </w:tc>
        <w:tc>
          <w:tcPr>
            <w:tcW w:w="1702" w:type="dxa"/>
            <w:gridSpan w:val="2"/>
            <w:tcBorders>
              <w:top w:val="single" w:color="auto" w:sz="4" w:space="0"/>
              <w:left w:val="single" w:color="auto" w:sz="4" w:space="0"/>
              <w:bottom w:val="single" w:color="auto" w:sz="4" w:space="0"/>
              <w:right w:val="single" w:color="auto" w:sz="4" w:space="0"/>
            </w:tcBorders>
          </w:tcPr>
          <w:p w14:paraId="13C7C658">
            <w:pPr>
              <w:pStyle w:val="31"/>
              <w:jc w:val="both"/>
              <w:rPr>
                <w:rFonts w:ascii="Cambria" w:hAnsi="Cambria" w:eastAsia="Times New Roman" w:cs="Times New Roman"/>
                <w:bCs/>
                <w:sz w:val="22"/>
                <w:szCs w:val="22"/>
                <w:lang w:eastAsia="en-US"/>
              </w:rPr>
            </w:pPr>
            <w:r>
              <w:rPr>
                <w:rFonts w:ascii="Cambria" w:hAnsi="Cambria" w:eastAsia="Times New Roman" w:cs="Times New Roman"/>
                <w:bCs/>
                <w:sz w:val="22"/>
                <w:szCs w:val="22"/>
                <w:lang w:eastAsia="en-US"/>
              </w:rPr>
              <w:t>1050</w:t>
            </w:r>
          </w:p>
        </w:tc>
        <w:tc>
          <w:tcPr>
            <w:tcW w:w="2204" w:type="dxa"/>
            <w:tcBorders>
              <w:top w:val="single" w:color="auto" w:sz="4" w:space="0"/>
              <w:left w:val="single" w:color="auto" w:sz="4" w:space="0"/>
              <w:bottom w:val="single" w:color="auto" w:sz="4" w:space="0"/>
              <w:right w:val="single" w:color="auto" w:sz="4" w:space="0"/>
            </w:tcBorders>
          </w:tcPr>
          <w:p w14:paraId="7210DA22">
            <w:pPr>
              <w:pStyle w:val="31"/>
              <w:jc w:val="both"/>
              <w:rPr>
                <w:rFonts w:ascii="Cambria" w:hAnsi="Cambria" w:eastAsia="Times New Roman" w:cs="Times New Roman"/>
                <w:bCs/>
                <w:sz w:val="22"/>
                <w:szCs w:val="22"/>
                <w:lang w:eastAsia="en-US"/>
              </w:rPr>
            </w:pPr>
            <w:r>
              <w:rPr>
                <w:rFonts w:ascii="Cambria" w:hAnsi="Cambria" w:cs="Times New Roman"/>
                <w:sz w:val="22"/>
                <w:szCs w:val="22"/>
                <w:lang w:eastAsia="en-US"/>
              </w:rPr>
              <w:t>Fonte de Recurso:</w:t>
            </w:r>
          </w:p>
        </w:tc>
        <w:tc>
          <w:tcPr>
            <w:tcW w:w="3892" w:type="dxa"/>
            <w:tcBorders>
              <w:top w:val="single" w:color="auto" w:sz="4" w:space="0"/>
              <w:left w:val="single" w:color="auto" w:sz="4" w:space="0"/>
              <w:bottom w:val="single" w:color="auto" w:sz="4" w:space="0"/>
              <w:right w:val="single" w:color="auto" w:sz="4" w:space="0"/>
            </w:tcBorders>
          </w:tcPr>
          <w:p w14:paraId="0B8D451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2.601.3110 – Recurso Federal</w:t>
            </w:r>
          </w:p>
        </w:tc>
      </w:tr>
    </w:tbl>
    <w:p w14:paraId="1EACA2A8">
      <w:pPr>
        <w:pStyle w:val="20"/>
        <w:rPr>
          <w:rFonts w:ascii="Cambria" w:hAnsi="Cambria" w:cs="Times New Roman"/>
          <w:color w:val="auto"/>
          <w:sz w:val="22"/>
          <w:szCs w:val="22"/>
        </w:rPr>
      </w:pPr>
    </w:p>
    <w:p w14:paraId="1DF7BA25">
      <w:pPr>
        <w:keepNext/>
        <w:keepLines/>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567"/>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CREDENCIAMENTO.</w:t>
      </w:r>
    </w:p>
    <w:p w14:paraId="5B331260">
      <w:pPr>
        <w:pStyle w:val="61"/>
        <w:numPr>
          <w:ilvl w:val="1"/>
          <w:numId w:val="4"/>
        </w:numPr>
        <w:tabs>
          <w:tab w:val="left" w:pos="426"/>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w:t>
      </w:r>
      <w:r>
        <w:rPr>
          <w:rFonts w:ascii="Cambria" w:hAnsi="Cambria" w:eastAsia="Calibri" w:cs="Times New Roman"/>
          <w:sz w:val="22"/>
          <w:szCs w:val="22"/>
        </w:rPr>
        <w:t xml:space="preserve">Pregão </w:t>
      </w:r>
      <w:r>
        <w:rPr>
          <w:rFonts w:ascii="Cambria" w:hAnsi="Cambria" w:eastAsia="Calibri" w:cs="Times New Roman"/>
          <w:color w:val="000000"/>
          <w:sz w:val="22"/>
          <w:szCs w:val="22"/>
        </w:rPr>
        <w:t xml:space="preserve">é o nível básico do registro cadastral no </w:t>
      </w:r>
      <w:r>
        <w:rPr>
          <w:rFonts w:ascii="Cambria" w:hAnsi="Cambria" w:eastAsia="Calibri" w:cs="Times New Roman"/>
          <w:b/>
          <w:color w:val="000000"/>
          <w:sz w:val="22"/>
          <w:szCs w:val="22"/>
        </w:rPr>
        <w:t xml:space="preserve">PORTAL DE COMPRAS </w:t>
      </w:r>
      <w:r>
        <w:rPr>
          <w:rFonts w:ascii="Cambria" w:hAnsi="Cambria" w:eastAsia="Calibri" w:cs="Times New Roman"/>
          <w:b/>
          <w:sz w:val="22"/>
          <w:szCs w:val="22"/>
        </w:rPr>
        <w:t>PÚBLICAS</w:t>
      </w:r>
      <w:r>
        <w:rPr>
          <w:rFonts w:ascii="Cambria" w:hAnsi="Cambria" w:eastAsia="Calibri" w:cs="Times New Roman"/>
          <w:color w:val="000000"/>
          <w:sz w:val="22"/>
          <w:szCs w:val="22"/>
        </w:rPr>
        <w:t xml:space="preserve"> que permite a participação dos interessados na modalidade LICITATÓRIA </w:t>
      </w:r>
      <w:r>
        <w:rPr>
          <w:rFonts w:ascii="Cambria" w:hAnsi="Cambria" w:eastAsia="Calibri" w:cs="Times New Roman"/>
          <w:sz w:val="22"/>
          <w:szCs w:val="22"/>
        </w:rPr>
        <w:t>PREGÃO</w:t>
      </w:r>
      <w:r>
        <w:rPr>
          <w:rFonts w:ascii="Cambria" w:hAnsi="Cambria" w:eastAsia="Calibri" w:cs="Times New Roman"/>
          <w:color w:val="000000"/>
          <w:sz w:val="22"/>
          <w:szCs w:val="22"/>
        </w:rPr>
        <w:t>, em sua FORMA ELETRÔNICA.</w:t>
      </w:r>
    </w:p>
    <w:p w14:paraId="3B9794D1">
      <w:pPr>
        <w:numPr>
          <w:ilvl w:val="1"/>
          <w:numId w:val="4"/>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cadastro deverá ser feito no Portal de Compras Públicas, no sítio </w:t>
      </w:r>
      <w:r>
        <w:fldChar w:fldCharType="begin"/>
      </w:r>
      <w:r>
        <w:instrText xml:space="preserve"> HYPERLINK "http://www.portaldecompraspublicas.com.br" \h </w:instrText>
      </w:r>
      <w:r>
        <w:fldChar w:fldCharType="separate"/>
      </w:r>
      <w:r>
        <w:rPr>
          <w:rFonts w:ascii="Cambria" w:hAnsi="Cambria" w:eastAsia="Calibri" w:cs="Times New Roman"/>
          <w:b/>
          <w:i/>
          <w:color w:val="0066FF"/>
          <w:sz w:val="22"/>
          <w:szCs w:val="22"/>
          <w:u w:val="single"/>
        </w:rPr>
        <w:t>www.portaldecompraspublicas.com.br</w:t>
      </w:r>
      <w:r>
        <w:rPr>
          <w:rFonts w:ascii="Cambria" w:hAnsi="Cambria" w:eastAsia="Calibri" w:cs="Times New Roman"/>
          <w:b/>
          <w:i/>
          <w:color w:val="0066FF"/>
          <w:sz w:val="22"/>
          <w:szCs w:val="22"/>
          <w:u w:val="single"/>
        </w:rPr>
        <w:fldChar w:fldCharType="end"/>
      </w:r>
      <w:r>
        <w:rPr>
          <w:rFonts w:ascii="Cambria" w:hAnsi="Cambria" w:eastAsia="Calibri" w:cs="Times New Roman"/>
          <w:b/>
          <w:i/>
          <w:color w:val="000000"/>
          <w:sz w:val="22"/>
          <w:szCs w:val="22"/>
        </w:rPr>
        <w:t>;</w:t>
      </w:r>
    </w:p>
    <w:p w14:paraId="27F01797">
      <w:pPr>
        <w:numPr>
          <w:ilvl w:val="1"/>
          <w:numId w:val="4"/>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7F64CDB0">
      <w:pPr>
        <w:numPr>
          <w:ilvl w:val="1"/>
          <w:numId w:val="4"/>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licitante </w:t>
      </w:r>
      <w:r>
        <w:rPr>
          <w:rFonts w:ascii="Cambria" w:hAnsi="Cambria" w:eastAsia="Calibri" w:cs="Times New Roman"/>
          <w:sz w:val="22"/>
          <w:szCs w:val="22"/>
        </w:rPr>
        <w:t>responsabilizar-se</w:t>
      </w:r>
      <w:r>
        <w:rPr>
          <w:rFonts w:ascii="Cambria" w:hAnsi="Cambria" w:eastAsia="Calibri" w:cs="Times New Roman"/>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9CB1B8">
      <w:pPr>
        <w:numPr>
          <w:ilvl w:val="1"/>
          <w:numId w:val="4"/>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É de responsabilidade do cadastrado conferir a exatidão dos seus dados cadastrais no </w:t>
      </w:r>
      <w:r>
        <w:rPr>
          <w:rFonts w:ascii="Cambria" w:hAnsi="Cambria" w:eastAsia="Calibri" w:cs="Times New Roman"/>
          <w:b/>
          <w:sz w:val="22"/>
          <w:szCs w:val="22"/>
        </w:rPr>
        <w:t>PORTAL DE COMPRAS PÚBLICAS</w:t>
      </w:r>
      <w:r>
        <w:rPr>
          <w:rFonts w:ascii="Cambria" w:hAnsi="Cambria" w:eastAsia="Calibri"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06A353F7">
      <w:pPr>
        <w:numPr>
          <w:ilvl w:val="2"/>
          <w:numId w:val="4"/>
        </w:numPr>
        <w:tabs>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A não observância do disposto no subitem anterior poderá ensejar desclassificação no momento da habilitação.</w:t>
      </w:r>
    </w:p>
    <w:p w14:paraId="42D8D5F7">
      <w:pPr>
        <w:tabs>
          <w:tab w:val="left" w:pos="709"/>
        </w:tabs>
        <w:jc w:val="both"/>
        <w:rPr>
          <w:rFonts w:ascii="Cambria" w:hAnsi="Cambria" w:eastAsia="Calibri" w:cs="Times New Roman"/>
          <w:color w:val="000000"/>
          <w:sz w:val="22"/>
          <w:szCs w:val="22"/>
        </w:rPr>
      </w:pPr>
    </w:p>
    <w:p w14:paraId="13953728">
      <w:pPr>
        <w:keepNext/>
        <w:keepLines/>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0"/>
          <w:tab w:val="left" w:pos="284"/>
          <w:tab w:val="left" w:pos="567"/>
          <w:tab w:val="left" w:pos="709"/>
          <w:tab w:val="left" w:pos="851"/>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PARTICIPAÇÃO N</w:t>
      </w:r>
      <w:r>
        <w:rPr>
          <w:rFonts w:ascii="Cambria" w:hAnsi="Cambria" w:eastAsia="Calibri" w:cs="Times New Roman"/>
          <w:b/>
          <w:sz w:val="22"/>
          <w:szCs w:val="22"/>
        </w:rPr>
        <w:t>O</w:t>
      </w:r>
      <w:r>
        <w:rPr>
          <w:rFonts w:ascii="Cambria" w:hAnsi="Cambria" w:eastAsia="Calibri" w:cs="Times New Roman"/>
          <w:b/>
          <w:color w:val="000000"/>
          <w:sz w:val="22"/>
          <w:szCs w:val="22"/>
        </w:rPr>
        <w:t xml:space="preserve"> </w:t>
      </w:r>
      <w:r>
        <w:rPr>
          <w:rFonts w:ascii="Cambria" w:hAnsi="Cambria" w:eastAsia="Calibri" w:cs="Times New Roman"/>
          <w:b/>
          <w:sz w:val="22"/>
          <w:szCs w:val="22"/>
        </w:rPr>
        <w:t>PREGÃO</w:t>
      </w:r>
      <w:r>
        <w:rPr>
          <w:rFonts w:ascii="Cambria" w:hAnsi="Cambria" w:eastAsia="Calibri" w:cs="Times New Roman"/>
          <w:b/>
          <w:color w:val="000000"/>
          <w:sz w:val="22"/>
          <w:szCs w:val="22"/>
        </w:rPr>
        <w:t>.</w:t>
      </w:r>
    </w:p>
    <w:p w14:paraId="37C89073">
      <w:pPr>
        <w:tabs>
          <w:tab w:val="left" w:pos="426"/>
        </w:tabs>
        <w:jc w:val="both"/>
        <w:rPr>
          <w:rFonts w:ascii="Cambria" w:hAnsi="Cambria" w:eastAsia="Calibri" w:cs="Times New Roman"/>
          <w:sz w:val="22"/>
          <w:szCs w:val="22"/>
        </w:rPr>
      </w:pPr>
      <w:r>
        <w:rPr>
          <w:rFonts w:ascii="Cambria" w:hAnsi="Cambria" w:cs="Times New Roman"/>
          <w:b/>
          <w:bCs/>
          <w:sz w:val="22"/>
          <w:szCs w:val="22"/>
        </w:rPr>
        <w:t>4.1.</w:t>
      </w:r>
      <w:r>
        <w:rPr>
          <w:rFonts w:ascii="Cambria" w:hAnsi="Cambria" w:cs="Times New Roman"/>
          <w:sz w:val="22"/>
          <w:szCs w:val="22"/>
        </w:rPr>
        <w:t xml:space="preserve"> Poderão participar deste pregão, empresas do ramo de atividade pertinente ao objeto da contratação, </w:t>
      </w:r>
      <w:r>
        <w:rPr>
          <w:rFonts w:ascii="Cambria" w:hAnsi="Cambria" w:eastAsia="Calibri" w:cs="Times New Roman"/>
          <w:sz w:val="22"/>
          <w:szCs w:val="22"/>
        </w:rPr>
        <w:t xml:space="preserve">e que estejam com Credenciamento regular no </w:t>
      </w:r>
      <w:r>
        <w:rPr>
          <w:rFonts w:ascii="Cambria" w:hAnsi="Cambria" w:eastAsia="Calibri" w:cs="Times New Roman"/>
          <w:b/>
          <w:sz w:val="22"/>
          <w:szCs w:val="22"/>
        </w:rPr>
        <w:t xml:space="preserve">PORTAL DE COMPRAS PÚBLICAS. </w:t>
      </w:r>
    </w:p>
    <w:p w14:paraId="6465D85C">
      <w:pPr>
        <w:tabs>
          <w:tab w:val="left" w:pos="426"/>
          <w:tab w:val="left" w:pos="709"/>
        </w:tabs>
        <w:jc w:val="both"/>
        <w:rPr>
          <w:rFonts w:hint="default" w:ascii="Cambria" w:hAnsi="Cambria" w:cs="Times New Roman"/>
          <w:sz w:val="22"/>
          <w:szCs w:val="22"/>
          <w:lang w:val="pt-BR"/>
        </w:rPr>
      </w:pPr>
      <w:r>
        <w:rPr>
          <w:rFonts w:ascii="Cambria" w:hAnsi="Cambria" w:eastAsia="Calibri" w:cs="Times New Roman"/>
          <w:b/>
          <w:sz w:val="22"/>
          <w:szCs w:val="22"/>
        </w:rPr>
        <w:t xml:space="preserve">4.2 </w:t>
      </w:r>
      <w:r>
        <w:rPr>
          <w:rFonts w:hint="default" w:ascii="Cambria" w:hAnsi="Cambria" w:eastAsia="Calibri" w:cs="Times New Roman"/>
          <w:sz w:val="22"/>
          <w:szCs w:val="22"/>
          <w:lang w:val="pt-BR"/>
        </w:rPr>
        <w:t xml:space="preserve">Poderão participar </w:t>
      </w:r>
      <w:r>
        <w:rPr>
          <w:rFonts w:hint="default" w:ascii="Cambria" w:hAnsi="Cambria" w:eastAsia="Calibri" w:cs="Times New Roman"/>
          <w:b/>
          <w:bCs/>
          <w:sz w:val="22"/>
          <w:szCs w:val="22"/>
          <w:u w:val="single"/>
          <w:shd w:val="clear" w:color="FFFFFF" w:fill="D9D9D9"/>
          <w:lang w:val="pt-BR"/>
        </w:rPr>
        <w:t>EXCLUSIVAMENTE</w:t>
      </w:r>
      <w:r>
        <w:rPr>
          <w:rFonts w:ascii="Cambria" w:hAnsi="Cambria" w:eastAsia="Calibri" w:cs="Times New Roman"/>
          <w:sz w:val="22"/>
          <w:szCs w:val="22"/>
        </w:rPr>
        <w:t xml:space="preserve"> as </w:t>
      </w:r>
      <w:r>
        <w:rPr>
          <w:rFonts w:ascii="Cambria" w:hAnsi="Cambria" w:eastAsia="Calibri" w:cs="Times New Roman"/>
          <w:b/>
          <w:bCs/>
          <w:sz w:val="22"/>
          <w:szCs w:val="22"/>
        </w:rPr>
        <w:t>microempresas e empresas de pequeno porte, para as sociedades cooperativas mencionadas no artigo 34 da Lei nº 11.488/2007, para o microempreendedor individual - MEI,</w:t>
      </w:r>
      <w:r>
        <w:rPr>
          <w:rFonts w:ascii="Cambria" w:hAnsi="Cambria" w:eastAsia="Calibri" w:cs="Times New Roman"/>
          <w:sz w:val="22"/>
          <w:szCs w:val="22"/>
        </w:rPr>
        <w:t xml:space="preserve"> nos limites previstos da Lei Complementar nº 123/2006 e no artigo 4º da Lei nº 14.133/2021</w:t>
      </w:r>
      <w:r>
        <w:rPr>
          <w:rFonts w:hint="default" w:ascii="Cambria" w:hAnsi="Cambria" w:eastAsia="Calibri" w:cs="Times New Roman"/>
          <w:sz w:val="22"/>
          <w:szCs w:val="22"/>
          <w:lang w:val="pt-BR"/>
        </w:rPr>
        <w:t xml:space="preserve">, </w:t>
      </w:r>
      <w:r>
        <w:rPr>
          <w:rFonts w:hint="default" w:ascii="Cambria" w:hAnsi="Cambria" w:eastAsia="Calibri" w:cs="Times New Roman"/>
          <w:b/>
          <w:bCs/>
          <w:sz w:val="22"/>
          <w:szCs w:val="22"/>
          <w:u w:val="single"/>
          <w:lang w:val="pt-BR"/>
        </w:rPr>
        <w:t>COM EXCEÇÃO DO ITEM 28, QUE SE DARÁ POR AMPLA CONCORRÊNCIA.</w:t>
      </w:r>
    </w:p>
    <w:p w14:paraId="19107537">
      <w:pPr>
        <w:pStyle w:val="61"/>
        <w:numPr>
          <w:ilvl w:val="1"/>
          <w:numId w:val="5"/>
        </w:numPr>
        <w:tabs>
          <w:tab w:val="left" w:pos="142"/>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Não poderão participar desta licitação os interessados:</w:t>
      </w:r>
    </w:p>
    <w:p w14:paraId="2E877043">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sz w:val="22"/>
          <w:szCs w:val="22"/>
        </w:rPr>
        <w:t>Proibidos de participar de licitações e celebrar contratos administrativos, na forma da legislação vigente;</w:t>
      </w:r>
    </w:p>
    <w:p w14:paraId="6B131F1C">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sz w:val="22"/>
          <w:szCs w:val="22"/>
        </w:rPr>
        <w:t>Que não atendam às condições deste Edital e seu(s) anexo(s);</w:t>
      </w:r>
    </w:p>
    <w:p w14:paraId="4BC716FD">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Estrangeiros que não tenham representação legal no Brasil com poderes expressos para receber citação e responder administrativa ou judicialmente;</w:t>
      </w:r>
      <w:bookmarkStart w:id="7" w:name="_GoBack"/>
      <w:bookmarkEnd w:id="7"/>
    </w:p>
    <w:p w14:paraId="69711C0D">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Que se enquadrem nas vedações previstas nos artigos 9º e 14 da Lei nº 14.133/2021;</w:t>
      </w:r>
    </w:p>
    <w:p w14:paraId="53258863">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sz w:val="22"/>
          <w:szCs w:val="22"/>
        </w:rPr>
        <w:t xml:space="preserve"> </w:t>
      </w:r>
      <w:r>
        <w:rPr>
          <w:rFonts w:ascii="Cambria" w:hAnsi="Cambria" w:eastAsia="Calibri" w:cs="Times New Roman"/>
          <w:color w:val="000000"/>
          <w:sz w:val="22"/>
          <w:szCs w:val="22"/>
        </w:rPr>
        <w:t xml:space="preserve">Que estejam sob falência, concurso de credores, </w:t>
      </w:r>
      <w:r>
        <w:rPr>
          <w:rFonts w:ascii="Cambria" w:hAnsi="Cambria" w:eastAsia="Calibri" w:cs="Times New Roman"/>
          <w:sz w:val="22"/>
          <w:szCs w:val="22"/>
        </w:rPr>
        <w:t xml:space="preserve">concordata ou </w:t>
      </w:r>
      <w:r>
        <w:rPr>
          <w:rFonts w:ascii="Cambria" w:hAnsi="Cambria" w:eastAsia="Calibri" w:cs="Times New Roman"/>
          <w:color w:val="000000"/>
          <w:sz w:val="22"/>
          <w:szCs w:val="22"/>
        </w:rPr>
        <w:t>em processo de dissolução ou liquidação;</w:t>
      </w:r>
    </w:p>
    <w:p w14:paraId="065BE847">
      <w:pPr>
        <w:numPr>
          <w:ilvl w:val="2"/>
          <w:numId w:val="5"/>
        </w:numPr>
        <w:tabs>
          <w:tab w:val="left" w:pos="567"/>
          <w:tab w:val="left" w:pos="709"/>
          <w:tab w:val="left" w:pos="851"/>
          <w:tab w:val="left" w:pos="993"/>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Organizações da Sociedade Civil de Interesse Público - OSCIP, atuando nessa condição (Acórdão nº 746/2014-TCU-Plenário).</w:t>
      </w:r>
    </w:p>
    <w:p w14:paraId="5BAA77B1">
      <w:pPr>
        <w:numPr>
          <w:ilvl w:val="1"/>
          <w:numId w:val="5"/>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pessoa jurídica poderá participar da licitação em consórcio, observadas as regras do art. 15 da Lei nº 14.133/2021.</w:t>
      </w:r>
    </w:p>
    <w:p w14:paraId="15589689">
      <w:pPr>
        <w:numPr>
          <w:ilvl w:val="1"/>
          <w:numId w:val="5"/>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Como condição para participação n</w:t>
      </w:r>
      <w:r>
        <w:rPr>
          <w:rFonts w:ascii="Cambria" w:hAnsi="Cambria" w:eastAsia="Calibri" w:cs="Times New Roman"/>
          <w:sz w:val="22"/>
          <w:szCs w:val="22"/>
        </w:rPr>
        <w:t>o Pregão</w:t>
      </w:r>
      <w:r>
        <w:rPr>
          <w:rFonts w:ascii="Cambria" w:hAnsi="Cambria" w:eastAsia="Calibri" w:cs="Times New Roman"/>
          <w:color w:val="000000"/>
          <w:sz w:val="22"/>
          <w:szCs w:val="22"/>
        </w:rPr>
        <w:t xml:space="preserve">, a licitante assinalará “sim” ou “não” em campo próprio do sistema eletrônico, relativo às seguintes declarações: </w:t>
      </w:r>
    </w:p>
    <w:p w14:paraId="78E00FED">
      <w:pPr>
        <w:numPr>
          <w:ilvl w:val="2"/>
          <w:numId w:val="5"/>
        </w:numPr>
        <w:tabs>
          <w:tab w:val="left" w:pos="567"/>
          <w:tab w:val="left" w:pos="709"/>
          <w:tab w:val="left" w:pos="851"/>
          <w:tab w:val="left" w:pos="1276"/>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mbria" w:hAnsi="Cambria" w:eastAsia="Calibri" w:cs="Times New Roman"/>
          <w:sz w:val="22"/>
          <w:szCs w:val="22"/>
        </w:rPr>
        <w:t>extrapolam</w:t>
      </w:r>
      <w:r>
        <w:rPr>
          <w:rFonts w:ascii="Cambria" w:hAnsi="Cambria" w:eastAsia="Calibri" w:cs="Times New Roman"/>
          <w:color w:val="000000"/>
          <w:sz w:val="22"/>
          <w:szCs w:val="22"/>
        </w:rPr>
        <w:t xml:space="preserve"> a receita bruta máxima admitida para fins de enquadramento como empresa de pequeno porte;</w:t>
      </w:r>
    </w:p>
    <w:p w14:paraId="314CA4DF">
      <w:pPr>
        <w:numPr>
          <w:ilvl w:val="3"/>
          <w:numId w:val="5"/>
        </w:numPr>
        <w:tabs>
          <w:tab w:val="left" w:pos="709"/>
          <w:tab w:val="left" w:pos="851"/>
          <w:tab w:val="left" w:pos="1418"/>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Nos itens exclusivos, se houver, para participação de microempresas e empresas de pequeno porte, a assinalação do campo “não” impedirá o prosseguimento no certame;</w:t>
      </w:r>
    </w:p>
    <w:p w14:paraId="00438A23">
      <w:pPr>
        <w:numPr>
          <w:ilvl w:val="3"/>
          <w:numId w:val="5"/>
        </w:numPr>
        <w:tabs>
          <w:tab w:val="left" w:pos="709"/>
          <w:tab w:val="left" w:pos="851"/>
          <w:tab w:val="left" w:pos="1418"/>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2D8C8B1">
      <w:pPr>
        <w:numPr>
          <w:ilvl w:val="2"/>
          <w:numId w:val="5"/>
        </w:numPr>
        <w:tabs>
          <w:tab w:val="left" w:pos="567"/>
          <w:tab w:val="left" w:pos="709"/>
          <w:tab w:val="left" w:pos="851"/>
          <w:tab w:val="left" w:pos="1134"/>
        </w:tabs>
        <w:ind w:left="0" w:firstLine="0"/>
        <w:jc w:val="both"/>
        <w:rPr>
          <w:rFonts w:ascii="Cambria" w:hAnsi="Cambria" w:cs="Times New Roman"/>
          <w:sz w:val="22"/>
          <w:szCs w:val="22"/>
        </w:rPr>
      </w:pPr>
      <w:r>
        <w:rPr>
          <w:rFonts w:ascii="Cambria" w:hAnsi="Cambria" w:eastAsia="Calibri" w:cs="Times New Roman"/>
          <w:color w:val="000000"/>
          <w:sz w:val="22"/>
          <w:szCs w:val="22"/>
        </w:rPr>
        <w:t>Que está ciente e concorda com as condições contidas no Edital e seus anexos;</w:t>
      </w:r>
    </w:p>
    <w:p w14:paraId="6CF9673A">
      <w:pPr>
        <w:numPr>
          <w:ilvl w:val="2"/>
          <w:numId w:val="5"/>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851"/>
          <w:tab w:val="left" w:pos="1134"/>
          <w:tab w:val="left" w:pos="2552"/>
        </w:tabs>
        <w:ind w:left="0" w:firstLine="0"/>
        <w:jc w:val="both"/>
        <w:rPr>
          <w:rFonts w:ascii="Cambria" w:hAnsi="Cambria" w:cs="Times New Roman"/>
          <w:sz w:val="22"/>
          <w:szCs w:val="22"/>
        </w:rPr>
      </w:pPr>
      <w:r>
        <w:rPr>
          <w:rFonts w:ascii="Cambria" w:hAnsi="Cambria" w:eastAsia="Calibri" w:cs="Times New Roman"/>
          <w:color w:val="000000"/>
          <w:sz w:val="22"/>
          <w:szCs w:val="22"/>
        </w:rPr>
        <w:t>Que cumpre os requisitos para a habilitação definidos no Edital e que a proposta apresentada está em conformidade com as exigências editalícias;</w:t>
      </w:r>
    </w:p>
    <w:p w14:paraId="31E254C9">
      <w:pPr>
        <w:numPr>
          <w:ilvl w:val="2"/>
          <w:numId w:val="5"/>
        </w:numPr>
        <w:tabs>
          <w:tab w:val="left" w:pos="567"/>
          <w:tab w:val="left" w:pos="709"/>
          <w:tab w:val="left" w:pos="851"/>
          <w:tab w:val="left" w:pos="1134"/>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Que inexistem fatos impeditivos para sua habilitação no certame, ciente da obrigatoriedade de declarar ocorrências posteriores; </w:t>
      </w:r>
    </w:p>
    <w:p w14:paraId="4618DAB6">
      <w:pPr>
        <w:numPr>
          <w:ilvl w:val="2"/>
          <w:numId w:val="5"/>
        </w:numPr>
        <w:tabs>
          <w:tab w:val="left" w:pos="567"/>
          <w:tab w:val="left" w:pos="709"/>
          <w:tab w:val="left" w:pos="851"/>
          <w:tab w:val="left" w:pos="1134"/>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74C8A1B3">
      <w:pPr>
        <w:numPr>
          <w:ilvl w:val="2"/>
          <w:numId w:val="5"/>
        </w:numPr>
        <w:tabs>
          <w:tab w:val="left" w:pos="567"/>
          <w:tab w:val="left" w:pos="709"/>
          <w:tab w:val="left" w:pos="851"/>
          <w:tab w:val="left" w:pos="1134"/>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Que a proposta foi elaborada de forma independente;</w:t>
      </w:r>
    </w:p>
    <w:p w14:paraId="51231A87">
      <w:pPr>
        <w:numPr>
          <w:ilvl w:val="2"/>
          <w:numId w:val="5"/>
        </w:numPr>
        <w:tabs>
          <w:tab w:val="left" w:pos="567"/>
          <w:tab w:val="left" w:pos="709"/>
          <w:tab w:val="left" w:pos="851"/>
          <w:tab w:val="left" w:pos="1134"/>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Que não possui, em sua cadeia produtiva, empregados executando trabalho degradante ou forçado, observando o disposto nos incisos III e IV do art. 1º e no inciso III do art. 5º da Constituição Federal;</w:t>
      </w:r>
    </w:p>
    <w:p w14:paraId="64E67285">
      <w:pPr>
        <w:numPr>
          <w:ilvl w:val="2"/>
          <w:numId w:val="5"/>
        </w:numPr>
        <w:tabs>
          <w:tab w:val="left" w:pos="567"/>
          <w:tab w:val="left" w:pos="709"/>
          <w:tab w:val="left" w:pos="851"/>
          <w:tab w:val="left" w:pos="1134"/>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4076AFA8">
      <w:pPr>
        <w:keepNext/>
        <w:keepLines/>
        <w:numPr>
          <w:ilvl w:val="1"/>
          <w:numId w:val="5"/>
        </w:numPr>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declaração falsa relativa ao cumprimento de qualquer condição sujeitará o licitante às sanções previstas em lei e neste Edital.</w:t>
      </w:r>
    </w:p>
    <w:p w14:paraId="683F68F6">
      <w:pPr>
        <w:tabs>
          <w:tab w:val="left" w:pos="709"/>
        </w:tabs>
        <w:jc w:val="both"/>
        <w:rPr>
          <w:rFonts w:ascii="Cambria" w:hAnsi="Cambria" w:eastAsia="Calibri" w:cs="Times New Roman"/>
          <w:sz w:val="22"/>
          <w:szCs w:val="22"/>
        </w:rPr>
      </w:pPr>
    </w:p>
    <w:p w14:paraId="63AA8BA4">
      <w:pPr>
        <w:keepNext/>
        <w:keepLines/>
        <w:numPr>
          <w:ilvl w:val="0"/>
          <w:numId w:val="5"/>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APRESENTAÇÃO DA PROPOSTA E DOS DOCUMENTOS DE HABILITAÇÃO.</w:t>
      </w:r>
    </w:p>
    <w:p w14:paraId="10112448">
      <w:pPr>
        <w:pStyle w:val="61"/>
        <w:numPr>
          <w:ilvl w:val="1"/>
          <w:numId w:val="6"/>
        </w:numPr>
        <w:tabs>
          <w:tab w:val="left" w:pos="426"/>
          <w:tab w:val="left" w:pos="709"/>
        </w:tabs>
        <w:ind w:left="0" w:firstLine="0"/>
        <w:jc w:val="both"/>
        <w:rPr>
          <w:rFonts w:ascii="Cambria" w:hAnsi="Cambria" w:cs="Times New Roman"/>
          <w:b/>
          <w:bCs/>
          <w:sz w:val="22"/>
          <w:szCs w:val="22"/>
        </w:rPr>
      </w:pPr>
      <w:r>
        <w:rPr>
          <w:rFonts w:ascii="Cambria" w:hAnsi="Cambria" w:cs="Times New Roman"/>
          <w:b/>
          <w:bCs/>
          <w:sz w:val="22"/>
          <w:szCs w:val="22"/>
        </w:rPr>
        <w:t>Na presente licitação, a fase de habilitação sucederá as fases de apresentação de propostas e lances e de julgamento.</w:t>
      </w:r>
    </w:p>
    <w:p w14:paraId="740E214B">
      <w:pPr>
        <w:numPr>
          <w:ilvl w:val="1"/>
          <w:numId w:val="6"/>
        </w:numPr>
        <w:tabs>
          <w:tab w:val="left" w:pos="426"/>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w:t>
      </w:r>
    </w:p>
    <w:p w14:paraId="5D202338">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envio da proposta e dos documentos de habilitação exigidos neste Edital solicitados posteriormente a fase de lances, ocorrerá por meio de chave de acesso e senha.</w:t>
      </w:r>
    </w:p>
    <w:p w14:paraId="10D4FDEF">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As Microempresas e Empresas de Pequeno Porte deverão encaminhar a documentação de habilitação, ainda que haja alguma restrição de regularidade fiscal e trabalhista, nos termos do art. 43, § 1º da LC nº 123/2006.</w:t>
      </w:r>
    </w:p>
    <w:p w14:paraId="6B8FCF65">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Incumbirá ao licitante acompanhar as operações no sistema eletrônico durante a sessão pública d</w:t>
      </w:r>
      <w:r>
        <w:rPr>
          <w:rFonts w:ascii="Cambria" w:hAnsi="Cambria" w:eastAsia="Calibri" w:cs="Times New Roman"/>
          <w:sz w:val="22"/>
          <w:szCs w:val="22"/>
        </w:rPr>
        <w:t>o Pregão</w:t>
      </w:r>
      <w:r>
        <w:rPr>
          <w:rFonts w:ascii="Cambria" w:hAnsi="Cambria" w:eastAsia="Calibri" w:cs="Times New Roman"/>
          <w:color w:val="000000"/>
          <w:sz w:val="22"/>
          <w:szCs w:val="22"/>
        </w:rPr>
        <w:t>, ficando responsável pelo ônus decorrente da perda de negócios, diante da inobservância de quaisquer mensagens emitidas pelo sistema ou de sua desconexão.</w:t>
      </w:r>
    </w:p>
    <w:p w14:paraId="327AC094">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Até a abertura da sessão pública, os licitantes poderão retirar ou substituir </w:t>
      </w:r>
      <w:r>
        <w:rPr>
          <w:rFonts w:ascii="Cambria" w:hAnsi="Cambria" w:eastAsia="Calibri" w:cs="Times New Roman"/>
          <w:color w:val="000000"/>
          <w:sz w:val="22"/>
          <w:szCs w:val="22"/>
        </w:rPr>
        <w:t>a proposta anteriormente inserida no sistema;</w:t>
      </w:r>
    </w:p>
    <w:p w14:paraId="2873603D">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Não será estabelecida, </w:t>
      </w:r>
      <w:r>
        <w:rPr>
          <w:rFonts w:ascii="Cambria" w:hAnsi="Cambria" w:eastAsia="Calibri" w:cs="Times New Roman"/>
          <w:sz w:val="22"/>
          <w:szCs w:val="22"/>
        </w:rPr>
        <w:t>nesta</w:t>
      </w:r>
      <w:r>
        <w:rPr>
          <w:rFonts w:ascii="Cambria" w:hAnsi="Cambria" w:eastAsia="Calibri" w:cs="Times New Roman"/>
          <w:color w:val="000000"/>
          <w:sz w:val="22"/>
          <w:szCs w:val="22"/>
        </w:rPr>
        <w:t xml:space="preserve"> etapa do certame, ordem de classificação entre as propostas apresentadas, o que somente ocorrerá após a realização dos procedimentos de negociação e julgamento da proposta.</w:t>
      </w:r>
    </w:p>
    <w:p w14:paraId="41ED48F2">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documentos que compõem a proposta e a habilitação do licitante melhor classificado somente serão disponibilizados para avaliação do Pregão e para acesso público após o encerramento do envio de lances.</w:t>
      </w:r>
    </w:p>
    <w:p w14:paraId="4714429B">
      <w:pPr>
        <w:tabs>
          <w:tab w:val="left" w:pos="709"/>
          <w:tab w:val="left" w:pos="993"/>
        </w:tabs>
        <w:jc w:val="both"/>
        <w:rPr>
          <w:rFonts w:ascii="Cambria" w:hAnsi="Cambria" w:eastAsia="Calibri" w:cs="Times New Roman"/>
          <w:color w:val="000000"/>
          <w:sz w:val="22"/>
          <w:szCs w:val="22"/>
        </w:rPr>
      </w:pPr>
    </w:p>
    <w:p w14:paraId="6F4C1437">
      <w:pPr>
        <w:keepNext/>
        <w:keepLines/>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O PREENCHIMENTO DA PROPOSTA.</w:t>
      </w:r>
    </w:p>
    <w:p w14:paraId="0F9F37EF">
      <w:pPr>
        <w:numPr>
          <w:ilvl w:val="1"/>
          <w:numId w:val="6"/>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O licitante enviará sua proposta mediante o preenchimento, no sistema eletrônico, dos seguintes campos:</w:t>
      </w:r>
    </w:p>
    <w:p w14:paraId="0607B481">
      <w:pPr>
        <w:numPr>
          <w:ilvl w:val="2"/>
          <w:numId w:val="6"/>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Valor unitário e total para cada item, em moeda corrente nacional;</w:t>
      </w:r>
    </w:p>
    <w:p w14:paraId="6FAEEDD5">
      <w:pPr>
        <w:numPr>
          <w:ilvl w:val="2"/>
          <w:numId w:val="6"/>
        </w:numPr>
        <w:tabs>
          <w:tab w:val="left" w:pos="567"/>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Marca </w:t>
      </w:r>
      <w:r>
        <w:rPr>
          <w:rFonts w:ascii="Cambria" w:hAnsi="Cambria" w:eastAsia="Calibri" w:cs="Times New Roman"/>
          <w:sz w:val="22"/>
          <w:szCs w:val="22"/>
        </w:rPr>
        <w:t>de cada item ofertado;</w:t>
      </w:r>
    </w:p>
    <w:p w14:paraId="4E82100C">
      <w:pPr>
        <w:numPr>
          <w:ilvl w:val="2"/>
          <w:numId w:val="6"/>
        </w:numPr>
        <w:tabs>
          <w:tab w:val="left" w:pos="567"/>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Fabricante </w:t>
      </w:r>
      <w:r>
        <w:rPr>
          <w:rFonts w:ascii="Cambria" w:hAnsi="Cambria" w:eastAsia="Calibri" w:cs="Times New Roman"/>
          <w:sz w:val="22"/>
          <w:szCs w:val="22"/>
        </w:rPr>
        <w:t>de cada item ofertado;</w:t>
      </w:r>
    </w:p>
    <w:p w14:paraId="3601F3D0">
      <w:pPr>
        <w:numPr>
          <w:ilvl w:val="2"/>
          <w:numId w:val="6"/>
        </w:numPr>
        <w:tabs>
          <w:tab w:val="left" w:pos="567"/>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Descrição detalhada do objeto, contendo as informações similares à especificação do Termo de Referência: indicando, no que for aplicável, </w:t>
      </w:r>
      <w:r>
        <w:rPr>
          <w:rFonts w:ascii="Cambria" w:hAnsi="Cambria" w:eastAsia="Calibri" w:cs="Times New Roman"/>
          <w:sz w:val="22"/>
          <w:szCs w:val="22"/>
        </w:rPr>
        <w:t>o modelo, prazo de validade ou de garantia, número do registro ou inscrição do bem no órgão competente, quando for o caso;</w:t>
      </w:r>
    </w:p>
    <w:p w14:paraId="25DE3314">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Todas as especificações do objeto contidas na proposta vinculam a Contratada.</w:t>
      </w:r>
    </w:p>
    <w:p w14:paraId="19D5EF25">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32CEE644">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B9065EE">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prazo de validade da proposta não será inferior a </w:t>
      </w:r>
      <w:r>
        <w:rPr>
          <w:rFonts w:ascii="Cambria" w:hAnsi="Cambria" w:eastAsia="Calibri" w:cs="Times New Roman"/>
          <w:b/>
          <w:bCs/>
          <w:color w:val="000000"/>
          <w:sz w:val="22"/>
          <w:szCs w:val="22"/>
        </w:rPr>
        <w:t xml:space="preserve">60 </w:t>
      </w:r>
      <w:r>
        <w:rPr>
          <w:rFonts w:ascii="Cambria" w:hAnsi="Cambria" w:eastAsia="Calibri" w:cs="Times New Roman"/>
          <w:b/>
          <w:color w:val="000000"/>
          <w:sz w:val="22"/>
          <w:szCs w:val="22"/>
        </w:rPr>
        <w:t>DIAS,</w:t>
      </w:r>
      <w:r>
        <w:rPr>
          <w:rFonts w:ascii="Cambria" w:hAnsi="Cambria" w:eastAsia="Calibri" w:cs="Times New Roman"/>
          <w:color w:val="000000"/>
          <w:sz w:val="22"/>
          <w:szCs w:val="22"/>
        </w:rPr>
        <w:t xml:space="preserve"> a contar da data de sua apresentação. </w:t>
      </w:r>
    </w:p>
    <w:p w14:paraId="45FF0226">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licitantes devem respeitar os preços máximos estabelecidos nas normas de regência de contratações públicas, quando participarem de licitações públicas;</w:t>
      </w:r>
    </w:p>
    <w:p w14:paraId="6A05934D">
      <w:pPr>
        <w:pBdr>
          <w:top w:val="none" w:color="auto" w:sz="0" w:space="0"/>
          <w:left w:val="none" w:color="auto" w:sz="0" w:space="0"/>
          <w:bottom w:val="none" w:color="auto" w:sz="0" w:space="0"/>
          <w:right w:val="none" w:color="auto" w:sz="0" w:space="0"/>
          <w:between w:val="none" w:color="auto" w:sz="0" w:space="0"/>
        </w:pBdr>
        <w:tabs>
          <w:tab w:val="left" w:pos="426"/>
          <w:tab w:val="left" w:pos="709"/>
        </w:tabs>
        <w:jc w:val="both"/>
        <w:rPr>
          <w:rFonts w:ascii="Cambria" w:hAnsi="Cambria" w:eastAsia="Calibri" w:cs="Times New Roman"/>
          <w:color w:val="000000"/>
          <w:sz w:val="22"/>
          <w:szCs w:val="22"/>
        </w:rPr>
      </w:pPr>
    </w:p>
    <w:p w14:paraId="72F0D48D">
      <w:pPr>
        <w:keepNext/>
        <w:keepLines/>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0"/>
          <w:tab w:val="left" w:pos="284"/>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ABERTURA DA SESSÃO, CLASSIFICAÇÃO DAS PROPOSTAS E FORMULAÇÃO DE LANCES.</w:t>
      </w:r>
    </w:p>
    <w:p w14:paraId="3B911FF9">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abertura da presente licitação dar-se-á em sessão pública, por meio de sistema eletrônico, na data, horário e local indicado neste Edital.</w:t>
      </w:r>
    </w:p>
    <w:p w14:paraId="7830F07A">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w:t>
      </w:r>
      <w:r>
        <w:rPr>
          <w:rFonts w:ascii="Cambria" w:hAnsi="Cambria" w:eastAsia="Calibri" w:cs="Times New Roman"/>
          <w:sz w:val="22"/>
          <w:szCs w:val="22"/>
        </w:rPr>
        <w:t>O Pregoeiro</w:t>
      </w:r>
      <w:r>
        <w:rPr>
          <w:rFonts w:ascii="Cambria" w:hAnsi="Cambria" w:eastAsia="Calibri" w:cs="Times New Roman"/>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8B96AA4">
      <w:pPr>
        <w:numPr>
          <w:ilvl w:val="2"/>
          <w:numId w:val="6"/>
        </w:numPr>
        <w:tabs>
          <w:tab w:val="left" w:pos="709"/>
          <w:tab w:val="left" w:pos="910"/>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Também será desclassificada a proposta que identifique o licitante.</w:t>
      </w:r>
    </w:p>
    <w:p w14:paraId="741682F4">
      <w:pPr>
        <w:numPr>
          <w:ilvl w:val="2"/>
          <w:numId w:val="6"/>
        </w:numPr>
        <w:tabs>
          <w:tab w:val="left" w:pos="709"/>
          <w:tab w:val="left" w:pos="910"/>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A desclassificação será sempre fundamentada e registrada no sistema, com acompanhamento em tempo real por todos os participantes.</w:t>
      </w:r>
    </w:p>
    <w:p w14:paraId="157FFCE5">
      <w:pPr>
        <w:numPr>
          <w:ilvl w:val="2"/>
          <w:numId w:val="6"/>
        </w:numPr>
        <w:tabs>
          <w:tab w:val="left" w:pos="709"/>
          <w:tab w:val="left" w:pos="910"/>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A não desclassificação da proposta não impede o seu julgamento definitivo em sentido contrário, levado a efeito na fase de aceitação.</w:t>
      </w:r>
    </w:p>
    <w:p w14:paraId="5BEAF8CC">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0"/>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sistema ordenará automaticamente as propostas classificadas, sendo que somente estas participarão da fase de lances.</w:t>
      </w:r>
    </w:p>
    <w:p w14:paraId="180EF738">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0"/>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sistema disponibilizará campo próprio para troca de mensagens entre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e os licitantes.</w:t>
      </w:r>
    </w:p>
    <w:p w14:paraId="4F6B50A8">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0"/>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6042F10E">
      <w:pPr>
        <w:numPr>
          <w:ilvl w:val="2"/>
          <w:numId w:val="6"/>
        </w:numPr>
        <w:tabs>
          <w:tab w:val="left" w:pos="709"/>
          <w:tab w:val="left" w:pos="952"/>
          <w:tab w:val="left" w:pos="1701"/>
        </w:tabs>
        <w:ind w:left="0" w:firstLine="0"/>
        <w:jc w:val="both"/>
        <w:rPr>
          <w:rFonts w:ascii="Cambria" w:hAnsi="Cambria" w:cs="Times New Roman"/>
          <w:sz w:val="22"/>
          <w:szCs w:val="22"/>
        </w:rPr>
      </w:pPr>
      <w:r>
        <w:rPr>
          <w:rFonts w:ascii="Cambria" w:hAnsi="Cambria" w:eastAsia="Calibri" w:cs="Times New Roman"/>
          <w:sz w:val="22"/>
          <w:szCs w:val="22"/>
        </w:rPr>
        <w:t>O lance deverá ser ofertado de acordo com o tipo de licitação indicada no preâmbulo deste Edital.</w:t>
      </w:r>
    </w:p>
    <w:p w14:paraId="7A50B2E0">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licitantes poderão oferecer lances sucessivos, observando o horário fixado para abertura da sessão e as regras estabelecidas no Edital.</w:t>
      </w:r>
    </w:p>
    <w:p w14:paraId="4C8DC5B8">
      <w:pPr>
        <w:numPr>
          <w:ilvl w:val="1"/>
          <w:numId w:val="6"/>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O licitante somente poderá oferecer lance de valor inferior ou percentual de desconto superior ao último por ele ofertado e registrado pelo sistema.</w:t>
      </w:r>
    </w:p>
    <w:p w14:paraId="37CA6954">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O intervalo mínimo de diferença de valores </w:t>
      </w:r>
      <w:r>
        <w:rPr>
          <w:rFonts w:ascii="Cambria" w:hAnsi="Cambria" w:eastAsia="Calibri" w:cs="Times New Roman"/>
          <w:sz w:val="22"/>
          <w:szCs w:val="22"/>
          <w:highlight w:val="white"/>
        </w:rPr>
        <w:t>ou percentuais</w:t>
      </w:r>
      <w:r>
        <w:rPr>
          <w:rFonts w:ascii="Cambria" w:hAnsi="Cambria" w:eastAsia="Calibri" w:cs="Times New Roman"/>
          <w:sz w:val="22"/>
          <w:szCs w:val="22"/>
        </w:rPr>
        <w:t xml:space="preserve"> entre os lances, que incidirá tanto em relação aos lances intermediários quanto em relação à proposta que cobrir a melhor oferta deverá ser </w:t>
      </w:r>
      <w:r>
        <w:rPr>
          <w:rFonts w:ascii="Cambria" w:hAnsi="Cambria" w:cs="Times New Roman"/>
          <w:sz w:val="22"/>
          <w:szCs w:val="22"/>
        </w:rPr>
        <w:t>de</w:t>
      </w:r>
      <w:r>
        <w:rPr>
          <w:rFonts w:hint="default" w:ascii="Cambria" w:hAnsi="Cambria" w:cs="Times New Roman"/>
          <w:b/>
          <w:bCs/>
          <w:sz w:val="22"/>
          <w:szCs w:val="22"/>
          <w:lang w:val="pt-BR"/>
        </w:rPr>
        <w:t xml:space="preserve"> R$</w:t>
      </w:r>
      <w:r>
        <w:rPr>
          <w:rFonts w:ascii="Cambria" w:hAnsi="Cambria" w:cs="Times New Roman"/>
          <w:b/>
          <w:bCs/>
          <w:sz w:val="22"/>
          <w:szCs w:val="22"/>
        </w:rPr>
        <w:t xml:space="preserve"> </w:t>
      </w:r>
      <w:r>
        <w:rPr>
          <w:rFonts w:hint="default" w:ascii="Cambria" w:hAnsi="Cambria" w:cs="Times New Roman"/>
          <w:b/>
          <w:bCs/>
          <w:sz w:val="22"/>
          <w:szCs w:val="22"/>
          <w:lang w:val="pt-BR"/>
        </w:rPr>
        <w:t>5</w:t>
      </w:r>
      <w:r>
        <w:rPr>
          <w:rFonts w:ascii="Cambria" w:hAnsi="Cambria" w:cs="Times New Roman"/>
          <w:b/>
          <w:bCs/>
          <w:sz w:val="22"/>
          <w:szCs w:val="22"/>
        </w:rPr>
        <w:t>,00 (</w:t>
      </w:r>
      <w:r>
        <w:rPr>
          <w:rFonts w:hint="default" w:ascii="Cambria" w:hAnsi="Cambria" w:cs="Times New Roman"/>
          <w:b/>
          <w:bCs/>
          <w:sz w:val="22"/>
          <w:szCs w:val="22"/>
          <w:lang w:val="pt-BR"/>
        </w:rPr>
        <w:t>cinco reais</w:t>
      </w:r>
      <w:r>
        <w:rPr>
          <w:rFonts w:ascii="Cambria" w:hAnsi="Cambria" w:cs="Times New Roman"/>
          <w:b/>
          <w:bCs/>
          <w:sz w:val="22"/>
          <w:szCs w:val="22"/>
        </w:rPr>
        <w:t>).</w:t>
      </w:r>
    </w:p>
    <w:p w14:paraId="4B89B6D6">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intervalo entre os lances enviados pelo mesmo licitante não poderá ser inferior a </w:t>
      </w:r>
      <w:r>
        <w:rPr>
          <w:rFonts w:ascii="Cambria" w:hAnsi="Cambria" w:eastAsia="Calibri" w:cs="Times New Roman"/>
          <w:b/>
          <w:bCs/>
          <w:sz w:val="22"/>
          <w:szCs w:val="22"/>
        </w:rPr>
        <w:t>20 segundos</w:t>
      </w:r>
      <w:r>
        <w:rPr>
          <w:rFonts w:ascii="Cambria" w:hAnsi="Cambria" w:eastAsia="Calibri" w:cs="Times New Roman"/>
          <w:sz w:val="22"/>
          <w:szCs w:val="22"/>
        </w:rPr>
        <w:t xml:space="preserve"> </w:t>
      </w:r>
      <w:r>
        <w:rPr>
          <w:rFonts w:ascii="Cambria" w:hAnsi="Cambria" w:eastAsia="Calibri" w:cs="Times New Roman"/>
          <w:color w:val="000000"/>
          <w:sz w:val="22"/>
          <w:szCs w:val="22"/>
        </w:rPr>
        <w:t xml:space="preserve">e o intervalo entre lances não poderá ser inferior a </w:t>
      </w:r>
      <w:r>
        <w:rPr>
          <w:rFonts w:ascii="Cambria" w:hAnsi="Cambria" w:eastAsia="Calibri" w:cs="Times New Roman"/>
          <w:b/>
          <w:bCs/>
          <w:sz w:val="22"/>
          <w:szCs w:val="22"/>
        </w:rPr>
        <w:t>três segundos</w:t>
      </w:r>
      <w:r>
        <w:rPr>
          <w:rFonts w:ascii="Cambria" w:hAnsi="Cambria" w:eastAsia="Calibri" w:cs="Times New Roman"/>
          <w:color w:val="000000"/>
          <w:sz w:val="22"/>
          <w:szCs w:val="22"/>
        </w:rPr>
        <w:t xml:space="preserve">, sob pena de serem automaticamente descartados pelo sistema os respectivos lances. </w:t>
      </w:r>
    </w:p>
    <w:p w14:paraId="6CA8CA35">
      <w:pPr>
        <w:numPr>
          <w:ilvl w:val="1"/>
          <w:numId w:val="6"/>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Será adotado para o envio de lances na licitação o modo de disputa aberto</w:t>
      </w:r>
      <w:r>
        <w:rPr>
          <w:rFonts w:ascii="Cambria" w:hAnsi="Cambria" w:eastAsia="Calibri" w:cs="Times New Roman"/>
          <w:b/>
          <w:color w:val="000000"/>
          <w:sz w:val="22"/>
          <w:szCs w:val="22"/>
        </w:rPr>
        <w:t>,</w:t>
      </w:r>
      <w:r>
        <w:rPr>
          <w:rFonts w:ascii="Cambria" w:hAnsi="Cambria" w:eastAsia="Calibri" w:cs="Times New Roman"/>
          <w:color w:val="000000"/>
          <w:sz w:val="22"/>
          <w:szCs w:val="22"/>
        </w:rPr>
        <w:t xml:space="preserve"> em que os licitantes apresentarão lances públicos e sucessivos, com prorrogações.</w:t>
      </w:r>
    </w:p>
    <w:p w14:paraId="30B5866D">
      <w:pPr>
        <w:numPr>
          <w:ilvl w:val="1"/>
          <w:numId w:val="6"/>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31526AB">
      <w:pPr>
        <w:numPr>
          <w:ilvl w:val="1"/>
          <w:numId w:val="6"/>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0CD98770">
      <w:pPr>
        <w:numPr>
          <w:ilvl w:val="1"/>
          <w:numId w:val="6"/>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Não havendo novos lances na forma estabelecida nos itens anteriores, a sessão pública encerrar-se-á automaticamente.</w:t>
      </w:r>
    </w:p>
    <w:p w14:paraId="26CEEBED">
      <w:pPr>
        <w:numPr>
          <w:ilvl w:val="1"/>
          <w:numId w:val="7"/>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Encerrada a fase competitiva sem que haja a prorrogação automática pelo sistema, poderá o </w:t>
      </w:r>
      <w:r>
        <w:rPr>
          <w:rFonts w:ascii="Cambria" w:hAnsi="Cambria" w:eastAsia="Calibri" w:cs="Times New Roman"/>
          <w:sz w:val="22"/>
          <w:szCs w:val="22"/>
        </w:rPr>
        <w:t>Pregoeiro</w:t>
      </w:r>
      <w:r>
        <w:rPr>
          <w:rFonts w:ascii="Cambria" w:hAnsi="Cambria" w:eastAsia="Calibri" w:cs="Times New Roman"/>
          <w:color w:val="000000"/>
          <w:sz w:val="22"/>
          <w:szCs w:val="22"/>
        </w:rPr>
        <w:t>, assessorado pela equipe de apoio, justificadamente, admitir o reinício da sessão pública de lances, em prol da consecução do melhor preço.</w:t>
      </w:r>
    </w:p>
    <w:p w14:paraId="06FEADD7">
      <w:pPr>
        <w:numPr>
          <w:ilvl w:val="1"/>
          <w:numId w:val="7"/>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Em caso de falha no sistema, os lances em desacordo com os subitens anteriores deverão ser desconsiderados pelo </w:t>
      </w:r>
      <w:r>
        <w:rPr>
          <w:rFonts w:ascii="Cambria" w:hAnsi="Cambria" w:eastAsia="Calibri" w:cs="Times New Roman"/>
          <w:sz w:val="22"/>
          <w:szCs w:val="22"/>
        </w:rPr>
        <w:t>Pregoeiro</w:t>
      </w:r>
      <w:r>
        <w:rPr>
          <w:rFonts w:ascii="Cambria" w:hAnsi="Cambria" w:eastAsia="Calibri" w:cs="Times New Roman"/>
          <w:color w:val="000000"/>
          <w:sz w:val="22"/>
          <w:szCs w:val="22"/>
        </w:rPr>
        <w:t>.</w:t>
      </w:r>
    </w:p>
    <w:p w14:paraId="3B41E298">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Não serão aceitos dois ou mais lances de mesmo valor, prevalecendo aquele que for recebido e registrado primeiro. </w:t>
      </w:r>
    </w:p>
    <w:p w14:paraId="0B2FEC78">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Durante o transcurso da sessão pública, os licitantes serão informados, em tempo real, do valor do menor lance registrado, vedada a identificação do licitante. </w:t>
      </w:r>
    </w:p>
    <w:p w14:paraId="3F1739B7">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No caso de desconexão com o </w:t>
      </w:r>
      <w:r>
        <w:rPr>
          <w:rFonts w:ascii="Cambria" w:hAnsi="Cambria" w:eastAsia="Calibri" w:cs="Times New Roman"/>
          <w:sz w:val="22"/>
          <w:szCs w:val="22"/>
        </w:rPr>
        <w:t>Pregoeir</w:t>
      </w:r>
      <w:r>
        <w:rPr>
          <w:rFonts w:ascii="Cambria" w:hAnsi="Cambria" w:eastAsia="Calibri" w:cs="Times New Roman"/>
          <w:color w:val="000000"/>
          <w:sz w:val="22"/>
          <w:szCs w:val="22"/>
        </w:rPr>
        <w:t>o, no decorrer da etapa competitiva d</w:t>
      </w:r>
      <w:r>
        <w:rPr>
          <w:rFonts w:ascii="Cambria" w:hAnsi="Cambria" w:eastAsia="Calibri" w:cs="Times New Roman"/>
          <w:sz w:val="22"/>
          <w:szCs w:val="22"/>
        </w:rPr>
        <w:t>o Pregão</w:t>
      </w:r>
      <w:r>
        <w:rPr>
          <w:rFonts w:ascii="Cambria" w:hAnsi="Cambria" w:eastAsia="Calibri" w:cs="Times New Roman"/>
          <w:color w:val="000000"/>
          <w:sz w:val="22"/>
          <w:szCs w:val="22"/>
        </w:rPr>
        <w:t>, o sistema eletrônico poderá permanecer acessível aos licitantes para a recepção dos lances.</w:t>
      </w:r>
    </w:p>
    <w:p w14:paraId="2697DFAC">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Quando a desconexão do sistema eletrônico para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persistir por tempo superior a dez minutos, a sessão pública será suspensa e terá reinício somente após comunicação expressa do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aos participantes do certame, publicada no </w:t>
      </w:r>
      <w:r>
        <w:fldChar w:fldCharType="begin"/>
      </w:r>
      <w:r>
        <w:instrText xml:space="preserve"> HYPERLINK "http://www.portaldecompraspublicas.com.br/" \h </w:instrText>
      </w:r>
      <w:r>
        <w:fldChar w:fldCharType="separate"/>
      </w:r>
      <w:r>
        <w:rPr>
          <w:rFonts w:ascii="Cambria" w:hAnsi="Cambria" w:eastAsia="Calibri" w:cs="Times New Roman"/>
          <w:b/>
          <w:color w:val="0000FF"/>
          <w:sz w:val="22"/>
          <w:szCs w:val="22"/>
          <w:u w:val="single"/>
        </w:rPr>
        <w:t>http://www.portaldecompraspublicas.com.br</w:t>
      </w:r>
      <w:r>
        <w:rPr>
          <w:rFonts w:ascii="Cambria" w:hAnsi="Cambria" w:eastAsia="Calibri" w:cs="Times New Roman"/>
          <w:b/>
          <w:color w:val="0000FF"/>
          <w:sz w:val="22"/>
          <w:szCs w:val="22"/>
          <w:u w:val="single"/>
        </w:rPr>
        <w:fldChar w:fldCharType="end"/>
      </w:r>
      <w:r>
        <w:rPr>
          <w:rFonts w:ascii="Cambria" w:hAnsi="Cambria" w:eastAsia="Calibri" w:cs="Times New Roman"/>
          <w:color w:val="000000"/>
          <w:sz w:val="22"/>
          <w:szCs w:val="22"/>
        </w:rPr>
        <w:t>, quando serão divulgadas data e hora para a sua reabertura. E será reiniciada somente após decorridas vinte e quatro horas da comunicação do fato pelo</w:t>
      </w:r>
      <w:r>
        <w:rPr>
          <w:rFonts w:ascii="Cambria" w:hAnsi="Cambria" w:eastAsia="Calibri" w:cs="Times New Roman"/>
          <w:sz w:val="22"/>
          <w:szCs w:val="22"/>
        </w:rPr>
        <w:t xml:space="preserve"> Pregoeiro</w:t>
      </w:r>
      <w:r>
        <w:rPr>
          <w:rFonts w:ascii="Cambria" w:hAnsi="Cambria" w:eastAsia="Calibri" w:cs="Times New Roman"/>
          <w:color w:val="000000"/>
          <w:sz w:val="22"/>
          <w:szCs w:val="22"/>
        </w:rPr>
        <w:t xml:space="preserve"> aos participantes, no sítio eletrônico utilizado para divulgação.</w:t>
      </w:r>
    </w:p>
    <w:p w14:paraId="7F8392B0">
      <w:pPr>
        <w:numPr>
          <w:ilvl w:val="1"/>
          <w:numId w:val="7"/>
        </w:numP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Caso o licitante não apresente lances, concorrerá com o valor de sua proposta.</w:t>
      </w:r>
    </w:p>
    <w:p w14:paraId="7CAF9BBD">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Em relação ao item por não ser exclusivo para participação de microempresas e empresas de pequeno porte, uma vez encerrada a etapa de lances, será efetivada a verificação automática, junto à Receita Federal, do porte da entidade empresarial. O sistema </w:t>
      </w:r>
      <w:r>
        <w:rPr>
          <w:rFonts w:ascii="Cambria" w:hAnsi="Cambria" w:eastAsia="Calibri" w:cs="Times New Roman"/>
          <w:sz w:val="22"/>
          <w:szCs w:val="22"/>
        </w:rPr>
        <w:t>identifica</w:t>
      </w:r>
      <w:r>
        <w:rPr>
          <w:rFonts w:ascii="Cambria" w:hAnsi="Cambria" w:eastAsia="Calibri" w:cs="Times New Roman"/>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4CAF2164">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38B788ED">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AA4C7C1">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7A2356B">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30AB80">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5709124">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142"/>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0584A745">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142"/>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Em caso de empate entre duas ou mais propostas, serão utilizados os seguintes critérios de desempate, nesta ordem: </w:t>
      </w:r>
    </w:p>
    <w:p w14:paraId="3D685068">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Disputa final, hipótese em que os licitantes empatados poderão apresentar nova proposta em ato contínuo à classificação;</w:t>
      </w:r>
    </w:p>
    <w:p w14:paraId="17628301">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Avaliação do desempenho contratual prévio dos licitantes;</w:t>
      </w:r>
    </w:p>
    <w:p w14:paraId="2DDB1A39">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Desenvolvimento pelo licitante de ações de equidade entre homens e mulheres no ambiente de trabalho, conforme regulamento;</w:t>
      </w:r>
    </w:p>
    <w:p w14:paraId="46B0D946">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Desenvolvimento pelo licitante de programa de integridade, conforme orientações dos órgãos de controle;</w:t>
      </w:r>
    </w:p>
    <w:p w14:paraId="62E41538">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Persistindo o empate, será assegurada preferência, sucessivamente, aos bens e serviços produzidos ou prestados por:</w:t>
      </w:r>
    </w:p>
    <w:p w14:paraId="4D249947">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78F9A8">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Empresas brasileiras;</w:t>
      </w:r>
    </w:p>
    <w:p w14:paraId="42F228D7">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Empresas que invistam em pesquisa e no desenvolvimento de tecnologia no País;</w:t>
      </w:r>
    </w:p>
    <w:p w14:paraId="5897C36A">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Empresas que comprovem a prática de mitigação, nos termos da Lei nº 12.187/2009.</w:t>
      </w:r>
    </w:p>
    <w:p w14:paraId="53182665">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12"/>
          <w:tab w:val="left" w:pos="567"/>
          <w:tab w:val="left" w:pos="709"/>
        </w:tabs>
        <w:ind w:left="0" w:firstLine="0"/>
        <w:jc w:val="both"/>
        <w:rPr>
          <w:rFonts w:ascii="Cambria" w:hAnsi="Cambria" w:cs="Times New Roman"/>
          <w:sz w:val="22"/>
          <w:szCs w:val="22"/>
        </w:rPr>
      </w:pPr>
      <w:bookmarkStart w:id="0" w:name="_gjdgxs" w:colFirst="0" w:colLast="0"/>
      <w:bookmarkEnd w:id="0"/>
      <w:r>
        <w:rPr>
          <w:rFonts w:ascii="Cambria" w:hAnsi="Cambria" w:eastAsia="Calibri" w:cs="Times New Roman"/>
          <w:color w:val="000000"/>
          <w:sz w:val="22"/>
          <w:szCs w:val="22"/>
        </w:rPr>
        <w:t xml:space="preserve">Encerrada a etapa de envio de lances da sessão pública,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9330403">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A negociação será realizada por meio do sistema, podendo ser acompanhada pelos demais licitantes.</w:t>
      </w:r>
    </w:p>
    <w:p w14:paraId="4075CB06">
      <w:pPr>
        <w:numPr>
          <w:ilvl w:val="2"/>
          <w:numId w:val="7"/>
        </w:numPr>
        <w:pBdr>
          <w:top w:val="none" w:color="auto" w:sz="0" w:space="0"/>
          <w:left w:val="none" w:color="auto" w:sz="0" w:space="0"/>
          <w:bottom w:val="none" w:color="auto" w:sz="0" w:space="0"/>
          <w:right w:val="none" w:color="auto" w:sz="0" w:space="0"/>
          <w:between w:val="none" w:color="auto" w:sz="0" w:space="0"/>
        </w:pBdr>
        <w:tabs>
          <w:tab w:val="left" w:pos="-12"/>
          <w:tab w:val="left" w:pos="709"/>
          <w:tab w:val="left" w:pos="993"/>
        </w:tabs>
        <w:ind w:left="0" w:firstLine="0"/>
        <w:jc w:val="both"/>
        <w:rPr>
          <w:rFonts w:ascii="Cambria" w:hAnsi="Cambria" w:cs="Times New Roman"/>
          <w:sz w:val="22"/>
          <w:szCs w:val="22"/>
        </w:rPr>
      </w:pPr>
      <w:r>
        <w:rPr>
          <w:rFonts w:ascii="Cambria" w:hAnsi="Cambria" w:eastAsia="Calibri" w:cs="Times New Roman"/>
          <w:sz w:val="22"/>
          <w:szCs w:val="22"/>
        </w:rPr>
        <w:t xml:space="preserve">O Pregoeiro solicitará ao licitante melhor classificado que, no prazo de </w:t>
      </w:r>
      <w:r>
        <w:rPr>
          <w:rFonts w:ascii="Cambria" w:hAnsi="Cambria" w:eastAsia="Calibri" w:cs="Times New Roman"/>
          <w:b/>
          <w:bCs/>
          <w:sz w:val="22"/>
          <w:szCs w:val="22"/>
        </w:rPr>
        <w:t>02 (duas horas)</w:t>
      </w:r>
      <w:r>
        <w:rPr>
          <w:rFonts w:ascii="Cambria" w:hAnsi="Cambria" w:eastAsia="Calibri" w:cs="Times New Roman"/>
          <w:sz w:val="22"/>
          <w:szCs w:val="22"/>
        </w:rPr>
        <w:t xml:space="preserve">, envie a proposta </w:t>
      </w:r>
      <w:r>
        <w:rPr>
          <w:rFonts w:ascii="Cambria" w:hAnsi="Cambria" w:eastAsia="Calibri" w:cs="Times New Roman"/>
          <w:color w:val="000000"/>
          <w:sz w:val="22"/>
          <w:szCs w:val="22"/>
        </w:rPr>
        <w:t xml:space="preserve">adequada ao último lance ofertado após a negociação realizada. </w:t>
      </w:r>
    </w:p>
    <w:p w14:paraId="7F1ED48F">
      <w:pPr>
        <w:numPr>
          <w:ilvl w:val="1"/>
          <w:numId w:val="7"/>
        </w:numPr>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Após a negociação do preço,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iniciará a fase de aceitação e julgamento da proposta.</w:t>
      </w:r>
    </w:p>
    <w:p w14:paraId="5D516445">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168087C1">
      <w:pPr>
        <w:keepNext/>
        <w:keepLines/>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ACEITABILIDADE DA PROPOSTA VENCEDORA.</w:t>
      </w:r>
    </w:p>
    <w:p w14:paraId="7267E6DF">
      <w:pPr>
        <w:pStyle w:val="61"/>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Encerrada a etapa de negociação,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19A2048">
      <w:pPr>
        <w:pStyle w:val="61"/>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Será desclassificada a proposta que contiver vício insanável; que não obedecer às especificações técnicas pormenorizadas no edital ou apresentarem desconformidade com exigências do ato convocatório.</w:t>
      </w:r>
    </w:p>
    <w:p w14:paraId="5885DC8D">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Será desclassificada a proposta ou o lance vencedor, que apresentar preço final superior ao preço máximo fixado (Acórdão nº 1455/2018 -TCU - Plenário), ou que apresentar preço manifestamente inexequível.</w:t>
      </w:r>
    </w:p>
    <w:p w14:paraId="7E6F217E">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Considera-se inexequível a proposta que apresente preços global ou unitário simbólicos, irrisório ou de valor zero, incompatíveis com os preços dos insumos e salários de mercado, acrescidos dos respectivos encargos, ainda que o ato convocatório da licitação não tenha estabelecido limites mínimos, exceto quando se referirem a materiais e instalações de </w:t>
      </w:r>
      <w:r>
        <w:rPr>
          <w:rFonts w:ascii="Cambria" w:hAnsi="Cambria" w:eastAsia="Calibri" w:cs="Times New Roman"/>
          <w:sz w:val="22"/>
          <w:szCs w:val="22"/>
        </w:rPr>
        <w:t>propriedade do próprio licitante, para os quais ele renuncie a parcela ou à totalidade da remuneração. </w:t>
      </w:r>
    </w:p>
    <w:p w14:paraId="22299ECB">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Qualquer interessado poderá requerer que se realizem diligências para aferir a exequibilidade e a legalidade das propostas, devendo apresentar as provas ou os indícios que fundamentam a suspeita;</w:t>
      </w:r>
    </w:p>
    <w:p w14:paraId="4F0B891C">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45C6B468">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mbria" w:hAnsi="Cambria" w:eastAsia="Calibri" w:cs="Times New Roman"/>
          <w:b/>
          <w:color w:val="000000"/>
          <w:sz w:val="22"/>
          <w:szCs w:val="22"/>
        </w:rPr>
        <w:t>24 (vinte e quatro) horas de antecedência</w:t>
      </w:r>
      <w:r>
        <w:rPr>
          <w:rFonts w:ascii="Cambria" w:hAnsi="Cambria" w:eastAsia="Calibri" w:cs="Times New Roman"/>
          <w:color w:val="000000"/>
          <w:sz w:val="22"/>
          <w:szCs w:val="22"/>
        </w:rPr>
        <w:t>, e a ocorrência será registrada em ata;</w:t>
      </w:r>
    </w:p>
    <w:p w14:paraId="7292C6AF">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poderá convocar o licitante para enviar documento digital complementar, por meio de </w:t>
      </w:r>
      <w:r>
        <w:rPr>
          <w:rFonts w:ascii="Cambria" w:hAnsi="Cambria" w:eastAsia="Calibri" w:cs="Times New Roman"/>
          <w:sz w:val="22"/>
          <w:szCs w:val="22"/>
        </w:rPr>
        <w:t xml:space="preserve">funcionalidade disponível no sistema, no prazo de </w:t>
      </w:r>
      <w:r>
        <w:rPr>
          <w:rFonts w:ascii="Cambria" w:hAnsi="Cambria" w:eastAsia="Calibri" w:cs="Times New Roman"/>
          <w:b/>
          <w:bCs/>
          <w:sz w:val="22"/>
          <w:szCs w:val="22"/>
        </w:rPr>
        <w:t>02 (duas) horas</w:t>
      </w:r>
      <w:r>
        <w:rPr>
          <w:rFonts w:ascii="Cambria" w:hAnsi="Cambria" w:eastAsia="Calibri" w:cs="Times New Roman"/>
          <w:b/>
          <w:sz w:val="22"/>
          <w:szCs w:val="22"/>
        </w:rPr>
        <w:t xml:space="preserve">, </w:t>
      </w:r>
      <w:r>
        <w:rPr>
          <w:rFonts w:ascii="Cambria" w:hAnsi="Cambria" w:eastAsia="Calibri" w:cs="Times New Roman"/>
          <w:sz w:val="22"/>
          <w:szCs w:val="22"/>
        </w:rPr>
        <w:t>sob pena de não aceitação da proposta.</w:t>
      </w:r>
    </w:p>
    <w:p w14:paraId="5520DC7D">
      <w:pPr>
        <w:numPr>
          <w:ilvl w:val="2"/>
          <w:numId w:val="8"/>
        </w:numPr>
        <w:tabs>
          <w:tab w:val="left" w:pos="567"/>
          <w:tab w:val="left" w:pos="709"/>
          <w:tab w:val="left" w:pos="851"/>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prazo estabelecido poderá ser prorrogado pelo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por solicitação escrita e justificada do licitante, formulada antes de findo o prazo, e formalmente aceito pelo Pregoeiro. </w:t>
      </w:r>
    </w:p>
    <w:p w14:paraId="64DD4F4A">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851"/>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Dentre os documentos passíveis de solicitação pelo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destacam-se os que contenham as características do item ofertado, tais como marca, modelo, e fabricante, além de outras informações pertinentes, a exemplo de catálogos, folhetos ou propostas, encaminhados por meio eletrônico, ou, se for o caso, por outro meio e prazo indicados pelo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sem prejuízo do seu ulterior envio pelo sistema eletrônico, sob pena de não aceitação da proposta</w:t>
      </w:r>
      <w:r>
        <w:rPr>
          <w:rFonts w:ascii="Cambria" w:hAnsi="Cambria" w:eastAsia="Calibri" w:cs="Times New Roman"/>
          <w:strike/>
          <w:color w:val="000000"/>
          <w:sz w:val="22"/>
          <w:szCs w:val="22"/>
        </w:rPr>
        <w:t>.</w:t>
      </w:r>
    </w:p>
    <w:p w14:paraId="503C2467">
      <w:pPr>
        <w:numPr>
          <w:ilvl w:val="1"/>
          <w:numId w:val="8"/>
        </w:numPr>
        <w:shd w:val="clear" w:color="auto" w:fill="FFFFFF"/>
        <w:tabs>
          <w:tab w:val="left" w:pos="0"/>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A Administração poderá solicitar carta de solidariedade emitida pelo fabricante, que assegure a execução do contrato, no caso de licitante revendedor ou distribuidor. </w:t>
      </w:r>
    </w:p>
    <w:p w14:paraId="6B77E232">
      <w:pPr>
        <w:numPr>
          <w:ilvl w:val="1"/>
          <w:numId w:val="8"/>
        </w:numPr>
        <w:shd w:val="clear" w:color="auto" w:fill="FFFFFF"/>
        <w:tabs>
          <w:tab w:val="left" w:pos="0"/>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Se a proposta ou lance vencedor for desclassificado,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examinará a proposta ou lance subsequente, e, assim sucessivamente, na ordem de classificação.</w:t>
      </w:r>
    </w:p>
    <w:p w14:paraId="79868A92">
      <w:pPr>
        <w:numPr>
          <w:ilvl w:val="1"/>
          <w:numId w:val="8"/>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0"/>
          <w:tab w:val="left" w:pos="567"/>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Havendo necessidade,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suspenderá a sessão, informando no “chat” a nova data e horário para a sua continuidade.</w:t>
      </w:r>
    </w:p>
    <w:p w14:paraId="567E8C5C">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0"/>
          <w:tab w:val="left" w:pos="567"/>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32BC5E5E">
      <w:pPr>
        <w:numPr>
          <w:ilvl w:val="2"/>
          <w:numId w:val="8"/>
        </w:numPr>
        <w:tabs>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Também nas hipóteses em que o Pregoeiro não aceitar a proposta e passar à subsequente, poderá negociar com o licitante para que seja obtido preço melhor.</w:t>
      </w:r>
    </w:p>
    <w:p w14:paraId="7999A0EB">
      <w:pPr>
        <w:numPr>
          <w:ilvl w:val="2"/>
          <w:numId w:val="8"/>
        </w:numPr>
        <w:tabs>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A negociação será realizada por meio do sistema, podendo ser acompanhada pelos demais licitantes.</w:t>
      </w:r>
    </w:p>
    <w:p w14:paraId="69922882">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0"/>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Nos itens por não ser exclusivo para a participação de microempresas e empresas de pequeno porte, sempre que a proposta não for aceita, e antes de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898659C">
      <w:pPr>
        <w:numPr>
          <w:ilvl w:val="1"/>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Encerrada a análise quanto à aceitação da proposta, o</w:t>
      </w:r>
      <w:r>
        <w:rPr>
          <w:rFonts w:ascii="Cambria" w:hAnsi="Cambria" w:eastAsia="Calibri" w:cs="Times New Roman"/>
          <w:sz w:val="22"/>
          <w:szCs w:val="22"/>
        </w:rPr>
        <w:t xml:space="preserve"> Pregoeiro</w:t>
      </w:r>
      <w:r>
        <w:rPr>
          <w:rFonts w:ascii="Cambria" w:hAnsi="Cambria" w:eastAsia="Calibri" w:cs="Times New Roman"/>
          <w:color w:val="000000"/>
          <w:sz w:val="22"/>
          <w:szCs w:val="22"/>
        </w:rPr>
        <w:t xml:space="preserve"> verificará a habilitação do licitante, observado o disposto neste Edital.</w:t>
      </w:r>
    </w:p>
    <w:p w14:paraId="574E590B">
      <w:pPr>
        <w:tabs>
          <w:tab w:val="left" w:pos="567"/>
          <w:tab w:val="left" w:pos="709"/>
          <w:tab w:val="left" w:pos="1134"/>
        </w:tabs>
        <w:jc w:val="both"/>
        <w:rPr>
          <w:rFonts w:ascii="Cambria" w:hAnsi="Cambria" w:eastAsia="Calibri" w:cs="Times New Roman"/>
          <w:color w:val="000000"/>
          <w:sz w:val="22"/>
          <w:szCs w:val="22"/>
        </w:rPr>
      </w:pPr>
    </w:p>
    <w:p w14:paraId="73BAD668">
      <w:pPr>
        <w:keepNext/>
        <w:keepLines/>
        <w:numPr>
          <w:ilvl w:val="0"/>
          <w:numId w:val="8"/>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HABILITAÇÃO.</w:t>
      </w:r>
    </w:p>
    <w:p w14:paraId="49ADA2C7">
      <w:pPr>
        <w:pStyle w:val="61"/>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cs="Times New Roman"/>
          <w:sz w:val="22"/>
          <w:szCs w:val="22"/>
        </w:rPr>
        <w:t xml:space="preserve"> CONFORME ART. 63, INCISOS II E III, QUE TRATA DO ENVIO DA DOCUMENTAÇÃO EXIGIDA NO PRESENTE EDITAL, APENAS DO LICITANTE VENCEDOR, SOMENTE</w:t>
      </w:r>
      <w:r>
        <w:rPr>
          <w:rFonts w:ascii="Cambria" w:hAnsi="Cambria" w:cs="Times New Roman"/>
          <w:color w:val="000000"/>
          <w:sz w:val="22"/>
          <w:szCs w:val="22"/>
        </w:rPr>
        <w:t> EM MOMENTO POSTERIOR AO JULGAMENTO DAS PROPOSTAS, E APENAS DO LICITANTE MELHOR CLASSIFICADO.</w:t>
      </w:r>
    </w:p>
    <w:p w14:paraId="28505160">
      <w:pPr>
        <w:pBdr>
          <w:top w:val="none" w:color="auto" w:sz="0" w:space="0"/>
          <w:left w:val="none" w:color="auto" w:sz="0" w:space="0"/>
          <w:bottom w:val="none" w:color="auto" w:sz="0" w:space="0"/>
          <w:right w:val="none" w:color="auto" w:sz="0" w:space="0"/>
          <w:between w:val="none" w:color="auto" w:sz="0" w:space="0"/>
        </w:pBdr>
        <w:tabs>
          <w:tab w:val="left" w:pos="426"/>
          <w:tab w:val="left" w:pos="709"/>
        </w:tabs>
        <w:jc w:val="both"/>
        <w:rPr>
          <w:rFonts w:ascii="Cambria" w:hAnsi="Cambria" w:eastAsia="Calibri" w:cs="Times New Roman"/>
          <w:sz w:val="22"/>
          <w:szCs w:val="22"/>
        </w:rPr>
      </w:pPr>
      <w:r>
        <w:rPr>
          <w:rFonts w:ascii="Cambria" w:hAnsi="Cambria" w:cs="Times New Roman"/>
          <w:b/>
          <w:bCs/>
          <w:sz w:val="22"/>
          <w:szCs w:val="22"/>
        </w:rPr>
        <w:t>9.1.2.</w:t>
      </w:r>
      <w:r>
        <w:rPr>
          <w:rFonts w:ascii="Cambria" w:hAnsi="Cambria" w:eastAsia="Calibri" w:cs="Times New Roman"/>
          <w:color w:val="000000"/>
          <w:sz w:val="22"/>
          <w:szCs w:val="22"/>
        </w:rPr>
        <w:t xml:space="preserve"> O licitante mais bem classificado será convocado a enviar os documentos de habilitação, em formato digital, </w:t>
      </w:r>
      <w:r>
        <w:rPr>
          <w:rFonts w:ascii="Cambria" w:hAnsi="Cambria" w:eastAsia="Calibri" w:cs="Times New Roman"/>
          <w:sz w:val="22"/>
          <w:szCs w:val="22"/>
        </w:rPr>
        <w:t xml:space="preserve">via sistema, no prazo de </w:t>
      </w:r>
      <w:r>
        <w:rPr>
          <w:rFonts w:ascii="Cambria" w:hAnsi="Cambria" w:eastAsia="Calibri" w:cs="Times New Roman"/>
          <w:b/>
          <w:bCs/>
          <w:sz w:val="22"/>
          <w:szCs w:val="22"/>
        </w:rPr>
        <w:t>02 (duas</w:t>
      </w:r>
      <w:r>
        <w:rPr>
          <w:rFonts w:ascii="Cambria" w:hAnsi="Cambria" w:eastAsia="Calibri" w:cs="Times New Roman"/>
          <w:b/>
          <w:sz w:val="22"/>
          <w:szCs w:val="22"/>
        </w:rPr>
        <w:t>) horas</w:t>
      </w:r>
      <w:r>
        <w:rPr>
          <w:rFonts w:ascii="Cambria" w:hAnsi="Cambria" w:eastAsia="Calibri" w:cs="Times New Roman"/>
          <w:sz w:val="22"/>
          <w:szCs w:val="22"/>
        </w:rPr>
        <w:t xml:space="preserve"> sob pena de inabilitação.</w:t>
      </w:r>
    </w:p>
    <w:p w14:paraId="281856AE">
      <w:pPr>
        <w:pStyle w:val="61"/>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COMO CONDIÇÃO PRÉVIA AO EXAME DA DOCUMENTAÇÃO DE HABILITAÇÃO DO LICITANTE DETENTOR DA PROPOSTA CLASSIFICADA EM PRIMEIRO LUGAR, 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6B6400C">
      <w:pPr>
        <w:numPr>
          <w:ilvl w:val="2"/>
          <w:numId w:val="8"/>
        </w:numPr>
        <w:tabs>
          <w:tab w:val="left" w:pos="567"/>
          <w:tab w:val="left" w:pos="851"/>
        </w:tabs>
        <w:ind w:left="0" w:firstLine="0"/>
        <w:jc w:val="both"/>
        <w:rPr>
          <w:rFonts w:ascii="Cambria" w:hAnsi="Cambria" w:cs="Times New Roman"/>
          <w:sz w:val="22"/>
          <w:szCs w:val="22"/>
        </w:rPr>
      </w:pPr>
      <w:r>
        <w:rPr>
          <w:rFonts w:ascii="Cambria" w:hAnsi="Cambria" w:eastAsia="Calibri" w:cs="Times New Roman"/>
          <w:sz w:val="22"/>
          <w:szCs w:val="22"/>
        </w:rPr>
        <w:t>Cadastro Nacional de Empresas Inidôneas e Suspensas – CEIS e o Cadastro Nacional de Empresas Punidas – CNEP (</w:t>
      </w:r>
      <w:r>
        <w:fldChar w:fldCharType="begin"/>
      </w:r>
      <w:r>
        <w:instrText xml:space="preserve"> HYPERLINK "http://www.portaldatransparencia.gov.br/" \h </w:instrText>
      </w:r>
      <w:r>
        <w:fldChar w:fldCharType="separate"/>
      </w:r>
      <w:r>
        <w:rPr>
          <w:rFonts w:ascii="Cambria" w:hAnsi="Cambria" w:eastAsia="Calibri" w:cs="Times New Roman"/>
          <w:sz w:val="22"/>
          <w:szCs w:val="22"/>
          <w:u w:val="single"/>
        </w:rPr>
        <w:t>www.portaldatransparencia.gov.br/</w:t>
      </w:r>
      <w:r>
        <w:rPr>
          <w:rFonts w:ascii="Cambria" w:hAnsi="Cambria" w:eastAsia="Calibri" w:cs="Times New Roman"/>
          <w:sz w:val="22"/>
          <w:szCs w:val="22"/>
          <w:u w:val="single"/>
        </w:rPr>
        <w:fldChar w:fldCharType="end"/>
      </w:r>
      <w:r>
        <w:rPr>
          <w:rFonts w:ascii="Cambria" w:hAnsi="Cambria" w:eastAsia="Calibri" w:cs="Times New Roman"/>
          <w:sz w:val="22"/>
          <w:szCs w:val="22"/>
        </w:rPr>
        <w:t>);</w:t>
      </w:r>
    </w:p>
    <w:p w14:paraId="00824BC3">
      <w:pPr>
        <w:numPr>
          <w:ilvl w:val="2"/>
          <w:numId w:val="8"/>
        </w:numPr>
        <w:tabs>
          <w:tab w:val="left" w:pos="567"/>
          <w:tab w:val="left" w:pos="851"/>
        </w:tabs>
        <w:ind w:left="0" w:firstLine="0"/>
        <w:jc w:val="both"/>
        <w:rPr>
          <w:rFonts w:ascii="Cambria" w:hAnsi="Cambria" w:cs="Times New Roman"/>
          <w:sz w:val="22"/>
          <w:szCs w:val="22"/>
        </w:rPr>
      </w:pPr>
      <w:r>
        <w:rPr>
          <w:rFonts w:ascii="Cambria" w:hAnsi="Cambria" w:eastAsia="Calibri" w:cs="Times New Roman"/>
          <w:sz w:val="22"/>
          <w:szCs w:val="22"/>
        </w:rPr>
        <w:t xml:space="preserve">Cadastro Nacional de Condenações Cíveis por Atos de Improbidade Administrativa, mantido pelo Conselho Nacional de Justiça </w:t>
      </w:r>
      <w:r>
        <w:rPr>
          <w:rFonts w:ascii="Cambria" w:hAnsi="Cambria" w:eastAsia="Calibri" w:cs="Times New Roman"/>
          <w:sz w:val="22"/>
          <w:szCs w:val="22"/>
          <w:u w:val="single"/>
        </w:rPr>
        <w:t>(</w:t>
      </w:r>
      <w:r>
        <w:fldChar w:fldCharType="begin"/>
      </w:r>
      <w:r>
        <w:instrText xml:space="preserve"> HYPERLINK "http://www.cnj.jus.br/improbidade_adm/consultar_requerido.php" \h </w:instrText>
      </w:r>
      <w:r>
        <w:fldChar w:fldCharType="separate"/>
      </w:r>
      <w:r>
        <w:rPr>
          <w:rFonts w:ascii="Cambria" w:hAnsi="Cambria" w:eastAsia="Calibri" w:cs="Times New Roman"/>
          <w:sz w:val="22"/>
          <w:szCs w:val="22"/>
          <w:u w:val="single"/>
        </w:rPr>
        <w:t>www.cnj.jus.br/improbidade_adm/consultar_requerido.php</w:t>
      </w:r>
      <w:r>
        <w:rPr>
          <w:rFonts w:ascii="Cambria" w:hAnsi="Cambria" w:eastAsia="Calibri" w:cs="Times New Roman"/>
          <w:sz w:val="22"/>
          <w:szCs w:val="22"/>
          <w:u w:val="single"/>
        </w:rPr>
        <w:fldChar w:fldCharType="end"/>
      </w:r>
      <w:r>
        <w:rPr>
          <w:rFonts w:ascii="Cambria" w:hAnsi="Cambria" w:eastAsia="Calibri" w:cs="Times New Roman"/>
          <w:sz w:val="22"/>
          <w:szCs w:val="22"/>
        </w:rPr>
        <w:t>).</w:t>
      </w:r>
    </w:p>
    <w:p w14:paraId="3D38C8EC">
      <w:pPr>
        <w:numPr>
          <w:ilvl w:val="2"/>
          <w:numId w:val="8"/>
        </w:numPr>
        <w:tabs>
          <w:tab w:val="left" w:pos="567"/>
          <w:tab w:val="left" w:pos="851"/>
        </w:tabs>
        <w:ind w:left="0" w:firstLine="0"/>
        <w:jc w:val="both"/>
        <w:rPr>
          <w:rFonts w:ascii="Cambria" w:hAnsi="Cambria" w:cs="Times New Roman"/>
          <w:sz w:val="22"/>
          <w:szCs w:val="22"/>
        </w:rPr>
      </w:pPr>
      <w:r>
        <w:rPr>
          <w:rFonts w:ascii="Cambria" w:hAnsi="Cambria" w:eastAsia="Calibri" w:cs="Times New Roman"/>
          <w:sz w:val="22"/>
          <w:szCs w:val="22"/>
        </w:rPr>
        <w:t>Lista de Inidôneos, mantida pelo Tribunal de Contas da União – TCU (</w:t>
      </w:r>
      <w:r>
        <w:fldChar w:fldCharType="begin"/>
      </w:r>
      <w:r>
        <w:instrText xml:space="preserve"> HYPERLINK "https://contas.tcu.gov.br/ords/f?p=1660:3:0" </w:instrText>
      </w:r>
      <w:r>
        <w:fldChar w:fldCharType="separate"/>
      </w:r>
      <w:r>
        <w:rPr>
          <w:rStyle w:val="17"/>
          <w:rFonts w:ascii="Cambria" w:hAnsi="Cambria" w:eastAsia="Calibri" w:cs="Times New Roman"/>
          <w:color w:val="auto"/>
          <w:sz w:val="22"/>
          <w:szCs w:val="22"/>
        </w:rPr>
        <w:t>https://contas.tcu.gov.br/ords/f?p=1660:3:0</w:t>
      </w:r>
      <w:r>
        <w:rPr>
          <w:rStyle w:val="17"/>
          <w:rFonts w:ascii="Cambria" w:hAnsi="Cambria" w:eastAsia="Calibri" w:cs="Times New Roman"/>
          <w:color w:val="auto"/>
          <w:sz w:val="22"/>
          <w:szCs w:val="22"/>
        </w:rPr>
        <w:fldChar w:fldCharType="end"/>
      </w:r>
      <w:r>
        <w:rPr>
          <w:rFonts w:ascii="Cambria" w:hAnsi="Cambria" w:eastAsia="Calibri" w:cs="Times New Roman"/>
          <w:sz w:val="22"/>
          <w:szCs w:val="22"/>
          <w:u w:val="single"/>
        </w:rPr>
        <w:t>).</w:t>
      </w:r>
    </w:p>
    <w:p w14:paraId="56A827A6">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567"/>
          <w:tab w:val="left" w:pos="882"/>
          <w:tab w:val="left" w:pos="1276"/>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 consulta aos cadastros será realizada em nome da empresa licitante e também de seu sócio majoritário, por força do </w:t>
      </w:r>
      <w:r>
        <w:rPr>
          <w:rFonts w:ascii="Cambria" w:hAnsi="Cambria" w:eastAsia="Calibri" w:cs="Times New Roman"/>
          <w:color w:val="000000"/>
          <w:sz w:val="22"/>
          <w:szCs w:val="22"/>
          <w:u w:val="single"/>
        </w:rPr>
        <w:t>artigo 12 da Lei n° 8.429/1992</w:t>
      </w:r>
      <w:r>
        <w:rPr>
          <w:rFonts w:ascii="Cambria" w:hAnsi="Cambria" w:eastAsia="Calibri" w:cs="Times New Roman"/>
          <w:color w:val="000000"/>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583D593C">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709"/>
          <w:tab w:val="left" w:pos="1276"/>
          <w:tab w:val="left" w:pos="1560"/>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 xml:space="preserve">Caso conste na Consulta de Situação do Fornecedor a existência de Ocorrências Impeditivas Indiretas, o gestor </w:t>
      </w:r>
      <w:r>
        <w:rPr>
          <w:rFonts w:ascii="Cambria" w:hAnsi="Cambria" w:eastAsia="Calibri" w:cs="Times New Roman"/>
          <w:sz w:val="22"/>
          <w:szCs w:val="22"/>
        </w:rPr>
        <w:t>diligencia</w:t>
      </w:r>
      <w:r>
        <w:rPr>
          <w:rFonts w:ascii="Cambria" w:hAnsi="Cambria" w:eastAsia="Calibri" w:cs="Times New Roman"/>
          <w:color w:val="000000"/>
          <w:sz w:val="22"/>
          <w:szCs w:val="22"/>
        </w:rPr>
        <w:t xml:space="preserve"> para verificar se houve fraude por parte das empresas apontadas no Relatório de Ocorrências Impeditivas Indiretas.</w:t>
      </w:r>
    </w:p>
    <w:p w14:paraId="2B2BABE3">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709"/>
          <w:tab w:val="left" w:pos="1276"/>
          <w:tab w:val="left" w:pos="1560"/>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A tentativa de burla será verificada por meio dos vínculos societários, linhas de fornecimento similares, dentre outros.</w:t>
      </w:r>
    </w:p>
    <w:p w14:paraId="24E3CA4E">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709"/>
          <w:tab w:val="left" w:pos="1276"/>
          <w:tab w:val="left" w:pos="1560"/>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O licitante será convocado para manifestação previamente à sua desclassificação.</w:t>
      </w:r>
    </w:p>
    <w:p w14:paraId="705E4D0D">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Constatada a existência de sanção, o</w:t>
      </w:r>
      <w:r>
        <w:rPr>
          <w:rFonts w:ascii="Cambria" w:hAnsi="Cambria" w:eastAsia="Calibri" w:cs="Times New Roman"/>
          <w:sz w:val="22"/>
          <w:szCs w:val="22"/>
        </w:rPr>
        <w:t xml:space="preserve"> Pregoeiro</w:t>
      </w:r>
      <w:r>
        <w:rPr>
          <w:rFonts w:ascii="Cambria" w:hAnsi="Cambria" w:eastAsia="Calibri" w:cs="Times New Roman"/>
          <w:color w:val="000000"/>
          <w:sz w:val="22"/>
          <w:szCs w:val="22"/>
        </w:rPr>
        <w:t xml:space="preserve"> reputará o licitante inabilitado, por falta de condição de participação.</w:t>
      </w:r>
    </w:p>
    <w:p w14:paraId="728D7EEE">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6EE44530">
      <w:pPr>
        <w:numPr>
          <w:ilvl w:val="1"/>
          <w:numId w:val="8"/>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097B7BC">
      <w:pPr>
        <w:numPr>
          <w:ilvl w:val="1"/>
          <w:numId w:val="8"/>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Somente haverá a necessidade de comprovação do preenchimento de requisitos mediante apresentação dos documentos originais não digitais quando houver dúvida em relação à integridade do documento digital.</w:t>
      </w:r>
    </w:p>
    <w:p w14:paraId="658F256C">
      <w:pPr>
        <w:pStyle w:val="61"/>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s>
        <w:ind w:left="0" w:firstLine="0"/>
        <w:jc w:val="both"/>
        <w:rPr>
          <w:rFonts w:ascii="Cambria" w:hAnsi="Cambria" w:cs="Times New Roman"/>
          <w:sz w:val="22"/>
          <w:szCs w:val="22"/>
        </w:rPr>
      </w:pPr>
      <w:r>
        <w:rPr>
          <w:rFonts w:ascii="Cambria" w:hAnsi="Cambria" w:eastAsia="Calibri" w:cs="Times New Roman"/>
          <w:color w:val="000000"/>
          <w:sz w:val="22"/>
          <w:szCs w:val="22"/>
        </w:rPr>
        <w:t>Não serão aceitos documentos de habilitação com indicação de CNPJ/CPF diferentes, salvo aqueles legalmente permitidos.</w:t>
      </w:r>
    </w:p>
    <w:p w14:paraId="4F38E7F0">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B91F87F">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54704B84">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licitantes deverão encaminhar, nos termos deste Edital, a documentação relacionada nos itens a seguir, para fins de habilitação:</w:t>
      </w:r>
    </w:p>
    <w:p w14:paraId="76C8F9AA">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 w:val="left" w:pos="1134"/>
        </w:tabs>
        <w:ind w:left="0" w:firstLine="0"/>
        <w:jc w:val="both"/>
        <w:rPr>
          <w:rFonts w:ascii="Cambria" w:hAnsi="Cambria" w:cs="Times New Roman"/>
          <w:sz w:val="22"/>
          <w:szCs w:val="22"/>
        </w:rPr>
      </w:pPr>
      <w:r>
        <w:rPr>
          <w:rFonts w:ascii="Cambria" w:hAnsi="Cambria" w:eastAsia="Calibri" w:cs="Times New Roman"/>
          <w:b/>
          <w:color w:val="000000"/>
          <w:sz w:val="22"/>
          <w:szCs w:val="22"/>
        </w:rPr>
        <w:t xml:space="preserve">HABILITAÇÃO JURÍDICA: </w:t>
      </w:r>
    </w:p>
    <w:p w14:paraId="180A2D65">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No caso de empresário individual: inscrição no Registro Público de Empresas Mercantis, a cargo da Junta Comercial da respectiva sede;</w:t>
      </w:r>
    </w:p>
    <w:p w14:paraId="0C6C7352">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Em se tratando de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\h </w:instrText>
      </w:r>
      <w:r>
        <w:fldChar w:fldCharType="separate"/>
      </w:r>
      <w:r>
        <w:rPr>
          <w:rFonts w:ascii="Cambria" w:hAnsi="Cambria" w:eastAsia="Calibri" w:cs="Times New Roman"/>
          <w:color w:val="0066FF"/>
          <w:sz w:val="22"/>
          <w:szCs w:val="22"/>
          <w:u w:val="single"/>
        </w:rPr>
        <w:t>www.portaldoempreendedor.gov.br</w:t>
      </w:r>
      <w:r>
        <w:rPr>
          <w:rFonts w:ascii="Cambria" w:hAnsi="Cambria" w:eastAsia="Calibri" w:cs="Times New Roman"/>
          <w:color w:val="0066FF"/>
          <w:sz w:val="22"/>
          <w:szCs w:val="22"/>
          <w:u w:val="single"/>
        </w:rPr>
        <w:fldChar w:fldCharType="end"/>
      </w:r>
      <w:r>
        <w:rPr>
          <w:rFonts w:ascii="Cambria" w:hAnsi="Cambria" w:eastAsia="Calibri" w:cs="Times New Roman"/>
          <w:color w:val="0066FF"/>
          <w:sz w:val="22"/>
          <w:szCs w:val="22"/>
        </w:rPr>
        <w:t>;</w:t>
      </w:r>
    </w:p>
    <w:p w14:paraId="4ABFF41A">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6136A9">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Inscrição no Registro Público de Empresas Mercantis onde opera com averbação no Registro onde tem sede a matriz, no caso de ser o participante sucursal, filial ou agência;</w:t>
      </w:r>
    </w:p>
    <w:p w14:paraId="3A96DA2A">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No caso de sociedade simples: inscrição do ato constitutivo no Registro Civil das Pessoas Jurídicas do local de sua sede, acompanhada de prova da indicação dos seus administradores;</w:t>
      </w:r>
    </w:p>
    <w:p w14:paraId="4E9B439B">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134"/>
          <w:tab w:val="left" w:pos="1701"/>
        </w:tabs>
        <w:ind w:left="0" w:firstLine="0"/>
        <w:jc w:val="both"/>
        <w:rPr>
          <w:rFonts w:ascii="Cambria" w:hAnsi="Cambria" w:cs="Times New Roman"/>
          <w:sz w:val="22"/>
          <w:szCs w:val="22"/>
        </w:rPr>
      </w:pPr>
      <w:r>
        <w:rPr>
          <w:rFonts w:ascii="Cambria" w:hAnsi="Cambria" w:eastAsia="Calibri"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8C933DD">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851"/>
          <w:tab w:val="left" w:pos="1134"/>
        </w:tabs>
        <w:ind w:left="0" w:firstLine="0"/>
        <w:jc w:val="both"/>
        <w:rPr>
          <w:rFonts w:ascii="Cambria" w:hAnsi="Cambria" w:cs="Times New Roman"/>
          <w:sz w:val="22"/>
          <w:szCs w:val="22"/>
        </w:rPr>
      </w:pPr>
      <w:r>
        <w:rPr>
          <w:rFonts w:ascii="Cambria" w:hAnsi="Cambria" w:eastAsia="Calibri" w:cs="Times New Roman"/>
          <w:color w:val="000000"/>
          <w:sz w:val="22"/>
          <w:szCs w:val="22"/>
        </w:rPr>
        <w:t>No caso de empresa ou sociedade estrangeira em funcionamento no País: decreto de autorização;</w:t>
      </w:r>
    </w:p>
    <w:p w14:paraId="6A576A41">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851"/>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Os documentos acima deverão estar acompanhados de todas as alterações ou da consolidação respectiva;</w:t>
      </w:r>
    </w:p>
    <w:p w14:paraId="6C1F979C">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426"/>
          <w:tab w:val="left" w:pos="709"/>
          <w:tab w:val="left" w:pos="993"/>
        </w:tabs>
        <w:ind w:left="0" w:firstLine="0"/>
        <w:jc w:val="both"/>
        <w:rPr>
          <w:rFonts w:ascii="Cambria" w:hAnsi="Cambria" w:cs="Times New Roman"/>
          <w:sz w:val="22"/>
          <w:szCs w:val="22"/>
        </w:rPr>
      </w:pPr>
      <w:r>
        <w:rPr>
          <w:rFonts w:ascii="Cambria" w:hAnsi="Cambria" w:eastAsia="Calibri" w:cs="Times New Roman"/>
          <w:b/>
          <w:sz w:val="22"/>
          <w:szCs w:val="22"/>
        </w:rPr>
        <w:t>HABILITAÇÃO FISCAL, SOCIAL E TRABALHISTA:</w:t>
      </w:r>
    </w:p>
    <w:p w14:paraId="3C3605FC">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Prova de inscrição no Cadastro Nacional de Pessoas Jurídicas (CNPJ) ou no Cadastro de Pessoas Físicas (CPF), conforme o caso;</w:t>
      </w:r>
    </w:p>
    <w:p w14:paraId="61AE4BBB">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Prova de inscrição no cadastro de contribuintes estadual e/ou municipal, se houver relativo ao domicílio ou sede do licitante, pertinente ao seu ramo de atividade e compatível com o objeto contratual;</w:t>
      </w:r>
    </w:p>
    <w:p w14:paraId="625A754D">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2EAE0E">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Prova de regularidade com o Fundo de Garantia do Tempo de Serviço (FGTS);</w:t>
      </w:r>
    </w:p>
    <w:p w14:paraId="42136AD1">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329A01E">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Prova de regularidade junto à Fazenda Estadual, através da Certidão Negativa conjunta junto aos Tributos Estaduais, emitida pela Secretaria da Fazenda Estadual onde a empresa for sediada;</w:t>
      </w:r>
    </w:p>
    <w:p w14:paraId="6D069D4B">
      <w:pPr>
        <w:numPr>
          <w:ilvl w:val="2"/>
          <w:numId w:val="8"/>
        </w:numPr>
        <w:tabs>
          <w:tab w:val="left" w:pos="567"/>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Prova de regularidade junto à Fazenda Municipal, através da Certidão Negativa junto aos Tributos Municipais, emitida pela Secretaria da Fazenda Municipal onde a empresa for sediada;</w:t>
      </w:r>
    </w:p>
    <w:p w14:paraId="268B2FC6">
      <w:pPr>
        <w:numPr>
          <w:ilvl w:val="2"/>
          <w:numId w:val="8"/>
        </w:numPr>
        <w:tabs>
          <w:tab w:val="left" w:pos="567"/>
          <w:tab w:val="left" w:pos="709"/>
          <w:tab w:val="left" w:pos="851"/>
          <w:tab w:val="left" w:pos="1440"/>
          <w:tab w:val="left" w:pos="1701"/>
        </w:tabs>
        <w:ind w:left="0" w:firstLine="0"/>
        <w:jc w:val="both"/>
        <w:rPr>
          <w:rFonts w:ascii="Cambria" w:hAnsi="Cambria" w:cs="Times New Roman"/>
          <w:sz w:val="22"/>
          <w:szCs w:val="22"/>
          <w:u w:val="single"/>
        </w:rPr>
      </w:pPr>
      <w:r>
        <w:rPr>
          <w:rFonts w:ascii="Cambria" w:hAnsi="Cambria" w:eastAsia="Calibri" w:cs="Times New Roman"/>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CDA4BD1">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b/>
          <w:color w:val="000000"/>
          <w:sz w:val="22"/>
          <w:szCs w:val="22"/>
        </w:rPr>
        <w:t>HABILITAÇÃO ECONÔMICO-FINANCEIRA</w:t>
      </w:r>
      <w:r>
        <w:rPr>
          <w:rFonts w:ascii="Cambria" w:hAnsi="Cambria" w:eastAsia="Calibri" w:cs="Times New Roman"/>
          <w:color w:val="000000"/>
          <w:sz w:val="22"/>
          <w:szCs w:val="22"/>
        </w:rPr>
        <w:t>.</w:t>
      </w:r>
    </w:p>
    <w:p w14:paraId="036467B5">
      <w:pPr>
        <w:numPr>
          <w:ilvl w:val="2"/>
          <w:numId w:val="8"/>
        </w:numPr>
        <w:tabs>
          <w:tab w:val="left" w:pos="709"/>
          <w:tab w:val="left" w:pos="993"/>
          <w:tab w:val="left" w:pos="1843"/>
        </w:tabs>
        <w:ind w:left="0" w:firstLine="0"/>
        <w:jc w:val="both"/>
        <w:rPr>
          <w:rFonts w:ascii="Cambria" w:hAnsi="Cambria" w:cs="Times New Roman"/>
          <w:sz w:val="22"/>
          <w:szCs w:val="22"/>
        </w:rPr>
      </w:pPr>
      <w:bookmarkStart w:id="1" w:name="_Hlk160187909"/>
      <w:r>
        <w:rPr>
          <w:rFonts w:ascii="Cambria" w:hAnsi="Cambria" w:eastAsia="Calibri" w:cs="Times New Roman"/>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mbria" w:hAnsi="Cambria" w:eastAsia="Calibri" w:cs="Times New Roman"/>
          <w:color w:val="000000"/>
          <w:sz w:val="22"/>
          <w:szCs w:val="22"/>
        </w:rPr>
        <w:t>;</w:t>
      </w:r>
    </w:p>
    <w:p w14:paraId="070F5478">
      <w:pPr>
        <w:numPr>
          <w:ilvl w:val="2"/>
          <w:numId w:val="8"/>
        </w:numPr>
        <w:tabs>
          <w:tab w:val="left" w:pos="709"/>
          <w:tab w:val="left" w:pos="993"/>
          <w:tab w:val="left" w:pos="1843"/>
        </w:tabs>
        <w:ind w:left="0" w:firstLine="0"/>
        <w:jc w:val="both"/>
        <w:rPr>
          <w:rFonts w:ascii="Cambria" w:hAnsi="Cambria" w:cs="Times New Roman"/>
          <w:sz w:val="22"/>
          <w:szCs w:val="22"/>
        </w:rPr>
      </w:pPr>
      <w:r>
        <w:rPr>
          <w:rFonts w:ascii="Cambria" w:hAnsi="Cambria" w:eastAsia="Calibri" w:cs="Times New Roman"/>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A6D1487">
      <w:pPr>
        <w:numPr>
          <w:ilvl w:val="2"/>
          <w:numId w:val="8"/>
        </w:numPr>
        <w:tabs>
          <w:tab w:val="left" w:pos="709"/>
          <w:tab w:val="left" w:pos="993"/>
          <w:tab w:val="left" w:pos="1843"/>
        </w:tabs>
        <w:ind w:left="0" w:firstLine="0"/>
        <w:jc w:val="both"/>
        <w:rPr>
          <w:rFonts w:ascii="Cambria" w:hAnsi="Cambria" w:cs="Times New Roman"/>
          <w:sz w:val="22"/>
          <w:szCs w:val="22"/>
        </w:rPr>
      </w:pPr>
      <w:r>
        <w:rPr>
          <w:rFonts w:ascii="Cambria" w:hAnsi="Cambria" w:eastAsia="Calibri" w:cs="Times New Roman"/>
          <w:sz w:val="22"/>
          <w:szCs w:val="22"/>
        </w:rPr>
        <w:t>Balanço patrimonial e demonstrações contábeis dos 02(dois) últimos exercícios sociais conforme art. 69 da Lei 14.133/21, já exigíveis e apresentados na forma da lei, registrados e/ou autenticados na junta comercial do Estado sede da empresa, ou na forma de escrituração fiscal digital, que comprovem a boa situação financeira da empresa, vedada a sua substituição por balancetes ou balanços provisórios, podendo ser atualizados por índices oficiais quando encerrado há mais de 3 (três) meses da data de apresentação da proposta;</w:t>
      </w:r>
    </w:p>
    <w:p w14:paraId="7B417C17">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851"/>
          <w:tab w:val="left" w:pos="993"/>
        </w:tabs>
        <w:ind w:left="0" w:firstLine="0"/>
        <w:jc w:val="both"/>
        <w:rPr>
          <w:rFonts w:ascii="Cambria" w:hAnsi="Cambria" w:eastAsia="Calibri" w:cs="Times New Roman"/>
          <w:sz w:val="22"/>
          <w:szCs w:val="22"/>
        </w:rPr>
      </w:pPr>
      <w:r>
        <w:rPr>
          <w:rFonts w:ascii="Cambria" w:hAnsi="Cambria" w:eastAsia="Calibri" w:cs="Times New Roman"/>
          <w:sz w:val="22"/>
          <w:szCs w:val="22"/>
        </w:rPr>
        <w:t>No caso de empresa constituída no exercício social vigente, admite-se a apresentação de balanço patrimonial e demonstrações contábeis referentes ao período de existência da sociedade;</w:t>
      </w:r>
    </w:p>
    <w:p w14:paraId="042643E4">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851"/>
          <w:tab w:val="left" w:pos="993"/>
        </w:tabs>
        <w:ind w:left="0" w:firstLine="0"/>
        <w:jc w:val="both"/>
        <w:rPr>
          <w:rFonts w:ascii="Cambria" w:hAnsi="Cambria" w:eastAsia="Calibri" w:cs="Times New Roman"/>
          <w:sz w:val="22"/>
          <w:szCs w:val="22"/>
        </w:rPr>
      </w:pPr>
      <w:r>
        <w:rPr>
          <w:rFonts w:ascii="Cambria" w:hAnsi="Cambria" w:eastAsia="Calibri" w:cs="Times New Roman"/>
          <w:sz w:val="22"/>
          <w:szCs w:val="22"/>
        </w:rPr>
        <w:t>É admissível o balanço intermediário, se decorrer de lei ou contrato social/estatuto social.</w:t>
      </w:r>
    </w:p>
    <w:p w14:paraId="6CA9391F">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851"/>
          <w:tab w:val="left" w:pos="993"/>
        </w:tabs>
        <w:ind w:left="0" w:firstLine="0"/>
        <w:jc w:val="both"/>
        <w:rPr>
          <w:rFonts w:ascii="Cambria" w:hAnsi="Cambria" w:eastAsia="Calibri" w:cs="Times New Roman"/>
          <w:sz w:val="22"/>
          <w:szCs w:val="22"/>
        </w:rPr>
      </w:pPr>
      <w:r>
        <w:rPr>
          <w:rFonts w:ascii="Cambria" w:hAnsi="Cambria" w:eastAsia="Calibri" w:cs="Times New Roman"/>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246A399">
      <w:pPr>
        <w:numPr>
          <w:ilvl w:val="3"/>
          <w:numId w:val="8"/>
        </w:numPr>
        <w:pBdr>
          <w:top w:val="none" w:color="auto" w:sz="0" w:space="0"/>
          <w:left w:val="none" w:color="auto" w:sz="0" w:space="0"/>
          <w:bottom w:val="none" w:color="auto" w:sz="0" w:space="0"/>
          <w:right w:val="none" w:color="auto" w:sz="0" w:space="0"/>
          <w:between w:val="none" w:color="auto" w:sz="0" w:space="0"/>
        </w:pBdr>
        <w:tabs>
          <w:tab w:val="left" w:pos="851"/>
          <w:tab w:val="left" w:pos="993"/>
        </w:tabs>
        <w:ind w:left="0" w:firstLine="0"/>
        <w:jc w:val="both"/>
        <w:rPr>
          <w:rFonts w:ascii="Cambria" w:hAnsi="Cambria" w:eastAsia="Calibri" w:cs="Times New Roman"/>
          <w:sz w:val="22"/>
          <w:szCs w:val="22"/>
        </w:rPr>
      </w:pPr>
      <w:r>
        <w:rPr>
          <w:rFonts w:ascii="Cambria" w:hAnsi="Cambria" w:cs="Times New Roman"/>
          <w:sz w:val="22"/>
          <w:szCs w:val="22"/>
        </w:rPr>
        <w:t xml:space="preserve">Os documentos referidos no item 9.10.3 limitar-se-ão ao último exercício no caso de a pessoa jurídica ter sido constituída há menos de 2 (dois) anos. Conforme § 6º do </w:t>
      </w:r>
      <w:r>
        <w:rPr>
          <w:rFonts w:ascii="Cambria" w:hAnsi="Cambria" w:eastAsia="Calibri" w:cs="Times New Roman"/>
          <w:sz w:val="22"/>
          <w:szCs w:val="22"/>
        </w:rPr>
        <w:t>art. 69 da Lei 14.133/21.</w:t>
      </w:r>
    </w:p>
    <w:p w14:paraId="276FB8FF">
      <w:pPr>
        <w:numPr>
          <w:ilvl w:val="2"/>
          <w:numId w:val="8"/>
        </w:numPr>
        <w:tabs>
          <w:tab w:val="left" w:pos="709"/>
          <w:tab w:val="left" w:pos="993"/>
          <w:tab w:val="left" w:pos="1843"/>
        </w:tabs>
        <w:ind w:left="0" w:firstLine="0"/>
        <w:jc w:val="both"/>
        <w:rPr>
          <w:rFonts w:ascii="Cambria" w:hAnsi="Cambria" w:cs="Times New Roman"/>
          <w:sz w:val="22"/>
          <w:szCs w:val="22"/>
        </w:rPr>
      </w:pPr>
      <w:r>
        <w:rPr>
          <w:rFonts w:ascii="Cambria" w:hAnsi="Cambria" w:eastAsia="Calibri" w:cs="Times New Roman"/>
          <w:sz w:val="22"/>
          <w:szCs w:val="22"/>
        </w:rPr>
        <w:t>A comprovação da situação financeira da empresa será constatada mediante obtenção de índices de Liquidez Geral (LG), Solvência Geral (SG) e Liquidez Corrente (LC), superiores a 1 (hum) resultantes da aplicação das fórmulas:</w:t>
      </w:r>
    </w:p>
    <w:p w14:paraId="2F70BCAA">
      <w:pPr>
        <w:tabs>
          <w:tab w:val="left" w:pos="709"/>
          <w:tab w:val="left" w:pos="993"/>
          <w:tab w:val="left" w:pos="1843"/>
        </w:tabs>
        <w:jc w:val="both"/>
        <w:rPr>
          <w:rFonts w:ascii="Cambria" w:hAnsi="Cambria" w:cs="Times New Roman"/>
          <w:sz w:val="22"/>
          <w:szCs w:val="22"/>
        </w:rPr>
      </w:pPr>
    </w:p>
    <w:tbl>
      <w:tblPr>
        <w:tblStyle w:val="44"/>
        <w:tblW w:w="7338" w:type="dxa"/>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5"/>
        <w:gridCol w:w="5103"/>
      </w:tblGrid>
      <w:tr w14:paraId="65B08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0418E2EF">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LG =</w:t>
            </w:r>
          </w:p>
        </w:tc>
        <w:tc>
          <w:tcPr>
            <w:tcW w:w="5103" w:type="dxa"/>
            <w:tcBorders>
              <w:bottom w:val="single" w:color="000000" w:sz="4" w:space="0"/>
            </w:tcBorders>
            <w:vAlign w:val="bottom"/>
          </w:tcPr>
          <w:p w14:paraId="49C6AB90">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Ativo Circulante + Realizável a Longo Prazo</w:t>
            </w:r>
          </w:p>
        </w:tc>
      </w:tr>
      <w:tr w14:paraId="02816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vAlign w:val="center"/>
          </w:tcPr>
          <w:p w14:paraId="40C7E6FA">
            <w:pPr>
              <w:widowControl w:val="0"/>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sz w:val="22"/>
                <w:szCs w:val="22"/>
              </w:rPr>
            </w:pPr>
          </w:p>
        </w:tc>
        <w:tc>
          <w:tcPr>
            <w:tcW w:w="5103" w:type="dxa"/>
            <w:tcBorders>
              <w:top w:val="single" w:color="000000" w:sz="4" w:space="0"/>
            </w:tcBorders>
          </w:tcPr>
          <w:p w14:paraId="4FF4EEFE">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Passivo Circulante + Passivo Não Circulante</w:t>
            </w:r>
          </w:p>
        </w:tc>
      </w:tr>
    </w:tbl>
    <w:tbl>
      <w:tblPr>
        <w:tblStyle w:val="45"/>
        <w:tblW w:w="7338" w:type="dxa"/>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5"/>
        <w:gridCol w:w="5103"/>
      </w:tblGrid>
      <w:tr w14:paraId="136B9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3A8750BB">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SG =</w:t>
            </w:r>
          </w:p>
        </w:tc>
        <w:tc>
          <w:tcPr>
            <w:tcW w:w="5103" w:type="dxa"/>
            <w:tcBorders>
              <w:bottom w:val="single" w:color="000000" w:sz="4" w:space="0"/>
            </w:tcBorders>
            <w:vAlign w:val="bottom"/>
          </w:tcPr>
          <w:p w14:paraId="7430E91A">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Ativo Total</w:t>
            </w:r>
          </w:p>
        </w:tc>
      </w:tr>
      <w:tr w14:paraId="3F1A0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vAlign w:val="center"/>
          </w:tcPr>
          <w:p w14:paraId="20F7A55D">
            <w:pPr>
              <w:widowControl w:val="0"/>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sz w:val="22"/>
                <w:szCs w:val="22"/>
              </w:rPr>
            </w:pPr>
          </w:p>
        </w:tc>
        <w:tc>
          <w:tcPr>
            <w:tcW w:w="5103" w:type="dxa"/>
            <w:tcBorders>
              <w:top w:val="single" w:color="000000" w:sz="4" w:space="0"/>
            </w:tcBorders>
          </w:tcPr>
          <w:p w14:paraId="578FB4DB">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Passivo Circulante + Passivo Não Circulante</w:t>
            </w:r>
          </w:p>
        </w:tc>
      </w:tr>
    </w:tbl>
    <w:tbl>
      <w:tblPr>
        <w:tblStyle w:val="46"/>
        <w:tblW w:w="4786" w:type="dxa"/>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5"/>
        <w:gridCol w:w="2551"/>
      </w:tblGrid>
      <w:tr w14:paraId="16614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64A85AEA">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LC =</w:t>
            </w:r>
          </w:p>
        </w:tc>
        <w:tc>
          <w:tcPr>
            <w:tcW w:w="2551" w:type="dxa"/>
            <w:tcBorders>
              <w:bottom w:val="single" w:color="000000" w:sz="4" w:space="0"/>
            </w:tcBorders>
            <w:vAlign w:val="bottom"/>
          </w:tcPr>
          <w:p w14:paraId="29B4C11D">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Ativo Circulante</w:t>
            </w:r>
          </w:p>
        </w:tc>
      </w:tr>
      <w:tr w14:paraId="32950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vAlign w:val="center"/>
          </w:tcPr>
          <w:p w14:paraId="2C771B56">
            <w:pPr>
              <w:widowControl w:val="0"/>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sz w:val="22"/>
                <w:szCs w:val="22"/>
              </w:rPr>
            </w:pPr>
          </w:p>
        </w:tc>
        <w:tc>
          <w:tcPr>
            <w:tcW w:w="2551" w:type="dxa"/>
            <w:tcBorders>
              <w:top w:val="single" w:color="000000" w:sz="4" w:space="0"/>
            </w:tcBorders>
          </w:tcPr>
          <w:p w14:paraId="3F9AD974">
            <w:pPr>
              <w:tabs>
                <w:tab w:val="left" w:pos="709"/>
                <w:tab w:val="left" w:pos="1440"/>
              </w:tabs>
              <w:jc w:val="both"/>
              <w:rPr>
                <w:rFonts w:ascii="Cambria" w:hAnsi="Cambria" w:eastAsia="Calibri" w:cs="Times New Roman"/>
                <w:sz w:val="22"/>
                <w:szCs w:val="22"/>
              </w:rPr>
            </w:pPr>
            <w:r>
              <w:rPr>
                <w:rFonts w:ascii="Cambria" w:hAnsi="Cambria" w:eastAsia="Calibri" w:cs="Times New Roman"/>
                <w:sz w:val="22"/>
                <w:szCs w:val="22"/>
              </w:rPr>
              <w:t>Passivo Circulante</w:t>
            </w:r>
          </w:p>
        </w:tc>
      </w:tr>
      <w:bookmarkEnd w:id="1"/>
    </w:tbl>
    <w:p w14:paraId="224D8ED6">
      <w:p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1134"/>
        </w:tabs>
        <w:jc w:val="both"/>
        <w:rPr>
          <w:rFonts w:ascii="Cambria" w:hAnsi="Cambria" w:cs="Times New Roman"/>
          <w:sz w:val="22"/>
          <w:szCs w:val="22"/>
        </w:rPr>
      </w:pPr>
      <w:bookmarkStart w:id="2" w:name="_30j0zll" w:colFirst="0" w:colLast="0"/>
      <w:bookmarkEnd w:id="2"/>
    </w:p>
    <w:p w14:paraId="629A299A">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1134"/>
        </w:tabs>
        <w:ind w:left="0" w:firstLine="0"/>
        <w:jc w:val="both"/>
        <w:rPr>
          <w:rFonts w:ascii="Cambria" w:hAnsi="Cambria" w:cs="Times New Roman"/>
          <w:sz w:val="22"/>
          <w:szCs w:val="22"/>
        </w:rPr>
      </w:pPr>
      <w:r>
        <w:rPr>
          <w:rFonts w:ascii="Cambria" w:hAnsi="Cambria" w:eastAsia="Calibri" w:cs="Times New Roman"/>
          <w:b/>
          <w:color w:val="000000"/>
          <w:sz w:val="22"/>
          <w:szCs w:val="22"/>
        </w:rPr>
        <w:t>QUALIFICAÇÃO TÉCNICA.</w:t>
      </w:r>
    </w:p>
    <w:p w14:paraId="353A6F15">
      <w:pPr>
        <w:numPr>
          <w:ilvl w:val="2"/>
          <w:numId w:val="8"/>
        </w:numPr>
        <w:pBdr>
          <w:top w:val="none" w:color="auto" w:sz="0" w:space="0"/>
          <w:left w:val="none" w:color="auto" w:sz="0" w:space="0"/>
          <w:bottom w:val="none" w:color="auto" w:sz="0" w:space="0"/>
          <w:right w:val="none" w:color="auto" w:sz="0" w:space="0"/>
          <w:between w:val="none" w:color="auto" w:sz="0" w:space="0"/>
        </w:pBdr>
        <w:tabs>
          <w:tab w:val="left" w:pos="709"/>
          <w:tab w:val="left" w:pos="993"/>
          <w:tab w:val="left" w:pos="1843"/>
        </w:tabs>
        <w:ind w:left="0" w:firstLine="0"/>
        <w:jc w:val="both"/>
        <w:rPr>
          <w:rFonts w:ascii="Cambria" w:hAnsi="Cambria" w:eastAsia="Calibri" w:cs="Times New Roman"/>
          <w:sz w:val="22"/>
          <w:szCs w:val="22"/>
        </w:rPr>
      </w:pPr>
      <w:bookmarkStart w:id="3" w:name="_Hlk160007952"/>
      <w:r>
        <w:rPr>
          <w:rFonts w:ascii="Cambria" w:hAnsi="Cambria" w:eastAsia="Calibri" w:cs="Times New Roman"/>
          <w:sz w:val="22"/>
          <w:szCs w:val="22"/>
          <w:highlight w:val="white"/>
        </w:rPr>
        <w:t xml:space="preserve">Comprovação de aptidão no desempenho de atividade pertinente com o objeto da licitação </w:t>
      </w:r>
      <w:r>
        <w:rPr>
          <w:rFonts w:ascii="Cambria" w:hAnsi="Cambria" w:eastAsia="Calibri" w:cs="Times New Roman"/>
          <w:sz w:val="22"/>
          <w:szCs w:val="22"/>
        </w:rPr>
        <w:t xml:space="preserve">– </w:t>
      </w:r>
      <w:r>
        <w:rPr>
          <w:rFonts w:ascii="Cambria" w:hAnsi="Cambria" w:eastAsia="Calibri" w:cs="Times New Roman"/>
          <w:b/>
          <w:sz w:val="22"/>
          <w:szCs w:val="22"/>
        </w:rPr>
        <w:t>Atestado(s) de Capacidade Técnica</w:t>
      </w:r>
      <w:r>
        <w:rPr>
          <w:rFonts w:ascii="Cambria" w:hAnsi="Cambria" w:eastAsia="Calibri" w:cs="Times New Roman"/>
          <w:sz w:val="22"/>
          <w:szCs w:val="22"/>
        </w:rPr>
        <w:t>, fornecido(s) por pessoa jurídica de direito público ou privado, quando for emitido por ente privado deverá este ser com firma reconhecida de quem o subscreveu.</w:t>
      </w:r>
    </w:p>
    <w:bookmarkEnd w:id="3"/>
    <w:p w14:paraId="466ED56A">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45EEF787">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A declaração do vencedor acontecerá no momento imediatamente posterior à fase de habilitação.</w:t>
      </w:r>
    </w:p>
    <w:p w14:paraId="7C260E48">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C5CD8E9">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 xml:space="preserve">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FF9D8A6">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Havendo necessidade de analisar minuciosamente os documentos exigidos, o Pregoeiro</w:t>
      </w:r>
      <w:r>
        <w:rPr>
          <w:rFonts w:ascii="Cambria" w:hAnsi="Cambria" w:eastAsia="Calibri" w:cs="Times New Roman"/>
          <w:sz w:val="22"/>
          <w:szCs w:val="22"/>
        </w:rPr>
        <w:t xml:space="preserve"> </w:t>
      </w:r>
      <w:r>
        <w:rPr>
          <w:rFonts w:ascii="Cambria" w:hAnsi="Cambria" w:eastAsia="Calibri" w:cs="Times New Roman"/>
          <w:color w:val="000000"/>
          <w:sz w:val="22"/>
          <w:szCs w:val="22"/>
        </w:rPr>
        <w:t>suspenderá a sessão, informando no “chat” a nova data e horário para a continuidade da mesma.</w:t>
      </w:r>
    </w:p>
    <w:p w14:paraId="5EF94F24">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Será inabilitado o licitante que não comprovar sua habilitação, seja por não apresentar quaisquer dos documentos exigidos, ou apresentá-los em desacordo com o estabelecido neste Edital.</w:t>
      </w:r>
    </w:p>
    <w:p w14:paraId="3895105A">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No item, por não ser exclusivo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7D1561D">
      <w:pPr>
        <w:numPr>
          <w:ilvl w:val="1"/>
          <w:numId w:val="8"/>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Constatado o atendimento às exigências de habilitação fixadas no Edital, o licitante será declarado vencedor.</w:t>
      </w:r>
    </w:p>
    <w:p w14:paraId="22C9F094">
      <w:pPr>
        <w:jc w:val="both"/>
        <w:rPr>
          <w:rFonts w:ascii="Cambria" w:hAnsi="Cambria" w:cs="Times New Roman"/>
          <w:sz w:val="22"/>
          <w:szCs w:val="22"/>
        </w:rPr>
      </w:pPr>
    </w:p>
    <w:p w14:paraId="154AFF73">
      <w:pPr>
        <w:pStyle w:val="61"/>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ENCAMINHAMENTO DA PROPOSTA VENCEDORA.</w:t>
      </w:r>
    </w:p>
    <w:p w14:paraId="3F7E434D">
      <w:pPr>
        <w:pStyle w:val="61"/>
        <w:numPr>
          <w:ilvl w:val="1"/>
          <w:numId w:val="9"/>
        </w:numPr>
        <w:pBdr>
          <w:top w:val="none" w:color="auto" w:sz="0" w:space="0"/>
          <w:left w:val="none" w:color="auto" w:sz="0" w:space="0"/>
          <w:bottom w:val="none" w:color="auto" w:sz="0" w:space="0"/>
          <w:right w:val="none" w:color="auto" w:sz="0" w:space="0"/>
          <w:between w:val="none" w:color="auto" w:sz="0" w:space="0"/>
        </w:pBdr>
        <w:tabs>
          <w:tab w:val="left" w:pos="0"/>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 A proposta final do licitante declarado vencedor deverá ser encaminhada no </w:t>
      </w:r>
      <w:r>
        <w:rPr>
          <w:rFonts w:ascii="Cambria" w:hAnsi="Cambria" w:eastAsia="Calibri" w:cs="Times New Roman"/>
          <w:sz w:val="22"/>
          <w:szCs w:val="22"/>
          <w:highlight w:val="white"/>
        </w:rPr>
        <w:t>prazo de</w:t>
      </w:r>
      <w:r>
        <w:rPr>
          <w:rFonts w:ascii="Cambria" w:hAnsi="Cambria" w:eastAsia="Calibri" w:cs="Times New Roman"/>
          <w:b/>
          <w:sz w:val="22"/>
          <w:szCs w:val="22"/>
          <w:highlight w:val="white"/>
        </w:rPr>
        <w:t xml:space="preserve"> </w:t>
      </w:r>
      <w:r>
        <w:rPr>
          <w:rFonts w:ascii="Cambria" w:hAnsi="Cambria" w:eastAsia="Calibri" w:cs="Times New Roman"/>
          <w:b/>
          <w:sz w:val="22"/>
          <w:szCs w:val="22"/>
        </w:rPr>
        <w:t>02 (duas) horas</w:t>
      </w:r>
      <w:r>
        <w:rPr>
          <w:rFonts w:ascii="Cambria" w:hAnsi="Cambria" w:eastAsia="Calibri" w:cs="Times New Roman"/>
          <w:sz w:val="22"/>
          <w:szCs w:val="22"/>
        </w:rPr>
        <w:t xml:space="preserve"> a contar </w:t>
      </w:r>
      <w:r>
        <w:rPr>
          <w:rFonts w:ascii="Cambria" w:hAnsi="Cambria" w:eastAsia="Calibri" w:cs="Times New Roman"/>
          <w:color w:val="000000"/>
          <w:sz w:val="22"/>
          <w:szCs w:val="22"/>
        </w:rPr>
        <w:t xml:space="preserve">da solicitação do </w:t>
      </w:r>
      <w:r>
        <w:rPr>
          <w:rFonts w:ascii="Cambria" w:hAnsi="Cambria" w:eastAsia="Calibri" w:cs="Times New Roman"/>
          <w:sz w:val="22"/>
          <w:szCs w:val="22"/>
        </w:rPr>
        <w:t>Pregoeiro</w:t>
      </w:r>
      <w:r>
        <w:rPr>
          <w:rFonts w:ascii="Cambria" w:hAnsi="Cambria" w:eastAsia="Calibri" w:cs="Times New Roman"/>
          <w:color w:val="000000"/>
          <w:sz w:val="22"/>
          <w:szCs w:val="22"/>
        </w:rPr>
        <w:t xml:space="preserve"> no sistema eletrônico e deverá:</w:t>
      </w:r>
    </w:p>
    <w:p w14:paraId="1EC12158">
      <w:pPr>
        <w:pStyle w:val="61"/>
        <w:numPr>
          <w:ilvl w:val="2"/>
          <w:numId w:val="9"/>
        </w:numPr>
        <w:tabs>
          <w:tab w:val="left" w:pos="284"/>
          <w:tab w:val="left" w:pos="709"/>
          <w:tab w:val="left" w:pos="993"/>
        </w:tabs>
        <w:ind w:left="0" w:firstLine="0"/>
        <w:jc w:val="both"/>
        <w:rPr>
          <w:rFonts w:ascii="Cambria" w:hAnsi="Cambria" w:cs="Times New Roman"/>
          <w:sz w:val="22"/>
          <w:szCs w:val="22"/>
        </w:rPr>
      </w:pPr>
      <w:r>
        <w:rPr>
          <w:rFonts w:ascii="Cambria" w:hAnsi="Cambria" w:eastAsia="Calibri" w:cs="Times New Roman"/>
          <w:sz w:val="22"/>
          <w:szCs w:val="22"/>
        </w:rPr>
        <w:t>Ser redigida em língua portuguesa, digitada, em uma via, sem emendas, rasuras, entrelinhas ou ressalvas, devendo a última folha ser assinada e as demais rubricadas pelo licitante ou seu representante legal.</w:t>
      </w:r>
    </w:p>
    <w:p w14:paraId="255F8547">
      <w:pPr>
        <w:numPr>
          <w:ilvl w:val="2"/>
          <w:numId w:val="9"/>
        </w:numPr>
        <w:tabs>
          <w:tab w:val="left" w:pos="284"/>
          <w:tab w:val="left" w:pos="709"/>
          <w:tab w:val="left" w:pos="993"/>
        </w:tabs>
        <w:ind w:left="0" w:firstLine="0"/>
        <w:jc w:val="both"/>
        <w:rPr>
          <w:rFonts w:ascii="Cambria" w:hAnsi="Cambria" w:cs="Times New Roman"/>
          <w:sz w:val="22"/>
          <w:szCs w:val="22"/>
        </w:rPr>
      </w:pPr>
      <w:r>
        <w:rPr>
          <w:rFonts w:ascii="Cambria" w:hAnsi="Cambria" w:eastAsia="Calibri" w:cs="Times New Roman"/>
          <w:sz w:val="22"/>
          <w:szCs w:val="22"/>
        </w:rPr>
        <w:t>Conter a indicação do banco, número da conta e agência do licitante vencedor, para fins de pagamento.</w:t>
      </w:r>
    </w:p>
    <w:p w14:paraId="047510AB">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0"/>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proposta final deverá ser documentada nos autos e será levada em consideração no decorrer da execução do contrato e aplicação de eventual sanção à Contratada, se for o caso.</w:t>
      </w:r>
    </w:p>
    <w:p w14:paraId="071B1F3D">
      <w:pPr>
        <w:numPr>
          <w:ilvl w:val="2"/>
          <w:numId w:val="9"/>
        </w:numPr>
        <w:tabs>
          <w:tab w:val="left" w:pos="0"/>
          <w:tab w:val="left" w:pos="709"/>
          <w:tab w:val="left" w:pos="993"/>
        </w:tabs>
        <w:ind w:left="0" w:firstLine="0"/>
        <w:jc w:val="both"/>
        <w:rPr>
          <w:rFonts w:ascii="Cambria" w:hAnsi="Cambria" w:cs="Times New Roman"/>
          <w:sz w:val="22"/>
          <w:szCs w:val="22"/>
        </w:rPr>
      </w:pPr>
      <w:r>
        <w:rPr>
          <w:rFonts w:ascii="Cambria" w:hAnsi="Cambria" w:eastAsia="Calibri" w:cs="Times New Roman"/>
          <w:sz w:val="22"/>
          <w:szCs w:val="22"/>
        </w:rPr>
        <w:t>Todas as especificações do objeto contidas na proposta, tais como marca, modelo, e fabricante, vinculam a Contratada.</w:t>
      </w:r>
    </w:p>
    <w:p w14:paraId="6A6939AE">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Os preços </w:t>
      </w:r>
      <w:r>
        <w:rPr>
          <w:rFonts w:ascii="Cambria" w:hAnsi="Cambria" w:eastAsia="Calibri" w:cs="Times New Roman"/>
          <w:sz w:val="22"/>
          <w:szCs w:val="22"/>
        </w:rPr>
        <w:t>devem</w:t>
      </w:r>
      <w:r>
        <w:rPr>
          <w:rFonts w:ascii="Cambria" w:hAnsi="Cambria" w:eastAsia="Calibri" w:cs="Times New Roman"/>
          <w:color w:val="000000"/>
          <w:sz w:val="22"/>
          <w:szCs w:val="22"/>
        </w:rPr>
        <w:t xml:space="preserve"> ser expressos em moeda corrente nacional, o valor unitário em algarismos e o valor global em algarismos e por extenso.</w:t>
      </w:r>
    </w:p>
    <w:p w14:paraId="03C2CB00">
      <w:pPr>
        <w:numPr>
          <w:ilvl w:val="2"/>
          <w:numId w:val="9"/>
        </w:numPr>
        <w:tabs>
          <w:tab w:val="left" w:pos="709"/>
          <w:tab w:val="left" w:pos="993"/>
        </w:tabs>
        <w:ind w:left="0" w:firstLine="0"/>
        <w:jc w:val="both"/>
        <w:rPr>
          <w:rFonts w:ascii="Cambria" w:hAnsi="Cambria" w:cs="Times New Roman"/>
          <w:sz w:val="22"/>
          <w:szCs w:val="22"/>
        </w:rPr>
      </w:pPr>
      <w:r>
        <w:rPr>
          <w:rFonts w:ascii="Cambria" w:hAnsi="Cambria" w:eastAsia="Calibri" w:cs="Times New Roman"/>
          <w:sz w:val="22"/>
          <w:szCs w:val="22"/>
        </w:rPr>
        <w:t>Ocorrendo divergência entre os preços unitários e o preço global, prevalecerão os primeiros; no caso de divergência entre os valores numéricos e os valores expressos por extenso, prevalecerão estes últimos.</w:t>
      </w:r>
    </w:p>
    <w:p w14:paraId="09668C46">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DD2BB01">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333CCE04">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propostas que contenham a descrição do objeto, o valor e os documentos complementares estarão disponíveis na internet, após a homologação.</w:t>
      </w:r>
    </w:p>
    <w:p w14:paraId="3EB82C25">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3A82663A">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DOS RECURSOS.</w:t>
      </w:r>
    </w:p>
    <w:p w14:paraId="72E46330">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1C6138FC">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3E76640">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O acolhimento do recurso invalida tão somente os atos insuscetíveis de aproveitamento. </w:t>
      </w:r>
    </w:p>
    <w:p w14:paraId="1B5BA01A">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autos do processo permanecerão com vista franqueada aos interessados, no endereço constante neste Edital.</w:t>
      </w:r>
    </w:p>
    <w:p w14:paraId="2519D219">
      <w:pPr>
        <w:pBdr>
          <w:top w:val="none" w:color="auto" w:sz="0" w:space="0"/>
          <w:left w:val="none" w:color="auto" w:sz="0" w:space="0"/>
          <w:bottom w:val="none" w:color="auto" w:sz="0" w:space="0"/>
          <w:right w:val="none" w:color="auto" w:sz="0" w:space="0"/>
          <w:between w:val="none" w:color="auto" w:sz="0" w:space="0"/>
        </w:pBdr>
        <w:tabs>
          <w:tab w:val="left" w:pos="709"/>
          <w:tab w:val="left" w:pos="993"/>
        </w:tabs>
        <w:jc w:val="both"/>
        <w:rPr>
          <w:rFonts w:ascii="Cambria" w:hAnsi="Cambria" w:eastAsia="Calibri" w:cs="Times New Roman"/>
          <w:color w:val="000000"/>
          <w:sz w:val="22"/>
          <w:szCs w:val="22"/>
        </w:rPr>
      </w:pPr>
    </w:p>
    <w:p w14:paraId="6A9DDBF3">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REABERTURA DA SESSÃO PÚBLICA.</w:t>
      </w:r>
    </w:p>
    <w:p w14:paraId="76D37C56">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A sessão pública poderá ser reaberta:</w:t>
      </w:r>
    </w:p>
    <w:p w14:paraId="3C994821">
      <w:pPr>
        <w:numPr>
          <w:ilvl w:val="2"/>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993"/>
          <w:tab w:val="left" w:pos="1134"/>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09F68CD2">
      <w:pPr>
        <w:numPr>
          <w:ilvl w:val="2"/>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1134"/>
          <w:tab w:val="left" w:pos="1418"/>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7BAF704">
      <w:pPr>
        <w:numPr>
          <w:ilvl w:val="2"/>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Todos os licitantes remanescentes deverão ser convocados para acompanhar a sessão reaberta.</w:t>
      </w:r>
    </w:p>
    <w:p w14:paraId="2358CC38">
      <w:pPr>
        <w:numPr>
          <w:ilvl w:val="2"/>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993"/>
          <w:tab w:val="left" w:pos="1418"/>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A convocação se dará por meio do sistema eletrônico (“chat”), ou e-mail, ou de acordo com a fase do procedimento licitatório.</w:t>
      </w:r>
    </w:p>
    <w:p w14:paraId="194891CC">
      <w:pPr>
        <w:numPr>
          <w:ilvl w:val="2"/>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A convocação feita por e-mail dar-se-á de acordo com os dados contidos no </w:t>
      </w:r>
      <w:r>
        <w:rPr>
          <w:rFonts w:ascii="Cambria" w:hAnsi="Cambria" w:eastAsia="Calibri" w:cs="Times New Roman"/>
          <w:b/>
          <w:color w:val="000000"/>
          <w:sz w:val="22"/>
          <w:szCs w:val="22"/>
        </w:rPr>
        <w:t xml:space="preserve">CADASTRO DO PORTAL DE COMPRAS </w:t>
      </w:r>
      <w:r>
        <w:rPr>
          <w:rFonts w:ascii="Cambria" w:hAnsi="Cambria" w:eastAsia="Calibri" w:cs="Times New Roman"/>
          <w:b/>
          <w:sz w:val="22"/>
          <w:szCs w:val="22"/>
        </w:rPr>
        <w:t>PÚBLICAS,</w:t>
      </w:r>
      <w:r>
        <w:rPr>
          <w:rFonts w:ascii="Cambria" w:hAnsi="Cambria" w:eastAsia="Calibri" w:cs="Times New Roman"/>
          <w:color w:val="000000"/>
          <w:sz w:val="22"/>
          <w:szCs w:val="22"/>
        </w:rPr>
        <w:t xml:space="preserve"> sendo responsabilidade do licitante manter seus dados cadastrais atualizados.</w:t>
      </w:r>
    </w:p>
    <w:p w14:paraId="100DF669">
      <w:pPr>
        <w:tabs>
          <w:tab w:val="left" w:pos="709"/>
        </w:tabs>
        <w:jc w:val="both"/>
        <w:rPr>
          <w:rFonts w:ascii="Cambria" w:hAnsi="Cambria" w:eastAsia="Calibri" w:cs="Times New Roman"/>
          <w:sz w:val="22"/>
          <w:szCs w:val="22"/>
        </w:rPr>
      </w:pPr>
    </w:p>
    <w:p w14:paraId="02B2CF93">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ADJUDICAÇÃO E HOMOLOGAÇÃO.</w:t>
      </w:r>
    </w:p>
    <w:p w14:paraId="2DCE22E0">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Julgados os recursos, constatada a regularidade dos atos praticados, a Autoridade </w:t>
      </w:r>
      <w:r>
        <w:rPr>
          <w:rFonts w:ascii="Cambria" w:hAnsi="Cambria" w:eastAsia="Calibri" w:cs="Times New Roman"/>
          <w:sz w:val="22"/>
          <w:szCs w:val="22"/>
        </w:rPr>
        <w:t>Competente adjudicou</w:t>
      </w:r>
      <w:r>
        <w:rPr>
          <w:rFonts w:ascii="Cambria" w:hAnsi="Cambria" w:eastAsia="Calibri" w:cs="Times New Roman"/>
          <w:color w:val="000000"/>
          <w:sz w:val="22"/>
          <w:szCs w:val="22"/>
        </w:rPr>
        <w:t xml:space="preserve"> e </w:t>
      </w:r>
      <w:r>
        <w:rPr>
          <w:rFonts w:ascii="Cambria" w:hAnsi="Cambria" w:eastAsia="Calibri" w:cs="Times New Roman"/>
          <w:sz w:val="22"/>
          <w:szCs w:val="22"/>
        </w:rPr>
        <w:t>homologou</w:t>
      </w:r>
      <w:r>
        <w:rPr>
          <w:rFonts w:ascii="Cambria" w:hAnsi="Cambria" w:eastAsia="Calibri" w:cs="Times New Roman"/>
          <w:color w:val="000000"/>
          <w:sz w:val="22"/>
          <w:szCs w:val="22"/>
        </w:rPr>
        <w:t xml:space="preserve"> a licitação. </w:t>
      </w:r>
    </w:p>
    <w:p w14:paraId="581CB3FB">
      <w:pPr>
        <w:pBdr>
          <w:top w:val="none" w:color="auto" w:sz="0" w:space="0"/>
          <w:left w:val="none" w:color="auto" w:sz="0" w:space="0"/>
          <w:bottom w:val="none" w:color="auto" w:sz="0" w:space="0"/>
          <w:right w:val="none" w:color="auto" w:sz="0" w:space="0"/>
          <w:between w:val="none" w:color="auto" w:sz="0" w:space="0"/>
        </w:pBdr>
        <w:tabs>
          <w:tab w:val="left" w:pos="709"/>
          <w:tab w:val="left" w:pos="993"/>
        </w:tabs>
        <w:jc w:val="both"/>
        <w:rPr>
          <w:rFonts w:ascii="Cambria" w:hAnsi="Cambria" w:eastAsia="Calibri" w:cs="Times New Roman"/>
          <w:color w:val="000000"/>
          <w:sz w:val="22"/>
          <w:szCs w:val="22"/>
        </w:rPr>
      </w:pPr>
    </w:p>
    <w:p w14:paraId="60317E65">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GARANTIA DE EXECUÇÃO.</w:t>
      </w:r>
    </w:p>
    <w:p w14:paraId="3294FF0A">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0"/>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Não haverá exigência de garantia de execução para a presente contratação</w:t>
      </w:r>
      <w:r>
        <w:rPr>
          <w:rFonts w:ascii="Cambria" w:hAnsi="Cambria" w:eastAsia="Calibri" w:cs="Times New Roman"/>
          <w:color w:val="FF0000"/>
          <w:sz w:val="22"/>
          <w:szCs w:val="22"/>
        </w:rPr>
        <w:t>.</w:t>
      </w:r>
    </w:p>
    <w:p w14:paraId="6F92F79A">
      <w:pPr>
        <w:pBdr>
          <w:top w:val="none" w:color="auto" w:sz="0" w:space="0"/>
          <w:left w:val="none" w:color="auto" w:sz="0" w:space="0"/>
          <w:bottom w:val="none" w:color="auto" w:sz="0" w:space="0"/>
          <w:right w:val="none" w:color="auto" w:sz="0" w:space="0"/>
          <w:between w:val="none" w:color="auto" w:sz="0" w:space="0"/>
        </w:pBdr>
        <w:tabs>
          <w:tab w:val="left" w:pos="0"/>
          <w:tab w:val="left" w:pos="567"/>
          <w:tab w:val="left" w:pos="709"/>
        </w:tabs>
        <w:jc w:val="both"/>
        <w:rPr>
          <w:rFonts w:ascii="Cambria" w:hAnsi="Cambria" w:eastAsia="Calibri" w:cs="Times New Roman"/>
          <w:sz w:val="22"/>
          <w:szCs w:val="22"/>
        </w:rPr>
      </w:pPr>
    </w:p>
    <w:p w14:paraId="7431BE83">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TERMO DE CONTRATO OU INSTRUMENTO EQUIVALENTE</w:t>
      </w:r>
    </w:p>
    <w:p w14:paraId="012C4BEF">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Após a homologação da licitação, em sendo realizada a contratação, será firmado Termo de Contrato ou emitido instrumento equivalente.</w:t>
      </w:r>
    </w:p>
    <w:p w14:paraId="412EACE6">
      <w:pPr>
        <w:keepNext/>
        <w:keepLines/>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O adjudicatário terá o prazo de </w:t>
      </w:r>
      <w:r>
        <w:rPr>
          <w:rFonts w:ascii="Cambria" w:hAnsi="Cambria" w:eastAsia="Calibri" w:cs="Times New Roman"/>
          <w:b/>
          <w:bCs/>
          <w:sz w:val="22"/>
          <w:szCs w:val="22"/>
        </w:rPr>
        <w:t>três dias úteis</w:t>
      </w:r>
      <w:r>
        <w:rPr>
          <w:rFonts w:ascii="Cambria" w:hAnsi="Cambria" w:eastAsia="Calibri" w:cs="Times New Roman"/>
          <w:sz w:val="22"/>
          <w:szCs w:val="22"/>
        </w:rPr>
        <w:t xml:space="preserve">, contados a partir da data de sua convocação, para assinar o </w:t>
      </w:r>
      <w:r>
        <w:rPr>
          <w:rFonts w:ascii="Cambria" w:hAnsi="Cambria" w:eastAsia="Calibri" w:cs="Times New Roman"/>
          <w:color w:val="000000"/>
          <w:sz w:val="22"/>
          <w:szCs w:val="22"/>
        </w:rPr>
        <w:t>Termo de Contrato ou aceitar instrumento equivalente, conforme o caso (Nota de Empenho/Carta Contrato/Autorização), sob pena de decair do direito à contratação, sem prejuízo das sanções previstas neste Edital.</w:t>
      </w:r>
    </w:p>
    <w:p w14:paraId="787ED70D">
      <w:pPr>
        <w:tabs>
          <w:tab w:val="left" w:pos="567"/>
        </w:tabs>
        <w:jc w:val="both"/>
        <w:rPr>
          <w:rFonts w:ascii="Cambria" w:hAnsi="Cambria" w:eastAsia="Calibri" w:cs="Times New Roman"/>
          <w:sz w:val="22"/>
          <w:szCs w:val="22"/>
        </w:rPr>
      </w:pPr>
      <w:r>
        <w:rPr>
          <w:rFonts w:ascii="Cambria" w:hAnsi="Cambria" w:eastAsia="Calibri" w:cs="Times New Roman"/>
          <w:b/>
          <w:sz w:val="22"/>
          <w:szCs w:val="22"/>
        </w:rPr>
        <w:t>15.2.1.</w:t>
      </w:r>
      <w:r>
        <w:rPr>
          <w:rFonts w:ascii="Cambria" w:hAnsi="Cambria" w:eastAsia="Calibri" w:cs="Times New Roman"/>
          <w:sz w:val="22"/>
          <w:szCs w:val="22"/>
        </w:rPr>
        <w:tab/>
      </w:r>
      <w:r>
        <w:rPr>
          <w:rFonts w:ascii="Cambria" w:hAnsi="Cambria" w:eastAsia="Calibri" w:cs="Times New Roman"/>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Pr>
          <w:rFonts w:ascii="Cambria" w:hAnsi="Cambria" w:eastAsia="Calibri" w:cs="Times New Roman"/>
          <w:b/>
          <w:bCs/>
          <w:sz w:val="22"/>
          <w:szCs w:val="22"/>
        </w:rPr>
        <w:t>três dias úteis</w:t>
      </w:r>
      <w:r>
        <w:rPr>
          <w:rFonts w:ascii="Cambria" w:hAnsi="Cambria" w:eastAsia="Calibri" w:cs="Times New Roman"/>
          <w:sz w:val="22"/>
          <w:szCs w:val="22"/>
        </w:rPr>
        <w:t>, a contar da data de seu recebimento.</w:t>
      </w:r>
    </w:p>
    <w:p w14:paraId="4F102389">
      <w:pPr>
        <w:tabs>
          <w:tab w:val="left" w:pos="567"/>
          <w:tab w:val="left" w:pos="709"/>
        </w:tabs>
        <w:jc w:val="both"/>
        <w:rPr>
          <w:rFonts w:ascii="Cambria" w:hAnsi="Cambria" w:eastAsia="Calibri" w:cs="Times New Roman"/>
          <w:sz w:val="22"/>
          <w:szCs w:val="22"/>
        </w:rPr>
      </w:pPr>
      <w:r>
        <w:rPr>
          <w:rFonts w:ascii="Cambria" w:hAnsi="Cambria" w:eastAsia="Calibri" w:cs="Times New Roman"/>
          <w:b/>
          <w:sz w:val="22"/>
          <w:szCs w:val="22"/>
        </w:rPr>
        <w:t>15.2.2.</w:t>
      </w:r>
      <w:r>
        <w:rPr>
          <w:rFonts w:ascii="Cambria" w:hAnsi="Cambria" w:eastAsia="Calibri" w:cs="Times New Roman"/>
          <w:sz w:val="22"/>
          <w:szCs w:val="22"/>
        </w:rPr>
        <w:tab/>
      </w:r>
      <w:r>
        <w:rPr>
          <w:rFonts w:ascii="Cambria" w:hAnsi="Cambria" w:eastAsia="Calibri" w:cs="Times New Roman"/>
          <w:sz w:val="22"/>
          <w:szCs w:val="22"/>
        </w:rPr>
        <w:t>O prazo previsto no subitem anterior poderá ser prorrogado, por igual período, por solicitação justificada do adjudicatário e aceita pela Administração.</w:t>
      </w:r>
    </w:p>
    <w:p w14:paraId="073AF2AE">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Aceite da Nota de Empenho ou do instrumento equivalente, emitida à empresa adjudicada, implica no reconhecimento de que:</w:t>
      </w:r>
    </w:p>
    <w:p w14:paraId="7B78EBC0">
      <w:pPr>
        <w:tabs>
          <w:tab w:val="left" w:pos="709"/>
        </w:tabs>
        <w:jc w:val="both"/>
        <w:rPr>
          <w:rFonts w:ascii="Cambria" w:hAnsi="Cambria" w:eastAsia="Calibri" w:cs="Times New Roman"/>
          <w:sz w:val="22"/>
          <w:szCs w:val="22"/>
        </w:rPr>
      </w:pPr>
      <w:r>
        <w:rPr>
          <w:rFonts w:ascii="Cambria" w:hAnsi="Cambria" w:eastAsia="Calibri" w:cs="Times New Roman"/>
          <w:b/>
          <w:sz w:val="22"/>
          <w:szCs w:val="22"/>
        </w:rPr>
        <w:t>15.3.3</w:t>
      </w:r>
      <w:r>
        <w:rPr>
          <w:rFonts w:ascii="Cambria" w:hAnsi="Cambria" w:eastAsia="Calibri" w:cs="Times New Roman"/>
          <w:sz w:val="22"/>
          <w:szCs w:val="22"/>
        </w:rPr>
        <w:t>. Referida Nota está substituindo o contrato, aplicando-se à relação de negócios ali estabelecida as disposições da Lei nº 14.133/2021;</w:t>
      </w:r>
    </w:p>
    <w:p w14:paraId="381A0140">
      <w:pPr>
        <w:tabs>
          <w:tab w:val="left" w:pos="709"/>
        </w:tabs>
        <w:jc w:val="both"/>
        <w:rPr>
          <w:rFonts w:ascii="Cambria" w:hAnsi="Cambria" w:eastAsia="Calibri" w:cs="Times New Roman"/>
          <w:sz w:val="22"/>
          <w:szCs w:val="22"/>
        </w:rPr>
      </w:pPr>
      <w:r>
        <w:rPr>
          <w:rFonts w:ascii="Cambria" w:hAnsi="Cambria" w:eastAsia="Calibri" w:cs="Times New Roman"/>
          <w:b/>
          <w:sz w:val="22"/>
          <w:szCs w:val="22"/>
        </w:rPr>
        <w:t>15.3.2</w:t>
      </w:r>
      <w:r>
        <w:rPr>
          <w:rFonts w:ascii="Cambria" w:hAnsi="Cambria" w:eastAsia="Calibri" w:cs="Times New Roman"/>
          <w:sz w:val="22"/>
          <w:szCs w:val="22"/>
        </w:rPr>
        <w:t>. A contratada se vincula à sua proposta e às previsões contidas no edital e seus anexos;</w:t>
      </w:r>
    </w:p>
    <w:p w14:paraId="4641AD39">
      <w:pPr>
        <w:tabs>
          <w:tab w:val="left" w:pos="709"/>
        </w:tabs>
        <w:jc w:val="both"/>
        <w:rPr>
          <w:rFonts w:ascii="Cambria" w:hAnsi="Cambria" w:eastAsia="Calibri" w:cs="Times New Roman"/>
          <w:sz w:val="22"/>
          <w:szCs w:val="22"/>
        </w:rPr>
      </w:pPr>
      <w:r>
        <w:rPr>
          <w:rFonts w:ascii="Cambria" w:hAnsi="Cambria" w:eastAsia="Calibri" w:cs="Times New Roman"/>
          <w:b/>
          <w:sz w:val="22"/>
          <w:szCs w:val="22"/>
        </w:rPr>
        <w:t>15.3.3.</w:t>
      </w:r>
      <w:r>
        <w:rPr>
          <w:rFonts w:ascii="Cambria" w:hAnsi="Cambria" w:eastAsia="Calibri" w:cs="Times New Roman"/>
          <w:sz w:val="22"/>
          <w:szCs w:val="22"/>
        </w:rPr>
        <w:t xml:space="preserve"> A contratada reconhece que as hipóteses de rescisão são aquelas previstas no artigo 137 da Lei nº 14.133/2021 e reconhece os direitos da Administração previstos nos artigos 138 e 139 da mesma Lei.</w:t>
      </w:r>
    </w:p>
    <w:p w14:paraId="5A113E1F">
      <w:pPr>
        <w:tabs>
          <w:tab w:val="left" w:pos="567"/>
          <w:tab w:val="left" w:pos="709"/>
        </w:tabs>
        <w:jc w:val="both"/>
        <w:rPr>
          <w:rFonts w:ascii="Cambria" w:hAnsi="Cambria" w:eastAsia="Calibri" w:cs="Times New Roman"/>
          <w:sz w:val="22"/>
          <w:szCs w:val="22"/>
        </w:rPr>
      </w:pPr>
      <w:r>
        <w:rPr>
          <w:rFonts w:ascii="Cambria" w:hAnsi="Cambria" w:eastAsia="Calibri" w:cs="Times New Roman"/>
          <w:b/>
          <w:sz w:val="22"/>
          <w:szCs w:val="22"/>
        </w:rPr>
        <w:t>15.4</w:t>
      </w:r>
      <w:r>
        <w:rPr>
          <w:rFonts w:ascii="Cambria" w:hAnsi="Cambria" w:eastAsia="Calibri" w:cs="Times New Roman"/>
          <w:sz w:val="22"/>
          <w:szCs w:val="22"/>
        </w:rPr>
        <w:t>.</w:t>
      </w:r>
      <w:r>
        <w:rPr>
          <w:rFonts w:ascii="Cambria" w:hAnsi="Cambria" w:eastAsia="Calibri" w:cs="Times New Roman"/>
          <w:sz w:val="22"/>
          <w:szCs w:val="22"/>
        </w:rPr>
        <w:tab/>
      </w:r>
      <w:r>
        <w:rPr>
          <w:rFonts w:ascii="Cambria" w:hAnsi="Cambria" w:eastAsia="Calibri" w:cs="Times New Roman"/>
          <w:sz w:val="22"/>
          <w:szCs w:val="22"/>
        </w:rPr>
        <w:t xml:space="preserve">O prazo de vigência da contratação é o estabelecido no Termo de Referência. </w:t>
      </w:r>
    </w:p>
    <w:p w14:paraId="40B78409">
      <w:pPr>
        <w:tabs>
          <w:tab w:val="left" w:pos="567"/>
          <w:tab w:val="left" w:pos="709"/>
        </w:tabs>
        <w:jc w:val="both"/>
        <w:rPr>
          <w:rFonts w:ascii="Cambria" w:hAnsi="Cambria" w:eastAsia="Calibri" w:cs="Times New Roman"/>
          <w:sz w:val="22"/>
          <w:szCs w:val="22"/>
        </w:rPr>
      </w:pPr>
      <w:r>
        <w:rPr>
          <w:rFonts w:ascii="Cambria" w:hAnsi="Cambria" w:eastAsia="Calibri" w:cs="Times New Roman"/>
          <w:b/>
          <w:sz w:val="22"/>
          <w:szCs w:val="22"/>
        </w:rPr>
        <w:t>15.5.</w:t>
      </w:r>
      <w:r>
        <w:rPr>
          <w:rFonts w:ascii="Cambria" w:hAnsi="Cambria" w:eastAsia="Calibri" w:cs="Times New Roman"/>
          <w:sz w:val="22"/>
          <w:szCs w:val="22"/>
        </w:rPr>
        <w:tab/>
      </w:r>
      <w:r>
        <w:rPr>
          <w:rFonts w:ascii="Cambria" w:hAnsi="Cambria" w:eastAsia="Calibri" w:cs="Times New Roman"/>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53700DAE">
      <w:pPr>
        <w:tabs>
          <w:tab w:val="left" w:pos="567"/>
          <w:tab w:val="left" w:pos="709"/>
        </w:tabs>
        <w:jc w:val="both"/>
        <w:rPr>
          <w:rFonts w:ascii="Cambria" w:hAnsi="Cambria" w:eastAsia="Calibri" w:cs="Times New Roman"/>
          <w:sz w:val="22"/>
          <w:szCs w:val="22"/>
        </w:rPr>
      </w:pPr>
      <w:r>
        <w:rPr>
          <w:rFonts w:ascii="Cambria" w:hAnsi="Cambria" w:eastAsia="Calibri" w:cs="Times New Roman"/>
          <w:b/>
          <w:sz w:val="22"/>
          <w:szCs w:val="22"/>
        </w:rPr>
        <w:t>15.6.</w:t>
      </w:r>
      <w:r>
        <w:rPr>
          <w:rFonts w:ascii="Cambria" w:hAnsi="Cambria" w:eastAsia="Calibri" w:cs="Times New Roman"/>
          <w:sz w:val="22"/>
          <w:szCs w:val="22"/>
        </w:rPr>
        <w:tab/>
      </w:r>
      <w:r>
        <w:rPr>
          <w:rFonts w:ascii="Cambria" w:hAnsi="Cambria" w:eastAsia="Calibri" w:cs="Times New Roman"/>
          <w:sz w:val="22"/>
          <w:szCs w:val="22"/>
        </w:rPr>
        <w:t>Na assinatura do contrato, será exigida a comprovação das condições de habilitação consignadas neste Edital, as quais deverão ser mantidas pelo licitante durante a vigência do contrato.</w:t>
      </w:r>
    </w:p>
    <w:p w14:paraId="2F13B0F9">
      <w:pPr>
        <w:tabs>
          <w:tab w:val="left" w:pos="709"/>
        </w:tabs>
        <w:jc w:val="both"/>
        <w:rPr>
          <w:rFonts w:ascii="Cambria" w:hAnsi="Cambria" w:eastAsia="Calibri" w:cs="Times New Roman"/>
          <w:sz w:val="22"/>
          <w:szCs w:val="22"/>
        </w:rPr>
      </w:pPr>
      <w:r>
        <w:rPr>
          <w:rFonts w:ascii="Cambria" w:hAnsi="Cambria" w:eastAsia="Calibri" w:cs="Times New Roman"/>
          <w:b/>
          <w:sz w:val="22"/>
          <w:szCs w:val="22"/>
        </w:rPr>
        <w:t>15.6.1.</w:t>
      </w:r>
      <w:r>
        <w:rPr>
          <w:rFonts w:ascii="Cambria" w:hAnsi="Cambria" w:eastAsia="Calibri" w:cs="Times New Roman"/>
          <w:sz w:val="22"/>
          <w:szCs w:val="22"/>
        </w:rPr>
        <w:t xml:space="preserve"> Na hipótese de irregularidade, o contratado deverá regularizar a sua situação perante o cadastro no prazo de até 05 (cinco) dias úteis, sob pena de aplicação das penalidades previstas no edital e anexos.</w:t>
      </w:r>
    </w:p>
    <w:p w14:paraId="3CD61416">
      <w:pPr>
        <w:tabs>
          <w:tab w:val="left" w:pos="567"/>
        </w:tabs>
        <w:jc w:val="both"/>
        <w:rPr>
          <w:rFonts w:ascii="Cambria" w:hAnsi="Cambria" w:eastAsia="Calibri" w:cs="Times New Roman"/>
          <w:sz w:val="22"/>
          <w:szCs w:val="22"/>
        </w:rPr>
      </w:pPr>
      <w:r>
        <w:rPr>
          <w:rFonts w:ascii="Cambria" w:hAnsi="Cambria" w:eastAsia="Calibri" w:cs="Times New Roman"/>
          <w:b/>
          <w:sz w:val="22"/>
          <w:szCs w:val="22"/>
        </w:rPr>
        <w:t>15.7</w:t>
      </w:r>
      <w:r>
        <w:rPr>
          <w:rFonts w:ascii="Cambria" w:hAnsi="Cambria" w:eastAsia="Calibri" w:cs="Times New Roman"/>
          <w:sz w:val="22"/>
          <w:szCs w:val="22"/>
        </w:rPr>
        <w:t>.</w:t>
      </w:r>
      <w:r>
        <w:rPr>
          <w:rFonts w:ascii="Cambria" w:hAnsi="Cambria" w:eastAsia="Calibri" w:cs="Times New Roman"/>
          <w:sz w:val="22"/>
          <w:szCs w:val="22"/>
        </w:rPr>
        <w:tab/>
      </w:r>
      <w:r>
        <w:rPr>
          <w:rFonts w:ascii="Cambria" w:hAnsi="Cambria" w:eastAsia="Calibri" w:cs="Times New Roman"/>
          <w:sz w:val="22"/>
          <w:szCs w:val="22"/>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10371B04">
      <w:pPr>
        <w:tabs>
          <w:tab w:val="left" w:pos="567"/>
          <w:tab w:val="left" w:pos="709"/>
        </w:tabs>
        <w:jc w:val="both"/>
        <w:rPr>
          <w:rFonts w:ascii="Cambria" w:hAnsi="Cambria" w:eastAsia="Calibri" w:cs="Times New Roman"/>
          <w:color w:val="000000"/>
          <w:sz w:val="22"/>
          <w:szCs w:val="22"/>
        </w:rPr>
      </w:pPr>
    </w:p>
    <w:p w14:paraId="2D14114A">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REAJUSTAMENTO EM SENTIDO GERAL.</w:t>
      </w:r>
    </w:p>
    <w:p w14:paraId="64C07444">
      <w:pPr>
        <w:numPr>
          <w:ilvl w:val="1"/>
          <w:numId w:val="9"/>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regras acerca do reajustamento em sentido geral do valor contratual são as estabelecidas no Termo de Referência, anexo a este Edital.</w:t>
      </w:r>
    </w:p>
    <w:p w14:paraId="46393A88">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1C87477A">
      <w:pPr>
        <w:keepNext/>
        <w:keepLines/>
        <w:numPr>
          <w:ilvl w:val="0"/>
          <w:numId w:val="9"/>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RECEBIMENTO DO OBJETO E DA FISCALIZAÇÃO.</w:t>
      </w:r>
    </w:p>
    <w:p w14:paraId="51EADCC2">
      <w:pPr>
        <w:numPr>
          <w:ilvl w:val="1"/>
          <w:numId w:val="10"/>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critérios de recebimento e aceitação do objeto e de fiscalização estão previstos no Termo de Referência.</w:t>
      </w:r>
    </w:p>
    <w:p w14:paraId="3A23D638">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0BDDF0B9">
      <w:pPr>
        <w:keepNext/>
        <w:keepLines/>
        <w:numPr>
          <w:ilvl w:val="0"/>
          <w:numId w:val="10"/>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DAS OBRIGAÇÕES DA CONTRATANTE E DA CONTRATADA.</w:t>
      </w:r>
    </w:p>
    <w:p w14:paraId="3449F781">
      <w:pPr>
        <w:numPr>
          <w:ilvl w:val="1"/>
          <w:numId w:val="10"/>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obrigações da Contratante e da Contratada são as estabelecidas no Termo de Referência.</w:t>
      </w:r>
      <w:r>
        <w:rPr>
          <w:rFonts w:ascii="Cambria" w:hAnsi="Cambria" w:eastAsia="Calibri" w:cs="Times New Roman"/>
          <w:b/>
          <w:color w:val="000000"/>
          <w:sz w:val="22"/>
          <w:szCs w:val="22"/>
        </w:rPr>
        <w:t xml:space="preserve"> </w:t>
      </w:r>
    </w:p>
    <w:p w14:paraId="14A8F17F">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bCs/>
          <w:color w:val="000000"/>
          <w:sz w:val="22"/>
          <w:szCs w:val="22"/>
        </w:rPr>
      </w:pPr>
    </w:p>
    <w:p w14:paraId="3045629D">
      <w:pPr>
        <w:keepNext/>
        <w:keepLines/>
        <w:numPr>
          <w:ilvl w:val="0"/>
          <w:numId w:val="10"/>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DO PAGAMENTO.</w:t>
      </w:r>
    </w:p>
    <w:p w14:paraId="7F3FAEE9">
      <w:pPr>
        <w:numPr>
          <w:ilvl w:val="1"/>
          <w:numId w:val="10"/>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regras acerca do pagamento são as estabelecidas no Termo de Referência, anexo a este Edital.</w:t>
      </w:r>
    </w:p>
    <w:p w14:paraId="49262AE3">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5848253F">
      <w:pPr>
        <w:keepNext/>
        <w:keepLines/>
        <w:numPr>
          <w:ilvl w:val="0"/>
          <w:numId w:val="10"/>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DAS SANÇÕES ADMINISTRATIVAS.</w:t>
      </w:r>
    </w:p>
    <w:p w14:paraId="74A8CCE6">
      <w:pPr>
        <w:numPr>
          <w:ilvl w:val="1"/>
          <w:numId w:val="11"/>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highlight w:val="white"/>
        </w:rPr>
      </w:pPr>
      <w:r>
        <w:rPr>
          <w:rFonts w:ascii="Cambria" w:hAnsi="Cambria" w:eastAsia="Calibri" w:cs="Times New Roman"/>
          <w:color w:val="000000"/>
          <w:sz w:val="22"/>
          <w:szCs w:val="22"/>
          <w:highlight w:val="white"/>
        </w:rPr>
        <w:t>Comete infração administrativa, nos termos da Lei nº 14.133/2021, o licitante/adjudicatário que:</w:t>
      </w:r>
    </w:p>
    <w:p w14:paraId="6E6D96E1">
      <w:pPr>
        <w:numPr>
          <w:ilvl w:val="2"/>
          <w:numId w:val="11"/>
        </w:numPr>
        <w:tabs>
          <w:tab w:val="left" w:pos="709"/>
          <w:tab w:val="left" w:pos="851"/>
          <w:tab w:val="left" w:pos="1134"/>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Der causa à inexecução parcial ou total do contrato;</w:t>
      </w:r>
    </w:p>
    <w:p w14:paraId="6D89EDFC">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Deixar de entregar os documentos exigidos no certame;</w:t>
      </w:r>
    </w:p>
    <w:p w14:paraId="2D8B869A">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Não mantiver a proposta, salvo em decorrência de fato superveniente devidamente justificado;</w:t>
      </w:r>
    </w:p>
    <w:p w14:paraId="096D7061">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Não assinar o termo de contrato ou aceitar/retirar o instrumento equivalente, quando convocado dentro do prazo de validade da proposta;</w:t>
      </w:r>
    </w:p>
    <w:p w14:paraId="40AEE45F">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 xml:space="preserve">Ensejar o </w:t>
      </w:r>
      <w:r>
        <w:rPr>
          <w:rFonts w:ascii="Cambria" w:hAnsi="Cambria" w:eastAsia="Calibri" w:cs="Times New Roman"/>
          <w:sz w:val="22"/>
          <w:szCs w:val="22"/>
        </w:rPr>
        <w:t>retardamento da execução ou entrega do objeto da licitação sem motivo justificado;</w:t>
      </w:r>
    </w:p>
    <w:p w14:paraId="79D51327">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Apresentar declaração ou documentação falsa;</w:t>
      </w:r>
    </w:p>
    <w:p w14:paraId="60ACD8D0">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Fraudar a licitação ou praticar ato fraudulento na execução do contrato;</w:t>
      </w:r>
    </w:p>
    <w:p w14:paraId="2FE8945D">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rPr>
        <w:t>Comportar-se de modo inidôneo ou cometer fraude de qualquer natureza;</w:t>
      </w:r>
    </w:p>
    <w:p w14:paraId="2C3FC8AE">
      <w:pPr>
        <w:numPr>
          <w:ilvl w:val="2"/>
          <w:numId w:val="11"/>
        </w:numPr>
        <w:tabs>
          <w:tab w:val="left" w:pos="709"/>
          <w:tab w:val="left" w:pos="993"/>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Praticar atos ilícitos com vistas a frustrar os objetivos da licitação;</w:t>
      </w:r>
    </w:p>
    <w:p w14:paraId="479399A4">
      <w:pPr>
        <w:numPr>
          <w:ilvl w:val="2"/>
          <w:numId w:val="11"/>
        </w:numPr>
        <w:tabs>
          <w:tab w:val="left" w:pos="851"/>
        </w:tabs>
        <w:ind w:left="0" w:firstLine="0"/>
        <w:jc w:val="both"/>
        <w:rPr>
          <w:rFonts w:ascii="Cambria" w:hAnsi="Cambria" w:cs="Times New Roman"/>
          <w:sz w:val="22"/>
          <w:szCs w:val="22"/>
          <w:highlight w:val="white"/>
        </w:rPr>
      </w:pPr>
      <w:r>
        <w:rPr>
          <w:rFonts w:ascii="Cambria" w:hAnsi="Cambria" w:eastAsia="Calibri" w:cs="Times New Roman"/>
          <w:sz w:val="22"/>
          <w:szCs w:val="22"/>
          <w:highlight w:val="white"/>
        </w:rPr>
        <w:t>Praticar ato lesivo previsto no art. 5º da Lei nº 12.846/2013.</w:t>
      </w:r>
    </w:p>
    <w:p w14:paraId="59F4BAEF">
      <w:pPr>
        <w:tabs>
          <w:tab w:val="left" w:pos="709"/>
        </w:tabs>
        <w:jc w:val="both"/>
        <w:rPr>
          <w:rFonts w:ascii="Cambria" w:hAnsi="Cambria" w:eastAsia="Calibri" w:cs="Times New Roman"/>
          <w:sz w:val="22"/>
          <w:szCs w:val="22"/>
        </w:rPr>
      </w:pPr>
      <w:r>
        <w:rPr>
          <w:rFonts w:ascii="Cambria" w:hAnsi="Cambria" w:eastAsia="Calibri" w:cs="Times New Roman"/>
          <w:b/>
          <w:sz w:val="22"/>
          <w:szCs w:val="22"/>
          <w:highlight w:val="white"/>
        </w:rPr>
        <w:t>20.2.</w:t>
      </w:r>
      <w:r>
        <w:rPr>
          <w:rFonts w:ascii="Cambria" w:hAnsi="Cambria" w:eastAsia="Calibri" w:cs="Times New Roman"/>
          <w:sz w:val="22"/>
          <w:szCs w:val="22"/>
        </w:rPr>
        <w:t xml:space="preserve"> O licitante/adjudicatário que cometer qualquer das infrações discriminadas nos subitens anteriores ficará sujeito, sem prejuízo da responsabilidade civil e criminal, às seguintes sanções:</w:t>
      </w:r>
    </w:p>
    <w:p w14:paraId="4DA9E7D6">
      <w:pPr>
        <w:numPr>
          <w:ilvl w:val="0"/>
          <w:numId w:val="1"/>
        </w:numPr>
        <w:tabs>
          <w:tab w:val="left" w:pos="-142"/>
          <w:tab w:val="left" w:pos="284"/>
          <w:tab w:val="left" w:pos="426"/>
          <w:tab w:val="left" w:pos="709"/>
        </w:tabs>
        <w:ind w:left="0" w:firstLine="0"/>
        <w:jc w:val="both"/>
        <w:rPr>
          <w:rFonts w:ascii="Cambria" w:hAnsi="Cambria" w:eastAsia="Calibri" w:cs="Times New Roman"/>
          <w:sz w:val="22"/>
          <w:szCs w:val="22"/>
        </w:rPr>
      </w:pPr>
      <w:r>
        <w:rPr>
          <w:rFonts w:ascii="Cambria" w:hAnsi="Cambria" w:eastAsia="Calibri" w:cs="Times New Roman"/>
          <w:sz w:val="22"/>
          <w:szCs w:val="22"/>
        </w:rPr>
        <w:t>Advertência por escrito;</w:t>
      </w:r>
    </w:p>
    <w:p w14:paraId="6AE88589">
      <w:pPr>
        <w:numPr>
          <w:ilvl w:val="0"/>
          <w:numId w:val="1"/>
        </w:numPr>
        <w:tabs>
          <w:tab w:val="left" w:pos="-142"/>
          <w:tab w:val="left" w:pos="284"/>
          <w:tab w:val="left" w:pos="426"/>
          <w:tab w:val="left" w:pos="709"/>
        </w:tabs>
        <w:ind w:left="0" w:firstLine="0"/>
        <w:jc w:val="both"/>
        <w:rPr>
          <w:rFonts w:ascii="Cambria" w:hAnsi="Cambria" w:eastAsia="Calibri" w:cs="Times New Roman"/>
          <w:sz w:val="22"/>
          <w:szCs w:val="22"/>
        </w:rPr>
      </w:pPr>
      <w:r>
        <w:rPr>
          <w:rFonts w:ascii="Cambria" w:hAnsi="Cambria" w:eastAsia="Calibri" w:cs="Times New Roman"/>
          <w:sz w:val="22"/>
          <w:szCs w:val="22"/>
        </w:rPr>
        <w:t>Multa;</w:t>
      </w:r>
    </w:p>
    <w:p w14:paraId="45512408">
      <w:pPr>
        <w:numPr>
          <w:ilvl w:val="0"/>
          <w:numId w:val="1"/>
        </w:numPr>
        <w:tabs>
          <w:tab w:val="left" w:pos="-142"/>
          <w:tab w:val="left" w:pos="284"/>
          <w:tab w:val="left" w:pos="426"/>
          <w:tab w:val="left" w:pos="709"/>
        </w:tabs>
        <w:ind w:left="0" w:firstLine="0"/>
        <w:jc w:val="both"/>
        <w:rPr>
          <w:rFonts w:ascii="Cambria" w:hAnsi="Cambria" w:eastAsia="Calibri" w:cs="Times New Roman"/>
          <w:sz w:val="22"/>
          <w:szCs w:val="22"/>
        </w:rPr>
      </w:pPr>
      <w:r>
        <w:rPr>
          <w:rFonts w:ascii="Cambria" w:hAnsi="Cambria" w:eastAsia="Calibri" w:cs="Times New Roman"/>
          <w:sz w:val="22"/>
          <w:szCs w:val="22"/>
        </w:rPr>
        <w:t>Impedimento de licitar e contratar;</w:t>
      </w:r>
    </w:p>
    <w:p w14:paraId="37437AD1">
      <w:pPr>
        <w:numPr>
          <w:ilvl w:val="0"/>
          <w:numId w:val="1"/>
        </w:numPr>
        <w:tabs>
          <w:tab w:val="left" w:pos="-142"/>
          <w:tab w:val="left" w:pos="284"/>
          <w:tab w:val="left" w:pos="567"/>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Declaração de inidoneidade para licitar ou contratar.</w:t>
      </w:r>
    </w:p>
    <w:p w14:paraId="40D5FA35">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20.3.</w:t>
      </w:r>
      <w:r>
        <w:rPr>
          <w:rFonts w:ascii="Cambria" w:hAnsi="Cambria" w:eastAsia="Calibri" w:cs="Times New Roman"/>
          <w:sz w:val="22"/>
          <w:szCs w:val="22"/>
        </w:rPr>
        <w:t xml:space="preserve"> A penalidade de multa pode ser aplicada cumulativamente com as demais sanções.</w:t>
      </w:r>
    </w:p>
    <w:p w14:paraId="6E6D7DBC">
      <w:pPr>
        <w:tabs>
          <w:tab w:val="left" w:pos="709"/>
        </w:tabs>
        <w:jc w:val="both"/>
        <w:rPr>
          <w:rFonts w:ascii="Cambria" w:hAnsi="Cambria" w:eastAsia="Calibri" w:cs="Times New Roman"/>
          <w:sz w:val="22"/>
          <w:szCs w:val="22"/>
        </w:rPr>
      </w:pPr>
      <w:r>
        <w:rPr>
          <w:rFonts w:ascii="Cambria" w:hAnsi="Cambria" w:eastAsia="Calibri" w:cs="Times New Roman"/>
          <w:b/>
          <w:sz w:val="22"/>
          <w:szCs w:val="22"/>
        </w:rPr>
        <w:t>20.4.</w:t>
      </w:r>
      <w:r>
        <w:rPr>
          <w:rFonts w:ascii="Cambria" w:hAnsi="Cambria" w:eastAsia="Calibri" w:cs="Times New Roman"/>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5F7BBCAA">
      <w:pPr>
        <w:tabs>
          <w:tab w:val="left" w:pos="709"/>
        </w:tabs>
        <w:jc w:val="both"/>
        <w:rPr>
          <w:rFonts w:ascii="Cambria" w:hAnsi="Cambria" w:eastAsia="Calibri" w:cs="Times New Roman"/>
          <w:sz w:val="22"/>
          <w:szCs w:val="22"/>
        </w:rPr>
      </w:pPr>
      <w:r>
        <w:rPr>
          <w:rFonts w:ascii="Cambria" w:hAnsi="Cambria" w:eastAsia="Calibri" w:cs="Times New Roman"/>
          <w:b/>
          <w:sz w:val="22"/>
          <w:szCs w:val="22"/>
        </w:rPr>
        <w:t>20.5.</w:t>
      </w:r>
      <w:r>
        <w:rPr>
          <w:rFonts w:ascii="Cambria" w:hAnsi="Cambria" w:eastAsia="Calibri" w:cs="Times New Roman"/>
          <w:sz w:val="22"/>
          <w:szCs w:val="22"/>
        </w:rPr>
        <w:t xml:space="preserve"> Serão publicadas na Imprensa Oficial do </w:t>
      </w:r>
      <w:r>
        <w:rPr>
          <w:rFonts w:ascii="Cambria" w:hAnsi="Cambria" w:eastAsia="Calibri" w:cs="Times New Roman"/>
          <w:b/>
          <w:bCs/>
          <w:sz w:val="22"/>
          <w:szCs w:val="22"/>
        </w:rPr>
        <w:t>Município Carnaubais/RN</w:t>
      </w:r>
      <w:r>
        <w:rPr>
          <w:rFonts w:ascii="Cambria" w:hAnsi="Cambria" w:eastAsia="Calibri" w:cs="Times New Roman"/>
          <w:sz w:val="22"/>
          <w:szCs w:val="22"/>
        </w:rPr>
        <w:t>, as sanções administrativas previstas no ITEM 20.2, c, d, deste edital, inclusive a reabilitação perante a Administração Pública.</w:t>
      </w:r>
    </w:p>
    <w:p w14:paraId="3E0405E0">
      <w:pPr>
        <w:tabs>
          <w:tab w:val="left" w:pos="709"/>
        </w:tabs>
        <w:jc w:val="both"/>
        <w:rPr>
          <w:rFonts w:ascii="Cambria" w:hAnsi="Cambria" w:eastAsia="Calibri" w:cs="Times New Roman"/>
          <w:sz w:val="22"/>
          <w:szCs w:val="22"/>
        </w:rPr>
      </w:pPr>
      <w:r>
        <w:rPr>
          <w:rFonts w:ascii="Cambria" w:hAnsi="Cambria" w:eastAsia="Calibri" w:cs="Times New Roman"/>
          <w:b/>
          <w:sz w:val="22"/>
          <w:szCs w:val="22"/>
        </w:rPr>
        <w:t>20.6.</w:t>
      </w:r>
      <w:r>
        <w:rPr>
          <w:rFonts w:ascii="Cambria" w:hAnsi="Cambria" w:eastAsia="Calibri" w:cs="Times New Roman"/>
          <w:sz w:val="22"/>
          <w:szCs w:val="22"/>
        </w:rPr>
        <w:t xml:space="preserve"> </w:t>
      </w:r>
      <w:r>
        <w:rPr>
          <w:rFonts w:ascii="Cambria" w:hAnsi="Cambria" w:eastAsia="Calibri" w:cs="Times New Roman"/>
          <w:b/>
          <w:sz w:val="22"/>
          <w:szCs w:val="22"/>
        </w:rPr>
        <w:t>DA FRAUDE E DA CORRUPÇÃO -</w:t>
      </w:r>
      <w:r>
        <w:rPr>
          <w:rFonts w:ascii="Cambria" w:hAnsi="Cambria" w:eastAsia="Calibri"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42A71BE9">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20.6.1. PARA OS PROPÓSITOS DESTA CLÁUSULA, DEFINEM-SE AS SEGUINTES PRÁTICAS:</w:t>
      </w:r>
    </w:p>
    <w:p w14:paraId="6CDFC044">
      <w:pPr>
        <w:tabs>
          <w:tab w:val="left" w:pos="709"/>
        </w:tabs>
        <w:jc w:val="both"/>
        <w:rPr>
          <w:rFonts w:ascii="Cambria" w:hAnsi="Cambria" w:eastAsia="Calibri" w:cs="Times New Roman"/>
          <w:sz w:val="22"/>
          <w:szCs w:val="22"/>
        </w:rPr>
      </w:pPr>
      <w:r>
        <w:rPr>
          <w:rFonts w:ascii="Cambria" w:hAnsi="Cambria" w:eastAsia="Calibri" w:cs="Times New Roman"/>
          <w:b/>
          <w:sz w:val="22"/>
          <w:szCs w:val="22"/>
        </w:rPr>
        <w:t>a)</w:t>
      </w:r>
      <w:r>
        <w:rPr>
          <w:rFonts w:ascii="Cambria" w:hAnsi="Cambria" w:eastAsia="Calibri" w:cs="Times New Roman"/>
          <w:sz w:val="22"/>
          <w:szCs w:val="22"/>
        </w:rPr>
        <w:t xml:space="preserve"> </w:t>
      </w:r>
      <w:r>
        <w:rPr>
          <w:rFonts w:ascii="Cambria" w:hAnsi="Cambria" w:eastAsia="Calibri" w:cs="Times New Roman"/>
          <w:b/>
          <w:sz w:val="22"/>
          <w:szCs w:val="22"/>
        </w:rPr>
        <w:t>PRÁTICA CORRUPTA:</w:t>
      </w:r>
      <w:r>
        <w:rPr>
          <w:rFonts w:ascii="Cambria" w:hAnsi="Cambria" w:eastAsia="Calibri" w:cs="Times New Roman"/>
          <w:sz w:val="22"/>
          <w:szCs w:val="22"/>
        </w:rPr>
        <w:t xml:space="preserve"> Oferecer, dar, receber ou solicitar, direta ou indiretamente, qualquer vantagem com o objetivo de influenciar a ação de servidor público no processo de licitação ou na execução do contrato;</w:t>
      </w:r>
    </w:p>
    <w:p w14:paraId="4F1B922F">
      <w:pPr>
        <w:tabs>
          <w:tab w:val="left" w:pos="709"/>
        </w:tabs>
        <w:jc w:val="both"/>
        <w:rPr>
          <w:rFonts w:ascii="Cambria" w:hAnsi="Cambria" w:eastAsia="Calibri" w:cs="Times New Roman"/>
          <w:sz w:val="22"/>
          <w:szCs w:val="22"/>
        </w:rPr>
      </w:pPr>
      <w:r>
        <w:rPr>
          <w:rFonts w:ascii="Cambria" w:hAnsi="Cambria" w:eastAsia="Calibri" w:cs="Times New Roman"/>
          <w:b/>
          <w:sz w:val="22"/>
          <w:szCs w:val="22"/>
        </w:rPr>
        <w:t>b)</w:t>
      </w:r>
      <w:r>
        <w:rPr>
          <w:rFonts w:ascii="Cambria" w:hAnsi="Cambria" w:eastAsia="Calibri" w:cs="Times New Roman"/>
          <w:sz w:val="22"/>
          <w:szCs w:val="22"/>
        </w:rPr>
        <w:t xml:space="preserve"> </w:t>
      </w:r>
      <w:r>
        <w:rPr>
          <w:rFonts w:ascii="Cambria" w:hAnsi="Cambria" w:eastAsia="Calibri" w:cs="Times New Roman"/>
          <w:b/>
          <w:sz w:val="22"/>
          <w:szCs w:val="22"/>
        </w:rPr>
        <w:t>PRÁTICA FRAUDULENTA:</w:t>
      </w:r>
      <w:r>
        <w:rPr>
          <w:rFonts w:ascii="Cambria" w:hAnsi="Cambria" w:eastAsia="Calibri" w:cs="Times New Roman"/>
          <w:sz w:val="22"/>
          <w:szCs w:val="22"/>
        </w:rPr>
        <w:t xml:space="preserve"> A falsificação ou omissão dos fatos, com o objetivo de influenciar o processo de licitação ou de execução do contrato;</w:t>
      </w:r>
    </w:p>
    <w:p w14:paraId="4C3B26F6">
      <w:pPr>
        <w:tabs>
          <w:tab w:val="left" w:pos="709"/>
        </w:tabs>
        <w:jc w:val="both"/>
        <w:rPr>
          <w:rFonts w:ascii="Cambria" w:hAnsi="Cambria" w:eastAsia="Calibri" w:cs="Times New Roman"/>
          <w:sz w:val="22"/>
          <w:szCs w:val="22"/>
        </w:rPr>
      </w:pPr>
      <w:r>
        <w:rPr>
          <w:rFonts w:ascii="Cambria" w:hAnsi="Cambria" w:eastAsia="Calibri" w:cs="Times New Roman"/>
          <w:b/>
          <w:sz w:val="22"/>
          <w:szCs w:val="22"/>
        </w:rPr>
        <w:t>c)</w:t>
      </w:r>
      <w:r>
        <w:rPr>
          <w:rFonts w:ascii="Cambria" w:hAnsi="Cambria" w:eastAsia="Calibri" w:cs="Times New Roman"/>
          <w:sz w:val="22"/>
          <w:szCs w:val="22"/>
        </w:rPr>
        <w:t xml:space="preserve"> </w:t>
      </w:r>
      <w:r>
        <w:rPr>
          <w:rFonts w:ascii="Cambria" w:hAnsi="Cambria" w:eastAsia="Calibri" w:cs="Times New Roman"/>
          <w:b/>
          <w:sz w:val="22"/>
          <w:szCs w:val="22"/>
        </w:rPr>
        <w:t>PRÁTICA CONCERTADA:</w:t>
      </w:r>
      <w:r>
        <w:rPr>
          <w:rFonts w:ascii="Cambria" w:hAnsi="Cambria" w:eastAsia="Calibri"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E5F81D2">
      <w:pPr>
        <w:tabs>
          <w:tab w:val="left" w:pos="709"/>
        </w:tabs>
        <w:jc w:val="both"/>
        <w:rPr>
          <w:rFonts w:ascii="Cambria" w:hAnsi="Cambria" w:eastAsia="Calibri" w:cs="Times New Roman"/>
          <w:sz w:val="22"/>
          <w:szCs w:val="22"/>
        </w:rPr>
      </w:pPr>
      <w:r>
        <w:rPr>
          <w:rFonts w:ascii="Cambria" w:hAnsi="Cambria" w:eastAsia="Calibri" w:cs="Times New Roman"/>
          <w:b/>
          <w:sz w:val="22"/>
          <w:szCs w:val="22"/>
        </w:rPr>
        <w:t>d)</w:t>
      </w:r>
      <w:r>
        <w:rPr>
          <w:rFonts w:ascii="Cambria" w:hAnsi="Cambria" w:eastAsia="Calibri" w:cs="Times New Roman"/>
          <w:sz w:val="22"/>
          <w:szCs w:val="22"/>
        </w:rPr>
        <w:t xml:space="preserve"> </w:t>
      </w:r>
      <w:r>
        <w:rPr>
          <w:rFonts w:ascii="Cambria" w:hAnsi="Cambria" w:eastAsia="Calibri" w:cs="Times New Roman"/>
          <w:b/>
          <w:sz w:val="22"/>
          <w:szCs w:val="22"/>
        </w:rPr>
        <w:t>PRÁTICA COERCITIVA:</w:t>
      </w:r>
      <w:r>
        <w:rPr>
          <w:rFonts w:ascii="Cambria" w:hAnsi="Cambria" w:eastAsia="Calibri" w:cs="Times New Roman"/>
          <w:sz w:val="22"/>
          <w:szCs w:val="22"/>
        </w:rPr>
        <w:t xml:space="preserve"> Causar danos ou ameaçar causar dano, direta ou indiretamente, às pessoas ou sua propriedade, visando influenciar sua participação em um processo licitatório ou afetar a execução do contrato. </w:t>
      </w:r>
    </w:p>
    <w:p w14:paraId="48461A06">
      <w:pPr>
        <w:tabs>
          <w:tab w:val="left" w:pos="709"/>
        </w:tabs>
        <w:jc w:val="both"/>
        <w:rPr>
          <w:rFonts w:ascii="Cambria" w:hAnsi="Cambria" w:eastAsia="Calibri" w:cs="Times New Roman"/>
          <w:sz w:val="22"/>
          <w:szCs w:val="22"/>
        </w:rPr>
      </w:pPr>
      <w:r>
        <w:rPr>
          <w:rFonts w:ascii="Cambria" w:hAnsi="Cambria" w:eastAsia="Calibri" w:cs="Times New Roman"/>
          <w:b/>
          <w:sz w:val="22"/>
          <w:szCs w:val="22"/>
        </w:rPr>
        <w:t>e)</w:t>
      </w:r>
      <w:r>
        <w:rPr>
          <w:rFonts w:ascii="Cambria" w:hAnsi="Cambria" w:eastAsia="Calibri" w:cs="Times New Roman"/>
          <w:sz w:val="22"/>
          <w:szCs w:val="22"/>
        </w:rPr>
        <w:t xml:space="preserve"> </w:t>
      </w:r>
      <w:r>
        <w:rPr>
          <w:rFonts w:ascii="Cambria" w:hAnsi="Cambria" w:eastAsia="Calibri" w:cs="Times New Roman"/>
          <w:b/>
          <w:sz w:val="22"/>
          <w:szCs w:val="22"/>
        </w:rPr>
        <w:t>PRÁTICA OBSTRUTIVA:</w:t>
      </w:r>
      <w:r>
        <w:rPr>
          <w:rFonts w:ascii="Cambria" w:hAnsi="Cambria" w:eastAsia="Calibri"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5E74DEFA">
      <w:pPr>
        <w:tabs>
          <w:tab w:val="left" w:pos="709"/>
        </w:tabs>
        <w:jc w:val="both"/>
        <w:rPr>
          <w:rFonts w:ascii="Cambria" w:hAnsi="Cambria" w:eastAsia="Calibri" w:cs="Times New Roman"/>
          <w:sz w:val="22"/>
          <w:szCs w:val="22"/>
        </w:rPr>
      </w:pPr>
    </w:p>
    <w:p w14:paraId="5E86C9F9">
      <w:pPr>
        <w:keepNext/>
        <w:keepLines/>
        <w:numPr>
          <w:ilvl w:val="0"/>
          <w:numId w:val="11"/>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 IMPUGNAÇÃO AO EDITAL E DO PEDIDO DE ESCLARECIMENTO.</w:t>
      </w:r>
    </w:p>
    <w:p w14:paraId="1FE306FE">
      <w:pPr>
        <w:pStyle w:val="61"/>
        <w:numPr>
          <w:ilvl w:val="1"/>
          <w:numId w:val="12"/>
        </w:numPr>
        <w:pBdr>
          <w:top w:val="none" w:color="auto" w:sz="0" w:space="0"/>
          <w:left w:val="none" w:color="auto" w:sz="0" w:space="0"/>
          <w:bottom w:val="none" w:color="auto" w:sz="0" w:space="0"/>
          <w:right w:val="none" w:color="auto" w:sz="0" w:space="0"/>
          <w:between w:val="none" w:color="auto" w:sz="0" w:space="0"/>
        </w:pBdr>
        <w:tabs>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Até 03 (três) dias úteis antes da data designada para a abertura da sessão pública, qualquer pessoa poderá impugnar este Edital e/ou apresentar pedido de esclarecimento.</w:t>
      </w:r>
    </w:p>
    <w:p w14:paraId="23BBAA1D">
      <w:pPr>
        <w:pStyle w:val="61"/>
        <w:numPr>
          <w:ilvl w:val="1"/>
          <w:numId w:val="12"/>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 </w:t>
      </w:r>
      <w:r>
        <w:rPr>
          <w:rFonts w:ascii="Cambria" w:hAnsi="Cambria" w:eastAsia="Calibri" w:cs="Times New Roman"/>
          <w:b/>
          <w:color w:val="000000"/>
          <w:sz w:val="22"/>
          <w:szCs w:val="22"/>
        </w:rPr>
        <w:t xml:space="preserve">IMPUGNAÇÃO e/ou PEDIDO DE ESCLARECIMENTO DEVERÃO ser feitos EXCLUSIVAMENTE por FORMA ELETRÔNICA no sistema </w:t>
      </w:r>
      <w:r>
        <w:fldChar w:fldCharType="begin"/>
      </w:r>
      <w:r>
        <w:instrText xml:space="preserve"> HYPERLINK "http://www.portaldecompraspublicas.com.br" \h </w:instrText>
      </w:r>
      <w:r>
        <w:fldChar w:fldCharType="separate"/>
      </w:r>
      <w:r>
        <w:rPr>
          <w:rFonts w:ascii="Cambria" w:hAnsi="Cambria" w:eastAsia="Calibri" w:cs="Times New Roman"/>
          <w:b/>
          <w:color w:val="0066FF"/>
          <w:sz w:val="22"/>
          <w:szCs w:val="22"/>
          <w:u w:val="single"/>
        </w:rPr>
        <w:t>www.portaldecompraspublicas.com.br</w:t>
      </w:r>
      <w:r>
        <w:rPr>
          <w:rFonts w:ascii="Cambria" w:hAnsi="Cambria" w:eastAsia="Calibri" w:cs="Times New Roman"/>
          <w:b/>
          <w:color w:val="0066FF"/>
          <w:sz w:val="22"/>
          <w:szCs w:val="22"/>
          <w:u w:val="single"/>
        </w:rPr>
        <w:fldChar w:fldCharType="end"/>
      </w:r>
      <w:r>
        <w:rPr>
          <w:rFonts w:ascii="Cambria" w:hAnsi="Cambria" w:eastAsia="Calibri" w:cs="Times New Roman"/>
          <w:b/>
          <w:color w:val="0066FF"/>
          <w:sz w:val="22"/>
          <w:szCs w:val="22"/>
        </w:rPr>
        <w:t>.</w:t>
      </w:r>
    </w:p>
    <w:p w14:paraId="6CFD2B6D">
      <w:pPr>
        <w:numPr>
          <w:ilvl w:val="1"/>
          <w:numId w:val="12"/>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5E1443F2">
      <w:pPr>
        <w:numPr>
          <w:ilvl w:val="1"/>
          <w:numId w:val="12"/>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Acolhida a impugnação, será definida e publicada nova data para a realização do certame.</w:t>
      </w:r>
    </w:p>
    <w:p w14:paraId="3B957588">
      <w:pPr>
        <w:numPr>
          <w:ilvl w:val="1"/>
          <w:numId w:val="12"/>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As impugnações e pedidos de esclarecimentos não suspendem os prazos previstos no certame, salvo quando se </w:t>
      </w:r>
      <w:r>
        <w:rPr>
          <w:rFonts w:ascii="Cambria" w:hAnsi="Cambria" w:eastAsia="Calibri" w:cs="Times New Roman"/>
          <w:sz w:val="22"/>
          <w:szCs w:val="22"/>
        </w:rPr>
        <w:t>amolda</w:t>
      </w:r>
      <w:r>
        <w:rPr>
          <w:rFonts w:ascii="Cambria" w:hAnsi="Cambria" w:eastAsia="Calibri" w:cs="Times New Roman"/>
          <w:color w:val="000000"/>
          <w:sz w:val="22"/>
          <w:szCs w:val="22"/>
        </w:rPr>
        <w:t xml:space="preserve"> ao art. 55 parágrafo 1º, da Lei nº 14.133/2021.</w:t>
      </w:r>
    </w:p>
    <w:p w14:paraId="130B11E1">
      <w:pPr>
        <w:numPr>
          <w:ilvl w:val="2"/>
          <w:numId w:val="12"/>
        </w:numPr>
        <w:tabs>
          <w:tab w:val="left" w:pos="709"/>
          <w:tab w:val="left" w:pos="993"/>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 concessão de efeito suspensivo à impugnação é medida excepcional e deverá ser motivada pelo </w:t>
      </w:r>
      <w:r>
        <w:rPr>
          <w:rFonts w:ascii="Cambria" w:hAnsi="Cambria" w:eastAsia="Calibri" w:cs="Times New Roman"/>
          <w:sz w:val="22"/>
          <w:szCs w:val="22"/>
        </w:rPr>
        <w:t>Pregoeiro</w:t>
      </w:r>
      <w:r>
        <w:rPr>
          <w:rFonts w:ascii="Cambria" w:hAnsi="Cambria" w:eastAsia="Calibri" w:cs="Times New Roman"/>
          <w:color w:val="000000"/>
          <w:sz w:val="22"/>
          <w:szCs w:val="22"/>
        </w:rPr>
        <w:t>, nos autos do processo de licitação.</w:t>
      </w:r>
    </w:p>
    <w:p w14:paraId="2F9DCA4C">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respostas aos pedidos de esclarecimentos serão divulgadas pelo sistema e vincularão os participantes e a administração.</w:t>
      </w:r>
    </w:p>
    <w:p w14:paraId="20B84AB4">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As respostas às impugnações e aos esclarecimentos solicitados, bem como outros avisos de ordem geral, serão cadastradas no sítio </w:t>
      </w:r>
      <w:r>
        <w:fldChar w:fldCharType="begin"/>
      </w:r>
      <w:r>
        <w:instrText xml:space="preserve"> HYPERLINK "http://www.portaldecompraspublicas.com.br/" \h </w:instrText>
      </w:r>
      <w:r>
        <w:fldChar w:fldCharType="separate"/>
      </w:r>
      <w:r>
        <w:rPr>
          <w:rFonts w:ascii="Cambria" w:hAnsi="Cambria" w:eastAsia="Calibri" w:cs="Times New Roman"/>
          <w:b/>
          <w:color w:val="0000FF"/>
          <w:sz w:val="22"/>
          <w:szCs w:val="22"/>
          <w:u w:val="single"/>
        </w:rPr>
        <w:t>www.portaldecompraspublicas.com.br</w:t>
      </w:r>
      <w:r>
        <w:rPr>
          <w:rFonts w:ascii="Cambria" w:hAnsi="Cambria" w:eastAsia="Calibri" w:cs="Times New Roman"/>
          <w:b/>
          <w:color w:val="0000FF"/>
          <w:sz w:val="22"/>
          <w:szCs w:val="22"/>
          <w:u w:val="single"/>
        </w:rPr>
        <w:fldChar w:fldCharType="end"/>
      </w:r>
      <w:r>
        <w:rPr>
          <w:rFonts w:ascii="Cambria" w:hAnsi="Cambria" w:eastAsia="Calibri" w:cs="Times New Roman"/>
          <w:color w:val="000000"/>
          <w:sz w:val="22"/>
          <w:szCs w:val="22"/>
        </w:rPr>
        <w:t>, sendo de responsabilidade dos licitantes, seu acompanhamento.</w:t>
      </w:r>
    </w:p>
    <w:p w14:paraId="560597AF">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A88F877">
      <w:pPr>
        <w:tabs>
          <w:tab w:val="left" w:pos="426"/>
          <w:tab w:val="left" w:pos="709"/>
        </w:tabs>
        <w:jc w:val="both"/>
        <w:rPr>
          <w:rFonts w:ascii="Cambria" w:hAnsi="Cambria" w:eastAsia="Calibri" w:cs="Times New Roman"/>
          <w:color w:val="000000"/>
          <w:sz w:val="22"/>
          <w:szCs w:val="22"/>
        </w:rPr>
      </w:pPr>
    </w:p>
    <w:p w14:paraId="13B0AB20">
      <w:pPr>
        <w:keepNext/>
        <w:keepLines/>
        <w:numPr>
          <w:ilvl w:val="0"/>
          <w:numId w:val="12"/>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709"/>
        </w:tabs>
        <w:ind w:left="0" w:firstLine="0"/>
        <w:jc w:val="both"/>
        <w:rPr>
          <w:rFonts w:ascii="Cambria" w:hAnsi="Cambria" w:cs="Times New Roman"/>
          <w:color w:val="000000"/>
          <w:sz w:val="22"/>
          <w:szCs w:val="22"/>
        </w:rPr>
      </w:pPr>
      <w:r>
        <w:rPr>
          <w:rFonts w:ascii="Cambria" w:hAnsi="Cambria" w:eastAsia="Calibri" w:cs="Times New Roman"/>
          <w:b/>
          <w:color w:val="000000"/>
          <w:sz w:val="22"/>
          <w:szCs w:val="22"/>
        </w:rPr>
        <w:t>DAS DISPOSIÇÕES GERAIS.</w:t>
      </w:r>
    </w:p>
    <w:p w14:paraId="026EDACB">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Da sessão pública d</w:t>
      </w:r>
      <w:r>
        <w:rPr>
          <w:rFonts w:ascii="Cambria" w:hAnsi="Cambria" w:eastAsia="Calibri" w:cs="Times New Roman"/>
          <w:sz w:val="22"/>
          <w:szCs w:val="22"/>
        </w:rPr>
        <w:t>o Pregão</w:t>
      </w:r>
      <w:r>
        <w:rPr>
          <w:rFonts w:ascii="Cambria" w:hAnsi="Cambria" w:eastAsia="Calibri" w:cs="Times New Roman"/>
          <w:color w:val="000000"/>
          <w:sz w:val="22"/>
          <w:szCs w:val="22"/>
        </w:rPr>
        <w:t xml:space="preserve"> divulgar-se-á Ata no sistema eletrônico.</w:t>
      </w:r>
    </w:p>
    <w:p w14:paraId="46A545C3">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mbria" w:hAnsi="Cambria" w:eastAsia="Calibri" w:cs="Times New Roman"/>
          <w:sz w:val="22"/>
          <w:szCs w:val="22"/>
        </w:rPr>
        <w:t>Pregoeiro</w:t>
      </w:r>
      <w:r>
        <w:rPr>
          <w:rFonts w:ascii="Cambria" w:hAnsi="Cambria" w:eastAsia="Calibri" w:cs="Times New Roman"/>
          <w:color w:val="000000"/>
          <w:sz w:val="22"/>
          <w:szCs w:val="22"/>
        </w:rPr>
        <w:t>.</w:t>
      </w:r>
    </w:p>
    <w:p w14:paraId="2C68778F">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Todas as referências de tempo no Edital, no aviso e durante a sessão pública observarão o horário de Brasília – DF.</w:t>
      </w:r>
    </w:p>
    <w:p w14:paraId="53E6D29B">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No julgamento das propostas e da habilitação, o</w:t>
      </w:r>
      <w:r>
        <w:rPr>
          <w:rFonts w:ascii="Cambria" w:hAnsi="Cambria" w:eastAsia="Calibri" w:cs="Times New Roman"/>
          <w:sz w:val="22"/>
          <w:szCs w:val="22"/>
        </w:rPr>
        <w:t xml:space="preserve"> Pregoeiro</w:t>
      </w:r>
      <w:r>
        <w:rPr>
          <w:rFonts w:ascii="Cambria" w:hAnsi="Cambria" w:eastAsia="Calibri" w:cs="Times New Roman"/>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B02D71D">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 homologação do resultado desta licitação não implicará direito à contratação.</w:t>
      </w:r>
    </w:p>
    <w:p w14:paraId="63353F22">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34622E6">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9298B9B">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Na contagem dos prazos estabelecidos neste Edital e seus Anexos, excluir-se-á o dia do início e incluir-se-á o do vencimento. Só se iniciam e vencem os prazos em dias de expediente na Administração.</w:t>
      </w:r>
    </w:p>
    <w:p w14:paraId="61C248BD">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7F077BE4">
      <w:pPr>
        <w:numPr>
          <w:ilvl w:val="1"/>
          <w:numId w:val="12"/>
        </w:numPr>
        <w:tabs>
          <w:tab w:val="left" w:pos="709"/>
        </w:tabs>
        <w:ind w:left="0" w:firstLine="0"/>
        <w:jc w:val="both"/>
        <w:rPr>
          <w:rFonts w:ascii="Cambria" w:hAnsi="Cambria" w:cs="Times New Roman"/>
          <w:sz w:val="22"/>
          <w:szCs w:val="22"/>
        </w:rPr>
      </w:pPr>
      <w:r>
        <w:rPr>
          <w:rFonts w:ascii="Cambria" w:hAnsi="Cambria" w:eastAsia="Calibri" w:cs="Times New Roman"/>
          <w:sz w:val="22"/>
          <w:szCs w:val="22"/>
        </w:rPr>
        <w:t>O licitante é o responsável pela fidelidade e legitimidade das informações prestadas e dos documentos apresentados em qualquer fase da licitação.</w:t>
      </w:r>
    </w:p>
    <w:p w14:paraId="5D28DE86">
      <w:pPr>
        <w:numPr>
          <w:ilvl w:val="2"/>
          <w:numId w:val="12"/>
        </w:numPr>
        <w:tabs>
          <w:tab w:val="left" w:pos="709"/>
          <w:tab w:val="left" w:pos="851"/>
        </w:tabs>
        <w:ind w:left="0" w:firstLine="0"/>
        <w:jc w:val="both"/>
        <w:rPr>
          <w:rFonts w:ascii="Cambria" w:hAnsi="Cambria" w:cs="Times New Roman"/>
          <w:sz w:val="22"/>
          <w:szCs w:val="22"/>
        </w:rPr>
      </w:pPr>
      <w:r>
        <w:rPr>
          <w:rFonts w:ascii="Cambria" w:hAnsi="Cambria" w:eastAsia="Calibri" w:cs="Times New Roman"/>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05B5677">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Em caso de divergência entre disposições deste Edital e de seus anexos ou demais peças que compõem o processo, prevalecerá as deste Edital.</w:t>
      </w:r>
    </w:p>
    <w:p w14:paraId="34665193">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 O município de </w:t>
      </w:r>
      <w:r>
        <w:rPr>
          <w:rFonts w:ascii="Cambria" w:hAnsi="Cambria" w:eastAsia="Calibri" w:cs="Times New Roman"/>
          <w:bCs/>
          <w:sz w:val="22"/>
          <w:szCs w:val="22"/>
        </w:rPr>
        <w:t>Carnaubais/RN</w:t>
      </w:r>
      <w:r>
        <w:rPr>
          <w:rFonts w:ascii="Cambria" w:hAnsi="Cambria" w:eastAsia="Calibri" w:cs="Times New Roman"/>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D621F33">
      <w:pPr>
        <w:numPr>
          <w:ilvl w:val="2"/>
          <w:numId w:val="12"/>
        </w:numPr>
        <w:pBdr>
          <w:top w:val="none" w:color="auto" w:sz="0" w:space="0"/>
          <w:left w:val="none" w:color="auto" w:sz="0" w:space="0"/>
          <w:bottom w:val="none" w:color="auto" w:sz="0" w:space="0"/>
          <w:right w:val="none" w:color="auto" w:sz="0" w:space="0"/>
          <w:between w:val="none" w:color="auto" w:sz="0" w:space="0"/>
        </w:pBdr>
        <w:tabs>
          <w:tab w:val="left" w:pos="142"/>
          <w:tab w:val="left" w:pos="851"/>
        </w:tabs>
        <w:ind w:left="0" w:firstLine="0"/>
        <w:jc w:val="both"/>
        <w:rPr>
          <w:rFonts w:ascii="Cambria" w:hAnsi="Cambria" w:cs="Times New Roman"/>
          <w:sz w:val="22"/>
          <w:szCs w:val="22"/>
        </w:rPr>
      </w:pPr>
      <w:r>
        <w:rPr>
          <w:rFonts w:ascii="Cambria" w:hAnsi="Cambria" w:eastAsia="Calibri" w:cs="Times New Roman"/>
          <w:color w:val="000000"/>
          <w:sz w:val="22"/>
          <w:szCs w:val="22"/>
        </w:rPr>
        <w:t>A anulação d</w:t>
      </w:r>
      <w:r>
        <w:rPr>
          <w:rFonts w:ascii="Cambria" w:hAnsi="Cambria" w:eastAsia="Calibri" w:cs="Times New Roman"/>
          <w:sz w:val="22"/>
          <w:szCs w:val="22"/>
        </w:rPr>
        <w:t>o Pregão</w:t>
      </w:r>
      <w:r>
        <w:rPr>
          <w:rFonts w:ascii="Cambria" w:hAnsi="Cambria" w:eastAsia="Calibri" w:cs="Times New Roman"/>
          <w:color w:val="000000"/>
          <w:sz w:val="22"/>
          <w:szCs w:val="22"/>
        </w:rPr>
        <w:t xml:space="preserve"> induz </w:t>
      </w:r>
      <w:r>
        <w:rPr>
          <w:rFonts w:ascii="Cambria" w:hAnsi="Cambria" w:eastAsia="Calibri" w:cs="Times New Roman"/>
          <w:sz w:val="22"/>
          <w:szCs w:val="22"/>
        </w:rPr>
        <w:t>à extinção do contrato.</w:t>
      </w:r>
    </w:p>
    <w:p w14:paraId="42502C40">
      <w:pPr>
        <w:tabs>
          <w:tab w:val="left" w:pos="709"/>
        </w:tabs>
        <w:jc w:val="both"/>
        <w:rPr>
          <w:rFonts w:ascii="Cambria" w:hAnsi="Cambria" w:eastAsia="Calibri" w:cs="Times New Roman"/>
          <w:sz w:val="22"/>
          <w:szCs w:val="22"/>
        </w:rPr>
      </w:pPr>
      <w:r>
        <w:rPr>
          <w:rFonts w:ascii="Cambria" w:hAnsi="Cambria" w:eastAsia="Calibri" w:cs="Times New Roman"/>
          <w:b/>
          <w:sz w:val="22"/>
          <w:szCs w:val="22"/>
        </w:rPr>
        <w:t>22.12.2</w:t>
      </w:r>
      <w:r>
        <w:rPr>
          <w:rFonts w:ascii="Cambria" w:hAnsi="Cambria" w:eastAsia="Calibri" w:cs="Times New Roman"/>
          <w:sz w:val="22"/>
          <w:szCs w:val="22"/>
        </w:rPr>
        <w:t>. A anulação da licitação por motivo de ilegalidade não gera obrigação de indenizar.</w:t>
      </w:r>
    </w:p>
    <w:p w14:paraId="59FEF8F6">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CB0A940">
      <w:pPr>
        <w:numPr>
          <w:ilvl w:val="1"/>
          <w:numId w:val="12"/>
        </w:numPr>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 O Edital está disponibilizado, na íntegra, no endereço eletrônico: </w:t>
      </w:r>
      <w:r>
        <w:fldChar w:fldCharType="begin"/>
      </w:r>
      <w:r>
        <w:instrText xml:space="preserve"> HYPERLINK "http://www.portaldecompraspublicas.com.br" \h </w:instrText>
      </w:r>
      <w:r>
        <w:fldChar w:fldCharType="separate"/>
      </w:r>
      <w:r>
        <w:rPr>
          <w:rFonts w:ascii="Cambria" w:hAnsi="Cambria" w:eastAsia="Calibri" w:cs="Times New Roman"/>
          <w:b/>
          <w:color w:val="000080"/>
          <w:sz w:val="22"/>
          <w:szCs w:val="22"/>
          <w:u w:val="single"/>
        </w:rPr>
        <w:t>www.portaldecompraspublicas.com.br</w:t>
      </w:r>
      <w:r>
        <w:rPr>
          <w:rFonts w:ascii="Cambria" w:hAnsi="Cambria" w:eastAsia="Calibri" w:cs="Times New Roman"/>
          <w:b/>
          <w:color w:val="000080"/>
          <w:sz w:val="22"/>
          <w:szCs w:val="22"/>
          <w:u w:val="single"/>
        </w:rPr>
        <w:fldChar w:fldCharType="end"/>
      </w:r>
      <w:r>
        <w:rPr>
          <w:rFonts w:ascii="Cambria" w:hAnsi="Cambria" w:eastAsia="Calibri" w:cs="Times New Roman"/>
          <w:color w:val="000000"/>
          <w:sz w:val="22"/>
          <w:szCs w:val="22"/>
        </w:rPr>
        <w:t xml:space="preserve">, e também poderão ser lidos e/ou obtidos no </w:t>
      </w:r>
      <w:r>
        <w:rPr>
          <w:rFonts w:ascii="Cambria" w:hAnsi="Cambria" w:cs="Times New Roman"/>
          <w:sz w:val="22"/>
          <w:szCs w:val="22"/>
        </w:rPr>
        <w:t xml:space="preserve">Prédio </w:t>
      </w:r>
      <w:r>
        <w:rPr>
          <w:rFonts w:ascii="Cambria" w:hAnsi="Cambria" w:cs="Times New Roman"/>
          <w:bCs/>
          <w:sz w:val="22"/>
          <w:szCs w:val="22"/>
        </w:rPr>
        <w:t>Sede do Setor de Licitações e Compras</w:t>
      </w:r>
      <w:r>
        <w:rPr>
          <w:rFonts w:ascii="Cambria" w:hAnsi="Cambria" w:cs="Times New Roman"/>
          <w:b/>
          <w:bCs/>
          <w:sz w:val="22"/>
          <w:szCs w:val="22"/>
        </w:rPr>
        <w:t>,</w:t>
      </w:r>
      <w:r>
        <w:rPr>
          <w:rFonts w:ascii="Cambria" w:hAnsi="Cambria" w:cs="Times New Roman"/>
          <w:b/>
          <w:bCs/>
          <w:color w:val="FF0000"/>
          <w:sz w:val="22"/>
          <w:szCs w:val="22"/>
        </w:rPr>
        <w:t xml:space="preserve"> </w:t>
      </w:r>
      <w:r>
        <w:rPr>
          <w:rFonts w:ascii="Cambria" w:hAnsi="Cambria" w:cs="Times New Roman"/>
          <w:bCs/>
          <w:sz w:val="22"/>
          <w:szCs w:val="22"/>
        </w:rPr>
        <w:t>Praça Santa Luzia, 20, Centro, Carnaubais/RN</w:t>
      </w:r>
      <w:r>
        <w:rPr>
          <w:rFonts w:ascii="Cambria" w:hAnsi="Cambria" w:eastAsia="Calibri" w:cs="Times New Roman"/>
          <w:color w:val="000000"/>
          <w:sz w:val="22"/>
          <w:szCs w:val="22"/>
        </w:rPr>
        <w:t>, nos dias úteis, no horário das 08h00minh às 13h00minh, no mesmo endereço e período em que os autos do processo administrativo permanecerão com acesso e vista franqueada aos interessados.</w:t>
      </w:r>
    </w:p>
    <w:p w14:paraId="041D6383">
      <w:pPr>
        <w:numPr>
          <w:ilvl w:val="1"/>
          <w:numId w:val="12"/>
        </w:numPr>
        <w:shd w:val="clear" w:color="auto" w:fill="FFFFFF"/>
        <w:tabs>
          <w:tab w:val="left" w:pos="567"/>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Integram este Edital, para todos os fins e efeitos, os seguintes anexos:</w:t>
      </w:r>
    </w:p>
    <w:p w14:paraId="76A69031">
      <w:pPr>
        <w:pStyle w:val="205"/>
        <w:numPr>
          <w:ilvl w:val="0"/>
          <w:numId w:val="13"/>
        </w:numPr>
        <w:tabs>
          <w:tab w:val="left" w:pos="284"/>
        </w:tabs>
        <w:spacing w:before="0" w:after="0" w:line="240" w:lineRule="auto"/>
        <w:ind w:left="0" w:firstLine="0"/>
        <w:rPr>
          <w:rFonts w:ascii="Cambria" w:hAnsi="Cambria" w:cs="Times New Roman"/>
          <w:sz w:val="22"/>
          <w:szCs w:val="22"/>
        </w:rPr>
      </w:pPr>
      <w:r>
        <w:rPr>
          <w:rFonts w:ascii="Cambria" w:hAnsi="Cambria" w:cs="Times New Roman"/>
          <w:b/>
          <w:sz w:val="22"/>
          <w:szCs w:val="22"/>
        </w:rPr>
        <w:t>ANEXO I –</w:t>
      </w:r>
      <w:r>
        <w:rPr>
          <w:rFonts w:ascii="Cambria" w:hAnsi="Cambria" w:cs="Times New Roman"/>
          <w:sz w:val="22"/>
          <w:szCs w:val="22"/>
        </w:rPr>
        <w:t xml:space="preserve"> Termo de Referência.</w:t>
      </w:r>
    </w:p>
    <w:p w14:paraId="06FCC719">
      <w:pPr>
        <w:pStyle w:val="205"/>
        <w:numPr>
          <w:ilvl w:val="0"/>
          <w:numId w:val="13"/>
        </w:numPr>
        <w:tabs>
          <w:tab w:val="left" w:pos="284"/>
        </w:tabs>
        <w:spacing w:before="0" w:after="0" w:line="240" w:lineRule="auto"/>
        <w:ind w:left="0" w:firstLine="0"/>
        <w:rPr>
          <w:rFonts w:ascii="Cambria" w:hAnsi="Cambria" w:cs="Times New Roman"/>
          <w:sz w:val="22"/>
          <w:szCs w:val="22"/>
        </w:rPr>
      </w:pPr>
      <w:r>
        <w:rPr>
          <w:rFonts w:ascii="Cambria" w:hAnsi="Cambria" w:cs="Times New Roman"/>
          <w:b/>
          <w:sz w:val="22"/>
          <w:szCs w:val="22"/>
        </w:rPr>
        <w:t>ANEXO II –</w:t>
      </w:r>
      <w:r>
        <w:rPr>
          <w:rFonts w:ascii="Cambria" w:hAnsi="Cambria" w:cs="Times New Roman"/>
          <w:sz w:val="22"/>
          <w:szCs w:val="22"/>
        </w:rPr>
        <w:t xml:space="preserve"> Minuta da Proposta de Preços.</w:t>
      </w:r>
    </w:p>
    <w:p w14:paraId="2A6EBC83">
      <w:pPr>
        <w:pStyle w:val="205"/>
        <w:numPr>
          <w:ilvl w:val="0"/>
          <w:numId w:val="13"/>
        </w:numPr>
        <w:tabs>
          <w:tab w:val="left" w:pos="284"/>
        </w:tabs>
        <w:spacing w:before="0" w:after="0" w:line="240" w:lineRule="auto"/>
        <w:ind w:left="0" w:firstLine="0"/>
        <w:rPr>
          <w:rFonts w:ascii="Cambria" w:hAnsi="Cambria" w:cs="Times New Roman"/>
          <w:sz w:val="22"/>
          <w:szCs w:val="22"/>
        </w:rPr>
      </w:pPr>
      <w:r>
        <w:rPr>
          <w:rFonts w:ascii="Cambria" w:hAnsi="Cambria" w:cs="Times New Roman"/>
          <w:b/>
          <w:sz w:val="22"/>
          <w:szCs w:val="22"/>
        </w:rPr>
        <w:t>ANEXO III –</w:t>
      </w:r>
      <w:r>
        <w:rPr>
          <w:rFonts w:ascii="Cambria" w:hAnsi="Cambria" w:cs="Times New Roman"/>
          <w:sz w:val="22"/>
          <w:szCs w:val="22"/>
        </w:rPr>
        <w:t xml:space="preserve"> Minuta de Termo de Contrato.</w:t>
      </w:r>
    </w:p>
    <w:p w14:paraId="2F52D478">
      <w:pPr>
        <w:shd w:val="clear" w:color="auto" w:fill="FFFFFF"/>
        <w:tabs>
          <w:tab w:val="left" w:pos="709"/>
        </w:tabs>
        <w:jc w:val="right"/>
        <w:rPr>
          <w:rFonts w:ascii="Cambria" w:hAnsi="Cambria" w:eastAsia="Calibri" w:cs="Times New Roman"/>
          <w:bCs/>
          <w:sz w:val="22"/>
          <w:szCs w:val="22"/>
        </w:rPr>
      </w:pPr>
      <w:r>
        <w:rPr>
          <w:rFonts w:ascii="Cambria" w:hAnsi="Cambria" w:eastAsia="Calibri" w:cs="Times New Roman"/>
          <w:b/>
          <w:bCs/>
          <w:sz w:val="22"/>
          <w:szCs w:val="22"/>
        </w:rPr>
        <w:t xml:space="preserve">Carnaubais/RN, </w:t>
      </w:r>
      <w:r>
        <w:rPr>
          <w:rFonts w:ascii="Cambria" w:hAnsi="Cambria" w:eastAsia="Calibri" w:cs="Times New Roman"/>
          <w:sz w:val="22"/>
          <w:szCs w:val="22"/>
        </w:rPr>
        <w:t>22/01/2026.</w:t>
      </w:r>
    </w:p>
    <w:p w14:paraId="09E77164">
      <w:pPr>
        <w:shd w:val="clear" w:color="auto" w:fill="FFFFFF"/>
        <w:tabs>
          <w:tab w:val="left" w:pos="709"/>
        </w:tabs>
        <w:jc w:val="both"/>
        <w:rPr>
          <w:rFonts w:ascii="Cambria" w:hAnsi="Cambria" w:eastAsia="Calibri" w:cs="Times New Roman"/>
          <w:sz w:val="22"/>
          <w:szCs w:val="22"/>
        </w:rPr>
      </w:pPr>
    </w:p>
    <w:p w14:paraId="7E740152">
      <w:pPr>
        <w:shd w:val="clear" w:color="auto" w:fill="FFFFFF"/>
        <w:tabs>
          <w:tab w:val="left" w:pos="709"/>
        </w:tabs>
        <w:jc w:val="both"/>
        <w:rPr>
          <w:rFonts w:ascii="Cambria" w:hAnsi="Cambria" w:eastAsia="Calibri" w:cs="Times New Roman"/>
          <w:sz w:val="22"/>
          <w:szCs w:val="22"/>
        </w:rPr>
      </w:pPr>
    </w:p>
    <w:p w14:paraId="0E648FAA">
      <w:pPr>
        <w:jc w:val="center"/>
        <w:rPr>
          <w:rFonts w:ascii="Cambria" w:hAnsi="Cambria" w:cs="Times New Roman"/>
          <w:b/>
          <w:sz w:val="22"/>
          <w:szCs w:val="22"/>
        </w:rPr>
      </w:pPr>
      <w:r>
        <w:rPr>
          <w:rFonts w:ascii="Cambria" w:hAnsi="Cambria" w:cs="Times New Roman"/>
          <w:b/>
          <w:sz w:val="22"/>
          <w:szCs w:val="22"/>
        </w:rPr>
        <w:t>Paloma Ferreira Lima</w:t>
      </w:r>
    </w:p>
    <w:p w14:paraId="42E815AB">
      <w:pPr>
        <w:jc w:val="center"/>
        <w:rPr>
          <w:rFonts w:ascii="Cambria" w:hAnsi="Cambria" w:cs="Times New Roman"/>
          <w:sz w:val="22"/>
          <w:szCs w:val="22"/>
        </w:rPr>
      </w:pPr>
      <w:r>
        <w:rPr>
          <w:rFonts w:ascii="Cambria" w:hAnsi="Cambria" w:cs="Times New Roman"/>
          <w:sz w:val="22"/>
          <w:szCs w:val="22"/>
        </w:rPr>
        <w:t>Pregoeiro Municipal.</w:t>
      </w:r>
    </w:p>
    <w:p w14:paraId="148A53C2">
      <w:pPr>
        <w:jc w:val="center"/>
        <w:rPr>
          <w:rFonts w:ascii="Cambria" w:hAnsi="Cambria" w:cs="Times New Roman"/>
          <w:sz w:val="22"/>
          <w:szCs w:val="22"/>
        </w:rPr>
      </w:pPr>
    </w:p>
    <w:p w14:paraId="5B94C642">
      <w:pPr>
        <w:jc w:val="center"/>
        <w:rPr>
          <w:rFonts w:ascii="Cambria" w:hAnsi="Cambria" w:cs="Times New Roman"/>
          <w:sz w:val="22"/>
          <w:szCs w:val="22"/>
        </w:rPr>
      </w:pPr>
    </w:p>
    <w:p w14:paraId="3D045FD7">
      <w:pPr>
        <w:jc w:val="center"/>
        <w:rPr>
          <w:rFonts w:ascii="Cambria" w:hAnsi="Cambria" w:cs="Times New Roman"/>
          <w:sz w:val="22"/>
          <w:szCs w:val="22"/>
        </w:rPr>
      </w:pPr>
    </w:p>
    <w:p w14:paraId="4A85C214">
      <w:pPr>
        <w:jc w:val="center"/>
        <w:rPr>
          <w:rFonts w:ascii="Cambria" w:hAnsi="Cambria" w:cs="Times New Roman"/>
          <w:sz w:val="22"/>
          <w:szCs w:val="22"/>
        </w:rPr>
      </w:pPr>
    </w:p>
    <w:p w14:paraId="7FC1AE70">
      <w:pPr>
        <w:jc w:val="center"/>
        <w:rPr>
          <w:rFonts w:ascii="Cambria" w:hAnsi="Cambria" w:cs="Times New Roman"/>
          <w:sz w:val="22"/>
          <w:szCs w:val="22"/>
        </w:rPr>
      </w:pPr>
    </w:p>
    <w:p w14:paraId="4E83DF3C">
      <w:pPr>
        <w:jc w:val="center"/>
        <w:rPr>
          <w:rFonts w:ascii="Cambria" w:hAnsi="Cambria" w:cs="Times New Roman"/>
          <w:sz w:val="22"/>
          <w:szCs w:val="22"/>
        </w:rPr>
      </w:pPr>
    </w:p>
    <w:p w14:paraId="12762D87">
      <w:pPr>
        <w:jc w:val="center"/>
        <w:rPr>
          <w:rFonts w:ascii="Cambria" w:hAnsi="Cambria" w:cs="Times New Roman"/>
          <w:sz w:val="22"/>
          <w:szCs w:val="22"/>
        </w:rPr>
      </w:pPr>
    </w:p>
    <w:p w14:paraId="2D298ACA">
      <w:pPr>
        <w:shd w:val="clear" w:color="auto" w:fill="D6E3BC" w:themeFill="accent3" w:themeFillTint="66"/>
        <w:tabs>
          <w:tab w:val="left" w:pos="709"/>
          <w:tab w:val="center" w:pos="5031"/>
          <w:tab w:val="left" w:pos="8190"/>
        </w:tabs>
        <w:jc w:val="center"/>
        <w:rPr>
          <w:rFonts w:ascii="Cambria" w:hAnsi="Cambria" w:cs="Times New Roman"/>
          <w:b/>
          <w:sz w:val="22"/>
          <w:szCs w:val="22"/>
        </w:rPr>
      </w:pPr>
      <w:bookmarkStart w:id="4" w:name="_heading=h.eeo32ktdzzxi"/>
      <w:bookmarkEnd w:id="4"/>
      <w:bookmarkStart w:id="5" w:name="_heading=h.yly42atwfjpl"/>
      <w:bookmarkEnd w:id="5"/>
      <w:r>
        <w:rPr>
          <w:rFonts w:ascii="Cambria" w:hAnsi="Cambria" w:cs="Times New Roman"/>
          <w:b/>
          <w:sz w:val="22"/>
          <w:szCs w:val="22"/>
        </w:rPr>
        <w:t>EDITAL DE LICITAÇÃO Nº 005/2026- PREGÃO ELETRÔNICO</w:t>
      </w:r>
    </w:p>
    <w:p w14:paraId="2DBE2580">
      <w:pPr>
        <w:shd w:val="clear" w:color="auto" w:fill="D6E3BC" w:themeFill="accent3" w:themeFillTint="66"/>
        <w:tabs>
          <w:tab w:val="left" w:pos="709"/>
          <w:tab w:val="center" w:pos="5031"/>
          <w:tab w:val="left" w:pos="8190"/>
        </w:tabs>
        <w:jc w:val="center"/>
        <w:rPr>
          <w:rFonts w:ascii="Cambria" w:hAnsi="Cambria" w:cs="Times New Roman"/>
          <w:b/>
          <w:sz w:val="22"/>
          <w:szCs w:val="22"/>
        </w:rPr>
      </w:pPr>
      <w:r>
        <w:rPr>
          <w:rFonts w:ascii="Cambria" w:hAnsi="Cambria" w:cs="Times New Roman"/>
          <w:b/>
          <w:sz w:val="22"/>
          <w:szCs w:val="22"/>
        </w:rPr>
        <w:t>PROCESSO ADMINISTRATIVO Nº 2025.12.11.0001</w:t>
      </w:r>
    </w:p>
    <w:p w14:paraId="69CFEA0B">
      <w:pPr>
        <w:jc w:val="both"/>
        <w:rPr>
          <w:rFonts w:ascii="Cambria" w:hAnsi="Cambria" w:cs="Times New Roman"/>
          <w:b/>
          <w:sz w:val="22"/>
          <w:szCs w:val="22"/>
        </w:rPr>
      </w:pPr>
    </w:p>
    <w:p w14:paraId="4453B1FC">
      <w:pPr>
        <w:pBdr>
          <w:top w:val="single" w:color="000000" w:sz="4" w:space="1"/>
          <w:bottom w:val="single" w:color="000000" w:sz="4" w:space="1"/>
        </w:pBdr>
        <w:tabs>
          <w:tab w:val="left" w:pos="709"/>
        </w:tabs>
        <w:jc w:val="both"/>
        <w:rPr>
          <w:rFonts w:ascii="Cambria" w:hAnsi="Cambria" w:eastAsia="Calibri" w:cs="Times New Roman"/>
          <w:b/>
          <w:sz w:val="22"/>
          <w:szCs w:val="22"/>
        </w:rPr>
      </w:pPr>
      <w:r>
        <w:rPr>
          <w:rFonts w:ascii="Cambria" w:hAnsi="Cambria" w:eastAsia="Calibri" w:cs="Times New Roman"/>
          <w:b/>
          <w:sz w:val="22"/>
          <w:szCs w:val="22"/>
        </w:rPr>
        <w:t>ANEXO II – PROPOSTA DE PREÇOS (MODELO)</w:t>
      </w:r>
    </w:p>
    <w:p w14:paraId="59DFFAA5">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PREGÃO ELETRÔNICO Nº 000/2026</w:t>
      </w:r>
    </w:p>
    <w:p w14:paraId="009F6D94">
      <w:pPr>
        <w:tabs>
          <w:tab w:val="left" w:pos="709"/>
        </w:tabs>
        <w:jc w:val="both"/>
        <w:rPr>
          <w:rFonts w:ascii="Cambria" w:hAnsi="Cambria" w:eastAsia="Calibri" w:cs="Times New Roman"/>
          <w:sz w:val="22"/>
          <w:szCs w:val="22"/>
        </w:rPr>
      </w:pPr>
      <w:r>
        <w:rPr>
          <w:rFonts w:ascii="Cambria" w:hAnsi="Cambria" w:eastAsia="Calibri" w:cs="Times New Roman"/>
          <w:sz w:val="22"/>
          <w:szCs w:val="22"/>
        </w:rPr>
        <w:t>IDENTIFICAÇÃO DA PROPONENTE</w:t>
      </w:r>
    </w:p>
    <w:tbl>
      <w:tblPr>
        <w:tblStyle w:val="50"/>
        <w:tblW w:w="98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70" w:type="dxa"/>
          <w:bottom w:w="0" w:type="dxa"/>
          <w:right w:w="70" w:type="dxa"/>
        </w:tblCellMar>
      </w:tblPr>
      <w:tblGrid>
        <w:gridCol w:w="779"/>
        <w:gridCol w:w="2552"/>
        <w:gridCol w:w="992"/>
        <w:gridCol w:w="425"/>
        <w:gridCol w:w="1134"/>
        <w:gridCol w:w="1134"/>
        <w:gridCol w:w="992"/>
        <w:gridCol w:w="1829"/>
      </w:tblGrid>
      <w:tr w14:paraId="25F32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97"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7F3B6DE0">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NOME DE FANTASIA:</w:t>
            </w:r>
          </w:p>
        </w:tc>
      </w:tr>
      <w:tr w14:paraId="547EE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216"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7BA7193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RAZÃO SOCIAL:</w:t>
            </w:r>
          </w:p>
        </w:tc>
      </w:tr>
      <w:tr w14:paraId="7EA6D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216"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23C95AA3">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CNPJ:</w:t>
            </w:r>
          </w:p>
        </w:tc>
      </w:tr>
      <w:tr w14:paraId="2CF30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132"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61B9B8CA">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INSC. EST.:</w:t>
            </w:r>
          </w:p>
        </w:tc>
      </w:tr>
      <w:tr w14:paraId="30CDA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132"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0219BF5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OPTANTE PELO SIMPLES? SIM (    ) NÃO(    )</w:t>
            </w:r>
          </w:p>
        </w:tc>
      </w:tr>
      <w:tr w14:paraId="40A4A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109"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5D7DDD6E">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ENDEREÇO:</w:t>
            </w:r>
          </w:p>
        </w:tc>
      </w:tr>
      <w:tr w14:paraId="3F90D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96" w:hRule="atLeast"/>
        </w:trPr>
        <w:tc>
          <w:tcPr>
            <w:tcW w:w="4323" w:type="dxa"/>
            <w:gridSpan w:val="3"/>
            <w:tcBorders>
              <w:top w:val="single" w:color="000000" w:sz="4" w:space="0"/>
              <w:left w:val="single" w:color="000000" w:sz="4" w:space="0"/>
              <w:bottom w:val="single" w:color="000000" w:sz="4" w:space="0"/>
              <w:right w:val="single" w:color="000000" w:sz="4" w:space="0"/>
            </w:tcBorders>
          </w:tcPr>
          <w:p w14:paraId="0755C5AC">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BAIRRO:</w:t>
            </w:r>
          </w:p>
        </w:tc>
        <w:tc>
          <w:tcPr>
            <w:tcW w:w="5514" w:type="dxa"/>
            <w:gridSpan w:val="5"/>
            <w:tcBorders>
              <w:top w:val="single" w:color="000000" w:sz="4" w:space="0"/>
              <w:left w:val="single" w:color="000000" w:sz="4" w:space="0"/>
              <w:bottom w:val="single" w:color="000000" w:sz="4" w:space="0"/>
              <w:right w:val="single" w:color="000000" w:sz="4" w:space="0"/>
            </w:tcBorders>
          </w:tcPr>
          <w:p w14:paraId="008D15FB">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CIDADE:</w:t>
            </w:r>
          </w:p>
        </w:tc>
      </w:tr>
      <w:tr w14:paraId="0CB6B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99" w:hRule="atLeast"/>
        </w:trPr>
        <w:tc>
          <w:tcPr>
            <w:tcW w:w="4323" w:type="dxa"/>
            <w:gridSpan w:val="3"/>
            <w:tcBorders>
              <w:top w:val="single" w:color="000000" w:sz="4" w:space="0"/>
              <w:left w:val="single" w:color="000000" w:sz="4" w:space="0"/>
              <w:bottom w:val="single" w:color="000000" w:sz="4" w:space="0"/>
              <w:right w:val="single" w:color="000000" w:sz="4" w:space="0"/>
            </w:tcBorders>
          </w:tcPr>
          <w:p w14:paraId="33A293F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CEP:</w:t>
            </w:r>
          </w:p>
        </w:tc>
        <w:tc>
          <w:tcPr>
            <w:tcW w:w="5514" w:type="dxa"/>
            <w:gridSpan w:val="5"/>
            <w:tcBorders>
              <w:top w:val="single" w:color="000000" w:sz="4" w:space="0"/>
              <w:left w:val="single" w:color="000000" w:sz="4" w:space="0"/>
              <w:bottom w:val="single" w:color="000000" w:sz="4" w:space="0"/>
              <w:right w:val="single" w:color="000000" w:sz="4" w:space="0"/>
            </w:tcBorders>
          </w:tcPr>
          <w:p w14:paraId="7F12BBAC">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E-MAIL:</w:t>
            </w:r>
          </w:p>
        </w:tc>
      </w:tr>
      <w:tr w14:paraId="4B4B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3" w:hRule="atLeast"/>
        </w:trPr>
        <w:tc>
          <w:tcPr>
            <w:tcW w:w="4323" w:type="dxa"/>
            <w:gridSpan w:val="3"/>
            <w:tcBorders>
              <w:top w:val="single" w:color="000000" w:sz="4" w:space="0"/>
              <w:left w:val="single" w:color="000000" w:sz="4" w:space="0"/>
              <w:bottom w:val="single" w:color="000000" w:sz="4" w:space="0"/>
              <w:right w:val="single" w:color="000000" w:sz="4" w:space="0"/>
            </w:tcBorders>
          </w:tcPr>
          <w:p w14:paraId="57FD7757">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TELEFONE:</w:t>
            </w:r>
          </w:p>
        </w:tc>
        <w:tc>
          <w:tcPr>
            <w:tcW w:w="5514" w:type="dxa"/>
            <w:gridSpan w:val="5"/>
            <w:tcBorders>
              <w:top w:val="single" w:color="000000" w:sz="4" w:space="0"/>
              <w:left w:val="single" w:color="000000" w:sz="4" w:space="0"/>
              <w:bottom w:val="single" w:color="000000" w:sz="4" w:space="0"/>
              <w:right w:val="single" w:color="000000" w:sz="4" w:space="0"/>
            </w:tcBorders>
          </w:tcPr>
          <w:p w14:paraId="31D81FDF">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FAX:</w:t>
            </w:r>
          </w:p>
        </w:tc>
      </w:tr>
      <w:tr w14:paraId="7B350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69" w:hRule="atLeast"/>
        </w:trPr>
        <w:tc>
          <w:tcPr>
            <w:tcW w:w="4323" w:type="dxa"/>
            <w:gridSpan w:val="3"/>
            <w:tcBorders>
              <w:top w:val="single" w:color="000000" w:sz="4" w:space="0"/>
              <w:left w:val="single" w:color="000000" w:sz="4" w:space="0"/>
              <w:bottom w:val="single" w:color="000000" w:sz="4" w:space="0"/>
              <w:right w:val="single" w:color="000000" w:sz="4" w:space="0"/>
            </w:tcBorders>
          </w:tcPr>
          <w:p w14:paraId="27467A4E">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CONTATO DA LICITANTE:</w:t>
            </w:r>
          </w:p>
        </w:tc>
        <w:tc>
          <w:tcPr>
            <w:tcW w:w="5514" w:type="dxa"/>
            <w:gridSpan w:val="5"/>
            <w:tcBorders>
              <w:top w:val="single" w:color="000000" w:sz="4" w:space="0"/>
              <w:left w:val="single" w:color="000000" w:sz="4" w:space="0"/>
              <w:bottom w:val="single" w:color="000000" w:sz="4" w:space="0"/>
              <w:right w:val="single" w:color="000000" w:sz="4" w:space="0"/>
            </w:tcBorders>
          </w:tcPr>
          <w:p w14:paraId="55CED7AE">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TELEFONE:</w:t>
            </w:r>
          </w:p>
        </w:tc>
      </w:tr>
      <w:tr w14:paraId="2F3C9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69" w:hRule="atLeast"/>
        </w:trPr>
        <w:tc>
          <w:tcPr>
            <w:tcW w:w="4323" w:type="dxa"/>
            <w:gridSpan w:val="3"/>
            <w:tcBorders>
              <w:top w:val="single" w:color="000000" w:sz="4" w:space="0"/>
              <w:left w:val="single" w:color="000000" w:sz="4" w:space="0"/>
              <w:bottom w:val="single" w:color="000000" w:sz="4" w:space="0"/>
              <w:right w:val="single" w:color="000000" w:sz="4" w:space="0"/>
            </w:tcBorders>
          </w:tcPr>
          <w:p w14:paraId="3BDED3C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 xml:space="preserve">BANCO DA LICITANTE: </w:t>
            </w:r>
          </w:p>
        </w:tc>
        <w:tc>
          <w:tcPr>
            <w:tcW w:w="5514" w:type="dxa"/>
            <w:gridSpan w:val="5"/>
            <w:tcBorders>
              <w:top w:val="single" w:color="000000" w:sz="4" w:space="0"/>
              <w:left w:val="single" w:color="000000" w:sz="4" w:space="0"/>
              <w:bottom w:val="single" w:color="000000" w:sz="4" w:space="0"/>
              <w:right w:val="single" w:color="000000" w:sz="4" w:space="0"/>
            </w:tcBorders>
          </w:tcPr>
          <w:p w14:paraId="6E6EE463">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CONTA BANCÁRIA DA LICITANTE:</w:t>
            </w:r>
          </w:p>
        </w:tc>
      </w:tr>
      <w:tr w14:paraId="09BB5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cantSplit/>
          <w:trHeight w:val="133" w:hRule="atLeast"/>
        </w:trPr>
        <w:tc>
          <w:tcPr>
            <w:tcW w:w="9837" w:type="dxa"/>
            <w:gridSpan w:val="8"/>
            <w:tcBorders>
              <w:top w:val="single" w:color="000000" w:sz="4" w:space="0"/>
              <w:left w:val="single" w:color="000000" w:sz="4" w:space="0"/>
              <w:bottom w:val="single" w:color="000000" w:sz="4" w:space="0"/>
              <w:right w:val="single" w:color="000000" w:sz="4" w:space="0"/>
            </w:tcBorders>
          </w:tcPr>
          <w:p w14:paraId="4173922B">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Nº DA AGÊNCIA:</w:t>
            </w:r>
          </w:p>
        </w:tc>
      </w:tr>
      <w:tr w14:paraId="749C5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20" w:hRule="atLeast"/>
        </w:trPr>
        <w:tc>
          <w:tcPr>
            <w:tcW w:w="779"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4E701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ITEM</w:t>
            </w:r>
          </w:p>
        </w:tc>
        <w:tc>
          <w:tcPr>
            <w:tcW w:w="2552" w:type="dxa"/>
            <w:tcBorders>
              <w:top w:val="single" w:color="000000" w:sz="4" w:space="0"/>
              <w:left w:val="nil"/>
              <w:bottom w:val="single" w:color="000000" w:sz="4" w:space="0"/>
              <w:right w:val="single" w:color="000000" w:sz="4" w:space="0"/>
            </w:tcBorders>
            <w:shd w:val="clear" w:color="auto" w:fill="D9D9D9"/>
            <w:vAlign w:val="center"/>
          </w:tcPr>
          <w:p w14:paraId="002E9BC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DESCRIÇÃO</w:t>
            </w:r>
          </w:p>
        </w:tc>
        <w:tc>
          <w:tcPr>
            <w:tcW w:w="1417" w:type="dxa"/>
            <w:gridSpan w:val="2"/>
            <w:tcBorders>
              <w:top w:val="single" w:color="000000" w:sz="4" w:space="0"/>
              <w:left w:val="nil"/>
              <w:bottom w:val="single" w:color="000000" w:sz="4" w:space="0"/>
              <w:right w:val="single" w:color="000000" w:sz="4" w:space="0"/>
            </w:tcBorders>
            <w:shd w:val="clear" w:color="auto" w:fill="D9D9D9"/>
            <w:vAlign w:val="center"/>
          </w:tcPr>
          <w:p w14:paraId="171A6248">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QUANT</w:t>
            </w:r>
          </w:p>
        </w:tc>
        <w:tc>
          <w:tcPr>
            <w:tcW w:w="1134" w:type="dxa"/>
            <w:tcBorders>
              <w:top w:val="single" w:color="000000" w:sz="4" w:space="0"/>
              <w:left w:val="nil"/>
              <w:bottom w:val="single" w:color="000000" w:sz="4" w:space="0"/>
              <w:right w:val="single" w:color="000000" w:sz="4" w:space="0"/>
            </w:tcBorders>
            <w:shd w:val="clear" w:color="auto" w:fill="D9D9D9"/>
            <w:vAlign w:val="center"/>
          </w:tcPr>
          <w:p w14:paraId="6A3920D9">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UNIDADE</w:t>
            </w:r>
          </w:p>
        </w:tc>
        <w:tc>
          <w:tcPr>
            <w:tcW w:w="1134" w:type="dxa"/>
            <w:tcBorders>
              <w:top w:val="single" w:color="000000" w:sz="4" w:space="0"/>
              <w:left w:val="nil"/>
              <w:bottom w:val="single" w:color="000000" w:sz="4" w:space="0"/>
              <w:right w:val="single" w:color="000000" w:sz="4" w:space="0"/>
            </w:tcBorders>
            <w:shd w:val="clear" w:color="auto" w:fill="D9D9D9"/>
            <w:vAlign w:val="center"/>
          </w:tcPr>
          <w:p w14:paraId="72E86976">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MARCA</w:t>
            </w:r>
          </w:p>
          <w:p w14:paraId="2CF4C4D8">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MODELO</w:t>
            </w:r>
          </w:p>
        </w:tc>
        <w:tc>
          <w:tcPr>
            <w:tcW w:w="992" w:type="dxa"/>
            <w:tcBorders>
              <w:top w:val="single" w:color="000000" w:sz="4" w:space="0"/>
              <w:left w:val="nil"/>
              <w:bottom w:val="single" w:color="000000" w:sz="4" w:space="0"/>
              <w:right w:val="single" w:color="auto" w:sz="4" w:space="0"/>
            </w:tcBorders>
            <w:shd w:val="clear" w:color="auto" w:fill="D9D9D9"/>
            <w:vAlign w:val="center"/>
          </w:tcPr>
          <w:p w14:paraId="69F4EFB1">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V. UNIT</w:t>
            </w:r>
          </w:p>
        </w:tc>
        <w:tc>
          <w:tcPr>
            <w:tcW w:w="1829" w:type="dxa"/>
            <w:tcBorders>
              <w:top w:val="single" w:color="000000" w:sz="4" w:space="0"/>
              <w:left w:val="single" w:color="auto" w:sz="4" w:space="0"/>
              <w:bottom w:val="single" w:color="000000" w:sz="4" w:space="0"/>
              <w:right w:val="single" w:color="000000" w:sz="4" w:space="0"/>
            </w:tcBorders>
            <w:shd w:val="clear" w:color="auto" w:fill="D9D9D9"/>
            <w:vAlign w:val="center"/>
          </w:tcPr>
          <w:p w14:paraId="6A09FC63">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 xml:space="preserve">V.TOTAL </w:t>
            </w:r>
          </w:p>
        </w:tc>
      </w:tr>
      <w:tr w14:paraId="0C7CC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20" w:hRule="atLeast"/>
        </w:trPr>
        <w:tc>
          <w:tcPr>
            <w:tcW w:w="779" w:type="dxa"/>
            <w:tcBorders>
              <w:top w:val="single" w:color="000000" w:sz="4" w:space="0"/>
              <w:left w:val="single" w:color="000000" w:sz="4" w:space="0"/>
              <w:bottom w:val="single" w:color="000000" w:sz="4" w:space="0"/>
              <w:right w:val="single" w:color="000000" w:sz="4" w:space="0"/>
            </w:tcBorders>
            <w:vAlign w:val="center"/>
          </w:tcPr>
          <w:p w14:paraId="2CFD1D38">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r>
              <w:rPr>
                <w:rFonts w:ascii="Cambria" w:hAnsi="Cambria" w:eastAsia="Calibri" w:cs="Times New Roman"/>
                <w:color w:val="000000"/>
                <w:sz w:val="22"/>
                <w:szCs w:val="22"/>
              </w:rPr>
              <w:t>01</w:t>
            </w:r>
          </w:p>
        </w:tc>
        <w:tc>
          <w:tcPr>
            <w:tcW w:w="2552" w:type="dxa"/>
            <w:tcBorders>
              <w:top w:val="single" w:color="000000" w:sz="4" w:space="0"/>
              <w:left w:val="nil"/>
              <w:bottom w:val="single" w:color="000000" w:sz="4" w:space="0"/>
              <w:right w:val="single" w:color="000000" w:sz="4" w:space="0"/>
            </w:tcBorders>
            <w:vAlign w:val="center"/>
          </w:tcPr>
          <w:p w14:paraId="0556AFA9">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XXXXXXXXXXXXXXXX</w:t>
            </w:r>
          </w:p>
        </w:tc>
        <w:tc>
          <w:tcPr>
            <w:tcW w:w="1417" w:type="dxa"/>
            <w:gridSpan w:val="2"/>
            <w:tcBorders>
              <w:top w:val="single" w:color="000000" w:sz="4" w:space="0"/>
              <w:left w:val="nil"/>
              <w:bottom w:val="single" w:color="000000" w:sz="4" w:space="0"/>
              <w:right w:val="single" w:color="000000" w:sz="4" w:space="0"/>
            </w:tcBorders>
            <w:vAlign w:val="center"/>
          </w:tcPr>
          <w:p w14:paraId="699D905A">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w:t>
            </w:r>
          </w:p>
        </w:tc>
        <w:tc>
          <w:tcPr>
            <w:tcW w:w="1134" w:type="dxa"/>
            <w:tcBorders>
              <w:top w:val="single" w:color="000000" w:sz="4" w:space="0"/>
              <w:left w:val="nil"/>
              <w:bottom w:val="single" w:color="000000" w:sz="4" w:space="0"/>
              <w:right w:val="single" w:color="000000" w:sz="4" w:space="0"/>
            </w:tcBorders>
            <w:vAlign w:val="center"/>
          </w:tcPr>
          <w:p w14:paraId="5CB7C21B">
            <w:pPr>
              <w:tabs>
                <w:tab w:val="left" w:pos="709"/>
              </w:tabs>
              <w:jc w:val="both"/>
              <w:rPr>
                <w:rFonts w:ascii="Cambria" w:hAnsi="Cambria" w:eastAsia="Times New Roman" w:cs="Times New Roman"/>
                <w:sz w:val="22"/>
                <w:szCs w:val="22"/>
              </w:rPr>
            </w:pPr>
            <w:r>
              <w:rPr>
                <w:rFonts w:ascii="Cambria" w:hAnsi="Cambria" w:eastAsia="Times New Roman" w:cs="Times New Roman"/>
                <w:sz w:val="22"/>
                <w:szCs w:val="22"/>
              </w:rPr>
              <w:t>XXXX</w:t>
            </w:r>
          </w:p>
        </w:tc>
        <w:tc>
          <w:tcPr>
            <w:tcW w:w="1134" w:type="dxa"/>
            <w:tcBorders>
              <w:top w:val="single" w:color="000000" w:sz="4" w:space="0"/>
              <w:left w:val="nil"/>
              <w:bottom w:val="single" w:color="000000" w:sz="4" w:space="0"/>
              <w:right w:val="single" w:color="000000" w:sz="4" w:space="0"/>
            </w:tcBorders>
            <w:vAlign w:val="center"/>
          </w:tcPr>
          <w:p w14:paraId="109E77DA">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w:t>
            </w:r>
          </w:p>
        </w:tc>
        <w:tc>
          <w:tcPr>
            <w:tcW w:w="992" w:type="dxa"/>
            <w:tcBorders>
              <w:top w:val="single" w:color="000000" w:sz="4" w:space="0"/>
              <w:left w:val="nil"/>
              <w:bottom w:val="single" w:color="000000" w:sz="4" w:space="0"/>
              <w:right w:val="single" w:color="auto" w:sz="4" w:space="0"/>
            </w:tcBorders>
            <w:vAlign w:val="center"/>
          </w:tcPr>
          <w:p w14:paraId="2A68AB35">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w:t>
            </w:r>
          </w:p>
        </w:tc>
        <w:tc>
          <w:tcPr>
            <w:tcW w:w="1829" w:type="dxa"/>
            <w:tcBorders>
              <w:top w:val="single" w:color="000000" w:sz="4" w:space="0"/>
              <w:left w:val="single" w:color="auto" w:sz="4" w:space="0"/>
              <w:bottom w:val="single" w:color="000000" w:sz="4" w:space="0"/>
              <w:right w:val="single" w:color="000000" w:sz="4" w:space="0"/>
            </w:tcBorders>
            <w:vAlign w:val="center"/>
          </w:tcPr>
          <w:p w14:paraId="22363684">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XXXXXXXXX</w:t>
            </w:r>
          </w:p>
        </w:tc>
      </w:tr>
    </w:tbl>
    <w:p w14:paraId="7D876BB5">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b/>
          <w:color w:val="000000"/>
          <w:sz w:val="22"/>
          <w:szCs w:val="22"/>
        </w:rPr>
      </w:pPr>
    </w:p>
    <w:p w14:paraId="3D6DB159">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b/>
          <w:color w:val="000000"/>
          <w:sz w:val="22"/>
          <w:szCs w:val="22"/>
        </w:rPr>
      </w:pPr>
      <w:r>
        <w:rPr>
          <w:rFonts w:ascii="Cambria" w:hAnsi="Cambria" w:eastAsia="Calibri" w:cs="Times New Roman"/>
          <w:b/>
          <w:color w:val="000000"/>
          <w:sz w:val="22"/>
          <w:szCs w:val="22"/>
        </w:rPr>
        <w:t>DECLARAMOS QUE:</w:t>
      </w:r>
    </w:p>
    <w:p w14:paraId="34396E30">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ESTÃO INCLUSAS NO VALOR COTADO TODAS AS DESPESAS COM MÃO DE OBRA E, BEM COMO, TODOS OS TRIBUTOS E ENCARGOS FISCAIS, SOCIAIS, TRABALHISTAS, PREVIDENCIÁRIOS E COMERCIAIS.</w:t>
      </w:r>
    </w:p>
    <w:p w14:paraId="1A44EC86">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VALIDADE DA PROPOSTA: 60 (SESSENTA) DIAS.</w:t>
      </w:r>
    </w:p>
    <w:p w14:paraId="61329649">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PRAZO DE INICIO DE FORNECIMENTO/EXECUÇÃO DOS SERVIÇOS DE ACORDO COM O ESTABELECIDO NO TERMO DE REFERENCIA (ANEXO I) DO EDITAL DESSE PROCESSO.</w:t>
      </w:r>
    </w:p>
    <w:p w14:paraId="6CBC64E7">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color w:val="000000"/>
          <w:sz w:val="22"/>
          <w:szCs w:val="22"/>
        </w:rPr>
      </w:pPr>
      <w:r>
        <w:rPr>
          <w:rFonts w:ascii="Cambria" w:hAnsi="Cambria" w:eastAsia="Calibri" w:cs="Times New Roman"/>
          <w:color w:val="000000"/>
          <w:sz w:val="22"/>
          <w:szCs w:val="22"/>
        </w:rPr>
        <w:t>QUE NÃO INCIDE NAS VEDAÇÕES PREVISTAS NA LEI Nº 14.133/2021.</w:t>
      </w:r>
    </w:p>
    <w:p w14:paraId="1277F1D3">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sz w:val="22"/>
          <w:szCs w:val="22"/>
        </w:rPr>
      </w:pPr>
      <w:r>
        <w:rPr>
          <w:rFonts w:ascii="Cambria" w:hAnsi="Cambria" w:eastAsia="Calibri" w:cs="Times New Roman"/>
          <w:color w:val="000000"/>
          <w:sz w:val="22"/>
          <w:szCs w:val="22"/>
        </w:rPr>
        <w:t>QUE O PRAZO DE INICIO DA ENTREGA DO OBJETO SERÁ DE ACORDO COM OS TERMOS ESTABELECIDOS, NO TERMO DE REFERENCIA.</w:t>
      </w:r>
    </w:p>
    <w:p w14:paraId="1E84E187">
      <w:pPr>
        <w:numPr>
          <w:ilvl w:val="0"/>
          <w:numId w:val="14"/>
        </w:numPr>
        <w:pBdr>
          <w:top w:val="none" w:color="auto" w:sz="0" w:space="0"/>
          <w:left w:val="none" w:color="auto" w:sz="0" w:space="0"/>
          <w:bottom w:val="none" w:color="auto" w:sz="0" w:space="0"/>
          <w:right w:val="none" w:color="auto" w:sz="0" w:space="0"/>
          <w:between w:val="none" w:color="auto" w:sz="0" w:space="0"/>
        </w:pBdr>
        <w:tabs>
          <w:tab w:val="left" w:pos="284"/>
          <w:tab w:val="left" w:pos="709"/>
        </w:tabs>
        <w:ind w:left="0" w:firstLine="0"/>
        <w:jc w:val="both"/>
        <w:rPr>
          <w:rFonts w:ascii="Cambria" w:hAnsi="Cambria" w:eastAsia="Calibri" w:cs="Times New Roman"/>
          <w:sz w:val="22"/>
          <w:szCs w:val="22"/>
        </w:rPr>
      </w:pPr>
      <w:r>
        <w:rPr>
          <w:rFonts w:ascii="Cambria" w:hAnsi="Cambria" w:cs="Times New Roman"/>
          <w:color w:val="000000"/>
          <w:sz w:val="22"/>
          <w:szCs w:val="22"/>
        </w:rPr>
        <w:t xml:space="preserve">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Pr>
          <w:rFonts w:ascii="Cambria" w:hAnsi="Cambria" w:cs="Times New Roman"/>
          <w:b/>
          <w:bCs/>
          <w:color w:val="000000"/>
          <w:sz w:val="22"/>
          <w:szCs w:val="22"/>
        </w:rPr>
        <w:t>CONFORME § 1º DO ART. 63 DA LEI FEDERAL 14.133/21.</w:t>
      </w:r>
    </w:p>
    <w:p w14:paraId="7F3D70BB">
      <w:pPr>
        <w:pStyle w:val="61"/>
        <w:tabs>
          <w:tab w:val="left" w:pos="709"/>
        </w:tabs>
        <w:ind w:left="0"/>
        <w:jc w:val="both"/>
        <w:rPr>
          <w:rFonts w:ascii="Cambria" w:hAnsi="Cambria" w:eastAsia="Calibri" w:cs="Times New Roman"/>
          <w:sz w:val="22"/>
          <w:szCs w:val="22"/>
        </w:rPr>
      </w:pPr>
    </w:p>
    <w:p w14:paraId="5F576350">
      <w:pPr>
        <w:pStyle w:val="61"/>
        <w:tabs>
          <w:tab w:val="left" w:pos="709"/>
        </w:tabs>
        <w:ind w:left="0"/>
        <w:jc w:val="both"/>
        <w:rPr>
          <w:rFonts w:ascii="Cambria" w:hAnsi="Cambria" w:eastAsia="Calibri" w:cs="Times New Roman"/>
          <w:sz w:val="22"/>
          <w:szCs w:val="22"/>
        </w:rPr>
      </w:pPr>
      <w:r>
        <w:rPr>
          <w:rFonts w:ascii="Cambria" w:hAnsi="Cambria" w:eastAsia="Calibri" w:cs="Times New Roman"/>
          <w:sz w:val="22"/>
          <w:szCs w:val="22"/>
        </w:rPr>
        <w:t>LOCAL E DATA</w:t>
      </w:r>
    </w:p>
    <w:p w14:paraId="1DAD00C3">
      <w:pPr>
        <w:pStyle w:val="61"/>
        <w:tabs>
          <w:tab w:val="left" w:pos="709"/>
        </w:tabs>
        <w:ind w:left="0"/>
        <w:jc w:val="both"/>
        <w:rPr>
          <w:rFonts w:ascii="Cambria" w:hAnsi="Cambria" w:eastAsia="Calibri" w:cs="Times New Roman"/>
          <w:sz w:val="22"/>
          <w:szCs w:val="22"/>
        </w:rPr>
      </w:pPr>
    </w:p>
    <w:p w14:paraId="3689E967">
      <w:pPr>
        <w:pStyle w:val="61"/>
        <w:tabs>
          <w:tab w:val="left" w:pos="709"/>
        </w:tabs>
        <w:ind w:left="0"/>
        <w:jc w:val="both"/>
        <w:rPr>
          <w:rFonts w:ascii="Cambria" w:hAnsi="Cambria" w:eastAsia="Calibri" w:cs="Times New Roman"/>
          <w:sz w:val="22"/>
          <w:szCs w:val="22"/>
        </w:rPr>
      </w:pPr>
      <w:r>
        <w:rPr>
          <w:rFonts w:ascii="Cambria" w:hAnsi="Cambria" w:eastAsia="Calibri" w:cs="Times New Roman"/>
          <w:sz w:val="22"/>
          <w:szCs w:val="22"/>
        </w:rPr>
        <w:t>xxxxxxxxxxxxxxxxxxxxxxxxxxxxxxxxxxxxxxxxxxxxxxxxxxxxxxxxxxxxxxxx</w:t>
      </w:r>
    </w:p>
    <w:p w14:paraId="320CAC1F">
      <w:pPr>
        <w:pStyle w:val="61"/>
        <w:tabs>
          <w:tab w:val="left" w:pos="709"/>
        </w:tabs>
        <w:ind w:left="0"/>
        <w:jc w:val="both"/>
        <w:rPr>
          <w:rFonts w:ascii="Cambria" w:hAnsi="Cambria" w:eastAsia="Calibri" w:cs="Times New Roman"/>
          <w:sz w:val="22"/>
          <w:szCs w:val="22"/>
        </w:rPr>
      </w:pPr>
      <w:r>
        <w:rPr>
          <w:rFonts w:ascii="Cambria" w:hAnsi="Cambria" w:eastAsia="Calibri" w:cs="Times New Roman"/>
          <w:sz w:val="22"/>
          <w:szCs w:val="22"/>
        </w:rPr>
        <w:t>CARIMBO DA EMPRESA/ASSINATURA DO RESPONSÁVEL</w:t>
      </w:r>
    </w:p>
    <w:p w14:paraId="34B650FF">
      <w:pPr>
        <w:pStyle w:val="61"/>
        <w:tabs>
          <w:tab w:val="left" w:pos="709"/>
        </w:tabs>
        <w:ind w:left="0"/>
        <w:jc w:val="both"/>
        <w:rPr>
          <w:rFonts w:ascii="Cambria" w:hAnsi="Cambria" w:cs="Times New Roman"/>
          <w:b/>
          <w:sz w:val="22"/>
          <w:szCs w:val="22"/>
        </w:rPr>
      </w:pPr>
      <w:r>
        <w:rPr>
          <w:rFonts w:ascii="Cambria" w:hAnsi="Cambria" w:cs="Times New Roman"/>
          <w:b/>
          <w:sz w:val="22"/>
          <w:szCs w:val="22"/>
        </w:rPr>
        <w:br w:type="page"/>
      </w:r>
    </w:p>
    <w:p w14:paraId="1B1ECC16">
      <w:pPr>
        <w:shd w:val="clear" w:color="auto" w:fill="D6E3BC" w:themeFill="accent3" w:themeFillTint="66"/>
        <w:tabs>
          <w:tab w:val="left" w:pos="709"/>
          <w:tab w:val="center" w:pos="5031"/>
          <w:tab w:val="left" w:pos="8190"/>
        </w:tabs>
        <w:jc w:val="center"/>
        <w:rPr>
          <w:rFonts w:ascii="Cambria" w:hAnsi="Cambria" w:cs="Times New Roman"/>
          <w:b/>
          <w:sz w:val="22"/>
          <w:szCs w:val="22"/>
        </w:rPr>
      </w:pPr>
      <w:r>
        <w:rPr>
          <w:rFonts w:ascii="Cambria" w:hAnsi="Cambria" w:cs="Times New Roman"/>
          <w:b/>
          <w:sz w:val="22"/>
          <w:szCs w:val="22"/>
        </w:rPr>
        <w:t>EDITAL DE LICITAÇÃO Nº 005/2026- PREGÃO ELETRÔNICO</w:t>
      </w:r>
    </w:p>
    <w:p w14:paraId="07881EC5">
      <w:pPr>
        <w:shd w:val="clear" w:color="auto" w:fill="D6E3BC" w:themeFill="accent3" w:themeFillTint="66"/>
        <w:tabs>
          <w:tab w:val="left" w:pos="709"/>
          <w:tab w:val="center" w:pos="5031"/>
          <w:tab w:val="left" w:pos="8190"/>
        </w:tabs>
        <w:jc w:val="center"/>
        <w:rPr>
          <w:rFonts w:ascii="Cambria" w:hAnsi="Cambria" w:cs="Times New Roman"/>
          <w:b/>
          <w:sz w:val="22"/>
          <w:szCs w:val="22"/>
        </w:rPr>
      </w:pPr>
      <w:r>
        <w:rPr>
          <w:rFonts w:ascii="Cambria" w:hAnsi="Cambria" w:cs="Times New Roman"/>
          <w:b/>
          <w:sz w:val="22"/>
          <w:szCs w:val="22"/>
        </w:rPr>
        <w:t>PROCESSO ADMINISTRATIVO Nº 2025.12.11.0001</w:t>
      </w:r>
    </w:p>
    <w:p w14:paraId="04F7F817">
      <w:pPr>
        <w:tabs>
          <w:tab w:val="left" w:pos="709"/>
        </w:tabs>
        <w:jc w:val="both"/>
        <w:rPr>
          <w:rFonts w:ascii="Cambria" w:hAnsi="Cambria" w:cs="Times New Roman"/>
          <w:b/>
          <w:sz w:val="22"/>
          <w:szCs w:val="22"/>
        </w:rPr>
      </w:pPr>
    </w:p>
    <w:p w14:paraId="20AD638A">
      <w:pPr>
        <w:pBdr>
          <w:top w:val="single" w:color="000000" w:sz="4" w:space="1"/>
          <w:bottom w:val="single" w:color="000000" w:sz="4" w:space="1"/>
        </w:pBdr>
        <w:tabs>
          <w:tab w:val="left" w:pos="709"/>
        </w:tabs>
        <w:jc w:val="center"/>
        <w:rPr>
          <w:rFonts w:ascii="Cambria" w:hAnsi="Cambria" w:eastAsia="Calibri" w:cs="Times New Roman"/>
          <w:b/>
          <w:sz w:val="22"/>
          <w:szCs w:val="22"/>
        </w:rPr>
      </w:pPr>
      <w:r>
        <w:rPr>
          <w:rFonts w:ascii="Cambria" w:hAnsi="Cambria" w:eastAsia="Calibri" w:cs="Times New Roman"/>
          <w:b/>
          <w:sz w:val="22"/>
          <w:szCs w:val="22"/>
        </w:rPr>
        <w:t>ANEXO III – MINUTA DO CONTRATO ADMINISTRATIVO Nº 005/2026</w:t>
      </w:r>
    </w:p>
    <w:p w14:paraId="605C66F2">
      <w:pPr>
        <w:ind w:left="4678"/>
        <w:jc w:val="both"/>
        <w:rPr>
          <w:rFonts w:asciiTheme="majorHAnsi" w:hAnsiTheme="majorHAnsi" w:cstheme="majorHAnsi"/>
          <w:bCs/>
          <w:sz w:val="20"/>
          <w:szCs w:val="20"/>
        </w:rPr>
      </w:pPr>
    </w:p>
    <w:p w14:paraId="7D7D7307">
      <w:pPr>
        <w:ind w:left="4678"/>
        <w:jc w:val="both"/>
        <w:rPr>
          <w:rStyle w:val="13"/>
          <w:rFonts w:ascii="Cambria" w:hAnsi="Cambria" w:cstheme="majorHAnsi"/>
          <w:b w:val="0"/>
          <w:iCs/>
          <w:sz w:val="22"/>
          <w:szCs w:val="22"/>
        </w:rPr>
      </w:pPr>
      <w:r>
        <w:rPr>
          <w:rFonts w:ascii="Cambria" w:hAnsi="Cambria"/>
          <w:b/>
          <w:sz w:val="22"/>
          <w:szCs w:val="22"/>
        </w:rPr>
        <w:t>AQUISIÇÃO DE EQUIPAMENTOS E MATERIAIS PERMANENTE, DESTINADOS AO HOSPITAL MATERNIDADE SANTOS LUZIA DO MUNICÍPIO CARNAUBAIS</w:t>
      </w:r>
      <w:r>
        <w:rPr>
          <w:rStyle w:val="13"/>
          <w:rFonts w:ascii="Cambria" w:hAnsi="Cambria" w:cstheme="majorHAnsi"/>
          <w:iCs/>
          <w:sz w:val="22"/>
          <w:szCs w:val="22"/>
        </w:rPr>
        <w:t>, CONFORME INFORMAÇÕES CONSTANTES NO ANEXO I – TERMO DE REFERÊNCIA. REFERENTE AO PREGÃO ELETRÔNICO Nº 000/2026, QUE ENTRE SI CELEBRAM A PREFEITURA MUNICIPAL DE CARNAUBAIS/RN, E A EMPRESA ________, CNPJ Nº _______________.</w:t>
      </w:r>
    </w:p>
    <w:p w14:paraId="54DEAC1B">
      <w:pPr>
        <w:jc w:val="both"/>
        <w:rPr>
          <w:rFonts w:ascii="Cambria" w:hAnsi="Cambria" w:eastAsia="Calibri" w:cs="Times New Roman"/>
          <w:b/>
        </w:rPr>
      </w:pPr>
    </w:p>
    <w:p w14:paraId="00E05106">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sz w:val="22"/>
          <w:szCs w:val="22"/>
        </w:rPr>
      </w:pPr>
      <w:r>
        <w:rPr>
          <w:rFonts w:ascii="Cambria" w:hAnsi="Cambria" w:cs="Times New Roman"/>
          <w:b/>
          <w:bCs/>
          <w:sz w:val="22"/>
          <w:szCs w:val="22"/>
        </w:rPr>
        <w:t>O MUNICIPIO DE CARNAUBAIS/RN, PESSOA JURÍDICA DE DIREITO PUBLICO INTERNO</w:t>
      </w:r>
      <w:r>
        <w:rPr>
          <w:rFonts w:ascii="Cambria" w:hAnsi="Cambria" w:cs="Times New Roman"/>
          <w:sz w:val="22"/>
          <w:szCs w:val="22"/>
        </w:rPr>
        <w:t>, inscrita no CNPJ sob o nº. 08.294.670/0001-70, sediada na Praça Santa Luzia, 20, Centro, Carnaubais/RN, CEP nº 59.665.000, CARNAUBAIS /RN, neste ato representado pelo senhor</w:t>
      </w:r>
      <w:r>
        <w:rPr>
          <w:rFonts w:ascii="Cambria" w:hAnsi="Cambria" w:cs="Times New Roman"/>
          <w:b/>
          <w:sz w:val="22"/>
          <w:szCs w:val="22"/>
        </w:rPr>
        <w:t xml:space="preserve"> </w:t>
      </w:r>
      <w:r>
        <w:rPr>
          <w:rFonts w:ascii="Cambria" w:hAnsi="Cambria" w:cs="Times New Roman"/>
          <w:sz w:val="22"/>
          <w:szCs w:val="22"/>
        </w:rPr>
        <w:t>Gleidson Benevides de Oliveira</w:t>
      </w:r>
      <w:r>
        <w:rPr>
          <w:rFonts w:ascii="Cambria" w:hAnsi="Cambria" w:cs="Times New Roman"/>
          <w:bCs/>
          <w:sz w:val="22"/>
          <w:szCs w:val="22"/>
        </w:rPr>
        <w:t xml:space="preserve">, </w:t>
      </w:r>
      <w:r>
        <w:rPr>
          <w:rFonts w:ascii="Cambria" w:hAnsi="Cambria" w:cs="Times New Roman"/>
          <w:sz w:val="22"/>
          <w:szCs w:val="22"/>
        </w:rPr>
        <w:t>CPF nº. 013.586.734-70, Prefeito Municipal, brasileiro, capaz, residente e domiciliado a Rua Manoel Benevides de Oliveira Junior, 280, Centro, Carnaubais/RN, doravante denominada CONTRATANTE, e o(a) XXXXXXXXXXXXXXXXXXXXXXX inscrito(a) no CNPJ/MF sob o nº XXXXXXXXXXXXXXX, sediado(a) na xxxxxxxxxxxxxxxxxxxxxxxxxxxxxxxxxxxxxxx, cep Nº XXXXXXXXXXXXXXXXXXXX, doravante designada CONTRATADA, neste ato representada pelo(a) senhor(a) xxxxxxxxxxxxxxxxxxxxxxxxxxxx portador(a) da Carteira de Identidade nº xxxxxxxx, expedida pela (o) xxxxxxxxxxxxxxxxx e CPF nº xxxxxxxxxxxxxxxxxxx, tendo em vista o que consta no Pregão Eletrônico nº 005/2026,</w:t>
      </w:r>
      <w:r>
        <w:rPr>
          <w:rFonts w:ascii="Cambria" w:hAnsi="Cambria" w:cs="Times New Roman"/>
          <w:color w:val="FF0000"/>
          <w:sz w:val="22"/>
          <w:szCs w:val="22"/>
        </w:rPr>
        <w:t xml:space="preserve"> </w:t>
      </w:r>
      <w:r>
        <w:rPr>
          <w:rFonts w:ascii="Cambria" w:hAnsi="Cambria" w:eastAsia="Calibri" w:cs="Times New Roman"/>
          <w:sz w:val="22"/>
          <w:szCs w:val="22"/>
        </w:rPr>
        <w:t>em observância às disposições da Lei nº 14.133/2021, da Lei nº 123/2006, resolvem celebrar o presente Termo de Contrato, mediante as cláusulas e condições a seguir enunciadas.</w:t>
      </w:r>
    </w:p>
    <w:p w14:paraId="48CA1FE4">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color w:val="000000"/>
          <w:sz w:val="22"/>
          <w:szCs w:val="22"/>
        </w:rPr>
      </w:pPr>
    </w:p>
    <w:p w14:paraId="0D3648A5">
      <w:pPr>
        <w:keepNext/>
        <w:keepLines/>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jc w:val="both"/>
        <w:rPr>
          <w:rFonts w:ascii="Cambria" w:hAnsi="Cambria" w:cs="Times New Roman"/>
          <w:sz w:val="22"/>
          <w:szCs w:val="22"/>
        </w:rPr>
      </w:pPr>
      <w:r>
        <w:rPr>
          <w:rFonts w:ascii="Cambria" w:hAnsi="Cambria" w:eastAsia="Calibri" w:cs="Times New Roman"/>
          <w:b/>
          <w:color w:val="000000"/>
          <w:sz w:val="22"/>
          <w:szCs w:val="22"/>
        </w:rPr>
        <w:t>CLÁUSULA PRIMEIRA – OBJETO.</w:t>
      </w:r>
    </w:p>
    <w:p w14:paraId="318471B7">
      <w:pPr>
        <w:keepNext/>
        <w:keepLines/>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autoSpaceDE w:val="0"/>
        <w:autoSpaceDN w:val="0"/>
        <w:adjustRightInd w:val="0"/>
        <w:jc w:val="both"/>
        <w:rPr>
          <w:rFonts w:ascii="Cambria" w:hAnsi="Cambria" w:cs="Times New Roman"/>
          <w:b/>
          <w:sz w:val="22"/>
          <w:szCs w:val="22"/>
        </w:rPr>
      </w:pPr>
      <w:r>
        <w:rPr>
          <w:rFonts w:ascii="Cambria" w:hAnsi="Cambria" w:eastAsia="Calibri" w:cs="Times New Roman"/>
          <w:b/>
          <w:sz w:val="22"/>
          <w:szCs w:val="22"/>
        </w:rPr>
        <w:t>1.1</w:t>
      </w:r>
      <w:r>
        <w:rPr>
          <w:rFonts w:ascii="Cambria" w:hAnsi="Cambria" w:eastAsia="Calibri" w:cs="Times New Roman"/>
          <w:sz w:val="22"/>
          <w:szCs w:val="22"/>
        </w:rPr>
        <w:t xml:space="preserve"> O objeto do presente Termo de Contrato é a </w:t>
      </w:r>
      <w:r>
        <w:rPr>
          <w:rFonts w:ascii="Cambria" w:hAnsi="Cambria"/>
          <w:b/>
          <w:sz w:val="22"/>
          <w:szCs w:val="22"/>
        </w:rPr>
        <w:t>AQUISIÇÃO DE EQUIPAMENTOS E MATERIAIS PERMANENTE, DESTINADOS AO HOSPITAL MATERNIDADE SANTA LUZIA DO MUNICÍPIO CARNAUBAIS.</w:t>
      </w:r>
      <w:r>
        <w:rPr>
          <w:rFonts w:ascii="Cambria" w:hAnsi="Cambria" w:cs="Times New Roman"/>
          <w:b/>
          <w:sz w:val="22"/>
          <w:szCs w:val="22"/>
        </w:rPr>
        <w:t xml:space="preserve"> </w:t>
      </w:r>
      <w:r>
        <w:rPr>
          <w:rFonts w:ascii="Cambria" w:hAnsi="Cambria" w:eastAsia="Calibri" w:cs="Times New Roman"/>
          <w:sz w:val="22"/>
          <w:szCs w:val="22"/>
        </w:rPr>
        <w:t>Conforme especificações e quantitativos estabelecidos no Termo de Referência, anexo do Edital.</w:t>
      </w:r>
    </w:p>
    <w:p w14:paraId="698B4DD7">
      <w:pPr>
        <w:pStyle w:val="61"/>
        <w:keepNext/>
        <w:keepLines/>
        <w:numPr>
          <w:ilvl w:val="1"/>
          <w:numId w:val="16"/>
        </w:numPr>
        <w:pBdr>
          <w:top w:val="none" w:color="auto" w:sz="0" w:space="0"/>
          <w:left w:val="none" w:color="auto" w:sz="0" w:space="0"/>
          <w:bottom w:val="none" w:color="auto" w:sz="0" w:space="0"/>
          <w:right w:val="none" w:color="auto" w:sz="0" w:space="0"/>
          <w:between w:val="none" w:color="auto" w:sz="0" w:space="0"/>
        </w:pBdr>
        <w:tabs>
          <w:tab w:val="left" w:pos="426"/>
          <w:tab w:val="left" w:pos="709"/>
        </w:tabs>
        <w:ind w:left="0" w:firstLine="0"/>
        <w:jc w:val="both"/>
        <w:rPr>
          <w:rFonts w:ascii="Cambria" w:hAnsi="Cambria" w:cs="Times New Roman"/>
          <w:sz w:val="22"/>
          <w:szCs w:val="22"/>
        </w:rPr>
      </w:pPr>
      <w:r>
        <w:rPr>
          <w:rFonts w:ascii="Cambria" w:hAnsi="Cambria" w:eastAsia="Calibri" w:cs="Times New Roman"/>
          <w:color w:val="000000"/>
          <w:sz w:val="22"/>
          <w:szCs w:val="22"/>
        </w:rPr>
        <w:t xml:space="preserve">Este Termo de Contrato vincula-se ao Edital do </w:t>
      </w:r>
      <w:r>
        <w:rPr>
          <w:rFonts w:ascii="Cambria" w:hAnsi="Cambria" w:eastAsia="Calibri" w:cs="Times New Roman"/>
          <w:sz w:val="22"/>
          <w:szCs w:val="22"/>
        </w:rPr>
        <w:t>Pregão Eletrônico</w:t>
      </w:r>
      <w:r>
        <w:rPr>
          <w:rFonts w:ascii="Cambria" w:hAnsi="Cambria" w:eastAsia="Calibri" w:cs="Times New Roman"/>
          <w:color w:val="000000"/>
          <w:sz w:val="22"/>
          <w:szCs w:val="22"/>
        </w:rPr>
        <w:t>, identificado no preâmbulo e à proposta vencedora, independentemente de transcrição.</w:t>
      </w:r>
    </w:p>
    <w:p w14:paraId="0EC9BAF5">
      <w:pPr>
        <w:pBdr>
          <w:top w:val="none" w:color="auto" w:sz="0" w:space="0"/>
          <w:left w:val="none" w:color="auto" w:sz="0" w:space="0"/>
          <w:bottom w:val="none" w:color="auto" w:sz="0" w:space="0"/>
          <w:right w:val="none" w:color="auto" w:sz="0" w:space="0"/>
          <w:between w:val="none" w:color="auto" w:sz="0" w:space="0"/>
        </w:pBdr>
        <w:shd w:val="clear" w:color="auto" w:fill="FFFFFF"/>
        <w:tabs>
          <w:tab w:val="left" w:pos="709"/>
        </w:tabs>
        <w:jc w:val="both"/>
        <w:rPr>
          <w:rFonts w:ascii="Cambria" w:hAnsi="Cambria" w:eastAsia="Calibri" w:cs="Times New Roman"/>
          <w:color w:val="000000"/>
          <w:sz w:val="22"/>
          <w:szCs w:val="22"/>
        </w:rPr>
      </w:pPr>
      <w:r>
        <w:rPr>
          <w:rFonts w:ascii="Cambria" w:hAnsi="Cambria" w:eastAsia="Calibri" w:cs="Times New Roman"/>
          <w:color w:val="000000"/>
          <w:sz w:val="22"/>
          <w:szCs w:val="22"/>
        </w:rPr>
        <w:t> </w:t>
      </w:r>
    </w:p>
    <w:p w14:paraId="6C160279">
      <w:pPr>
        <w:keepNext/>
        <w:keepLines/>
        <w:numPr>
          <w:ilvl w:val="0"/>
          <w:numId w:val="16"/>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color w:val="000000"/>
          <w:sz w:val="22"/>
          <w:szCs w:val="22"/>
        </w:rPr>
        <w:t>CLÁUSULA SEGUNDA – VIGÊNCIA.</w:t>
      </w:r>
    </w:p>
    <w:p w14:paraId="13461882">
      <w:pPr>
        <w:pStyle w:val="61"/>
        <w:tabs>
          <w:tab w:val="left" w:pos="426"/>
          <w:tab w:val="left" w:pos="567"/>
        </w:tabs>
        <w:ind w:left="0"/>
        <w:jc w:val="both"/>
        <w:rPr>
          <w:rFonts w:ascii="Cambria" w:hAnsi="Cambria" w:eastAsia="Calibri" w:cs="Times New Roman"/>
          <w:sz w:val="22"/>
          <w:szCs w:val="22"/>
        </w:rPr>
      </w:pPr>
      <w:r>
        <w:rPr>
          <w:rFonts w:ascii="Cambria" w:hAnsi="Cambria" w:eastAsia="Calibri" w:cs="Times New Roman"/>
          <w:b/>
          <w:bCs/>
          <w:sz w:val="22"/>
          <w:szCs w:val="22"/>
        </w:rPr>
        <w:t>2.1</w:t>
      </w:r>
      <w:r>
        <w:rPr>
          <w:rFonts w:ascii="Cambria" w:hAnsi="Cambria" w:eastAsia="Calibri" w:cs="Times New Roman"/>
          <w:sz w:val="22"/>
          <w:szCs w:val="22"/>
        </w:rPr>
        <w:t xml:space="preserve"> O prazo de vigência deste Termo de Contrato é aquele fixado no Termo de Referência, doze meses, com início na data de XX/XX/XXXX e encerramento em XX/XX/XXXX. </w:t>
      </w:r>
    </w:p>
    <w:p w14:paraId="4D8578FC">
      <w:pPr>
        <w:pStyle w:val="61"/>
        <w:tabs>
          <w:tab w:val="left" w:pos="426"/>
          <w:tab w:val="left" w:pos="567"/>
        </w:tabs>
        <w:ind w:left="0"/>
        <w:jc w:val="both"/>
        <w:rPr>
          <w:rFonts w:ascii="Cambria" w:hAnsi="Cambria" w:eastAsia="Calibri" w:cs="Times New Roman"/>
          <w:sz w:val="22"/>
          <w:szCs w:val="22"/>
        </w:rPr>
      </w:pPr>
    </w:p>
    <w:p w14:paraId="7A8D0D6A">
      <w:pPr>
        <w:keepNext/>
        <w:keepLines/>
        <w:numPr>
          <w:ilvl w:val="0"/>
          <w:numId w:val="16"/>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color w:val="000000"/>
          <w:sz w:val="22"/>
          <w:szCs w:val="22"/>
        </w:rPr>
        <w:t>CLÁUSULA TERCEIRA – PREÇOS.</w:t>
      </w:r>
    </w:p>
    <w:p w14:paraId="1B47365A">
      <w:pPr>
        <w:pStyle w:val="61"/>
        <w:numPr>
          <w:ilvl w:val="1"/>
          <w:numId w:val="17"/>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O valor global estimado do presente Termo de Contrato é de R$ XXXXX (XXXXXXXXXXXXX)</w:t>
      </w:r>
      <w:r>
        <w:rPr>
          <w:rFonts w:ascii="Cambria" w:hAnsi="Cambria" w:eastAsia="Calibri" w:cs="Times New Roman"/>
          <w:b/>
          <w:sz w:val="22"/>
          <w:szCs w:val="22"/>
        </w:rPr>
        <w:t xml:space="preserve">. </w:t>
      </w:r>
    </w:p>
    <w:tbl>
      <w:tblPr>
        <w:tblStyle w:val="50"/>
        <w:tblW w:w="95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70" w:type="dxa"/>
          <w:bottom w:w="0" w:type="dxa"/>
          <w:right w:w="70" w:type="dxa"/>
        </w:tblCellMar>
      </w:tblPr>
      <w:tblGrid>
        <w:gridCol w:w="779"/>
        <w:gridCol w:w="2552"/>
        <w:gridCol w:w="1417"/>
        <w:gridCol w:w="1134"/>
        <w:gridCol w:w="1134"/>
        <w:gridCol w:w="992"/>
        <w:gridCol w:w="1560"/>
      </w:tblGrid>
      <w:tr w14:paraId="6910A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20" w:hRule="atLeast"/>
        </w:trPr>
        <w:tc>
          <w:tcPr>
            <w:tcW w:w="779" w:type="dxa"/>
            <w:tcBorders>
              <w:top w:val="single" w:color="000000" w:sz="4" w:space="0"/>
              <w:left w:val="single" w:color="000000" w:sz="4" w:space="0"/>
              <w:bottom w:val="single" w:color="000000" w:sz="4" w:space="0"/>
              <w:right w:val="single" w:color="000000" w:sz="4" w:space="0"/>
            </w:tcBorders>
            <w:vAlign w:val="center"/>
          </w:tcPr>
          <w:p w14:paraId="45584380">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ITEM</w:t>
            </w:r>
          </w:p>
        </w:tc>
        <w:tc>
          <w:tcPr>
            <w:tcW w:w="2552" w:type="dxa"/>
            <w:tcBorders>
              <w:top w:val="single" w:color="000000" w:sz="4" w:space="0"/>
              <w:left w:val="nil"/>
              <w:bottom w:val="single" w:color="000000" w:sz="4" w:space="0"/>
              <w:right w:val="single" w:color="000000" w:sz="4" w:space="0"/>
            </w:tcBorders>
            <w:vAlign w:val="center"/>
          </w:tcPr>
          <w:p w14:paraId="66224FD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DESCRIÇÃO</w:t>
            </w:r>
          </w:p>
        </w:tc>
        <w:tc>
          <w:tcPr>
            <w:tcW w:w="1417" w:type="dxa"/>
            <w:tcBorders>
              <w:top w:val="single" w:color="000000" w:sz="4" w:space="0"/>
              <w:left w:val="nil"/>
              <w:bottom w:val="single" w:color="000000" w:sz="4" w:space="0"/>
              <w:right w:val="single" w:color="000000" w:sz="4" w:space="0"/>
            </w:tcBorders>
            <w:vAlign w:val="center"/>
          </w:tcPr>
          <w:p w14:paraId="4D5D590C">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QUANT</w:t>
            </w:r>
          </w:p>
        </w:tc>
        <w:tc>
          <w:tcPr>
            <w:tcW w:w="1134" w:type="dxa"/>
            <w:tcBorders>
              <w:top w:val="single" w:color="000000" w:sz="4" w:space="0"/>
              <w:left w:val="nil"/>
              <w:bottom w:val="single" w:color="000000" w:sz="4" w:space="0"/>
              <w:right w:val="single" w:color="000000" w:sz="4" w:space="0"/>
            </w:tcBorders>
            <w:vAlign w:val="center"/>
          </w:tcPr>
          <w:p w14:paraId="112E03D1">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UNIDADE</w:t>
            </w:r>
          </w:p>
        </w:tc>
        <w:tc>
          <w:tcPr>
            <w:tcW w:w="1134" w:type="dxa"/>
            <w:tcBorders>
              <w:top w:val="single" w:color="000000" w:sz="4" w:space="0"/>
              <w:left w:val="nil"/>
              <w:bottom w:val="single" w:color="000000" w:sz="4" w:space="0"/>
              <w:right w:val="single" w:color="000000" w:sz="4" w:space="0"/>
            </w:tcBorders>
            <w:vAlign w:val="center"/>
          </w:tcPr>
          <w:p w14:paraId="27AA4E3D">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MARCA</w:t>
            </w:r>
          </w:p>
          <w:p w14:paraId="2D553654">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MODELO</w:t>
            </w:r>
          </w:p>
        </w:tc>
        <w:tc>
          <w:tcPr>
            <w:tcW w:w="992" w:type="dxa"/>
            <w:tcBorders>
              <w:top w:val="single" w:color="000000" w:sz="4" w:space="0"/>
              <w:left w:val="nil"/>
              <w:bottom w:val="single" w:color="000000" w:sz="4" w:space="0"/>
              <w:right w:val="single" w:color="auto" w:sz="4" w:space="0"/>
            </w:tcBorders>
            <w:vAlign w:val="center"/>
          </w:tcPr>
          <w:p w14:paraId="39120058">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V. UNIT</w:t>
            </w:r>
          </w:p>
        </w:tc>
        <w:tc>
          <w:tcPr>
            <w:tcW w:w="1560" w:type="dxa"/>
            <w:tcBorders>
              <w:top w:val="single" w:color="000000" w:sz="4" w:space="0"/>
              <w:left w:val="single" w:color="auto" w:sz="4" w:space="0"/>
              <w:bottom w:val="single" w:color="000000" w:sz="4" w:space="0"/>
              <w:right w:val="single" w:color="000000" w:sz="4" w:space="0"/>
            </w:tcBorders>
            <w:vAlign w:val="center"/>
          </w:tcPr>
          <w:p w14:paraId="02A402EB">
            <w:pPr>
              <w:tabs>
                <w:tab w:val="left" w:pos="709"/>
              </w:tabs>
              <w:jc w:val="both"/>
              <w:rPr>
                <w:rFonts w:ascii="Cambria" w:hAnsi="Cambria" w:eastAsia="Calibri" w:cs="Times New Roman"/>
                <w:b/>
                <w:sz w:val="22"/>
                <w:szCs w:val="22"/>
              </w:rPr>
            </w:pPr>
            <w:r>
              <w:rPr>
                <w:rFonts w:ascii="Cambria" w:hAnsi="Cambria" w:eastAsia="Calibri" w:cs="Times New Roman"/>
                <w:b/>
                <w:sz w:val="22"/>
                <w:szCs w:val="22"/>
              </w:rPr>
              <w:t xml:space="preserve">V.TOTAL </w:t>
            </w:r>
          </w:p>
        </w:tc>
      </w:tr>
      <w:tr w14:paraId="76604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20" w:hRule="atLeast"/>
        </w:trPr>
        <w:tc>
          <w:tcPr>
            <w:tcW w:w="779" w:type="dxa"/>
            <w:tcBorders>
              <w:top w:val="single" w:color="000000" w:sz="4" w:space="0"/>
              <w:left w:val="single" w:color="000000" w:sz="4" w:space="0"/>
              <w:bottom w:val="single" w:color="000000" w:sz="4" w:space="0"/>
              <w:right w:val="single" w:color="000000" w:sz="4" w:space="0"/>
            </w:tcBorders>
            <w:vAlign w:val="center"/>
          </w:tcPr>
          <w:p w14:paraId="3F010576">
            <w:pPr>
              <w:pBdr>
                <w:top w:val="none" w:color="auto" w:sz="0" w:space="0"/>
                <w:left w:val="none" w:color="auto" w:sz="0" w:space="0"/>
                <w:bottom w:val="none" w:color="auto" w:sz="0" w:space="0"/>
                <w:right w:val="none" w:color="auto" w:sz="0" w:space="0"/>
                <w:between w:val="none" w:color="auto" w:sz="0" w:space="0"/>
              </w:pBdr>
              <w:tabs>
                <w:tab w:val="left" w:pos="709"/>
              </w:tabs>
              <w:jc w:val="both"/>
              <w:rPr>
                <w:rFonts w:ascii="Cambria" w:hAnsi="Cambria" w:eastAsia="Calibri" w:cs="Times New Roman"/>
                <w:sz w:val="22"/>
                <w:szCs w:val="22"/>
              </w:rPr>
            </w:pPr>
            <w:r>
              <w:rPr>
                <w:rFonts w:ascii="Cambria" w:hAnsi="Cambria" w:eastAsia="Calibri" w:cs="Times New Roman"/>
                <w:sz w:val="22"/>
                <w:szCs w:val="22"/>
              </w:rPr>
              <w:t>XX</w:t>
            </w:r>
          </w:p>
        </w:tc>
        <w:tc>
          <w:tcPr>
            <w:tcW w:w="2552" w:type="dxa"/>
            <w:tcBorders>
              <w:top w:val="single" w:color="000000" w:sz="4" w:space="0"/>
              <w:left w:val="nil"/>
              <w:bottom w:val="single" w:color="000000" w:sz="4" w:space="0"/>
              <w:right w:val="single" w:color="000000" w:sz="4" w:space="0"/>
            </w:tcBorders>
            <w:vAlign w:val="center"/>
          </w:tcPr>
          <w:p w14:paraId="253B68FE">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XXXXXXXXXXXXXXXX</w:t>
            </w:r>
          </w:p>
        </w:tc>
        <w:tc>
          <w:tcPr>
            <w:tcW w:w="1417" w:type="dxa"/>
            <w:tcBorders>
              <w:top w:val="single" w:color="000000" w:sz="4" w:space="0"/>
              <w:left w:val="nil"/>
              <w:bottom w:val="single" w:color="000000" w:sz="4" w:space="0"/>
              <w:right w:val="single" w:color="000000" w:sz="4" w:space="0"/>
            </w:tcBorders>
            <w:vAlign w:val="center"/>
          </w:tcPr>
          <w:p w14:paraId="7337AC0A">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w:t>
            </w:r>
          </w:p>
        </w:tc>
        <w:tc>
          <w:tcPr>
            <w:tcW w:w="1134" w:type="dxa"/>
            <w:tcBorders>
              <w:top w:val="single" w:color="000000" w:sz="4" w:space="0"/>
              <w:left w:val="nil"/>
              <w:bottom w:val="single" w:color="000000" w:sz="4" w:space="0"/>
              <w:right w:val="single" w:color="000000" w:sz="4" w:space="0"/>
            </w:tcBorders>
            <w:vAlign w:val="center"/>
          </w:tcPr>
          <w:p w14:paraId="39CFFEAF">
            <w:pPr>
              <w:tabs>
                <w:tab w:val="left" w:pos="709"/>
              </w:tabs>
              <w:jc w:val="both"/>
              <w:rPr>
                <w:rFonts w:ascii="Cambria" w:hAnsi="Cambria" w:eastAsia="Times New Roman" w:cs="Times New Roman"/>
                <w:sz w:val="22"/>
                <w:szCs w:val="22"/>
              </w:rPr>
            </w:pPr>
            <w:r>
              <w:rPr>
                <w:rFonts w:ascii="Cambria" w:hAnsi="Cambria" w:eastAsia="Times New Roman" w:cs="Times New Roman"/>
                <w:sz w:val="22"/>
                <w:szCs w:val="22"/>
              </w:rPr>
              <w:t>XXXX</w:t>
            </w:r>
          </w:p>
        </w:tc>
        <w:tc>
          <w:tcPr>
            <w:tcW w:w="1134" w:type="dxa"/>
            <w:tcBorders>
              <w:top w:val="single" w:color="000000" w:sz="4" w:space="0"/>
              <w:left w:val="nil"/>
              <w:bottom w:val="single" w:color="000000" w:sz="4" w:space="0"/>
              <w:right w:val="single" w:color="000000" w:sz="4" w:space="0"/>
            </w:tcBorders>
            <w:vAlign w:val="center"/>
          </w:tcPr>
          <w:p w14:paraId="7B6A4D92">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w:t>
            </w:r>
          </w:p>
        </w:tc>
        <w:tc>
          <w:tcPr>
            <w:tcW w:w="992" w:type="dxa"/>
            <w:tcBorders>
              <w:top w:val="single" w:color="000000" w:sz="4" w:space="0"/>
              <w:left w:val="nil"/>
              <w:bottom w:val="single" w:color="000000" w:sz="4" w:space="0"/>
              <w:right w:val="single" w:color="auto" w:sz="4" w:space="0"/>
            </w:tcBorders>
            <w:vAlign w:val="center"/>
          </w:tcPr>
          <w:p w14:paraId="382EDD9D">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w:t>
            </w:r>
          </w:p>
        </w:tc>
        <w:tc>
          <w:tcPr>
            <w:tcW w:w="1560" w:type="dxa"/>
            <w:tcBorders>
              <w:top w:val="single" w:color="000000" w:sz="4" w:space="0"/>
              <w:left w:val="single" w:color="auto" w:sz="4" w:space="0"/>
              <w:bottom w:val="single" w:color="000000" w:sz="4" w:space="0"/>
              <w:right w:val="single" w:color="000000" w:sz="4" w:space="0"/>
            </w:tcBorders>
            <w:vAlign w:val="center"/>
          </w:tcPr>
          <w:p w14:paraId="78F8A85F">
            <w:pPr>
              <w:tabs>
                <w:tab w:val="left" w:pos="709"/>
              </w:tabs>
              <w:jc w:val="both"/>
              <w:rPr>
                <w:rFonts w:ascii="Cambria" w:hAnsi="Cambria" w:eastAsia="Calibri" w:cs="Times New Roman"/>
                <w:sz w:val="22"/>
                <w:szCs w:val="22"/>
              </w:rPr>
            </w:pPr>
            <w:r>
              <w:rPr>
                <w:rFonts w:ascii="Cambria" w:hAnsi="Cambria" w:eastAsia="Calibri" w:cs="Times New Roman"/>
                <w:sz w:val="22"/>
                <w:szCs w:val="22"/>
              </w:rPr>
              <w:t>XXXXXXXXX</w:t>
            </w:r>
          </w:p>
        </w:tc>
      </w:tr>
    </w:tbl>
    <w:p w14:paraId="33DAA5EB">
      <w:pPr>
        <w:numPr>
          <w:ilvl w:val="1"/>
          <w:numId w:val="17"/>
        </w:numPr>
        <w:tabs>
          <w:tab w:val="left" w:pos="426"/>
        </w:tabs>
        <w:ind w:left="0" w:firstLine="0"/>
        <w:jc w:val="both"/>
        <w:rPr>
          <w:rFonts w:ascii="Cambria" w:hAnsi="Cambria" w:cs="Times New Roman"/>
          <w:sz w:val="22"/>
          <w:szCs w:val="22"/>
        </w:rPr>
      </w:pPr>
      <w:r>
        <w:rPr>
          <w:rFonts w:ascii="Cambria" w:hAnsi="Cambria" w:eastAsia="Calibri"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4D7AC6B">
      <w:pPr>
        <w:tabs>
          <w:tab w:val="left" w:pos="426"/>
        </w:tabs>
        <w:jc w:val="both"/>
        <w:rPr>
          <w:rFonts w:ascii="Cambria" w:hAnsi="Cambria" w:cs="Times New Roman"/>
          <w:sz w:val="22"/>
          <w:szCs w:val="22"/>
        </w:rPr>
      </w:pPr>
    </w:p>
    <w:p w14:paraId="5721163E">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567"/>
          <w:tab w:val="left" w:pos="709"/>
        </w:tabs>
        <w:ind w:left="0" w:firstLine="0"/>
        <w:jc w:val="both"/>
        <w:rPr>
          <w:rFonts w:ascii="Cambria" w:hAnsi="Cambria" w:cs="Times New Roman"/>
          <w:sz w:val="22"/>
          <w:szCs w:val="22"/>
        </w:rPr>
      </w:pPr>
      <w:r>
        <w:rPr>
          <w:rFonts w:ascii="Cambria" w:hAnsi="Cambria" w:eastAsia="Calibri" w:cs="Times New Roman"/>
          <w:b/>
          <w:color w:val="000000"/>
          <w:sz w:val="22"/>
          <w:szCs w:val="22"/>
        </w:rPr>
        <w:t>CLÁUSULA QUARTA – DOTAÇÃO ORÇAMENTÁRIA.</w:t>
      </w:r>
    </w:p>
    <w:p w14:paraId="1F95D8EA">
      <w:pPr>
        <w:tabs>
          <w:tab w:val="left" w:pos="426"/>
          <w:tab w:val="left" w:pos="709"/>
        </w:tabs>
        <w:jc w:val="both"/>
        <w:rPr>
          <w:rFonts w:ascii="Cambria" w:hAnsi="Cambria" w:cs="Times New Roman"/>
          <w:sz w:val="22"/>
          <w:szCs w:val="22"/>
        </w:rPr>
      </w:pPr>
      <w:r>
        <w:rPr>
          <w:rFonts w:ascii="Cambria" w:hAnsi="Cambria" w:eastAsia="Calibri" w:cs="Times New Roman"/>
          <w:b/>
          <w:sz w:val="22"/>
          <w:szCs w:val="22"/>
        </w:rPr>
        <w:t>4.1</w:t>
      </w:r>
      <w:r>
        <w:rPr>
          <w:rFonts w:ascii="Cambria" w:hAnsi="Cambria" w:eastAsia="Calibri" w:cs="Times New Roman"/>
          <w:sz w:val="22"/>
          <w:szCs w:val="22"/>
        </w:rPr>
        <w:t xml:space="preserve"> </w:t>
      </w:r>
      <w:r>
        <w:rPr>
          <w:rFonts w:ascii="Cambria" w:hAnsi="Cambria" w:cs="Times New Roman"/>
          <w:sz w:val="22"/>
          <w:szCs w:val="22"/>
        </w:rPr>
        <w:t xml:space="preserve">As despesas decorrentes desta contratação, correrão por conta de transferência de recursos financeiros nº </w:t>
      </w:r>
      <w:r>
        <w:rPr>
          <w:rFonts w:hint="default" w:ascii="Cambria" w:hAnsi="Cambria" w:cs="Times New Roman"/>
          <w:sz w:val="22"/>
          <w:szCs w:val="22"/>
          <w:lang w:val="pt-BR"/>
        </w:rPr>
        <w:t>11509226000125016</w:t>
      </w:r>
      <w:r>
        <w:rPr>
          <w:rFonts w:ascii="Cambria" w:hAnsi="Cambria" w:cs="Times New Roman"/>
          <w:sz w:val="22"/>
          <w:szCs w:val="22"/>
        </w:rPr>
        <w:t xml:space="preserve">, para o Fundo Municipal de Carnaubais, vinculado a Emenda Parlamentar nº </w:t>
      </w:r>
      <w:r>
        <w:rPr>
          <w:rFonts w:hint="default" w:ascii="Cambria" w:hAnsi="Cambria" w:cs="Times New Roman"/>
          <w:sz w:val="22"/>
          <w:szCs w:val="22"/>
          <w:lang w:val="pt-BR"/>
        </w:rPr>
        <w:t>71210010</w:t>
      </w:r>
      <w:r>
        <w:rPr>
          <w:rFonts w:ascii="Cambria" w:hAnsi="Cambria" w:cs="Times New Roman"/>
          <w:sz w:val="22"/>
          <w:szCs w:val="22"/>
        </w:rPr>
        <w:t>, na seguinte classificação orçamentária.</w:t>
      </w:r>
    </w:p>
    <w:p w14:paraId="170925F0">
      <w:pPr>
        <w:tabs>
          <w:tab w:val="left" w:pos="426"/>
          <w:tab w:val="left" w:pos="709"/>
        </w:tabs>
        <w:jc w:val="both"/>
        <w:rPr>
          <w:rFonts w:ascii="Cambria" w:hAnsi="Cambria" w:cs="Times New Roman"/>
          <w:sz w:val="22"/>
          <w:szCs w:val="22"/>
        </w:rPr>
      </w:pPr>
    </w:p>
    <w:tbl>
      <w:tblPr>
        <w:tblStyle w:val="1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710"/>
        <w:gridCol w:w="992"/>
        <w:gridCol w:w="2204"/>
        <w:gridCol w:w="3892"/>
      </w:tblGrid>
      <w:tr w14:paraId="3856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694D8EE2">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 xml:space="preserve">UNIDADE GESTORA </w:t>
            </w:r>
          </w:p>
        </w:tc>
        <w:tc>
          <w:tcPr>
            <w:tcW w:w="992" w:type="dxa"/>
            <w:tcBorders>
              <w:top w:val="single" w:color="auto" w:sz="4" w:space="0"/>
              <w:left w:val="single" w:color="auto" w:sz="4" w:space="0"/>
              <w:bottom w:val="single" w:color="auto" w:sz="4" w:space="0"/>
              <w:right w:val="single" w:color="auto" w:sz="4" w:space="0"/>
            </w:tcBorders>
          </w:tcPr>
          <w:p w14:paraId="5F6F63AB">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3</w:t>
            </w:r>
          </w:p>
        </w:tc>
        <w:tc>
          <w:tcPr>
            <w:tcW w:w="6096" w:type="dxa"/>
            <w:gridSpan w:val="2"/>
            <w:tcBorders>
              <w:top w:val="single" w:color="auto" w:sz="4" w:space="0"/>
              <w:left w:val="single" w:color="auto" w:sz="4" w:space="0"/>
              <w:bottom w:val="single" w:color="auto" w:sz="4" w:space="0"/>
              <w:right w:val="single" w:color="auto" w:sz="4" w:space="0"/>
            </w:tcBorders>
          </w:tcPr>
          <w:p w14:paraId="4F4F82B8">
            <w:pPr>
              <w:pStyle w:val="31"/>
              <w:jc w:val="both"/>
              <w:rPr>
                <w:rFonts w:ascii="Cambria" w:hAnsi="Cambria" w:eastAsia="Times New Roman" w:cs="Times New Roman"/>
                <w:b/>
                <w:bCs/>
                <w:sz w:val="22"/>
                <w:szCs w:val="22"/>
                <w:lang w:eastAsia="en-US"/>
              </w:rPr>
            </w:pPr>
            <w:r>
              <w:rPr>
                <w:rFonts w:ascii="Cambria" w:hAnsi="Cambria" w:cs="Times New Roman"/>
                <w:b/>
                <w:bCs/>
                <w:sz w:val="22"/>
                <w:szCs w:val="22"/>
                <w:lang w:eastAsia="en-US"/>
              </w:rPr>
              <w:t>PREFEITURA MUNICIPAL DE CARNAUBAIS</w:t>
            </w:r>
          </w:p>
        </w:tc>
      </w:tr>
      <w:tr w14:paraId="64BF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6E53E41B">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Órgão Orçamentário</w:t>
            </w:r>
          </w:p>
        </w:tc>
        <w:tc>
          <w:tcPr>
            <w:tcW w:w="992" w:type="dxa"/>
            <w:tcBorders>
              <w:top w:val="single" w:color="auto" w:sz="4" w:space="0"/>
              <w:left w:val="single" w:color="auto" w:sz="4" w:space="0"/>
              <w:bottom w:val="single" w:color="auto" w:sz="4" w:space="0"/>
              <w:right w:val="single" w:color="auto" w:sz="4" w:space="0"/>
            </w:tcBorders>
          </w:tcPr>
          <w:p w14:paraId="2362E07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3000</w:t>
            </w:r>
          </w:p>
        </w:tc>
        <w:tc>
          <w:tcPr>
            <w:tcW w:w="6096" w:type="dxa"/>
            <w:gridSpan w:val="2"/>
            <w:tcBorders>
              <w:top w:val="single" w:color="auto" w:sz="4" w:space="0"/>
              <w:left w:val="single" w:color="auto" w:sz="4" w:space="0"/>
              <w:bottom w:val="single" w:color="auto" w:sz="4" w:space="0"/>
              <w:right w:val="single" w:color="auto" w:sz="4" w:space="0"/>
            </w:tcBorders>
          </w:tcPr>
          <w:p w14:paraId="2349E41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Fundo Municipal de Saúde</w:t>
            </w:r>
          </w:p>
        </w:tc>
      </w:tr>
      <w:tr w14:paraId="66EF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0EA73EC5">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Unid_Orçamentária:</w:t>
            </w:r>
          </w:p>
        </w:tc>
        <w:tc>
          <w:tcPr>
            <w:tcW w:w="992" w:type="dxa"/>
            <w:tcBorders>
              <w:top w:val="single" w:color="auto" w:sz="4" w:space="0"/>
              <w:left w:val="single" w:color="auto" w:sz="4" w:space="0"/>
              <w:bottom w:val="single" w:color="auto" w:sz="4" w:space="0"/>
              <w:right w:val="single" w:color="auto" w:sz="4" w:space="0"/>
            </w:tcBorders>
          </w:tcPr>
          <w:p w14:paraId="411FC29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3001</w:t>
            </w:r>
          </w:p>
        </w:tc>
        <w:tc>
          <w:tcPr>
            <w:tcW w:w="6096" w:type="dxa"/>
            <w:gridSpan w:val="2"/>
            <w:tcBorders>
              <w:top w:val="single" w:color="auto" w:sz="4" w:space="0"/>
              <w:left w:val="single" w:color="auto" w:sz="4" w:space="0"/>
              <w:bottom w:val="single" w:color="auto" w:sz="4" w:space="0"/>
              <w:right w:val="single" w:color="auto" w:sz="4" w:space="0"/>
            </w:tcBorders>
          </w:tcPr>
          <w:p w14:paraId="7A77F49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Secretaria Municipal de Saúde</w:t>
            </w:r>
          </w:p>
        </w:tc>
      </w:tr>
      <w:tr w14:paraId="70B1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7E204857">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Função_Governo:      </w:t>
            </w:r>
          </w:p>
        </w:tc>
        <w:tc>
          <w:tcPr>
            <w:tcW w:w="992" w:type="dxa"/>
            <w:tcBorders>
              <w:top w:val="single" w:color="auto" w:sz="4" w:space="0"/>
              <w:left w:val="single" w:color="auto" w:sz="4" w:space="0"/>
              <w:bottom w:val="single" w:color="auto" w:sz="4" w:space="0"/>
              <w:right w:val="single" w:color="auto" w:sz="4" w:space="0"/>
            </w:tcBorders>
          </w:tcPr>
          <w:p w14:paraId="37843E0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10</w:t>
            </w:r>
          </w:p>
        </w:tc>
        <w:tc>
          <w:tcPr>
            <w:tcW w:w="6096" w:type="dxa"/>
            <w:gridSpan w:val="2"/>
            <w:tcBorders>
              <w:top w:val="single" w:color="auto" w:sz="4" w:space="0"/>
              <w:left w:val="single" w:color="auto" w:sz="4" w:space="0"/>
              <w:bottom w:val="single" w:color="auto" w:sz="4" w:space="0"/>
              <w:right w:val="single" w:color="auto" w:sz="4" w:space="0"/>
            </w:tcBorders>
          </w:tcPr>
          <w:p w14:paraId="674C2EF0">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Saúde</w:t>
            </w:r>
          </w:p>
        </w:tc>
      </w:tr>
      <w:tr w14:paraId="3208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6A6CD179">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Sub_Função:            </w:t>
            </w:r>
          </w:p>
        </w:tc>
        <w:tc>
          <w:tcPr>
            <w:tcW w:w="992" w:type="dxa"/>
            <w:tcBorders>
              <w:top w:val="single" w:color="auto" w:sz="4" w:space="0"/>
              <w:left w:val="single" w:color="auto" w:sz="4" w:space="0"/>
              <w:bottom w:val="single" w:color="auto" w:sz="4" w:space="0"/>
              <w:right w:val="single" w:color="auto" w:sz="4" w:space="0"/>
            </w:tcBorders>
          </w:tcPr>
          <w:p w14:paraId="6BAD0351">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301</w:t>
            </w:r>
          </w:p>
        </w:tc>
        <w:tc>
          <w:tcPr>
            <w:tcW w:w="6096" w:type="dxa"/>
            <w:gridSpan w:val="2"/>
            <w:tcBorders>
              <w:top w:val="single" w:color="auto" w:sz="4" w:space="0"/>
              <w:left w:val="single" w:color="auto" w:sz="4" w:space="0"/>
              <w:bottom w:val="single" w:color="auto" w:sz="4" w:space="0"/>
              <w:right w:val="single" w:color="auto" w:sz="4" w:space="0"/>
            </w:tcBorders>
          </w:tcPr>
          <w:p w14:paraId="67653DFF">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Atenção Básica</w:t>
            </w:r>
          </w:p>
        </w:tc>
      </w:tr>
      <w:tr w14:paraId="6189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06180F5E">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Programa:</w:t>
            </w:r>
          </w:p>
        </w:tc>
        <w:tc>
          <w:tcPr>
            <w:tcW w:w="992" w:type="dxa"/>
            <w:tcBorders>
              <w:top w:val="single" w:color="auto" w:sz="4" w:space="0"/>
              <w:left w:val="single" w:color="auto" w:sz="4" w:space="0"/>
              <w:bottom w:val="single" w:color="auto" w:sz="4" w:space="0"/>
              <w:right w:val="single" w:color="auto" w:sz="4" w:space="0"/>
            </w:tcBorders>
          </w:tcPr>
          <w:p w14:paraId="641241DE">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27</w:t>
            </w:r>
          </w:p>
        </w:tc>
        <w:tc>
          <w:tcPr>
            <w:tcW w:w="6096" w:type="dxa"/>
            <w:gridSpan w:val="2"/>
            <w:tcBorders>
              <w:top w:val="single" w:color="auto" w:sz="4" w:space="0"/>
              <w:left w:val="single" w:color="auto" w:sz="4" w:space="0"/>
              <w:bottom w:val="single" w:color="auto" w:sz="4" w:space="0"/>
              <w:right w:val="single" w:color="auto" w:sz="4" w:space="0"/>
            </w:tcBorders>
          </w:tcPr>
          <w:p w14:paraId="2B75CEBF">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Infraestrutura e Desenvolvimento da Saúde</w:t>
            </w:r>
          </w:p>
        </w:tc>
      </w:tr>
      <w:tr w14:paraId="69A9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tcBorders>
              <w:top w:val="single" w:color="auto" w:sz="4" w:space="0"/>
              <w:left w:val="single" w:color="auto" w:sz="4" w:space="0"/>
              <w:bottom w:val="single" w:color="auto" w:sz="4" w:space="0"/>
              <w:right w:val="single" w:color="auto" w:sz="4" w:space="0"/>
            </w:tcBorders>
          </w:tcPr>
          <w:p w14:paraId="68A358EB">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Proj_Atividade:       </w:t>
            </w:r>
          </w:p>
        </w:tc>
        <w:tc>
          <w:tcPr>
            <w:tcW w:w="992" w:type="dxa"/>
            <w:tcBorders>
              <w:top w:val="single" w:color="auto" w:sz="4" w:space="0"/>
              <w:left w:val="single" w:color="auto" w:sz="4" w:space="0"/>
              <w:bottom w:val="single" w:color="auto" w:sz="4" w:space="0"/>
              <w:right w:val="single" w:color="auto" w:sz="4" w:space="0"/>
            </w:tcBorders>
          </w:tcPr>
          <w:p w14:paraId="5D971127">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1.39</w:t>
            </w:r>
          </w:p>
        </w:tc>
        <w:tc>
          <w:tcPr>
            <w:tcW w:w="6096" w:type="dxa"/>
            <w:gridSpan w:val="2"/>
            <w:tcBorders>
              <w:top w:val="single" w:color="auto" w:sz="4" w:space="0"/>
              <w:left w:val="single" w:color="auto" w:sz="4" w:space="0"/>
              <w:bottom w:val="single" w:color="auto" w:sz="4" w:space="0"/>
              <w:right w:val="single" w:color="auto" w:sz="4" w:space="0"/>
            </w:tcBorders>
          </w:tcPr>
          <w:p w14:paraId="0779E09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Aquisição Equipamentos Médico Hospitalar. Odont. Laboratoriais.</w:t>
            </w:r>
          </w:p>
        </w:tc>
      </w:tr>
      <w:tr w14:paraId="4EB4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gridSpan w:val="3"/>
            <w:tcBorders>
              <w:top w:val="single" w:color="auto" w:sz="4" w:space="0"/>
              <w:left w:val="single" w:color="auto" w:sz="4" w:space="0"/>
              <w:bottom w:val="single" w:color="auto" w:sz="4" w:space="0"/>
              <w:right w:val="single" w:color="auto" w:sz="4" w:space="0"/>
            </w:tcBorders>
          </w:tcPr>
          <w:p w14:paraId="266DCF26">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ELEMENTO_DESPESA</w:t>
            </w:r>
            <w:r>
              <w:rPr>
                <w:rFonts w:ascii="Cambria" w:hAnsi="Cambria" w:cs="Times New Roman"/>
                <w:sz w:val="22"/>
                <w:szCs w:val="22"/>
                <w:lang w:eastAsia="en-US"/>
              </w:rPr>
              <w:t>:</w:t>
            </w:r>
          </w:p>
        </w:tc>
        <w:tc>
          <w:tcPr>
            <w:tcW w:w="2204" w:type="dxa"/>
            <w:tcBorders>
              <w:top w:val="single" w:color="auto" w:sz="4" w:space="0"/>
              <w:left w:val="single" w:color="auto" w:sz="4" w:space="0"/>
              <w:bottom w:val="single" w:color="auto" w:sz="4" w:space="0"/>
              <w:right w:val="single" w:color="auto" w:sz="4" w:space="0"/>
            </w:tcBorders>
          </w:tcPr>
          <w:p w14:paraId="5DB0BAE5">
            <w:pPr>
              <w:pStyle w:val="31"/>
              <w:jc w:val="both"/>
              <w:rPr>
                <w:rFonts w:ascii="Cambria" w:hAnsi="Cambria" w:eastAsia="Times New Roman" w:cs="Times New Roman"/>
                <w:bCs/>
                <w:sz w:val="22"/>
                <w:szCs w:val="22"/>
                <w:lang w:eastAsia="en-US"/>
              </w:rPr>
            </w:pPr>
            <w:r>
              <w:rPr>
                <w:rFonts w:ascii="Cambria" w:hAnsi="Cambria" w:cs="Times New Roman"/>
                <w:sz w:val="22"/>
                <w:szCs w:val="22"/>
                <w:lang w:eastAsia="en-US"/>
              </w:rPr>
              <w:t>44.90.52.</w:t>
            </w:r>
            <w:r>
              <w:rPr>
                <w:rFonts w:ascii="Cambria" w:hAnsi="Cambria" w:cs="Times New Roman"/>
                <w:bCs/>
                <w:sz w:val="22"/>
                <w:szCs w:val="22"/>
                <w:lang w:eastAsia="en-US"/>
              </w:rPr>
              <w:t>00.00</w:t>
            </w:r>
          </w:p>
        </w:tc>
        <w:tc>
          <w:tcPr>
            <w:tcW w:w="3892" w:type="dxa"/>
            <w:tcBorders>
              <w:top w:val="single" w:color="auto" w:sz="4" w:space="0"/>
              <w:left w:val="single" w:color="auto" w:sz="4" w:space="0"/>
              <w:bottom w:val="single" w:color="auto" w:sz="4" w:space="0"/>
              <w:right w:val="single" w:color="auto" w:sz="4" w:space="0"/>
            </w:tcBorders>
          </w:tcPr>
          <w:p w14:paraId="5FFED814">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Equipamento e Material Permanente</w:t>
            </w:r>
          </w:p>
        </w:tc>
      </w:tr>
      <w:tr w14:paraId="18FB5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0" w:type="dxa"/>
            <w:tcBorders>
              <w:top w:val="single" w:color="auto" w:sz="4" w:space="0"/>
              <w:left w:val="single" w:color="auto" w:sz="4" w:space="0"/>
              <w:bottom w:val="single" w:color="auto" w:sz="4" w:space="0"/>
              <w:right w:val="single" w:color="auto" w:sz="4" w:space="0"/>
            </w:tcBorders>
          </w:tcPr>
          <w:p w14:paraId="78A932AE">
            <w:pPr>
              <w:pStyle w:val="31"/>
              <w:jc w:val="both"/>
              <w:rPr>
                <w:rFonts w:ascii="Cambria" w:hAnsi="Cambria" w:eastAsia="Times New Roman" w:cs="Times New Roman"/>
                <w:bCs/>
                <w:sz w:val="22"/>
                <w:szCs w:val="22"/>
                <w:lang w:eastAsia="en-US"/>
              </w:rPr>
            </w:pPr>
            <w:r>
              <w:rPr>
                <w:rFonts w:ascii="Cambria" w:hAnsi="Cambria" w:cs="Times New Roman"/>
                <w:bCs/>
                <w:sz w:val="22"/>
                <w:szCs w:val="22"/>
                <w:lang w:eastAsia="en-US"/>
              </w:rPr>
              <w:t xml:space="preserve">Cód._Redutor: </w:t>
            </w:r>
          </w:p>
        </w:tc>
        <w:tc>
          <w:tcPr>
            <w:tcW w:w="1702" w:type="dxa"/>
            <w:gridSpan w:val="2"/>
            <w:tcBorders>
              <w:top w:val="single" w:color="auto" w:sz="4" w:space="0"/>
              <w:left w:val="single" w:color="auto" w:sz="4" w:space="0"/>
              <w:bottom w:val="single" w:color="auto" w:sz="4" w:space="0"/>
              <w:right w:val="single" w:color="auto" w:sz="4" w:space="0"/>
            </w:tcBorders>
          </w:tcPr>
          <w:p w14:paraId="0E0A45F5">
            <w:pPr>
              <w:pStyle w:val="31"/>
              <w:jc w:val="both"/>
              <w:rPr>
                <w:rFonts w:ascii="Cambria" w:hAnsi="Cambria" w:eastAsia="Times New Roman" w:cs="Times New Roman"/>
                <w:bCs/>
                <w:sz w:val="22"/>
                <w:szCs w:val="22"/>
                <w:lang w:eastAsia="en-US"/>
              </w:rPr>
            </w:pPr>
            <w:r>
              <w:rPr>
                <w:rFonts w:ascii="Cambria" w:hAnsi="Cambria" w:eastAsia="Times New Roman" w:cs="Times New Roman"/>
                <w:bCs/>
                <w:sz w:val="22"/>
                <w:szCs w:val="22"/>
                <w:lang w:eastAsia="en-US"/>
              </w:rPr>
              <w:t>1050</w:t>
            </w:r>
          </w:p>
        </w:tc>
        <w:tc>
          <w:tcPr>
            <w:tcW w:w="2204" w:type="dxa"/>
            <w:tcBorders>
              <w:top w:val="single" w:color="auto" w:sz="4" w:space="0"/>
              <w:left w:val="single" w:color="auto" w:sz="4" w:space="0"/>
              <w:bottom w:val="single" w:color="auto" w:sz="4" w:space="0"/>
              <w:right w:val="single" w:color="auto" w:sz="4" w:space="0"/>
            </w:tcBorders>
          </w:tcPr>
          <w:p w14:paraId="3B2A8E83">
            <w:pPr>
              <w:pStyle w:val="31"/>
              <w:jc w:val="both"/>
              <w:rPr>
                <w:rFonts w:ascii="Cambria" w:hAnsi="Cambria" w:eastAsia="Times New Roman" w:cs="Times New Roman"/>
                <w:bCs/>
                <w:sz w:val="22"/>
                <w:szCs w:val="22"/>
                <w:lang w:eastAsia="en-US"/>
              </w:rPr>
            </w:pPr>
            <w:r>
              <w:rPr>
                <w:rFonts w:ascii="Cambria" w:hAnsi="Cambria" w:cs="Times New Roman"/>
                <w:sz w:val="22"/>
                <w:szCs w:val="22"/>
                <w:lang w:eastAsia="en-US"/>
              </w:rPr>
              <w:t>Fonte de Recurso:</w:t>
            </w:r>
          </w:p>
        </w:tc>
        <w:tc>
          <w:tcPr>
            <w:tcW w:w="3892" w:type="dxa"/>
            <w:tcBorders>
              <w:top w:val="single" w:color="auto" w:sz="4" w:space="0"/>
              <w:left w:val="single" w:color="auto" w:sz="4" w:space="0"/>
              <w:bottom w:val="single" w:color="auto" w:sz="4" w:space="0"/>
              <w:right w:val="single" w:color="auto" w:sz="4" w:space="0"/>
            </w:tcBorders>
          </w:tcPr>
          <w:p w14:paraId="6AAA0E81">
            <w:pPr>
              <w:pStyle w:val="31"/>
              <w:numPr>
                <w:ilvl w:val="2"/>
                <w:numId w:val="18"/>
              </w:numPr>
              <w:jc w:val="both"/>
              <w:rPr>
                <w:rFonts w:ascii="Cambria" w:hAnsi="Cambria" w:eastAsia="Times New Roman" w:cs="Times New Roman"/>
                <w:bCs/>
                <w:sz w:val="22"/>
                <w:szCs w:val="22"/>
                <w:lang w:eastAsia="en-US"/>
              </w:rPr>
            </w:pPr>
            <w:r>
              <w:rPr>
                <w:rFonts w:ascii="Cambria" w:hAnsi="Cambria" w:cs="Times New Roman"/>
                <w:bCs/>
                <w:sz w:val="22"/>
                <w:szCs w:val="22"/>
                <w:lang w:eastAsia="en-US"/>
              </w:rPr>
              <w:t>– Recurso Federal</w:t>
            </w:r>
          </w:p>
        </w:tc>
      </w:tr>
    </w:tbl>
    <w:p w14:paraId="3E414700">
      <w:pPr>
        <w:tabs>
          <w:tab w:val="left" w:pos="426"/>
          <w:tab w:val="left" w:pos="709"/>
        </w:tabs>
        <w:jc w:val="both"/>
        <w:rPr>
          <w:rFonts w:ascii="Cambria" w:hAnsi="Cambria" w:cs="Times New Roman"/>
          <w:sz w:val="22"/>
          <w:szCs w:val="22"/>
        </w:rPr>
      </w:pPr>
    </w:p>
    <w:p w14:paraId="29CE6728">
      <w:pPr>
        <w:pStyle w:val="61"/>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567"/>
          <w:tab w:val="left" w:pos="709"/>
        </w:tabs>
        <w:jc w:val="both"/>
        <w:rPr>
          <w:rFonts w:ascii="Cambria" w:hAnsi="Cambria" w:cs="Times New Roman"/>
          <w:sz w:val="22"/>
          <w:szCs w:val="22"/>
        </w:rPr>
      </w:pPr>
      <w:r>
        <w:rPr>
          <w:rFonts w:ascii="Cambria" w:hAnsi="Cambria" w:eastAsia="Calibri" w:cs="Times New Roman"/>
          <w:b/>
          <w:sz w:val="22"/>
          <w:szCs w:val="22"/>
        </w:rPr>
        <w:t xml:space="preserve">CLÁUSULA QUINTA – DO PAGAMENTO </w:t>
      </w:r>
    </w:p>
    <w:p w14:paraId="5DB184A3">
      <w:pPr>
        <w:tabs>
          <w:tab w:val="left" w:pos="709"/>
        </w:tabs>
        <w:jc w:val="both"/>
        <w:rPr>
          <w:rFonts w:ascii="Cambria" w:hAnsi="Cambria" w:cs="Times New Roman"/>
          <w:sz w:val="22"/>
          <w:szCs w:val="22"/>
        </w:rPr>
      </w:pPr>
      <w:r>
        <w:rPr>
          <w:rFonts w:ascii="Cambria" w:hAnsi="Cambria" w:eastAsia="Calibri" w:cs="Times New Roman"/>
          <w:b/>
          <w:bCs/>
          <w:sz w:val="22"/>
          <w:szCs w:val="22"/>
        </w:rPr>
        <w:t>5.1.</w:t>
      </w:r>
      <w:r>
        <w:rPr>
          <w:rFonts w:ascii="Cambria" w:hAnsi="Cambria" w:eastAsia="Calibri" w:cs="Times New Roman"/>
          <w:sz w:val="22"/>
          <w:szCs w:val="22"/>
        </w:rPr>
        <w:t xml:space="preserve"> O prazo para pagamento e demais condições a ele referentes encontram-se no Termo de Referência</w:t>
      </w:r>
      <w:bookmarkStart w:id="6" w:name="_3znysh7" w:colFirst="0" w:colLast="0"/>
      <w:bookmarkEnd w:id="6"/>
      <w:r>
        <w:rPr>
          <w:rFonts w:ascii="Cambria" w:hAnsi="Cambria" w:eastAsia="Calibri" w:cs="Times New Roman"/>
          <w:sz w:val="22"/>
          <w:szCs w:val="22"/>
        </w:rPr>
        <w:t>.</w:t>
      </w:r>
    </w:p>
    <w:p w14:paraId="34DC7244">
      <w:pPr>
        <w:jc w:val="both"/>
        <w:rPr>
          <w:rFonts w:ascii="Cambria" w:hAnsi="Cambria" w:cs="Times New Roman"/>
          <w:sz w:val="22"/>
          <w:szCs w:val="22"/>
        </w:rPr>
      </w:pPr>
      <w:r>
        <w:rPr>
          <w:rFonts w:ascii="Cambria" w:hAnsi="Cambria" w:cs="Times New Roman"/>
          <w:b/>
          <w:bCs/>
          <w:sz w:val="22"/>
          <w:szCs w:val="22"/>
        </w:rPr>
        <w:t>5.2</w:t>
      </w:r>
      <w:r>
        <w:rPr>
          <w:rFonts w:ascii="Cambria" w:hAnsi="Cambria" w:cs="Times New Roman"/>
          <w:sz w:val="22"/>
          <w:szCs w:val="22"/>
        </w:rPr>
        <w:t xml:space="preserve"> A Administração Pública Municipal efetuará a retenção, na fonte, do imposto sobre a renda, da Contribuição Social sobre o Lucro Líquido (CSLL), da Contribuição para o Financiamento da Seguridade Social (Cofins) e da Contribuição para o PIS/Pasep incidentes sobre os pagamentos efetuados;</w:t>
      </w:r>
    </w:p>
    <w:p w14:paraId="5056055A">
      <w:pPr>
        <w:jc w:val="both"/>
        <w:rPr>
          <w:rFonts w:ascii="Cambria" w:hAnsi="Cambria" w:cs="Times New Roman"/>
          <w:sz w:val="22"/>
          <w:szCs w:val="22"/>
        </w:rPr>
      </w:pPr>
      <w:r>
        <w:rPr>
          <w:rFonts w:ascii="Cambria" w:hAnsi="Cambria" w:cs="Times New Roman"/>
          <w:b/>
          <w:bCs/>
          <w:sz w:val="22"/>
          <w:szCs w:val="22"/>
        </w:rPr>
        <w:t>5.2.1.</w:t>
      </w:r>
      <w:r>
        <w:rPr>
          <w:rFonts w:ascii="Cambria" w:hAnsi="Cambria" w:cs="Times New Roman"/>
          <w:sz w:val="22"/>
          <w:szCs w:val="22"/>
        </w:rPr>
        <w:t xml:space="preserve"> As retenções serão efetuadas sobre qualquer forma de pagamento, inclusive os pagamentos antecipados por conta de fornecimento de bens ou de prestação de serviços;</w:t>
      </w:r>
    </w:p>
    <w:p w14:paraId="15123664">
      <w:pPr>
        <w:jc w:val="both"/>
        <w:rPr>
          <w:rFonts w:ascii="Cambria" w:hAnsi="Cambria" w:cs="Times New Roman"/>
          <w:sz w:val="22"/>
          <w:szCs w:val="22"/>
        </w:rPr>
      </w:pPr>
      <w:r>
        <w:rPr>
          <w:rFonts w:ascii="Cambria" w:hAnsi="Cambria" w:cs="Times New Roman"/>
          <w:b/>
          <w:bCs/>
          <w:sz w:val="22"/>
          <w:szCs w:val="22"/>
        </w:rPr>
        <w:t>5.2.2</w:t>
      </w:r>
      <w:r>
        <w:rPr>
          <w:rFonts w:ascii="Cambria" w:hAnsi="Cambria" w:cs="Times New Roman"/>
          <w:sz w:val="22"/>
          <w:szCs w:val="22"/>
        </w:rPr>
        <w:t xml:space="preserve"> 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p>
    <w:p w14:paraId="7E3A5221">
      <w:pPr>
        <w:tabs>
          <w:tab w:val="left" w:pos="709"/>
        </w:tabs>
        <w:jc w:val="both"/>
        <w:rPr>
          <w:rFonts w:ascii="Cambria" w:hAnsi="Cambria" w:eastAsia="Calibri" w:cs="Times New Roman"/>
          <w:sz w:val="22"/>
          <w:szCs w:val="22"/>
        </w:rPr>
      </w:pPr>
    </w:p>
    <w:p w14:paraId="1E6DB1EE">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mallCaps/>
          <w:sz w:val="22"/>
          <w:szCs w:val="22"/>
        </w:rPr>
        <w:t>CLÁUSULA SEXTA</w:t>
      </w:r>
      <w:r>
        <w:rPr>
          <w:rFonts w:ascii="Cambria" w:hAnsi="Cambria" w:eastAsia="Calibri" w:cs="Times New Roman"/>
          <w:b/>
          <w:sz w:val="22"/>
          <w:szCs w:val="22"/>
        </w:rPr>
        <w:t xml:space="preserve"> </w:t>
      </w:r>
      <w:r>
        <w:rPr>
          <w:rFonts w:ascii="Cambria" w:hAnsi="Cambria" w:eastAsia="Calibri" w:cs="Times New Roman"/>
          <w:b/>
          <w:smallCaps/>
          <w:sz w:val="22"/>
          <w:szCs w:val="22"/>
        </w:rPr>
        <w:t>–</w:t>
      </w:r>
      <w:r>
        <w:rPr>
          <w:rFonts w:ascii="Cambria" w:hAnsi="Cambria" w:eastAsia="Calibri" w:cs="Times New Roman"/>
          <w:b/>
          <w:sz w:val="22"/>
          <w:szCs w:val="22"/>
        </w:rPr>
        <w:t xml:space="preserve"> REAJUSTE.</w:t>
      </w:r>
    </w:p>
    <w:p w14:paraId="17D39112">
      <w:pPr>
        <w:numPr>
          <w:ilvl w:val="1"/>
          <w:numId w:val="17"/>
        </w:numPr>
        <w:tabs>
          <w:tab w:val="left" w:pos="709"/>
        </w:tabs>
        <w:ind w:left="0" w:firstLine="0"/>
        <w:jc w:val="both"/>
        <w:rPr>
          <w:rFonts w:ascii="Cambria" w:hAnsi="Cambria" w:cs="Times New Roman"/>
          <w:sz w:val="22"/>
          <w:szCs w:val="22"/>
        </w:rPr>
      </w:pPr>
      <w:r>
        <w:rPr>
          <w:rFonts w:ascii="Cambria" w:hAnsi="Cambria" w:eastAsia="Calibri" w:cs="Times New Roman"/>
          <w:sz w:val="22"/>
          <w:szCs w:val="22"/>
        </w:rPr>
        <w:t>Não será reajustado o valor contratual durante a vigência do contrato.</w:t>
      </w:r>
    </w:p>
    <w:p w14:paraId="4B8E2F86">
      <w:pPr>
        <w:tabs>
          <w:tab w:val="left" w:pos="709"/>
        </w:tabs>
        <w:jc w:val="both"/>
        <w:rPr>
          <w:rFonts w:ascii="Cambria" w:hAnsi="Cambria" w:eastAsia="Calibri" w:cs="Times New Roman"/>
          <w:sz w:val="22"/>
          <w:szCs w:val="22"/>
        </w:rPr>
      </w:pPr>
    </w:p>
    <w:p w14:paraId="28C20EA2">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OITAVA – GARANTIA DE EXECUÇÃO.</w:t>
      </w:r>
    </w:p>
    <w:p w14:paraId="2EA4522B">
      <w:pPr>
        <w:numPr>
          <w:ilvl w:val="1"/>
          <w:numId w:val="17"/>
        </w:numPr>
        <w:tabs>
          <w:tab w:val="left" w:pos="709"/>
        </w:tabs>
        <w:ind w:left="0" w:firstLine="0"/>
        <w:jc w:val="both"/>
        <w:rPr>
          <w:rFonts w:ascii="Cambria" w:hAnsi="Cambria" w:cs="Times New Roman"/>
          <w:sz w:val="22"/>
          <w:szCs w:val="22"/>
        </w:rPr>
      </w:pPr>
      <w:r>
        <w:rPr>
          <w:rFonts w:ascii="Cambria" w:hAnsi="Cambria" w:eastAsia="Calibri" w:cs="Times New Roman"/>
          <w:sz w:val="22"/>
          <w:szCs w:val="22"/>
        </w:rPr>
        <w:t>Não haverá exigência de garantia de execução para a presente contratação.</w:t>
      </w:r>
    </w:p>
    <w:p w14:paraId="5D62C5E9">
      <w:pPr>
        <w:tabs>
          <w:tab w:val="left" w:pos="709"/>
        </w:tabs>
        <w:jc w:val="both"/>
        <w:rPr>
          <w:rFonts w:ascii="Cambria" w:hAnsi="Cambria" w:eastAsia="Calibri" w:cs="Times New Roman"/>
          <w:sz w:val="22"/>
          <w:szCs w:val="22"/>
        </w:rPr>
      </w:pPr>
    </w:p>
    <w:p w14:paraId="314F5902">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NONA – DA EXECUÇÃO DO OBJETO.</w:t>
      </w:r>
    </w:p>
    <w:p w14:paraId="11ACA819">
      <w:pPr>
        <w:numPr>
          <w:ilvl w:val="1"/>
          <w:numId w:val="17"/>
        </w:numPr>
        <w:tabs>
          <w:tab w:val="left" w:pos="0"/>
          <w:tab w:val="left" w:pos="567"/>
        </w:tabs>
        <w:ind w:left="0" w:firstLine="0"/>
        <w:jc w:val="both"/>
        <w:rPr>
          <w:rFonts w:ascii="Cambria" w:hAnsi="Cambria" w:cs="Times New Roman"/>
          <w:sz w:val="22"/>
          <w:szCs w:val="22"/>
        </w:rPr>
      </w:pPr>
      <w:r>
        <w:rPr>
          <w:rFonts w:ascii="Cambria" w:hAnsi="Cambria" w:eastAsia="Calibri" w:cs="Times New Roman"/>
          <w:sz w:val="22"/>
          <w:szCs w:val="22"/>
        </w:rPr>
        <w:t>As condições de execução do objeto são aquelas previstas no Termo de Referência, anexo ao Edital.</w:t>
      </w:r>
    </w:p>
    <w:p w14:paraId="27B9808E">
      <w:pPr>
        <w:tabs>
          <w:tab w:val="left" w:pos="0"/>
          <w:tab w:val="left" w:pos="709"/>
        </w:tabs>
        <w:jc w:val="both"/>
        <w:rPr>
          <w:rFonts w:ascii="Cambria" w:hAnsi="Cambria" w:eastAsia="Calibri" w:cs="Times New Roman"/>
          <w:sz w:val="22"/>
          <w:szCs w:val="22"/>
        </w:rPr>
      </w:pPr>
    </w:p>
    <w:p w14:paraId="12858747">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 FISCALIZAÇÃO.</w:t>
      </w:r>
    </w:p>
    <w:p w14:paraId="4442689D">
      <w:pPr>
        <w:numPr>
          <w:ilvl w:val="1"/>
          <w:numId w:val="17"/>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A fiscalização da execução do objeto será efetuada por Comissão/Representante designado pela CONTRATANTE, na forma estabelecida no Termo de Referência, anexo do Edital.</w:t>
      </w:r>
    </w:p>
    <w:p w14:paraId="42B433F7">
      <w:pPr>
        <w:tabs>
          <w:tab w:val="left" w:pos="709"/>
        </w:tabs>
        <w:jc w:val="both"/>
        <w:rPr>
          <w:rFonts w:ascii="Cambria" w:hAnsi="Cambria" w:eastAsia="Calibri" w:cs="Times New Roman"/>
          <w:sz w:val="22"/>
          <w:szCs w:val="22"/>
        </w:rPr>
      </w:pPr>
    </w:p>
    <w:p w14:paraId="163A57E9">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 xml:space="preserve">CLÁUSULA DÉCIMA PRIMEIRA – OBRIGAÇÕES DA CONTRATANTE E DA CONTRATADA. </w:t>
      </w:r>
    </w:p>
    <w:p w14:paraId="7C5F65FB">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As obrigações da CONTRATANTE e da CONTRATADA são aquelas previstas no Termo de Referência, anexo do Edital.</w:t>
      </w:r>
    </w:p>
    <w:p w14:paraId="72D8502E">
      <w:pPr>
        <w:tabs>
          <w:tab w:val="left" w:pos="709"/>
        </w:tabs>
        <w:jc w:val="both"/>
        <w:rPr>
          <w:rFonts w:ascii="Cambria" w:hAnsi="Cambria" w:eastAsia="Calibri" w:cs="Times New Roman"/>
          <w:sz w:val="22"/>
          <w:szCs w:val="22"/>
        </w:rPr>
      </w:pPr>
    </w:p>
    <w:p w14:paraId="6F88FA9B">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SEGUNDA – SANÇÕES ADMINISTRATIVAS.</w:t>
      </w:r>
    </w:p>
    <w:p w14:paraId="0EADEA3D">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As sanções referentes à execução do contrato são aquelas previstas no Termo de Referência, anexo do Edital.</w:t>
      </w:r>
    </w:p>
    <w:p w14:paraId="40FFED6B">
      <w:pPr>
        <w:tabs>
          <w:tab w:val="left" w:pos="709"/>
        </w:tabs>
        <w:jc w:val="both"/>
        <w:rPr>
          <w:rFonts w:ascii="Cambria" w:hAnsi="Cambria" w:eastAsia="Calibri" w:cs="Times New Roman"/>
          <w:b/>
          <w:sz w:val="22"/>
          <w:szCs w:val="22"/>
        </w:rPr>
      </w:pPr>
    </w:p>
    <w:p w14:paraId="3543F1BF">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284"/>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TERCEIRA – EXTINÇÃO.</w:t>
      </w:r>
    </w:p>
    <w:p w14:paraId="693F8950">
      <w:pPr>
        <w:numPr>
          <w:ilvl w:val="1"/>
          <w:numId w:val="17"/>
        </w:numPr>
        <w:tabs>
          <w:tab w:val="left" w:pos="142"/>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O PRESENTE TERMO DE CONTRATO PODERÁ SER EXTINTO:</w:t>
      </w:r>
    </w:p>
    <w:p w14:paraId="674B2435">
      <w:pPr>
        <w:numPr>
          <w:ilvl w:val="2"/>
          <w:numId w:val="17"/>
        </w:numPr>
        <w:tabs>
          <w:tab w:val="left" w:pos="709"/>
        </w:tabs>
        <w:ind w:left="0" w:firstLine="0"/>
        <w:jc w:val="both"/>
        <w:rPr>
          <w:rFonts w:ascii="Cambria" w:hAnsi="Cambria" w:eastAsia="Calibri" w:cs="Times New Roman"/>
          <w:sz w:val="22"/>
          <w:szCs w:val="22"/>
        </w:rPr>
      </w:pPr>
      <w:r>
        <w:rPr>
          <w:rFonts w:ascii="Cambria" w:hAnsi="Cambria" w:eastAsia="Calibri"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77C0A879">
      <w:pPr>
        <w:numPr>
          <w:ilvl w:val="2"/>
          <w:numId w:val="17"/>
        </w:numPr>
        <w:tabs>
          <w:tab w:val="left" w:pos="709"/>
        </w:tabs>
        <w:ind w:left="0" w:firstLine="0"/>
        <w:jc w:val="both"/>
        <w:rPr>
          <w:rFonts w:ascii="Cambria" w:hAnsi="Cambria" w:eastAsia="Calibri" w:cs="Times New Roman"/>
          <w:sz w:val="22"/>
          <w:szCs w:val="22"/>
        </w:rPr>
      </w:pPr>
      <w:r>
        <w:rPr>
          <w:rFonts w:ascii="Cambria" w:hAnsi="Cambria" w:eastAsia="Calibri" w:cs="Times New Roman"/>
          <w:sz w:val="22"/>
          <w:szCs w:val="22"/>
        </w:rPr>
        <w:t>Amigavelmente, nos termos do art. 138, inciso II, da Lei nº 14.133/2021.</w:t>
      </w:r>
    </w:p>
    <w:p w14:paraId="350C2690">
      <w:pPr>
        <w:tabs>
          <w:tab w:val="left" w:pos="709"/>
        </w:tabs>
        <w:jc w:val="both"/>
        <w:rPr>
          <w:rFonts w:ascii="Cambria" w:hAnsi="Cambria" w:eastAsia="Calibri" w:cs="Times New Roman"/>
          <w:sz w:val="22"/>
          <w:szCs w:val="22"/>
        </w:rPr>
      </w:pPr>
    </w:p>
    <w:p w14:paraId="2E303EDA">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5C1C768F">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 CONTRATADA reconhece os direitos da CONTRATANTE em caso de rescisão administrativa prevista no art. 115 da Lei nº 14.133/2021.</w:t>
      </w:r>
    </w:p>
    <w:p w14:paraId="6CE764D2">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O TERMO DE RESCISÃO SERÁ PRECEDIDO DE RELATÓRIO INDICATIVO DOS SEGUINTES ASPECTOS, CONFORME O CASO:</w:t>
      </w:r>
    </w:p>
    <w:p w14:paraId="02969DC5">
      <w:pPr>
        <w:numPr>
          <w:ilvl w:val="2"/>
          <w:numId w:val="17"/>
        </w:numPr>
        <w:tabs>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Balanço dos eventos contratuais já cumpridos ou parcialmente cumpridos;</w:t>
      </w:r>
    </w:p>
    <w:p w14:paraId="194DA576">
      <w:pPr>
        <w:numPr>
          <w:ilvl w:val="2"/>
          <w:numId w:val="17"/>
        </w:numPr>
        <w:tabs>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Relação dos pagamentos já efetuados e ainda devidos;</w:t>
      </w:r>
    </w:p>
    <w:p w14:paraId="4399A717">
      <w:pPr>
        <w:numPr>
          <w:ilvl w:val="2"/>
          <w:numId w:val="17"/>
        </w:numPr>
        <w:tabs>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Indenizações e multas.</w:t>
      </w:r>
    </w:p>
    <w:p w14:paraId="3FA4F570">
      <w:pPr>
        <w:tabs>
          <w:tab w:val="left" w:pos="851"/>
        </w:tabs>
        <w:jc w:val="both"/>
        <w:rPr>
          <w:rFonts w:ascii="Cambria" w:hAnsi="Cambria" w:eastAsia="Calibri" w:cs="Times New Roman"/>
          <w:sz w:val="22"/>
          <w:szCs w:val="22"/>
        </w:rPr>
      </w:pPr>
    </w:p>
    <w:p w14:paraId="767C5EC0">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QUARTA – VEDAÇÕES.</w:t>
      </w:r>
    </w:p>
    <w:p w14:paraId="24F5E06D">
      <w:pPr>
        <w:numPr>
          <w:ilvl w:val="1"/>
          <w:numId w:val="17"/>
        </w:numPr>
        <w:pBdr>
          <w:top w:val="none" w:color="auto" w:sz="0" w:space="0"/>
          <w:left w:val="none" w:color="auto" w:sz="0" w:space="0"/>
          <w:bottom w:val="none" w:color="auto" w:sz="0" w:space="0"/>
          <w:right w:val="none" w:color="auto" w:sz="0" w:space="0"/>
          <w:between w:val="none" w:color="auto" w:sz="0" w:space="0"/>
        </w:pBd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É VEDADO À CONTRATADA:</w:t>
      </w:r>
    </w:p>
    <w:p w14:paraId="74D6B097">
      <w:pPr>
        <w:numPr>
          <w:ilvl w:val="2"/>
          <w:numId w:val="17"/>
        </w:numPr>
        <w:tabs>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Caucionar ou utilizar este Termo de Contrato para qualquer operação financeira;</w:t>
      </w:r>
    </w:p>
    <w:p w14:paraId="4B86B3B8">
      <w:pPr>
        <w:numPr>
          <w:ilvl w:val="2"/>
          <w:numId w:val="17"/>
        </w:numPr>
        <w:tabs>
          <w:tab w:val="left" w:pos="709"/>
          <w:tab w:val="left" w:pos="851"/>
        </w:tabs>
        <w:ind w:left="0" w:firstLine="0"/>
        <w:jc w:val="both"/>
        <w:rPr>
          <w:rFonts w:ascii="Cambria" w:hAnsi="Cambria" w:eastAsia="Calibri" w:cs="Times New Roman"/>
          <w:sz w:val="22"/>
          <w:szCs w:val="22"/>
        </w:rPr>
      </w:pPr>
      <w:r>
        <w:rPr>
          <w:rFonts w:ascii="Cambria" w:hAnsi="Cambria" w:eastAsia="Calibri" w:cs="Times New Roman"/>
          <w:sz w:val="22"/>
          <w:szCs w:val="22"/>
        </w:rPr>
        <w:t>Interromper a execução contratual sob alegação de inadimplemento por parte da CONTRATANTE, salvo nos casos previstos em lei.</w:t>
      </w:r>
    </w:p>
    <w:p w14:paraId="09A970FD">
      <w:pPr>
        <w:tabs>
          <w:tab w:val="left" w:pos="709"/>
        </w:tabs>
        <w:jc w:val="both"/>
        <w:rPr>
          <w:rFonts w:ascii="Cambria" w:hAnsi="Cambria" w:eastAsia="Calibri" w:cs="Times New Roman"/>
          <w:sz w:val="22"/>
          <w:szCs w:val="22"/>
        </w:rPr>
      </w:pPr>
    </w:p>
    <w:p w14:paraId="446056E7">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QUINTA – ALTERAÇÕES.</w:t>
      </w:r>
    </w:p>
    <w:p w14:paraId="7F5EEEB7">
      <w:pPr>
        <w:numPr>
          <w:ilvl w:val="1"/>
          <w:numId w:val="17"/>
        </w:numPr>
        <w:tabs>
          <w:tab w:val="left" w:pos="709"/>
        </w:tabs>
        <w:ind w:left="0" w:firstLine="0"/>
        <w:jc w:val="both"/>
        <w:rPr>
          <w:rFonts w:ascii="Cambria" w:hAnsi="Cambria" w:cs="Times New Roman"/>
          <w:sz w:val="22"/>
          <w:szCs w:val="22"/>
        </w:rPr>
      </w:pPr>
      <w:r>
        <w:rPr>
          <w:rFonts w:ascii="Cambria" w:hAnsi="Cambria" w:eastAsia="Calibri" w:cs="Times New Roman"/>
          <w:sz w:val="22"/>
          <w:szCs w:val="22"/>
        </w:rPr>
        <w:t>Eventuais alterações contratuais reger-se-ão pela disciplina do art. 124 da Lei nº 14.133/2021.</w:t>
      </w:r>
    </w:p>
    <w:p w14:paraId="21C12976">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2E1EA44B">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As supressões resultantes de acordo celebrado entre as partes contratantes poderão exceder o limite de 25% (vinte e cinco por cento) do valor inicial atualizado do contrato.</w:t>
      </w:r>
    </w:p>
    <w:p w14:paraId="689196DA">
      <w:pPr>
        <w:tabs>
          <w:tab w:val="left" w:pos="709"/>
        </w:tabs>
        <w:jc w:val="both"/>
        <w:rPr>
          <w:rFonts w:ascii="Cambria" w:hAnsi="Cambria" w:eastAsia="Calibri" w:cs="Times New Roman"/>
          <w:sz w:val="22"/>
          <w:szCs w:val="22"/>
        </w:rPr>
      </w:pPr>
    </w:p>
    <w:p w14:paraId="34551F95">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SEXTA - DOS CASOS OMISSOS.</w:t>
      </w:r>
    </w:p>
    <w:p w14:paraId="3F542C49">
      <w:pPr>
        <w:numPr>
          <w:ilvl w:val="1"/>
          <w:numId w:val="17"/>
        </w:numPr>
        <w:tabs>
          <w:tab w:val="left" w:pos="426"/>
          <w:tab w:val="left" w:pos="709"/>
        </w:tabs>
        <w:ind w:left="0" w:firstLine="0"/>
        <w:jc w:val="both"/>
        <w:rPr>
          <w:rFonts w:ascii="Cambria" w:hAnsi="Cambria" w:cs="Times New Roman"/>
          <w:sz w:val="22"/>
          <w:szCs w:val="22"/>
        </w:rPr>
      </w:pPr>
      <w:r>
        <w:rPr>
          <w:rFonts w:ascii="Cambria" w:hAnsi="Cambria" w:eastAsia="Calibri"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1B33B008">
      <w:pPr>
        <w:tabs>
          <w:tab w:val="left" w:pos="709"/>
        </w:tabs>
        <w:jc w:val="both"/>
        <w:rPr>
          <w:rFonts w:ascii="Cambria" w:hAnsi="Cambria" w:eastAsia="Calibri" w:cs="Times New Roman"/>
          <w:sz w:val="22"/>
          <w:szCs w:val="22"/>
        </w:rPr>
      </w:pPr>
    </w:p>
    <w:p w14:paraId="28F4EFA2">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SÉTIMA – PUBLICAÇÃO.</w:t>
      </w:r>
    </w:p>
    <w:p w14:paraId="48269EF9">
      <w:pPr>
        <w:numPr>
          <w:ilvl w:val="1"/>
          <w:numId w:val="17"/>
        </w:numPr>
        <w:tabs>
          <w:tab w:val="left" w:pos="567"/>
          <w:tab w:val="left" w:pos="709"/>
        </w:tabs>
        <w:ind w:left="0" w:firstLine="0"/>
        <w:jc w:val="both"/>
        <w:rPr>
          <w:rFonts w:ascii="Cambria" w:hAnsi="Cambria" w:cs="Times New Roman"/>
          <w:sz w:val="22"/>
          <w:szCs w:val="22"/>
        </w:rPr>
      </w:pPr>
      <w:r>
        <w:rPr>
          <w:rFonts w:ascii="Cambria" w:hAnsi="Cambria" w:eastAsia="Calibri" w:cs="Times New Roman"/>
          <w:sz w:val="22"/>
          <w:szCs w:val="22"/>
        </w:rPr>
        <w:t>Incumbirá à CONTRATANTE providenciar a publicação deste instrumento, por extrato, no Diário Oficial, de acordo com o previsto na Lei nº 14.133/2021.</w:t>
      </w:r>
    </w:p>
    <w:p w14:paraId="0CAD8FDA">
      <w:pPr>
        <w:tabs>
          <w:tab w:val="left" w:pos="709"/>
        </w:tabs>
        <w:jc w:val="both"/>
        <w:rPr>
          <w:rFonts w:ascii="Cambria" w:hAnsi="Cambria" w:eastAsia="Calibri" w:cs="Times New Roman"/>
          <w:sz w:val="22"/>
          <w:szCs w:val="22"/>
        </w:rPr>
      </w:pPr>
    </w:p>
    <w:p w14:paraId="7974460E">
      <w:pPr>
        <w:keepNext/>
        <w:keepLines/>
        <w:numPr>
          <w:ilvl w:val="0"/>
          <w:numId w:val="17"/>
        </w:numPr>
        <w:pBdr>
          <w:top w:val="none" w:color="auto" w:sz="0" w:space="0"/>
          <w:left w:val="none" w:color="auto" w:sz="0" w:space="0"/>
          <w:bottom w:val="none" w:color="auto" w:sz="0" w:space="0"/>
          <w:right w:val="none" w:color="auto" w:sz="0" w:space="0"/>
          <w:between w:val="none" w:color="auto" w:sz="0" w:space="0"/>
        </w:pBdr>
        <w:shd w:val="clear" w:color="auto" w:fill="D7E3BC"/>
        <w:tabs>
          <w:tab w:val="left" w:pos="426"/>
          <w:tab w:val="left" w:pos="567"/>
          <w:tab w:val="left" w:pos="709"/>
        </w:tabs>
        <w:ind w:left="0" w:firstLine="0"/>
        <w:jc w:val="both"/>
        <w:rPr>
          <w:rFonts w:ascii="Cambria" w:hAnsi="Cambria" w:cs="Times New Roman"/>
          <w:sz w:val="22"/>
          <w:szCs w:val="22"/>
        </w:rPr>
      </w:pPr>
      <w:r>
        <w:rPr>
          <w:rFonts w:ascii="Cambria" w:hAnsi="Cambria" w:eastAsia="Calibri" w:cs="Times New Roman"/>
          <w:b/>
          <w:sz w:val="22"/>
          <w:szCs w:val="22"/>
        </w:rPr>
        <w:t>CLÁUSULA DÉCIMA OITAVA – FORO.</w:t>
      </w:r>
    </w:p>
    <w:p w14:paraId="19268BF2">
      <w:pPr>
        <w:numPr>
          <w:ilvl w:val="1"/>
          <w:numId w:val="17"/>
        </w:numPr>
        <w:tabs>
          <w:tab w:val="left" w:pos="426"/>
          <w:tab w:val="left" w:pos="567"/>
        </w:tabs>
        <w:ind w:left="0" w:firstLine="0"/>
        <w:jc w:val="both"/>
        <w:rPr>
          <w:rFonts w:ascii="Cambria" w:hAnsi="Cambria" w:cs="Times New Roman"/>
          <w:sz w:val="22"/>
          <w:szCs w:val="22"/>
        </w:rPr>
      </w:pPr>
      <w:r>
        <w:rPr>
          <w:rFonts w:ascii="Cambria" w:hAnsi="Cambria" w:eastAsia="Calibri" w:cs="Times New Roman"/>
          <w:sz w:val="22"/>
          <w:szCs w:val="22"/>
        </w:rPr>
        <w:t>É eleito o Foro da Comarca de Assú/RN, para dirimir os litígios que decorrerem da execução deste Termo de Contrato que não possam ser compostos pela conciliação, conforme art. 92, §1º da Lei nº 14.133/2021.</w:t>
      </w:r>
    </w:p>
    <w:p w14:paraId="67592395">
      <w:pPr>
        <w:tabs>
          <w:tab w:val="left" w:pos="709"/>
        </w:tabs>
        <w:jc w:val="both"/>
        <w:rPr>
          <w:rFonts w:ascii="Cambria" w:hAnsi="Cambria" w:eastAsia="Calibri" w:cs="Times New Roman"/>
          <w:sz w:val="22"/>
          <w:szCs w:val="22"/>
        </w:rPr>
      </w:pPr>
    </w:p>
    <w:p w14:paraId="2B8E13B0">
      <w:pPr>
        <w:tabs>
          <w:tab w:val="left" w:pos="709"/>
        </w:tabs>
        <w:jc w:val="both"/>
        <w:rPr>
          <w:rFonts w:ascii="Cambria" w:hAnsi="Cambria" w:eastAsia="Calibri" w:cs="Times New Roman"/>
          <w:sz w:val="22"/>
          <w:szCs w:val="22"/>
        </w:rPr>
      </w:pPr>
      <w:r>
        <w:rPr>
          <w:rFonts w:ascii="Cambria" w:hAnsi="Cambria" w:eastAsia="Calibri" w:cs="Times New Roman"/>
          <w:b/>
          <w:bCs/>
          <w:sz w:val="22"/>
          <w:szCs w:val="22"/>
        </w:rPr>
        <w:t>17.2.</w:t>
      </w:r>
      <w:r>
        <w:rPr>
          <w:rFonts w:ascii="Cambria" w:hAnsi="Cambria" w:eastAsia="Calibri" w:cs="Times New Roman"/>
          <w:sz w:val="22"/>
          <w:szCs w:val="22"/>
        </w:rPr>
        <w:t xml:space="preserve"> Para firmeza e validade do pactuado, o presente Termo de Contrato foi lavrado em duas (duas) vias de igual teor, que, depois de lido e achado em ordem, foi assinado pelos contraentes. </w:t>
      </w:r>
    </w:p>
    <w:p w14:paraId="7926CD5C">
      <w:pPr>
        <w:widowControl w:val="0"/>
        <w:tabs>
          <w:tab w:val="left" w:pos="709"/>
        </w:tabs>
        <w:jc w:val="both"/>
        <w:rPr>
          <w:rFonts w:ascii="Cambria" w:hAnsi="Cambria" w:eastAsia="Calibri" w:cs="Times New Roman"/>
          <w:sz w:val="22"/>
          <w:szCs w:val="22"/>
        </w:rPr>
      </w:pPr>
    </w:p>
    <w:p w14:paraId="5F138A31">
      <w:pPr>
        <w:widowControl w:val="0"/>
        <w:tabs>
          <w:tab w:val="left" w:pos="709"/>
        </w:tabs>
        <w:jc w:val="right"/>
        <w:rPr>
          <w:rFonts w:ascii="Cambria" w:hAnsi="Cambria" w:eastAsia="Calibri" w:cs="Times New Roman"/>
          <w:sz w:val="22"/>
          <w:szCs w:val="22"/>
        </w:rPr>
      </w:pPr>
      <w:r>
        <w:rPr>
          <w:rFonts w:ascii="Cambria" w:hAnsi="Cambria" w:eastAsia="Calibri" w:cs="Times New Roman"/>
          <w:sz w:val="22"/>
          <w:szCs w:val="22"/>
        </w:rPr>
        <w:t>LOCAL E DATA</w:t>
      </w:r>
    </w:p>
    <w:p w14:paraId="26F5B552">
      <w:pPr>
        <w:tabs>
          <w:tab w:val="left" w:pos="709"/>
        </w:tabs>
        <w:jc w:val="both"/>
        <w:rPr>
          <w:rFonts w:ascii="Cambria" w:hAnsi="Cambria" w:eastAsia="Calibri" w:cs="Times New Roman"/>
          <w:sz w:val="22"/>
          <w:szCs w:val="22"/>
        </w:rPr>
      </w:pPr>
    </w:p>
    <w:p w14:paraId="391DA3CA">
      <w:pPr>
        <w:tabs>
          <w:tab w:val="left" w:pos="709"/>
        </w:tabs>
        <w:jc w:val="center"/>
        <w:rPr>
          <w:rFonts w:ascii="Cambria" w:hAnsi="Cambria" w:eastAsia="Calibri" w:cs="Times New Roman"/>
          <w:sz w:val="22"/>
          <w:szCs w:val="22"/>
        </w:rPr>
      </w:pPr>
      <w:r>
        <w:rPr>
          <w:rFonts w:ascii="Cambria" w:hAnsi="Cambria" w:eastAsia="Calibri" w:cs="Times New Roman"/>
          <w:sz w:val="22"/>
          <w:szCs w:val="22"/>
        </w:rPr>
        <w:t>XXXXXXXXXXXXXXXXXXXXXXXXXXXXXXXXXXXXX</w:t>
      </w:r>
    </w:p>
    <w:p w14:paraId="412142F7">
      <w:pPr>
        <w:tabs>
          <w:tab w:val="left" w:pos="709"/>
        </w:tabs>
        <w:jc w:val="center"/>
        <w:rPr>
          <w:rFonts w:ascii="Cambria" w:hAnsi="Cambria" w:eastAsia="Calibri" w:cs="Times New Roman"/>
          <w:sz w:val="22"/>
          <w:szCs w:val="22"/>
        </w:rPr>
      </w:pPr>
      <w:r>
        <w:rPr>
          <w:rFonts w:ascii="Cambria" w:hAnsi="Cambria" w:eastAsia="Calibri" w:cs="Times New Roman"/>
          <w:sz w:val="22"/>
          <w:szCs w:val="22"/>
        </w:rPr>
        <w:t>Responsável legal da CONTRATANTE</w:t>
      </w:r>
    </w:p>
    <w:p w14:paraId="33AF0C92">
      <w:pPr>
        <w:tabs>
          <w:tab w:val="left" w:pos="709"/>
        </w:tabs>
        <w:jc w:val="center"/>
        <w:rPr>
          <w:rFonts w:ascii="Cambria" w:hAnsi="Cambria" w:eastAsia="Calibri" w:cs="Times New Roman"/>
          <w:sz w:val="22"/>
          <w:szCs w:val="22"/>
        </w:rPr>
      </w:pPr>
    </w:p>
    <w:p w14:paraId="148EEE9B">
      <w:pPr>
        <w:tabs>
          <w:tab w:val="left" w:pos="709"/>
        </w:tabs>
        <w:jc w:val="center"/>
        <w:rPr>
          <w:rFonts w:ascii="Cambria" w:hAnsi="Cambria" w:eastAsia="Calibri" w:cs="Times New Roman"/>
          <w:sz w:val="22"/>
          <w:szCs w:val="22"/>
        </w:rPr>
      </w:pPr>
      <w:r>
        <w:rPr>
          <w:rFonts w:ascii="Cambria" w:hAnsi="Cambria" w:eastAsia="Calibri" w:cs="Times New Roman"/>
          <w:sz w:val="22"/>
          <w:szCs w:val="22"/>
        </w:rPr>
        <w:t>XXXXXXXXXXXXXXXXXXXXXXXXXXXXXXXXXXXXX</w:t>
      </w:r>
    </w:p>
    <w:p w14:paraId="0B8E2303">
      <w:pPr>
        <w:tabs>
          <w:tab w:val="left" w:pos="709"/>
        </w:tabs>
        <w:jc w:val="center"/>
        <w:rPr>
          <w:rFonts w:ascii="Cambria" w:hAnsi="Cambria" w:eastAsia="Calibri" w:cs="Times New Roman"/>
          <w:sz w:val="22"/>
          <w:szCs w:val="22"/>
        </w:rPr>
      </w:pPr>
      <w:r>
        <w:rPr>
          <w:rFonts w:ascii="Cambria" w:hAnsi="Cambria" w:eastAsia="Calibri" w:cs="Times New Roman"/>
          <w:sz w:val="22"/>
          <w:szCs w:val="22"/>
        </w:rPr>
        <w:t>Responsável legal da CONTRATADA</w:t>
      </w:r>
    </w:p>
    <w:p w14:paraId="0F152F25">
      <w:pPr>
        <w:tabs>
          <w:tab w:val="left" w:pos="709"/>
        </w:tabs>
        <w:jc w:val="both"/>
        <w:rPr>
          <w:rFonts w:ascii="Cambria" w:hAnsi="Cambria" w:eastAsia="Calibri" w:cs="Times New Roman"/>
          <w:sz w:val="22"/>
          <w:szCs w:val="22"/>
        </w:rPr>
      </w:pPr>
      <w:r>
        <w:rPr>
          <w:rFonts w:ascii="Cambria" w:hAnsi="Cambria" w:eastAsia="Calibri" w:cs="Times New Roman"/>
          <w:sz w:val="22"/>
          <w:szCs w:val="22"/>
        </w:rPr>
        <w:br w:type="page"/>
      </w:r>
    </w:p>
    <w:p w14:paraId="72440A34">
      <w:pPr>
        <w:keepNext/>
        <w:keepLines/>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jc w:val="both"/>
        <w:rPr>
          <w:rFonts w:ascii="Cambria" w:hAnsi="Cambria" w:cs="Times New Roman"/>
          <w:b/>
          <w:bCs/>
          <w:sz w:val="22"/>
          <w:szCs w:val="22"/>
        </w:rPr>
      </w:pPr>
    </w:p>
    <w:p w14:paraId="3100A5A3">
      <w:pPr>
        <w:keepNext/>
        <w:keepLines/>
        <w:pBdr>
          <w:top w:val="none" w:color="auto" w:sz="0" w:space="0"/>
          <w:left w:val="none" w:color="auto" w:sz="0" w:space="0"/>
          <w:bottom w:val="none" w:color="auto" w:sz="0" w:space="0"/>
          <w:right w:val="none" w:color="auto" w:sz="0" w:space="0"/>
          <w:between w:val="none" w:color="auto" w:sz="0" w:space="0"/>
        </w:pBdr>
        <w:tabs>
          <w:tab w:val="left" w:pos="426"/>
          <w:tab w:val="left" w:pos="567"/>
          <w:tab w:val="left" w:pos="709"/>
        </w:tabs>
        <w:jc w:val="both"/>
        <w:rPr>
          <w:rFonts w:ascii="Cambria" w:hAnsi="Cambria" w:cs="Times New Roman"/>
          <w:sz w:val="22"/>
          <w:szCs w:val="22"/>
        </w:rPr>
      </w:pPr>
      <w:r>
        <w:rPr>
          <w:rFonts w:ascii="Cambria" w:hAnsi="Cambria" w:cs="Times New Roman"/>
          <w:b/>
          <w:bCs/>
          <w:sz w:val="22"/>
          <w:szCs w:val="22"/>
        </w:rPr>
        <w:t xml:space="preserve">AVISO DE LICITAÇÃO PREGÃO ELETRÔNICO Nº 005/2026 </w:t>
      </w:r>
      <w:r>
        <w:rPr>
          <w:rFonts w:ascii="Cambria" w:hAnsi="Cambria" w:cs="Times New Roman"/>
          <w:b/>
          <w:sz w:val="22"/>
          <w:szCs w:val="22"/>
        </w:rPr>
        <w:t xml:space="preserve">- </w:t>
      </w:r>
      <w:r>
        <w:rPr>
          <w:rFonts w:ascii="Cambria" w:hAnsi="Cambria" w:cs="Times New Roman"/>
          <w:b/>
          <w:bCs/>
          <w:sz w:val="22"/>
          <w:szCs w:val="22"/>
        </w:rPr>
        <w:t>PROCESSO ADMINISTRATIVO Nº 2025.12.11.0001.</w:t>
      </w:r>
      <w:r>
        <w:rPr>
          <w:rFonts w:ascii="Cambria" w:hAnsi="Cambria" w:cs="Times New Roman"/>
          <w:sz w:val="22"/>
          <w:szCs w:val="22"/>
        </w:rPr>
        <w:t xml:space="preserve"> O Município de Carnaubais/RN, CNPJ nº 08.294.670/0001-70, irá realizar licitação, tipo </w:t>
      </w:r>
      <w:r>
        <w:rPr>
          <w:rFonts w:ascii="Cambria" w:hAnsi="Cambria"/>
          <w:b/>
          <w:sz w:val="22"/>
          <w:szCs w:val="22"/>
        </w:rPr>
        <w:t>MENOR PREÇO POR ITEM</w:t>
      </w:r>
      <w:r>
        <w:rPr>
          <w:rFonts w:ascii="Cambria" w:hAnsi="Cambria" w:cs="Times New Roman"/>
          <w:sz w:val="22"/>
          <w:szCs w:val="22"/>
        </w:rPr>
        <w:t xml:space="preserve">, modo de disputa </w:t>
      </w:r>
      <w:r>
        <w:rPr>
          <w:rFonts w:ascii="Cambria" w:hAnsi="Cambria" w:cs="Times New Roman"/>
          <w:b/>
          <w:sz w:val="22"/>
          <w:szCs w:val="22"/>
        </w:rPr>
        <w:t>ABERTO</w:t>
      </w:r>
      <w:r>
        <w:rPr>
          <w:rFonts w:ascii="Cambria" w:hAnsi="Cambria" w:cs="Times New Roman"/>
          <w:sz w:val="22"/>
          <w:szCs w:val="22"/>
        </w:rPr>
        <w:t xml:space="preserve">, no dia </w:t>
      </w:r>
      <w:r>
        <w:rPr>
          <w:rFonts w:ascii="Cambria" w:hAnsi="Cambria" w:cs="Times New Roman"/>
          <w:b/>
          <w:sz w:val="22"/>
          <w:szCs w:val="22"/>
          <w:u w:val="single"/>
        </w:rPr>
        <w:t>0</w:t>
      </w:r>
      <w:r>
        <w:rPr>
          <w:rFonts w:hint="default" w:ascii="Cambria" w:hAnsi="Cambria" w:cs="Times New Roman"/>
          <w:b/>
          <w:sz w:val="22"/>
          <w:szCs w:val="22"/>
          <w:u w:val="single"/>
          <w:lang w:val="pt-BR"/>
        </w:rPr>
        <w:t>4</w:t>
      </w:r>
      <w:r>
        <w:rPr>
          <w:rFonts w:ascii="Cambria" w:hAnsi="Cambria" w:cs="Times New Roman"/>
          <w:b/>
          <w:sz w:val="22"/>
          <w:szCs w:val="22"/>
          <w:u w:val="single"/>
        </w:rPr>
        <w:t>/02/2026 às 09h01MIN</w:t>
      </w:r>
      <w:r>
        <w:rPr>
          <w:rFonts w:ascii="Cambria" w:hAnsi="Cambria" w:cs="Times New Roman"/>
          <w:sz w:val="22"/>
          <w:szCs w:val="22"/>
        </w:rPr>
        <w:t xml:space="preserve">. </w:t>
      </w:r>
      <w:r>
        <w:rPr>
          <w:rFonts w:ascii="Cambria" w:hAnsi="Cambria" w:cs="Times New Roman"/>
          <w:b/>
          <w:sz w:val="22"/>
          <w:szCs w:val="22"/>
        </w:rPr>
        <w:t>OBJETO</w:t>
      </w:r>
      <w:r>
        <w:rPr>
          <w:rFonts w:ascii="Cambria" w:hAnsi="Cambria" w:cs="Times New Roman"/>
          <w:bCs/>
          <w:sz w:val="22"/>
          <w:szCs w:val="22"/>
        </w:rPr>
        <w:t>:</w:t>
      </w:r>
      <w:r>
        <w:rPr>
          <w:rFonts w:ascii="Cambria" w:hAnsi="Cambria" w:eastAsia="Calibri" w:cs="Times New Roman"/>
          <w:color w:val="000000"/>
          <w:sz w:val="22"/>
          <w:szCs w:val="22"/>
        </w:rPr>
        <w:t xml:space="preserve"> </w:t>
      </w:r>
      <w:r>
        <w:rPr>
          <w:rFonts w:ascii="Cambria" w:hAnsi="Cambria"/>
          <w:sz w:val="22"/>
          <w:szCs w:val="22"/>
        </w:rPr>
        <w:t>AQUISIÇÃO DE EQUIPAMENTOS E MATERIAIS PERMANENTE, DESTINADOS AO HOSPITAL MATERNIDADE SANTA LUZIA DO MUNICÍPIO CARNAUBAIS.</w:t>
      </w:r>
      <w:r>
        <w:rPr>
          <w:rFonts w:ascii="Cambria" w:hAnsi="Cambria" w:cs="Times New Roman"/>
          <w:b/>
          <w:sz w:val="22"/>
          <w:szCs w:val="22"/>
        </w:rPr>
        <w:t xml:space="preserve"> </w:t>
      </w:r>
      <w:r>
        <w:rPr>
          <w:rFonts w:ascii="Cambria" w:hAnsi="Cambria" w:cs="Times New Roman"/>
          <w:bCs/>
          <w:sz w:val="22"/>
          <w:szCs w:val="22"/>
        </w:rPr>
        <w:t xml:space="preserve"> </w:t>
      </w:r>
      <w:r>
        <w:rPr>
          <w:rFonts w:ascii="Cambria" w:hAnsi="Cambria" w:cs="Times New Roman"/>
          <w:sz w:val="22"/>
          <w:szCs w:val="22"/>
        </w:rPr>
        <w:t xml:space="preserve">Recebimento das propostas e informações através </w:t>
      </w:r>
      <w:r>
        <w:rPr>
          <w:rFonts w:ascii="Cambria" w:hAnsi="Cambria" w:cs="Times New Roman"/>
          <w:bCs/>
          <w:sz w:val="22"/>
          <w:szCs w:val="22"/>
        </w:rPr>
        <w:t xml:space="preserve">do portal de compras públicas, </w:t>
      </w:r>
      <w:r>
        <w:fldChar w:fldCharType="begin"/>
      </w:r>
      <w:r>
        <w:instrText xml:space="preserve"> HYPERLINK "http://www.portaldecompraspublicas.com.br" </w:instrText>
      </w:r>
      <w:r>
        <w:fldChar w:fldCharType="separate"/>
      </w:r>
      <w:r>
        <w:rPr>
          <w:rStyle w:val="17"/>
          <w:rFonts w:ascii="Cambria" w:hAnsi="Cambria" w:cs="Times New Roman"/>
          <w:bCs/>
          <w:sz w:val="22"/>
          <w:szCs w:val="22"/>
        </w:rPr>
        <w:t>www.portaldecompraspublicas.com.br</w:t>
      </w:r>
      <w:r>
        <w:rPr>
          <w:rStyle w:val="17"/>
          <w:rFonts w:ascii="Cambria" w:hAnsi="Cambria" w:cs="Times New Roman"/>
          <w:bCs/>
          <w:sz w:val="22"/>
          <w:szCs w:val="22"/>
        </w:rPr>
        <w:fldChar w:fldCharType="end"/>
      </w:r>
      <w:r>
        <w:rPr>
          <w:rStyle w:val="17"/>
          <w:rFonts w:ascii="Cambria" w:hAnsi="Cambria" w:cs="Times New Roman"/>
          <w:bCs/>
          <w:sz w:val="22"/>
          <w:szCs w:val="22"/>
        </w:rPr>
        <w:t>.</w:t>
      </w:r>
      <w:r>
        <w:rPr>
          <w:rFonts w:ascii="Cambria" w:hAnsi="Cambria" w:cs="Times New Roman"/>
          <w:bCs/>
          <w:sz w:val="22"/>
          <w:szCs w:val="22"/>
        </w:rPr>
        <w:t xml:space="preserve"> </w:t>
      </w:r>
      <w:r>
        <w:rPr>
          <w:rFonts w:ascii="Cambria" w:hAnsi="Cambria" w:cs="Times New Roman"/>
          <w:b/>
          <w:sz w:val="22"/>
          <w:szCs w:val="22"/>
        </w:rPr>
        <w:t>Paloma Ferreira Lima</w:t>
      </w:r>
      <w:r>
        <w:rPr>
          <w:rFonts w:ascii="Cambria" w:hAnsi="Cambria" w:cs="Times New Roman"/>
          <w:sz w:val="22"/>
          <w:szCs w:val="22"/>
        </w:rPr>
        <w:t>. Pregoeira.</w:t>
      </w:r>
    </w:p>
    <w:p w14:paraId="14C971A8">
      <w:pPr>
        <w:jc w:val="both"/>
        <w:rPr>
          <w:rFonts w:ascii="Cambria" w:hAnsi="Cambria" w:cs="Times New Roman"/>
          <w:sz w:val="22"/>
          <w:szCs w:val="22"/>
        </w:rPr>
      </w:pPr>
    </w:p>
    <w:p w14:paraId="0F1A0629">
      <w:pPr>
        <w:jc w:val="both"/>
        <w:rPr>
          <w:rFonts w:ascii="Cambria" w:hAnsi="Cambria" w:cs="Times New Roman"/>
          <w:sz w:val="22"/>
          <w:szCs w:val="22"/>
        </w:rPr>
      </w:pPr>
      <w:r>
        <w:rPr>
          <w:rFonts w:ascii="Cambria" w:hAnsi="Cambria" w:cs="Times New Roman"/>
          <w:sz w:val="22"/>
          <w:szCs w:val="22"/>
        </w:rPr>
        <w:t xml:space="preserve">                                                                                                                                                      </w:t>
      </w:r>
    </w:p>
    <w:sectPr>
      <w:headerReference r:id="rId3" w:type="default"/>
      <w:footerReference r:id="rId4" w:type="default"/>
      <w:pgSz w:w="11906" w:h="16838"/>
      <w:pgMar w:top="2268" w:right="992" w:bottom="993" w:left="1418" w:header="425" w:footer="686"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SimSun"/>
    <w:panose1 w:val="00000000000000000000"/>
    <w:charset w:val="86"/>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Microsoft Sans Serif">
    <w:panose1 w:val="020B0604020202020204"/>
    <w:charset w:val="00"/>
    <w:family w:val="swiss"/>
    <w:pitch w:val="default"/>
    <w:sig w:usb0="E5002EFF" w:usb1="C000605B" w:usb2="00000029" w:usb3="00000000" w:csb0="200101FF" w:csb1="20280000"/>
  </w:font>
  <w:font w:name="CG Times (WN)">
    <w:altName w:val="Segoe Print"/>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 w:name="Wingdings">
    <w:panose1 w:val="05000000000000000000"/>
    <w:charset w:val="02"/>
    <w:family w:val="auto"/>
    <w:pitch w:val="default"/>
    <w:sig w:usb0="00000000" w:usb1="00000000" w:usb2="00000000" w:usb3="00000000" w:csb0="80000000" w:csb1="00000000"/>
  </w:font>
  <w:font w:name="Ecofont_Spranq_eco_Sans;Malgun">
    <w:altName w:val="Times New Roman"/>
    <w:panose1 w:val="00000000000000000000"/>
    <w:charset w:val="00"/>
    <w:family w:val="roman"/>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Century Gothic">
    <w:panose1 w:val="020B0502020202020204"/>
    <w:charset w:val="00"/>
    <w:family w:val="swiss"/>
    <w:pitch w:val="default"/>
    <w:sig w:usb0="00000287" w:usb1="00000000" w:usb2="00000000" w:usb3="00000000" w:csb0="2000009F" w:csb1="DFD70000"/>
  </w:font>
  <w:font w:name="Marlett">
    <w:panose1 w:val="00000000000000000000"/>
    <w:charset w:val="02"/>
    <w:family w:val="auto"/>
    <w:pitch w:val="default"/>
    <w:sig w:usb0="00000000" w:usb1="00000000" w:usb2="00000000" w:usb3="00000000" w:csb0="80000000" w:csb1="00000000"/>
  </w:font>
  <w:font w:name="DejaVu Sans">
    <w:altName w:val="Verdana"/>
    <w:panose1 w:val="00000000000000000000"/>
    <w:charset w:val="00"/>
    <w:family w:val="swiss"/>
    <w:pitch w:val="default"/>
    <w:sig w:usb0="00000000" w:usb1="00000000" w:usb2="0A246029" w:usb3="00000000" w:csb0="000001FF"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Liberation Serif;Times New Roma">
    <w:altName w:val="Segoe Print"/>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609F3">
    <w:pPr>
      <w:pStyle w:val="33"/>
      <w:jc w:val="right"/>
      <w:rPr>
        <w:rFonts w:ascii="Times New Roman" w:hAnsi="Times New Roman" w:cs="Times New Roman"/>
        <w:sz w:val="26"/>
        <w:szCs w:val="26"/>
      </w:rPr>
    </w:pPr>
    <w:r>
      <w:rPr>
        <w:rFonts w:ascii="Times New Roman" w:hAnsi="Times New Roman" w:cs="Times New Roman"/>
        <w:sz w:val="22"/>
        <w:szCs w:val="22"/>
      </w:rPr>
      <w:t xml:space="preserve">pág.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PAGE  \* Arabic</w:instrText>
    </w:r>
    <w:r>
      <w:rPr>
        <w:rFonts w:ascii="Times New Roman" w:hAnsi="Times New Roman" w:cs="Times New Roman"/>
        <w:sz w:val="22"/>
        <w:szCs w:val="22"/>
      </w:rPr>
      <w:fldChar w:fldCharType="separate"/>
    </w:r>
    <w:r>
      <w:rPr>
        <w:rFonts w:ascii="Times New Roman" w:hAnsi="Times New Roman" w:cs="Times New Roman"/>
        <w:sz w:val="22"/>
        <w:szCs w:val="22"/>
      </w:rPr>
      <w:t>2</w:t>
    </w:r>
    <w:r>
      <w:rPr>
        <w:rFonts w:ascii="Times New Roman" w:hAnsi="Times New Roman" w:cs="Times New Roman"/>
        <w:sz w:val="22"/>
        <w:szCs w:val="2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15E64">
    <w:pPr>
      <w:pStyle w:val="31"/>
    </w:pPr>
  </w:p>
  <w:p w14:paraId="3AC24A1A">
    <w:pPr>
      <w:spacing w:line="203" w:lineRule="exact"/>
      <w:ind w:left="1701" w:right="1133"/>
      <w:jc w:val="center"/>
      <w:rPr>
        <w:rFonts w:asciiTheme="minorHAnsi" w:hAnsiTheme="minorHAnsi"/>
        <w:b/>
        <w:szCs w:val="18"/>
      </w:rPr>
    </w:pPr>
    <w:r>
      <w:rPr>
        <w:rFonts w:asciiTheme="minorHAnsi" w:hAnsiTheme="minorHAnsi"/>
        <w:szCs w:val="18"/>
      </w:rPr>
      <w:drawing>
        <wp:anchor distT="0" distB="0" distL="114300" distR="114300" simplePos="0" relativeHeight="251660288" behindDoc="0" locked="0" layoutInCell="1" allowOverlap="1">
          <wp:simplePos x="0" y="0"/>
          <wp:positionH relativeFrom="column">
            <wp:posOffset>4963795</wp:posOffset>
          </wp:positionH>
          <wp:positionV relativeFrom="paragraph">
            <wp:posOffset>-209550</wp:posOffset>
          </wp:positionV>
          <wp:extent cx="1245235" cy="1266825"/>
          <wp:effectExtent l="0" t="0" r="0" b="9525"/>
          <wp:wrapThrough wrapText="bothSides">
            <wp:wrapPolygon>
              <wp:start x="0" y="0"/>
              <wp:lineTo x="0" y="21438"/>
              <wp:lineTo x="21148" y="21438"/>
              <wp:lineTo x="21148" y="0"/>
              <wp:lineTo x="0" y="0"/>
            </wp:wrapPolygon>
          </wp:wrapThrough>
          <wp:docPr id="2912588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58814"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45235" cy="1266825"/>
                  </a:xfrm>
                  <a:prstGeom prst="rect">
                    <a:avLst/>
                  </a:prstGeom>
                </pic:spPr>
              </pic:pic>
            </a:graphicData>
          </a:graphic>
        </wp:anchor>
      </w:drawing>
    </w:r>
    <w:r>
      <w:rPr>
        <w:rFonts w:asciiTheme="minorHAnsi" w:hAnsiTheme="minorHAnsi"/>
        <w:color w:val="000000"/>
        <w:szCs w:val="18"/>
      </w:rPr>
      <w:drawing>
        <wp:anchor distT="0" distB="0" distL="0" distR="0" simplePos="0" relativeHeight="251659264" behindDoc="1" locked="0" layoutInCell="1" allowOverlap="1">
          <wp:simplePos x="0" y="0"/>
          <wp:positionH relativeFrom="page">
            <wp:posOffset>1038225</wp:posOffset>
          </wp:positionH>
          <wp:positionV relativeFrom="page">
            <wp:posOffset>270510</wp:posOffset>
          </wp:positionV>
          <wp:extent cx="1046480" cy="953770"/>
          <wp:effectExtent l="0" t="0" r="1270" b="0"/>
          <wp:wrapNone/>
          <wp:docPr id="400073702" name="Image 2"/>
          <wp:cNvGraphicFramePr/>
          <a:graphic xmlns:a="http://schemas.openxmlformats.org/drawingml/2006/main">
            <a:graphicData uri="http://schemas.openxmlformats.org/drawingml/2006/picture">
              <pic:pic xmlns:pic="http://schemas.openxmlformats.org/drawingml/2006/picture">
                <pic:nvPicPr>
                  <pic:cNvPr id="400073702" name="Image 2"/>
                  <pic:cNvPicPr/>
                </pic:nvPicPr>
                <pic:blipFill>
                  <a:blip r:embed="rId2">
                    <a:extLst>
                      <a:ext uri="{28A0092B-C50C-407E-A947-70E740481C1C}">
                        <a14:useLocalDpi xmlns:a14="http://schemas.microsoft.com/office/drawing/2010/main" val="0"/>
                      </a:ext>
                    </a:extLst>
                  </a:blip>
                  <a:stretch>
                    <a:fillRect/>
                  </a:stretch>
                </pic:blipFill>
                <pic:spPr>
                  <a:xfrm>
                    <a:off x="0" y="0"/>
                    <a:ext cx="1046480" cy="953770"/>
                  </a:xfrm>
                  <a:prstGeom prst="rect">
                    <a:avLst/>
                  </a:prstGeom>
                </pic:spPr>
              </pic:pic>
            </a:graphicData>
          </a:graphic>
        </wp:anchor>
      </w:drawing>
    </w:r>
  </w:p>
  <w:p w14:paraId="4AA1A4F5">
    <w:pPr>
      <w:ind w:left="567" w:right="707"/>
      <w:jc w:val="center"/>
      <w:rPr>
        <w:rFonts w:ascii="Times New Roman" w:hAnsi="Times New Roman" w:cs="Times New Roman"/>
        <w:b/>
        <w:spacing w:val="-2"/>
        <w:sz w:val="26"/>
        <w:szCs w:val="26"/>
      </w:rPr>
    </w:pPr>
    <w:r>
      <w:rPr>
        <w:rFonts w:ascii="Times New Roman" w:hAnsi="Times New Roman" w:cs="Times New Roman"/>
        <w:b/>
        <w:sz w:val="26"/>
        <w:szCs w:val="26"/>
      </w:rPr>
      <w:t>PREFEITURA</w:t>
    </w:r>
    <w:r>
      <w:rPr>
        <w:rFonts w:ascii="Times New Roman" w:hAnsi="Times New Roman" w:cs="Times New Roman"/>
        <w:b/>
        <w:spacing w:val="-4"/>
        <w:sz w:val="26"/>
        <w:szCs w:val="26"/>
      </w:rPr>
      <w:t xml:space="preserve"> </w:t>
    </w:r>
    <w:r>
      <w:rPr>
        <w:rFonts w:ascii="Times New Roman" w:hAnsi="Times New Roman" w:cs="Times New Roman"/>
        <w:b/>
        <w:sz w:val="26"/>
        <w:szCs w:val="26"/>
      </w:rPr>
      <w:t>MUNICIPAL</w:t>
    </w:r>
    <w:r>
      <w:rPr>
        <w:rFonts w:ascii="Times New Roman" w:hAnsi="Times New Roman" w:cs="Times New Roman"/>
        <w:b/>
        <w:spacing w:val="-2"/>
        <w:sz w:val="26"/>
        <w:szCs w:val="26"/>
      </w:rPr>
      <w:t xml:space="preserve"> </w:t>
    </w:r>
    <w:r>
      <w:rPr>
        <w:rFonts w:ascii="Times New Roman" w:hAnsi="Times New Roman" w:cs="Times New Roman"/>
        <w:b/>
        <w:sz w:val="26"/>
        <w:szCs w:val="26"/>
      </w:rPr>
      <w:t>DE</w:t>
    </w:r>
    <w:r>
      <w:rPr>
        <w:rFonts w:ascii="Times New Roman" w:hAnsi="Times New Roman" w:cs="Times New Roman"/>
        <w:b/>
        <w:spacing w:val="-1"/>
        <w:sz w:val="26"/>
        <w:szCs w:val="26"/>
      </w:rPr>
      <w:t xml:space="preserve"> </w:t>
    </w:r>
    <w:r>
      <w:rPr>
        <w:rFonts w:ascii="Times New Roman" w:hAnsi="Times New Roman" w:cs="Times New Roman"/>
        <w:b/>
        <w:spacing w:val="-2"/>
        <w:sz w:val="26"/>
        <w:szCs w:val="26"/>
      </w:rPr>
      <w:t>CARNAUBAIS</w:t>
    </w:r>
  </w:p>
  <w:p w14:paraId="364218DB">
    <w:pPr>
      <w:ind w:left="1276" w:right="1274"/>
      <w:jc w:val="center"/>
      <w:rPr>
        <w:rFonts w:ascii="Times New Roman" w:hAnsi="Times New Roman" w:cs="Times New Roman"/>
        <w:szCs w:val="18"/>
      </w:rPr>
    </w:pPr>
    <w:r>
      <w:rPr>
        <w:rFonts w:ascii="Times New Roman" w:hAnsi="Times New Roman" w:cs="Times New Roman"/>
        <w:szCs w:val="18"/>
      </w:rPr>
      <w:t>Rio Grande do Norte - Praça</w:t>
    </w:r>
    <w:r>
      <w:rPr>
        <w:rFonts w:ascii="Times New Roman" w:hAnsi="Times New Roman" w:cs="Times New Roman"/>
        <w:spacing w:val="-5"/>
        <w:szCs w:val="18"/>
      </w:rPr>
      <w:t xml:space="preserve"> </w:t>
    </w:r>
    <w:r>
      <w:rPr>
        <w:rFonts w:ascii="Times New Roman" w:hAnsi="Times New Roman" w:cs="Times New Roman"/>
        <w:szCs w:val="18"/>
      </w:rPr>
      <w:t>Santa</w:t>
    </w:r>
    <w:r>
      <w:rPr>
        <w:rFonts w:ascii="Times New Roman" w:hAnsi="Times New Roman" w:cs="Times New Roman"/>
        <w:spacing w:val="-5"/>
        <w:szCs w:val="18"/>
      </w:rPr>
      <w:t xml:space="preserve"> </w:t>
    </w:r>
    <w:r>
      <w:rPr>
        <w:rFonts w:ascii="Times New Roman" w:hAnsi="Times New Roman" w:cs="Times New Roman"/>
        <w:szCs w:val="18"/>
      </w:rPr>
      <w:t>Luzia,</w:t>
    </w:r>
    <w:r>
      <w:rPr>
        <w:rFonts w:ascii="Times New Roman" w:hAnsi="Times New Roman" w:cs="Times New Roman"/>
        <w:spacing w:val="-4"/>
        <w:szCs w:val="18"/>
      </w:rPr>
      <w:t xml:space="preserve"> </w:t>
    </w:r>
    <w:r>
      <w:rPr>
        <w:rFonts w:ascii="Times New Roman" w:hAnsi="Times New Roman" w:cs="Times New Roman"/>
        <w:szCs w:val="18"/>
      </w:rPr>
      <w:t>nº</w:t>
    </w:r>
    <w:r>
      <w:rPr>
        <w:rFonts w:ascii="Times New Roman" w:hAnsi="Times New Roman" w:cs="Times New Roman"/>
        <w:spacing w:val="-4"/>
        <w:szCs w:val="18"/>
      </w:rPr>
      <w:t xml:space="preserve"> </w:t>
    </w:r>
    <w:r>
      <w:rPr>
        <w:rFonts w:ascii="Times New Roman" w:hAnsi="Times New Roman" w:cs="Times New Roman"/>
        <w:szCs w:val="18"/>
      </w:rPr>
      <w:t>20</w:t>
    </w:r>
  </w:p>
  <w:p w14:paraId="20C058D6">
    <w:pPr>
      <w:ind w:left="1276" w:right="1274"/>
      <w:jc w:val="center"/>
      <w:rPr>
        <w:rFonts w:ascii="Times New Roman" w:hAnsi="Times New Roman" w:cs="Times New Roman"/>
        <w:szCs w:val="18"/>
      </w:rPr>
    </w:pPr>
    <w:r>
      <w:rPr>
        <w:rFonts w:ascii="Times New Roman" w:hAnsi="Times New Roman" w:cs="Times New Roman"/>
        <w:szCs w:val="18"/>
      </w:rPr>
      <w:t>Centro, Carnaubais/RN - CEP: 59.665-000</w:t>
    </w:r>
  </w:p>
  <w:p w14:paraId="0E1CC3F7">
    <w:pPr>
      <w:ind w:left="1276" w:right="1274"/>
      <w:jc w:val="center"/>
      <w:rPr>
        <w:rFonts w:ascii="Times New Roman" w:hAnsi="Times New Roman" w:cs="Times New Roman"/>
        <w:spacing w:val="-5"/>
        <w:szCs w:val="18"/>
      </w:rPr>
    </w:pPr>
    <w:r>
      <w:rPr>
        <w:rFonts w:ascii="Times New Roman" w:hAnsi="Times New Roman" w:cs="Times New Roman"/>
        <w:szCs w:val="18"/>
      </w:rPr>
      <w:t>CNPJ</w:t>
    </w:r>
    <w:r>
      <w:rPr>
        <w:rFonts w:ascii="Times New Roman" w:hAnsi="Times New Roman" w:cs="Times New Roman"/>
        <w:spacing w:val="-2"/>
        <w:szCs w:val="18"/>
      </w:rPr>
      <w:t xml:space="preserve"> Nº </w:t>
    </w:r>
    <w:r>
      <w:rPr>
        <w:rFonts w:ascii="Times New Roman" w:hAnsi="Times New Roman" w:cs="Times New Roman"/>
        <w:szCs w:val="18"/>
      </w:rPr>
      <w:t>08.294.670/0001-</w:t>
    </w:r>
    <w:r>
      <w:rPr>
        <w:rFonts w:ascii="Times New Roman" w:hAnsi="Times New Roman" w:cs="Times New Roman"/>
        <w:spacing w:val="-5"/>
        <w:szCs w:val="18"/>
      </w:rPr>
      <w:t>70</w:t>
    </w:r>
  </w:p>
  <w:p w14:paraId="6044FA6D">
    <w:pPr>
      <w:rPr>
        <w:sz w:val="18"/>
        <w:szCs w:val="18"/>
      </w:rPr>
    </w:pPr>
  </w:p>
  <w:p w14:paraId="69FD19B0">
    <w:pP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525D6"/>
    <w:multiLevelType w:val="multilevel"/>
    <w:tmpl w:val="011525D6"/>
    <w:lvl w:ilvl="0" w:tentative="0">
      <w:start w:val="10"/>
      <w:numFmt w:val="decimal"/>
      <w:lvlText w:val="%1"/>
      <w:lvlJc w:val="left"/>
      <w:pPr>
        <w:ind w:left="405" w:hanging="405"/>
      </w:pPr>
      <w:rPr>
        <w:rFonts w:hint="default" w:eastAsia="Calibri"/>
        <w:b/>
        <w:bCs/>
      </w:rPr>
    </w:lvl>
    <w:lvl w:ilvl="1" w:tentative="0">
      <w:start w:val="1"/>
      <w:numFmt w:val="decimal"/>
      <w:lvlText w:val="%1.%2"/>
      <w:lvlJc w:val="left"/>
      <w:pPr>
        <w:ind w:left="547" w:hanging="405"/>
      </w:pPr>
      <w:rPr>
        <w:rFonts w:hint="default" w:eastAsia="Calibri"/>
        <w:b/>
        <w:bCs/>
      </w:rPr>
    </w:lvl>
    <w:lvl w:ilvl="2" w:tentative="0">
      <w:start w:val="1"/>
      <w:numFmt w:val="decimal"/>
      <w:lvlText w:val="%1.%2.%3"/>
      <w:lvlJc w:val="left"/>
      <w:pPr>
        <w:ind w:left="1004" w:hanging="720"/>
      </w:pPr>
      <w:rPr>
        <w:rFonts w:hint="default" w:eastAsia="Calibri"/>
        <w:b/>
        <w:bCs/>
      </w:rPr>
    </w:lvl>
    <w:lvl w:ilvl="3" w:tentative="0">
      <w:start w:val="1"/>
      <w:numFmt w:val="decimal"/>
      <w:lvlText w:val="%1.%2.%3.%4"/>
      <w:lvlJc w:val="left"/>
      <w:pPr>
        <w:ind w:left="1146" w:hanging="720"/>
      </w:pPr>
      <w:rPr>
        <w:rFonts w:hint="default" w:eastAsia="Calibri"/>
      </w:rPr>
    </w:lvl>
    <w:lvl w:ilvl="4" w:tentative="0">
      <w:start w:val="1"/>
      <w:numFmt w:val="decimal"/>
      <w:lvlText w:val="%1.%2.%3.%4.%5"/>
      <w:lvlJc w:val="left"/>
      <w:pPr>
        <w:ind w:left="1648" w:hanging="1080"/>
      </w:pPr>
      <w:rPr>
        <w:rFonts w:hint="default" w:eastAsia="Calibri"/>
      </w:rPr>
    </w:lvl>
    <w:lvl w:ilvl="5" w:tentative="0">
      <w:start w:val="1"/>
      <w:numFmt w:val="decimal"/>
      <w:lvlText w:val="%1.%2.%3.%4.%5.%6"/>
      <w:lvlJc w:val="left"/>
      <w:pPr>
        <w:ind w:left="1790" w:hanging="1080"/>
      </w:pPr>
      <w:rPr>
        <w:rFonts w:hint="default" w:eastAsia="Calibri"/>
      </w:rPr>
    </w:lvl>
    <w:lvl w:ilvl="6" w:tentative="0">
      <w:start w:val="1"/>
      <w:numFmt w:val="decimal"/>
      <w:lvlText w:val="%1.%2.%3.%4.%5.%6.%7"/>
      <w:lvlJc w:val="left"/>
      <w:pPr>
        <w:ind w:left="2292" w:hanging="1440"/>
      </w:pPr>
      <w:rPr>
        <w:rFonts w:hint="default" w:eastAsia="Calibri"/>
      </w:rPr>
    </w:lvl>
    <w:lvl w:ilvl="7" w:tentative="0">
      <w:start w:val="1"/>
      <w:numFmt w:val="decimal"/>
      <w:lvlText w:val="%1.%2.%3.%4.%5.%6.%7.%8"/>
      <w:lvlJc w:val="left"/>
      <w:pPr>
        <w:ind w:left="2434" w:hanging="1440"/>
      </w:pPr>
      <w:rPr>
        <w:rFonts w:hint="default" w:eastAsia="Calibri"/>
      </w:rPr>
    </w:lvl>
    <w:lvl w:ilvl="8" w:tentative="0">
      <w:start w:val="1"/>
      <w:numFmt w:val="decimal"/>
      <w:lvlText w:val="%1.%2.%3.%4.%5.%6.%7.%8.%9"/>
      <w:lvlJc w:val="left"/>
      <w:pPr>
        <w:ind w:left="2936" w:hanging="1800"/>
      </w:pPr>
      <w:rPr>
        <w:rFonts w:hint="default" w:eastAsia="Calibri"/>
      </w:rPr>
    </w:lvl>
  </w:abstractNum>
  <w:abstractNum w:abstractNumId="1">
    <w:nsid w:val="0AD248F6"/>
    <w:multiLevelType w:val="multilevel"/>
    <w:tmpl w:val="0AD248F6"/>
    <w:lvl w:ilvl="0" w:tentative="0">
      <w:start w:val="7"/>
      <w:numFmt w:val="decimal"/>
      <w:lvlText w:val="%1."/>
      <w:lvlJc w:val="left"/>
      <w:pPr>
        <w:ind w:left="360" w:hanging="360"/>
      </w:pPr>
      <w:rPr>
        <w:rFonts w:ascii="Calibri" w:hAnsi="Calibri" w:eastAsia="Calibri" w:cs="Calibri"/>
        <w:b/>
      </w:rPr>
    </w:lvl>
    <w:lvl w:ilvl="1" w:tentative="0">
      <w:start w:val="15"/>
      <w:numFmt w:val="decimal"/>
      <w:lvlText w:val="%1.%2."/>
      <w:lvlJc w:val="left"/>
      <w:pPr>
        <w:ind w:left="574" w:hanging="432"/>
      </w:pPr>
      <w:rPr>
        <w:rFonts w:hint="default" w:ascii="Cambria" w:hAnsi="Cambria" w:eastAsia="Calibri" w:cs="Times New Roman"/>
        <w:b/>
        <w:color w:val="000000"/>
        <w:sz w:val="22"/>
        <w:szCs w:val="22"/>
      </w:rPr>
    </w:lvl>
    <w:lvl w:ilvl="2" w:tentative="0">
      <w:start w:val="1"/>
      <w:numFmt w:val="decimal"/>
      <w:lvlText w:val="%1.%2.%3."/>
      <w:lvlJc w:val="left"/>
      <w:pPr>
        <w:ind w:left="646" w:hanging="504"/>
      </w:pPr>
      <w:rPr>
        <w:rFonts w:hint="default" w:ascii="Cambria" w:hAnsi="Cambria" w:eastAsia="Calibri" w:cs="Times New Roman"/>
        <w:b/>
        <w:i w:val="0"/>
        <w:strike w:val="0"/>
        <w:color w:val="000000"/>
        <w:sz w:val="22"/>
        <w:szCs w:val="22"/>
      </w:rPr>
    </w:lvl>
    <w:lvl w:ilvl="3" w:tentative="0">
      <w:start w:val="1"/>
      <w:numFmt w:val="decimal"/>
      <w:lvlText w:val="%1.%2.%3.%4."/>
      <w:lvlJc w:val="left"/>
      <w:pPr>
        <w:ind w:left="2208" w:hanging="648"/>
      </w:pPr>
      <w:rPr>
        <w:b/>
      </w:r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0B527737"/>
    <w:multiLevelType w:val="multilevel"/>
    <w:tmpl w:val="0B527737"/>
    <w:lvl w:ilvl="0" w:tentative="0">
      <w:start w:val="1"/>
      <w:numFmt w:val="lowerLetter"/>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pStyle w:val="229"/>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30606B3"/>
    <w:multiLevelType w:val="multilevel"/>
    <w:tmpl w:val="130606B3"/>
    <w:lvl w:ilvl="0" w:tentative="0">
      <w:start w:val="3"/>
      <w:numFmt w:val="decimal"/>
      <w:lvlText w:val="%1"/>
      <w:lvlJc w:val="left"/>
      <w:pPr>
        <w:ind w:left="360" w:hanging="360"/>
      </w:pPr>
      <w:rPr>
        <w:rFonts w:hint="default" w:eastAsia="Calibri"/>
        <w:b/>
      </w:rPr>
    </w:lvl>
    <w:lvl w:ilvl="1" w:tentative="0">
      <w:start w:val="1"/>
      <w:numFmt w:val="decimal"/>
      <w:lvlText w:val="%1.%2"/>
      <w:lvlJc w:val="left"/>
      <w:pPr>
        <w:ind w:left="502" w:hanging="360"/>
      </w:pPr>
      <w:rPr>
        <w:rFonts w:hint="default" w:eastAsia="Calibri"/>
        <w:b/>
      </w:rPr>
    </w:lvl>
    <w:lvl w:ilvl="2" w:tentative="0">
      <w:start w:val="1"/>
      <w:numFmt w:val="decimal"/>
      <w:lvlText w:val="%1.%2.%3"/>
      <w:lvlJc w:val="left"/>
      <w:pPr>
        <w:ind w:left="1004" w:hanging="720"/>
      </w:pPr>
      <w:rPr>
        <w:rFonts w:hint="default" w:eastAsia="Calibri"/>
        <w:b/>
        <w:bCs/>
      </w:rPr>
    </w:lvl>
    <w:lvl w:ilvl="3" w:tentative="0">
      <w:start w:val="1"/>
      <w:numFmt w:val="decimal"/>
      <w:lvlText w:val="%1.%2.%3.%4"/>
      <w:lvlJc w:val="left"/>
      <w:pPr>
        <w:ind w:left="1506" w:hanging="1080"/>
      </w:pPr>
      <w:rPr>
        <w:rFonts w:hint="default" w:eastAsia="Calibri"/>
      </w:rPr>
    </w:lvl>
    <w:lvl w:ilvl="4" w:tentative="0">
      <w:start w:val="1"/>
      <w:numFmt w:val="decimal"/>
      <w:lvlText w:val="%1.%2.%3.%4.%5"/>
      <w:lvlJc w:val="left"/>
      <w:pPr>
        <w:ind w:left="1648" w:hanging="1080"/>
      </w:pPr>
      <w:rPr>
        <w:rFonts w:hint="default" w:eastAsia="Calibri"/>
      </w:rPr>
    </w:lvl>
    <w:lvl w:ilvl="5" w:tentative="0">
      <w:start w:val="1"/>
      <w:numFmt w:val="decimal"/>
      <w:lvlText w:val="%1.%2.%3.%4.%5.%6"/>
      <w:lvlJc w:val="left"/>
      <w:pPr>
        <w:ind w:left="2150" w:hanging="1440"/>
      </w:pPr>
      <w:rPr>
        <w:rFonts w:hint="default" w:eastAsia="Calibri"/>
      </w:rPr>
    </w:lvl>
    <w:lvl w:ilvl="6" w:tentative="0">
      <w:start w:val="1"/>
      <w:numFmt w:val="decimal"/>
      <w:lvlText w:val="%1.%2.%3.%4.%5.%6.%7"/>
      <w:lvlJc w:val="left"/>
      <w:pPr>
        <w:ind w:left="2292" w:hanging="1440"/>
      </w:pPr>
      <w:rPr>
        <w:rFonts w:hint="default" w:eastAsia="Calibri"/>
      </w:rPr>
    </w:lvl>
    <w:lvl w:ilvl="7" w:tentative="0">
      <w:start w:val="1"/>
      <w:numFmt w:val="decimal"/>
      <w:lvlText w:val="%1.%2.%3.%4.%5.%6.%7.%8"/>
      <w:lvlJc w:val="left"/>
      <w:pPr>
        <w:ind w:left="2794" w:hanging="1800"/>
      </w:pPr>
      <w:rPr>
        <w:rFonts w:hint="default" w:eastAsia="Calibri"/>
      </w:rPr>
    </w:lvl>
    <w:lvl w:ilvl="8" w:tentative="0">
      <w:start w:val="1"/>
      <w:numFmt w:val="decimal"/>
      <w:lvlText w:val="%1.%2.%3.%4.%5.%6.%7.%8.%9"/>
      <w:lvlJc w:val="left"/>
      <w:pPr>
        <w:ind w:left="2936" w:hanging="1800"/>
      </w:pPr>
      <w:rPr>
        <w:rFonts w:hint="default" w:eastAsia="Calibri"/>
      </w:rPr>
    </w:lvl>
  </w:abstractNum>
  <w:abstractNum w:abstractNumId="4">
    <w:nsid w:val="151A4407"/>
    <w:multiLevelType w:val="multilevel"/>
    <w:tmpl w:val="151A4407"/>
    <w:lvl w:ilvl="0" w:tentative="0">
      <w:start w:val="1"/>
      <w:numFmt w:val="decimal"/>
      <w:lvlText w:val="%1."/>
      <w:lvlJc w:val="left"/>
      <w:pPr>
        <w:ind w:left="0" w:firstLine="0"/>
      </w:pPr>
      <w:rPr>
        <w:rFonts w:hint="default" w:eastAsia="Calibri" w:cs="Calibri" w:asciiTheme="minorHAnsi" w:hAnsiTheme="minorHAnsi"/>
        <w:b/>
        <w:i w:val="0"/>
        <w:color w:val="000000"/>
      </w:rPr>
    </w:lvl>
    <w:lvl w:ilvl="1" w:tentative="0">
      <w:start w:val="1"/>
      <w:numFmt w:val="decimal"/>
      <w:lvlText w:val="%1.%2."/>
      <w:lvlJc w:val="left"/>
      <w:pPr>
        <w:ind w:left="142" w:firstLine="0"/>
      </w:pPr>
      <w:rPr>
        <w:rFonts w:ascii="Calibri" w:hAnsi="Calibri" w:eastAsia="Calibri" w:cs="Calibri"/>
        <w:b/>
        <w:i w:val="0"/>
        <w:color w:val="000000"/>
      </w:rPr>
    </w:lvl>
    <w:lvl w:ilvl="2" w:tentative="0">
      <w:start w:val="1"/>
      <w:numFmt w:val="decimal"/>
      <w:lvlText w:val="%1.%2.%3."/>
      <w:lvlJc w:val="left"/>
      <w:pPr>
        <w:ind w:left="567" w:firstLine="0"/>
      </w:pPr>
      <w:rPr>
        <w:b/>
        <w:i w:val="0"/>
      </w:rPr>
    </w:lvl>
    <w:lvl w:ilvl="3" w:tentative="0">
      <w:start w:val="1"/>
      <w:numFmt w:val="decimal"/>
      <w:lvlText w:val="%1.%2.%3.%4."/>
      <w:lvlJc w:val="left"/>
      <w:pPr>
        <w:ind w:left="851" w:firstLine="0"/>
      </w:pPr>
      <w:rPr>
        <w:b/>
        <w:i w:val="0"/>
      </w:rPr>
    </w:lvl>
    <w:lvl w:ilvl="4" w:tentative="0">
      <w:start w:val="1"/>
      <w:numFmt w:val="decimal"/>
      <w:lvlText w:val="%1.%2.%3.%4.%5."/>
      <w:lvlJc w:val="left"/>
      <w:pPr>
        <w:ind w:left="1134" w:firstLine="0"/>
      </w:pPr>
      <w:rPr>
        <w:b/>
        <w:i w:val="0"/>
      </w:r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7580A82"/>
    <w:multiLevelType w:val="multilevel"/>
    <w:tmpl w:val="27580A82"/>
    <w:lvl w:ilvl="0" w:tentative="0">
      <w:start w:val="1"/>
      <w:numFmt w:val="decimal"/>
      <w:lvlText w:val="%1."/>
      <w:lvlJc w:val="left"/>
      <w:pPr>
        <w:ind w:left="360" w:hanging="360"/>
      </w:pPr>
      <w:rPr>
        <w:rFonts w:hint="default" w:eastAsia="Calibri"/>
        <w:b/>
        <w:bCs/>
      </w:rPr>
    </w:lvl>
    <w:lvl w:ilvl="1" w:tentative="0">
      <w:start w:val="1"/>
      <w:numFmt w:val="decimal"/>
      <w:lvlText w:val="%1.%2."/>
      <w:lvlJc w:val="left"/>
      <w:pPr>
        <w:ind w:left="720" w:hanging="720"/>
      </w:pPr>
      <w:rPr>
        <w:rFonts w:hint="default" w:eastAsia="Calibri"/>
        <w:b/>
        <w:bCs/>
      </w:rPr>
    </w:lvl>
    <w:lvl w:ilvl="2" w:tentative="0">
      <w:start w:val="1"/>
      <w:numFmt w:val="decimal"/>
      <w:lvlText w:val="%1.%2.%3."/>
      <w:lvlJc w:val="left"/>
      <w:pPr>
        <w:ind w:left="720" w:hanging="720"/>
      </w:pPr>
      <w:rPr>
        <w:rFonts w:hint="default" w:eastAsia="Calibri"/>
        <w:b/>
        <w:bCs/>
      </w:rPr>
    </w:lvl>
    <w:lvl w:ilvl="3" w:tentative="0">
      <w:start w:val="1"/>
      <w:numFmt w:val="decimal"/>
      <w:lvlText w:val="%1.%2.%3.%4."/>
      <w:lvlJc w:val="left"/>
      <w:pPr>
        <w:ind w:left="1080" w:hanging="1080"/>
      </w:pPr>
      <w:rPr>
        <w:rFonts w:hint="default" w:eastAsia="Calibri"/>
      </w:rPr>
    </w:lvl>
    <w:lvl w:ilvl="4" w:tentative="0">
      <w:start w:val="1"/>
      <w:numFmt w:val="decimal"/>
      <w:lvlText w:val="%1.%2.%3.%4.%5."/>
      <w:lvlJc w:val="left"/>
      <w:pPr>
        <w:ind w:left="1080" w:hanging="1080"/>
      </w:pPr>
      <w:rPr>
        <w:rFonts w:hint="default" w:eastAsia="Calibri"/>
      </w:rPr>
    </w:lvl>
    <w:lvl w:ilvl="5" w:tentative="0">
      <w:start w:val="1"/>
      <w:numFmt w:val="decimal"/>
      <w:lvlText w:val="%1.%2.%3.%4.%5.%6."/>
      <w:lvlJc w:val="left"/>
      <w:pPr>
        <w:ind w:left="1440" w:hanging="1440"/>
      </w:pPr>
      <w:rPr>
        <w:rFonts w:hint="default" w:eastAsia="Calibri"/>
      </w:rPr>
    </w:lvl>
    <w:lvl w:ilvl="6" w:tentative="0">
      <w:start w:val="1"/>
      <w:numFmt w:val="decimal"/>
      <w:lvlText w:val="%1.%2.%3.%4.%5.%6.%7."/>
      <w:lvlJc w:val="left"/>
      <w:pPr>
        <w:ind w:left="1440" w:hanging="1440"/>
      </w:pPr>
      <w:rPr>
        <w:rFonts w:hint="default" w:eastAsia="Calibri"/>
      </w:rPr>
    </w:lvl>
    <w:lvl w:ilvl="7" w:tentative="0">
      <w:start w:val="1"/>
      <w:numFmt w:val="decimal"/>
      <w:lvlText w:val="%1.%2.%3.%4.%5.%6.%7.%8."/>
      <w:lvlJc w:val="left"/>
      <w:pPr>
        <w:ind w:left="1800" w:hanging="1800"/>
      </w:pPr>
      <w:rPr>
        <w:rFonts w:hint="default" w:eastAsia="Calibri"/>
      </w:rPr>
    </w:lvl>
    <w:lvl w:ilvl="8" w:tentative="0">
      <w:start w:val="1"/>
      <w:numFmt w:val="decimal"/>
      <w:lvlText w:val="%1.%2.%3.%4.%5.%6.%7.%8.%9."/>
      <w:lvlJc w:val="left"/>
      <w:pPr>
        <w:ind w:left="1800" w:hanging="1800"/>
      </w:pPr>
      <w:rPr>
        <w:rFonts w:hint="default" w:eastAsia="Calibri"/>
      </w:rPr>
    </w:lvl>
  </w:abstractNum>
  <w:abstractNum w:abstractNumId="6">
    <w:nsid w:val="2CA57981"/>
    <w:multiLevelType w:val="multilevel"/>
    <w:tmpl w:val="2CA57981"/>
    <w:lvl w:ilvl="0" w:tentative="0">
      <w:start w:val="20"/>
      <w:numFmt w:val="decimal"/>
      <w:lvlText w:val="%1."/>
      <w:lvlJc w:val="left"/>
      <w:pPr>
        <w:ind w:left="360" w:hanging="360"/>
      </w:pPr>
      <w:rPr>
        <w:rFonts w:hint="default" w:ascii="Cambria" w:hAnsi="Cambria" w:eastAsia="Calibri" w:cs="Times New Roman"/>
        <w:b/>
      </w:rPr>
    </w:lvl>
    <w:lvl w:ilvl="1" w:tentative="0">
      <w:start w:val="1"/>
      <w:numFmt w:val="decimal"/>
      <w:lvlText w:val="%1.%2."/>
      <w:lvlJc w:val="left"/>
      <w:pPr>
        <w:ind w:left="574" w:hanging="432"/>
      </w:pPr>
      <w:rPr>
        <w:rFonts w:hint="default" w:ascii="Cambria" w:hAnsi="Cambria" w:eastAsia="Calibri" w:cs="Times New Roman"/>
        <w:b/>
        <w:color w:val="000000"/>
        <w:sz w:val="22"/>
        <w:szCs w:val="22"/>
      </w:rPr>
    </w:lvl>
    <w:lvl w:ilvl="2" w:tentative="0">
      <w:start w:val="1"/>
      <w:numFmt w:val="decimal"/>
      <w:lvlText w:val="%1.%2.%3."/>
      <w:lvlJc w:val="left"/>
      <w:pPr>
        <w:ind w:left="646" w:hanging="504"/>
      </w:pPr>
      <w:rPr>
        <w:rFonts w:hint="default" w:ascii="Cambria" w:hAnsi="Cambria" w:eastAsia="Calibri" w:cs="Times New Roman"/>
        <w:b/>
        <w:i w:val="0"/>
        <w:strike w:val="0"/>
        <w:color w:val="000000"/>
        <w:sz w:val="22"/>
        <w:szCs w:val="22"/>
      </w:rPr>
    </w:lvl>
    <w:lvl w:ilvl="3" w:tentative="0">
      <w:start w:val="1"/>
      <w:numFmt w:val="decimal"/>
      <w:lvlText w:val="%1.%2.%3.%4."/>
      <w:lvlJc w:val="left"/>
      <w:pPr>
        <w:ind w:left="2208" w:hanging="648"/>
      </w:pPr>
      <w:rPr>
        <w:b/>
      </w:r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2D891AC4"/>
    <w:multiLevelType w:val="multilevel"/>
    <w:tmpl w:val="2D891AC4"/>
    <w:lvl w:ilvl="0" w:tentative="0">
      <w:start w:val="1"/>
      <w:numFmt w:val="decimal"/>
      <w:lvlText w:val="%1"/>
      <w:lvlJc w:val="left"/>
      <w:pPr>
        <w:ind w:left="360" w:hanging="360"/>
      </w:pPr>
      <w:rPr>
        <w:rFonts w:hint="default" w:eastAsia="Calibri"/>
        <w:b/>
        <w:bCs/>
        <w:color w:val="000000"/>
        <w:sz w:val="24"/>
        <w:szCs w:val="24"/>
      </w:rPr>
    </w:lvl>
    <w:lvl w:ilvl="1" w:tentative="0">
      <w:start w:val="2"/>
      <w:numFmt w:val="decimal"/>
      <w:lvlText w:val="%1.%2"/>
      <w:lvlJc w:val="left"/>
      <w:pPr>
        <w:ind w:left="502" w:hanging="360"/>
      </w:pPr>
      <w:rPr>
        <w:rFonts w:hint="default" w:eastAsia="Calibri"/>
        <w:b/>
        <w:bCs/>
        <w:color w:val="000000"/>
      </w:rPr>
    </w:lvl>
    <w:lvl w:ilvl="2" w:tentative="0">
      <w:start w:val="1"/>
      <w:numFmt w:val="decimal"/>
      <w:lvlText w:val="%1.%2.%3"/>
      <w:lvlJc w:val="left"/>
      <w:pPr>
        <w:ind w:left="1004" w:hanging="720"/>
      </w:pPr>
      <w:rPr>
        <w:rFonts w:hint="default" w:eastAsia="Calibri"/>
        <w:color w:val="000000"/>
      </w:rPr>
    </w:lvl>
    <w:lvl w:ilvl="3" w:tentative="0">
      <w:start w:val="1"/>
      <w:numFmt w:val="decimal"/>
      <w:lvlText w:val="%1.%2.%3.%4"/>
      <w:lvlJc w:val="left"/>
      <w:pPr>
        <w:ind w:left="1146" w:hanging="720"/>
      </w:pPr>
      <w:rPr>
        <w:rFonts w:hint="default" w:eastAsia="Calibri"/>
        <w:color w:val="000000"/>
      </w:rPr>
    </w:lvl>
    <w:lvl w:ilvl="4" w:tentative="0">
      <w:start w:val="1"/>
      <w:numFmt w:val="decimal"/>
      <w:lvlText w:val="%1.%2.%3.%4.%5"/>
      <w:lvlJc w:val="left"/>
      <w:pPr>
        <w:ind w:left="1648" w:hanging="1080"/>
      </w:pPr>
      <w:rPr>
        <w:rFonts w:hint="default" w:eastAsia="Calibri"/>
        <w:color w:val="000000"/>
      </w:rPr>
    </w:lvl>
    <w:lvl w:ilvl="5" w:tentative="0">
      <w:start w:val="1"/>
      <w:numFmt w:val="decimal"/>
      <w:lvlText w:val="%1.%2.%3.%4.%5.%6"/>
      <w:lvlJc w:val="left"/>
      <w:pPr>
        <w:ind w:left="1790" w:hanging="1080"/>
      </w:pPr>
      <w:rPr>
        <w:rFonts w:hint="default" w:eastAsia="Calibri"/>
        <w:color w:val="000000"/>
      </w:rPr>
    </w:lvl>
    <w:lvl w:ilvl="6" w:tentative="0">
      <w:start w:val="1"/>
      <w:numFmt w:val="decimal"/>
      <w:lvlText w:val="%1.%2.%3.%4.%5.%6.%7"/>
      <w:lvlJc w:val="left"/>
      <w:pPr>
        <w:ind w:left="2292" w:hanging="1440"/>
      </w:pPr>
      <w:rPr>
        <w:rFonts w:hint="default" w:eastAsia="Calibri"/>
        <w:color w:val="000000"/>
      </w:rPr>
    </w:lvl>
    <w:lvl w:ilvl="7" w:tentative="0">
      <w:start w:val="1"/>
      <w:numFmt w:val="decimal"/>
      <w:lvlText w:val="%1.%2.%3.%4.%5.%6.%7.%8"/>
      <w:lvlJc w:val="left"/>
      <w:pPr>
        <w:ind w:left="2434" w:hanging="1440"/>
      </w:pPr>
      <w:rPr>
        <w:rFonts w:hint="default" w:eastAsia="Calibri"/>
        <w:color w:val="000000"/>
      </w:rPr>
    </w:lvl>
    <w:lvl w:ilvl="8" w:tentative="0">
      <w:start w:val="1"/>
      <w:numFmt w:val="decimal"/>
      <w:lvlText w:val="%1.%2.%3.%4.%5.%6.%7.%8.%9"/>
      <w:lvlJc w:val="left"/>
      <w:pPr>
        <w:ind w:left="2576" w:hanging="1440"/>
      </w:pPr>
      <w:rPr>
        <w:rFonts w:hint="default" w:eastAsia="Calibri"/>
        <w:color w:val="000000"/>
      </w:rPr>
    </w:lvl>
  </w:abstractNum>
  <w:abstractNum w:abstractNumId="8">
    <w:nsid w:val="351C3AAE"/>
    <w:multiLevelType w:val="multilevel"/>
    <w:tmpl w:val="351C3AAE"/>
    <w:lvl w:ilvl="0" w:tentative="0">
      <w:start w:val="17"/>
      <w:numFmt w:val="decimal"/>
      <w:lvlText w:val="%1."/>
      <w:lvlJc w:val="left"/>
      <w:pPr>
        <w:ind w:left="360" w:hanging="360"/>
      </w:pPr>
      <w:rPr>
        <w:rFonts w:hint="default" w:ascii="Cambria" w:hAnsi="Cambria" w:eastAsia="Calibri" w:cs="Times New Roman"/>
        <w:b/>
      </w:rPr>
    </w:lvl>
    <w:lvl w:ilvl="1" w:tentative="0">
      <w:start w:val="1"/>
      <w:numFmt w:val="decimal"/>
      <w:lvlText w:val="%1.%2."/>
      <w:lvlJc w:val="left"/>
      <w:pPr>
        <w:ind w:left="574" w:hanging="432"/>
      </w:pPr>
      <w:rPr>
        <w:rFonts w:hint="default" w:ascii="Cambria" w:hAnsi="Cambria" w:eastAsia="Calibri" w:cs="Times New Roman"/>
        <w:b/>
        <w:color w:val="000000"/>
        <w:sz w:val="22"/>
        <w:szCs w:val="22"/>
      </w:rPr>
    </w:lvl>
    <w:lvl w:ilvl="2" w:tentative="0">
      <w:start w:val="1"/>
      <w:numFmt w:val="decimal"/>
      <w:lvlText w:val="%1.%2.%3."/>
      <w:lvlJc w:val="left"/>
      <w:pPr>
        <w:ind w:left="646" w:hanging="504"/>
      </w:pPr>
      <w:rPr>
        <w:rFonts w:ascii="Calibri" w:hAnsi="Calibri" w:eastAsia="Calibri" w:cs="Calibri"/>
        <w:b/>
        <w:i w:val="0"/>
        <w:strike w:val="0"/>
        <w:color w:val="000000"/>
        <w:sz w:val="22"/>
        <w:szCs w:val="22"/>
      </w:rPr>
    </w:lvl>
    <w:lvl w:ilvl="3" w:tentative="0">
      <w:start w:val="1"/>
      <w:numFmt w:val="decimal"/>
      <w:lvlText w:val="%1.%2.%3.%4."/>
      <w:lvlJc w:val="left"/>
      <w:pPr>
        <w:ind w:left="2208" w:hanging="648"/>
      </w:pPr>
      <w:rPr>
        <w:b/>
      </w:r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3A854EA7"/>
    <w:multiLevelType w:val="multilevel"/>
    <w:tmpl w:val="3A854EA7"/>
    <w:lvl w:ilvl="0" w:tentative="0">
      <w:start w:val="5"/>
      <w:numFmt w:val="decimal"/>
      <w:lvlText w:val="%1"/>
      <w:lvlJc w:val="left"/>
      <w:pPr>
        <w:ind w:left="360" w:hanging="360"/>
      </w:pPr>
      <w:rPr>
        <w:rFonts w:hint="default"/>
        <w:b/>
        <w:bCs/>
      </w:rPr>
    </w:lvl>
    <w:lvl w:ilvl="1" w:tentative="0">
      <w:start w:val="1"/>
      <w:numFmt w:val="decimal"/>
      <w:lvlText w:val="%1.%2"/>
      <w:lvlJc w:val="left"/>
      <w:pPr>
        <w:ind w:left="502" w:hanging="360"/>
      </w:pPr>
      <w:rPr>
        <w:rFonts w:hint="default"/>
        <w:b/>
      </w:rPr>
    </w:lvl>
    <w:lvl w:ilvl="2" w:tentative="0">
      <w:start w:val="1"/>
      <w:numFmt w:val="decimal"/>
      <w:lvlText w:val="%1.%2.%3"/>
      <w:lvlJc w:val="left"/>
      <w:pPr>
        <w:ind w:left="1004" w:hanging="720"/>
      </w:pPr>
      <w:rPr>
        <w:rFonts w:hint="default"/>
        <w:b/>
      </w:rPr>
    </w:lvl>
    <w:lvl w:ilvl="3" w:tentative="0">
      <w:start w:val="1"/>
      <w:numFmt w:val="decimal"/>
      <w:lvlText w:val="%1.%2.%3.%4"/>
      <w:lvlJc w:val="left"/>
      <w:pPr>
        <w:ind w:left="1506" w:hanging="1080"/>
      </w:pPr>
      <w:rPr>
        <w:rFonts w:hint="default"/>
      </w:rPr>
    </w:lvl>
    <w:lvl w:ilvl="4" w:tentative="0">
      <w:start w:val="1"/>
      <w:numFmt w:val="decimal"/>
      <w:lvlText w:val="%1.%2.%3.%4.%5"/>
      <w:lvlJc w:val="left"/>
      <w:pPr>
        <w:ind w:left="1648" w:hanging="1080"/>
      </w:pPr>
      <w:rPr>
        <w:rFonts w:hint="default"/>
      </w:rPr>
    </w:lvl>
    <w:lvl w:ilvl="5" w:tentative="0">
      <w:start w:val="1"/>
      <w:numFmt w:val="decimal"/>
      <w:lvlText w:val="%1.%2.%3.%4.%5.%6"/>
      <w:lvlJc w:val="left"/>
      <w:pPr>
        <w:ind w:left="2150" w:hanging="1440"/>
      </w:pPr>
      <w:rPr>
        <w:rFonts w:hint="default"/>
      </w:rPr>
    </w:lvl>
    <w:lvl w:ilvl="6" w:tentative="0">
      <w:start w:val="1"/>
      <w:numFmt w:val="decimal"/>
      <w:lvlText w:val="%1.%2.%3.%4.%5.%6.%7"/>
      <w:lvlJc w:val="left"/>
      <w:pPr>
        <w:ind w:left="2292" w:hanging="1440"/>
      </w:pPr>
      <w:rPr>
        <w:rFonts w:hint="default"/>
      </w:rPr>
    </w:lvl>
    <w:lvl w:ilvl="7" w:tentative="0">
      <w:start w:val="1"/>
      <w:numFmt w:val="decimal"/>
      <w:lvlText w:val="%1.%2.%3.%4.%5.%6.%7.%8"/>
      <w:lvlJc w:val="left"/>
      <w:pPr>
        <w:ind w:left="2794" w:hanging="1800"/>
      </w:pPr>
      <w:rPr>
        <w:rFonts w:hint="default"/>
      </w:rPr>
    </w:lvl>
    <w:lvl w:ilvl="8" w:tentative="0">
      <w:start w:val="1"/>
      <w:numFmt w:val="decimal"/>
      <w:lvlText w:val="%1.%2.%3.%4.%5.%6.%7.%8.%9"/>
      <w:lvlJc w:val="left"/>
      <w:pPr>
        <w:ind w:left="2936" w:hanging="1800"/>
      </w:pPr>
      <w:rPr>
        <w:rFonts w:hint="default"/>
      </w:rPr>
    </w:lvl>
  </w:abstractNum>
  <w:abstractNum w:abstractNumId="10">
    <w:nsid w:val="3C140251"/>
    <w:multiLevelType w:val="multilevel"/>
    <w:tmpl w:val="3C140251"/>
    <w:lvl w:ilvl="0" w:tentative="0">
      <w:start w:val="4"/>
      <w:numFmt w:val="decimal"/>
      <w:lvlText w:val="%1"/>
      <w:lvlJc w:val="left"/>
      <w:pPr>
        <w:ind w:left="360" w:hanging="360"/>
      </w:pPr>
      <w:rPr>
        <w:rFonts w:hint="default" w:eastAsia="Calibri"/>
        <w:b/>
        <w:color w:val="000000"/>
      </w:rPr>
    </w:lvl>
    <w:lvl w:ilvl="1" w:tentative="0">
      <w:start w:val="3"/>
      <w:numFmt w:val="decimal"/>
      <w:lvlText w:val="%1.%2"/>
      <w:lvlJc w:val="left"/>
      <w:pPr>
        <w:ind w:left="502" w:hanging="360"/>
      </w:pPr>
      <w:rPr>
        <w:rFonts w:hint="default" w:eastAsia="Calibri"/>
        <w:b/>
        <w:color w:val="000000"/>
      </w:rPr>
    </w:lvl>
    <w:lvl w:ilvl="2" w:tentative="0">
      <w:start w:val="1"/>
      <w:numFmt w:val="decimal"/>
      <w:lvlText w:val="%1.%2.%3"/>
      <w:lvlJc w:val="left"/>
      <w:pPr>
        <w:ind w:left="1004" w:hanging="720"/>
      </w:pPr>
      <w:rPr>
        <w:rFonts w:hint="default" w:eastAsia="Calibri"/>
        <w:b/>
        <w:color w:val="000000"/>
      </w:rPr>
    </w:lvl>
    <w:lvl w:ilvl="3" w:tentative="0">
      <w:start w:val="1"/>
      <w:numFmt w:val="decimal"/>
      <w:lvlText w:val="%1.%2.%3.%4"/>
      <w:lvlJc w:val="left"/>
      <w:pPr>
        <w:ind w:left="1506" w:hanging="1080"/>
      </w:pPr>
      <w:rPr>
        <w:rFonts w:hint="default" w:eastAsia="Calibri"/>
        <w:b/>
        <w:color w:val="000000"/>
      </w:rPr>
    </w:lvl>
    <w:lvl w:ilvl="4" w:tentative="0">
      <w:start w:val="1"/>
      <w:numFmt w:val="decimal"/>
      <w:lvlText w:val="%1.%2.%3.%4.%5"/>
      <w:lvlJc w:val="left"/>
      <w:pPr>
        <w:ind w:left="1648" w:hanging="1080"/>
      </w:pPr>
      <w:rPr>
        <w:rFonts w:hint="default" w:eastAsia="Calibri"/>
        <w:color w:val="000000"/>
      </w:rPr>
    </w:lvl>
    <w:lvl w:ilvl="5" w:tentative="0">
      <w:start w:val="1"/>
      <w:numFmt w:val="decimal"/>
      <w:lvlText w:val="%1.%2.%3.%4.%5.%6"/>
      <w:lvlJc w:val="left"/>
      <w:pPr>
        <w:ind w:left="2150" w:hanging="1440"/>
      </w:pPr>
      <w:rPr>
        <w:rFonts w:hint="default" w:eastAsia="Calibri"/>
        <w:color w:val="000000"/>
      </w:rPr>
    </w:lvl>
    <w:lvl w:ilvl="6" w:tentative="0">
      <w:start w:val="1"/>
      <w:numFmt w:val="decimal"/>
      <w:lvlText w:val="%1.%2.%3.%4.%5.%6.%7"/>
      <w:lvlJc w:val="left"/>
      <w:pPr>
        <w:ind w:left="2292" w:hanging="1440"/>
      </w:pPr>
      <w:rPr>
        <w:rFonts w:hint="default" w:eastAsia="Calibri"/>
        <w:color w:val="000000"/>
      </w:rPr>
    </w:lvl>
    <w:lvl w:ilvl="7" w:tentative="0">
      <w:start w:val="1"/>
      <w:numFmt w:val="decimal"/>
      <w:lvlText w:val="%1.%2.%3.%4.%5.%6.%7.%8"/>
      <w:lvlJc w:val="left"/>
      <w:pPr>
        <w:ind w:left="2794" w:hanging="1800"/>
      </w:pPr>
      <w:rPr>
        <w:rFonts w:hint="default" w:eastAsia="Calibri"/>
        <w:color w:val="000000"/>
      </w:rPr>
    </w:lvl>
    <w:lvl w:ilvl="8" w:tentative="0">
      <w:start w:val="1"/>
      <w:numFmt w:val="decimal"/>
      <w:lvlText w:val="%1.%2.%3.%4.%5.%6.%7.%8.%9"/>
      <w:lvlJc w:val="left"/>
      <w:pPr>
        <w:ind w:left="2936" w:hanging="1800"/>
      </w:pPr>
      <w:rPr>
        <w:rFonts w:hint="default" w:eastAsia="Calibri"/>
        <w:color w:val="000000"/>
      </w:rPr>
    </w:lvl>
  </w:abstractNum>
  <w:abstractNum w:abstractNumId="11">
    <w:nsid w:val="3F544BA0"/>
    <w:multiLevelType w:val="multilevel"/>
    <w:tmpl w:val="3F544BA0"/>
    <w:lvl w:ilvl="0" w:tentative="0">
      <w:start w:val="1"/>
      <w:numFmt w:val="decimal"/>
      <w:lvlText w:val="%1."/>
      <w:lvlJc w:val="left"/>
      <w:pPr>
        <w:ind w:left="360" w:hanging="360"/>
      </w:pPr>
      <w:rPr>
        <w:rFonts w:ascii="Calibri" w:hAnsi="Calibri" w:eastAsia="Calibri" w:cs="Calibri"/>
        <w:b/>
      </w:rPr>
    </w:lvl>
    <w:lvl w:ilvl="1" w:tentative="0">
      <w:start w:val="1"/>
      <w:numFmt w:val="decimal"/>
      <w:lvlText w:val="%1.%2."/>
      <w:lvlJc w:val="left"/>
      <w:pPr>
        <w:ind w:left="574" w:hanging="432"/>
      </w:pPr>
      <w:rPr>
        <w:rFonts w:ascii="Calibri" w:hAnsi="Calibri" w:eastAsia="Calibri" w:cs="Calibri"/>
        <w:b/>
        <w:color w:val="000000"/>
        <w:sz w:val="22"/>
        <w:szCs w:val="22"/>
      </w:rPr>
    </w:lvl>
    <w:lvl w:ilvl="2" w:tentative="0">
      <w:start w:val="1"/>
      <w:numFmt w:val="decimal"/>
      <w:lvlText w:val="%1.%2.%3."/>
      <w:lvlJc w:val="left"/>
      <w:pPr>
        <w:ind w:left="930" w:hanging="504"/>
      </w:pPr>
      <w:rPr>
        <w:rFonts w:ascii="Calibri" w:hAnsi="Calibri" w:eastAsia="Calibri" w:cs="Calibri"/>
        <w:b/>
        <w:i w:val="0"/>
        <w:strike w:val="0"/>
        <w:color w:val="000000"/>
        <w:sz w:val="22"/>
        <w:szCs w:val="22"/>
      </w:rPr>
    </w:lvl>
    <w:lvl w:ilvl="3" w:tentative="0">
      <w:start w:val="1"/>
      <w:numFmt w:val="decimal"/>
      <w:lvlText w:val="%1.%2.%3.%4."/>
      <w:lvlJc w:val="left"/>
      <w:pPr>
        <w:ind w:left="2208" w:hanging="648"/>
      </w:pPr>
      <w:rPr>
        <w:b/>
      </w:r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2">
    <w:nsid w:val="4195309D"/>
    <w:multiLevelType w:val="multilevel"/>
    <w:tmpl w:val="4195309D"/>
    <w:lvl w:ilvl="0" w:tentative="0">
      <w:start w:val="1"/>
      <w:numFmt w:val="decimal"/>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3">
    <w:nsid w:val="4C8251CB"/>
    <w:multiLevelType w:val="multilevel"/>
    <w:tmpl w:val="4C8251CB"/>
    <w:lvl w:ilvl="0" w:tentative="0">
      <w:start w:val="8"/>
      <w:numFmt w:val="decimal"/>
      <w:lvlText w:val="%1"/>
      <w:lvlJc w:val="left"/>
      <w:pPr>
        <w:ind w:left="360" w:hanging="360"/>
      </w:pPr>
      <w:rPr>
        <w:rFonts w:hint="default" w:eastAsia="Calibri"/>
        <w:b/>
        <w:bCs/>
        <w:color w:val="000000"/>
      </w:rPr>
    </w:lvl>
    <w:lvl w:ilvl="1" w:tentative="0">
      <w:start w:val="1"/>
      <w:numFmt w:val="decimal"/>
      <w:lvlText w:val="%1.%2"/>
      <w:lvlJc w:val="left"/>
      <w:pPr>
        <w:ind w:left="6313" w:hanging="360"/>
      </w:pPr>
      <w:rPr>
        <w:rFonts w:hint="default" w:eastAsia="Calibri"/>
        <w:b/>
        <w:bCs/>
        <w:color w:val="000000"/>
      </w:rPr>
    </w:lvl>
    <w:lvl w:ilvl="2" w:tentative="0">
      <w:start w:val="1"/>
      <w:numFmt w:val="decimal"/>
      <w:lvlText w:val="%1.%2.%3"/>
      <w:lvlJc w:val="left"/>
      <w:pPr>
        <w:ind w:left="5399" w:hanging="720"/>
      </w:pPr>
      <w:rPr>
        <w:rFonts w:hint="default" w:eastAsia="Calibri"/>
        <w:b/>
        <w:bCs/>
        <w:color w:val="000000"/>
      </w:rPr>
    </w:lvl>
    <w:lvl w:ilvl="3" w:tentative="0">
      <w:start w:val="1"/>
      <w:numFmt w:val="decimal"/>
      <w:lvlText w:val="%1.%2.%3.%4"/>
      <w:lvlJc w:val="left"/>
      <w:pPr>
        <w:ind w:left="1146" w:hanging="720"/>
      </w:pPr>
      <w:rPr>
        <w:rFonts w:hint="default" w:eastAsia="Calibri"/>
        <w:b/>
        <w:bCs/>
        <w:color w:val="000000"/>
      </w:rPr>
    </w:lvl>
    <w:lvl w:ilvl="4" w:tentative="0">
      <w:start w:val="1"/>
      <w:numFmt w:val="decimal"/>
      <w:lvlText w:val="%1.%2.%3.%4.%5"/>
      <w:lvlJc w:val="left"/>
      <w:pPr>
        <w:ind w:left="1648" w:hanging="1080"/>
      </w:pPr>
      <w:rPr>
        <w:rFonts w:hint="default" w:eastAsia="Calibri"/>
        <w:color w:val="000000"/>
      </w:rPr>
    </w:lvl>
    <w:lvl w:ilvl="5" w:tentative="0">
      <w:start w:val="1"/>
      <w:numFmt w:val="decimal"/>
      <w:lvlText w:val="%1.%2.%3.%4.%5.%6"/>
      <w:lvlJc w:val="left"/>
      <w:pPr>
        <w:ind w:left="1790" w:hanging="1080"/>
      </w:pPr>
      <w:rPr>
        <w:rFonts w:hint="default" w:eastAsia="Calibri"/>
        <w:color w:val="000000"/>
      </w:rPr>
    </w:lvl>
    <w:lvl w:ilvl="6" w:tentative="0">
      <w:start w:val="1"/>
      <w:numFmt w:val="decimal"/>
      <w:lvlText w:val="%1.%2.%3.%4.%5.%6.%7"/>
      <w:lvlJc w:val="left"/>
      <w:pPr>
        <w:ind w:left="2292" w:hanging="1440"/>
      </w:pPr>
      <w:rPr>
        <w:rFonts w:hint="default" w:eastAsia="Calibri"/>
        <w:color w:val="000000"/>
      </w:rPr>
    </w:lvl>
    <w:lvl w:ilvl="7" w:tentative="0">
      <w:start w:val="1"/>
      <w:numFmt w:val="decimal"/>
      <w:lvlText w:val="%1.%2.%3.%4.%5.%6.%7.%8"/>
      <w:lvlJc w:val="left"/>
      <w:pPr>
        <w:ind w:left="2434" w:hanging="1440"/>
      </w:pPr>
      <w:rPr>
        <w:rFonts w:hint="default" w:eastAsia="Calibri"/>
        <w:color w:val="000000"/>
      </w:rPr>
    </w:lvl>
    <w:lvl w:ilvl="8" w:tentative="0">
      <w:start w:val="1"/>
      <w:numFmt w:val="decimal"/>
      <w:lvlText w:val="%1.%2.%3.%4.%5.%6.%7.%8.%9"/>
      <w:lvlJc w:val="left"/>
      <w:pPr>
        <w:ind w:left="2936" w:hanging="1800"/>
      </w:pPr>
      <w:rPr>
        <w:rFonts w:hint="default" w:eastAsia="Calibri"/>
        <w:color w:val="000000"/>
      </w:rPr>
    </w:lvl>
  </w:abstractNum>
  <w:abstractNum w:abstractNumId="14">
    <w:nsid w:val="526A78EC"/>
    <w:multiLevelType w:val="multilevel"/>
    <w:tmpl w:val="526A78EC"/>
    <w:lvl w:ilvl="0" w:tentative="0">
      <w:start w:val="2"/>
      <w:numFmt w:val="decimal"/>
      <w:lvlText w:val="%1"/>
      <w:lvlJc w:val="left"/>
      <w:pPr>
        <w:ind w:left="1050" w:hanging="1050"/>
      </w:pPr>
      <w:rPr>
        <w:rFonts w:hint="default" w:eastAsia="Ecofont_Spranq_eco_Sans"/>
      </w:rPr>
    </w:lvl>
    <w:lvl w:ilvl="1" w:tentative="0">
      <w:start w:val="601"/>
      <w:numFmt w:val="decimal"/>
      <w:lvlText w:val="%1.%2"/>
      <w:lvlJc w:val="left"/>
      <w:pPr>
        <w:ind w:left="1050" w:hanging="1050"/>
      </w:pPr>
      <w:rPr>
        <w:rFonts w:hint="default" w:eastAsia="Ecofont_Spranq_eco_Sans"/>
      </w:rPr>
    </w:lvl>
    <w:lvl w:ilvl="2" w:tentative="0">
      <w:start w:val="3110"/>
      <w:numFmt w:val="decimal"/>
      <w:lvlText w:val="%1.%2.%3"/>
      <w:lvlJc w:val="left"/>
      <w:pPr>
        <w:ind w:left="1050" w:hanging="1050"/>
      </w:pPr>
      <w:rPr>
        <w:rFonts w:hint="default" w:eastAsia="Ecofont_Spranq_eco_Sans"/>
      </w:rPr>
    </w:lvl>
    <w:lvl w:ilvl="3" w:tentative="0">
      <w:start w:val="1"/>
      <w:numFmt w:val="decimal"/>
      <w:lvlText w:val="%1.%2.%3.%4"/>
      <w:lvlJc w:val="left"/>
      <w:pPr>
        <w:ind w:left="1050" w:hanging="1050"/>
      </w:pPr>
      <w:rPr>
        <w:rFonts w:hint="default" w:eastAsia="Ecofont_Spranq_eco_Sans"/>
      </w:rPr>
    </w:lvl>
    <w:lvl w:ilvl="4" w:tentative="0">
      <w:start w:val="1"/>
      <w:numFmt w:val="decimal"/>
      <w:lvlText w:val="%1.%2.%3.%4.%5"/>
      <w:lvlJc w:val="left"/>
      <w:pPr>
        <w:ind w:left="1080" w:hanging="1080"/>
      </w:pPr>
      <w:rPr>
        <w:rFonts w:hint="default" w:eastAsia="Ecofont_Spranq_eco_Sans"/>
      </w:rPr>
    </w:lvl>
    <w:lvl w:ilvl="5" w:tentative="0">
      <w:start w:val="1"/>
      <w:numFmt w:val="decimal"/>
      <w:lvlText w:val="%1.%2.%3.%4.%5.%6"/>
      <w:lvlJc w:val="left"/>
      <w:pPr>
        <w:ind w:left="1080" w:hanging="1080"/>
      </w:pPr>
      <w:rPr>
        <w:rFonts w:hint="default" w:eastAsia="Ecofont_Spranq_eco_Sans"/>
      </w:rPr>
    </w:lvl>
    <w:lvl w:ilvl="6" w:tentative="0">
      <w:start w:val="1"/>
      <w:numFmt w:val="decimal"/>
      <w:lvlText w:val="%1.%2.%3.%4.%5.%6.%7"/>
      <w:lvlJc w:val="left"/>
      <w:pPr>
        <w:ind w:left="1440" w:hanging="1440"/>
      </w:pPr>
      <w:rPr>
        <w:rFonts w:hint="default" w:eastAsia="Ecofont_Spranq_eco_Sans"/>
      </w:rPr>
    </w:lvl>
    <w:lvl w:ilvl="7" w:tentative="0">
      <w:start w:val="1"/>
      <w:numFmt w:val="decimal"/>
      <w:lvlText w:val="%1.%2.%3.%4.%5.%6.%7.%8"/>
      <w:lvlJc w:val="left"/>
      <w:pPr>
        <w:ind w:left="1440" w:hanging="1440"/>
      </w:pPr>
      <w:rPr>
        <w:rFonts w:hint="default" w:eastAsia="Ecofont_Spranq_eco_Sans"/>
      </w:rPr>
    </w:lvl>
    <w:lvl w:ilvl="8" w:tentative="0">
      <w:start w:val="1"/>
      <w:numFmt w:val="decimal"/>
      <w:lvlText w:val="%1.%2.%3.%4.%5.%6.%7.%8.%9"/>
      <w:lvlJc w:val="left"/>
      <w:pPr>
        <w:ind w:left="1800" w:hanging="1800"/>
      </w:pPr>
      <w:rPr>
        <w:rFonts w:hint="default" w:eastAsia="Ecofont_Spranq_eco_Sans"/>
      </w:rPr>
    </w:lvl>
  </w:abstractNum>
  <w:abstractNum w:abstractNumId="15">
    <w:nsid w:val="6DDD10D1"/>
    <w:multiLevelType w:val="multilevel"/>
    <w:tmpl w:val="6DDD10D1"/>
    <w:lvl w:ilvl="0" w:tentative="0">
      <w:start w:val="1"/>
      <w:numFmt w:val="decimal"/>
      <w:lvlText w:val="%1"/>
      <w:lvlJc w:val="left"/>
      <w:pPr>
        <w:ind w:left="360" w:hanging="360"/>
      </w:pPr>
    </w:lvl>
    <w:lvl w:ilvl="1" w:tentative="0">
      <w:start w:val="1"/>
      <w:numFmt w:val="decimal"/>
      <w:lvlText w:val="%1.%2"/>
      <w:lvlJc w:val="left"/>
      <w:pPr>
        <w:ind w:left="360" w:hanging="360"/>
      </w:pPr>
      <w:rPr>
        <w:b/>
      </w:r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6">
    <w:nsid w:val="6EC84FCB"/>
    <w:multiLevelType w:val="multilevel"/>
    <w:tmpl w:val="6EC84FCB"/>
    <w:lvl w:ilvl="0" w:tentative="0">
      <w:start w:val="21"/>
      <w:numFmt w:val="decimal"/>
      <w:lvlText w:val="%1"/>
      <w:lvlJc w:val="left"/>
      <w:pPr>
        <w:ind w:left="405" w:hanging="405"/>
      </w:pPr>
      <w:rPr>
        <w:rFonts w:hint="default" w:eastAsia="Calibri"/>
        <w:b/>
        <w:bCs/>
        <w:color w:val="000000"/>
      </w:rPr>
    </w:lvl>
    <w:lvl w:ilvl="1" w:tentative="0">
      <w:start w:val="1"/>
      <w:numFmt w:val="decimal"/>
      <w:lvlText w:val="%1.%2"/>
      <w:lvlJc w:val="left"/>
      <w:pPr>
        <w:ind w:left="547" w:hanging="405"/>
      </w:pPr>
      <w:rPr>
        <w:rFonts w:hint="default" w:eastAsia="Calibri"/>
        <w:b/>
        <w:bCs/>
        <w:color w:val="000000"/>
      </w:rPr>
    </w:lvl>
    <w:lvl w:ilvl="2" w:tentative="0">
      <w:start w:val="1"/>
      <w:numFmt w:val="decimal"/>
      <w:lvlText w:val="%1.%2.%3"/>
      <w:lvlJc w:val="left"/>
      <w:pPr>
        <w:ind w:left="1004" w:hanging="720"/>
      </w:pPr>
      <w:rPr>
        <w:rFonts w:hint="default" w:eastAsia="Calibri"/>
        <w:b/>
        <w:bCs/>
        <w:color w:val="000000"/>
      </w:rPr>
    </w:lvl>
    <w:lvl w:ilvl="3" w:tentative="0">
      <w:start w:val="1"/>
      <w:numFmt w:val="decimal"/>
      <w:lvlText w:val="%1.%2.%3.%4"/>
      <w:lvlJc w:val="left"/>
      <w:pPr>
        <w:ind w:left="1146" w:hanging="720"/>
      </w:pPr>
      <w:rPr>
        <w:rFonts w:hint="default" w:eastAsia="Calibri"/>
        <w:color w:val="000000"/>
      </w:rPr>
    </w:lvl>
    <w:lvl w:ilvl="4" w:tentative="0">
      <w:start w:val="1"/>
      <w:numFmt w:val="decimal"/>
      <w:lvlText w:val="%1.%2.%3.%4.%5"/>
      <w:lvlJc w:val="left"/>
      <w:pPr>
        <w:ind w:left="1648" w:hanging="1080"/>
      </w:pPr>
      <w:rPr>
        <w:rFonts w:hint="default" w:eastAsia="Calibri"/>
        <w:color w:val="000000"/>
      </w:rPr>
    </w:lvl>
    <w:lvl w:ilvl="5" w:tentative="0">
      <w:start w:val="1"/>
      <w:numFmt w:val="decimal"/>
      <w:lvlText w:val="%1.%2.%3.%4.%5.%6"/>
      <w:lvlJc w:val="left"/>
      <w:pPr>
        <w:ind w:left="1790" w:hanging="1080"/>
      </w:pPr>
      <w:rPr>
        <w:rFonts w:hint="default" w:eastAsia="Calibri"/>
        <w:color w:val="000000"/>
      </w:rPr>
    </w:lvl>
    <w:lvl w:ilvl="6" w:tentative="0">
      <w:start w:val="1"/>
      <w:numFmt w:val="decimal"/>
      <w:lvlText w:val="%1.%2.%3.%4.%5.%6.%7"/>
      <w:lvlJc w:val="left"/>
      <w:pPr>
        <w:ind w:left="2292" w:hanging="1440"/>
      </w:pPr>
      <w:rPr>
        <w:rFonts w:hint="default" w:eastAsia="Calibri"/>
        <w:color w:val="000000"/>
      </w:rPr>
    </w:lvl>
    <w:lvl w:ilvl="7" w:tentative="0">
      <w:start w:val="1"/>
      <w:numFmt w:val="decimal"/>
      <w:lvlText w:val="%1.%2.%3.%4.%5.%6.%7.%8"/>
      <w:lvlJc w:val="left"/>
      <w:pPr>
        <w:ind w:left="2434" w:hanging="1440"/>
      </w:pPr>
      <w:rPr>
        <w:rFonts w:hint="default" w:eastAsia="Calibri"/>
        <w:color w:val="000000"/>
      </w:rPr>
    </w:lvl>
    <w:lvl w:ilvl="8" w:tentative="0">
      <w:start w:val="1"/>
      <w:numFmt w:val="decimal"/>
      <w:lvlText w:val="%1.%2.%3.%4.%5.%6.%7.%8.%9"/>
      <w:lvlJc w:val="left"/>
      <w:pPr>
        <w:ind w:left="2936" w:hanging="1800"/>
      </w:pPr>
      <w:rPr>
        <w:rFonts w:hint="default" w:eastAsia="Calibri"/>
        <w:color w:val="000000"/>
      </w:rPr>
    </w:lvl>
  </w:abstractNum>
  <w:num w:numId="1">
    <w:abstractNumId w:val="2"/>
  </w:num>
  <w:num w:numId="2">
    <w:abstractNumId w:val="11"/>
  </w:num>
  <w:num w:numId="3">
    <w:abstractNumId w:val="15"/>
  </w:num>
  <w:num w:numId="4">
    <w:abstractNumId w:val="5"/>
  </w:num>
  <w:num w:numId="5">
    <w:abstractNumId w:val="10"/>
  </w:num>
  <w:num w:numId="6">
    <w:abstractNumId w:val="9"/>
  </w:num>
  <w:num w:numId="7">
    <w:abstractNumId w:val="1"/>
  </w:num>
  <w:num w:numId="8">
    <w:abstractNumId w:val="13"/>
  </w:num>
  <w:num w:numId="9">
    <w:abstractNumId w:val="0"/>
  </w:num>
  <w:num w:numId="10">
    <w:abstractNumId w:val="8"/>
  </w:num>
  <w:num w:numId="11">
    <w:abstractNumId w:val="6"/>
  </w:num>
  <w:num w:numId="12">
    <w:abstractNumId w:val="16"/>
  </w:num>
  <w:num w:numId="13">
    <w:abstractNumId w:val="2"/>
    <w:lvlOverride w:ilvl="0">
      <w:startOverride w:val="1"/>
    </w:lvlOverride>
  </w:num>
  <w:num w:numId="14">
    <w:abstractNumId w:val="12"/>
  </w:num>
  <w:num w:numId="15">
    <w:abstractNumId w:val="4"/>
  </w:num>
  <w:num w:numId="16">
    <w:abstractNumId w:val="7"/>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A53"/>
    <w:rsid w:val="000037D4"/>
    <w:rsid w:val="00003D14"/>
    <w:rsid w:val="00007118"/>
    <w:rsid w:val="00007838"/>
    <w:rsid w:val="00010116"/>
    <w:rsid w:val="00011168"/>
    <w:rsid w:val="000150AF"/>
    <w:rsid w:val="00026759"/>
    <w:rsid w:val="00031002"/>
    <w:rsid w:val="000341DE"/>
    <w:rsid w:val="0003761D"/>
    <w:rsid w:val="00037B16"/>
    <w:rsid w:val="00043600"/>
    <w:rsid w:val="00044D12"/>
    <w:rsid w:val="00055ABF"/>
    <w:rsid w:val="000615A1"/>
    <w:rsid w:val="00062783"/>
    <w:rsid w:val="00062829"/>
    <w:rsid w:val="000628B4"/>
    <w:rsid w:val="00062BF0"/>
    <w:rsid w:val="000776D5"/>
    <w:rsid w:val="00082A6A"/>
    <w:rsid w:val="00090C63"/>
    <w:rsid w:val="00090E5B"/>
    <w:rsid w:val="0009196B"/>
    <w:rsid w:val="00091BCB"/>
    <w:rsid w:val="00093EAA"/>
    <w:rsid w:val="000972E0"/>
    <w:rsid w:val="000A13CE"/>
    <w:rsid w:val="000A13D2"/>
    <w:rsid w:val="000A6164"/>
    <w:rsid w:val="000A6EFB"/>
    <w:rsid w:val="000B1FFC"/>
    <w:rsid w:val="000B5016"/>
    <w:rsid w:val="000C6A1E"/>
    <w:rsid w:val="000D0491"/>
    <w:rsid w:val="000D0ABA"/>
    <w:rsid w:val="000D0D43"/>
    <w:rsid w:val="000D0F21"/>
    <w:rsid w:val="000D2F18"/>
    <w:rsid w:val="000D589C"/>
    <w:rsid w:val="000E06A8"/>
    <w:rsid w:val="000E16E7"/>
    <w:rsid w:val="000E294A"/>
    <w:rsid w:val="000E4BC6"/>
    <w:rsid w:val="000F15F1"/>
    <w:rsid w:val="000F73A4"/>
    <w:rsid w:val="001001D7"/>
    <w:rsid w:val="001027D7"/>
    <w:rsid w:val="00103E3E"/>
    <w:rsid w:val="00105A63"/>
    <w:rsid w:val="001110C3"/>
    <w:rsid w:val="001131FE"/>
    <w:rsid w:val="00115571"/>
    <w:rsid w:val="00117A3A"/>
    <w:rsid w:val="001200F6"/>
    <w:rsid w:val="00124DC2"/>
    <w:rsid w:val="00126244"/>
    <w:rsid w:val="00133B3A"/>
    <w:rsid w:val="00134356"/>
    <w:rsid w:val="001358F5"/>
    <w:rsid w:val="0013735A"/>
    <w:rsid w:val="00140A31"/>
    <w:rsid w:val="00146FF5"/>
    <w:rsid w:val="00151FA2"/>
    <w:rsid w:val="001520A2"/>
    <w:rsid w:val="00153EB0"/>
    <w:rsid w:val="001547B3"/>
    <w:rsid w:val="00157B9D"/>
    <w:rsid w:val="00163657"/>
    <w:rsid w:val="001660F1"/>
    <w:rsid w:val="001721DD"/>
    <w:rsid w:val="00174E7C"/>
    <w:rsid w:val="00175491"/>
    <w:rsid w:val="0018275F"/>
    <w:rsid w:val="00184ADB"/>
    <w:rsid w:val="001860EF"/>
    <w:rsid w:val="00186BDE"/>
    <w:rsid w:val="001921C0"/>
    <w:rsid w:val="00192C84"/>
    <w:rsid w:val="00195DE6"/>
    <w:rsid w:val="001A0524"/>
    <w:rsid w:val="001A0DDE"/>
    <w:rsid w:val="001A0F42"/>
    <w:rsid w:val="001A2D16"/>
    <w:rsid w:val="001A505E"/>
    <w:rsid w:val="001A61F9"/>
    <w:rsid w:val="001B230E"/>
    <w:rsid w:val="001B24D2"/>
    <w:rsid w:val="001B3607"/>
    <w:rsid w:val="001B51AC"/>
    <w:rsid w:val="001B6369"/>
    <w:rsid w:val="001C32C3"/>
    <w:rsid w:val="001C65E6"/>
    <w:rsid w:val="001D0941"/>
    <w:rsid w:val="001D098E"/>
    <w:rsid w:val="001E0BBC"/>
    <w:rsid w:val="001E3078"/>
    <w:rsid w:val="001E31B4"/>
    <w:rsid w:val="001F129E"/>
    <w:rsid w:val="001F381E"/>
    <w:rsid w:val="001F6456"/>
    <w:rsid w:val="00200E3A"/>
    <w:rsid w:val="002015F8"/>
    <w:rsid w:val="00201A35"/>
    <w:rsid w:val="00201B91"/>
    <w:rsid w:val="00201C9E"/>
    <w:rsid w:val="00202D90"/>
    <w:rsid w:val="002040AF"/>
    <w:rsid w:val="0021584B"/>
    <w:rsid w:val="00220851"/>
    <w:rsid w:val="002214C7"/>
    <w:rsid w:val="00224A31"/>
    <w:rsid w:val="0022759B"/>
    <w:rsid w:val="00231DF4"/>
    <w:rsid w:val="00231FEE"/>
    <w:rsid w:val="0023376B"/>
    <w:rsid w:val="002340C4"/>
    <w:rsid w:val="00240DF6"/>
    <w:rsid w:val="00243E65"/>
    <w:rsid w:val="002440A2"/>
    <w:rsid w:val="0025158D"/>
    <w:rsid w:val="00251F03"/>
    <w:rsid w:val="00252254"/>
    <w:rsid w:val="0025659B"/>
    <w:rsid w:val="00256897"/>
    <w:rsid w:val="00263389"/>
    <w:rsid w:val="00263D2D"/>
    <w:rsid w:val="00266CC6"/>
    <w:rsid w:val="00270643"/>
    <w:rsid w:val="00271322"/>
    <w:rsid w:val="002737BF"/>
    <w:rsid w:val="00276548"/>
    <w:rsid w:val="00280F89"/>
    <w:rsid w:val="00282171"/>
    <w:rsid w:val="002857DD"/>
    <w:rsid w:val="00296FFE"/>
    <w:rsid w:val="002A3C85"/>
    <w:rsid w:val="002A3FBB"/>
    <w:rsid w:val="002A78F7"/>
    <w:rsid w:val="002B1093"/>
    <w:rsid w:val="002B3128"/>
    <w:rsid w:val="002B578A"/>
    <w:rsid w:val="002B6EC6"/>
    <w:rsid w:val="002D6030"/>
    <w:rsid w:val="002D624F"/>
    <w:rsid w:val="002E0C45"/>
    <w:rsid w:val="002E644B"/>
    <w:rsid w:val="002F117E"/>
    <w:rsid w:val="00303A1E"/>
    <w:rsid w:val="0031003E"/>
    <w:rsid w:val="00310304"/>
    <w:rsid w:val="00315E98"/>
    <w:rsid w:val="0031667D"/>
    <w:rsid w:val="003211FE"/>
    <w:rsid w:val="00324B9A"/>
    <w:rsid w:val="0033052E"/>
    <w:rsid w:val="003312A7"/>
    <w:rsid w:val="0033148F"/>
    <w:rsid w:val="00331CA6"/>
    <w:rsid w:val="00332432"/>
    <w:rsid w:val="00333ED6"/>
    <w:rsid w:val="00335CB3"/>
    <w:rsid w:val="003361FF"/>
    <w:rsid w:val="0034257A"/>
    <w:rsid w:val="0034609B"/>
    <w:rsid w:val="00352959"/>
    <w:rsid w:val="0035445B"/>
    <w:rsid w:val="003568DB"/>
    <w:rsid w:val="003600B2"/>
    <w:rsid w:val="00360596"/>
    <w:rsid w:val="00362CD1"/>
    <w:rsid w:val="00367B24"/>
    <w:rsid w:val="00370FEF"/>
    <w:rsid w:val="00371528"/>
    <w:rsid w:val="00372514"/>
    <w:rsid w:val="003774F8"/>
    <w:rsid w:val="0038027A"/>
    <w:rsid w:val="003828A4"/>
    <w:rsid w:val="00385433"/>
    <w:rsid w:val="0038634B"/>
    <w:rsid w:val="00386378"/>
    <w:rsid w:val="003871C5"/>
    <w:rsid w:val="00392D63"/>
    <w:rsid w:val="00393B17"/>
    <w:rsid w:val="0039649E"/>
    <w:rsid w:val="003A299F"/>
    <w:rsid w:val="003A4B74"/>
    <w:rsid w:val="003A5466"/>
    <w:rsid w:val="003B1C89"/>
    <w:rsid w:val="003B5D3A"/>
    <w:rsid w:val="003B7627"/>
    <w:rsid w:val="003C0841"/>
    <w:rsid w:val="003C3A92"/>
    <w:rsid w:val="003C3C8A"/>
    <w:rsid w:val="003C4F09"/>
    <w:rsid w:val="003D2133"/>
    <w:rsid w:val="003D2505"/>
    <w:rsid w:val="003D3DF9"/>
    <w:rsid w:val="003D5660"/>
    <w:rsid w:val="003D5FB8"/>
    <w:rsid w:val="003E060D"/>
    <w:rsid w:val="003E46B4"/>
    <w:rsid w:val="003E50C7"/>
    <w:rsid w:val="003E77D1"/>
    <w:rsid w:val="003F73CF"/>
    <w:rsid w:val="00404F5E"/>
    <w:rsid w:val="00420FC8"/>
    <w:rsid w:val="00424162"/>
    <w:rsid w:val="00426A6F"/>
    <w:rsid w:val="00432A20"/>
    <w:rsid w:val="0043533B"/>
    <w:rsid w:val="00436254"/>
    <w:rsid w:val="00436F97"/>
    <w:rsid w:val="00451D20"/>
    <w:rsid w:val="00454643"/>
    <w:rsid w:val="00462F22"/>
    <w:rsid w:val="004647B4"/>
    <w:rsid w:val="0047266B"/>
    <w:rsid w:val="00475096"/>
    <w:rsid w:val="0048339E"/>
    <w:rsid w:val="0048442E"/>
    <w:rsid w:val="0048531D"/>
    <w:rsid w:val="00485686"/>
    <w:rsid w:val="00496D7A"/>
    <w:rsid w:val="004A5BB6"/>
    <w:rsid w:val="004A5E99"/>
    <w:rsid w:val="004B03AE"/>
    <w:rsid w:val="004B1F25"/>
    <w:rsid w:val="004B7635"/>
    <w:rsid w:val="004B7685"/>
    <w:rsid w:val="004C43A9"/>
    <w:rsid w:val="004C7E56"/>
    <w:rsid w:val="004D28DD"/>
    <w:rsid w:val="004D37BA"/>
    <w:rsid w:val="004D4FB5"/>
    <w:rsid w:val="004E0012"/>
    <w:rsid w:val="004E0DC5"/>
    <w:rsid w:val="004E314A"/>
    <w:rsid w:val="004E47DC"/>
    <w:rsid w:val="004E4CEC"/>
    <w:rsid w:val="004E58CD"/>
    <w:rsid w:val="004F5A0D"/>
    <w:rsid w:val="004F77FB"/>
    <w:rsid w:val="005019FF"/>
    <w:rsid w:val="005025A9"/>
    <w:rsid w:val="005043B1"/>
    <w:rsid w:val="005048B5"/>
    <w:rsid w:val="00504BA4"/>
    <w:rsid w:val="0051075D"/>
    <w:rsid w:val="00515448"/>
    <w:rsid w:val="00515A32"/>
    <w:rsid w:val="0051626C"/>
    <w:rsid w:val="00517DB2"/>
    <w:rsid w:val="005211C6"/>
    <w:rsid w:val="00526A2B"/>
    <w:rsid w:val="005301FE"/>
    <w:rsid w:val="005325DA"/>
    <w:rsid w:val="00533F45"/>
    <w:rsid w:val="00536CAA"/>
    <w:rsid w:val="00550131"/>
    <w:rsid w:val="00551128"/>
    <w:rsid w:val="005538B9"/>
    <w:rsid w:val="005572C5"/>
    <w:rsid w:val="00557C52"/>
    <w:rsid w:val="00560E4D"/>
    <w:rsid w:val="0056129D"/>
    <w:rsid w:val="005665C5"/>
    <w:rsid w:val="00566C66"/>
    <w:rsid w:val="0056734C"/>
    <w:rsid w:val="00567F8D"/>
    <w:rsid w:val="00571C6A"/>
    <w:rsid w:val="00573918"/>
    <w:rsid w:val="00573D1D"/>
    <w:rsid w:val="00574DF0"/>
    <w:rsid w:val="005769C0"/>
    <w:rsid w:val="00584D7D"/>
    <w:rsid w:val="005877B4"/>
    <w:rsid w:val="005A1341"/>
    <w:rsid w:val="005A18EC"/>
    <w:rsid w:val="005A2E54"/>
    <w:rsid w:val="005A3A4B"/>
    <w:rsid w:val="005A51BC"/>
    <w:rsid w:val="005A6CE2"/>
    <w:rsid w:val="005A70A1"/>
    <w:rsid w:val="005B27DC"/>
    <w:rsid w:val="005B3A4A"/>
    <w:rsid w:val="005B4905"/>
    <w:rsid w:val="005B660B"/>
    <w:rsid w:val="005B711E"/>
    <w:rsid w:val="005B7755"/>
    <w:rsid w:val="005B7D2C"/>
    <w:rsid w:val="005C05DA"/>
    <w:rsid w:val="005C290F"/>
    <w:rsid w:val="005C3979"/>
    <w:rsid w:val="005C520E"/>
    <w:rsid w:val="005C5924"/>
    <w:rsid w:val="005D0066"/>
    <w:rsid w:val="005D46E1"/>
    <w:rsid w:val="005E19DB"/>
    <w:rsid w:val="005E20AE"/>
    <w:rsid w:val="005E4ED0"/>
    <w:rsid w:val="005F288F"/>
    <w:rsid w:val="005F3218"/>
    <w:rsid w:val="005F330A"/>
    <w:rsid w:val="005F4BC0"/>
    <w:rsid w:val="00600560"/>
    <w:rsid w:val="00602C29"/>
    <w:rsid w:val="00605D0A"/>
    <w:rsid w:val="00606B6A"/>
    <w:rsid w:val="00611EEA"/>
    <w:rsid w:val="00613D7C"/>
    <w:rsid w:val="006163D3"/>
    <w:rsid w:val="00616F24"/>
    <w:rsid w:val="00617DA0"/>
    <w:rsid w:val="00621EE5"/>
    <w:rsid w:val="00622F4A"/>
    <w:rsid w:val="00623D3F"/>
    <w:rsid w:val="00631795"/>
    <w:rsid w:val="00633287"/>
    <w:rsid w:val="0063603C"/>
    <w:rsid w:val="00637BC2"/>
    <w:rsid w:val="00641DB0"/>
    <w:rsid w:val="00642DF0"/>
    <w:rsid w:val="00643B7F"/>
    <w:rsid w:val="006445E8"/>
    <w:rsid w:val="00646105"/>
    <w:rsid w:val="006520B1"/>
    <w:rsid w:val="00655541"/>
    <w:rsid w:val="00656759"/>
    <w:rsid w:val="00681D6E"/>
    <w:rsid w:val="006841E4"/>
    <w:rsid w:val="00686644"/>
    <w:rsid w:val="006A039C"/>
    <w:rsid w:val="006A0DBF"/>
    <w:rsid w:val="006A22FA"/>
    <w:rsid w:val="006A29CA"/>
    <w:rsid w:val="006A500D"/>
    <w:rsid w:val="006A7A79"/>
    <w:rsid w:val="006B174F"/>
    <w:rsid w:val="006B179C"/>
    <w:rsid w:val="006B70A1"/>
    <w:rsid w:val="006B7CEF"/>
    <w:rsid w:val="006C0342"/>
    <w:rsid w:val="006C059B"/>
    <w:rsid w:val="006C2798"/>
    <w:rsid w:val="006C42BF"/>
    <w:rsid w:val="006C6F68"/>
    <w:rsid w:val="006D1949"/>
    <w:rsid w:val="006E1C63"/>
    <w:rsid w:val="006F1981"/>
    <w:rsid w:val="006F2FDB"/>
    <w:rsid w:val="006F4AF6"/>
    <w:rsid w:val="006F6B27"/>
    <w:rsid w:val="006F7DE8"/>
    <w:rsid w:val="007014FC"/>
    <w:rsid w:val="00702B7D"/>
    <w:rsid w:val="007053F0"/>
    <w:rsid w:val="007056FE"/>
    <w:rsid w:val="00720C9D"/>
    <w:rsid w:val="00722F35"/>
    <w:rsid w:val="00732B21"/>
    <w:rsid w:val="007341F7"/>
    <w:rsid w:val="0073558D"/>
    <w:rsid w:val="0073718D"/>
    <w:rsid w:val="007408E5"/>
    <w:rsid w:val="0074360E"/>
    <w:rsid w:val="00746B55"/>
    <w:rsid w:val="00753573"/>
    <w:rsid w:val="00753E83"/>
    <w:rsid w:val="00760940"/>
    <w:rsid w:val="007635DD"/>
    <w:rsid w:val="0077788B"/>
    <w:rsid w:val="00780A1D"/>
    <w:rsid w:val="00781468"/>
    <w:rsid w:val="00782607"/>
    <w:rsid w:val="0078372B"/>
    <w:rsid w:val="00785D63"/>
    <w:rsid w:val="007872B3"/>
    <w:rsid w:val="00790B21"/>
    <w:rsid w:val="007918D9"/>
    <w:rsid w:val="00792A51"/>
    <w:rsid w:val="007930BE"/>
    <w:rsid w:val="007967CB"/>
    <w:rsid w:val="007A0802"/>
    <w:rsid w:val="007A1270"/>
    <w:rsid w:val="007A1ED2"/>
    <w:rsid w:val="007A2DCA"/>
    <w:rsid w:val="007A33D6"/>
    <w:rsid w:val="007A37B4"/>
    <w:rsid w:val="007A547B"/>
    <w:rsid w:val="007C197E"/>
    <w:rsid w:val="007C40F4"/>
    <w:rsid w:val="007D4A4B"/>
    <w:rsid w:val="007E4C99"/>
    <w:rsid w:val="007E7837"/>
    <w:rsid w:val="007F2BF5"/>
    <w:rsid w:val="007F425F"/>
    <w:rsid w:val="007F4766"/>
    <w:rsid w:val="007F5CE4"/>
    <w:rsid w:val="007F66CA"/>
    <w:rsid w:val="00800C88"/>
    <w:rsid w:val="00802409"/>
    <w:rsid w:val="008103DC"/>
    <w:rsid w:val="00810EFF"/>
    <w:rsid w:val="00811E48"/>
    <w:rsid w:val="0081240B"/>
    <w:rsid w:val="00812E22"/>
    <w:rsid w:val="008228F8"/>
    <w:rsid w:val="008234B4"/>
    <w:rsid w:val="00827A8E"/>
    <w:rsid w:val="008424D5"/>
    <w:rsid w:val="00846BCD"/>
    <w:rsid w:val="008520BA"/>
    <w:rsid w:val="008545E4"/>
    <w:rsid w:val="00860FA5"/>
    <w:rsid w:val="00861623"/>
    <w:rsid w:val="00863895"/>
    <w:rsid w:val="00864CDA"/>
    <w:rsid w:val="00866291"/>
    <w:rsid w:val="0086664E"/>
    <w:rsid w:val="00874B19"/>
    <w:rsid w:val="008757CE"/>
    <w:rsid w:val="00880954"/>
    <w:rsid w:val="008827D2"/>
    <w:rsid w:val="00883FB6"/>
    <w:rsid w:val="00884231"/>
    <w:rsid w:val="00884C3E"/>
    <w:rsid w:val="00886617"/>
    <w:rsid w:val="00890012"/>
    <w:rsid w:val="0089050C"/>
    <w:rsid w:val="00890E4F"/>
    <w:rsid w:val="00890F8C"/>
    <w:rsid w:val="00892F88"/>
    <w:rsid w:val="00895D7D"/>
    <w:rsid w:val="00896E28"/>
    <w:rsid w:val="00897259"/>
    <w:rsid w:val="008A08AC"/>
    <w:rsid w:val="008A271B"/>
    <w:rsid w:val="008B0109"/>
    <w:rsid w:val="008B5049"/>
    <w:rsid w:val="008C1A42"/>
    <w:rsid w:val="008D2FE1"/>
    <w:rsid w:val="008D454B"/>
    <w:rsid w:val="008D6205"/>
    <w:rsid w:val="008D711B"/>
    <w:rsid w:val="008D7FAD"/>
    <w:rsid w:val="008E1566"/>
    <w:rsid w:val="008E322F"/>
    <w:rsid w:val="008E3838"/>
    <w:rsid w:val="008E577D"/>
    <w:rsid w:val="008E7C78"/>
    <w:rsid w:val="008F4AF5"/>
    <w:rsid w:val="008F4FF4"/>
    <w:rsid w:val="0090168D"/>
    <w:rsid w:val="0090192E"/>
    <w:rsid w:val="009032CB"/>
    <w:rsid w:val="0090434F"/>
    <w:rsid w:val="0090584B"/>
    <w:rsid w:val="00907329"/>
    <w:rsid w:val="00911A28"/>
    <w:rsid w:val="00916CEC"/>
    <w:rsid w:val="00916FF5"/>
    <w:rsid w:val="00920087"/>
    <w:rsid w:val="0092081D"/>
    <w:rsid w:val="009208EE"/>
    <w:rsid w:val="009214FF"/>
    <w:rsid w:val="00923172"/>
    <w:rsid w:val="009241CC"/>
    <w:rsid w:val="00925CD0"/>
    <w:rsid w:val="0092615E"/>
    <w:rsid w:val="0092655F"/>
    <w:rsid w:val="00930138"/>
    <w:rsid w:val="009321F6"/>
    <w:rsid w:val="009325E2"/>
    <w:rsid w:val="00933A37"/>
    <w:rsid w:val="0093444C"/>
    <w:rsid w:val="0093644E"/>
    <w:rsid w:val="009421DD"/>
    <w:rsid w:val="009567FE"/>
    <w:rsid w:val="00964BB1"/>
    <w:rsid w:val="00967ACF"/>
    <w:rsid w:val="00970CBA"/>
    <w:rsid w:val="00976710"/>
    <w:rsid w:val="00976D2C"/>
    <w:rsid w:val="00977F4D"/>
    <w:rsid w:val="00990E21"/>
    <w:rsid w:val="009A10C4"/>
    <w:rsid w:val="009A449F"/>
    <w:rsid w:val="009B4E12"/>
    <w:rsid w:val="009B50B4"/>
    <w:rsid w:val="009C0081"/>
    <w:rsid w:val="009C1C0B"/>
    <w:rsid w:val="009C4BA6"/>
    <w:rsid w:val="009D09EB"/>
    <w:rsid w:val="009D6A94"/>
    <w:rsid w:val="009E1BCC"/>
    <w:rsid w:val="009E37BA"/>
    <w:rsid w:val="009F0C04"/>
    <w:rsid w:val="009F4D80"/>
    <w:rsid w:val="00A001DD"/>
    <w:rsid w:val="00A001F5"/>
    <w:rsid w:val="00A011D1"/>
    <w:rsid w:val="00A037FB"/>
    <w:rsid w:val="00A051C0"/>
    <w:rsid w:val="00A062B5"/>
    <w:rsid w:val="00A075EF"/>
    <w:rsid w:val="00A108ED"/>
    <w:rsid w:val="00A10E56"/>
    <w:rsid w:val="00A12BCB"/>
    <w:rsid w:val="00A15B20"/>
    <w:rsid w:val="00A21B87"/>
    <w:rsid w:val="00A21DC2"/>
    <w:rsid w:val="00A2227D"/>
    <w:rsid w:val="00A2484A"/>
    <w:rsid w:val="00A32A7C"/>
    <w:rsid w:val="00A3701E"/>
    <w:rsid w:val="00A440B5"/>
    <w:rsid w:val="00A44526"/>
    <w:rsid w:val="00A45748"/>
    <w:rsid w:val="00A5100E"/>
    <w:rsid w:val="00A527F6"/>
    <w:rsid w:val="00A5444E"/>
    <w:rsid w:val="00A56397"/>
    <w:rsid w:val="00A6023F"/>
    <w:rsid w:val="00A6049D"/>
    <w:rsid w:val="00A61E43"/>
    <w:rsid w:val="00A6337B"/>
    <w:rsid w:val="00A66FF8"/>
    <w:rsid w:val="00A67AC2"/>
    <w:rsid w:val="00A67B53"/>
    <w:rsid w:val="00A80118"/>
    <w:rsid w:val="00A82CBB"/>
    <w:rsid w:val="00A85F09"/>
    <w:rsid w:val="00A86E3E"/>
    <w:rsid w:val="00A870D9"/>
    <w:rsid w:val="00A95114"/>
    <w:rsid w:val="00AA097C"/>
    <w:rsid w:val="00AA214C"/>
    <w:rsid w:val="00AA541B"/>
    <w:rsid w:val="00AA69B9"/>
    <w:rsid w:val="00AC4329"/>
    <w:rsid w:val="00AC57C0"/>
    <w:rsid w:val="00AC6AAE"/>
    <w:rsid w:val="00AC6F91"/>
    <w:rsid w:val="00AD2512"/>
    <w:rsid w:val="00AD6B62"/>
    <w:rsid w:val="00AE2ADC"/>
    <w:rsid w:val="00AE31B9"/>
    <w:rsid w:val="00AF09E3"/>
    <w:rsid w:val="00AF14BE"/>
    <w:rsid w:val="00AF2A53"/>
    <w:rsid w:val="00AF57AD"/>
    <w:rsid w:val="00AF6AC1"/>
    <w:rsid w:val="00B0035E"/>
    <w:rsid w:val="00B07201"/>
    <w:rsid w:val="00B161F2"/>
    <w:rsid w:val="00B1637D"/>
    <w:rsid w:val="00B16822"/>
    <w:rsid w:val="00B2184D"/>
    <w:rsid w:val="00B30E30"/>
    <w:rsid w:val="00B332EC"/>
    <w:rsid w:val="00B44716"/>
    <w:rsid w:val="00B4661C"/>
    <w:rsid w:val="00B51E97"/>
    <w:rsid w:val="00B5666B"/>
    <w:rsid w:val="00B56A87"/>
    <w:rsid w:val="00B57852"/>
    <w:rsid w:val="00B5786B"/>
    <w:rsid w:val="00B602E8"/>
    <w:rsid w:val="00B62937"/>
    <w:rsid w:val="00B670CB"/>
    <w:rsid w:val="00B83D1F"/>
    <w:rsid w:val="00B91778"/>
    <w:rsid w:val="00B94E77"/>
    <w:rsid w:val="00B951E0"/>
    <w:rsid w:val="00B95AD9"/>
    <w:rsid w:val="00BA185F"/>
    <w:rsid w:val="00BA2AB2"/>
    <w:rsid w:val="00BA3E22"/>
    <w:rsid w:val="00BA4C0D"/>
    <w:rsid w:val="00BB1096"/>
    <w:rsid w:val="00BB5A53"/>
    <w:rsid w:val="00BC403C"/>
    <w:rsid w:val="00BC5507"/>
    <w:rsid w:val="00BD105B"/>
    <w:rsid w:val="00BD12C1"/>
    <w:rsid w:val="00BD1723"/>
    <w:rsid w:val="00BE0278"/>
    <w:rsid w:val="00BE3B6B"/>
    <w:rsid w:val="00BF05CC"/>
    <w:rsid w:val="00BF0DB6"/>
    <w:rsid w:val="00BF4848"/>
    <w:rsid w:val="00BF4EE7"/>
    <w:rsid w:val="00C00DB0"/>
    <w:rsid w:val="00C00DC4"/>
    <w:rsid w:val="00C024CB"/>
    <w:rsid w:val="00C047AA"/>
    <w:rsid w:val="00C07F03"/>
    <w:rsid w:val="00C10039"/>
    <w:rsid w:val="00C16FE2"/>
    <w:rsid w:val="00C2083E"/>
    <w:rsid w:val="00C2097D"/>
    <w:rsid w:val="00C21245"/>
    <w:rsid w:val="00C24EFA"/>
    <w:rsid w:val="00C27134"/>
    <w:rsid w:val="00C3370C"/>
    <w:rsid w:val="00C3747D"/>
    <w:rsid w:val="00C4209B"/>
    <w:rsid w:val="00C446AE"/>
    <w:rsid w:val="00C454B7"/>
    <w:rsid w:val="00C45672"/>
    <w:rsid w:val="00C46331"/>
    <w:rsid w:val="00C506F0"/>
    <w:rsid w:val="00C626DA"/>
    <w:rsid w:val="00C65233"/>
    <w:rsid w:val="00C70A00"/>
    <w:rsid w:val="00C710F4"/>
    <w:rsid w:val="00C744C2"/>
    <w:rsid w:val="00C7564B"/>
    <w:rsid w:val="00C7719D"/>
    <w:rsid w:val="00C77267"/>
    <w:rsid w:val="00C8309A"/>
    <w:rsid w:val="00C84B8A"/>
    <w:rsid w:val="00C85032"/>
    <w:rsid w:val="00C87401"/>
    <w:rsid w:val="00C94486"/>
    <w:rsid w:val="00C94880"/>
    <w:rsid w:val="00C9546E"/>
    <w:rsid w:val="00CA1758"/>
    <w:rsid w:val="00CA500E"/>
    <w:rsid w:val="00CA554A"/>
    <w:rsid w:val="00CB1FE6"/>
    <w:rsid w:val="00CC446E"/>
    <w:rsid w:val="00CC4E21"/>
    <w:rsid w:val="00CC6C84"/>
    <w:rsid w:val="00CD024C"/>
    <w:rsid w:val="00CD172B"/>
    <w:rsid w:val="00CD1A69"/>
    <w:rsid w:val="00CD6425"/>
    <w:rsid w:val="00CD725E"/>
    <w:rsid w:val="00CE3D13"/>
    <w:rsid w:val="00CE4672"/>
    <w:rsid w:val="00CE6692"/>
    <w:rsid w:val="00CF27E0"/>
    <w:rsid w:val="00CF36D0"/>
    <w:rsid w:val="00CF434A"/>
    <w:rsid w:val="00CF694D"/>
    <w:rsid w:val="00D132DE"/>
    <w:rsid w:val="00D14B9E"/>
    <w:rsid w:val="00D14CFD"/>
    <w:rsid w:val="00D21170"/>
    <w:rsid w:val="00D2216B"/>
    <w:rsid w:val="00D226A2"/>
    <w:rsid w:val="00D251FA"/>
    <w:rsid w:val="00D27787"/>
    <w:rsid w:val="00D31ADA"/>
    <w:rsid w:val="00D33501"/>
    <w:rsid w:val="00D447DB"/>
    <w:rsid w:val="00D46268"/>
    <w:rsid w:val="00D50A4E"/>
    <w:rsid w:val="00D51472"/>
    <w:rsid w:val="00D51735"/>
    <w:rsid w:val="00D52CBC"/>
    <w:rsid w:val="00D52F89"/>
    <w:rsid w:val="00D53091"/>
    <w:rsid w:val="00D53146"/>
    <w:rsid w:val="00D602FC"/>
    <w:rsid w:val="00D60733"/>
    <w:rsid w:val="00D60AC2"/>
    <w:rsid w:val="00D61201"/>
    <w:rsid w:val="00D61370"/>
    <w:rsid w:val="00D6194D"/>
    <w:rsid w:val="00D63D0A"/>
    <w:rsid w:val="00D7008B"/>
    <w:rsid w:val="00D72858"/>
    <w:rsid w:val="00D74708"/>
    <w:rsid w:val="00D76066"/>
    <w:rsid w:val="00D77679"/>
    <w:rsid w:val="00D8595F"/>
    <w:rsid w:val="00D866A1"/>
    <w:rsid w:val="00D87550"/>
    <w:rsid w:val="00D93803"/>
    <w:rsid w:val="00DA0519"/>
    <w:rsid w:val="00DA1EE2"/>
    <w:rsid w:val="00DA4C76"/>
    <w:rsid w:val="00DA7E7E"/>
    <w:rsid w:val="00DB20F1"/>
    <w:rsid w:val="00DB3909"/>
    <w:rsid w:val="00DB60A0"/>
    <w:rsid w:val="00DB6DD7"/>
    <w:rsid w:val="00DC7E7F"/>
    <w:rsid w:val="00DD5470"/>
    <w:rsid w:val="00DD629D"/>
    <w:rsid w:val="00DD7838"/>
    <w:rsid w:val="00DE5E2A"/>
    <w:rsid w:val="00DF1EDD"/>
    <w:rsid w:val="00DF5F43"/>
    <w:rsid w:val="00E04D69"/>
    <w:rsid w:val="00E04F4E"/>
    <w:rsid w:val="00E16DF4"/>
    <w:rsid w:val="00E439AC"/>
    <w:rsid w:val="00E462B5"/>
    <w:rsid w:val="00E46906"/>
    <w:rsid w:val="00E472D9"/>
    <w:rsid w:val="00E50891"/>
    <w:rsid w:val="00E51D55"/>
    <w:rsid w:val="00E52C78"/>
    <w:rsid w:val="00E56339"/>
    <w:rsid w:val="00E62673"/>
    <w:rsid w:val="00E7004C"/>
    <w:rsid w:val="00E7184B"/>
    <w:rsid w:val="00E719EF"/>
    <w:rsid w:val="00E72F8F"/>
    <w:rsid w:val="00E732AF"/>
    <w:rsid w:val="00E748A3"/>
    <w:rsid w:val="00E757F9"/>
    <w:rsid w:val="00E81B64"/>
    <w:rsid w:val="00E81CB5"/>
    <w:rsid w:val="00E918FB"/>
    <w:rsid w:val="00E91FC5"/>
    <w:rsid w:val="00E92057"/>
    <w:rsid w:val="00E968AD"/>
    <w:rsid w:val="00E96EA4"/>
    <w:rsid w:val="00EA0853"/>
    <w:rsid w:val="00EA6DB3"/>
    <w:rsid w:val="00EB2D47"/>
    <w:rsid w:val="00EB4397"/>
    <w:rsid w:val="00EB4700"/>
    <w:rsid w:val="00EC253F"/>
    <w:rsid w:val="00ED2219"/>
    <w:rsid w:val="00ED2CEC"/>
    <w:rsid w:val="00EE04B0"/>
    <w:rsid w:val="00EE379C"/>
    <w:rsid w:val="00EE3C1D"/>
    <w:rsid w:val="00EE57AC"/>
    <w:rsid w:val="00EE6E43"/>
    <w:rsid w:val="00EF2176"/>
    <w:rsid w:val="00EF6BDC"/>
    <w:rsid w:val="00F01F54"/>
    <w:rsid w:val="00F032A2"/>
    <w:rsid w:val="00F10E73"/>
    <w:rsid w:val="00F112D9"/>
    <w:rsid w:val="00F1322C"/>
    <w:rsid w:val="00F176B9"/>
    <w:rsid w:val="00F200BA"/>
    <w:rsid w:val="00F2102B"/>
    <w:rsid w:val="00F2376F"/>
    <w:rsid w:val="00F23F3C"/>
    <w:rsid w:val="00F2539C"/>
    <w:rsid w:val="00F31164"/>
    <w:rsid w:val="00F3118B"/>
    <w:rsid w:val="00F4127F"/>
    <w:rsid w:val="00F414CA"/>
    <w:rsid w:val="00F4340A"/>
    <w:rsid w:val="00F51984"/>
    <w:rsid w:val="00F5442E"/>
    <w:rsid w:val="00F54588"/>
    <w:rsid w:val="00F547BC"/>
    <w:rsid w:val="00F6415E"/>
    <w:rsid w:val="00F67678"/>
    <w:rsid w:val="00F70F5E"/>
    <w:rsid w:val="00F72016"/>
    <w:rsid w:val="00F72D76"/>
    <w:rsid w:val="00F744AF"/>
    <w:rsid w:val="00F77097"/>
    <w:rsid w:val="00F801CA"/>
    <w:rsid w:val="00F81366"/>
    <w:rsid w:val="00F817B5"/>
    <w:rsid w:val="00F86D0B"/>
    <w:rsid w:val="00FA1855"/>
    <w:rsid w:val="00FA494F"/>
    <w:rsid w:val="00FA62C2"/>
    <w:rsid w:val="00FB75E0"/>
    <w:rsid w:val="00FC4455"/>
    <w:rsid w:val="00FC5B12"/>
    <w:rsid w:val="00FD4ED6"/>
    <w:rsid w:val="00FD5353"/>
    <w:rsid w:val="00FE0AF6"/>
    <w:rsid w:val="00FE4B44"/>
    <w:rsid w:val="00FE6216"/>
    <w:rsid w:val="00FF0BB9"/>
    <w:rsid w:val="00FF4848"/>
    <w:rsid w:val="03516238"/>
    <w:rsid w:val="318873D1"/>
    <w:rsid w:val="33C96494"/>
    <w:rsid w:val="4CAA50BF"/>
    <w:rsid w:val="7E6924E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Ecofont_Spranq_eco_Sans" w:hAnsi="Ecofont_Spranq_eco_Sans" w:eastAsia="Ecofont_Spranq_eco_Sans" w:cs="Ecofont_Spranq_eco_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qFormat="1"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Placeholder Text"/>
    <w:lsdException w:qFormat="1" w:unhideWhenUsed="0" w:uiPriority="1" w:semiHidden="0" w:name="No Spacing"/>
    <w:lsdException w:qFormat="1" w:unhideWhenUsed="0" w:uiPriority="34" w:semiHidden="0" w:name="List Paragraph"/>
    <w:lsdException w:qFormat="1" w:unhideWhenUsed="0" w:uiPriority="0" w:semiHidden="0" w:name="Quote"/>
    <w:lsdException w:qFormat="1" w:unhideWhenUsed="0" w:uiPriority="0" w:semiHidden="0" w:name="Intense Quote"/>
  </w:latentStyles>
  <w:style w:type="paragraph" w:default="1" w:styleId="1">
    <w:name w:val="Normal"/>
    <w:qFormat/>
    <w:uiPriority w:val="0"/>
    <w:rPr>
      <w:rFonts w:ascii="Ecofont_Spranq_eco_Sans" w:hAnsi="Ecofont_Spranq_eco_Sans" w:eastAsia="Ecofont_Spranq_eco_Sans" w:cs="Ecofont_Spranq_eco_Sans"/>
      <w:sz w:val="24"/>
      <w:szCs w:val="24"/>
      <w:lang w:val="pt-BR" w:eastAsia="pt-BR" w:bidi="ar-SA"/>
    </w:rPr>
  </w:style>
  <w:style w:type="paragraph" w:styleId="2">
    <w:name w:val="heading 1"/>
    <w:basedOn w:val="1"/>
    <w:next w:val="1"/>
    <w:link w:val="66"/>
    <w:qFormat/>
    <w:uiPriority w:val="1"/>
    <w:pPr>
      <w:keepNext/>
      <w:keepLines/>
      <w:spacing w:before="480"/>
      <w:outlineLvl w:val="0"/>
    </w:pPr>
    <w:rPr>
      <w:rFonts w:ascii="Calibri" w:hAnsi="Calibri" w:eastAsia="Calibri" w:cs="Calibri"/>
      <w:b/>
      <w:color w:val="366091"/>
      <w:sz w:val="28"/>
      <w:szCs w:val="28"/>
    </w:rPr>
  </w:style>
  <w:style w:type="paragraph" w:styleId="3">
    <w:name w:val="heading 2"/>
    <w:basedOn w:val="1"/>
    <w:next w:val="1"/>
    <w:link w:val="75"/>
    <w:unhideWhenUsed/>
    <w:qFormat/>
    <w:uiPriority w:val="0"/>
    <w:pPr>
      <w:keepNext/>
      <w:tabs>
        <w:tab w:val="left" w:pos="1701"/>
      </w:tabs>
      <w:jc w:val="center"/>
      <w:outlineLvl w:val="1"/>
    </w:pPr>
    <w:rPr>
      <w:rFonts w:ascii="Times New Roman" w:hAnsi="Times New Roman" w:eastAsia="Times New Roman" w:cs="Times New Roman"/>
      <w:b/>
      <w:color w:val="000000"/>
    </w:rPr>
  </w:style>
  <w:style w:type="paragraph" w:styleId="4">
    <w:name w:val="heading 3"/>
    <w:basedOn w:val="1"/>
    <w:next w:val="1"/>
    <w:link w:val="76"/>
    <w:unhideWhenUsed/>
    <w:qFormat/>
    <w:uiPriority w:val="0"/>
    <w:pPr>
      <w:keepNext/>
      <w:spacing w:before="240" w:after="60"/>
      <w:outlineLvl w:val="2"/>
    </w:pPr>
    <w:rPr>
      <w:rFonts w:ascii="Cambria" w:hAnsi="Cambria" w:eastAsia="Cambria" w:cs="Cambria"/>
      <w:b/>
      <w:sz w:val="26"/>
      <w:szCs w:val="26"/>
    </w:rPr>
  </w:style>
  <w:style w:type="paragraph" w:styleId="5">
    <w:name w:val="heading 4"/>
    <w:basedOn w:val="1"/>
    <w:next w:val="1"/>
    <w:link w:val="77"/>
    <w:unhideWhenUsed/>
    <w:qFormat/>
    <w:uiPriority w:val="0"/>
    <w:pPr>
      <w:keepNext/>
      <w:keepLines/>
      <w:spacing w:before="40"/>
      <w:outlineLvl w:val="3"/>
    </w:pPr>
    <w:rPr>
      <w:rFonts w:ascii="Calibri" w:hAnsi="Calibri" w:eastAsia="Calibri" w:cs="Calibri"/>
      <w:i/>
      <w:color w:val="366091"/>
    </w:rPr>
  </w:style>
  <w:style w:type="paragraph" w:styleId="6">
    <w:name w:val="heading 5"/>
    <w:basedOn w:val="1"/>
    <w:next w:val="1"/>
    <w:link w:val="78"/>
    <w:unhideWhenUsed/>
    <w:qFormat/>
    <w:uiPriority w:val="0"/>
    <w:pPr>
      <w:outlineLvl w:val="4"/>
    </w:pPr>
    <w:rPr>
      <w:rFonts w:ascii="Times New Roman" w:hAnsi="Times New Roman" w:eastAsia="Times New Roman" w:cs="Times New Roman"/>
      <w:b/>
      <w:sz w:val="20"/>
      <w:szCs w:val="20"/>
    </w:rPr>
  </w:style>
  <w:style w:type="paragraph" w:styleId="7">
    <w:name w:val="heading 6"/>
    <w:basedOn w:val="1"/>
    <w:next w:val="1"/>
    <w:link w:val="79"/>
    <w:unhideWhenUsed/>
    <w:qFormat/>
    <w:uiPriority w:val="0"/>
    <w:pPr>
      <w:keepNext/>
      <w:jc w:val="both"/>
      <w:outlineLvl w:val="5"/>
    </w:pPr>
    <w:rPr>
      <w:rFonts w:ascii="Georgia" w:hAnsi="Georgia" w:eastAsia="Georgia" w:cs="Georgia"/>
      <w:b/>
      <w:sz w:val="28"/>
      <w:szCs w:val="28"/>
    </w:rPr>
  </w:style>
  <w:style w:type="paragraph" w:styleId="8">
    <w:name w:val="heading 7"/>
    <w:basedOn w:val="1"/>
    <w:next w:val="1"/>
    <w:link w:val="63"/>
    <w:qFormat/>
    <w:uiPriority w:val="0"/>
    <w:pPr>
      <w:keepNext/>
      <w:jc w:val="both"/>
      <w:outlineLvl w:val="6"/>
    </w:pPr>
    <w:rPr>
      <w:rFonts w:ascii="Times New Roman" w:hAnsi="Times New Roman" w:eastAsia="Times New Roman" w:cs="Times New Roman"/>
      <w:i/>
      <w:iCs/>
      <w:sz w:val="20"/>
      <w:szCs w:val="20"/>
    </w:rPr>
  </w:style>
  <w:style w:type="paragraph" w:styleId="9">
    <w:name w:val="heading 8"/>
    <w:basedOn w:val="1"/>
    <w:next w:val="1"/>
    <w:link w:val="64"/>
    <w:qFormat/>
    <w:uiPriority w:val="0"/>
    <w:pPr>
      <w:keepNext/>
      <w:jc w:val="center"/>
      <w:outlineLvl w:val="7"/>
    </w:pPr>
    <w:rPr>
      <w:rFonts w:ascii="Courier New" w:hAnsi="Courier New" w:eastAsia="Times New Roman" w:cs="Courier New"/>
      <w:b/>
      <w:bCs/>
      <w:sz w:val="36"/>
      <w:szCs w:val="20"/>
    </w:rPr>
  </w:style>
  <w:style w:type="paragraph" w:styleId="10">
    <w:name w:val="heading 9"/>
    <w:basedOn w:val="1"/>
    <w:next w:val="1"/>
    <w:link w:val="65"/>
    <w:qFormat/>
    <w:uiPriority w:val="0"/>
    <w:pPr>
      <w:keepNext/>
      <w:outlineLvl w:val="8"/>
    </w:pPr>
    <w:rPr>
      <w:rFonts w:ascii="Courier New" w:hAnsi="Courier New" w:eastAsia="Times New Roman" w:cs="Courier New"/>
      <w:i/>
      <w:szCs w:val="20"/>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Strong"/>
    <w:basedOn w:val="11"/>
    <w:qFormat/>
    <w:uiPriority w:val="22"/>
    <w:rPr>
      <w:b/>
      <w:bCs/>
    </w:rPr>
  </w:style>
  <w:style w:type="character" w:styleId="14">
    <w:name w:val="annotation reference"/>
    <w:qFormat/>
    <w:uiPriority w:val="99"/>
    <w:rPr>
      <w:sz w:val="16"/>
      <w:szCs w:val="16"/>
    </w:rPr>
  </w:style>
  <w:style w:type="character" w:styleId="15">
    <w:name w:val="FollowedHyperlink"/>
    <w:qFormat/>
    <w:uiPriority w:val="99"/>
    <w:rPr>
      <w:color w:val="800080"/>
      <w:u w:val="single"/>
    </w:rPr>
  </w:style>
  <w:style w:type="character" w:styleId="16">
    <w:name w:val="Emphasis"/>
    <w:qFormat/>
    <w:uiPriority w:val="0"/>
    <w:rPr>
      <w:i/>
      <w:iCs/>
    </w:rPr>
  </w:style>
  <w:style w:type="character" w:styleId="17">
    <w:name w:val="Hyperlink"/>
    <w:qFormat/>
    <w:uiPriority w:val="99"/>
    <w:rPr>
      <w:color w:val="000080"/>
      <w:u w:val="single"/>
    </w:rPr>
  </w:style>
  <w:style w:type="character" w:styleId="18">
    <w:name w:val="page number"/>
    <w:basedOn w:val="11"/>
    <w:qFormat/>
    <w:uiPriority w:val="0"/>
  </w:style>
  <w:style w:type="paragraph" w:styleId="19">
    <w:name w:val="List"/>
    <w:basedOn w:val="1"/>
    <w:unhideWhenUsed/>
    <w:qFormat/>
    <w:uiPriority w:val="0"/>
    <w:pPr>
      <w:ind w:left="283" w:hanging="283"/>
      <w:contextualSpacing/>
    </w:pPr>
    <w:rPr>
      <w:rFonts w:ascii="Times New Roman" w:hAnsi="Times New Roman" w:eastAsia="Times New Roman" w:cs="Times New Roman"/>
      <w:sz w:val="20"/>
      <w:szCs w:val="20"/>
    </w:rPr>
  </w:style>
  <w:style w:type="paragraph" w:styleId="20">
    <w:name w:val="Body Text"/>
    <w:basedOn w:val="1"/>
    <w:link w:val="67"/>
    <w:qFormat/>
    <w:uiPriority w:val="1"/>
    <w:pPr>
      <w:jc w:val="both"/>
    </w:pPr>
    <w:rPr>
      <w:rFonts w:ascii="Arial" w:hAnsi="Arial" w:eastAsia="Times New Roman" w:cs="Arial"/>
      <w:color w:val="0000FF"/>
    </w:rPr>
  </w:style>
  <w:style w:type="paragraph" w:styleId="21">
    <w:name w:val="Block Text"/>
    <w:basedOn w:val="1"/>
    <w:qFormat/>
    <w:uiPriority w:val="0"/>
    <w:pPr>
      <w:ind w:left="2410" w:right="-1" w:hanging="425"/>
      <w:jc w:val="both"/>
    </w:pPr>
    <w:rPr>
      <w:rFonts w:ascii="Courier New" w:hAnsi="Courier New" w:eastAsia="Times New Roman" w:cs="Courier New"/>
      <w:color w:val="0000FF"/>
      <w:szCs w:val="20"/>
    </w:rPr>
  </w:style>
  <w:style w:type="paragraph" w:styleId="22">
    <w:name w:val="annotation text"/>
    <w:basedOn w:val="1"/>
    <w:link w:val="347"/>
    <w:qFormat/>
    <w:uiPriority w:val="99"/>
    <w:rPr>
      <w:rFonts w:ascii="Ecofont_Spranq_eco_Sans;Malgun" w:hAnsi="Ecofont_Spranq_eco_Sans;Malgun" w:eastAsia="Times New Roman" w:cs="Tahoma"/>
      <w:sz w:val="20"/>
      <w:szCs w:val="20"/>
      <w:lang w:eastAsia="zh-CN"/>
    </w:rPr>
  </w:style>
  <w:style w:type="paragraph" w:styleId="23">
    <w:name w:val="Body Text Indent 2"/>
    <w:basedOn w:val="1"/>
    <w:link w:val="83"/>
    <w:unhideWhenUsed/>
    <w:qFormat/>
    <w:uiPriority w:val="0"/>
    <w:pPr>
      <w:spacing w:after="120" w:line="480" w:lineRule="auto"/>
      <w:ind w:left="283"/>
    </w:pPr>
    <w:rPr>
      <w:rFonts w:ascii="Times New Roman" w:hAnsi="Times New Roman" w:eastAsia="Times New Roman" w:cs="Times New Roman"/>
      <w:sz w:val="20"/>
      <w:szCs w:val="20"/>
    </w:rPr>
  </w:style>
  <w:style w:type="paragraph" w:styleId="24">
    <w:name w:val="Title"/>
    <w:basedOn w:val="1"/>
    <w:next w:val="1"/>
    <w:link w:val="82"/>
    <w:qFormat/>
    <w:uiPriority w:val="99"/>
    <w:pPr>
      <w:pBdr>
        <w:bottom w:val="single" w:color="4F81BD" w:sz="8" w:space="4"/>
      </w:pBdr>
      <w:spacing w:after="300"/>
    </w:pPr>
    <w:rPr>
      <w:rFonts w:ascii="Calibri" w:hAnsi="Calibri" w:eastAsia="Calibri" w:cs="Calibri"/>
      <w:color w:val="17365D"/>
      <w:sz w:val="52"/>
      <w:szCs w:val="52"/>
    </w:rPr>
  </w:style>
  <w:style w:type="paragraph" w:styleId="25">
    <w:name w:val="List 4"/>
    <w:basedOn w:val="1"/>
    <w:qFormat/>
    <w:uiPriority w:val="0"/>
    <w:pPr>
      <w:ind w:left="1132" w:hanging="283"/>
      <w:contextualSpacing/>
    </w:pPr>
    <w:rPr>
      <w:rFonts w:ascii="Times New Roman" w:hAnsi="Times New Roman" w:eastAsia="Times New Roman" w:cs="Times New Roman"/>
    </w:rPr>
  </w:style>
  <w:style w:type="paragraph" w:styleId="26">
    <w:name w:val="Normal (Web)"/>
    <w:basedOn w:val="1"/>
    <w:qFormat/>
    <w:uiPriority w:val="99"/>
    <w:pPr>
      <w:spacing w:before="100" w:beforeAutospacing="1" w:after="100" w:afterAutospacing="1"/>
    </w:pPr>
    <w:rPr>
      <w:rFonts w:ascii="Times New Roman" w:hAnsi="Times New Roman" w:eastAsia="Times New Roman" w:cs="Times New Roman"/>
    </w:rPr>
  </w:style>
  <w:style w:type="paragraph" w:styleId="27">
    <w:name w:val="Salutation"/>
    <w:basedOn w:val="1"/>
    <w:link w:val="218"/>
    <w:qFormat/>
    <w:uiPriority w:val="0"/>
    <w:pPr>
      <w:suppressAutoHyphens/>
      <w:jc w:val="both"/>
    </w:pPr>
    <w:rPr>
      <w:rFonts w:ascii="Arial" w:hAnsi="Arial" w:eastAsia="Times New Roman" w:cs="Times New Roman"/>
      <w:szCs w:val="20"/>
    </w:rPr>
  </w:style>
  <w:style w:type="paragraph" w:styleId="28">
    <w:name w:val="List Continue"/>
    <w:basedOn w:val="1"/>
    <w:qFormat/>
    <w:uiPriority w:val="0"/>
    <w:pPr>
      <w:spacing w:after="120"/>
      <w:ind w:left="283"/>
      <w:contextualSpacing/>
    </w:pPr>
    <w:rPr>
      <w:rFonts w:ascii="Times New Roman" w:hAnsi="Times New Roman" w:eastAsia="Times New Roman" w:cs="Times New Roman"/>
    </w:rPr>
  </w:style>
  <w:style w:type="paragraph" w:styleId="29">
    <w:name w:val="Body Text 3"/>
    <w:basedOn w:val="1"/>
    <w:link w:val="85"/>
    <w:qFormat/>
    <w:uiPriority w:val="0"/>
    <w:pPr>
      <w:jc w:val="both"/>
    </w:pPr>
    <w:rPr>
      <w:rFonts w:ascii="Times New Roman" w:hAnsi="Times New Roman" w:eastAsia="Times New Roman" w:cs="Times New Roman"/>
      <w:color w:val="FF0000"/>
      <w:szCs w:val="20"/>
    </w:rPr>
  </w:style>
  <w:style w:type="paragraph" w:styleId="30">
    <w:name w:val="Body Text 2"/>
    <w:basedOn w:val="1"/>
    <w:link w:val="81"/>
    <w:qFormat/>
    <w:uiPriority w:val="0"/>
    <w:pPr>
      <w:jc w:val="both"/>
    </w:pPr>
    <w:rPr>
      <w:rFonts w:ascii="Microsoft Sans Serif" w:hAnsi="Microsoft Sans Serif" w:eastAsia="Times New Roman" w:cs="Microsoft Sans Serif"/>
      <w:color w:val="FF0000"/>
    </w:rPr>
  </w:style>
  <w:style w:type="paragraph" w:styleId="31">
    <w:name w:val="header"/>
    <w:basedOn w:val="1"/>
    <w:link w:val="55"/>
    <w:unhideWhenUsed/>
    <w:qFormat/>
    <w:uiPriority w:val="99"/>
    <w:pPr>
      <w:tabs>
        <w:tab w:val="center" w:pos="4252"/>
        <w:tab w:val="right" w:pos="8504"/>
      </w:tabs>
    </w:pPr>
  </w:style>
  <w:style w:type="paragraph" w:styleId="32">
    <w:name w:val="annotation subject"/>
    <w:basedOn w:val="22"/>
    <w:next w:val="22"/>
    <w:link w:val="352"/>
    <w:qFormat/>
    <w:uiPriority w:val="99"/>
    <w:rPr>
      <w:rFonts w:ascii="Times New Roman" w:hAnsi="Times New Roman" w:cs="Times New Roman"/>
      <w:b/>
      <w:bCs/>
    </w:rPr>
  </w:style>
  <w:style w:type="paragraph" w:styleId="33">
    <w:name w:val="footer"/>
    <w:basedOn w:val="1"/>
    <w:link w:val="56"/>
    <w:unhideWhenUsed/>
    <w:uiPriority w:val="99"/>
    <w:pPr>
      <w:tabs>
        <w:tab w:val="center" w:pos="4252"/>
        <w:tab w:val="right" w:pos="8504"/>
      </w:tabs>
    </w:pPr>
  </w:style>
  <w:style w:type="paragraph" w:styleId="34">
    <w:name w:val="Document Map"/>
    <w:basedOn w:val="1"/>
    <w:link w:val="89"/>
    <w:qFormat/>
    <w:uiPriority w:val="0"/>
    <w:pPr>
      <w:shd w:val="clear" w:color="auto" w:fill="000080"/>
    </w:pPr>
    <w:rPr>
      <w:rFonts w:ascii="Tahoma" w:hAnsi="Tahoma" w:eastAsia="Times New Roman" w:cs="Tahoma"/>
      <w:szCs w:val="20"/>
    </w:rPr>
  </w:style>
  <w:style w:type="paragraph" w:styleId="35">
    <w:name w:val="caption"/>
    <w:basedOn w:val="1"/>
    <w:next w:val="1"/>
    <w:qFormat/>
    <w:uiPriority w:val="0"/>
    <w:pPr>
      <w:jc w:val="center"/>
    </w:pPr>
    <w:rPr>
      <w:rFonts w:ascii="Times New Roman" w:hAnsi="Times New Roman" w:eastAsia="Times New Roman" w:cs="Times New Roman"/>
      <w:color w:val="000000"/>
      <w:sz w:val="32"/>
      <w:lang w:eastAsia="zh-CN"/>
    </w:rPr>
  </w:style>
  <w:style w:type="paragraph" w:styleId="36">
    <w:name w:val="Body Text Indent 3"/>
    <w:basedOn w:val="1"/>
    <w:link w:val="84"/>
    <w:qFormat/>
    <w:uiPriority w:val="0"/>
    <w:pPr>
      <w:ind w:right="-1" w:firstLine="1418"/>
      <w:jc w:val="both"/>
    </w:pPr>
    <w:rPr>
      <w:rFonts w:ascii="Courier New" w:hAnsi="Courier New" w:eastAsia="Times New Roman" w:cs="Courier New"/>
      <w:color w:val="0000FF"/>
      <w:szCs w:val="20"/>
    </w:rPr>
  </w:style>
  <w:style w:type="paragraph" w:styleId="37">
    <w:name w:val="Balloon Text"/>
    <w:basedOn w:val="1"/>
    <w:link w:val="68"/>
    <w:unhideWhenUsed/>
    <w:qFormat/>
    <w:uiPriority w:val="99"/>
    <w:rPr>
      <w:rFonts w:ascii="Tahoma" w:hAnsi="Tahoma" w:eastAsia="Times New Roman" w:cs="Tahoma"/>
      <w:sz w:val="16"/>
      <w:szCs w:val="16"/>
    </w:rPr>
  </w:style>
  <w:style w:type="paragraph" w:styleId="38">
    <w:name w:val="Subtitle"/>
    <w:basedOn w:val="1"/>
    <w:next w:val="1"/>
    <w:link w:val="221"/>
    <w:qFormat/>
    <w:uiPriority w:val="99"/>
    <w:pPr>
      <w:spacing w:after="60"/>
      <w:jc w:val="center"/>
    </w:pPr>
    <w:rPr>
      <w:rFonts w:ascii="Cambria" w:hAnsi="Cambria" w:eastAsia="Cambria" w:cs="Cambria"/>
    </w:rPr>
  </w:style>
  <w:style w:type="paragraph" w:styleId="39">
    <w:name w:val="List 2"/>
    <w:basedOn w:val="1"/>
    <w:semiHidden/>
    <w:unhideWhenUsed/>
    <w:qFormat/>
    <w:uiPriority w:val="99"/>
    <w:pPr>
      <w:spacing w:before="100" w:beforeAutospacing="1" w:after="100" w:afterAutospacing="1"/>
    </w:pPr>
    <w:rPr>
      <w:rFonts w:ascii="Times New Roman" w:hAnsi="Times New Roman" w:eastAsia="Times New Roman" w:cs="Times New Roman"/>
    </w:rPr>
  </w:style>
  <w:style w:type="paragraph" w:styleId="40">
    <w:name w:val="toc 1"/>
    <w:basedOn w:val="1"/>
    <w:next w:val="1"/>
    <w:autoRedefine/>
    <w:semiHidden/>
    <w:qFormat/>
    <w:uiPriority w:val="0"/>
    <w:pPr>
      <w:tabs>
        <w:tab w:val="right" w:leader="dot" w:pos="8788"/>
      </w:tabs>
      <w:jc w:val="both"/>
    </w:pPr>
    <w:rPr>
      <w:rFonts w:ascii="Times New Roman" w:hAnsi="Times New Roman" w:eastAsia="Times New Roman" w:cs="Times New Roman"/>
      <w:szCs w:val="20"/>
    </w:rPr>
  </w:style>
  <w:style w:type="paragraph" w:styleId="41">
    <w:name w:val="Body Text Indent"/>
    <w:basedOn w:val="1"/>
    <w:link w:val="80"/>
    <w:qFormat/>
    <w:uiPriority w:val="0"/>
    <w:pPr>
      <w:ind w:left="3540"/>
      <w:jc w:val="both"/>
    </w:pPr>
    <w:rPr>
      <w:rFonts w:ascii="Microsoft Sans Serif" w:hAnsi="Microsoft Sans Serif" w:eastAsia="Times New Roman" w:cs="Microsoft Sans Serif"/>
      <w:i/>
      <w:iCs/>
    </w:rPr>
  </w:style>
  <w:style w:type="table" w:styleId="42">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
    <w:name w:val="Table Normal"/>
    <w:qFormat/>
    <w:uiPriority w:val="2"/>
    <w:tblPr>
      <w:tblCellMar>
        <w:top w:w="0" w:type="dxa"/>
        <w:left w:w="0" w:type="dxa"/>
        <w:bottom w:w="0" w:type="dxa"/>
        <w:right w:w="0" w:type="dxa"/>
      </w:tblCellMar>
    </w:tblPr>
  </w:style>
  <w:style w:type="table" w:customStyle="1" w:styleId="44">
    <w:name w:val="10"/>
    <w:basedOn w:val="43"/>
    <w:qFormat/>
    <w:uiPriority w:val="0"/>
    <w:pPr>
      <w:jc w:val="both"/>
    </w:pPr>
    <w:rPr>
      <w:rFonts w:ascii="Arial" w:hAnsi="Arial" w:eastAsia="Arial" w:cs="Arial"/>
    </w:rPr>
    <w:tblPr>
      <w:tblCellMar>
        <w:left w:w="108" w:type="dxa"/>
        <w:right w:w="108" w:type="dxa"/>
      </w:tblCellMar>
    </w:tblPr>
  </w:style>
  <w:style w:type="table" w:customStyle="1" w:styleId="45">
    <w:name w:val="9"/>
    <w:basedOn w:val="43"/>
    <w:qFormat/>
    <w:uiPriority w:val="0"/>
    <w:pPr>
      <w:jc w:val="both"/>
    </w:pPr>
    <w:rPr>
      <w:rFonts w:ascii="Arial" w:hAnsi="Arial" w:eastAsia="Arial" w:cs="Arial"/>
    </w:rPr>
    <w:tblPr>
      <w:tblCellMar>
        <w:left w:w="108" w:type="dxa"/>
        <w:right w:w="108" w:type="dxa"/>
      </w:tblCellMar>
    </w:tblPr>
  </w:style>
  <w:style w:type="table" w:customStyle="1" w:styleId="46">
    <w:name w:val="8"/>
    <w:basedOn w:val="43"/>
    <w:uiPriority w:val="0"/>
    <w:pPr>
      <w:jc w:val="both"/>
    </w:pPr>
    <w:rPr>
      <w:rFonts w:ascii="Arial" w:hAnsi="Arial" w:eastAsia="Arial" w:cs="Arial"/>
    </w:rPr>
    <w:tblPr>
      <w:tblCellMar>
        <w:left w:w="108" w:type="dxa"/>
        <w:right w:w="108" w:type="dxa"/>
      </w:tblCellMar>
    </w:tblPr>
  </w:style>
  <w:style w:type="table" w:customStyle="1" w:styleId="47">
    <w:name w:val="7"/>
    <w:basedOn w:val="43"/>
    <w:uiPriority w:val="0"/>
    <w:pPr>
      <w:jc w:val="both"/>
    </w:pPr>
    <w:rPr>
      <w:rFonts w:ascii="Arial" w:hAnsi="Arial" w:eastAsia="Arial" w:cs="Arial"/>
    </w:rPr>
    <w:tblPr>
      <w:tblCellMar>
        <w:left w:w="108" w:type="dxa"/>
        <w:right w:w="108" w:type="dxa"/>
      </w:tblCellMar>
    </w:tblPr>
  </w:style>
  <w:style w:type="table" w:customStyle="1" w:styleId="48">
    <w:name w:val="6"/>
    <w:basedOn w:val="43"/>
    <w:uiPriority w:val="0"/>
    <w:tblPr>
      <w:tblCellMar>
        <w:left w:w="70" w:type="dxa"/>
        <w:right w:w="70" w:type="dxa"/>
      </w:tblCellMar>
    </w:tblPr>
  </w:style>
  <w:style w:type="table" w:customStyle="1" w:styleId="49">
    <w:name w:val="5"/>
    <w:basedOn w:val="43"/>
    <w:qFormat/>
    <w:uiPriority w:val="0"/>
    <w:pPr>
      <w:jc w:val="both"/>
    </w:pPr>
    <w:rPr>
      <w:rFonts w:ascii="Arial" w:hAnsi="Arial" w:eastAsia="Arial" w:cs="Arial"/>
    </w:rPr>
    <w:tblPr>
      <w:tblCellMar>
        <w:left w:w="108" w:type="dxa"/>
        <w:right w:w="108" w:type="dxa"/>
      </w:tblCellMar>
    </w:tblPr>
  </w:style>
  <w:style w:type="table" w:customStyle="1" w:styleId="50">
    <w:name w:val="4"/>
    <w:basedOn w:val="43"/>
    <w:qFormat/>
    <w:uiPriority w:val="0"/>
    <w:tblPr>
      <w:tblCellMar>
        <w:left w:w="70" w:type="dxa"/>
        <w:right w:w="70" w:type="dxa"/>
      </w:tblCellMar>
    </w:tblPr>
  </w:style>
  <w:style w:type="table" w:customStyle="1" w:styleId="51">
    <w:name w:val="3"/>
    <w:basedOn w:val="43"/>
    <w:qFormat/>
    <w:uiPriority w:val="0"/>
    <w:pPr>
      <w:jc w:val="both"/>
    </w:pPr>
    <w:rPr>
      <w:rFonts w:ascii="Arial" w:hAnsi="Arial" w:eastAsia="Arial" w:cs="Arial"/>
    </w:rPr>
    <w:tblPr>
      <w:tblCellMar>
        <w:left w:w="108" w:type="dxa"/>
        <w:right w:w="108" w:type="dxa"/>
      </w:tblCellMar>
    </w:tblPr>
  </w:style>
  <w:style w:type="table" w:customStyle="1" w:styleId="52">
    <w:name w:val="2"/>
    <w:basedOn w:val="43"/>
    <w:qFormat/>
    <w:uiPriority w:val="0"/>
    <w:tblPr>
      <w:tblCellMar>
        <w:left w:w="70" w:type="dxa"/>
        <w:right w:w="70" w:type="dxa"/>
      </w:tblCellMar>
    </w:tblPr>
  </w:style>
  <w:style w:type="table" w:customStyle="1" w:styleId="53">
    <w:name w:val="1"/>
    <w:basedOn w:val="43"/>
    <w:uiPriority w:val="0"/>
    <w:pPr>
      <w:jc w:val="both"/>
    </w:pPr>
    <w:rPr>
      <w:rFonts w:ascii="Arial" w:hAnsi="Arial" w:eastAsia="Arial" w:cs="Arial"/>
    </w:rPr>
    <w:tblPr>
      <w:tblCellMar>
        <w:left w:w="108" w:type="dxa"/>
        <w:right w:w="108" w:type="dxa"/>
      </w:tblCellMar>
    </w:tblPr>
  </w:style>
  <w:style w:type="paragraph" w:customStyle="1" w:styleId="54">
    <w:name w:val="Padrão"/>
    <w:qFormat/>
    <w:uiPriority w:val="99"/>
    <w:rPr>
      <w:rFonts w:ascii="Times New Roman" w:hAnsi="Times New Roman" w:eastAsia="Times New Roman" w:cs="Times New Roman"/>
      <w:snapToGrid w:val="0"/>
      <w:sz w:val="24"/>
      <w:szCs w:val="20"/>
      <w:lang w:val="pt-BR" w:eastAsia="pt-BR" w:bidi="ar-SA"/>
    </w:rPr>
  </w:style>
  <w:style w:type="character" w:customStyle="1" w:styleId="55">
    <w:name w:val="Cabeçalho Char"/>
    <w:basedOn w:val="11"/>
    <w:link w:val="31"/>
    <w:qFormat/>
    <w:uiPriority w:val="99"/>
  </w:style>
  <w:style w:type="character" w:customStyle="1" w:styleId="56">
    <w:name w:val="Rodapé Char"/>
    <w:basedOn w:val="11"/>
    <w:link w:val="33"/>
    <w:qFormat/>
    <w:uiPriority w:val="99"/>
  </w:style>
  <w:style w:type="paragraph" w:styleId="57">
    <w:name w:val="Quote"/>
    <w:basedOn w:val="1"/>
    <w:next w:val="1"/>
    <w:link w:val="58"/>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 w:val="20"/>
      <w:lang w:eastAsia="en-US"/>
    </w:rPr>
  </w:style>
  <w:style w:type="character" w:customStyle="1" w:styleId="58">
    <w:name w:val="Citação Char"/>
    <w:basedOn w:val="11"/>
    <w:link w:val="57"/>
    <w:qFormat/>
    <w:uiPriority w:val="0"/>
    <w:rPr>
      <w:rFonts w:ascii="Arial" w:hAnsi="Arial" w:eastAsia="Calibri" w:cs="Tahoma"/>
      <w:i/>
      <w:iCs/>
      <w:color w:val="000000"/>
      <w:sz w:val="20"/>
      <w:shd w:val="clear" w:color="auto" w:fill="FFFFCC"/>
      <w:lang w:eastAsia="en-US"/>
    </w:rPr>
  </w:style>
  <w:style w:type="paragraph" w:customStyle="1" w:styleId="59">
    <w:name w:val="padrao"/>
    <w:basedOn w:val="1"/>
    <w:uiPriority w:val="0"/>
    <w:pPr>
      <w:spacing w:before="100" w:beforeAutospacing="1" w:after="100" w:afterAutospacing="1"/>
    </w:pPr>
    <w:rPr>
      <w:rFonts w:ascii="Times New Roman" w:hAnsi="Times New Roman" w:eastAsia="Times New Roman" w:cs="Times New Roman"/>
    </w:rPr>
  </w:style>
  <w:style w:type="character" w:customStyle="1" w:styleId="60">
    <w:name w:val="Link da Internet"/>
    <w:qFormat/>
    <w:uiPriority w:val="99"/>
    <w:rPr>
      <w:color w:val="0000FF"/>
      <w:u w:val="single"/>
    </w:rPr>
  </w:style>
  <w:style w:type="paragraph" w:styleId="61">
    <w:name w:val="List Paragraph"/>
    <w:basedOn w:val="1"/>
    <w:link w:val="74"/>
    <w:qFormat/>
    <w:uiPriority w:val="34"/>
    <w:pPr>
      <w:ind w:left="720"/>
      <w:contextualSpacing/>
    </w:pPr>
  </w:style>
  <w:style w:type="character" w:customStyle="1" w:styleId="62">
    <w:name w:val="Menção Pendente1"/>
    <w:basedOn w:val="11"/>
    <w:semiHidden/>
    <w:unhideWhenUsed/>
    <w:qFormat/>
    <w:uiPriority w:val="99"/>
    <w:rPr>
      <w:color w:val="605E5C"/>
      <w:shd w:val="clear" w:color="auto" w:fill="E1DFDD"/>
    </w:rPr>
  </w:style>
  <w:style w:type="character" w:customStyle="1" w:styleId="63">
    <w:name w:val="Título 7 Char"/>
    <w:basedOn w:val="11"/>
    <w:link w:val="8"/>
    <w:qFormat/>
    <w:uiPriority w:val="0"/>
    <w:rPr>
      <w:rFonts w:ascii="Times New Roman" w:hAnsi="Times New Roman" w:eastAsia="Times New Roman" w:cs="Times New Roman"/>
      <w:i/>
      <w:iCs/>
      <w:sz w:val="20"/>
      <w:szCs w:val="20"/>
    </w:rPr>
  </w:style>
  <w:style w:type="character" w:customStyle="1" w:styleId="64">
    <w:name w:val="Título 8 Char"/>
    <w:basedOn w:val="11"/>
    <w:link w:val="9"/>
    <w:qFormat/>
    <w:uiPriority w:val="0"/>
    <w:rPr>
      <w:rFonts w:ascii="Courier New" w:hAnsi="Courier New" w:eastAsia="Times New Roman" w:cs="Courier New"/>
      <w:b/>
      <w:bCs/>
      <w:sz w:val="36"/>
      <w:szCs w:val="20"/>
    </w:rPr>
  </w:style>
  <w:style w:type="character" w:customStyle="1" w:styleId="65">
    <w:name w:val="Título 9 Char"/>
    <w:basedOn w:val="11"/>
    <w:link w:val="10"/>
    <w:qFormat/>
    <w:uiPriority w:val="0"/>
    <w:rPr>
      <w:rFonts w:ascii="Courier New" w:hAnsi="Courier New" w:eastAsia="Times New Roman" w:cs="Courier New"/>
      <w:i/>
      <w:szCs w:val="20"/>
    </w:rPr>
  </w:style>
  <w:style w:type="character" w:customStyle="1" w:styleId="66">
    <w:name w:val="Título 1 Char"/>
    <w:basedOn w:val="11"/>
    <w:link w:val="2"/>
    <w:qFormat/>
    <w:uiPriority w:val="1"/>
    <w:rPr>
      <w:rFonts w:ascii="Calibri" w:hAnsi="Calibri" w:eastAsia="Calibri" w:cs="Calibri"/>
      <w:b/>
      <w:color w:val="366091"/>
      <w:sz w:val="28"/>
      <w:szCs w:val="28"/>
    </w:rPr>
  </w:style>
  <w:style w:type="character" w:customStyle="1" w:styleId="67">
    <w:name w:val="Corpo de texto Char"/>
    <w:basedOn w:val="11"/>
    <w:link w:val="20"/>
    <w:qFormat/>
    <w:uiPriority w:val="1"/>
    <w:rPr>
      <w:rFonts w:ascii="Arial" w:hAnsi="Arial" w:eastAsia="Times New Roman" w:cs="Arial"/>
      <w:color w:val="0000FF"/>
    </w:rPr>
  </w:style>
  <w:style w:type="character" w:customStyle="1" w:styleId="68">
    <w:name w:val="Texto de balão Char"/>
    <w:basedOn w:val="11"/>
    <w:link w:val="37"/>
    <w:qFormat/>
    <w:uiPriority w:val="99"/>
    <w:rPr>
      <w:rFonts w:ascii="Tahoma" w:hAnsi="Tahoma" w:eastAsia="Times New Roman" w:cs="Tahoma"/>
      <w:sz w:val="16"/>
      <w:szCs w:val="16"/>
    </w:rPr>
  </w:style>
  <w:style w:type="paragraph" w:styleId="69">
    <w:name w:val="No Spacing"/>
    <w:link w:val="358"/>
    <w:qFormat/>
    <w:uiPriority w:val="1"/>
    <w:rPr>
      <w:rFonts w:ascii="Calibri" w:hAnsi="Calibri" w:eastAsia="Calibri" w:cs="Times New Roman"/>
      <w:sz w:val="24"/>
      <w:szCs w:val="24"/>
      <w:lang w:val="pt-BR" w:eastAsia="pt-BR" w:bidi="ar-SA"/>
    </w:rPr>
  </w:style>
  <w:style w:type="paragraph" w:customStyle="1" w:styleId="70">
    <w:name w:val="Nivel 01"/>
    <w:basedOn w:val="2"/>
    <w:next w:val="1"/>
    <w:link w:val="71"/>
    <w:qFormat/>
    <w:uiPriority w:val="0"/>
    <w:pPr>
      <w:tabs>
        <w:tab w:val="left" w:pos="567"/>
      </w:tabs>
      <w:spacing w:before="240"/>
      <w:jc w:val="both"/>
    </w:pPr>
    <w:rPr>
      <w:rFonts w:ascii="Ecofont_Spranq_eco_Sans" w:hAnsi="Ecofont_Spranq_eco_Sans" w:cs="Times New Roman" w:eastAsiaTheme="majorEastAsia"/>
      <w:bCs/>
      <w:color w:val="000000"/>
      <w:sz w:val="20"/>
      <w:szCs w:val="20"/>
    </w:rPr>
  </w:style>
  <w:style w:type="character" w:customStyle="1" w:styleId="71">
    <w:name w:val="Nivel 01 Char"/>
    <w:basedOn w:val="11"/>
    <w:link w:val="70"/>
    <w:qFormat/>
    <w:uiPriority w:val="0"/>
    <w:rPr>
      <w:rFonts w:cs="Times New Roman" w:eastAsiaTheme="majorEastAsia"/>
      <w:b/>
      <w:bCs/>
      <w:color w:val="000000"/>
      <w:sz w:val="20"/>
      <w:szCs w:val="20"/>
    </w:rPr>
  </w:style>
  <w:style w:type="paragraph" w:customStyle="1" w:styleId="72">
    <w:name w:val="Default"/>
    <w:qFormat/>
    <w:uiPriority w:val="99"/>
    <w:pPr>
      <w:autoSpaceDE w:val="0"/>
      <w:autoSpaceDN w:val="0"/>
      <w:adjustRightInd w:val="0"/>
    </w:pPr>
    <w:rPr>
      <w:rFonts w:ascii="Times New Roman" w:hAnsi="Times New Roman" w:eastAsia="Times New Roman" w:cs="Times New Roman"/>
      <w:color w:val="000000"/>
      <w:sz w:val="24"/>
      <w:szCs w:val="24"/>
      <w:lang w:val="pt-BR" w:eastAsia="pt-BR" w:bidi="ar-SA"/>
    </w:rPr>
  </w:style>
  <w:style w:type="table" w:customStyle="1" w:styleId="73">
    <w:name w:val="Tabela com grade1"/>
    <w:basedOn w:val="12"/>
    <w:qFormat/>
    <w:uiPriority w:val="39"/>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4">
    <w:name w:val="Parágrafo da Lista Char"/>
    <w:link w:val="61"/>
    <w:qFormat/>
    <w:locked/>
    <w:uiPriority w:val="34"/>
  </w:style>
  <w:style w:type="character" w:customStyle="1" w:styleId="75">
    <w:name w:val="Título 2 Char"/>
    <w:basedOn w:val="11"/>
    <w:link w:val="3"/>
    <w:qFormat/>
    <w:uiPriority w:val="0"/>
    <w:rPr>
      <w:rFonts w:ascii="Times New Roman" w:hAnsi="Times New Roman" w:eastAsia="Times New Roman" w:cs="Times New Roman"/>
      <w:b/>
      <w:color w:val="000000"/>
    </w:rPr>
  </w:style>
  <w:style w:type="character" w:customStyle="1" w:styleId="76">
    <w:name w:val="Título 3 Char"/>
    <w:basedOn w:val="11"/>
    <w:link w:val="4"/>
    <w:qFormat/>
    <w:uiPriority w:val="0"/>
    <w:rPr>
      <w:rFonts w:ascii="Cambria" w:hAnsi="Cambria" w:eastAsia="Cambria" w:cs="Cambria"/>
      <w:b/>
      <w:sz w:val="26"/>
      <w:szCs w:val="26"/>
    </w:rPr>
  </w:style>
  <w:style w:type="character" w:customStyle="1" w:styleId="77">
    <w:name w:val="Título 4 Char"/>
    <w:basedOn w:val="11"/>
    <w:link w:val="5"/>
    <w:qFormat/>
    <w:uiPriority w:val="0"/>
    <w:rPr>
      <w:rFonts w:ascii="Calibri" w:hAnsi="Calibri" w:eastAsia="Calibri" w:cs="Calibri"/>
      <w:i/>
      <w:color w:val="366091"/>
    </w:rPr>
  </w:style>
  <w:style w:type="character" w:customStyle="1" w:styleId="78">
    <w:name w:val="Título 5 Char"/>
    <w:basedOn w:val="11"/>
    <w:link w:val="6"/>
    <w:qFormat/>
    <w:uiPriority w:val="0"/>
    <w:rPr>
      <w:rFonts w:ascii="Times New Roman" w:hAnsi="Times New Roman" w:eastAsia="Times New Roman" w:cs="Times New Roman"/>
      <w:b/>
      <w:sz w:val="20"/>
      <w:szCs w:val="20"/>
    </w:rPr>
  </w:style>
  <w:style w:type="character" w:customStyle="1" w:styleId="79">
    <w:name w:val="Título 6 Char"/>
    <w:basedOn w:val="11"/>
    <w:link w:val="7"/>
    <w:qFormat/>
    <w:uiPriority w:val="0"/>
    <w:rPr>
      <w:rFonts w:ascii="Georgia" w:hAnsi="Georgia" w:eastAsia="Georgia" w:cs="Georgia"/>
      <w:b/>
      <w:sz w:val="28"/>
      <w:szCs w:val="28"/>
    </w:rPr>
  </w:style>
  <w:style w:type="character" w:customStyle="1" w:styleId="80">
    <w:name w:val="Recuo de corpo de texto Char"/>
    <w:basedOn w:val="11"/>
    <w:link w:val="41"/>
    <w:qFormat/>
    <w:uiPriority w:val="0"/>
    <w:rPr>
      <w:rFonts w:ascii="Microsoft Sans Serif" w:hAnsi="Microsoft Sans Serif" w:eastAsia="Times New Roman" w:cs="Microsoft Sans Serif"/>
      <w:i/>
      <w:iCs/>
    </w:rPr>
  </w:style>
  <w:style w:type="character" w:customStyle="1" w:styleId="81">
    <w:name w:val="Corpo de texto 2 Char"/>
    <w:basedOn w:val="11"/>
    <w:link w:val="30"/>
    <w:qFormat/>
    <w:uiPriority w:val="0"/>
    <w:rPr>
      <w:rFonts w:ascii="Microsoft Sans Serif" w:hAnsi="Microsoft Sans Serif" w:eastAsia="Times New Roman" w:cs="Microsoft Sans Serif"/>
      <w:color w:val="FF0000"/>
    </w:rPr>
  </w:style>
  <w:style w:type="character" w:customStyle="1" w:styleId="82">
    <w:name w:val="Título Char"/>
    <w:basedOn w:val="11"/>
    <w:link w:val="24"/>
    <w:qFormat/>
    <w:uiPriority w:val="99"/>
    <w:rPr>
      <w:rFonts w:ascii="Calibri" w:hAnsi="Calibri" w:eastAsia="Calibri" w:cs="Calibri"/>
      <w:color w:val="17365D"/>
      <w:sz w:val="52"/>
      <w:szCs w:val="52"/>
    </w:rPr>
  </w:style>
  <w:style w:type="character" w:customStyle="1" w:styleId="83">
    <w:name w:val="Recuo de corpo de texto 2 Char"/>
    <w:basedOn w:val="11"/>
    <w:link w:val="23"/>
    <w:qFormat/>
    <w:uiPriority w:val="0"/>
    <w:rPr>
      <w:rFonts w:ascii="Times New Roman" w:hAnsi="Times New Roman" w:eastAsia="Times New Roman" w:cs="Times New Roman"/>
      <w:sz w:val="20"/>
      <w:szCs w:val="20"/>
    </w:rPr>
  </w:style>
  <w:style w:type="character" w:customStyle="1" w:styleId="84">
    <w:name w:val="Recuo de corpo de texto 3 Char"/>
    <w:basedOn w:val="11"/>
    <w:link w:val="36"/>
    <w:qFormat/>
    <w:uiPriority w:val="0"/>
    <w:rPr>
      <w:rFonts w:ascii="Courier New" w:hAnsi="Courier New" w:eastAsia="Times New Roman" w:cs="Courier New"/>
      <w:color w:val="0000FF"/>
      <w:szCs w:val="20"/>
    </w:rPr>
  </w:style>
  <w:style w:type="character" w:customStyle="1" w:styleId="85">
    <w:name w:val="Corpo de texto 3 Char"/>
    <w:basedOn w:val="11"/>
    <w:link w:val="29"/>
    <w:qFormat/>
    <w:uiPriority w:val="0"/>
    <w:rPr>
      <w:rFonts w:ascii="Times New Roman" w:hAnsi="Times New Roman" w:eastAsia="Times New Roman" w:cs="Times New Roman"/>
      <w:color w:val="FF0000"/>
      <w:szCs w:val="20"/>
    </w:rPr>
  </w:style>
  <w:style w:type="paragraph" w:customStyle="1" w:styleId="86">
    <w:name w:val="Corpo de texto 31"/>
    <w:basedOn w:val="1"/>
    <w:qFormat/>
    <w:uiPriority w:val="99"/>
    <w:pPr>
      <w:widowControl w:val="0"/>
      <w:jc w:val="both"/>
    </w:pPr>
    <w:rPr>
      <w:rFonts w:ascii="Times New Roman" w:hAnsi="Times New Roman" w:eastAsia="Times New Roman" w:cs="Times New Roman"/>
      <w:sz w:val="20"/>
      <w:szCs w:val="20"/>
    </w:rPr>
  </w:style>
  <w:style w:type="paragraph" w:customStyle="1" w:styleId="87">
    <w:name w:val="modelo2"/>
    <w:basedOn w:val="1"/>
    <w:qFormat/>
    <w:uiPriority w:val="0"/>
    <w:pPr>
      <w:ind w:left="426" w:right="-801" w:hanging="426"/>
      <w:jc w:val="both"/>
    </w:pPr>
    <w:rPr>
      <w:rFonts w:ascii="Arial" w:hAnsi="Arial" w:eastAsia="Times New Roman" w:cs="Times New Roman"/>
      <w:szCs w:val="20"/>
    </w:rPr>
  </w:style>
  <w:style w:type="paragraph" w:customStyle="1" w:styleId="88">
    <w:name w:val="Normal+Arial"/>
    <w:basedOn w:val="41"/>
    <w:qFormat/>
    <w:uiPriority w:val="0"/>
    <w:pPr>
      <w:ind w:left="0" w:right="-427"/>
      <w:jc w:val="left"/>
    </w:pPr>
    <w:rPr>
      <w:rFonts w:ascii="Arial" w:hAnsi="Arial" w:cs="Arial"/>
      <w:i w:val="0"/>
      <w:iCs w:val="0"/>
      <w:sz w:val="22"/>
      <w:szCs w:val="22"/>
    </w:rPr>
  </w:style>
  <w:style w:type="character" w:customStyle="1" w:styleId="89">
    <w:name w:val="Mapa do Documento Char"/>
    <w:basedOn w:val="11"/>
    <w:link w:val="34"/>
    <w:qFormat/>
    <w:uiPriority w:val="0"/>
    <w:rPr>
      <w:rFonts w:ascii="Tahoma" w:hAnsi="Tahoma" w:eastAsia="Times New Roman" w:cs="Tahoma"/>
      <w:szCs w:val="20"/>
      <w:shd w:val="clear" w:color="auto" w:fill="000080"/>
    </w:rPr>
  </w:style>
  <w:style w:type="paragraph" w:customStyle="1" w:styleId="90">
    <w:name w:val="font5"/>
    <w:basedOn w:val="1"/>
    <w:uiPriority w:val="0"/>
    <w:pPr>
      <w:spacing w:before="100" w:beforeAutospacing="1" w:after="100" w:afterAutospacing="1"/>
    </w:pPr>
    <w:rPr>
      <w:rFonts w:ascii="Calibri" w:hAnsi="Calibri" w:eastAsia="Times New Roman" w:cs="Calibri"/>
      <w:b/>
      <w:bCs/>
      <w:color w:val="000000"/>
      <w:sz w:val="20"/>
      <w:szCs w:val="20"/>
    </w:rPr>
  </w:style>
  <w:style w:type="paragraph" w:customStyle="1" w:styleId="91">
    <w:name w:val="font6"/>
    <w:basedOn w:val="1"/>
    <w:qFormat/>
    <w:uiPriority w:val="0"/>
    <w:pPr>
      <w:spacing w:before="100" w:beforeAutospacing="1" w:after="100" w:afterAutospacing="1"/>
    </w:pPr>
    <w:rPr>
      <w:rFonts w:ascii="Calibri" w:hAnsi="Calibri" w:eastAsia="Times New Roman" w:cs="Calibri"/>
      <w:color w:val="333333"/>
      <w:sz w:val="20"/>
      <w:szCs w:val="20"/>
    </w:rPr>
  </w:style>
  <w:style w:type="paragraph" w:customStyle="1" w:styleId="92">
    <w:name w:val="xl6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color w:val="000000"/>
      <w:sz w:val="20"/>
      <w:szCs w:val="20"/>
    </w:rPr>
  </w:style>
  <w:style w:type="paragraph" w:customStyle="1" w:styleId="93">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color w:val="000000"/>
      <w:sz w:val="20"/>
      <w:szCs w:val="20"/>
    </w:rPr>
  </w:style>
  <w:style w:type="paragraph" w:customStyle="1" w:styleId="94">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color w:val="000000"/>
      <w:sz w:val="20"/>
      <w:szCs w:val="20"/>
    </w:rPr>
  </w:style>
  <w:style w:type="paragraph" w:customStyle="1" w:styleId="95">
    <w:name w:val="xl6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color w:val="000000"/>
      <w:sz w:val="18"/>
      <w:szCs w:val="18"/>
    </w:rPr>
  </w:style>
  <w:style w:type="paragraph" w:customStyle="1" w:styleId="96">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color w:val="000000"/>
      <w:sz w:val="18"/>
      <w:szCs w:val="18"/>
    </w:rPr>
  </w:style>
  <w:style w:type="paragraph" w:customStyle="1" w:styleId="97">
    <w:name w:val="xl6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color w:val="000000"/>
      <w:sz w:val="18"/>
      <w:szCs w:val="18"/>
    </w:rPr>
  </w:style>
  <w:style w:type="paragraph" w:customStyle="1" w:styleId="98">
    <w:name w:val="xl6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b/>
      <w:bCs/>
      <w:color w:val="000000"/>
      <w:sz w:val="18"/>
      <w:szCs w:val="18"/>
    </w:rPr>
  </w:style>
  <w:style w:type="paragraph" w:customStyle="1" w:styleId="99">
    <w:name w:val="xl7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b/>
      <w:bCs/>
      <w:color w:val="000000"/>
      <w:sz w:val="18"/>
      <w:szCs w:val="18"/>
    </w:rPr>
  </w:style>
  <w:style w:type="paragraph" w:customStyle="1" w:styleId="100">
    <w:name w:val="xl7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color w:val="000000"/>
      <w:sz w:val="18"/>
      <w:szCs w:val="18"/>
    </w:rPr>
  </w:style>
  <w:style w:type="paragraph" w:customStyle="1" w:styleId="101">
    <w:name w:val="xl7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02">
    <w:name w:val="xl7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18"/>
      <w:szCs w:val="18"/>
    </w:rPr>
  </w:style>
  <w:style w:type="paragraph" w:customStyle="1" w:styleId="103">
    <w:name w:val="xl7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sz w:val="18"/>
      <w:szCs w:val="18"/>
    </w:rPr>
  </w:style>
  <w:style w:type="paragraph" w:customStyle="1" w:styleId="104">
    <w:name w:val="xl7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sz w:val="18"/>
      <w:szCs w:val="18"/>
    </w:rPr>
  </w:style>
  <w:style w:type="paragraph" w:customStyle="1" w:styleId="105">
    <w:name w:val="xl7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b/>
      <w:bCs/>
      <w:sz w:val="18"/>
      <w:szCs w:val="18"/>
    </w:rPr>
  </w:style>
  <w:style w:type="paragraph" w:customStyle="1" w:styleId="106">
    <w:name w:val="xl7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07">
    <w:name w:val="xl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b/>
      <w:bCs/>
      <w:color w:val="000000"/>
      <w:sz w:val="20"/>
      <w:szCs w:val="20"/>
    </w:rPr>
  </w:style>
  <w:style w:type="paragraph" w:customStyle="1" w:styleId="108">
    <w:name w:val="xl7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color w:val="000000"/>
      <w:sz w:val="16"/>
      <w:szCs w:val="16"/>
    </w:rPr>
  </w:style>
  <w:style w:type="paragraph" w:customStyle="1" w:styleId="109">
    <w:name w:val="xl8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color w:val="000000"/>
      <w:sz w:val="20"/>
      <w:szCs w:val="20"/>
    </w:rPr>
  </w:style>
  <w:style w:type="paragraph" w:customStyle="1" w:styleId="110">
    <w:name w:val="xl8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b/>
      <w:bCs/>
      <w:color w:val="000000"/>
      <w:sz w:val="18"/>
      <w:szCs w:val="18"/>
    </w:rPr>
  </w:style>
  <w:style w:type="paragraph" w:customStyle="1" w:styleId="111">
    <w:name w:val="xl8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rPr>
  </w:style>
  <w:style w:type="paragraph" w:customStyle="1" w:styleId="112">
    <w:name w:val="xl83"/>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rPr>
  </w:style>
  <w:style w:type="paragraph" w:customStyle="1" w:styleId="113">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rPr>
  </w:style>
  <w:style w:type="paragraph" w:customStyle="1" w:styleId="114">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color w:val="000000"/>
      <w:sz w:val="20"/>
      <w:szCs w:val="20"/>
    </w:rPr>
  </w:style>
  <w:style w:type="paragraph" w:customStyle="1" w:styleId="115">
    <w:name w:val="xl86"/>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color w:val="000000"/>
      <w:sz w:val="20"/>
      <w:szCs w:val="20"/>
    </w:rPr>
  </w:style>
  <w:style w:type="paragraph" w:customStyle="1" w:styleId="116">
    <w:name w:val="xl8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color w:val="000000"/>
      <w:sz w:val="16"/>
      <w:szCs w:val="16"/>
    </w:rPr>
  </w:style>
  <w:style w:type="paragraph" w:customStyle="1" w:styleId="117">
    <w:name w:val="xl8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color w:val="000000"/>
      <w:sz w:val="16"/>
      <w:szCs w:val="16"/>
    </w:rPr>
  </w:style>
  <w:style w:type="paragraph" w:customStyle="1" w:styleId="118">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sz w:val="18"/>
      <w:szCs w:val="18"/>
    </w:rPr>
  </w:style>
  <w:style w:type="paragraph" w:customStyle="1" w:styleId="119">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rPr>
  </w:style>
  <w:style w:type="paragraph" w:customStyle="1" w:styleId="120">
    <w:name w:val="xl9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b/>
      <w:bCs/>
      <w:color w:val="000000"/>
      <w:sz w:val="18"/>
      <w:szCs w:val="18"/>
    </w:rPr>
  </w:style>
  <w:style w:type="paragraph" w:customStyle="1" w:styleId="121">
    <w:name w:val="xl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22">
    <w:name w:val="xl9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Times New Roman" w:hAnsi="Times New Roman" w:eastAsia="Times New Roman" w:cs="Times New Roman"/>
      <w:b/>
      <w:bCs/>
      <w:color w:val="000000"/>
      <w:sz w:val="20"/>
      <w:szCs w:val="20"/>
    </w:rPr>
  </w:style>
  <w:style w:type="paragraph" w:customStyle="1" w:styleId="123">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color w:val="000000"/>
      <w:sz w:val="20"/>
      <w:szCs w:val="20"/>
    </w:rPr>
  </w:style>
  <w:style w:type="paragraph" w:customStyle="1" w:styleId="124">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25">
    <w:name w:val="xl9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top"/>
    </w:pPr>
    <w:rPr>
      <w:rFonts w:ascii="Times New Roman" w:hAnsi="Times New Roman" w:eastAsia="Times New Roman" w:cs="Times New Roman"/>
      <w:b/>
      <w:bCs/>
      <w:sz w:val="28"/>
      <w:szCs w:val="28"/>
    </w:rPr>
  </w:style>
  <w:style w:type="paragraph" w:customStyle="1" w:styleId="126">
    <w:name w:val="xl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27">
    <w:name w:val="xl9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28">
    <w:name w:val="xl9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sz w:val="18"/>
      <w:szCs w:val="18"/>
    </w:rPr>
  </w:style>
  <w:style w:type="paragraph" w:customStyle="1" w:styleId="129">
    <w:name w:val="xl100"/>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rPr>
  </w:style>
  <w:style w:type="paragraph" w:customStyle="1" w:styleId="130">
    <w:name w:val="xl101"/>
    <w:basedOn w:val="1"/>
    <w:qFormat/>
    <w:uiPriority w:val="0"/>
    <w:pPr>
      <w:pBdr>
        <w:top w:val="single" w:color="auto" w:sz="4" w:space="0"/>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rPr>
  </w:style>
  <w:style w:type="paragraph" w:customStyle="1" w:styleId="131">
    <w:name w:val="xl10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rPr>
  </w:style>
  <w:style w:type="paragraph" w:customStyle="1" w:styleId="132">
    <w:name w:val="xl10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33">
    <w:name w:val="xl104"/>
    <w:basedOn w:val="1"/>
    <w:uiPriority w:val="0"/>
    <w:pPr>
      <w:pBdr>
        <w:top w:val="single" w:color="auto" w:sz="4" w:space="0"/>
        <w:bottom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34">
    <w:name w:val="xl105"/>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b/>
      <w:bCs/>
    </w:rPr>
  </w:style>
  <w:style w:type="paragraph" w:customStyle="1" w:styleId="135">
    <w:name w:val="xl106"/>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36">
    <w:name w:val="xl10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37">
    <w:name w:val="xl10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color w:val="000000"/>
      <w:sz w:val="16"/>
      <w:szCs w:val="16"/>
    </w:rPr>
  </w:style>
  <w:style w:type="paragraph" w:customStyle="1" w:styleId="138">
    <w:name w:val="xl10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b/>
      <w:bCs/>
      <w:color w:val="000000"/>
      <w:sz w:val="20"/>
      <w:szCs w:val="20"/>
    </w:rPr>
  </w:style>
  <w:style w:type="paragraph" w:customStyle="1" w:styleId="139">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Times New Roman" w:hAnsi="Times New Roman" w:eastAsia="Times New Roman" w:cs="Times New Roman"/>
      <w:b/>
      <w:bCs/>
      <w:color w:val="000000"/>
      <w:sz w:val="18"/>
      <w:szCs w:val="18"/>
    </w:rPr>
  </w:style>
  <w:style w:type="paragraph" w:customStyle="1" w:styleId="140">
    <w:name w:val="xl11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Times New Roman" w:hAnsi="Times New Roman" w:eastAsia="Times New Roman" w:cs="Times New Roman"/>
      <w:b/>
      <w:bCs/>
      <w:color w:val="000000"/>
      <w:sz w:val="20"/>
      <w:szCs w:val="20"/>
    </w:rPr>
  </w:style>
  <w:style w:type="paragraph" w:customStyle="1" w:styleId="141">
    <w:name w:val="xl11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color w:val="000000"/>
      <w:sz w:val="20"/>
      <w:szCs w:val="20"/>
    </w:rPr>
  </w:style>
  <w:style w:type="paragraph" w:customStyle="1" w:styleId="142">
    <w:name w:val="xl113"/>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eastAsia="Times New Roman" w:cs="Times New Roman"/>
      <w:b/>
      <w:bCs/>
      <w:color w:val="000000"/>
      <w:sz w:val="16"/>
      <w:szCs w:val="16"/>
    </w:rPr>
  </w:style>
  <w:style w:type="paragraph" w:customStyle="1" w:styleId="143">
    <w:name w:val="xl11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rPr>
  </w:style>
  <w:style w:type="paragraph" w:customStyle="1" w:styleId="144">
    <w:name w:val="xl11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sz w:val="16"/>
      <w:szCs w:val="16"/>
    </w:rPr>
  </w:style>
  <w:style w:type="paragraph" w:customStyle="1" w:styleId="145">
    <w:name w:val="xl116"/>
    <w:basedOn w:val="1"/>
    <w:uiPriority w:val="0"/>
    <w:pPr>
      <w:pBdr>
        <w:top w:val="single" w:color="auto" w:sz="4" w:space="0"/>
        <w:bottom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sz w:val="16"/>
      <w:szCs w:val="16"/>
    </w:rPr>
  </w:style>
  <w:style w:type="paragraph" w:customStyle="1" w:styleId="146">
    <w:name w:val="xl1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eastAsia="Times New Roman" w:cs="Times New Roman"/>
      <w:sz w:val="16"/>
      <w:szCs w:val="16"/>
    </w:rPr>
  </w:style>
  <w:style w:type="paragraph" w:customStyle="1" w:styleId="147">
    <w:name w:val="xl11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Times New Roman" w:hAnsi="Times New Roman" w:eastAsia="Times New Roman" w:cs="Times New Roman"/>
      <w:b/>
      <w:bCs/>
    </w:rPr>
  </w:style>
  <w:style w:type="paragraph" w:customStyle="1" w:styleId="148">
    <w:name w:val="xl119"/>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sz w:val="18"/>
      <w:szCs w:val="18"/>
    </w:rPr>
  </w:style>
  <w:style w:type="paragraph" w:customStyle="1" w:styleId="149">
    <w:name w:val="xl120"/>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18"/>
      <w:szCs w:val="18"/>
    </w:rPr>
  </w:style>
  <w:style w:type="paragraph" w:customStyle="1" w:styleId="150">
    <w:name w:val="xl121"/>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sz w:val="18"/>
      <w:szCs w:val="18"/>
    </w:rPr>
  </w:style>
  <w:style w:type="paragraph" w:customStyle="1" w:styleId="151">
    <w:name w:val="xl122"/>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18"/>
      <w:szCs w:val="18"/>
    </w:rPr>
  </w:style>
  <w:style w:type="paragraph" w:customStyle="1" w:styleId="152">
    <w:name w:val="xl123"/>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sz w:val="18"/>
      <w:szCs w:val="18"/>
    </w:rPr>
  </w:style>
  <w:style w:type="paragraph" w:customStyle="1" w:styleId="153">
    <w:name w:val="xl12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18"/>
      <w:szCs w:val="18"/>
    </w:rPr>
  </w:style>
  <w:style w:type="paragraph" w:customStyle="1" w:styleId="154">
    <w:name w:val="xl125"/>
    <w:basedOn w:val="1"/>
    <w:qFormat/>
    <w:uiPriority w:val="0"/>
    <w:pP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55">
    <w:name w:val="xl126"/>
    <w:basedOn w:val="1"/>
    <w:uiPriority w:val="0"/>
    <w:pPr>
      <w:pBdr>
        <w:lef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56">
    <w:name w:val="xl127"/>
    <w:basedOn w:val="1"/>
    <w:qFormat/>
    <w:uiPriority w:val="0"/>
    <w:pP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57">
    <w:name w:val="xl128"/>
    <w:basedOn w:val="1"/>
    <w:qFormat/>
    <w:uiPriority w:val="0"/>
    <w:pPr>
      <w:pBdr>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58">
    <w:name w:val="xl129"/>
    <w:basedOn w:val="1"/>
    <w:uiPriority w:val="0"/>
    <w:pPr>
      <w:pBdr>
        <w:left w:val="single" w:color="auto" w:sz="4" w:space="0"/>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59">
    <w:name w:val="xl130"/>
    <w:basedOn w:val="1"/>
    <w:qFormat/>
    <w:uiPriority w:val="0"/>
    <w:pPr>
      <w:pBdr>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60">
    <w:name w:val="xl131"/>
    <w:basedOn w:val="1"/>
    <w:qFormat/>
    <w:uiPriority w:val="0"/>
    <w:pPr>
      <w:pBdr>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rPr>
  </w:style>
  <w:style w:type="paragraph" w:customStyle="1" w:styleId="161">
    <w:name w:val="xl132"/>
    <w:basedOn w:val="1"/>
    <w:qFormat/>
    <w:uiPriority w:val="0"/>
    <w:pPr>
      <w:pBdr>
        <w:top w:val="single" w:color="auto" w:sz="4" w:space="0"/>
        <w:left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2">
    <w:name w:val="xl133"/>
    <w:basedOn w:val="1"/>
    <w:qFormat/>
    <w:uiPriority w:val="0"/>
    <w:pPr>
      <w:pBdr>
        <w:top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3">
    <w:name w:val="xl134"/>
    <w:basedOn w:val="1"/>
    <w:qFormat/>
    <w:uiPriority w:val="0"/>
    <w:pPr>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4">
    <w:name w:val="xl135"/>
    <w:basedOn w:val="1"/>
    <w:qFormat/>
    <w:uiPriority w:val="0"/>
    <w:pPr>
      <w:pBdr>
        <w:left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5">
    <w:name w:val="xl136"/>
    <w:basedOn w:val="1"/>
    <w:qFormat/>
    <w:uiPriority w:val="0"/>
    <w:pP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6">
    <w:name w:val="xl137"/>
    <w:basedOn w:val="1"/>
    <w:qFormat/>
    <w:uiPriority w:val="0"/>
    <w:pPr>
      <w:pBdr>
        <w:right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7">
    <w:name w:val="xl138"/>
    <w:basedOn w:val="1"/>
    <w:qFormat/>
    <w:uiPriority w:val="0"/>
    <w:pPr>
      <w:pBdr>
        <w:left w:val="single" w:color="auto" w:sz="4" w:space="0"/>
        <w:bottom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8">
    <w:name w:val="xl139"/>
    <w:basedOn w:val="1"/>
    <w:qFormat/>
    <w:uiPriority w:val="0"/>
    <w:pPr>
      <w:pBdr>
        <w:bottom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69">
    <w:name w:val="xl140"/>
    <w:basedOn w:val="1"/>
    <w:qFormat/>
    <w:uiPriority w:val="0"/>
    <w:pPr>
      <w:pBdr>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Times New Roman" w:cs="Arial"/>
      <w:b/>
      <w:bCs/>
      <w:sz w:val="28"/>
      <w:szCs w:val="28"/>
    </w:rPr>
  </w:style>
  <w:style w:type="paragraph" w:customStyle="1" w:styleId="170">
    <w:name w:val="xl141"/>
    <w:basedOn w:val="1"/>
    <w:qFormat/>
    <w:uiPriority w:val="0"/>
    <w:pPr>
      <w:pBdr>
        <w:top w:val="single" w:color="auto" w:sz="4" w:space="0"/>
        <w:lef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1">
    <w:name w:val="xl142"/>
    <w:basedOn w:val="1"/>
    <w:qFormat/>
    <w:uiPriority w:val="0"/>
    <w:pPr>
      <w:pBdr>
        <w:top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2">
    <w:name w:val="xl143"/>
    <w:basedOn w:val="1"/>
    <w:qFormat/>
    <w:uiPriority w:val="0"/>
    <w:pPr>
      <w:pBdr>
        <w:top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3">
    <w:name w:val="xl144"/>
    <w:basedOn w:val="1"/>
    <w:qFormat/>
    <w:uiPriority w:val="0"/>
    <w:pPr>
      <w:pBdr>
        <w:lef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4">
    <w:name w:val="xl145"/>
    <w:basedOn w:val="1"/>
    <w:qFormat/>
    <w:uiPriority w:val="0"/>
    <w:pPr>
      <w:pBdr>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5">
    <w:name w:val="xl146"/>
    <w:basedOn w:val="1"/>
    <w:qFormat/>
    <w:uiPriority w:val="0"/>
    <w:pPr>
      <w:pBdr>
        <w:left w:val="single" w:color="auto" w:sz="4" w:space="0"/>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6">
    <w:name w:val="xl147"/>
    <w:basedOn w:val="1"/>
    <w:qFormat/>
    <w:uiPriority w:val="0"/>
    <w:pPr>
      <w:pBdr>
        <w:bottom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7">
    <w:name w:val="xl148"/>
    <w:basedOn w:val="1"/>
    <w:qFormat/>
    <w:uiPriority w:val="0"/>
    <w:pPr>
      <w:pBdr>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78">
    <w:name w:val="xl14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Times New Roman" w:hAnsi="Times New Roman" w:eastAsia="Times New Roman" w:cs="Times New Roman"/>
      <w:color w:val="000000"/>
      <w:sz w:val="20"/>
      <w:szCs w:val="20"/>
    </w:rPr>
  </w:style>
  <w:style w:type="paragraph" w:customStyle="1" w:styleId="179">
    <w:name w:val="xl1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Times New Roman" w:cs="Times New Roman"/>
      <w:color w:val="000000"/>
      <w:sz w:val="20"/>
      <w:szCs w:val="20"/>
    </w:rPr>
  </w:style>
  <w:style w:type="paragraph" w:customStyle="1" w:styleId="180">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Times New Roman" w:hAnsi="Times New Roman" w:eastAsia="Times New Roman" w:cs="Times New Roman"/>
      <w:color w:val="000000"/>
      <w:sz w:val="20"/>
      <w:szCs w:val="20"/>
    </w:rPr>
  </w:style>
  <w:style w:type="paragraph" w:customStyle="1" w:styleId="181">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Times New Roman" w:cs="Times New Roman"/>
      <w:color w:val="000000"/>
      <w:sz w:val="20"/>
      <w:szCs w:val="20"/>
    </w:rPr>
  </w:style>
  <w:style w:type="paragraph" w:customStyle="1" w:styleId="182">
    <w:name w:val="xl15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Times New Roman" w:cs="Times New Roman"/>
      <w:b/>
      <w:bCs/>
      <w:color w:val="000000"/>
      <w:sz w:val="20"/>
      <w:szCs w:val="20"/>
    </w:rPr>
  </w:style>
  <w:style w:type="paragraph" w:customStyle="1" w:styleId="183">
    <w:name w:val="xl15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Times New Roman" w:cs="Times New Roman"/>
      <w:b/>
      <w:bCs/>
      <w:color w:val="000000"/>
      <w:sz w:val="20"/>
      <w:szCs w:val="20"/>
    </w:rPr>
  </w:style>
  <w:style w:type="paragraph" w:customStyle="1" w:styleId="184">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Times New Roman" w:cs="Times New Roman"/>
      <w:color w:val="000000"/>
      <w:sz w:val="20"/>
      <w:szCs w:val="20"/>
    </w:rPr>
  </w:style>
  <w:style w:type="paragraph" w:customStyle="1" w:styleId="185">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Times New Roman" w:cs="Times New Roman"/>
      <w:color w:val="000000"/>
      <w:sz w:val="20"/>
      <w:szCs w:val="20"/>
    </w:rPr>
  </w:style>
  <w:style w:type="paragraph" w:customStyle="1" w:styleId="186">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Times New Roman" w:cs="Times New Roman"/>
      <w:sz w:val="20"/>
      <w:szCs w:val="20"/>
    </w:rPr>
  </w:style>
  <w:style w:type="paragraph" w:customStyle="1" w:styleId="187">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Times New Roman" w:cs="Times New Roman"/>
      <w:sz w:val="20"/>
      <w:szCs w:val="20"/>
    </w:rPr>
  </w:style>
  <w:style w:type="paragraph" w:customStyle="1" w:styleId="188">
    <w:name w:val="xl15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Times New Roman" w:cs="Times New Roman"/>
      <w:sz w:val="20"/>
      <w:szCs w:val="20"/>
    </w:rPr>
  </w:style>
  <w:style w:type="paragraph" w:customStyle="1" w:styleId="189">
    <w:name w:val="xl16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eastAsia="Times New Roman" w:cs="Times New Roman"/>
      <w:b/>
      <w:bCs/>
      <w:sz w:val="28"/>
      <w:szCs w:val="28"/>
    </w:rPr>
  </w:style>
  <w:style w:type="paragraph" w:customStyle="1" w:styleId="190">
    <w:name w:val="xl16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eastAsia="Times New Roman" w:cs="Times New Roman"/>
      <w:b/>
      <w:bCs/>
      <w:color w:val="000000"/>
      <w:sz w:val="20"/>
      <w:szCs w:val="20"/>
    </w:rPr>
  </w:style>
  <w:style w:type="paragraph" w:customStyle="1" w:styleId="191">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Times New Roman" w:cs="Times New Roman"/>
      <w:b/>
      <w:bCs/>
      <w:color w:val="000000"/>
      <w:sz w:val="20"/>
      <w:szCs w:val="20"/>
    </w:rPr>
  </w:style>
  <w:style w:type="paragraph" w:customStyle="1" w:styleId="192">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Times New Roman" w:cs="Times New Roman"/>
      <w:b/>
      <w:bCs/>
      <w:color w:val="000000"/>
      <w:sz w:val="20"/>
      <w:szCs w:val="20"/>
    </w:rPr>
  </w:style>
  <w:style w:type="paragraph" w:customStyle="1" w:styleId="193">
    <w:name w:val="default"/>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94">
    <w:name w:val="Table Paragraph"/>
    <w:basedOn w:val="1"/>
    <w:qFormat/>
    <w:uiPriority w:val="1"/>
    <w:pPr>
      <w:widowControl w:val="0"/>
      <w:spacing w:line="243" w:lineRule="exact"/>
      <w:ind w:left="64"/>
    </w:pPr>
    <w:rPr>
      <w:rFonts w:ascii="Calibri" w:hAnsi="Calibri" w:eastAsia="Calibri" w:cs="Calibri"/>
      <w:sz w:val="22"/>
      <w:szCs w:val="22"/>
      <w:lang w:val="en-US" w:eastAsia="en-US"/>
    </w:rPr>
  </w:style>
  <w:style w:type="character" w:customStyle="1" w:styleId="195">
    <w:name w:val="apple-converted-space"/>
    <w:qFormat/>
    <w:uiPriority w:val="0"/>
  </w:style>
  <w:style w:type="character" w:customStyle="1" w:styleId="196">
    <w:name w:val="Menção Pendente11"/>
    <w:semiHidden/>
    <w:unhideWhenUsed/>
    <w:uiPriority w:val="99"/>
    <w:rPr>
      <w:color w:val="605E5C"/>
      <w:shd w:val="clear" w:color="auto" w:fill="E1DFDD"/>
    </w:rPr>
  </w:style>
  <w:style w:type="paragraph" w:customStyle="1" w:styleId="197">
    <w:name w:val="Corpo de texto1"/>
    <w:qFormat/>
    <w:uiPriority w:val="0"/>
    <w:rPr>
      <w:rFonts w:ascii="CG Times (WN)" w:hAnsi="CG Times (WN)" w:eastAsia="Times New Roman" w:cs="Times New Roman"/>
      <w:color w:val="000000"/>
      <w:sz w:val="24"/>
      <w:szCs w:val="20"/>
      <w:lang w:val="en-US" w:eastAsia="pt-BR" w:bidi="ar-SA"/>
    </w:rPr>
  </w:style>
  <w:style w:type="paragraph" w:customStyle="1" w:styleId="198">
    <w:name w:val="Corpo de texto 21"/>
    <w:basedOn w:val="1"/>
    <w:qFormat/>
    <w:uiPriority w:val="0"/>
    <w:pPr>
      <w:widowControl w:val="0"/>
      <w:spacing w:after="120"/>
      <w:jc w:val="both"/>
    </w:pPr>
    <w:rPr>
      <w:rFonts w:ascii="Times New Roman" w:hAnsi="Times New Roman" w:eastAsia="Times New Roman" w:cs="Times New Roman"/>
      <w:szCs w:val="20"/>
    </w:rPr>
  </w:style>
  <w:style w:type="paragraph" w:customStyle="1" w:styleId="199">
    <w:name w:val="msonormal"/>
    <w:basedOn w:val="1"/>
    <w:qFormat/>
    <w:uiPriority w:val="0"/>
    <w:pPr>
      <w:spacing w:before="100" w:beforeAutospacing="1" w:after="100" w:afterAutospacing="1"/>
    </w:pPr>
    <w:rPr>
      <w:rFonts w:ascii="Times New Roman" w:hAnsi="Times New Roman" w:eastAsia="Times New Roman" w:cs="Times New Roman"/>
    </w:rPr>
  </w:style>
  <w:style w:type="character" w:customStyle="1" w:styleId="200">
    <w:name w:val="ui-pdp-color--black"/>
    <w:basedOn w:val="11"/>
    <w:qFormat/>
    <w:uiPriority w:val="0"/>
  </w:style>
  <w:style w:type="character" w:customStyle="1" w:styleId="201">
    <w:name w:val="andes-table__column--value"/>
    <w:basedOn w:val="11"/>
    <w:qFormat/>
    <w:uiPriority w:val="0"/>
  </w:style>
  <w:style w:type="paragraph" w:customStyle="1" w:styleId="202">
    <w:name w:val="ui-pdp-family--regular"/>
    <w:basedOn w:val="1"/>
    <w:uiPriority w:val="0"/>
    <w:pPr>
      <w:spacing w:before="100" w:beforeAutospacing="1" w:after="100" w:afterAutospacing="1"/>
    </w:pPr>
    <w:rPr>
      <w:rFonts w:ascii="Times New Roman" w:hAnsi="Times New Roman" w:eastAsia="Times New Roman" w:cs="Times New Roman"/>
    </w:rPr>
  </w:style>
  <w:style w:type="paragraph" w:customStyle="1" w:styleId="203">
    <w:name w:val="font7"/>
    <w:basedOn w:val="1"/>
    <w:qFormat/>
    <w:uiPriority w:val="0"/>
    <w:pPr>
      <w:spacing w:before="100" w:beforeAutospacing="1" w:after="100" w:afterAutospacing="1"/>
    </w:pPr>
    <w:rPr>
      <w:rFonts w:ascii="Calibri" w:hAnsi="Calibri" w:eastAsia="Times New Roman" w:cs="Calibri"/>
      <w:color w:val="000000"/>
      <w:sz w:val="20"/>
      <w:szCs w:val="20"/>
    </w:rPr>
  </w:style>
  <w:style w:type="paragraph" w:customStyle="1" w:styleId="204">
    <w:name w:val="Nivel 2"/>
    <w:basedOn w:val="1"/>
    <w:link w:val="208"/>
    <w:qFormat/>
    <w:uiPriority w:val="0"/>
    <w:pPr>
      <w:spacing w:before="120" w:after="120" w:line="276" w:lineRule="auto"/>
      <w:jc w:val="both"/>
    </w:pPr>
    <w:rPr>
      <w:rFonts w:ascii="Arial" w:hAnsi="Arial" w:cs="Arial" w:eastAsiaTheme="minorEastAsia"/>
      <w:color w:val="000000"/>
      <w:sz w:val="20"/>
      <w:szCs w:val="20"/>
    </w:rPr>
  </w:style>
  <w:style w:type="paragraph" w:customStyle="1" w:styleId="205">
    <w:name w:val="Nivel 3"/>
    <w:basedOn w:val="1"/>
    <w:link w:val="209"/>
    <w:qFormat/>
    <w:uiPriority w:val="0"/>
    <w:pPr>
      <w:spacing w:before="120" w:after="120" w:line="276" w:lineRule="auto"/>
      <w:ind w:left="284"/>
      <w:jc w:val="both"/>
    </w:pPr>
    <w:rPr>
      <w:rFonts w:ascii="Arial" w:hAnsi="Arial" w:cs="Arial" w:eastAsiaTheme="minorEastAsia"/>
      <w:color w:val="000000"/>
      <w:sz w:val="20"/>
      <w:szCs w:val="20"/>
    </w:rPr>
  </w:style>
  <w:style w:type="paragraph" w:customStyle="1" w:styleId="206">
    <w:name w:val="Nivel 4"/>
    <w:basedOn w:val="205"/>
    <w:qFormat/>
    <w:uiPriority w:val="0"/>
    <w:pPr>
      <w:ind w:left="567"/>
    </w:pPr>
    <w:rPr>
      <w:color w:val="auto"/>
    </w:rPr>
  </w:style>
  <w:style w:type="paragraph" w:customStyle="1" w:styleId="207">
    <w:name w:val="Nivel 5"/>
    <w:basedOn w:val="206"/>
    <w:qFormat/>
    <w:uiPriority w:val="0"/>
    <w:pPr>
      <w:ind w:left="851"/>
    </w:pPr>
  </w:style>
  <w:style w:type="character" w:customStyle="1" w:styleId="208">
    <w:name w:val="Nivel 2 Char"/>
    <w:basedOn w:val="11"/>
    <w:link w:val="204"/>
    <w:qFormat/>
    <w:locked/>
    <w:uiPriority w:val="0"/>
    <w:rPr>
      <w:rFonts w:ascii="Arial" w:hAnsi="Arial" w:cs="Arial" w:eastAsiaTheme="minorEastAsia"/>
      <w:color w:val="000000"/>
      <w:sz w:val="20"/>
      <w:szCs w:val="20"/>
    </w:rPr>
  </w:style>
  <w:style w:type="character" w:customStyle="1" w:styleId="209">
    <w:name w:val="Nivel 3 Char"/>
    <w:basedOn w:val="11"/>
    <w:link w:val="205"/>
    <w:qFormat/>
    <w:uiPriority w:val="0"/>
    <w:rPr>
      <w:rFonts w:ascii="Arial" w:hAnsi="Arial" w:cs="Arial" w:eastAsiaTheme="minorEastAsia"/>
      <w:color w:val="000000"/>
      <w:sz w:val="20"/>
      <w:szCs w:val="20"/>
    </w:rPr>
  </w:style>
  <w:style w:type="paragraph" w:customStyle="1" w:styleId="210">
    <w:name w:val="WW-Corpo de texto 2"/>
    <w:basedOn w:val="1"/>
    <w:qFormat/>
    <w:uiPriority w:val="0"/>
    <w:pPr>
      <w:suppressAutoHyphens/>
      <w:spacing w:line="200" w:lineRule="exact"/>
      <w:jc w:val="both"/>
    </w:pPr>
    <w:rPr>
      <w:rFonts w:ascii="Times New Roman" w:hAnsi="Times New Roman" w:eastAsia="Times New Roman" w:cs="Times New Roman"/>
      <w:sz w:val="20"/>
      <w:szCs w:val="20"/>
    </w:rPr>
  </w:style>
  <w:style w:type="paragraph" w:customStyle="1" w:styleId="211">
    <w:name w:val="Estilo2"/>
    <w:basedOn w:val="1"/>
    <w:qFormat/>
    <w:uiPriority w:val="0"/>
    <w:pPr>
      <w:ind w:left="1134" w:hanging="425"/>
      <w:jc w:val="both"/>
    </w:pPr>
    <w:rPr>
      <w:rFonts w:ascii="Times New Roman" w:hAnsi="Times New Roman" w:eastAsia="Times New Roman" w:cs="Times New Roman"/>
      <w:szCs w:val="20"/>
    </w:rPr>
  </w:style>
  <w:style w:type="paragraph" w:customStyle="1" w:styleId="212">
    <w:name w:val="Lista 21"/>
    <w:basedOn w:val="1"/>
    <w:qFormat/>
    <w:uiPriority w:val="0"/>
    <w:pPr>
      <w:suppressAutoHyphens/>
      <w:ind w:left="566" w:hanging="283"/>
    </w:pPr>
    <w:rPr>
      <w:rFonts w:ascii="Times New Roman" w:hAnsi="Times New Roman" w:eastAsia="Times New Roman" w:cs="Times New Roman"/>
      <w:sz w:val="20"/>
      <w:szCs w:val="20"/>
      <w:lang w:eastAsia="ar-SA"/>
    </w:rPr>
  </w:style>
  <w:style w:type="paragraph" w:customStyle="1" w:styleId="213">
    <w:name w:val="Blockquote"/>
    <w:basedOn w:val="1"/>
    <w:qFormat/>
    <w:uiPriority w:val="0"/>
    <w:pPr>
      <w:spacing w:before="100" w:after="100"/>
      <w:ind w:left="360" w:right="360"/>
    </w:pPr>
    <w:rPr>
      <w:rFonts w:ascii="Times New Roman" w:hAnsi="Times New Roman" w:eastAsia="Times New Roman" w:cs="Times New Roman"/>
      <w:snapToGrid w:val="0"/>
      <w:szCs w:val="20"/>
    </w:rPr>
  </w:style>
  <w:style w:type="character" w:customStyle="1" w:styleId="214">
    <w:name w:val="tah11verde"/>
    <w:qFormat/>
    <w:uiPriority w:val="0"/>
  </w:style>
  <w:style w:type="paragraph" w:customStyle="1" w:styleId="215">
    <w:name w:val="OmniPage #7"/>
    <w:basedOn w:val="54"/>
    <w:qFormat/>
    <w:uiPriority w:val="0"/>
  </w:style>
  <w:style w:type="paragraph" w:customStyle="1" w:styleId="216">
    <w:name w:val="Recuo do corpo de texto"/>
    <w:basedOn w:val="54"/>
    <w:qFormat/>
    <w:uiPriority w:val="0"/>
    <w:pPr>
      <w:jc w:val="both"/>
    </w:pPr>
    <w:rPr>
      <w:b/>
    </w:rPr>
  </w:style>
  <w:style w:type="paragraph" w:customStyle="1" w:styleId="217">
    <w:name w:val="WW-Legenda"/>
    <w:basedOn w:val="54"/>
    <w:next w:val="54"/>
    <w:qFormat/>
    <w:uiPriority w:val="0"/>
    <w:pPr>
      <w:jc w:val="center"/>
    </w:pPr>
    <w:rPr>
      <w:b/>
      <w:sz w:val="20"/>
    </w:rPr>
  </w:style>
  <w:style w:type="character" w:customStyle="1" w:styleId="218">
    <w:name w:val="Saudação Char"/>
    <w:basedOn w:val="11"/>
    <w:link w:val="27"/>
    <w:qFormat/>
    <w:uiPriority w:val="0"/>
    <w:rPr>
      <w:rFonts w:ascii="Arial" w:hAnsi="Arial" w:eastAsia="Times New Roman" w:cs="Times New Roman"/>
      <w:szCs w:val="20"/>
    </w:rPr>
  </w:style>
  <w:style w:type="paragraph" w:customStyle="1" w:styleId="219">
    <w:name w:val="WW-Recuo de corpo de texto 2"/>
    <w:basedOn w:val="54"/>
    <w:qFormat/>
    <w:uiPriority w:val="0"/>
    <w:pPr>
      <w:ind w:left="1418" w:hanging="567"/>
      <w:jc w:val="both"/>
    </w:pPr>
    <w:rPr>
      <w:sz w:val="22"/>
    </w:rPr>
  </w:style>
  <w:style w:type="paragraph" w:customStyle="1" w:styleId="220">
    <w:name w:val="Normal1"/>
    <w:basedOn w:val="1"/>
    <w:qFormat/>
    <w:uiPriority w:val="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eastAsia="Times New Roman" w:cs="Times New Roman"/>
      <w:spacing w:val="-3"/>
      <w:szCs w:val="20"/>
    </w:rPr>
  </w:style>
  <w:style w:type="character" w:customStyle="1" w:styleId="221">
    <w:name w:val="Subtítulo Char"/>
    <w:basedOn w:val="11"/>
    <w:link w:val="38"/>
    <w:qFormat/>
    <w:uiPriority w:val="99"/>
    <w:rPr>
      <w:rFonts w:ascii="Cambria" w:hAnsi="Cambria" w:eastAsia="Cambria" w:cs="Cambria"/>
    </w:rPr>
  </w:style>
  <w:style w:type="paragraph" w:customStyle="1" w:styleId="222">
    <w:name w:val="Estilo"/>
    <w:qFormat/>
    <w:uiPriority w:val="0"/>
    <w:pPr>
      <w:widowControl w:val="0"/>
      <w:autoSpaceDE w:val="0"/>
      <w:autoSpaceDN w:val="0"/>
      <w:adjustRightInd w:val="0"/>
    </w:pPr>
    <w:rPr>
      <w:rFonts w:ascii="Arial" w:hAnsi="Arial" w:eastAsia="Times New Roman" w:cs="Arial"/>
      <w:sz w:val="24"/>
      <w:szCs w:val="24"/>
      <w:lang w:val="pt-BR" w:eastAsia="pt-BR" w:bidi="ar-SA"/>
    </w:rPr>
  </w:style>
  <w:style w:type="paragraph" w:customStyle="1" w:styleId="223">
    <w:name w:val="xl60"/>
    <w:basedOn w:val="1"/>
    <w:qFormat/>
    <w:uiPriority w:val="0"/>
    <w:pPr>
      <w:spacing w:before="100" w:beforeAutospacing="1" w:after="100" w:afterAutospacing="1"/>
      <w:jc w:val="center"/>
      <w:textAlignment w:val="center"/>
    </w:pPr>
    <w:rPr>
      <w:rFonts w:ascii="Times New Roman" w:hAnsi="Times New Roman" w:eastAsia="Times New Roman" w:cs="Times New Roman"/>
    </w:rPr>
  </w:style>
  <w:style w:type="paragraph" w:customStyle="1" w:styleId="224">
    <w:name w:val="xl61"/>
    <w:basedOn w:val="1"/>
    <w:qFormat/>
    <w:uiPriority w:val="0"/>
    <w:pPr>
      <w:pBdr>
        <w:top w:val="single" w:color="auto" w:sz="8" w:space="0"/>
        <w:left w:val="single" w:color="auto" w:sz="8" w:space="0"/>
        <w:bottom w:val="single" w:color="auto" w:sz="8" w:space="0"/>
      </w:pBdr>
      <w:spacing w:before="100" w:beforeAutospacing="1" w:after="100" w:afterAutospacing="1"/>
      <w:jc w:val="center"/>
      <w:textAlignment w:val="center"/>
    </w:pPr>
    <w:rPr>
      <w:rFonts w:ascii="Arial" w:hAnsi="Arial" w:eastAsia="Times New Roman" w:cs="Arial"/>
      <w:sz w:val="18"/>
      <w:szCs w:val="18"/>
    </w:rPr>
  </w:style>
  <w:style w:type="paragraph" w:customStyle="1" w:styleId="225">
    <w:name w:val="xl62"/>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eastAsia="Times New Roman" w:cs="Arial"/>
      <w:sz w:val="18"/>
      <w:szCs w:val="18"/>
    </w:rPr>
  </w:style>
  <w:style w:type="character" w:customStyle="1" w:styleId="226">
    <w:name w:val="cf01"/>
    <w:qFormat/>
    <w:uiPriority w:val="0"/>
    <w:rPr>
      <w:rFonts w:hint="default" w:ascii="Segoe UI" w:hAnsi="Segoe UI" w:cs="Segoe UI"/>
      <w:sz w:val="18"/>
      <w:szCs w:val="18"/>
    </w:rPr>
  </w:style>
  <w:style w:type="paragraph" w:customStyle="1" w:styleId="227">
    <w:name w:val="Nivel1"/>
    <w:basedOn w:val="2"/>
    <w:link w:val="228"/>
    <w:qFormat/>
    <w:uiPriority w:val="0"/>
    <w:pPr>
      <w:spacing w:line="276" w:lineRule="auto"/>
      <w:ind w:left="357" w:hanging="357"/>
      <w:jc w:val="both"/>
    </w:pPr>
    <w:rPr>
      <w:rFonts w:ascii="Arial" w:hAnsi="Arial" w:eastAsia="MS Gothic" w:cs="Arial"/>
      <w:color w:val="000000"/>
    </w:rPr>
  </w:style>
  <w:style w:type="character" w:customStyle="1" w:styleId="228">
    <w:name w:val="Nivel1 Char"/>
    <w:link w:val="227"/>
    <w:qFormat/>
    <w:uiPriority w:val="0"/>
    <w:rPr>
      <w:rFonts w:ascii="Arial" w:hAnsi="Arial" w:eastAsia="MS Gothic" w:cs="Arial"/>
      <w:b/>
      <w:color w:val="000000"/>
      <w:sz w:val="28"/>
      <w:szCs w:val="28"/>
    </w:rPr>
  </w:style>
  <w:style w:type="paragraph" w:customStyle="1" w:styleId="229">
    <w:name w:val="Nível 3"/>
    <w:basedOn w:val="1"/>
    <w:link w:val="230"/>
    <w:qFormat/>
    <w:uiPriority w:val="0"/>
    <w:pPr>
      <w:numPr>
        <w:ilvl w:val="2"/>
        <w:numId w:val="1"/>
      </w:numPr>
      <w:spacing w:before="120" w:after="120" w:line="276" w:lineRule="auto"/>
      <w:ind w:left="284"/>
      <w:jc w:val="both"/>
    </w:pPr>
    <w:rPr>
      <w:rFonts w:ascii="Arial" w:hAnsi="Arial" w:eastAsia="Times New Roman" w:cs="Arial"/>
      <w:sz w:val="20"/>
      <w:szCs w:val="20"/>
    </w:rPr>
  </w:style>
  <w:style w:type="character" w:customStyle="1" w:styleId="230">
    <w:name w:val="Nível 3 Char"/>
    <w:link w:val="229"/>
    <w:qFormat/>
    <w:uiPriority w:val="0"/>
    <w:rPr>
      <w:rFonts w:ascii="Arial" w:hAnsi="Arial" w:eastAsia="Times New Roman" w:cs="Arial"/>
      <w:sz w:val="20"/>
      <w:szCs w:val="20"/>
    </w:rPr>
  </w:style>
  <w:style w:type="character" w:customStyle="1" w:styleId="231">
    <w:name w:val="WW8Num1z0"/>
    <w:qFormat/>
    <w:uiPriority w:val="0"/>
  </w:style>
  <w:style w:type="character" w:customStyle="1" w:styleId="232">
    <w:name w:val="WW8Num1z1"/>
    <w:qFormat/>
    <w:uiPriority w:val="0"/>
    <w:rPr>
      <w:rFonts w:ascii="Cambria" w:hAnsi="Cambria" w:cs="Cambria"/>
      <w:b/>
      <w:bCs/>
      <w:iCs/>
      <w:highlight w:val="yellow"/>
    </w:rPr>
  </w:style>
  <w:style w:type="character" w:customStyle="1" w:styleId="233">
    <w:name w:val="WW8Num1z2"/>
    <w:qFormat/>
    <w:uiPriority w:val="0"/>
    <w:rPr>
      <w:rFonts w:ascii="Cambria" w:hAnsi="Cambria" w:cs="Arial"/>
    </w:rPr>
  </w:style>
  <w:style w:type="character" w:customStyle="1" w:styleId="234">
    <w:name w:val="WW8Num2z0"/>
    <w:qFormat/>
    <w:uiPriority w:val="0"/>
    <w:rPr>
      <w:rFonts w:ascii="Symbol" w:hAnsi="Symbol" w:cs="Symbol"/>
      <w:sz w:val="20"/>
    </w:rPr>
  </w:style>
  <w:style w:type="character" w:customStyle="1" w:styleId="235">
    <w:name w:val="WW8Num2z1"/>
    <w:qFormat/>
    <w:uiPriority w:val="0"/>
    <w:rPr>
      <w:rFonts w:ascii="Courier New" w:hAnsi="Courier New" w:cs="Courier New"/>
      <w:sz w:val="20"/>
    </w:rPr>
  </w:style>
  <w:style w:type="character" w:customStyle="1" w:styleId="236">
    <w:name w:val="WW8Num2z2"/>
    <w:qFormat/>
    <w:uiPriority w:val="0"/>
    <w:rPr>
      <w:rFonts w:ascii="Wingdings" w:hAnsi="Wingdings" w:cs="Wingdings"/>
      <w:sz w:val="20"/>
    </w:rPr>
  </w:style>
  <w:style w:type="character" w:customStyle="1" w:styleId="237">
    <w:name w:val="WW8Num3z0"/>
    <w:qFormat/>
    <w:uiPriority w:val="0"/>
    <w:rPr>
      <w:rFonts w:ascii="Symbol" w:hAnsi="Symbol" w:cs="Symbol"/>
      <w:sz w:val="20"/>
    </w:rPr>
  </w:style>
  <w:style w:type="character" w:customStyle="1" w:styleId="238">
    <w:name w:val="WW8Num3z1"/>
    <w:qFormat/>
    <w:uiPriority w:val="0"/>
    <w:rPr>
      <w:rFonts w:ascii="Courier New" w:hAnsi="Courier New" w:cs="Courier New"/>
      <w:sz w:val="20"/>
    </w:rPr>
  </w:style>
  <w:style w:type="character" w:customStyle="1" w:styleId="239">
    <w:name w:val="WW8Num3z2"/>
    <w:qFormat/>
    <w:uiPriority w:val="0"/>
    <w:rPr>
      <w:rFonts w:ascii="Wingdings" w:hAnsi="Wingdings" w:cs="Wingdings"/>
      <w:sz w:val="20"/>
    </w:rPr>
  </w:style>
  <w:style w:type="character" w:customStyle="1" w:styleId="240">
    <w:name w:val="WW8Num4z0"/>
    <w:qFormat/>
    <w:uiPriority w:val="0"/>
    <w:rPr>
      <w:rFonts w:ascii="Symbol" w:hAnsi="Symbol" w:cs="Symbol"/>
    </w:rPr>
  </w:style>
  <w:style w:type="character" w:customStyle="1" w:styleId="241">
    <w:name w:val="WW8Num4z1"/>
    <w:qFormat/>
    <w:uiPriority w:val="0"/>
    <w:rPr>
      <w:rFonts w:ascii="Courier New" w:hAnsi="Courier New" w:cs="Courier New"/>
    </w:rPr>
  </w:style>
  <w:style w:type="character" w:customStyle="1" w:styleId="242">
    <w:name w:val="WW8Num4z2"/>
    <w:qFormat/>
    <w:uiPriority w:val="0"/>
    <w:rPr>
      <w:rFonts w:ascii="Wingdings" w:hAnsi="Wingdings" w:cs="Wingdings"/>
    </w:rPr>
  </w:style>
  <w:style w:type="character" w:customStyle="1" w:styleId="243">
    <w:name w:val="WW8Num5z0"/>
    <w:qFormat/>
    <w:uiPriority w:val="0"/>
    <w:rPr>
      <w:rFonts w:ascii="Calibri" w:hAnsi="Calibri" w:cs="Calibri"/>
      <w:b/>
    </w:rPr>
  </w:style>
  <w:style w:type="character" w:customStyle="1" w:styleId="244">
    <w:name w:val="WW8Num5z1"/>
    <w:qFormat/>
    <w:uiPriority w:val="0"/>
    <w:rPr>
      <w:color w:val="000000"/>
      <w:sz w:val="20"/>
      <w:szCs w:val="20"/>
      <w:u w:val="none"/>
    </w:rPr>
  </w:style>
  <w:style w:type="character" w:customStyle="1" w:styleId="245">
    <w:name w:val="WW8Num5z2"/>
    <w:qFormat/>
    <w:uiPriority w:val="0"/>
    <w:rPr>
      <w:rFonts w:ascii="Cambria" w:hAnsi="Cambria" w:cs="Arial"/>
      <w:color w:val="000000"/>
      <w:sz w:val="20"/>
      <w:szCs w:val="20"/>
    </w:rPr>
  </w:style>
  <w:style w:type="character" w:customStyle="1" w:styleId="246">
    <w:name w:val="WW8Num5z3"/>
    <w:qFormat/>
    <w:uiPriority w:val="0"/>
  </w:style>
  <w:style w:type="character" w:customStyle="1" w:styleId="247">
    <w:name w:val="WW8Num6z0"/>
    <w:qFormat/>
    <w:uiPriority w:val="0"/>
  </w:style>
  <w:style w:type="character" w:customStyle="1" w:styleId="248">
    <w:name w:val="WW8Num6z1"/>
    <w:qFormat/>
    <w:uiPriority w:val="0"/>
    <w:rPr>
      <w:rFonts w:ascii="Cambria" w:hAnsi="Cambria" w:cs="Cambria"/>
      <w:b/>
      <w:bCs/>
    </w:rPr>
  </w:style>
  <w:style w:type="character" w:customStyle="1" w:styleId="249">
    <w:name w:val="WW8Num7z0"/>
    <w:qFormat/>
    <w:uiPriority w:val="0"/>
    <w:rPr>
      <w:rFonts w:ascii="Symbol" w:hAnsi="Symbol" w:cs="Symbol"/>
      <w:sz w:val="20"/>
      <w:szCs w:val="20"/>
    </w:rPr>
  </w:style>
  <w:style w:type="character" w:customStyle="1" w:styleId="250">
    <w:name w:val="WW8Num7z1"/>
    <w:qFormat/>
    <w:uiPriority w:val="0"/>
    <w:rPr>
      <w:rFonts w:ascii="Courier New" w:hAnsi="Courier New" w:cs="Courier New"/>
      <w:sz w:val="20"/>
    </w:rPr>
  </w:style>
  <w:style w:type="character" w:customStyle="1" w:styleId="251">
    <w:name w:val="WW8Num7z2"/>
    <w:qFormat/>
    <w:uiPriority w:val="0"/>
    <w:rPr>
      <w:rFonts w:ascii="Wingdings" w:hAnsi="Wingdings" w:cs="Wingdings"/>
      <w:sz w:val="20"/>
    </w:rPr>
  </w:style>
  <w:style w:type="character" w:customStyle="1" w:styleId="252">
    <w:name w:val="WW8Num8z0"/>
    <w:qFormat/>
    <w:uiPriority w:val="0"/>
  </w:style>
  <w:style w:type="character" w:customStyle="1" w:styleId="253">
    <w:name w:val="WW8Num8z1"/>
    <w:qFormat/>
    <w:uiPriority w:val="0"/>
    <w:rPr>
      <w:rFonts w:ascii="Ecofont_Spranq_eco_Sans;Malgun" w:hAnsi="Ecofont_Spranq_eco_Sans;Malgun" w:cs="Tahoma"/>
      <w:b/>
      <w:i/>
      <w:iCs/>
    </w:rPr>
  </w:style>
  <w:style w:type="character" w:customStyle="1" w:styleId="254">
    <w:name w:val="WW8Num9z0"/>
    <w:qFormat/>
    <w:uiPriority w:val="0"/>
  </w:style>
  <w:style w:type="character" w:customStyle="1" w:styleId="255">
    <w:name w:val="WW8Num9z1"/>
    <w:qFormat/>
    <w:uiPriority w:val="0"/>
    <w:rPr>
      <w:rFonts w:ascii="Cambria" w:hAnsi="Cambria" w:cs="Cambria"/>
      <w:b/>
    </w:rPr>
  </w:style>
  <w:style w:type="character" w:customStyle="1" w:styleId="256">
    <w:name w:val="WW8Num10z0"/>
    <w:qFormat/>
    <w:uiPriority w:val="0"/>
  </w:style>
  <w:style w:type="character" w:customStyle="1" w:styleId="257">
    <w:name w:val="WW8Num10z1"/>
    <w:qFormat/>
    <w:uiPriority w:val="0"/>
    <w:rPr>
      <w:rFonts w:ascii="Cambria" w:hAnsi="Cambria" w:eastAsia="Arial" w:cs="Cambria"/>
      <w:b/>
      <w:color w:val="000000"/>
    </w:rPr>
  </w:style>
  <w:style w:type="character" w:customStyle="1" w:styleId="258">
    <w:name w:val="WW8Num10z3"/>
    <w:qFormat/>
    <w:uiPriority w:val="0"/>
    <w:rPr>
      <w:rFonts w:eastAsia="Arial"/>
      <w:color w:val="000000"/>
    </w:rPr>
  </w:style>
  <w:style w:type="character" w:customStyle="1" w:styleId="259">
    <w:name w:val="WW8Num11z0"/>
    <w:qFormat/>
    <w:uiPriority w:val="0"/>
    <w:rPr>
      <w:rFonts w:ascii="Symbol" w:hAnsi="Symbol" w:cs="Symbol"/>
      <w:sz w:val="20"/>
    </w:rPr>
  </w:style>
  <w:style w:type="character" w:customStyle="1" w:styleId="260">
    <w:name w:val="WW8Num11z1"/>
    <w:qFormat/>
    <w:uiPriority w:val="0"/>
    <w:rPr>
      <w:rFonts w:ascii="Courier New" w:hAnsi="Courier New" w:cs="Courier New"/>
      <w:sz w:val="20"/>
    </w:rPr>
  </w:style>
  <w:style w:type="character" w:customStyle="1" w:styleId="261">
    <w:name w:val="WW8Num11z2"/>
    <w:qFormat/>
    <w:uiPriority w:val="0"/>
    <w:rPr>
      <w:rFonts w:ascii="Wingdings" w:hAnsi="Wingdings" w:cs="Wingdings"/>
      <w:sz w:val="20"/>
    </w:rPr>
  </w:style>
  <w:style w:type="character" w:customStyle="1" w:styleId="262">
    <w:name w:val="WW8Num12z0"/>
    <w:qFormat/>
    <w:uiPriority w:val="0"/>
    <w:rPr>
      <w:rFonts w:ascii="Cambria" w:hAnsi="Cambria" w:eastAsia="Bookman Old Style" w:cs="Arial"/>
      <w:b/>
      <w:kern w:val="2"/>
      <w:sz w:val="20"/>
      <w:szCs w:val="20"/>
    </w:rPr>
  </w:style>
  <w:style w:type="character" w:customStyle="1" w:styleId="263">
    <w:name w:val="WW8Num13z0"/>
    <w:qFormat/>
    <w:uiPriority w:val="0"/>
    <w:rPr>
      <w:rFonts w:ascii="Symbol" w:hAnsi="Symbol" w:cs="Symbol"/>
      <w:sz w:val="20"/>
    </w:rPr>
  </w:style>
  <w:style w:type="character" w:customStyle="1" w:styleId="264">
    <w:name w:val="WW8Num13z1"/>
    <w:qFormat/>
    <w:uiPriority w:val="0"/>
    <w:rPr>
      <w:rFonts w:ascii="Courier New" w:hAnsi="Courier New" w:cs="Courier New"/>
      <w:sz w:val="20"/>
    </w:rPr>
  </w:style>
  <w:style w:type="character" w:customStyle="1" w:styleId="265">
    <w:name w:val="WW8Num13z2"/>
    <w:qFormat/>
    <w:uiPriority w:val="0"/>
    <w:rPr>
      <w:rFonts w:ascii="Wingdings" w:hAnsi="Wingdings" w:cs="Wingdings"/>
      <w:sz w:val="20"/>
    </w:rPr>
  </w:style>
  <w:style w:type="character" w:customStyle="1" w:styleId="266">
    <w:name w:val="WW8Num14z0"/>
    <w:qFormat/>
    <w:uiPriority w:val="0"/>
    <w:rPr>
      <w:u w:val="none"/>
    </w:rPr>
  </w:style>
  <w:style w:type="character" w:customStyle="1" w:styleId="267">
    <w:name w:val="WW8Num14z2"/>
    <w:qFormat/>
    <w:uiPriority w:val="0"/>
    <w:rPr>
      <w:rFonts w:ascii="Cambria" w:hAnsi="Cambria" w:cs="Arial"/>
      <w:b/>
      <w:u w:val="none"/>
    </w:rPr>
  </w:style>
  <w:style w:type="character" w:customStyle="1" w:styleId="268">
    <w:name w:val="WW8Num15z0"/>
    <w:qFormat/>
    <w:uiPriority w:val="0"/>
    <w:rPr>
      <w:rFonts w:ascii="Cambria" w:hAnsi="Cambria" w:cs="Arial"/>
      <w:lang w:eastAsia="en-US"/>
    </w:rPr>
  </w:style>
  <w:style w:type="character" w:customStyle="1" w:styleId="269">
    <w:name w:val="WW8Num16z0"/>
    <w:qFormat/>
    <w:uiPriority w:val="0"/>
    <w:rPr>
      <w:rFonts w:ascii="Symbol" w:hAnsi="Symbol" w:cs="Symbol"/>
      <w:sz w:val="20"/>
    </w:rPr>
  </w:style>
  <w:style w:type="character" w:customStyle="1" w:styleId="270">
    <w:name w:val="WW8Num16z1"/>
    <w:qFormat/>
    <w:uiPriority w:val="0"/>
    <w:rPr>
      <w:rFonts w:ascii="Courier New" w:hAnsi="Courier New" w:cs="Courier New"/>
      <w:sz w:val="20"/>
    </w:rPr>
  </w:style>
  <w:style w:type="character" w:customStyle="1" w:styleId="271">
    <w:name w:val="WW8Num16z2"/>
    <w:qFormat/>
    <w:uiPriority w:val="0"/>
    <w:rPr>
      <w:rFonts w:ascii="Wingdings" w:hAnsi="Wingdings" w:cs="Wingdings"/>
      <w:sz w:val="20"/>
    </w:rPr>
  </w:style>
  <w:style w:type="character" w:customStyle="1" w:styleId="272">
    <w:name w:val="WW8Num17z0"/>
    <w:qFormat/>
    <w:uiPriority w:val="0"/>
    <w:rPr>
      <w:rFonts w:ascii="Symbol" w:hAnsi="Symbol" w:cs="Symbol"/>
      <w:sz w:val="20"/>
    </w:rPr>
  </w:style>
  <w:style w:type="character" w:customStyle="1" w:styleId="273">
    <w:name w:val="WW8Num17z1"/>
    <w:qFormat/>
    <w:uiPriority w:val="0"/>
    <w:rPr>
      <w:rFonts w:ascii="Courier New" w:hAnsi="Courier New" w:cs="Courier New"/>
      <w:sz w:val="20"/>
    </w:rPr>
  </w:style>
  <w:style w:type="character" w:customStyle="1" w:styleId="274">
    <w:name w:val="WW8Num17z2"/>
    <w:qFormat/>
    <w:uiPriority w:val="0"/>
    <w:rPr>
      <w:rFonts w:ascii="Wingdings" w:hAnsi="Wingdings" w:cs="Wingdings"/>
      <w:sz w:val="20"/>
    </w:rPr>
  </w:style>
  <w:style w:type="character" w:customStyle="1" w:styleId="275">
    <w:name w:val="Corpo de texto Char1"/>
    <w:qFormat/>
    <w:uiPriority w:val="0"/>
    <w:rPr>
      <w:rFonts w:ascii="Century Gothic" w:hAnsi="Century Gothic" w:cs="Century Gothic"/>
      <w:sz w:val="24"/>
    </w:rPr>
  </w:style>
  <w:style w:type="character" w:customStyle="1" w:styleId="276">
    <w:name w:val="Internet Link"/>
    <w:qFormat/>
    <w:uiPriority w:val="0"/>
    <w:rPr>
      <w:color w:val="0000FF"/>
      <w:u w:val="single"/>
    </w:rPr>
  </w:style>
  <w:style w:type="character" w:customStyle="1" w:styleId="277">
    <w:name w:val="Visited Internet Link"/>
    <w:qFormat/>
    <w:uiPriority w:val="0"/>
    <w:rPr>
      <w:color w:val="800080"/>
      <w:u w:val="single"/>
    </w:rPr>
  </w:style>
  <w:style w:type="character" w:customStyle="1" w:styleId="278">
    <w:name w:val="WW8Num8z2"/>
    <w:qFormat/>
    <w:uiPriority w:val="0"/>
    <w:rPr>
      <w:rFonts w:ascii="Marlett" w:hAnsi="Marlett" w:cs="Marlett"/>
    </w:rPr>
  </w:style>
  <w:style w:type="character" w:customStyle="1" w:styleId="279">
    <w:name w:val="WW8Num13z3"/>
    <w:qFormat/>
    <w:uiPriority w:val="0"/>
    <w:rPr>
      <w:rFonts w:ascii="Symbol" w:hAnsi="Symbol" w:cs="Symbol"/>
    </w:rPr>
  </w:style>
  <w:style w:type="character" w:customStyle="1" w:styleId="280">
    <w:name w:val="WW8Num19z0"/>
    <w:qFormat/>
    <w:uiPriority w:val="0"/>
    <w:rPr>
      <w:rFonts w:ascii="Symbol" w:hAnsi="Symbol" w:cs="Symbol"/>
    </w:rPr>
  </w:style>
  <w:style w:type="character" w:customStyle="1" w:styleId="281">
    <w:name w:val="WW8Num21z0"/>
    <w:qFormat/>
    <w:uiPriority w:val="0"/>
    <w:rPr>
      <w:rFonts w:ascii="Arial" w:hAnsi="Arial" w:cs="Times New Roman"/>
      <w:b/>
      <w:color w:val="0000FF"/>
      <w:sz w:val="18"/>
    </w:rPr>
  </w:style>
  <w:style w:type="character" w:customStyle="1" w:styleId="282">
    <w:name w:val="WW8NumSt20z0"/>
    <w:qFormat/>
    <w:uiPriority w:val="0"/>
    <w:rPr>
      <w:rFonts w:ascii="Symbol" w:hAnsi="Symbol" w:cs="Symbol"/>
    </w:rPr>
  </w:style>
  <w:style w:type="character" w:customStyle="1" w:styleId="283">
    <w:name w:val="Fonte parág. padrão1"/>
    <w:qFormat/>
    <w:uiPriority w:val="0"/>
  </w:style>
  <w:style w:type="character" w:customStyle="1" w:styleId="284">
    <w:name w:val="Símbolos de numeração"/>
    <w:qFormat/>
    <w:uiPriority w:val="0"/>
  </w:style>
  <w:style w:type="character" w:customStyle="1" w:styleId="285">
    <w:name w:val="descricao1"/>
    <w:qFormat/>
    <w:uiPriority w:val="0"/>
    <w:rPr>
      <w:rFonts w:ascii="Arial" w:hAnsi="Arial" w:cs="Arial"/>
      <w:color w:val="000000"/>
      <w:sz w:val="22"/>
      <w:szCs w:val="22"/>
    </w:rPr>
  </w:style>
  <w:style w:type="character" w:customStyle="1" w:styleId="286">
    <w:name w:val="fontetabela"/>
    <w:basedOn w:val="11"/>
    <w:qFormat/>
    <w:uiPriority w:val="0"/>
  </w:style>
  <w:style w:type="character" w:customStyle="1" w:styleId="287">
    <w:name w:val="Texto de balão Char1"/>
    <w:qFormat/>
    <w:uiPriority w:val="0"/>
    <w:rPr>
      <w:rFonts w:ascii="Tahoma" w:hAnsi="Tahoma" w:cs="Tahoma"/>
      <w:sz w:val="16"/>
      <w:szCs w:val="16"/>
    </w:rPr>
  </w:style>
  <w:style w:type="character" w:customStyle="1" w:styleId="288">
    <w:name w:val="Strong Emphasis"/>
    <w:qFormat/>
    <w:uiPriority w:val="0"/>
    <w:rPr>
      <w:b/>
      <w:bCs/>
    </w:rPr>
  </w:style>
  <w:style w:type="character" w:styleId="289">
    <w:name w:val="Placeholder Text"/>
    <w:qFormat/>
    <w:uiPriority w:val="0"/>
    <w:rPr>
      <w:color w:val="808080"/>
    </w:rPr>
  </w:style>
  <w:style w:type="character" w:customStyle="1" w:styleId="290">
    <w:name w:val="Texto de comentário Char"/>
    <w:qFormat/>
    <w:uiPriority w:val="99"/>
    <w:rPr>
      <w:rFonts w:ascii="Ecofont_Spranq_eco_Sans;Malgun" w:hAnsi="Ecofont_Spranq_eco_Sans;Malgun" w:cs="Tahoma"/>
    </w:rPr>
  </w:style>
  <w:style w:type="character" w:customStyle="1" w:styleId="291">
    <w:name w:val="Nível 2 -Red Char"/>
    <w:qFormat/>
    <w:uiPriority w:val="0"/>
    <w:rPr>
      <w:rFonts w:ascii="Arial" w:hAnsi="Arial" w:cs="Arial"/>
      <w:i/>
      <w:iCs/>
      <w:color w:val="FF0000"/>
    </w:rPr>
  </w:style>
  <w:style w:type="character" w:customStyle="1" w:styleId="292">
    <w:name w:val="Nível 3-R Char"/>
    <w:qFormat/>
    <w:uiPriority w:val="0"/>
    <w:rPr>
      <w:rFonts w:ascii="Arial" w:hAnsi="Arial" w:cs="Arial"/>
      <w:i/>
      <w:iCs/>
      <w:color w:val="FF0000"/>
    </w:rPr>
  </w:style>
  <w:style w:type="character" w:customStyle="1" w:styleId="293">
    <w:name w:val="Nível 1-Sem Num Char"/>
    <w:qFormat/>
    <w:uiPriority w:val="0"/>
    <w:rPr>
      <w:rFonts w:ascii="Arial" w:hAnsi="Arial" w:cs="Arial"/>
      <w:b/>
      <w:bCs/>
      <w:color w:val="FF0000"/>
    </w:rPr>
  </w:style>
  <w:style w:type="character" w:customStyle="1" w:styleId="294">
    <w:name w:val="Assunto do comentário Char"/>
    <w:qFormat/>
    <w:uiPriority w:val="99"/>
    <w:rPr>
      <w:rFonts w:ascii="Ecofont_Spranq_eco_Sans;Malgun" w:hAnsi="Ecofont_Spranq_eco_Sans;Malgun" w:cs="Tahoma"/>
      <w:b/>
      <w:bCs/>
    </w:rPr>
  </w:style>
  <w:style w:type="character" w:customStyle="1" w:styleId="295">
    <w:name w:val="Intense Emphasis"/>
    <w:qFormat/>
    <w:uiPriority w:val="0"/>
    <w:rPr>
      <w:i/>
      <w:iCs/>
      <w:color w:val="2F5496"/>
    </w:rPr>
  </w:style>
  <w:style w:type="character" w:customStyle="1" w:styleId="296">
    <w:name w:val="Citação Intensa Char"/>
    <w:qFormat/>
    <w:uiPriority w:val="0"/>
    <w:rPr>
      <w:rFonts w:ascii="Calibri" w:hAnsi="Calibri" w:eastAsia="Calibri" w:cs="Calibri"/>
      <w:i/>
      <w:iCs/>
      <w:color w:val="2F5496"/>
      <w:kern w:val="2"/>
      <w:sz w:val="22"/>
      <w:szCs w:val="22"/>
    </w:rPr>
  </w:style>
  <w:style w:type="character" w:customStyle="1" w:styleId="297">
    <w:name w:val="Intense Reference"/>
    <w:qFormat/>
    <w:uiPriority w:val="0"/>
    <w:rPr>
      <w:b/>
      <w:bCs/>
      <w:smallCaps/>
      <w:color w:val="2F5496"/>
      <w:spacing w:val="5"/>
    </w:rPr>
  </w:style>
  <w:style w:type="paragraph" w:customStyle="1" w:styleId="298">
    <w:name w:val="Heading"/>
    <w:basedOn w:val="1"/>
    <w:next w:val="38"/>
    <w:qFormat/>
    <w:uiPriority w:val="0"/>
    <w:pPr>
      <w:suppressAutoHyphens/>
      <w:jc w:val="center"/>
    </w:pPr>
    <w:rPr>
      <w:rFonts w:ascii="Arial" w:hAnsi="Arial" w:eastAsia="Times New Roman" w:cs="Arial"/>
      <w:b/>
      <w:sz w:val="30"/>
      <w:szCs w:val="20"/>
      <w:u w:val="single"/>
      <w:lang w:val="en-US" w:eastAsia="zh-CN"/>
    </w:rPr>
  </w:style>
  <w:style w:type="character" w:customStyle="1" w:styleId="299">
    <w:name w:val="Corpo de texto Char2"/>
    <w:basedOn w:val="11"/>
    <w:qFormat/>
    <w:uiPriority w:val="0"/>
    <w:rPr>
      <w:rFonts w:ascii="Century Gothic" w:hAnsi="Century Gothic" w:cs="Century Gothic"/>
      <w:sz w:val="24"/>
      <w:lang w:val="en-US" w:eastAsia="zh-CN"/>
    </w:rPr>
  </w:style>
  <w:style w:type="paragraph" w:customStyle="1" w:styleId="300">
    <w:name w:val="Index"/>
    <w:basedOn w:val="1"/>
    <w:qFormat/>
    <w:uiPriority w:val="0"/>
    <w:pPr>
      <w:suppressLineNumbers/>
    </w:pPr>
    <w:rPr>
      <w:rFonts w:ascii="Times New Roman" w:hAnsi="Times New Roman" w:eastAsia="Times New Roman" w:cs="Times New Roman"/>
      <w:sz w:val="20"/>
      <w:szCs w:val="20"/>
      <w:lang w:eastAsia="zh-CN"/>
    </w:rPr>
  </w:style>
  <w:style w:type="character" w:customStyle="1" w:styleId="301">
    <w:name w:val="Cabeçalho Char1"/>
    <w:basedOn w:val="11"/>
    <w:qFormat/>
    <w:uiPriority w:val="99"/>
    <w:rPr>
      <w:lang w:eastAsia="zh-CN"/>
    </w:rPr>
  </w:style>
  <w:style w:type="character" w:customStyle="1" w:styleId="302">
    <w:name w:val="Rodapé Char1"/>
    <w:basedOn w:val="11"/>
    <w:qFormat/>
    <w:uiPriority w:val="0"/>
    <w:rPr>
      <w:lang w:eastAsia="zh-CN"/>
    </w:rPr>
  </w:style>
  <w:style w:type="character" w:customStyle="1" w:styleId="303">
    <w:name w:val="Texto de balão Char2"/>
    <w:basedOn w:val="11"/>
    <w:qFormat/>
    <w:uiPriority w:val="0"/>
    <w:rPr>
      <w:rFonts w:ascii="Tahoma" w:hAnsi="Tahoma" w:cs="Tahoma"/>
      <w:sz w:val="16"/>
      <w:szCs w:val="16"/>
      <w:lang w:val="en-US" w:eastAsia="zh-CN"/>
    </w:rPr>
  </w:style>
  <w:style w:type="character" w:customStyle="1" w:styleId="304">
    <w:name w:val="Recuo de corpo de texto Char1"/>
    <w:basedOn w:val="11"/>
    <w:qFormat/>
    <w:uiPriority w:val="0"/>
    <w:rPr>
      <w:lang w:eastAsia="zh-CN"/>
    </w:rPr>
  </w:style>
  <w:style w:type="character" w:customStyle="1" w:styleId="305">
    <w:name w:val="Corpo de texto 2 Char1"/>
    <w:basedOn w:val="11"/>
    <w:qFormat/>
    <w:uiPriority w:val="0"/>
    <w:rPr>
      <w:lang w:eastAsia="zh-CN"/>
    </w:rPr>
  </w:style>
  <w:style w:type="character" w:customStyle="1" w:styleId="306">
    <w:name w:val="Subtítulo Char1"/>
    <w:basedOn w:val="11"/>
    <w:qFormat/>
    <w:uiPriority w:val="0"/>
    <w:rPr>
      <w:rFonts w:ascii="Arial" w:hAnsi="Arial" w:eastAsia="Arial" w:cs="Arial"/>
      <w:b/>
      <w:color w:val="000000"/>
      <w:sz w:val="30"/>
      <w:szCs w:val="30"/>
      <w:u w:val="single"/>
      <w:lang w:eastAsia="zh-CN"/>
    </w:rPr>
  </w:style>
  <w:style w:type="character" w:customStyle="1" w:styleId="307">
    <w:name w:val="Corpo de texto 3 Char1"/>
    <w:basedOn w:val="11"/>
    <w:qFormat/>
    <w:uiPriority w:val="0"/>
    <w:rPr>
      <w:sz w:val="16"/>
      <w:szCs w:val="16"/>
      <w:lang w:val="en-US" w:eastAsia="zh-CN"/>
    </w:rPr>
  </w:style>
  <w:style w:type="character" w:customStyle="1" w:styleId="308">
    <w:name w:val="Recuo de corpo de texto 2 Char1"/>
    <w:basedOn w:val="11"/>
    <w:qFormat/>
    <w:uiPriority w:val="0"/>
    <w:rPr>
      <w:rFonts w:ascii="Arial" w:hAnsi="Arial" w:cs="Arial"/>
      <w:spacing w:val="10"/>
      <w:sz w:val="18"/>
      <w:lang w:val="en-US" w:eastAsia="zh-CN"/>
    </w:rPr>
  </w:style>
  <w:style w:type="character" w:customStyle="1" w:styleId="309">
    <w:name w:val="Recuo de corpo de texto 3 Char1"/>
    <w:basedOn w:val="11"/>
    <w:qFormat/>
    <w:uiPriority w:val="0"/>
    <w:rPr>
      <w:sz w:val="16"/>
      <w:szCs w:val="16"/>
      <w:lang w:val="en-US" w:eastAsia="zh-CN"/>
    </w:rPr>
  </w:style>
  <w:style w:type="character" w:customStyle="1" w:styleId="310">
    <w:name w:val="Mapa do Documento Char1"/>
    <w:basedOn w:val="11"/>
    <w:qFormat/>
    <w:uiPriority w:val="0"/>
    <w:rPr>
      <w:rFonts w:ascii="Tahoma" w:hAnsi="Tahoma" w:eastAsia="Calibri" w:cs="Tahoma"/>
      <w:sz w:val="16"/>
      <w:szCs w:val="16"/>
      <w:lang w:val="en-US" w:eastAsia="zh-CN"/>
    </w:rPr>
  </w:style>
  <w:style w:type="paragraph" w:customStyle="1" w:styleId="311">
    <w:name w:val="Capítulo"/>
    <w:basedOn w:val="1"/>
    <w:next w:val="20"/>
    <w:qFormat/>
    <w:uiPriority w:val="0"/>
    <w:pPr>
      <w:keepNext/>
      <w:suppressAutoHyphens/>
      <w:spacing w:before="240" w:after="120"/>
    </w:pPr>
    <w:rPr>
      <w:rFonts w:ascii="DejaVu Sans" w:hAnsi="DejaVu Sans" w:eastAsia="DejaVu Sans" w:cs="DejaVu Sans"/>
      <w:sz w:val="28"/>
      <w:szCs w:val="28"/>
      <w:lang w:eastAsia="zh-CN"/>
    </w:rPr>
  </w:style>
  <w:style w:type="paragraph" w:customStyle="1" w:styleId="312">
    <w:name w:val="Legenda1"/>
    <w:basedOn w:val="1"/>
    <w:qFormat/>
    <w:uiPriority w:val="0"/>
    <w:pPr>
      <w:suppressLineNumbers/>
      <w:suppressAutoHyphens/>
      <w:spacing w:before="120" w:after="120"/>
    </w:pPr>
    <w:rPr>
      <w:rFonts w:ascii="Times New Roman" w:hAnsi="Times New Roman" w:eastAsia="Times New Roman" w:cs="Times New Roman"/>
      <w:i/>
      <w:iCs/>
      <w:lang w:eastAsia="zh-CN"/>
    </w:rPr>
  </w:style>
  <w:style w:type="paragraph" w:customStyle="1" w:styleId="313">
    <w:name w:val="Índice"/>
    <w:basedOn w:val="1"/>
    <w:qFormat/>
    <w:uiPriority w:val="0"/>
    <w:pPr>
      <w:suppressLineNumbers/>
      <w:suppressAutoHyphens/>
    </w:pPr>
    <w:rPr>
      <w:rFonts w:ascii="Times New Roman" w:hAnsi="Times New Roman" w:eastAsia="Times New Roman" w:cs="Times New Roman"/>
      <w:sz w:val="20"/>
      <w:szCs w:val="20"/>
      <w:lang w:eastAsia="zh-CN"/>
    </w:rPr>
  </w:style>
  <w:style w:type="paragraph" w:customStyle="1" w:styleId="314">
    <w:name w:val="Recuo de corpo de texto 21"/>
    <w:basedOn w:val="1"/>
    <w:qFormat/>
    <w:uiPriority w:val="0"/>
    <w:pPr>
      <w:keepLines/>
      <w:suppressAutoHyphens/>
      <w:spacing w:before="60"/>
      <w:ind w:firstLine="993"/>
      <w:jc w:val="both"/>
    </w:pPr>
    <w:rPr>
      <w:rFonts w:ascii="Arial" w:hAnsi="Arial" w:eastAsia="Times New Roman" w:cs="Arial"/>
      <w:spacing w:val="10"/>
      <w:sz w:val="18"/>
      <w:szCs w:val="20"/>
      <w:lang w:eastAsia="zh-CN"/>
    </w:rPr>
  </w:style>
  <w:style w:type="paragraph" w:customStyle="1" w:styleId="315">
    <w:name w:val="Legis"/>
    <w:basedOn w:val="1"/>
    <w:qFormat/>
    <w:uiPriority w:val="0"/>
    <w:pPr>
      <w:suppressAutoHyphens/>
      <w:ind w:firstLine="851"/>
      <w:jc w:val="both"/>
    </w:pPr>
    <w:rPr>
      <w:rFonts w:ascii="Times New Roman" w:hAnsi="Times New Roman" w:eastAsia="Times New Roman" w:cs="Times New Roman"/>
      <w:sz w:val="20"/>
      <w:szCs w:val="20"/>
      <w:lang w:eastAsia="zh-CN"/>
    </w:rPr>
  </w:style>
  <w:style w:type="paragraph" w:customStyle="1" w:styleId="316">
    <w:name w:val="Corpo de texto 22"/>
    <w:basedOn w:val="1"/>
    <w:qFormat/>
    <w:uiPriority w:val="0"/>
    <w:pPr>
      <w:suppressAutoHyphens/>
      <w:spacing w:after="120" w:line="480" w:lineRule="auto"/>
    </w:pPr>
    <w:rPr>
      <w:rFonts w:ascii="Times New Roman" w:hAnsi="Times New Roman" w:eastAsia="Times New Roman" w:cs="Times New Roman"/>
      <w:sz w:val="20"/>
      <w:szCs w:val="20"/>
      <w:lang w:eastAsia="zh-CN"/>
    </w:rPr>
  </w:style>
  <w:style w:type="paragraph" w:customStyle="1" w:styleId="317">
    <w:name w:val="Corpo de texto 32"/>
    <w:basedOn w:val="1"/>
    <w:qFormat/>
    <w:uiPriority w:val="0"/>
    <w:pPr>
      <w:suppressAutoHyphens/>
      <w:spacing w:after="120"/>
    </w:pPr>
    <w:rPr>
      <w:rFonts w:ascii="Times New Roman" w:hAnsi="Times New Roman" w:eastAsia="Times New Roman" w:cs="Times New Roman"/>
      <w:sz w:val="16"/>
      <w:szCs w:val="16"/>
      <w:lang w:eastAsia="zh-CN"/>
    </w:rPr>
  </w:style>
  <w:style w:type="paragraph" w:customStyle="1" w:styleId="318">
    <w:name w:val="Normal 2"/>
    <w:basedOn w:val="1"/>
    <w:qFormat/>
    <w:uiPriority w:val="0"/>
    <w:pPr>
      <w:keepLines/>
      <w:suppressAutoHyphens/>
      <w:spacing w:before="120"/>
      <w:jc w:val="both"/>
    </w:pPr>
    <w:rPr>
      <w:rFonts w:ascii="Arial" w:hAnsi="Arial" w:eastAsia="Times New Roman" w:cs="Arial"/>
      <w:spacing w:val="10"/>
      <w:sz w:val="18"/>
      <w:szCs w:val="20"/>
      <w:lang w:eastAsia="zh-CN"/>
    </w:rPr>
  </w:style>
  <w:style w:type="paragraph" w:customStyle="1" w:styleId="319">
    <w:name w:val="MNN1"/>
    <w:next w:val="1"/>
    <w:qFormat/>
    <w:uiPriority w:val="0"/>
    <w:pPr>
      <w:suppressAutoHyphens/>
    </w:pPr>
    <w:rPr>
      <w:rFonts w:ascii="Arial" w:hAnsi="Arial" w:eastAsia="Times New Roman" w:cs="Arial"/>
      <w:spacing w:val="10"/>
      <w:sz w:val="18"/>
      <w:szCs w:val="20"/>
      <w:lang w:val="pt-BR" w:eastAsia="zh-CN" w:bidi="ar-SA"/>
    </w:rPr>
  </w:style>
  <w:style w:type="paragraph" w:customStyle="1" w:styleId="320">
    <w:name w:val="PADRAO"/>
    <w:basedOn w:val="1"/>
    <w:qFormat/>
    <w:uiPriority w:val="0"/>
    <w:pPr>
      <w:suppressAutoHyphens/>
      <w:jc w:val="both"/>
    </w:pPr>
    <w:rPr>
      <w:rFonts w:ascii="Tms Rmn" w:hAnsi="Tms Rmn" w:eastAsia="Times New Roman" w:cs="Tms Rmn"/>
      <w:szCs w:val="20"/>
      <w:lang w:eastAsia="zh-CN"/>
    </w:rPr>
  </w:style>
  <w:style w:type="paragraph" w:customStyle="1" w:styleId="321">
    <w:name w:val="P30"/>
    <w:basedOn w:val="1"/>
    <w:qFormat/>
    <w:uiPriority w:val="0"/>
    <w:pPr>
      <w:suppressAutoHyphens/>
      <w:jc w:val="both"/>
    </w:pPr>
    <w:rPr>
      <w:rFonts w:ascii="Times New Roman" w:hAnsi="Times New Roman" w:eastAsia="Times New Roman" w:cs="Times New Roman"/>
      <w:b/>
      <w:szCs w:val="20"/>
      <w:lang w:eastAsia="zh-CN"/>
    </w:rPr>
  </w:style>
  <w:style w:type="paragraph" w:customStyle="1" w:styleId="322">
    <w:name w:val="Texto simples"/>
    <w:basedOn w:val="1"/>
    <w:qFormat/>
    <w:uiPriority w:val="0"/>
    <w:pPr>
      <w:suppressAutoHyphens/>
    </w:pPr>
    <w:rPr>
      <w:rFonts w:ascii="Courier New" w:hAnsi="Courier New" w:eastAsia="Times New Roman" w:cs="Courier New"/>
      <w:sz w:val="20"/>
      <w:szCs w:val="20"/>
      <w:lang w:eastAsia="zh-CN"/>
    </w:rPr>
  </w:style>
  <w:style w:type="paragraph" w:customStyle="1" w:styleId="323">
    <w:name w:val="Corpo de texto 23"/>
    <w:basedOn w:val="1"/>
    <w:qFormat/>
    <w:uiPriority w:val="0"/>
    <w:pPr>
      <w:suppressAutoHyphens/>
      <w:ind w:right="-567"/>
      <w:jc w:val="both"/>
    </w:pPr>
    <w:rPr>
      <w:rFonts w:ascii="Times New Roman" w:hAnsi="Times New Roman" w:eastAsia="Times New Roman" w:cs="Times New Roman"/>
      <w:b/>
      <w:szCs w:val="20"/>
      <w:lang w:eastAsia="zh-CN"/>
    </w:rPr>
  </w:style>
  <w:style w:type="paragraph" w:customStyle="1" w:styleId="324">
    <w:name w:val="Conteúdo da tabela"/>
    <w:basedOn w:val="20"/>
    <w:qFormat/>
    <w:uiPriority w:val="0"/>
    <w:pPr>
      <w:suppressLineNumbers/>
      <w:suppressAutoHyphens/>
    </w:pPr>
    <w:rPr>
      <w:color w:val="auto"/>
      <w:sz w:val="22"/>
      <w:szCs w:val="22"/>
      <w:lang w:val="en-US" w:eastAsia="zh-CN"/>
    </w:rPr>
  </w:style>
  <w:style w:type="paragraph" w:customStyle="1" w:styleId="325">
    <w:name w:val="Título 91"/>
    <w:basedOn w:val="1"/>
    <w:next w:val="1"/>
    <w:qFormat/>
    <w:uiPriority w:val="0"/>
    <w:pPr>
      <w:keepNext/>
      <w:suppressAutoHyphens/>
      <w:ind w:left="2547" w:hanging="283"/>
    </w:pPr>
    <w:rPr>
      <w:rFonts w:ascii="Times New Roman" w:hAnsi="Times New Roman" w:eastAsia="Times New Roman" w:cs="Times New Roman"/>
      <w:b/>
      <w:sz w:val="16"/>
      <w:szCs w:val="20"/>
      <w:lang w:eastAsia="zh-CN"/>
    </w:rPr>
  </w:style>
  <w:style w:type="paragraph" w:customStyle="1" w:styleId="326">
    <w:name w:val="Conteúdo do quadro"/>
    <w:basedOn w:val="20"/>
    <w:qFormat/>
    <w:uiPriority w:val="0"/>
    <w:pPr>
      <w:suppressAutoHyphens/>
      <w:spacing w:after="120"/>
      <w:jc w:val="left"/>
    </w:pPr>
    <w:rPr>
      <w:rFonts w:ascii="Times New Roman" w:hAnsi="Times New Roman" w:cs="Times New Roman"/>
      <w:color w:val="auto"/>
      <w:sz w:val="20"/>
      <w:szCs w:val="20"/>
      <w:lang w:val="en-US" w:eastAsia="zh-CN"/>
    </w:rPr>
  </w:style>
  <w:style w:type="paragraph" w:customStyle="1" w:styleId="327">
    <w:name w:val="Título da tabela"/>
    <w:basedOn w:val="324"/>
    <w:qFormat/>
    <w:uiPriority w:val="0"/>
    <w:pPr>
      <w:jc w:val="center"/>
    </w:pPr>
    <w:rPr>
      <w:b/>
      <w:bCs/>
    </w:rPr>
  </w:style>
  <w:style w:type="paragraph" w:customStyle="1" w:styleId="328">
    <w:name w:val="xl25"/>
    <w:basedOn w:val="1"/>
    <w:qFormat/>
    <w:uiPriority w:val="0"/>
    <w:pPr>
      <w:spacing w:before="280" w:after="280"/>
      <w:jc w:val="center"/>
    </w:pPr>
    <w:rPr>
      <w:rFonts w:ascii="Arial Unicode MS" w:hAnsi="Arial Unicode MS" w:eastAsia="Arial Unicode MS" w:cs="Arial Unicode MS"/>
      <w:sz w:val="20"/>
      <w:szCs w:val="20"/>
      <w:lang w:eastAsia="zh-CN"/>
    </w:rPr>
  </w:style>
  <w:style w:type="paragraph" w:customStyle="1" w:styleId="329">
    <w:name w:val="xl24"/>
    <w:basedOn w:val="1"/>
    <w:qFormat/>
    <w:uiPriority w:val="0"/>
    <w:pPr>
      <w:pBdr>
        <w:top w:val="single" w:color="000000" w:sz="4" w:space="0"/>
        <w:left w:val="single" w:color="000000" w:sz="4" w:space="0"/>
        <w:bottom w:val="single" w:color="000000" w:sz="4" w:space="0"/>
        <w:right w:val="single" w:color="000000" w:sz="4" w:space="0"/>
      </w:pBdr>
      <w:spacing w:before="100" w:after="100"/>
      <w:jc w:val="center"/>
    </w:pPr>
    <w:rPr>
      <w:rFonts w:ascii="Courier New" w:hAnsi="Courier New" w:eastAsia="Times New Roman" w:cs="Courier New"/>
      <w:szCs w:val="20"/>
      <w:lang w:eastAsia="zh-CN"/>
    </w:rPr>
  </w:style>
  <w:style w:type="paragraph" w:customStyle="1" w:styleId="330">
    <w:name w:val="xl26"/>
    <w:basedOn w:val="1"/>
    <w:qFormat/>
    <w:uiPriority w:val="0"/>
    <w:pPr>
      <w:pBdr>
        <w:top w:val="single" w:color="000000" w:sz="4" w:space="0"/>
        <w:left w:val="single" w:color="000000" w:sz="4" w:space="0"/>
        <w:bottom w:val="single" w:color="000000" w:sz="4" w:space="0"/>
        <w:right w:val="single" w:color="000000" w:sz="4" w:space="0"/>
      </w:pBdr>
      <w:spacing w:before="100" w:after="100"/>
      <w:jc w:val="both"/>
    </w:pPr>
    <w:rPr>
      <w:rFonts w:ascii="Courier New" w:hAnsi="Courier New" w:eastAsia="Times New Roman" w:cs="Courier New"/>
      <w:szCs w:val="20"/>
      <w:lang w:eastAsia="zh-CN"/>
    </w:rPr>
  </w:style>
  <w:style w:type="paragraph" w:customStyle="1" w:styleId="331">
    <w:name w:val="xl27"/>
    <w:basedOn w:val="1"/>
    <w:qFormat/>
    <w:uiPriority w:val="0"/>
    <w:pPr>
      <w:pBdr>
        <w:top w:val="single" w:color="000000" w:sz="4" w:space="0"/>
        <w:left w:val="single" w:color="000000" w:sz="4" w:space="0"/>
        <w:bottom w:val="single" w:color="000000" w:sz="4" w:space="0"/>
        <w:right w:val="single" w:color="000000" w:sz="4" w:space="0"/>
      </w:pBdr>
      <w:shd w:val="clear" w:color="auto" w:fill="C0C0C0"/>
      <w:spacing w:before="100" w:after="100"/>
      <w:jc w:val="center"/>
    </w:pPr>
    <w:rPr>
      <w:rFonts w:ascii="Courier New" w:hAnsi="Courier New" w:eastAsia="Times New Roman" w:cs="Courier New"/>
      <w:sz w:val="18"/>
      <w:szCs w:val="20"/>
      <w:lang w:eastAsia="zh-CN"/>
    </w:rPr>
  </w:style>
  <w:style w:type="paragraph" w:customStyle="1" w:styleId="332">
    <w:name w:val="xl28"/>
    <w:basedOn w:val="1"/>
    <w:qFormat/>
    <w:uiPriority w:val="0"/>
    <w:pPr>
      <w:pBdr>
        <w:top w:val="single" w:color="000000" w:sz="4" w:space="0"/>
        <w:left w:val="single" w:color="000000" w:sz="4" w:space="0"/>
        <w:bottom w:val="single" w:color="000000" w:sz="4" w:space="0"/>
        <w:right w:val="single" w:color="000000" w:sz="4" w:space="0"/>
      </w:pBdr>
      <w:shd w:val="clear" w:color="auto" w:fill="C0C0C0"/>
      <w:spacing w:before="100" w:after="100"/>
      <w:jc w:val="right"/>
    </w:pPr>
    <w:rPr>
      <w:rFonts w:ascii="Courier New" w:hAnsi="Courier New" w:eastAsia="Times New Roman" w:cs="Courier New"/>
      <w:sz w:val="18"/>
      <w:szCs w:val="20"/>
      <w:lang w:eastAsia="zh-CN"/>
    </w:rPr>
  </w:style>
  <w:style w:type="paragraph" w:customStyle="1" w:styleId="333">
    <w:name w:val="xl29"/>
    <w:basedOn w:val="1"/>
    <w:qFormat/>
    <w:uiPriority w:val="0"/>
    <w:pPr>
      <w:pBdr>
        <w:top w:val="single" w:color="000000" w:sz="4" w:space="0"/>
        <w:left w:val="single" w:color="000000" w:sz="4" w:space="0"/>
        <w:bottom w:val="single" w:color="000000" w:sz="4" w:space="0"/>
        <w:right w:val="single" w:color="000000" w:sz="4" w:space="0"/>
      </w:pBdr>
      <w:shd w:val="clear" w:color="auto" w:fill="C0C0C0"/>
      <w:spacing w:before="100" w:after="100"/>
      <w:jc w:val="center"/>
    </w:pPr>
    <w:rPr>
      <w:rFonts w:ascii="Courier New" w:hAnsi="Courier New" w:eastAsia="Times New Roman" w:cs="Courier New"/>
      <w:szCs w:val="20"/>
      <w:lang w:eastAsia="zh-CN"/>
    </w:rPr>
  </w:style>
  <w:style w:type="paragraph" w:customStyle="1" w:styleId="334">
    <w:name w:val="xl30"/>
    <w:basedOn w:val="1"/>
    <w:qFormat/>
    <w:uiPriority w:val="0"/>
    <w:pPr>
      <w:pBdr>
        <w:top w:val="single" w:color="000000" w:sz="4" w:space="0"/>
        <w:left w:val="single" w:color="000000" w:sz="4" w:space="0"/>
        <w:bottom w:val="single" w:color="000000" w:sz="4" w:space="0"/>
        <w:right w:val="single" w:color="000000" w:sz="4" w:space="0"/>
      </w:pBdr>
      <w:spacing w:before="100" w:after="100"/>
      <w:jc w:val="right"/>
    </w:pPr>
    <w:rPr>
      <w:rFonts w:ascii="Courier New" w:hAnsi="Courier New" w:eastAsia="Times New Roman" w:cs="Courier New"/>
      <w:szCs w:val="20"/>
      <w:lang w:eastAsia="zh-CN"/>
    </w:rPr>
  </w:style>
  <w:style w:type="paragraph" w:customStyle="1" w:styleId="335">
    <w:name w:val="xl31"/>
    <w:basedOn w:val="1"/>
    <w:qFormat/>
    <w:uiPriority w:val="0"/>
    <w:pPr>
      <w:pBdr>
        <w:top w:val="single" w:color="000000" w:sz="4" w:space="0"/>
        <w:left w:val="single" w:color="000000" w:sz="4" w:space="0"/>
        <w:bottom w:val="single" w:color="000000" w:sz="4" w:space="0"/>
        <w:right w:val="single" w:color="000000" w:sz="4" w:space="0"/>
      </w:pBdr>
      <w:spacing w:before="100" w:after="100"/>
    </w:pPr>
    <w:rPr>
      <w:rFonts w:ascii="Courier New" w:hAnsi="Courier New" w:eastAsia="Times New Roman" w:cs="Courier New"/>
      <w:szCs w:val="20"/>
      <w:lang w:eastAsia="zh-CN"/>
    </w:rPr>
  </w:style>
  <w:style w:type="paragraph" w:customStyle="1" w:styleId="336">
    <w:name w:val="xl32"/>
    <w:basedOn w:val="1"/>
    <w:qFormat/>
    <w:uiPriority w:val="0"/>
    <w:pPr>
      <w:pBdr>
        <w:top w:val="single" w:color="000000" w:sz="4" w:space="0"/>
        <w:left w:val="single" w:color="000000" w:sz="4" w:space="0"/>
        <w:bottom w:val="single" w:color="000000" w:sz="4" w:space="0"/>
        <w:right w:val="single" w:color="000000" w:sz="4" w:space="0"/>
      </w:pBdr>
      <w:spacing w:before="100" w:after="100"/>
      <w:jc w:val="right"/>
    </w:pPr>
    <w:rPr>
      <w:rFonts w:ascii="Courier New" w:hAnsi="Courier New" w:eastAsia="Times New Roman" w:cs="Courier New"/>
      <w:szCs w:val="20"/>
      <w:lang w:eastAsia="zh-CN"/>
    </w:rPr>
  </w:style>
  <w:style w:type="paragraph" w:customStyle="1" w:styleId="337">
    <w:name w:val="xl33"/>
    <w:basedOn w:val="1"/>
    <w:qFormat/>
    <w:uiPriority w:val="0"/>
    <w:pPr>
      <w:pBdr>
        <w:top w:val="single" w:color="000000" w:sz="4" w:space="0"/>
        <w:left w:val="single" w:color="000000" w:sz="4" w:space="0"/>
        <w:bottom w:val="single" w:color="000000" w:sz="4" w:space="0"/>
        <w:right w:val="single" w:color="000000" w:sz="4" w:space="0"/>
      </w:pBdr>
      <w:spacing w:before="100" w:after="100"/>
    </w:pPr>
    <w:rPr>
      <w:rFonts w:ascii="Courier New" w:hAnsi="Courier New" w:eastAsia="Times New Roman" w:cs="Courier New"/>
      <w:color w:val="FF0000"/>
      <w:szCs w:val="20"/>
      <w:lang w:eastAsia="zh-CN"/>
    </w:rPr>
  </w:style>
  <w:style w:type="paragraph" w:customStyle="1" w:styleId="338">
    <w:name w:val="xl34"/>
    <w:basedOn w:val="1"/>
    <w:qFormat/>
    <w:uiPriority w:val="0"/>
    <w:pPr>
      <w:pBdr>
        <w:top w:val="single" w:color="000000" w:sz="4" w:space="0"/>
        <w:left w:val="single" w:color="000000" w:sz="4" w:space="0"/>
        <w:bottom w:val="single" w:color="000000" w:sz="4" w:space="0"/>
        <w:right w:val="single" w:color="000000" w:sz="4" w:space="0"/>
      </w:pBdr>
      <w:spacing w:before="100" w:after="100"/>
      <w:jc w:val="both"/>
    </w:pPr>
    <w:rPr>
      <w:rFonts w:ascii="Courier New" w:hAnsi="Courier New" w:eastAsia="Times New Roman" w:cs="Courier New"/>
      <w:szCs w:val="20"/>
      <w:lang w:eastAsia="zh-CN"/>
    </w:rPr>
  </w:style>
  <w:style w:type="paragraph" w:customStyle="1" w:styleId="339">
    <w:name w:val="xl35"/>
    <w:basedOn w:val="1"/>
    <w:qFormat/>
    <w:uiPriority w:val="0"/>
    <w:pPr>
      <w:pBdr>
        <w:top w:val="single" w:color="000000" w:sz="4" w:space="0"/>
        <w:left w:val="single" w:color="000000" w:sz="4" w:space="0"/>
        <w:bottom w:val="single" w:color="000000" w:sz="4" w:space="0"/>
        <w:right w:val="single" w:color="000000" w:sz="4" w:space="0"/>
      </w:pBdr>
      <w:spacing w:before="100" w:after="100"/>
      <w:jc w:val="right"/>
    </w:pPr>
    <w:rPr>
      <w:rFonts w:ascii="Courier New" w:hAnsi="Courier New" w:eastAsia="Times New Roman" w:cs="Courier New"/>
      <w:szCs w:val="20"/>
      <w:lang w:eastAsia="zh-CN"/>
    </w:rPr>
  </w:style>
  <w:style w:type="paragraph" w:customStyle="1" w:styleId="340">
    <w:name w:val="xl36"/>
    <w:basedOn w:val="1"/>
    <w:qFormat/>
    <w:uiPriority w:val="0"/>
    <w:pPr>
      <w:pBdr>
        <w:top w:val="single" w:color="000000" w:sz="4" w:space="0"/>
        <w:left w:val="single" w:color="000000" w:sz="4" w:space="0"/>
        <w:bottom w:val="single" w:color="000000" w:sz="4" w:space="0"/>
        <w:right w:val="single" w:color="000000" w:sz="4" w:space="0"/>
      </w:pBdr>
      <w:spacing w:before="100" w:after="100"/>
      <w:jc w:val="center"/>
    </w:pPr>
    <w:rPr>
      <w:rFonts w:ascii="Courier New" w:hAnsi="Courier New" w:eastAsia="Times New Roman" w:cs="Courier New"/>
      <w:szCs w:val="20"/>
      <w:lang w:eastAsia="zh-CN"/>
    </w:rPr>
  </w:style>
  <w:style w:type="paragraph" w:customStyle="1" w:styleId="341">
    <w:name w:val="Conteúdo de tabela"/>
    <w:basedOn w:val="20"/>
    <w:qFormat/>
    <w:uiPriority w:val="0"/>
    <w:pPr>
      <w:suppressAutoHyphens/>
      <w:spacing w:after="120"/>
      <w:jc w:val="left"/>
    </w:pPr>
    <w:rPr>
      <w:rFonts w:ascii="Times New Roman" w:hAnsi="Times New Roman" w:cs="Times New Roman"/>
      <w:color w:val="auto"/>
      <w:lang w:val="en-US" w:eastAsia="zh-CN"/>
    </w:rPr>
  </w:style>
  <w:style w:type="paragraph" w:customStyle="1" w:styleId="342">
    <w:name w:val="Título de tabela"/>
    <w:basedOn w:val="341"/>
    <w:qFormat/>
    <w:uiPriority w:val="0"/>
    <w:pPr>
      <w:jc w:val="center"/>
    </w:pPr>
    <w:rPr>
      <w:b/>
      <w:i/>
    </w:rPr>
  </w:style>
  <w:style w:type="paragraph" w:customStyle="1" w:styleId="343">
    <w:name w:val="ec_msonormal"/>
    <w:basedOn w:val="1"/>
    <w:qFormat/>
    <w:uiPriority w:val="0"/>
    <w:pPr>
      <w:spacing w:after="324"/>
    </w:pPr>
    <w:rPr>
      <w:rFonts w:ascii="Times New Roman" w:hAnsi="Times New Roman" w:eastAsia="Times New Roman" w:cs="Times New Roman"/>
      <w:lang w:eastAsia="zh-CN"/>
    </w:rPr>
  </w:style>
  <w:style w:type="paragraph" w:customStyle="1" w:styleId="344">
    <w:name w:val="ec_msobodytextindent"/>
    <w:basedOn w:val="1"/>
    <w:qFormat/>
    <w:uiPriority w:val="0"/>
    <w:pPr>
      <w:spacing w:after="324"/>
    </w:pPr>
    <w:rPr>
      <w:rFonts w:ascii="Times New Roman" w:hAnsi="Times New Roman" w:eastAsia="Times New Roman" w:cs="Times New Roman"/>
      <w:lang w:eastAsia="zh-CN"/>
    </w:rPr>
  </w:style>
  <w:style w:type="paragraph" w:customStyle="1" w:styleId="345">
    <w:name w:val="Corpo de texto 24"/>
    <w:basedOn w:val="1"/>
    <w:qFormat/>
    <w:uiPriority w:val="0"/>
    <w:pPr>
      <w:suppressAutoHyphens/>
      <w:spacing w:after="120" w:line="480" w:lineRule="auto"/>
    </w:pPr>
    <w:rPr>
      <w:rFonts w:ascii="Times New Roman" w:hAnsi="Times New Roman" w:eastAsia="Times New Roman" w:cs="Calibri"/>
      <w:lang w:eastAsia="zh-CN"/>
    </w:rPr>
  </w:style>
  <w:style w:type="paragraph" w:customStyle="1" w:styleId="346">
    <w:name w:val="texto1"/>
    <w:basedOn w:val="1"/>
    <w:qFormat/>
    <w:uiPriority w:val="0"/>
    <w:pPr>
      <w:spacing w:before="280" w:after="280"/>
    </w:pPr>
    <w:rPr>
      <w:rFonts w:ascii="Times New Roman" w:hAnsi="Times New Roman" w:eastAsia="Times New Roman" w:cs="Times New Roman"/>
      <w:lang w:eastAsia="zh-CN"/>
    </w:rPr>
  </w:style>
  <w:style w:type="character" w:customStyle="1" w:styleId="347">
    <w:name w:val="Texto de comentário Char1"/>
    <w:basedOn w:val="11"/>
    <w:link w:val="22"/>
    <w:qFormat/>
    <w:uiPriority w:val="0"/>
    <w:rPr>
      <w:rFonts w:ascii="Ecofont_Spranq_eco_Sans;Malgun" w:hAnsi="Ecofont_Spranq_eco_Sans;Malgun" w:eastAsia="Times New Roman" w:cs="Tahoma"/>
      <w:sz w:val="20"/>
      <w:szCs w:val="20"/>
      <w:lang w:eastAsia="zh-CN"/>
    </w:rPr>
  </w:style>
  <w:style w:type="paragraph" w:customStyle="1" w:styleId="348">
    <w:name w:val="Standard"/>
    <w:qFormat/>
    <w:uiPriority w:val="99"/>
    <w:pPr>
      <w:suppressAutoHyphens/>
    </w:pPr>
    <w:rPr>
      <w:rFonts w:ascii="Liberation Serif;Times New Roma" w:hAnsi="Liberation Serif;Times New Roma" w:eastAsia="NSimSun" w:cs="Lucida Sans"/>
      <w:kern w:val="2"/>
      <w:sz w:val="24"/>
      <w:szCs w:val="24"/>
      <w:lang w:val="pt-BR" w:eastAsia="zh-CN" w:bidi="hi-IN"/>
    </w:rPr>
  </w:style>
  <w:style w:type="paragraph" w:customStyle="1" w:styleId="349">
    <w:name w:val="Nível 2 -Red"/>
    <w:basedOn w:val="204"/>
    <w:qFormat/>
    <w:uiPriority w:val="0"/>
    <w:pPr>
      <w:ind w:left="720" w:hanging="360"/>
    </w:pPr>
    <w:rPr>
      <w:rFonts w:eastAsia="Times New Roman"/>
      <w:i/>
      <w:iCs/>
      <w:color w:val="FF0000"/>
      <w:lang w:eastAsia="zh-CN"/>
    </w:rPr>
  </w:style>
  <w:style w:type="paragraph" w:customStyle="1" w:styleId="350">
    <w:name w:val="Nível 3-R"/>
    <w:basedOn w:val="205"/>
    <w:qFormat/>
    <w:uiPriority w:val="0"/>
    <w:pPr>
      <w:ind w:left="720" w:hanging="360"/>
    </w:pPr>
    <w:rPr>
      <w:rFonts w:eastAsia="Times New Roman"/>
      <w:i/>
      <w:iCs/>
      <w:color w:val="FF0000"/>
      <w:lang w:eastAsia="zh-CN"/>
    </w:rPr>
  </w:style>
  <w:style w:type="paragraph" w:customStyle="1" w:styleId="351">
    <w:name w:val="Nível 1-Sem Num"/>
    <w:basedOn w:val="70"/>
    <w:qFormat/>
    <w:uiPriority w:val="0"/>
    <w:pPr>
      <w:ind w:left="357"/>
      <w:outlineLvl w:val="1"/>
    </w:pPr>
    <w:rPr>
      <w:rFonts w:ascii="Arial" w:hAnsi="Arial" w:eastAsia="Times New Roman" w:cs="Arial"/>
      <w:color w:val="FF0000"/>
      <w:lang w:eastAsia="zh-CN"/>
    </w:rPr>
  </w:style>
  <w:style w:type="character" w:customStyle="1" w:styleId="352">
    <w:name w:val="Assunto do comentário Char1"/>
    <w:basedOn w:val="347"/>
    <w:link w:val="32"/>
    <w:qFormat/>
    <w:uiPriority w:val="0"/>
    <w:rPr>
      <w:rFonts w:ascii="Times New Roman" w:hAnsi="Times New Roman" w:eastAsia="Times New Roman" w:cs="Times New Roman"/>
      <w:b/>
      <w:bCs/>
      <w:sz w:val="20"/>
      <w:szCs w:val="20"/>
      <w:lang w:eastAsia="zh-CN"/>
    </w:rPr>
  </w:style>
  <w:style w:type="character" w:customStyle="1" w:styleId="353">
    <w:name w:val="Citação Char1"/>
    <w:basedOn w:val="11"/>
    <w:qFormat/>
    <w:uiPriority w:val="0"/>
    <w:rPr>
      <w:rFonts w:ascii="Calibri" w:hAnsi="Calibri" w:eastAsia="Calibri"/>
      <w:i/>
      <w:iCs/>
      <w:color w:val="404040"/>
      <w:kern w:val="2"/>
      <w:sz w:val="22"/>
      <w:szCs w:val="22"/>
      <w:lang w:eastAsia="zh-CN"/>
    </w:rPr>
  </w:style>
  <w:style w:type="paragraph" w:styleId="354">
    <w:name w:val="Intense Quote"/>
    <w:basedOn w:val="1"/>
    <w:next w:val="1"/>
    <w:link w:val="355"/>
    <w:qFormat/>
    <w:uiPriority w:val="0"/>
    <w:pPr>
      <w:pBdr>
        <w:top w:val="single" w:color="2F5496" w:sz="4" w:space="10"/>
        <w:bottom w:val="single" w:color="2F5496" w:sz="4" w:space="10"/>
      </w:pBdr>
      <w:spacing w:before="360" w:after="360" w:line="256" w:lineRule="auto"/>
      <w:ind w:left="864" w:right="864"/>
      <w:jc w:val="center"/>
    </w:pPr>
    <w:rPr>
      <w:rFonts w:ascii="Calibri" w:hAnsi="Calibri" w:eastAsia="Calibri" w:cs="Times New Roman"/>
      <w:i/>
      <w:iCs/>
      <w:color w:val="2F5496"/>
      <w:kern w:val="2"/>
      <w:sz w:val="22"/>
      <w:szCs w:val="22"/>
      <w:lang w:eastAsia="zh-CN"/>
    </w:rPr>
  </w:style>
  <w:style w:type="character" w:customStyle="1" w:styleId="355">
    <w:name w:val="Citação Intensa Char1"/>
    <w:basedOn w:val="11"/>
    <w:link w:val="354"/>
    <w:uiPriority w:val="0"/>
    <w:rPr>
      <w:rFonts w:ascii="Calibri" w:hAnsi="Calibri" w:eastAsia="Calibri" w:cs="Times New Roman"/>
      <w:i/>
      <w:iCs/>
      <w:color w:val="2F5496"/>
      <w:kern w:val="2"/>
      <w:sz w:val="22"/>
      <w:szCs w:val="22"/>
      <w:lang w:eastAsia="zh-CN"/>
    </w:rPr>
  </w:style>
  <w:style w:type="paragraph" w:customStyle="1" w:styleId="356">
    <w:name w:val="Table Contents"/>
    <w:basedOn w:val="1"/>
    <w:qFormat/>
    <w:uiPriority w:val="0"/>
    <w:pPr>
      <w:suppressLineNumbers/>
    </w:pPr>
    <w:rPr>
      <w:rFonts w:ascii="Times New Roman" w:hAnsi="Times New Roman" w:eastAsia="Times New Roman" w:cs="Times New Roman"/>
      <w:sz w:val="20"/>
      <w:szCs w:val="20"/>
      <w:lang w:eastAsia="zh-CN"/>
    </w:rPr>
  </w:style>
  <w:style w:type="paragraph" w:customStyle="1" w:styleId="357">
    <w:name w:val="Table Heading"/>
    <w:basedOn w:val="356"/>
    <w:qFormat/>
    <w:uiPriority w:val="0"/>
    <w:pPr>
      <w:jc w:val="center"/>
    </w:pPr>
    <w:rPr>
      <w:b/>
      <w:bCs/>
    </w:rPr>
  </w:style>
  <w:style w:type="character" w:customStyle="1" w:styleId="358">
    <w:name w:val="Sem Espaçamento Char"/>
    <w:link w:val="69"/>
    <w:locked/>
    <w:uiPriority w:val="1"/>
    <w:rPr>
      <w:rFonts w:ascii="Calibri" w:hAnsi="Calibri" w:eastAsia="Calibri" w:cs="Times New Roman"/>
    </w:rPr>
  </w:style>
  <w:style w:type="paragraph" w:customStyle="1" w:styleId="359">
    <w:name w:val="Revision"/>
    <w:semiHidden/>
    <w:uiPriority w:val="99"/>
    <w:rPr>
      <w:rFonts w:ascii="Times New Roman" w:hAnsi="Times New Roman" w:eastAsia="Times New Roman" w:cs="Times New Roman"/>
      <w:sz w:val="24"/>
      <w:szCs w:val="24"/>
      <w:lang w:val="pt-BR" w:eastAsia="pt-BR" w:bidi="ar-SA"/>
    </w:rPr>
  </w:style>
  <w:style w:type="paragraph" w:customStyle="1" w:styleId="360">
    <w:name w:val="PADRÃO"/>
    <w:uiPriority w:val="99"/>
    <w:pPr>
      <w:keepNext/>
      <w:widowControl w:val="0"/>
      <w:shd w:val="clear" w:color="auto" w:fill="FFFFFF"/>
      <w:spacing w:before="119" w:after="119" w:line="276" w:lineRule="auto"/>
      <w:ind w:firstLine="567"/>
      <w:jc w:val="both"/>
    </w:pPr>
    <w:rPr>
      <w:rFonts w:ascii="Ecofont_Spranq_eco_Sans" w:hAnsi="Ecofont_Spranq_eco_Sans" w:eastAsia="WenQuanYi Micro Hei" w:cs="Lohit Hindi"/>
      <w:sz w:val="24"/>
      <w:szCs w:val="24"/>
      <w:lang w:val="pt-BR" w:eastAsia="zh-CN" w:bidi="hi-IN"/>
    </w:rPr>
  </w:style>
  <w:style w:type="character" w:customStyle="1" w:styleId="361">
    <w:name w:val="HiperlinkVisitado1"/>
    <w:semiHidden/>
    <w:uiPriority w:val="99"/>
    <w:rPr>
      <w:color w:val="800080"/>
      <w:u w:val="single"/>
    </w:rPr>
  </w:style>
  <w:style w:type="character" w:customStyle="1" w:styleId="362">
    <w:name w:val="Menção Pendente2"/>
    <w:semiHidden/>
    <w:qFormat/>
    <w:uiPriority w:val="99"/>
    <w:rPr>
      <w:color w:val="605E5C"/>
      <w:shd w:val="clear" w:color="auto" w:fill="E1DFDD"/>
    </w:rPr>
  </w:style>
  <w:style w:type="table" w:customStyle="1" w:styleId="363">
    <w:name w:val="Tabela com grade2"/>
    <w:basedOn w:val="12"/>
    <w:qFormat/>
    <w:uiPriority w:val="39"/>
    <w:rPr>
      <w:rFonts w:ascii="Times New Roman" w:hAnsi="Times New Roman" w:eastAsia="Times New Roman" w:cs="Times New Roma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9C5DDE1-51F6-4DD6-B343-8BDC2DA7F92F}">
  <ds:schemaRefs/>
</ds:datastoreItem>
</file>

<file path=docProps/app.xml><?xml version="1.0" encoding="utf-8"?>
<Properties xmlns="http://schemas.openxmlformats.org/officeDocument/2006/extended-properties" xmlns:vt="http://schemas.openxmlformats.org/officeDocument/2006/docPropsVTypes">
  <Template>Normal</Template>
  <Pages>21</Pages>
  <Words>9108</Words>
  <Characters>52848</Characters>
  <Lines>443</Lines>
  <Paragraphs>125</Paragraphs>
  <TotalTime>408</TotalTime>
  <ScaleCrop>false</ScaleCrop>
  <LinksUpToDate>false</LinksUpToDate>
  <CharactersWithSpaces>61726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2025-11-24T16:33:00Z</dcterms:created>
  <dc:creator>Secretaria Municipal Saúde Carnaubais</dc:creator>
  <cp:lastModifiedBy>fraup</cp:lastModifiedBy>
  <cp:lastPrinted>2025-07-17T12:19:00Z</cp:lastPrinted>
  <dcterms:modified xsi:type="dcterms:W3CDTF">2026-01-22T17:10:32Z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C0E92A05C14041319C02C249FD9DE5B9_13</vt:lpwstr>
  </property>
</Properties>
</file>