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0DAF57DA" w14:textId="77777777" w:rsidP="00801ADD" w:rsidR="00801ADD" w:rsidRDefault="00801ADD" w:rsidRPr="00D04EA9">
      <w:pPr>
        <w:pBdr>
          <w:top w:color="auto" w:space="1" w:sz="4" w:val="single"/>
          <w:left w:color="auto" w:space="4" w:sz="4" w:val="single"/>
          <w:bottom w:color="auto" w:space="1" w:sz="4" w:val="single"/>
          <w:right w:color="auto" w:space="4" w:sz="4" w:val="single"/>
        </w:pBdr>
        <w:shd w:color="auto" w:fill="D0CECE" w:val="clear"/>
        <w:jc w:val="center"/>
        <w:rPr>
          <w:rFonts w:ascii="Garamond" w:hAnsi="Garamond"/>
          <w:b/>
          <w:bCs/>
          <w:sz w:val="28"/>
          <w:szCs w:val="28"/>
        </w:rPr>
      </w:pPr>
      <w:r w:rsidRPr="00D04EA9">
        <w:rPr>
          <w:rFonts w:ascii="Garamond" w:hAnsi="Garamond"/>
          <w:b/>
          <w:bCs/>
          <w:sz w:val="28"/>
          <w:szCs w:val="28"/>
        </w:rPr>
        <w:t>PARECER JURÍDICO</w:t>
      </w:r>
    </w:p>
    <w:p w14:paraId="1ACA092F" w14:textId="77777777" w:rsidP="00801ADD" w:rsidR="00801ADD" w:rsidRDefault="00801ADD">
      <w:pPr>
        <w:pStyle w:val="NormalWeb"/>
        <w:shd w:color="auto" w:fill="FFFFFF" w:val="clear"/>
        <w:spacing w:after="0" w:afterAutospacing="false" w:before="0" w:beforeAutospacing="false" w:line="360" w:lineRule="auto"/>
        <w:rPr>
          <w:rFonts w:ascii="Garamond" w:hAnsi="Garamond"/>
          <w:b/>
          <w:bCs/>
          <w:spacing w:val="2"/>
        </w:rPr>
      </w:pPr>
    </w:p>
    <w:p w14:paraId="53CF1263" w14:textId="77777777" w:rsidP="00801ADD" w:rsidR="00801ADD" w:rsidRDefault="00801ADD" w:rsidRPr="00D04EA9">
      <w:pPr>
        <w:pStyle w:val="NormalWeb"/>
        <w:shd w:color="auto" w:fill="FFFFFF" w:val="clear"/>
        <w:spacing w:after="0" w:afterAutospacing="false" w:before="0" w:beforeAutospacing="false" w:line="360" w:lineRule="auto"/>
        <w:rPr>
          <w:rFonts w:ascii="Garamond" w:hAnsi="Garamond"/>
          <w:spacing w:val="2"/>
        </w:rPr>
      </w:pPr>
      <w:r>
        <w:rPr>
          <w:rFonts w:ascii="Garamond" w:hAnsi="Garamond"/>
          <w:b/>
          <w:bCs/>
          <w:spacing w:val="2"/>
        </w:rPr>
        <w:t>PROCURADORIA GERAL DO MUNICÍPIO</w:t>
      </w:r>
    </w:p>
    <w:p w14:paraId="4A01304A" w14:textId="77777777" w:rsidP="00801ADD" w:rsidR="00801ADD" w:rsidRDefault="00801ADD" w:rsidRPr="00D04EA9">
      <w:pPr>
        <w:pStyle w:val="NormalWeb"/>
        <w:shd w:color="auto" w:fill="FFFFFF" w:val="clear"/>
        <w:spacing w:after="0" w:afterAutospacing="false" w:before="0" w:beforeAutospacing="false" w:line="360" w:lineRule="auto"/>
        <w:jc w:val="both"/>
        <w:rPr>
          <w:rFonts w:ascii="Garamond" w:hAnsi="Garamond"/>
          <w:spacing w:val="2"/>
        </w:rPr>
      </w:pPr>
      <w:r w:rsidRPr="00D04EA9">
        <w:rPr>
          <w:rFonts w:ascii="Garamond" w:hAnsi="Garamond"/>
          <w:b/>
          <w:bCs/>
          <w:spacing w:val="2"/>
        </w:rPr>
        <w:t xml:space="preserve">PROCEDIMENTO ADMINISTRATIVO:</w:t>
      </w:r>
      <w:r w:rsidRPr="00D04EA9">
        <w:rPr>
          <w:rFonts w:ascii="Garamond" w:hAnsi="Garamond"/>
          <w:spacing w:val="2"/>
        </w:rPr>
        <w:t xml:space="preserve"> </w:t>
      </w:r>
      <w:r w:rsidRPr="00D81A2D">
        <w:rPr>
          <w:rFonts w:ascii="Garamond" w:hAnsi="Garamond"/>
          <w:spacing w:val="2"/>
        </w:rPr>
        <w:t xml:space="preserve">08010001/2026</w:t>
      </w:r>
    </w:p>
    <w:p w14:paraId="2AA655EF" w14:textId="77777777" w:rsidP="00801ADD" w:rsidR="00801ADD" w:rsidRDefault="00801ADD" w:rsidRPr="00D04EA9">
      <w:pPr>
        <w:pStyle w:val="NormalWeb"/>
        <w:shd w:color="auto" w:fill="FFFFFF" w:val="clear"/>
        <w:spacing w:after="0" w:afterAutospacing="false" w:before="0" w:beforeAutospacing="false" w:line="360" w:lineRule="auto"/>
        <w:jc w:val="both"/>
        <w:rPr>
          <w:rFonts w:ascii="Garamond" w:hAnsi="Garamond"/>
          <w:spacing w:val="2"/>
        </w:rPr>
      </w:pPr>
      <w:r>
        <w:rPr>
          <w:rFonts w:ascii="Garamond" w:hAnsi="Garamond"/>
          <w:b/>
          <w:spacing w:val="2"/>
        </w:rPr>
        <w:t xml:space="preserve">INEXIGIBILIDADE</w:t>
      </w:r>
      <w:r w:rsidRPr="00D04EA9">
        <w:rPr>
          <w:rFonts w:ascii="Garamond" w:hAnsi="Garamond"/>
          <w:b/>
          <w:spacing w:val="2"/>
        </w:rPr>
        <w:t xml:space="preserve"> DE LICITAÇÃO Nº</w:t>
      </w:r>
      <w:r>
        <w:rPr>
          <w:rFonts w:ascii="Garamond" w:hAnsi="Garamond"/>
          <w:spacing w:val="2"/>
        </w:rPr>
        <w:t xml:space="preserve"> </w:t>
      </w:r>
      <w:r>
        <w:rPr>
          <w:rFonts w:ascii="Garamond" w:hAnsi="Garamond"/>
          <w:spacing w:val="2"/>
        </w:rPr>
        <w:t xml:space="preserve">080101/2025</w:t>
      </w:r>
    </w:p>
    <w:p w14:paraId="4A3B7D80" w14:textId="77777777" w:rsidP="00801ADD" w:rsidR="00801ADD" w:rsidRDefault="00801ADD" w:rsidRPr="00D04EA9">
      <w:pPr>
        <w:pStyle w:val="NormalWeb"/>
        <w:shd w:color="auto" w:fill="FFFFFF" w:val="clear"/>
        <w:spacing w:after="0" w:afterAutospacing="false" w:before="0" w:beforeAutospacing="false" w:line="360" w:lineRule="auto"/>
        <w:jc w:val="both"/>
        <w:rPr>
          <w:rFonts w:ascii="Garamond" w:hAnsi="Garamond"/>
          <w:spacing w:val="2"/>
        </w:rPr>
      </w:pPr>
      <w:r w:rsidRPr="00D04EA9">
        <w:rPr>
          <w:rFonts w:ascii="Garamond" w:hAnsi="Garamond"/>
          <w:b/>
          <w:bCs/>
          <w:spacing w:val="2"/>
        </w:rPr>
        <w:t xml:space="preserve">SOLICITANTE: </w:t>
      </w:r>
      <w:r w:rsidRPr="00D04EA9">
        <w:rPr>
          <w:rFonts w:ascii="Garamond" w:hAnsi="Garamond"/>
          <w:spacing w:val="2"/>
        </w:rPr>
        <w:t xml:space="preserve">COMISSÃO PERMANENTE DE LICITAÇÃO - CPL </w:t>
      </w:r>
    </w:p>
    <w:p w14:paraId="674A82DF" w14:textId="77777777" w:rsidP="00801ADD" w:rsidR="00801ADD" w:rsidRDefault="00801ADD">
      <w:pPr>
        <w:pStyle w:val="NormalWeb"/>
        <w:shd w:color="auto" w:fill="FFFFFF" w:val="clear"/>
        <w:spacing w:after="0" w:afterAutospacing="false" w:before="0" w:beforeAutospacing="false" w:line="360" w:lineRule="auto"/>
        <w:jc w:val="both"/>
        <w:rPr>
          <w:rFonts w:ascii="Garamond" w:hAnsi="Garamond"/>
          <w:b/>
          <w:bCs/>
          <w:spacing w:val="2"/>
        </w:rPr>
      </w:pPr>
    </w:p>
    <w:p w14:paraId="308B8A04" w14:textId="77777777" w:rsidP="00801ADD" w:rsidR="00801ADD" w:rsidRDefault="00801ADD" w:rsidRPr="00D04EA9">
      <w:pPr>
        <w:pStyle w:val="NormalWeb"/>
        <w:shd w:color="auto" w:fill="FFFFFF" w:val="clear"/>
        <w:spacing w:after="0" w:afterAutospacing="false" w:before="0" w:beforeAutospacing="false" w:line="360" w:lineRule="auto"/>
        <w:jc w:val="both"/>
        <w:rPr>
          <w:rFonts w:ascii="Garamond" w:hAnsi="Garamond"/>
          <w:color w:val="000000"/>
          <w:spacing w:val="2"/>
        </w:rPr>
      </w:pPr>
      <w:r w:rsidRPr="00D04EA9">
        <w:rPr>
          <w:rFonts w:ascii="Garamond" w:hAnsi="Garamond"/>
          <w:b/>
          <w:bCs/>
          <w:spacing w:val="2"/>
        </w:rPr>
        <w:t>OBJETO</w:t>
      </w:r>
      <w:r w:rsidRPr="00D04EA9">
        <w:rPr>
          <w:rFonts w:ascii="Garamond" w:hAnsi="Garamond"/>
          <w:spacing w:val="2"/>
        </w:rPr>
        <w:t xml:space="preserve">: </w:t>
      </w:r>
      <w:r w:rsidRPr="00D04EA9">
        <w:rPr>
          <w:rFonts w:ascii="Garamond" w:hAnsi="Garamond"/>
          <w:color w:val="000000"/>
          <w:spacing w:val="2"/>
        </w:rPr>
        <w:t>POSSIBILIDADE DE CONTRATAÇÃO</w:t>
      </w:r>
      <w:r>
        <w:rPr>
          <w:rFonts w:ascii="Garamond" w:hAnsi="Garamond"/>
          <w:color w:val="000000"/>
          <w:spacing w:val="2"/>
        </w:rPr>
        <w:t xml:space="preserve"> DIRETA</w:t>
      </w:r>
      <w:r w:rsidRPr="00D04EA9">
        <w:rPr>
          <w:rFonts w:ascii="Garamond" w:hAnsi="Garamond"/>
          <w:color w:val="000000"/>
          <w:spacing w:val="2"/>
        </w:rPr>
        <w:t xml:space="preserve"> DE </w:t>
      </w:r>
      <w:r>
        <w:rPr>
          <w:rFonts w:ascii="Garamond" w:hAnsi="Garamond"/>
          <w:color w:val="000000"/>
          <w:spacing w:val="2"/>
        </w:rPr>
        <w:t>PESSOA JURÍDICA</w:t>
      </w:r>
      <w:r w:rsidRPr="00D04EA9">
        <w:rPr>
          <w:rFonts w:ascii="Garamond" w:hAnsi="Garamond"/>
          <w:color w:val="000000"/>
          <w:spacing w:val="2"/>
        </w:rPr>
        <w:t xml:space="preserve"> OU FÍSICA MEDIANTE </w:t>
      </w:r>
      <w:r>
        <w:rPr>
          <w:rFonts w:ascii="Garamond" w:hAnsi="Garamond"/>
          <w:color w:val="000000"/>
          <w:spacing w:val="2"/>
        </w:rPr>
        <w:t>INEXIGIBILIDADE</w:t>
      </w:r>
      <w:r w:rsidRPr="00D04EA9">
        <w:rPr>
          <w:rFonts w:ascii="Garamond" w:hAnsi="Garamond"/>
          <w:color w:val="000000"/>
          <w:spacing w:val="2"/>
        </w:rPr>
        <w:t xml:space="preserve"> DE LICITAÇÃO</w:t>
      </w:r>
      <w:r>
        <w:rPr>
          <w:rFonts w:ascii="Garamond" w:hAnsi="Garamond"/>
          <w:color w:val="000000"/>
          <w:spacing w:val="2"/>
        </w:rPr>
        <w:t>.</w:t>
      </w:r>
    </w:p>
    <w:p w14:paraId="743A8F98" w14:textId="77777777" w:rsidP="00801ADD" w:rsidR="00801ADD" w:rsidRDefault="00801ADD" w:rsidRPr="00D04EA9">
      <w:pPr>
        <w:spacing w:after="240"/>
        <w:ind w:left="3969" w:right="-2"/>
        <w:jc w:val="both"/>
        <w:rPr>
          <w:rFonts w:ascii="Garamond" w:hAnsi="Garamond"/>
          <w:b/>
          <w:sz w:val="24"/>
          <w:szCs w:val="24"/>
        </w:rPr>
      </w:pPr>
    </w:p>
    <w:p w14:paraId="05A3B9C0" w14:textId="77777777" w:rsidP="00801ADD" w:rsidR="00801ADD" w:rsidRDefault="00801ADD">
      <w:pPr>
        <w:ind w:left="3969"/>
        <w:jc w:val="both"/>
        <w:rPr>
          <w:rFonts w:ascii="Garamond" w:hAnsi="Garamond"/>
          <w:sz w:val="24"/>
          <w:szCs w:val="24"/>
        </w:rPr>
      </w:pPr>
      <w:r w:rsidRPr="00D04EA9">
        <w:rPr>
          <w:rFonts w:ascii="Garamond" w:hAnsi="Garamond"/>
          <w:b/>
          <w:sz w:val="24"/>
          <w:szCs w:val="24"/>
        </w:rPr>
        <w:t xml:space="preserve">EMENTA:</w:t>
      </w:r>
      <w:r w:rsidRPr="00D04EA9">
        <w:rPr>
          <w:rFonts w:ascii="Garamond" w:hAnsi="Garamond"/>
          <w:sz w:val="24"/>
          <w:szCs w:val="24"/>
        </w:rPr>
        <w:t xml:space="preserve"> ADMINISTRATIVO. NOVA LEI DE LICITAÇÕES E CONTRATOS </w:t>
      </w:r>
      <w:r w:rsidRPr="00D8434C">
        <w:rPr>
          <w:rFonts w:ascii="Garamond" w:hAnsi="Garamond"/>
          <w:sz w:val="24"/>
          <w:szCs w:val="24"/>
        </w:rPr>
        <w:t xml:space="preserve">ADMINISTRATIVOS. CONTRATAÇÃO DIRETA. INEXIGIBILIDADE DE LICITAÇÃO FUNDAMENTADA NO ART. </w:t>
      </w:r>
      <w:r w:rsidRPr="00D8434C">
        <w:rPr>
          <w:rFonts w:ascii="Garamond" w:hAnsi="Garamond"/>
          <w:sz w:val="24"/>
          <w:szCs w:val="24"/>
        </w:rPr>
        <w:t xml:space="preserve">Art. 74, II</w:t>
      </w:r>
      <w:r w:rsidRPr="00D8434C">
        <w:rPr>
          <w:rFonts w:ascii="Garamond" w:hAnsi="Garamond"/>
          <w:sz w:val="24"/>
          <w:szCs w:val="24"/>
        </w:rPr>
        <w:t xml:space="preserve">, DA LEI Nº. 14.133/2021.</w:t>
      </w:r>
      <w:r w:rsidRPr="00D8434C">
        <w:rPr>
          <w:rFonts w:ascii="Garamond" w:hAnsi="Garamond"/>
          <w:b/>
          <w:bCs/>
          <w:sz w:val="24"/>
          <w:szCs w:val="24"/>
        </w:rPr>
        <w:t xml:space="preserve"> </w:t>
      </w:r>
      <w:r w:rsidRPr="00D8434C">
        <w:rPr>
          <w:rFonts w:ascii="Garamond" w:hAnsi="Garamond"/>
          <w:b/>
          <w:bCs/>
          <w:sz w:val="24"/>
          <w:szCs w:val="24"/>
        </w:rPr>
        <w:t xml:space="preserve">Contratação de apresentação artística musical do cantor KADU MARTINS, a ser realizada no Município de Encanto/RN, em data previamente definida pela Administração, com duração aproximada de 01h40min, destinada a compor a programação cultural e festiva promovida pelo Município, visando o fortalecimento das manifestações culturais, o incentivo à cultura local e regional e a promoção de eventos de interesse público.</w:t>
      </w:r>
      <w:r w:rsidRPr="00D8434C">
        <w:rPr>
          <w:rFonts w:ascii="Garamond" w:hAnsi="Garamond"/>
          <w:b/>
          <w:bCs/>
          <w:sz w:val="24"/>
          <w:szCs w:val="24"/>
        </w:rPr>
        <w:t xml:space="preserve"> </w:t>
      </w:r>
      <w:r w:rsidRPr="00D8434C">
        <w:rPr>
          <w:rFonts w:ascii="Garamond" w:hAnsi="Garamond"/>
          <w:sz w:val="24"/>
          <w:szCs w:val="24"/>
        </w:rPr>
        <w:t xml:space="preserve">É inexigível a realização de licitação na forma do art. </w:t>
      </w:r>
      <w:r w:rsidRPr="00D8434C">
        <w:rPr>
          <w:rFonts w:ascii="Garamond" w:cs="Arial" w:hAnsi="Garamond"/>
          <w:sz w:val="24"/>
          <w:szCs w:val="24"/>
        </w:rPr>
        <w:t xml:space="preserve">Art. 74, II</w:t>
      </w:r>
      <w:r w:rsidRPr="00D8434C">
        <w:rPr>
          <w:rFonts w:ascii="Garamond" w:hAnsi="Garamond"/>
          <w:sz w:val="24"/>
          <w:szCs w:val="24"/>
        </w:rPr>
        <w:t xml:space="preserve">, da Lei nº. 14.133/21, e demais normas aplicáveis. Tendo a contratação atendido aos</w:t>
      </w:r>
      <w:r w:rsidRPr="00D04EA9">
        <w:rPr>
          <w:rFonts w:ascii="Garamond" w:hAnsi="Garamond"/>
          <w:sz w:val="24"/>
          <w:szCs w:val="24"/>
        </w:rPr>
        <w:t xml:space="preserve"> requisitos de validade e aos preços regulares de mercado, é possível sua celebração na forma apresentada.</w:t>
      </w:r>
    </w:p>
    <w:p w14:paraId="7519B438" w14:textId="77777777" w:rsidP="00801ADD" w:rsidR="00801ADD" w:rsidRDefault="00801ADD">
      <w:pPr>
        <w:spacing w:after="240"/>
        <w:ind w:right="-2"/>
        <w:jc w:val="both"/>
        <w:rPr>
          <w:rFonts w:ascii="Garamond" w:hAnsi="Garamond"/>
          <w:sz w:val="24"/>
          <w:szCs w:val="24"/>
        </w:rPr>
      </w:pPr>
    </w:p>
    <w:p w14:paraId="7623AE65" w14:textId="77777777" w:rsidP="00801ADD" w:rsidR="00801ADD" w:rsidRDefault="00801ADD" w:rsidRPr="00D04EA9">
      <w:pPr>
        <w:spacing w:after="240"/>
        <w:ind w:right="-2"/>
        <w:jc w:val="both"/>
        <w:rPr>
          <w:rFonts w:ascii="Garamond" w:hAnsi="Garamond"/>
          <w:b/>
          <w:sz w:val="24"/>
          <w:szCs w:val="24"/>
        </w:rPr>
      </w:pPr>
    </w:p>
    <w:p w14:paraId="51E641D1" w14:textId="77777777" w:rsidP="00801ADD" w:rsidR="00801ADD" w:rsidRDefault="00801ADD" w:rsidRPr="00A90A08">
      <w:pPr>
        <w:pStyle w:val="NormalWeb"/>
        <w:numPr>
          <w:ilvl w:val="0"/>
          <w:numId w:val="1"/>
        </w:numPr>
        <w:pBdr>
          <w:bottom w:color="auto" w:space="1" w:sz="4" w:val="single"/>
        </w:pBdr>
        <w:shd w:color="auto" w:fill="FFFFFF" w:val="clear"/>
        <w:spacing w:after="240" w:afterAutospacing="false"/>
        <w:ind w:firstLine="0" w:left="0"/>
        <w:rPr>
          <w:rFonts w:ascii="Garamond" w:hAnsi="Garamond"/>
          <w:b/>
          <w:i/>
          <w:iCs/>
          <w:spacing w:val="2"/>
          <w:lang w:eastAsia="ar-SA"/>
        </w:rPr>
      </w:pPr>
      <w:r w:rsidRPr="00A90A08">
        <w:rPr>
          <w:rFonts w:ascii="Garamond" w:hAnsi="Garamond"/>
          <w:b/>
          <w:i/>
          <w:iCs/>
          <w:spacing w:val="2"/>
          <w:lang w:eastAsia="ar-SA"/>
        </w:rPr>
        <w:t>D</w:t>
      </w:r>
      <w:r>
        <w:rPr>
          <w:rFonts w:ascii="Garamond" w:hAnsi="Garamond"/>
          <w:b/>
          <w:i/>
          <w:iCs/>
          <w:spacing w:val="2"/>
          <w:lang w:eastAsia="ar-SA"/>
        </w:rPr>
        <w:t>o Relatório</w:t>
      </w:r>
    </w:p>
    <w:p w14:paraId="0977C2C6" w14:textId="77777777" w:rsidP="00801ADD" w:rsidR="00801ADD" w:rsidRDefault="00801ADD" w:rsidRPr="00D04EA9">
      <w:pPr>
        <w:pStyle w:val="NormalWeb"/>
        <w:shd w:color="auto" w:fill="FFFFFF" w:val="clear"/>
        <w:spacing w:after="240" w:afterAutospacing="false"/>
        <w:ind w:firstLine="1701"/>
        <w:jc w:val="both"/>
        <w:rPr>
          <w:rFonts w:ascii="Garamond" w:hAnsi="Garamond"/>
          <w:spacing w:val="2"/>
          <w:lang w:eastAsia="ar-SA"/>
        </w:rPr>
      </w:pPr>
      <w:r w:rsidRPr="00D04EA9">
        <w:rPr>
          <w:rFonts w:ascii="Garamond" w:hAnsi="Garamond"/>
          <w:spacing w:val="2"/>
          <w:lang w:eastAsia="ar-SA"/>
        </w:rPr>
        <w:t xml:space="preserve">Trata-se de procedimento de gestão administrativa que visa a </w:t>
      </w:r>
      <w:r>
        <w:rPr>
          <w:rFonts w:ascii="Garamond" w:hAnsi="Garamond"/>
          <w:spacing w:val="2"/>
          <w:lang w:eastAsia="ar-SA"/>
        </w:rPr>
        <w:t xml:space="preserve">aquisição </w:t>
      </w:r>
      <w:r>
        <w:rPr>
          <w:rFonts w:ascii="Garamond" w:hAnsi="Garamond"/>
          <w:b/>
          <w:bCs/>
          <w:spacing w:val="2"/>
          <w:lang w:eastAsia="ar-SA"/>
        </w:rPr>
        <w:t xml:space="preserve">(ou contratação de serviços)</w:t>
      </w:r>
      <w:r>
        <w:rPr>
          <w:rFonts w:ascii="Garamond" w:hAnsi="Garamond"/>
          <w:spacing w:val="2"/>
          <w:lang w:eastAsia="ar-SA"/>
        </w:rPr>
        <w:t xml:space="preserve"> de </w:t>
      </w:r>
      <w:r w:rsidRPr="00D8434C">
        <w:rPr>
          <w:rFonts w:ascii="Garamond" w:hAnsi="Garamond"/>
          <w:spacing w:val="2"/>
          <w:lang w:eastAsia="ar-SA"/>
        </w:rPr>
        <w:t xml:space="preserve">Contratação de apresentação artística musical do cantor KADU MARTINS, a ser realizada no Município de Encanto/RN, em data previamente definida pela Administração, com duração aproximada de 01h40min, destinada a compor a programação cultural e festiva promovida pelo Município, visando o fortalecimento das manifestações culturais, o incentivo à cultura local e regional e a promoção de eventos de interesse público.</w:t>
      </w:r>
      <w:r w:rsidRPr="00D04EA9">
        <w:rPr>
          <w:rFonts w:ascii="Garamond" w:hAnsi="Garamond"/>
          <w:spacing w:val="2"/>
          <w:lang w:eastAsia="ar-SA"/>
        </w:rPr>
        <w:t xml:space="preserve">, por meio de </w:t>
      </w:r>
      <w:r>
        <w:rPr>
          <w:rFonts w:ascii="Garamond" w:hAnsi="Garamond"/>
          <w:spacing w:val="2"/>
          <w:lang w:eastAsia="ar-SA"/>
        </w:rPr>
        <w:t xml:space="preserve">inexigibilidade de licitação</w:t>
      </w:r>
      <w:r w:rsidRPr="00D04EA9">
        <w:rPr>
          <w:rFonts w:ascii="Garamond" w:hAnsi="Garamond"/>
          <w:spacing w:val="2"/>
          <w:lang w:eastAsia="ar-SA"/>
        </w:rPr>
        <w:t xml:space="preserve">, fundamentada no art. </w:t>
      </w:r>
      <w:r w:rsidRPr="00D8434C">
        <w:rPr>
          <w:rFonts w:ascii="Garamond" w:cs="Arial" w:hAnsi="Garamond"/>
        </w:rPr>
        <w:t xml:space="preserve">Art. 74, II</w:t>
      </w:r>
      <w:r>
        <w:rPr>
          <w:rFonts w:ascii="Garamond" w:hAnsi="Garamond"/>
          <w:spacing w:val="2"/>
          <w:lang w:eastAsia="ar-SA"/>
        </w:rPr>
        <w:t xml:space="preserve">, </w:t>
      </w:r>
      <w:r w:rsidRPr="00D04EA9">
        <w:rPr>
          <w:rFonts w:ascii="Garamond" w:hAnsi="Garamond"/>
          <w:spacing w:val="2"/>
          <w:lang w:eastAsia="ar-SA"/>
        </w:rPr>
        <w:t xml:space="preserve">da Lei nº. 14.133/2021.</w:t>
      </w:r>
    </w:p>
    <w:p w14:paraId="5277E338" w14:textId="77777777" w:rsidP="00801ADD" w:rsidR="00801ADD" w:rsidRDefault="00801ADD" w:rsidRPr="00D04EA9">
      <w:pPr>
        <w:pStyle w:val="NormalWeb"/>
        <w:shd w:color="auto" w:fill="FFFFFF" w:val="clear"/>
        <w:spacing w:after="240" w:afterAutospacing="false"/>
        <w:ind w:firstLine="1701"/>
        <w:jc w:val="both"/>
        <w:rPr>
          <w:rFonts w:ascii="Garamond" w:hAnsi="Garamond"/>
          <w:spacing w:val="2"/>
          <w:lang w:eastAsia="ar-SA"/>
        </w:rPr>
      </w:pPr>
      <w:r w:rsidRPr="00D04EA9">
        <w:rPr>
          <w:rFonts w:ascii="Garamond" w:hAnsi="Garamond"/>
          <w:spacing w:val="2"/>
          <w:lang w:eastAsia="ar-SA"/>
        </w:rPr>
        <w:t xml:space="preserve">Consta nos autos que a necessidade da referida </w:t>
      </w:r>
      <w:r>
        <w:rPr>
          <w:rFonts w:ascii="Garamond" w:hAnsi="Garamond"/>
          <w:spacing w:val="2"/>
          <w:lang w:eastAsia="ar-SA"/>
        </w:rPr>
        <w:t>contratação</w:t>
      </w:r>
      <w:r w:rsidRPr="00D04EA9">
        <w:rPr>
          <w:rFonts w:ascii="Garamond" w:hAnsi="Garamond"/>
          <w:spacing w:val="2"/>
          <w:lang w:eastAsia="ar-SA"/>
        </w:rPr>
        <w:t xml:space="preserve"> foi justificada no Documento de Formalização da Demand</w:t>
      </w:r>
      <w:r>
        <w:rPr>
          <w:rFonts w:ascii="Garamond" w:hAnsi="Garamond"/>
          <w:spacing w:val="2"/>
          <w:lang w:eastAsia="ar-SA"/>
        </w:rPr>
        <w:t>a acostado aos autos.</w:t>
      </w:r>
    </w:p>
    <w:p w14:paraId="5C54CB83" w14:textId="77777777" w:rsidP="00801ADD" w:rsidR="00801ADD" w:rsidRDefault="00801ADD" w:rsidRPr="00157099">
      <w:pPr>
        <w:pStyle w:val="NormalWeb"/>
        <w:shd w:color="auto" w:fill="FFFFFF" w:val="clear"/>
        <w:spacing w:after="240" w:afterAutospacing="false"/>
        <w:ind w:firstLine="1701"/>
        <w:jc w:val="both"/>
        <w:rPr>
          <w:rFonts w:ascii="Garamond" w:hAnsi="Garamond"/>
          <w:spacing w:val="2"/>
          <w:lang w:eastAsia="ar-SA"/>
        </w:rPr>
      </w:pPr>
      <w:r w:rsidRPr="00D04EA9">
        <w:rPr>
          <w:rFonts w:ascii="Garamond" w:hAnsi="Garamond"/>
          <w:spacing w:val="2"/>
          <w:lang w:eastAsia="ar-SA"/>
        </w:rPr>
        <w:t>É que merece ser relatado</w:t>
      </w:r>
      <w:r>
        <w:rPr>
          <w:rFonts w:ascii="Garamond" w:hAnsi="Garamond"/>
          <w:spacing w:val="2"/>
          <w:lang w:eastAsia="ar-SA"/>
        </w:rPr>
        <w:t xml:space="preserve">. Assim, passo a examinar, </w:t>
      </w:r>
      <w:r w:rsidRPr="00D51347">
        <w:rPr>
          <w:rFonts w:ascii="Garamond" w:hAnsi="Garamond"/>
          <w:spacing w:val="2"/>
          <w:lang w:eastAsia="ar-SA"/>
        </w:rPr>
        <w:t>a fim de se lavrar parecer jurídico conclusivo, na forma do art. 53 e do art. 72, III, da Lei nº. 14.133/2021.</w:t>
      </w:r>
    </w:p>
    <w:p w14:paraId="3C103735" w14:textId="77777777" w:rsidP="00801ADD" w:rsidR="00801ADD" w:rsidRDefault="00801ADD">
      <w:pPr>
        <w:pStyle w:val="NormalWeb"/>
        <w:pBdr>
          <w:bottom w:color="auto" w:space="1" w:sz="4" w:val="single"/>
        </w:pBdr>
        <w:shd w:color="auto" w:fill="FFFFFF" w:val="clear"/>
        <w:spacing w:after="240" w:afterAutospacing="false"/>
        <w:rPr>
          <w:rFonts w:ascii="Garamond" w:hAnsi="Garamond"/>
          <w:b/>
          <w:bCs/>
          <w:spacing w:val="2"/>
          <w:lang w:eastAsia="ar-SA"/>
        </w:rPr>
      </w:pPr>
    </w:p>
    <w:p w14:paraId="5522C531" w14:textId="77777777" w:rsidP="00801ADD" w:rsidR="00801ADD" w:rsidRDefault="00801ADD" w:rsidRPr="00157099">
      <w:pPr>
        <w:pStyle w:val="NormalWeb"/>
        <w:numPr>
          <w:ilvl w:val="0"/>
          <w:numId w:val="1"/>
        </w:numPr>
        <w:pBdr>
          <w:bottom w:color="auto" w:space="1" w:sz="4" w:val="single"/>
        </w:pBdr>
        <w:shd w:color="auto" w:fill="FFFFFF" w:val="clear"/>
        <w:spacing w:after="240" w:afterAutospacing="false"/>
        <w:ind w:firstLine="0" w:left="0"/>
        <w:rPr>
          <w:rFonts w:ascii="Garamond" w:hAnsi="Garamond"/>
          <w:b/>
          <w:bCs/>
          <w:spacing w:val="2"/>
          <w:lang w:eastAsia="ar-SA"/>
        </w:rPr>
      </w:pPr>
      <w:r w:rsidRPr="00157099">
        <w:rPr>
          <w:rFonts w:ascii="Garamond" w:hAnsi="Garamond"/>
          <w:b/>
          <w:bCs/>
          <w:i/>
          <w:iCs/>
          <w:spacing w:val="2"/>
          <w:lang w:eastAsia="ar-SA"/>
        </w:rPr>
        <w:t xml:space="preserve">Da possibilidade jurídica </w:t>
      </w:r>
    </w:p>
    <w:p w14:paraId="31F3D9F2" w14:textId="77777777" w:rsidP="00801ADD" w:rsidR="00801ADD" w:rsidRDefault="00801ADD">
      <w:pPr>
        <w:pStyle w:val="NormalWeb"/>
        <w:shd w:color="auto" w:fill="FFFFFF" w:val="clear"/>
        <w:spacing w:after="240" w:afterAutospacing="false"/>
        <w:ind w:firstLine="1701"/>
        <w:jc w:val="both"/>
        <w:rPr>
          <w:rFonts w:ascii="Garamond" w:hAnsi="Garamond"/>
          <w:spacing w:val="2"/>
          <w:lang w:eastAsia="ar-SA"/>
        </w:rPr>
      </w:pPr>
      <w:r w:rsidRPr="00D04EA9">
        <w:rPr>
          <w:rFonts w:ascii="Garamond" w:hAnsi="Garamond"/>
          <w:spacing w:val="2"/>
          <w:lang w:eastAsia="ar-SA"/>
        </w:rPr>
        <w:t>Preliminarmente, convém observar que a Lei nº. 14.133, de 1º de abril de 2021, ao regulamentar o art. 37, XXI, da Constituição Federal, especifica algumas</w:t>
      </w:r>
      <w:r>
        <w:rPr>
          <w:rFonts w:ascii="Garamond" w:hAnsi="Garamond"/>
          <w:spacing w:val="2"/>
          <w:lang w:eastAsia="ar-SA"/>
        </w:rPr>
        <w:t xml:space="preserve"> </w:t>
      </w:r>
      <w:r w:rsidRPr="00D04EA9">
        <w:rPr>
          <w:rFonts w:ascii="Garamond" w:hAnsi="Garamond"/>
          <w:spacing w:val="2"/>
          <w:lang w:eastAsia="ar-SA"/>
        </w:rPr>
        <w:t xml:space="preserve">exceções em que a licitação é dispensada, dispensável ou inexigível. Com relação à </w:t>
      </w:r>
      <w:r>
        <w:rPr>
          <w:rFonts w:ascii="Garamond" w:hAnsi="Garamond"/>
          <w:spacing w:val="2"/>
          <w:lang w:eastAsia="ar-SA"/>
        </w:rPr>
        <w:t>inexigibilidade da licitação</w:t>
      </w:r>
      <w:r w:rsidRPr="00D04EA9">
        <w:rPr>
          <w:rFonts w:ascii="Garamond" w:hAnsi="Garamond"/>
          <w:spacing w:val="2"/>
          <w:lang w:eastAsia="ar-SA"/>
        </w:rPr>
        <w:t>, as hipóteses estão previstas no art. 7</w:t>
      </w:r>
      <w:r>
        <w:rPr>
          <w:rFonts w:ascii="Garamond" w:hAnsi="Garamond"/>
          <w:spacing w:val="2"/>
          <w:lang w:eastAsia="ar-SA"/>
        </w:rPr>
        <w:t>4</w:t>
      </w:r>
      <w:r w:rsidRPr="00D04EA9">
        <w:rPr>
          <w:rFonts w:ascii="Garamond" w:hAnsi="Garamond"/>
          <w:spacing w:val="2"/>
          <w:lang w:eastAsia="ar-SA"/>
        </w:rPr>
        <w:t xml:space="preserve"> da Lei nº. 14.133/21.</w:t>
      </w:r>
    </w:p>
    <w:p w14:paraId="72FCD707" w14:textId="77777777" w:rsidP="00801ADD" w:rsidR="00801ADD" w:rsidRDefault="00801ADD" w:rsidRPr="00E00C35">
      <w:pPr>
        <w:pStyle w:val="NormalWeb"/>
        <w:shd w:color="auto" w:fill="FFFFFF" w:val="clear"/>
        <w:spacing w:after="240"/>
        <w:ind w:firstLine="1701"/>
        <w:jc w:val="both"/>
        <w:rPr>
          <w:rFonts w:ascii="Garamond" w:hAnsi="Garamond"/>
          <w:spacing w:val="2"/>
          <w:lang w:eastAsia="ar-SA"/>
        </w:rPr>
      </w:pPr>
      <w:r w:rsidRPr="00E00C35">
        <w:rPr>
          <w:rFonts w:ascii="Garamond" w:hAnsi="Garamond"/>
          <w:spacing w:val="2"/>
          <w:lang w:eastAsia="ar-SA"/>
        </w:rPr>
        <w:t xml:space="preserve">Conforme dispõe o artigo </w:t>
      </w:r>
      <w:proofErr w:type="gramStart"/>
      <w:r w:rsidRPr="00E00C35">
        <w:rPr>
          <w:rFonts w:ascii="Garamond" w:hAnsi="Garamond"/>
          <w:spacing w:val="2"/>
          <w:lang w:eastAsia="ar-SA"/>
        </w:rPr>
        <w:t>74</w:t>
      </w:r>
      <w:r>
        <w:rPr>
          <w:rFonts w:ascii="Garamond" w:hAnsi="Garamond"/>
          <w:spacing w:val="2"/>
          <w:lang w:eastAsia="ar-SA"/>
        </w:rPr>
        <w:t>,,</w:t>
      </w:r>
      <w:proofErr w:type="gramEnd"/>
      <w:r>
        <w:rPr>
          <w:rFonts w:ascii="Garamond" w:hAnsi="Garamond"/>
          <w:spacing w:val="2"/>
          <w:lang w:eastAsia="ar-SA"/>
        </w:rPr>
        <w:t xml:space="preserve"> </w:t>
      </w:r>
      <w:r w:rsidRPr="00E00C35">
        <w:rPr>
          <w:rFonts w:ascii="Garamond" w:hAnsi="Garamond"/>
          <w:spacing w:val="2"/>
          <w:lang w:eastAsia="ar-SA"/>
        </w:rPr>
        <w:t>da Lei nº 14.133/2021, é inexigível a licitação quando</w:t>
      </w:r>
      <w:r>
        <w:rPr>
          <w:rFonts w:ascii="Garamond" w:hAnsi="Garamond"/>
          <w:spacing w:val="2"/>
          <w:lang w:eastAsia="ar-SA"/>
        </w:rPr>
        <w:t xml:space="preserve"> </w:t>
      </w:r>
      <w:r w:rsidRPr="00E00C35">
        <w:rPr>
          <w:rFonts w:ascii="Garamond" w:hAnsi="Garamond"/>
          <w:spacing w:val="2"/>
          <w:lang w:eastAsia="ar-SA"/>
        </w:rPr>
        <w:t xml:space="preserve">houver inviabilidade de competição nos casos de </w:t>
      </w:r>
      <w:r>
        <w:rPr>
          <w:rFonts w:ascii="Garamond" w:hAnsi="Garamond"/>
          <w:spacing w:val="2"/>
          <w:lang w:eastAsia="ar-SA"/>
        </w:rPr>
        <w:t xml:space="preserve">aquisição </w:t>
      </w:r>
      <w:r w:rsidRPr="00E00C35">
        <w:rPr>
          <w:rFonts w:ascii="Garamond" w:hAnsi="Garamond"/>
          <w:spacing w:val="2"/>
          <w:lang w:eastAsia="ar-SA"/>
        </w:rPr>
        <w:t xml:space="preserve">, in </w:t>
      </w:r>
      <w:proofErr w:type="spellStart"/>
      <w:r w:rsidRPr="00E00C35">
        <w:rPr>
          <w:rFonts w:ascii="Garamond" w:hAnsi="Garamond"/>
          <w:spacing w:val="2"/>
          <w:lang w:eastAsia="ar-SA"/>
        </w:rPr>
        <w:t>verbis</w:t>
      </w:r>
      <w:proofErr w:type="spellEnd"/>
      <w:r w:rsidRPr="00E00C35">
        <w:rPr>
          <w:rFonts w:ascii="Garamond" w:hAnsi="Garamond"/>
          <w:spacing w:val="2"/>
          <w:lang w:eastAsia="ar-SA"/>
        </w:rPr>
        <w:t>:</w:t>
      </w:r>
    </w:p>
    <w:p w14:paraId="68D217A2" w14:textId="77777777" w:rsidP="00801ADD" w:rsidR="00801ADD" w:rsidRDefault="00801ADD" w:rsidRPr="00436A04">
      <w:pPr>
        <w:pStyle w:val="NormalWeb"/>
        <w:shd w:color="auto" w:fill="FFFFFF" w:val="clear"/>
        <w:spacing w:after="240"/>
        <w:ind w:left="2268"/>
        <w:jc w:val="both"/>
        <w:rPr>
          <w:rFonts w:ascii="Garamond" w:hAnsi="Garamond"/>
          <w:b/>
          <w:bCs/>
          <w:spacing w:val="2"/>
          <w:lang w:eastAsia="ar-SA"/>
        </w:rPr>
      </w:pPr>
      <w:r w:rsidRPr="00436A04">
        <w:rPr>
          <w:rFonts w:ascii="Garamond" w:hAnsi="Garamond"/>
          <w:b/>
          <w:bCs/>
          <w:spacing w:val="2"/>
          <w:lang w:eastAsia="ar-SA"/>
        </w:rPr>
        <w:t>Art. 74. É inexigível a licitação quando inviável a competição, em especial nos casos de:</w:t>
      </w:r>
    </w:p>
    <w:p w14:paraId="5EE197DD" w14:textId="77777777" w:rsidP="00801ADD" w:rsidR="00801ADD" w:rsidRDefault="00801ADD" w:rsidRPr="00D8434C">
      <w:pPr>
        <w:pStyle w:val="NormalWeb"/>
        <w:shd w:color="auto" w:fill="FFFFFF" w:val="clear"/>
        <w:spacing w:after="240" w:afterAutospacing="false"/>
        <w:ind w:left="2268"/>
        <w:jc w:val="both"/>
        <w:rPr>
          <w:rFonts w:ascii="Garamond" w:hAnsi="Garamond"/>
          <w:b/>
          <w:bCs/>
          <w:spacing w:val="2"/>
          <w:highlight w:val="yellow"/>
          <w:lang w:eastAsia="ar-SA"/>
        </w:rPr>
      </w:pPr>
      <w:r w:rsidRPr="00D8434C">
        <w:rPr>
          <w:rFonts w:ascii="Garamond" w:hAnsi="Garamond"/>
          <w:b/>
          <w:bCs/>
          <w:spacing w:val="2"/>
          <w:highlight w:val="yellow"/>
          <w:lang w:eastAsia="ar-SA"/>
        </w:rPr>
        <w:t xml:space="preserve">I - </w:t>
      </w:r>
      <w:proofErr w:type="gramStart"/>
      <w:r w:rsidRPr="00D8434C">
        <w:rPr>
          <w:rFonts w:ascii="Garamond" w:hAnsi="Garamond"/>
          <w:b/>
          <w:bCs/>
          <w:spacing w:val="2"/>
          <w:highlight w:val="yellow"/>
          <w:lang w:eastAsia="ar-SA"/>
        </w:rPr>
        <w:t>aquisição</w:t>
      </w:r>
      <w:proofErr w:type="gramEnd"/>
      <w:r w:rsidRPr="00D8434C">
        <w:rPr>
          <w:rFonts w:ascii="Garamond" w:hAnsi="Garamond"/>
          <w:b/>
          <w:bCs/>
          <w:spacing w:val="2"/>
          <w:highlight w:val="yellow"/>
          <w:lang w:eastAsia="ar-SA"/>
        </w:rPr>
        <w:t xml:space="preserve"> de materiais, de equipamentos ou de gêneros ou contratação de serviços que só possam ser fornecidos por produtor, empresa ou representante comercial exclusivos;</w:t>
      </w:r>
    </w:p>
    <w:p w14:paraId="0F8BD659" w14:textId="77777777" w:rsidP="00801ADD" w:rsidR="00801ADD" w:rsidRDefault="00801ADD" w:rsidRPr="00D8434C">
      <w:pPr>
        <w:pStyle w:val="NormalWeb"/>
        <w:shd w:color="auto" w:fill="FFFFFF" w:val="clear"/>
        <w:spacing w:after="240" w:afterAutospacing="false"/>
        <w:ind w:left="2268"/>
        <w:jc w:val="both"/>
        <w:rPr>
          <w:rFonts w:ascii="Garamond" w:hAnsi="Garamond"/>
          <w:b/>
          <w:bCs/>
          <w:spacing w:val="2"/>
          <w:highlight w:val="yellow"/>
          <w:lang w:eastAsia="ar-SA"/>
        </w:rPr>
      </w:pPr>
      <w:r w:rsidRPr="00D8434C">
        <w:rPr>
          <w:rFonts w:ascii="Garamond" w:hAnsi="Garamond"/>
          <w:b/>
          <w:bCs/>
          <w:spacing w:val="2"/>
          <w:highlight w:val="yellow"/>
          <w:lang w:eastAsia="ar-SA"/>
        </w:rPr>
        <w:t>(...)</w:t>
      </w:r>
    </w:p>
    <w:p w14:paraId="02AADEBD" w14:textId="77777777" w:rsidP="00801ADD" w:rsidR="00801ADD" w:rsidRDefault="00801ADD">
      <w:pPr>
        <w:pStyle w:val="NormalWeb"/>
        <w:shd w:color="auto" w:fill="FFFFFF" w:val="clear"/>
        <w:spacing w:after="240" w:afterAutospacing="false"/>
        <w:ind w:left="2268"/>
        <w:jc w:val="both"/>
        <w:rPr>
          <w:rFonts w:ascii="Garamond" w:hAnsi="Garamond"/>
          <w:b/>
          <w:bCs/>
          <w:spacing w:val="2"/>
          <w:lang w:eastAsia="ar-SA"/>
        </w:rPr>
      </w:pPr>
      <w:r w:rsidRPr="00D8434C">
        <w:rPr>
          <w:rFonts w:ascii="Garamond" w:hAnsi="Garamond"/>
          <w:b/>
          <w:bCs/>
          <w:spacing w:val="2"/>
          <w:highlight w:val="yellow"/>
          <w:lang w:eastAsia="ar-SA"/>
        </w:rPr>
        <w:t>§ 1º Para fins do disposto no inciso I do caput deste artigo, a Administração deverá demonstrar a inviabilidade de competição mediante atestado de exclusividade, contrato de exclusividade, declaração do fabricante ou outro documento idôneo capaz de comprovar que o objeto é fornecido ou prestado por produtor, empresa ou representante comercial exclusivos, vedada a preferência por marca específica.</w:t>
      </w:r>
    </w:p>
    <w:p w14:paraId="702FBA4B" w14:textId="77777777" w:rsidP="00801ADD" w:rsidR="00801ADD" w:rsidRDefault="00801ADD" w:rsidRPr="00157099">
      <w:pPr>
        <w:pStyle w:val="NormalWeb"/>
        <w:shd w:color="auto" w:fill="FFFFFF" w:val="clear"/>
        <w:spacing w:after="240" w:afterAutospacing="false"/>
        <w:ind w:firstLine="1701"/>
        <w:jc w:val="both"/>
        <w:rPr>
          <w:rFonts w:ascii="Garamond" w:hAnsi="Garamond"/>
          <w:spacing w:val="2"/>
          <w:lang w:eastAsia="ar-SA"/>
        </w:rPr>
      </w:pPr>
      <w:r>
        <w:rPr>
          <w:rFonts w:ascii="Garamond" w:hAnsi="Garamond"/>
          <w:spacing w:val="2"/>
          <w:lang w:eastAsia="ar-SA"/>
        </w:rPr>
        <w:t xml:space="preserve">A pretensão da </w:t>
      </w:r>
      <w:r>
        <w:rPr>
          <w:rFonts w:ascii="Garamond" w:hAnsi="Garamond"/>
          <w:b/>
          <w:bCs/>
          <w:spacing w:val="2"/>
          <w:lang w:eastAsia="ar-SA"/>
        </w:rPr>
        <w:t xml:space="preserve">SECRETARIA MUNICIPAL </w:t>
      </w:r>
      <w:r>
        <w:rPr>
          <w:rFonts w:ascii="Garamond" w:hAnsi="Garamond"/>
          <w:spacing w:val="2"/>
          <w:lang w:eastAsia="ar-SA"/>
        </w:rPr>
        <w:t xml:space="preserve">é a</w:t>
      </w:r>
      <w:r w:rsidRPr="00D04EA9">
        <w:rPr>
          <w:rFonts w:ascii="Garamond" w:hAnsi="Garamond"/>
          <w:spacing w:val="2"/>
          <w:lang w:eastAsia="ar-SA"/>
        </w:rPr>
        <w:t xml:space="preserve"> </w:t>
      </w:r>
      <w:r w:rsidRPr="00D8434C">
        <w:rPr>
          <w:rFonts w:ascii="Garamond" w:hAnsi="Garamond"/>
          <w:spacing w:val="2"/>
          <w:lang w:eastAsia="ar-SA"/>
        </w:rPr>
        <w:t xml:space="preserve">Contratação de apresentação artística musical do cantor KADU MARTINS, a ser realizada no Município de Encanto/RN, em data previamente definida pela Administração, com duração aproximada de 01h40min, destinada a compor a programação cultural e festiva promovida pelo Município, visando o fortalecimento das manifestações culturais, o incentivo à cultura local e regional e a promoção de eventos de interesse público.</w:t>
      </w:r>
      <w:r>
        <w:rPr>
          <w:rFonts w:ascii="Garamond" w:hAnsi="Garamond"/>
          <w:spacing w:val="2"/>
          <w:lang w:eastAsia="ar-SA"/>
        </w:rPr>
        <w:t xml:space="preserve"> para </w:t>
      </w:r>
      <w:r w:rsidRPr="00D8434C">
        <w:rPr>
          <w:rFonts w:ascii="Garamond" w:hAnsi="Garamond"/>
          <w:b/>
          <w:bCs/>
          <w:spacing w:val="2"/>
          <w:lang w:eastAsia="ar-SA"/>
        </w:rPr>
        <w:t xml:space="preserve">A contratação pretendida atende ao interesse público, contribuindo para o fortalecimento das políticas culturais, a valorização das manifestações artísticas, o fomento à cultura e o oferecimento de atividades culturais à população, além de promover lazer, integração social e dinamização das atividades culturais do Município. 
Diante do exposto, restam plenamente caracterizados os pressupostos legais da inviabilidade de competição, bem como o enquadramento da contratação na hipótese de inexigibilidade de licitação, nos termos do art. 74, inciso II, da Lei Federal nº 14.133/2021, razão pela qual se justifica a contratação direta da apresentação artística do cantor Kadu Martins, mediante a observância das demais formalidades legais e administrativas aplicáveis.</w:t>
      </w:r>
    </w:p>
    <w:p w14:paraId="720AD3F2" w14:textId="77777777" w:rsidP="00801ADD" w:rsidR="00801ADD" w:rsidRDefault="00801ADD">
      <w:pPr>
        <w:pStyle w:val="NormalWeb"/>
        <w:shd w:color="auto" w:fill="FFFFFF" w:val="clear"/>
        <w:spacing w:after="240" w:afterAutospacing="false"/>
        <w:ind w:firstLine="1701"/>
        <w:jc w:val="both"/>
        <w:rPr>
          <w:rFonts w:ascii="Garamond" w:hAnsi="Garamond"/>
          <w:spacing w:val="2"/>
          <w:lang w:eastAsia="ar-SA"/>
        </w:rPr>
      </w:pPr>
      <w:r>
        <w:rPr>
          <w:rFonts w:ascii="Garamond" w:hAnsi="Garamond"/>
          <w:spacing w:val="2"/>
          <w:lang w:eastAsia="ar-SA"/>
        </w:rPr>
        <w:t xml:space="preserve">Sendo assim, vislumbra-se que a </w:t>
      </w:r>
      <w:r>
        <w:rPr>
          <w:rFonts w:ascii="Garamond" w:hAnsi="Garamond"/>
          <w:b/>
          <w:bCs/>
          <w:spacing w:val="2"/>
          <w:lang w:eastAsia="ar-SA"/>
        </w:rPr>
        <w:t xml:space="preserve">REQUERENTE </w:t>
      </w:r>
      <w:r>
        <w:rPr>
          <w:rFonts w:ascii="Garamond" w:hAnsi="Garamond"/>
          <w:spacing w:val="2"/>
          <w:lang w:eastAsia="ar-SA"/>
        </w:rPr>
        <w:t>apresentou todos os documentos necessários aos autos, bem como, comprovou a inviabilidade de competição</w:t>
      </w:r>
      <w:r w:rsidRPr="00D04EA9">
        <w:rPr>
          <w:rFonts w:ascii="Garamond" w:hAnsi="Garamond"/>
          <w:spacing w:val="2"/>
          <w:lang w:eastAsia="ar-SA"/>
        </w:rPr>
        <w:t xml:space="preserve"> </w:t>
      </w:r>
      <w:r>
        <w:rPr>
          <w:rFonts w:ascii="Garamond" w:hAnsi="Garamond"/>
          <w:spacing w:val="2"/>
          <w:lang w:eastAsia="ar-SA"/>
        </w:rPr>
        <w:t>conforme atestado de exclusividade anexada, r</w:t>
      </w:r>
      <w:r w:rsidRPr="00504B9C">
        <w:rPr>
          <w:rFonts w:ascii="Garamond" w:hAnsi="Garamond"/>
          <w:spacing w:val="2"/>
          <w:lang w:eastAsia="ar-SA"/>
        </w:rPr>
        <w:t>espeitando, assim, o que a lei estabelece para a legalidade das contratações diretas.</w:t>
      </w:r>
    </w:p>
    <w:p w14:paraId="2471CFB2" w14:textId="77777777" w:rsidP="00801ADD" w:rsidR="00801ADD" w:rsidRDefault="00801ADD">
      <w:pPr>
        <w:pStyle w:val="NormalWeb"/>
        <w:shd w:color="auto" w:fill="FFFFFF" w:val="clear"/>
        <w:spacing w:after="240"/>
        <w:ind w:firstLine="1701"/>
        <w:jc w:val="both"/>
        <w:rPr>
          <w:rFonts w:ascii="Garamond" w:hAnsi="Garamond"/>
          <w:spacing w:val="2"/>
          <w:lang w:eastAsia="ar-SA"/>
        </w:rPr>
      </w:pPr>
      <w:r w:rsidRPr="008E12A1">
        <w:rPr>
          <w:rFonts w:ascii="Garamond" w:hAnsi="Garamond"/>
          <w:spacing w:val="2"/>
          <w:lang w:eastAsia="ar-SA"/>
        </w:rPr>
        <w:t xml:space="preserve">Assim, no que concerne ao requisito constante </w:t>
      </w:r>
      <w:r>
        <w:rPr>
          <w:rFonts w:ascii="Garamond" w:hAnsi="Garamond"/>
          <w:spacing w:val="2"/>
          <w:lang w:eastAsia="ar-SA"/>
        </w:rPr>
        <w:t xml:space="preserve">n</w:t>
      </w:r>
      <w:r w:rsidRPr="008E12A1">
        <w:rPr>
          <w:rFonts w:ascii="Garamond" w:hAnsi="Garamond"/>
          <w:spacing w:val="2"/>
          <w:lang w:eastAsia="ar-SA"/>
        </w:rPr>
        <w:t xml:space="preserve">o</w:t>
      </w:r>
      <w:r>
        <w:rPr>
          <w:rFonts w:ascii="Garamond" w:hAnsi="Garamond"/>
          <w:spacing w:val="2"/>
          <w:lang w:eastAsia="ar-SA"/>
        </w:rPr>
        <w:t xml:space="preserve"> art. </w:t>
      </w:r>
      <w:r w:rsidRPr="00D8434C">
        <w:rPr>
          <w:rFonts w:ascii="Garamond" w:hAnsi="Garamond"/>
          <w:spacing w:val="2"/>
          <w:lang w:eastAsia="ar-SA"/>
        </w:rPr>
        <w:t xml:space="preserve">Art. 74, II</w:t>
      </w:r>
      <w:r>
        <w:rPr>
          <w:rFonts w:ascii="Garamond" w:hAnsi="Garamond"/>
          <w:spacing w:val="2"/>
          <w:lang w:eastAsia="ar-SA"/>
        </w:rPr>
        <w:t xml:space="preserve"> </w:t>
      </w:r>
      <w:r w:rsidRPr="008E12A1">
        <w:rPr>
          <w:rFonts w:ascii="Garamond" w:hAnsi="Garamond"/>
          <w:spacing w:val="2"/>
          <w:lang w:eastAsia="ar-SA"/>
        </w:rPr>
        <w:t xml:space="preserve">da Lei nº 14.133/21, </w:t>
      </w:r>
      <w:r w:rsidRPr="00D8434C">
        <w:rPr>
          <w:rFonts w:ascii="Garamond" w:hAnsi="Garamond"/>
          <w:spacing w:val="2"/>
          <w:highlight w:val="yellow"/>
          <w:lang w:eastAsia="ar-SA"/>
        </w:rPr>
        <w:t xml:space="preserve">o atestado de exclusividade apresentada, emitida pela empresa, tal requisito restou comprovado.</w:t>
      </w:r>
    </w:p>
    <w:p w14:paraId="3D399EFB" w14:textId="77777777" w:rsidP="00801ADD" w:rsidR="00801ADD" w:rsidRDefault="00801ADD" w:rsidRPr="00D04EA9">
      <w:pPr>
        <w:pStyle w:val="NormalWeb"/>
        <w:shd w:color="auto" w:fill="FFFFFF" w:val="clear"/>
        <w:spacing w:after="240" w:afterAutospacing="false"/>
        <w:ind w:firstLine="1701"/>
        <w:jc w:val="both"/>
        <w:rPr>
          <w:rFonts w:ascii="Garamond" w:hAnsi="Garamond"/>
          <w:spacing w:val="2"/>
          <w:lang w:eastAsia="ar-SA"/>
        </w:rPr>
      </w:pPr>
      <w:r>
        <w:rPr>
          <w:rFonts w:ascii="Garamond" w:hAnsi="Garamond"/>
          <w:spacing w:val="2"/>
          <w:lang w:eastAsia="ar-SA"/>
        </w:rPr>
        <w:t>Além disso</w:t>
      </w:r>
      <w:r w:rsidRPr="00D04EA9">
        <w:rPr>
          <w:rFonts w:ascii="Garamond" w:hAnsi="Garamond"/>
          <w:spacing w:val="2"/>
          <w:lang w:eastAsia="ar-SA"/>
        </w:rPr>
        <w:t>, em atenção ao comando legal que determina a verificação de existência de recursos financeiros previamente à realização da contratação, consta nos autos que há previsão de crédito orçamentário para suportar tal despesa, conforme indicação nos autos pela declaração de saldo orçamentário e financeiro.</w:t>
      </w:r>
      <w:r w:rsidRPr="00D04EA9">
        <w:rPr>
          <w:rFonts w:ascii="Garamond" w:hAnsi="Garamond"/>
        </w:rPr>
        <w:t xml:space="preserve"> </w:t>
      </w:r>
    </w:p>
    <w:p w14:paraId="6694C950" w14:textId="77777777" w:rsidP="00801ADD" w:rsidR="00801ADD" w:rsidRDefault="00801ADD">
      <w:pPr>
        <w:pStyle w:val="NormalWeb"/>
        <w:shd w:color="auto" w:fill="FFFFFF" w:val="clear"/>
        <w:spacing w:after="240" w:afterAutospacing="false"/>
        <w:ind w:firstLine="1701"/>
        <w:jc w:val="both"/>
        <w:rPr>
          <w:rFonts w:ascii="Garamond" w:hAnsi="Garamond"/>
          <w:spacing w:val="2"/>
          <w:lang w:eastAsia="ar-SA"/>
        </w:rPr>
      </w:pPr>
      <w:r w:rsidRPr="00D04EA9">
        <w:rPr>
          <w:rFonts w:ascii="Garamond" w:hAnsi="Garamond"/>
          <w:bCs/>
        </w:rPr>
        <w:t>Feitas estas premissas, infere-se que o procedimento para realização d</w:t>
      </w:r>
      <w:r>
        <w:rPr>
          <w:rFonts w:ascii="Garamond" w:hAnsi="Garamond"/>
          <w:bCs/>
        </w:rPr>
        <w:t>e contratação direta</w:t>
      </w:r>
      <w:r w:rsidRPr="00D04EA9">
        <w:rPr>
          <w:rFonts w:ascii="Garamond" w:hAnsi="Garamond"/>
          <w:bCs/>
        </w:rPr>
        <w:t>, até o presente momento, encontra-se em conformidade com os parâmetros legais, não havendo obstáculos jurídicos à sua abertura.</w:t>
      </w:r>
    </w:p>
    <w:p w14:paraId="74FC02DC" w14:textId="77777777" w:rsidP="00801ADD" w:rsidR="00801ADD" w:rsidRDefault="00801ADD" w:rsidRPr="00D04EA9">
      <w:pPr>
        <w:pStyle w:val="NormalWeb"/>
        <w:shd w:color="auto" w:fill="FFFFFF" w:val="clear"/>
        <w:spacing w:after="240" w:afterAutospacing="false"/>
        <w:ind w:firstLine="1701"/>
        <w:jc w:val="both"/>
        <w:rPr>
          <w:rFonts w:ascii="Garamond" w:hAnsi="Garamond"/>
          <w:spacing w:val="2"/>
          <w:lang w:eastAsia="ar-SA"/>
        </w:rPr>
      </w:pPr>
      <w:r w:rsidRPr="00D04EA9">
        <w:rPr>
          <w:rFonts w:ascii="Garamond" w:hAnsi="Garamond"/>
          <w:bCs/>
        </w:rPr>
        <w:t>Desta feita, entendemos que o procedimento atendeu as exigências previstas na legislação atinente.</w:t>
      </w:r>
    </w:p>
    <w:p w14:paraId="0306BB58" w14:textId="77777777" w:rsidP="00801ADD" w:rsidR="00801ADD" w:rsidRDefault="00801ADD" w:rsidRPr="00A90A08">
      <w:pPr>
        <w:pStyle w:val="NormalWeb"/>
        <w:numPr>
          <w:ilvl w:val="0"/>
          <w:numId w:val="1"/>
        </w:numPr>
        <w:pBdr>
          <w:bottom w:color="auto" w:space="1" w:sz="4" w:val="single"/>
        </w:pBdr>
        <w:shd w:color="auto" w:fill="FFFFFF" w:val="clear"/>
        <w:spacing w:after="240" w:afterAutospacing="false"/>
        <w:ind w:firstLine="0" w:left="0"/>
        <w:jc w:val="both"/>
        <w:rPr>
          <w:rFonts w:ascii="Garamond" w:hAnsi="Garamond"/>
          <w:b/>
          <w:bCs/>
          <w:i/>
          <w:iCs/>
          <w:color w:val="000000"/>
        </w:rPr>
      </w:pPr>
      <w:r>
        <w:rPr>
          <w:rFonts w:ascii="Garamond" w:hAnsi="Garamond"/>
          <w:b/>
          <w:bCs/>
          <w:i/>
          <w:iCs/>
          <w:color w:val="000000"/>
        </w:rPr>
        <w:t>Da conclusão</w:t>
      </w:r>
    </w:p>
    <w:p w14:paraId="344DD78A" w14:textId="77777777" w:rsidP="00801ADD" w:rsidR="00801ADD" w:rsidRDefault="00801ADD">
      <w:pPr>
        <w:pStyle w:val="NormalWeb"/>
        <w:shd w:color="auto" w:fill="FFFFFF" w:val="clear"/>
        <w:spacing w:after="240" w:afterAutospacing="false"/>
        <w:ind w:firstLine="1701"/>
        <w:jc w:val="both"/>
        <w:rPr>
          <w:rFonts w:ascii="Garamond" w:hAnsi="Garamond"/>
          <w:spacing w:val="2"/>
          <w:lang w:eastAsia="ar-SA"/>
        </w:rPr>
      </w:pPr>
      <w:r w:rsidRPr="00A90A08">
        <w:rPr>
          <w:rFonts w:ascii="Garamond" w:hAnsi="Garamond"/>
          <w:b/>
          <w:bCs/>
          <w:spacing w:val="2"/>
          <w:lang w:eastAsia="ar-SA"/>
        </w:rPr>
        <w:t>ANTE O EXPOSTO</w:t>
      </w:r>
      <w:r w:rsidRPr="00D04EA9">
        <w:rPr>
          <w:rFonts w:ascii="Garamond" w:hAnsi="Garamond"/>
          <w:spacing w:val="2"/>
          <w:lang w:eastAsia="ar-SA"/>
        </w:rPr>
        <w:t xml:space="preserve">, </w:t>
      </w:r>
      <w:r>
        <w:rPr>
          <w:rFonts w:ascii="Garamond" w:hAnsi="Garamond"/>
          <w:spacing w:val="2"/>
          <w:lang w:eastAsia="ar-SA"/>
        </w:rPr>
        <w:t xml:space="preserve">feita as considerações cabíveis e pertinentes, </w:t>
      </w:r>
      <w:r w:rsidRPr="00D04EA9">
        <w:rPr>
          <w:rFonts w:ascii="Garamond" w:hAnsi="Garamond"/>
          <w:spacing w:val="2"/>
          <w:lang w:eastAsia="ar-SA"/>
        </w:rPr>
        <w:t xml:space="preserve">conclui-se, salvo melhor juízo, presentes os pressupostos de regularidade jurídica dos autos, ressalvado o juízo de mérito da Administração e os aspectos técnicos, econômicos e financeiros, que escapam à análise dessa Procuradoria Jurídica, diante da documentação acostada aos autos, entende pela possibilidade da </w:t>
      </w:r>
      <w:r>
        <w:rPr>
          <w:rFonts w:ascii="Garamond" w:hAnsi="Garamond"/>
          <w:spacing w:val="2"/>
          <w:lang w:eastAsia="ar-SA"/>
        </w:rPr>
        <w:t>inexigibilidade</w:t>
      </w:r>
      <w:r w:rsidRPr="00D04EA9">
        <w:rPr>
          <w:rFonts w:ascii="Garamond" w:hAnsi="Garamond"/>
          <w:spacing w:val="2"/>
          <w:lang w:eastAsia="ar-SA"/>
        </w:rPr>
        <w:t xml:space="preserve"> de licitação, </w:t>
      </w:r>
      <w:r>
        <w:rPr>
          <w:rFonts w:ascii="Garamond" w:hAnsi="Garamond"/>
          <w:spacing w:val="2"/>
          <w:lang w:eastAsia="ar-SA"/>
        </w:rPr>
        <w:t>oportunidade que</w:t>
      </w:r>
      <w:r w:rsidRPr="00D04EA9">
        <w:rPr>
          <w:rFonts w:ascii="Garamond" w:hAnsi="Garamond"/>
          <w:spacing w:val="2"/>
          <w:lang w:eastAsia="ar-SA"/>
        </w:rPr>
        <w:t xml:space="preserve"> opina pela aprovação e regularidade do processo adotado até o presente momento, estando cumpridos todos os requisitos exigidos legalmente, recomendando-se a continuidade da presente </w:t>
      </w:r>
      <w:r>
        <w:rPr>
          <w:rFonts w:ascii="Garamond" w:hAnsi="Garamond"/>
          <w:spacing w:val="2"/>
          <w:lang w:eastAsia="ar-SA"/>
        </w:rPr>
        <w:t>inexigibilidade d</w:t>
      </w:r>
      <w:r w:rsidRPr="00D04EA9">
        <w:rPr>
          <w:rFonts w:ascii="Garamond" w:hAnsi="Garamond"/>
          <w:spacing w:val="2"/>
          <w:lang w:eastAsia="ar-SA"/>
        </w:rPr>
        <w:t xml:space="preserve">e </w:t>
      </w:r>
      <w:r>
        <w:rPr>
          <w:rFonts w:ascii="Garamond" w:hAnsi="Garamond"/>
          <w:spacing w:val="2"/>
          <w:lang w:eastAsia="ar-SA"/>
        </w:rPr>
        <w:t>l</w:t>
      </w:r>
      <w:r w:rsidRPr="00D04EA9">
        <w:rPr>
          <w:rFonts w:ascii="Garamond" w:hAnsi="Garamond"/>
          <w:spacing w:val="2"/>
          <w:lang w:eastAsia="ar-SA"/>
        </w:rPr>
        <w:t>icitação, haja vista a ausência de óbice jurídico para tanto.</w:t>
      </w:r>
    </w:p>
    <w:p w14:paraId="2952A84C" w14:textId="77777777" w:rsidP="00801ADD" w:rsidR="00801ADD" w:rsidRDefault="00801ADD" w:rsidRPr="00D04EA9">
      <w:pPr>
        <w:pStyle w:val="NormalWeb"/>
        <w:shd w:color="auto" w:fill="FFFFFF" w:val="clear"/>
        <w:spacing w:after="240"/>
        <w:ind w:firstLine="1701"/>
        <w:jc w:val="both"/>
        <w:rPr>
          <w:rFonts w:ascii="Garamond" w:hAnsi="Garamond"/>
          <w:spacing w:val="2"/>
          <w:lang w:eastAsia="ar-SA"/>
        </w:rPr>
      </w:pPr>
      <w:r>
        <w:rPr>
          <w:rFonts w:ascii="Garamond" w:hAnsi="Garamond"/>
          <w:spacing w:val="2"/>
          <w:lang w:eastAsia="ar-SA"/>
        </w:rPr>
        <w:t xml:space="preserve">Ademais, ressalta o caráter meramente opinativo deste parecer, portanto, </w:t>
      </w:r>
      <w:r w:rsidRPr="00B22550">
        <w:rPr>
          <w:rFonts w:ascii="Garamond" w:hAnsi="Garamond"/>
          <w:spacing w:val="2"/>
          <w:lang w:eastAsia="ar-SA"/>
        </w:rPr>
        <w:t>não vincula</w:t>
      </w:r>
      <w:r>
        <w:rPr>
          <w:rFonts w:ascii="Garamond" w:hAnsi="Garamond"/>
          <w:spacing w:val="2"/>
          <w:lang w:eastAsia="ar-SA"/>
        </w:rPr>
        <w:t>tivo.</w:t>
      </w:r>
    </w:p>
    <w:p w14:paraId="630F29F3" w14:textId="77777777" w:rsidP="00801ADD" w:rsidR="00801ADD" w:rsidRDefault="00801ADD" w:rsidRPr="00D04EA9">
      <w:pPr>
        <w:pStyle w:val="NormalWeb"/>
        <w:shd w:color="auto" w:fill="FFFFFF" w:val="clear"/>
        <w:spacing w:after="240" w:afterAutospacing="false"/>
        <w:ind w:firstLine="1701"/>
        <w:jc w:val="both"/>
        <w:rPr>
          <w:rFonts w:ascii="Garamond" w:hAnsi="Garamond"/>
          <w:spacing w:val="2"/>
          <w:lang w:eastAsia="ar-SA"/>
        </w:rPr>
      </w:pPr>
      <w:r w:rsidRPr="00D04EA9">
        <w:rPr>
          <w:rFonts w:ascii="Garamond" w:hAnsi="Garamond"/>
          <w:spacing w:val="2"/>
        </w:rPr>
        <w:t>É o parecer.</w:t>
      </w:r>
    </w:p>
    <w:p w14:paraId="57C92DE9" w14:textId="77777777" w:rsidP="00801ADD" w:rsidR="00801ADD" w:rsidRDefault="00801ADD" w:rsidRPr="00D04EA9">
      <w:pPr>
        <w:pStyle w:val="NormalWeb"/>
        <w:shd w:color="auto" w:fill="FFFFFF" w:val="clear"/>
        <w:spacing w:after="240" w:afterAutospacing="false" w:before="0" w:beforeAutospacing="false"/>
        <w:ind w:firstLine="1134"/>
        <w:jc w:val="both"/>
        <w:rPr>
          <w:rFonts w:ascii="Garamond" w:hAnsi="Garamond"/>
          <w:spacing w:val="2"/>
        </w:rPr>
      </w:pPr>
    </w:p>
    <w:p w14:paraId="5BF32D4B" w14:textId="77777777" w:rsidP="00801ADD" w:rsidR="00801ADD" w:rsidRDefault="00801ADD" w:rsidRPr="00D04EA9">
      <w:pPr>
        <w:pStyle w:val="NormalWeb"/>
        <w:shd w:color="auto" w:fill="FFFFFF" w:val="clear"/>
        <w:spacing w:after="240" w:afterAutospacing="false" w:before="0" w:beforeAutospacing="false"/>
        <w:ind w:firstLine="1134"/>
        <w:jc w:val="right"/>
        <w:rPr>
          <w:rFonts w:ascii="Garamond" w:hAnsi="Garamond"/>
          <w:spacing w:val="2"/>
        </w:rPr>
      </w:pPr>
      <w:r>
        <w:rPr>
          <w:rFonts w:ascii="Garamond" w:hAnsi="Garamond"/>
          <w:spacing w:val="2"/>
        </w:rPr>
        <w:t xml:space="preserve">Encanto/RN, </w:t>
      </w:r>
      <w:r w:rsidRPr="00D8434C">
        <w:rPr>
          <w:rFonts w:ascii="Garamond" w:hAnsi="Garamond"/>
          <w:spacing w:val="2"/>
        </w:rPr>
        <w:t xml:space="preserve">8 de janeiro de 2026</w:t>
      </w:r>
    </w:p>
    <w:p w14:paraId="1B1D746F" w14:textId="77777777" w:rsidP="00801ADD" w:rsidR="00801ADD" w:rsidRDefault="00801ADD" w:rsidRPr="00D04EA9">
      <w:pPr>
        <w:pStyle w:val="NormalWeb"/>
        <w:shd w:color="auto" w:fill="FFFFFF" w:val="clear"/>
        <w:spacing w:after="240" w:afterAutospacing="false" w:before="0" w:beforeAutospacing="false"/>
        <w:ind w:firstLine="1134"/>
        <w:jc w:val="both"/>
        <w:rPr>
          <w:rFonts w:ascii="Garamond" w:hAnsi="Garamond"/>
          <w:spacing w:val="2"/>
        </w:rPr>
      </w:pPr>
    </w:p>
    <w:p w14:paraId="5408862A" w14:textId="77777777" w:rsidP="00801ADD" w:rsidR="00801ADD" w:rsidRDefault="00801ADD">
      <w:pPr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Francisco Lindemberg Bessa de Assis</w:t>
      </w:r>
    </w:p>
    <w:p w14:paraId="660FC9CE" w14:textId="77777777" w:rsidP="00801ADD" w:rsidR="00801ADD" w:rsidRDefault="00801ADD">
      <w:pPr>
        <w:jc w:val="center"/>
        <w:rPr>
          <w:rFonts w:ascii="Garamond" w:hAnsi="Garamond"/>
          <w:bCs/>
          <w:sz w:val="24"/>
          <w:szCs w:val="24"/>
        </w:rPr>
      </w:pPr>
      <w:r>
        <w:rPr>
          <w:rFonts w:ascii="Garamond" w:hAnsi="Garamond"/>
          <w:bCs/>
          <w:sz w:val="24"/>
          <w:szCs w:val="24"/>
        </w:rPr>
        <w:t>Procurador Geral do Município</w:t>
      </w:r>
    </w:p>
    <w:p w14:paraId="06BDC7CB" w14:textId="77777777" w:rsidP="00801ADD" w:rsidR="00801ADD" w:rsidRDefault="00801ADD" w:rsidRPr="00A90A08">
      <w:pPr>
        <w:jc w:val="center"/>
        <w:rPr>
          <w:rFonts w:ascii="Garamond" w:hAnsi="Garamond"/>
          <w:bCs/>
          <w:sz w:val="24"/>
          <w:szCs w:val="24"/>
        </w:rPr>
      </w:pPr>
      <w:r>
        <w:rPr>
          <w:rFonts w:ascii="Garamond" w:hAnsi="Garamond"/>
          <w:bCs/>
          <w:sz w:val="24"/>
          <w:szCs w:val="24"/>
        </w:rPr>
        <w:t>Portaria nº 11/2022</w:t>
      </w:r>
    </w:p>
    <w:p w14:paraId="39A67610" w14:textId="77777777" w:rsidP="00801ADD" w:rsidR="00801ADD" w:rsidRDefault="00801ADD" w:rsidRPr="00051392"/>
    <w:p w14:paraId="3260CFB9" w14:textId="77777777" w:rsidR="002647C3" w:rsidRDefault="002647C3"/>
    <w:sectPr w:rsidR="002647C3" w:rsidSect="00801ADD">
      <w:headerReference r:id="rId5" w:type="default"/>
      <w:footerReference r:id="rId6" w:type="default"/>
      <w:pgSz w:h="16838" w:w="11906"/>
      <w:pgMar w:bottom="1417" w:footer="432" w:gutter="0" w:header="708" w:left="1701" w:right="1701" w:top="141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00000" w:rsidP="005C3952" w:rsidRDefault="00000000" w14:paraId="777A7E53" w14:textId="77777777">
    <w:pPr>
      <w:pStyle w:val="SemEspaamento"/>
      <w:jc w:val="center"/>
      <w:rPr>
        <w:rFonts w:ascii="Arial" w:hAnsi="Arial" w:cs="Arial"/>
        <w:sz w:val="6"/>
        <w:szCs w:val="8"/>
      </w:rPr>
    </w:pPr>
  </w:p>
  <w:p w:rsidR="00000000" w:rsidP="005C3952" w:rsidRDefault="00000000" w14:paraId="314D3DA0" w14:textId="77777777">
    <w:pPr>
      <w:pStyle w:val="SemEspaamento"/>
      <w:pBdr>
        <w:top w:val="single" w:color="auto" w:sz="4" w:space="1"/>
      </w:pBdr>
      <w:jc w:val="center"/>
      <w:rPr>
        <w:rFonts w:ascii="Arial" w:hAnsi="Arial" w:cs="Arial"/>
        <w:sz w:val="2"/>
        <w:szCs w:val="4"/>
      </w:rPr>
    </w:pPr>
  </w:p>
  <w:p w:rsidR="00000000" w:rsidP="005C3952" w:rsidRDefault="00000000" w14:paraId="7B41F1B9" w14:textId="77777777">
    <w:pPr>
      <w:pStyle w:val="SemEspaamento"/>
      <w:pBdr>
        <w:top w:val="single" w:color="auto" w:sz="4" w:space="1"/>
      </w:pBdr>
      <w:jc w:val="center"/>
      <w:rPr>
        <w:rFonts w:ascii="Arial" w:hAnsi="Arial" w:cs="Arial"/>
        <w:sz w:val="18"/>
        <w:szCs w:val="20"/>
      </w:rPr>
    </w:pPr>
    <w:r>
      <w:rPr>
        <w:rFonts w:ascii="Arial" w:hAnsi="Arial" w:cs="Arial"/>
        <w:sz w:val="18"/>
        <w:szCs w:val="20"/>
      </w:rPr>
      <w:t>Rua Afonso Rodrigues, 48, Bairro Centro, Encanto/RN, CEP 59905-000</w:t>
    </w:r>
  </w:p>
  <w:p w:rsidRPr="005C3952" w:rsidR="00000000" w:rsidP="005C3952" w:rsidRDefault="00000000" w14:paraId="2BE334CE" w14:textId="77777777">
    <w:pPr>
      <w:pStyle w:val="SemEspaamento"/>
      <w:jc w:val="center"/>
      <w:rPr>
        <w:rFonts w:ascii="Arial" w:hAnsi="Arial" w:cs="Arial"/>
        <w:sz w:val="18"/>
        <w:szCs w:val="20"/>
      </w:rPr>
    </w:pPr>
    <w:r>
      <w:rPr>
        <w:rFonts w:ascii="Arial" w:hAnsi="Arial" w:cs="Arial"/>
        <w:sz w:val="18"/>
        <w:szCs w:val="20"/>
      </w:rPr>
      <w:t xml:space="preserve">CNPJ: </w:t>
    </w:r>
    <w:r>
      <w:rPr>
        <w:rFonts w:ascii="Arial" w:hAnsi="Arial" w:cs="Arial"/>
        <w:sz w:val="18"/>
        <w:szCs w:val="20"/>
      </w:rPr>
      <w:t>08.355.760/0001-23 / E-mail: pmencanto@gmail.com</w:t>
    </w:r>
  </w:p>
</w:ftr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00000" w:rsidP="005C3952" w:rsidRDefault="00000000" w14:paraId="420C09F2" w14:textId="77777777">
    <w:pPr>
      <w:pStyle w:val="Cabealho"/>
      <w:tabs>
        <w:tab w:val="left" w:pos="708"/>
      </w:tabs>
    </w:pPr>
    <w:r>
      <w:rPr>
        <w:noProof/>
        <w:lang w:eastAsia="pt-BR"/>
      </w:rPr>
      <w:drawing>
        <wp:anchor distT="0" distB="0" distL="114300" distR="114300" simplePos="false" relativeHeight="251660288" behindDoc="true" locked="false" layoutInCell="true" allowOverlap="true" wp14:anchorId="70F62602" wp14:editId="2E1D0401">
          <wp:simplePos x="0" y="0"/>
          <wp:positionH relativeFrom="margin">
            <wp:posOffset>1026160</wp:posOffset>
          </wp:positionH>
          <wp:positionV relativeFrom="margin">
            <wp:posOffset>-1259840</wp:posOffset>
          </wp:positionV>
          <wp:extent cx="3000375" cy="1021715"/>
          <wp:effectExtent l="0" t="0" r="0" b="0"/>
          <wp:wrapSquare wrapText="bothSides"/>
          <wp:docPr id="5" name="Imagem 5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Imagem 2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00375" cy="1021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b/>
        <w:bCs/>
        <w:noProof/>
        <w:sz w:val="36"/>
        <w:szCs w:val="36"/>
        <w:lang w:eastAsia="pt-BR"/>
      </w:rPr>
      <w:drawing>
        <wp:anchor distT="0" distB="0" distL="114300" distR="114300" simplePos="false" relativeHeight="251659264" behindDoc="true" locked="false" layoutInCell="true" allowOverlap="true" wp14:anchorId="2A2F55C8" wp14:editId="74FAB511">
          <wp:simplePos x="0" y="0"/>
          <wp:positionH relativeFrom="column">
            <wp:posOffset>4863465</wp:posOffset>
          </wp:positionH>
          <wp:positionV relativeFrom="paragraph">
            <wp:posOffset>-334010</wp:posOffset>
          </wp:positionV>
          <wp:extent cx="1057275" cy="1057275"/>
          <wp:effectExtent l="0" t="0" r="0" b="0"/>
          <wp:wrapNone/>
          <wp:docPr id="6" name="Imagem 6" descr="C:\Users\CPL PC 02\Desktop\Carimbo Pref.jpg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Picture 3" descr="C:\Users\CPL PC 02\Desktop\Carimbo Pref.jpg"/>
                  <pic:cNvPicPr>
                    <a:picLocks noChangeAspect="true" noChangeArrowheads="true"/>
                  </pic:cNvPicPr>
                </pic:nvPicPr>
                <pic:blipFill>
                  <a:blip cstate="print" r:embed="rId2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57046">
      <w:t xml:space="preserve"> </w:t>
    </w:r>
  </w:p>
  <w:p w:rsidR="00000000" w:rsidP="005C3952" w:rsidRDefault="00000000" w14:paraId="62E6635A" w14:textId="77777777">
    <w:pPr>
      <w:pStyle w:val="Cabealho"/>
      <w:tabs>
        <w:tab w:val="left" w:pos="4005"/>
      </w:tabs>
    </w:pPr>
  </w:p>
  <w:p w:rsidR="00000000" w:rsidP="005C3952" w:rsidRDefault="00000000" w14:paraId="3B7E56C0" w14:textId="77777777">
    <w:pPr>
      <w:pStyle w:val="Cabealho"/>
      <w:tabs>
        <w:tab w:val="left" w:pos="4005"/>
      </w:tabs>
    </w:pPr>
  </w:p>
  <w:p w:rsidR="00000000" w:rsidP="005C3952" w:rsidRDefault="00000000" w14:paraId="78D2E288" w14:textId="77777777">
    <w:pPr>
      <w:pStyle w:val="Cabealho"/>
      <w:tabs>
        <w:tab w:val="left" w:pos="4005"/>
      </w:tabs>
    </w:pPr>
  </w:p>
  <w:p w:rsidR="00000000" w:rsidP="005C3952" w:rsidRDefault="00000000" w14:paraId="4D4972FE" w14:textId="77777777">
    <w:pPr>
      <w:pStyle w:val="Cabealho"/>
      <w:tabs>
        <w:tab w:val="clear" w:pos="4252"/>
        <w:tab w:val="left" w:pos="7080"/>
      </w:tabs>
    </w:pPr>
    <w:r>
      <w:tab/>
    </w:r>
  </w:p>
  <w:p w:rsidR="00000000" w:rsidRDefault="00000000" w14:paraId="15CD5038" w14:textId="7777777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72FFD"/>
    <w:multiLevelType w:val="hybridMultilevel"/>
    <w:tmpl w:val="E9C019C6"/>
    <w:lvl w:ilvl="0" w:tplc="7BCA662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14347435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C434B"/>
    <w:rsid w:val="002647C3"/>
    <w:rsid w:val="002E6205"/>
    <w:rsid w:val="0035322B"/>
    <w:rsid w:val="004E5201"/>
    <w:rsid w:val="007D138B"/>
    <w:rsid w:val="00801ADD"/>
    <w:rsid w:val="00844D1E"/>
    <w:rsid w:val="008C0D4F"/>
    <w:rsid w:val="008C441E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83C28"/>
  <w15:docId w15:val="{FF94A965-996D-4CB6-99E7-958D9C4DE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,analitico 3,Cabeçalho superior,Heading 1a,Heading 1a Char Char,Heading 1a Char, Char,Char"/>
    <w:basedOn w:val="Normal"/>
    <w:link w:val="CabealhoChar"/>
    <w:uiPriority w:val="99"/>
    <w:unhideWhenUsed/>
    <w:rsid w:val="00801AD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d Char,he Char,analitico 3 Char,Cabeçalho superior Char,Heading 1a Char1,Heading 1a Char Char Char,Heading 1a Char Char1, Char Char,Char Char"/>
    <w:basedOn w:val="Fontepargpadro"/>
    <w:link w:val="Cabealho"/>
    <w:uiPriority w:val="99"/>
    <w:rsid w:val="00801ADD"/>
  </w:style>
  <w:style w:type="paragraph" w:styleId="SemEspaamento">
    <w:name w:val="No Spacing"/>
    <w:uiPriority w:val="1"/>
    <w:qFormat/>
    <w:rsid w:val="00801ADD"/>
    <w:pPr>
      <w:spacing w:after="0" w:line="240" w:lineRule="auto"/>
    </w:pPr>
  </w:style>
  <w:style w:type="paragraph" w:styleId="NormalWeb">
    <w:name w:val="Normal (Web)"/>
    <w:basedOn w:val="Normal"/>
    <w:link w:val="NormalWebChar"/>
    <w:uiPriority w:val="99"/>
    <w:unhideWhenUsed/>
    <w:rsid w:val="00801A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NormalWebChar">
    <w:name w:val="Normal (Web) Char"/>
    <w:link w:val="NormalWeb"/>
    <w:uiPriority w:val="99"/>
    <w:rsid w:val="00801AD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
<Relationships xmlns="http://schemas.openxmlformats.org/package/2006/relationships">
    <Relationship Target="theme/theme1.xml" Type="http://schemas.openxmlformats.org/officeDocument/2006/relationships/theme" Id="rId8"/>
    <Relationship Target="settings.xml" Type="http://schemas.openxmlformats.org/officeDocument/2006/relationships/settings" Id="rId3"/>
    <Relationship Target="fontTable.xml" Type="http://schemas.openxmlformats.org/officeDocument/2006/relationships/fontTable" Id="rId7"/>
    <Relationship Target="styles.xml" Type="http://schemas.openxmlformats.org/officeDocument/2006/relationships/styles" Id="rId2"/>
    <Relationship Target="numbering.xml" Type="http://schemas.openxmlformats.org/officeDocument/2006/relationships/numbering" Id="rId1"/>
    <Relationship Target="footer1.xml" Type="http://schemas.openxmlformats.org/officeDocument/2006/relationships/footer" Id="rId6"/>
    <Relationship Target="header1.xml" Type="http://schemas.openxmlformats.org/officeDocument/2006/relationships/header" Id="rId5"/>
    <Relationship Target="webSettings.xml" Type="http://schemas.openxmlformats.org/officeDocument/2006/relationships/webSettings" Id="rId4"/>
</Relationships>

</file>

<file path=word/_rels/header1.xml.rels><?xml version="1.0" encoding="UTF-8" standalone="yes"?>
<Relationships xmlns="http://schemas.openxmlformats.org/package/2006/relationships">
    <Relationship Target="media/image2.jpeg" Type="http://schemas.openxmlformats.org/officeDocument/2006/relationships/image" Id="rId2"/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765</Words>
  <Characters>4133</Characters>
  <Application>Microsoft Office Word</Application>
  <DocSecurity>0</DocSecurity>
  <Lines>34</Lines>
  <Paragraphs>9</Paragraphs>
  <ScaleCrop>false</ScaleCrop>
  <Company>....</Company>
  <LinksUpToDate>false</LinksUpToDate>
  <CharactersWithSpaces>4889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ANDERSON RAPHAEL S. OLIVEIRA</cp:lastModifiedBy>
  <cp:revision>2</cp:revision>
  <dcterms:created xsi:type="dcterms:W3CDTF">2012-02-02T18:33:00Z</dcterms:created>
  <dcterms:modified xsi:type="dcterms:W3CDTF">2025-02-04T12:21:00Z</dcterms:modified>
</cp:coreProperties>
</file>