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before="240" w:after="240" w:line="240" w:lineRule="auto"/>
        <w:jc w:val="center"/>
        <w:rPr>
          <w:rFonts w:hint="default" w:ascii="Calibri" w:hAnsi="Calibri" w:cs="Calibri"/>
          <w:b/>
          <w:bCs/>
          <w:color w:val="auto"/>
          <w:sz w:val="20"/>
          <w:szCs w:val="20"/>
        </w:rPr>
      </w:pPr>
      <w:r>
        <w:rPr>
          <w:rFonts w:hint="default" w:ascii="Calibri" w:hAnsi="Calibri" w:cs="Calibri"/>
          <w:b/>
          <w:bCs/>
          <w:color w:val="auto"/>
          <w:sz w:val="20"/>
          <w:szCs w:val="20"/>
        </w:rPr>
        <w:t>TERMO DE REFERÊNCIA</w:t>
      </w:r>
    </w:p>
    <w:p>
      <w:pPr>
        <w:pStyle w:val="8"/>
        <w:numPr>
          <w:ilvl w:val="0"/>
          <w:numId w:val="1"/>
        </w:numPr>
        <w:spacing w:before="240" w:after="240"/>
        <w:contextualSpacing w:val="0"/>
        <w:jc w:val="both"/>
        <w:rPr>
          <w:rFonts w:hint="default" w:ascii="Calibri" w:hAnsi="Calibri" w:cs="Calibri"/>
          <w:b/>
          <w:bCs/>
          <w:color w:val="auto"/>
          <w:sz w:val="20"/>
          <w:szCs w:val="20"/>
        </w:rPr>
      </w:pPr>
      <w:r>
        <w:rPr>
          <w:rFonts w:hint="default" w:ascii="Calibri" w:hAnsi="Calibri" w:cs="Calibri"/>
          <w:b/>
          <w:bCs/>
          <w:color w:val="auto"/>
          <w:sz w:val="20"/>
          <w:szCs w:val="20"/>
        </w:rPr>
        <w:t>CONDIÇÕES GERAIS DA CONTRATAÇÃO</w:t>
      </w:r>
    </w:p>
    <w:p>
      <w:pPr>
        <w:pStyle w:val="8"/>
        <w:numPr>
          <w:ilvl w:val="1"/>
          <w:numId w:val="2"/>
        </w:numPr>
        <w:spacing w:before="240" w:after="240"/>
        <w:contextualSpacing w:val="0"/>
        <w:jc w:val="both"/>
        <w:rPr>
          <w:rFonts w:hint="default" w:ascii="Calibri" w:hAnsi="Calibri" w:cs="Calibri"/>
          <w:color w:val="auto"/>
          <w:sz w:val="20"/>
          <w:szCs w:val="20"/>
        </w:rPr>
      </w:pPr>
      <w:r>
        <w:rPr>
          <w:rFonts w:ascii="Calibri" w:hAnsi="Calibri" w:eastAsia="Times New Roman" w:cs="Calibri"/>
          <w:color w:val="000000"/>
          <w:kern w:val="0"/>
          <w:sz w:val="20"/>
          <w:szCs w:val="20"/>
          <w:lang w:eastAsia="pt-BR"/>
          <w14:ligatures w14:val="none"/>
        </w:rPr>
        <w:t xml:space="preserve">Contratação de empresa </w:t>
      </w:r>
      <w:r>
        <w:rPr>
          <w:rFonts w:hint="default" w:ascii="Calibri" w:hAnsi="Calibri" w:eastAsia="Times New Roman" w:cs="Calibri"/>
          <w:color w:val="000000"/>
          <w:kern w:val="0"/>
          <w:sz w:val="20"/>
          <w:szCs w:val="20"/>
          <w:lang w:val="en-US" w:eastAsia="pt-BR"/>
          <w14:ligatures w14:val="none"/>
        </w:rPr>
        <w:t>para aquisição complementar de materiais/livros didáticos para atender os alunos da Educação Infantil destinados a Creche (</w:t>
      </w:r>
      <w:r>
        <w:rPr>
          <w:rFonts w:hint="default" w:ascii="Calibri" w:hAnsi="Calibri" w:eastAsia="Times New Roman" w:cs="Calibri"/>
          <w:color w:val="000000"/>
          <w:kern w:val="0"/>
          <w:sz w:val="20"/>
          <w:szCs w:val="20"/>
          <w:highlight w:val="none"/>
          <w:lang w:val="en-US" w:eastAsia="pt-BR"/>
          <w14:ligatures w14:val="none"/>
        </w:rPr>
        <w:t xml:space="preserve">03 a 05 anos) </w:t>
      </w:r>
      <w:r>
        <w:rPr>
          <w:rFonts w:hint="default" w:ascii="Calibri" w:hAnsi="Calibri" w:eastAsia="Times New Roman" w:cs="Calibri"/>
          <w:color w:val="000000"/>
          <w:kern w:val="0"/>
          <w:sz w:val="20"/>
          <w:szCs w:val="20"/>
          <w:lang w:val="en-US" w:eastAsia="pt-BR"/>
          <w14:ligatures w14:val="none"/>
        </w:rPr>
        <w:t xml:space="preserve">da Rede Municipal de Ensino de Portalegre/RN, no decorrer do ano letivo de 2024. </w:t>
      </w:r>
    </w:p>
    <w:tbl>
      <w:tblPr>
        <w:tblStyle w:val="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00"/>
        <w:gridCol w:w="4341"/>
        <w:gridCol w:w="1465"/>
        <w:gridCol w:w="924"/>
        <w:gridCol w:w="105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0" w:type="dxa"/>
            <w:shd w:val="clear" w:color="auto" w:fill="FBE4D5" w:themeFill="accent2" w:themeFillTint="33"/>
            <w:vAlign w:val="center"/>
          </w:tcPr>
          <w:p>
            <w:pPr>
              <w:spacing w:after="0" w:line="240" w:lineRule="auto"/>
              <w:jc w:val="center"/>
              <w:rPr>
                <w:b/>
                <w:bCs/>
                <w:sz w:val="18"/>
                <w:szCs w:val="18"/>
              </w:rPr>
            </w:pPr>
            <w:r>
              <w:rPr>
                <w:b/>
                <w:bCs/>
                <w:sz w:val="18"/>
                <w:szCs w:val="18"/>
              </w:rPr>
              <w:t>Item</w:t>
            </w:r>
          </w:p>
        </w:tc>
        <w:tc>
          <w:tcPr>
            <w:tcW w:w="4341" w:type="dxa"/>
            <w:shd w:val="clear" w:color="auto" w:fill="FBE4D5" w:themeFill="accent2" w:themeFillTint="33"/>
            <w:vAlign w:val="center"/>
          </w:tcPr>
          <w:p>
            <w:pPr>
              <w:spacing w:after="0" w:line="240" w:lineRule="auto"/>
              <w:jc w:val="center"/>
              <w:rPr>
                <w:b/>
                <w:bCs/>
                <w:sz w:val="18"/>
                <w:szCs w:val="18"/>
              </w:rPr>
            </w:pPr>
            <w:r>
              <w:rPr>
                <w:b/>
                <w:bCs/>
                <w:sz w:val="18"/>
                <w:szCs w:val="18"/>
              </w:rPr>
              <w:t>Descrição/Especificação</w:t>
            </w:r>
          </w:p>
        </w:tc>
        <w:tc>
          <w:tcPr>
            <w:tcW w:w="1465" w:type="dxa"/>
            <w:shd w:val="clear" w:color="auto" w:fill="FBE4D5" w:themeFill="accent2" w:themeFillTint="33"/>
            <w:vAlign w:val="center"/>
          </w:tcPr>
          <w:p>
            <w:pPr>
              <w:spacing w:after="0" w:line="240" w:lineRule="auto"/>
              <w:jc w:val="center"/>
              <w:rPr>
                <w:rFonts w:hint="default"/>
                <w:b/>
                <w:bCs/>
                <w:sz w:val="18"/>
                <w:szCs w:val="18"/>
                <w:lang w:val="pt-BR"/>
              </w:rPr>
            </w:pPr>
            <w:r>
              <w:rPr>
                <w:rFonts w:hint="default"/>
                <w:b/>
                <w:bCs/>
                <w:sz w:val="18"/>
                <w:szCs w:val="18"/>
                <w:lang w:val="pt-BR"/>
              </w:rPr>
              <w:t xml:space="preserve">Faixa Etária </w:t>
            </w:r>
          </w:p>
        </w:tc>
        <w:tc>
          <w:tcPr>
            <w:tcW w:w="924" w:type="dxa"/>
            <w:shd w:val="clear" w:color="auto" w:fill="FBE4D5" w:themeFill="accent2" w:themeFillTint="33"/>
            <w:vAlign w:val="center"/>
          </w:tcPr>
          <w:p>
            <w:pPr>
              <w:spacing w:after="0" w:line="240" w:lineRule="auto"/>
              <w:jc w:val="center"/>
              <w:rPr>
                <w:b/>
                <w:bCs/>
                <w:sz w:val="18"/>
                <w:szCs w:val="18"/>
              </w:rPr>
            </w:pPr>
            <w:r>
              <w:rPr>
                <w:b/>
                <w:bCs/>
                <w:sz w:val="18"/>
                <w:szCs w:val="18"/>
              </w:rPr>
              <w:t>Unidade</w:t>
            </w:r>
          </w:p>
        </w:tc>
        <w:tc>
          <w:tcPr>
            <w:tcW w:w="1050" w:type="dxa"/>
            <w:shd w:val="clear" w:color="auto" w:fill="FBE4D5" w:themeFill="accent2" w:themeFillTint="33"/>
            <w:vAlign w:val="center"/>
          </w:tcPr>
          <w:p>
            <w:pPr>
              <w:spacing w:after="0" w:line="240" w:lineRule="auto"/>
              <w:jc w:val="center"/>
              <w:rPr>
                <w:rFonts w:hint="default"/>
                <w:b/>
                <w:bCs/>
                <w:sz w:val="18"/>
                <w:szCs w:val="18"/>
                <w:lang w:val="pt-BR"/>
              </w:rPr>
            </w:pPr>
            <w:r>
              <w:rPr>
                <w:b/>
                <w:bCs/>
                <w:sz w:val="18"/>
                <w:szCs w:val="18"/>
              </w:rPr>
              <w:t>Quant</w:t>
            </w:r>
            <w:r>
              <w:rPr>
                <w:rFonts w:hint="default"/>
                <w:b/>
                <w:bCs/>
                <w:sz w:val="18"/>
                <w:szCs w:val="18"/>
                <w:lang w:val="pt-BR"/>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0" w:type="dxa"/>
            <w:vAlign w:val="center"/>
          </w:tcPr>
          <w:p>
            <w:pPr>
              <w:spacing w:after="0" w:line="240" w:lineRule="auto"/>
              <w:jc w:val="center"/>
              <w:rPr>
                <w:sz w:val="18"/>
                <w:szCs w:val="18"/>
              </w:rPr>
            </w:pPr>
            <w:r>
              <w:rPr>
                <w:sz w:val="18"/>
                <w:szCs w:val="18"/>
              </w:rPr>
              <w:t>01</w:t>
            </w:r>
          </w:p>
        </w:tc>
        <w:tc>
          <w:tcPr>
            <w:tcW w:w="4341" w:type="dxa"/>
            <w:vAlign w:val="center"/>
          </w:tcPr>
          <w:p>
            <w:pPr>
              <w:spacing w:after="0" w:line="240" w:lineRule="auto"/>
              <w:jc w:val="both"/>
              <w:rPr>
                <w:rFonts w:hint="default"/>
                <w:sz w:val="18"/>
                <w:szCs w:val="18"/>
                <w:lang w:val="pt-BR"/>
              </w:rPr>
            </w:pPr>
            <w:r>
              <w:rPr>
                <w:rFonts w:hint="default"/>
                <w:sz w:val="18"/>
                <w:szCs w:val="18"/>
                <w:lang w:val="pt-BR"/>
              </w:rPr>
              <w:t xml:space="preserve">Livro didático integrado com sequências didáticas baseadas em experiências de aprendizagem e com consignas contextualizadas. Material de acordo com a BNCC. </w:t>
            </w:r>
          </w:p>
          <w:p>
            <w:pPr>
              <w:spacing w:after="0" w:line="240" w:lineRule="auto"/>
              <w:jc w:val="both"/>
              <w:rPr>
                <w:rFonts w:hint="default"/>
                <w:sz w:val="18"/>
                <w:szCs w:val="18"/>
                <w:lang w:val="pt-BR"/>
              </w:rPr>
            </w:pPr>
            <w:r>
              <w:rPr>
                <w:rFonts w:hint="default"/>
                <w:sz w:val="18"/>
                <w:szCs w:val="18"/>
                <w:lang w:val="pt-BR"/>
              </w:rPr>
              <w:t>Portifólio de Vivências com registros explorando os eixos de interação e brincadeiras.</w:t>
            </w:r>
          </w:p>
          <w:p>
            <w:pPr>
              <w:spacing w:after="0" w:line="240" w:lineRule="auto"/>
              <w:jc w:val="both"/>
              <w:rPr>
                <w:rFonts w:hint="default"/>
                <w:sz w:val="18"/>
                <w:szCs w:val="18"/>
                <w:lang w:val="pt-BR"/>
              </w:rPr>
            </w:pPr>
            <w:r>
              <w:rPr>
                <w:rFonts w:hint="default"/>
                <w:sz w:val="18"/>
                <w:szCs w:val="18"/>
                <w:lang w:val="pt-BR"/>
              </w:rPr>
              <w:t>Agenda do aluno.</w:t>
            </w:r>
          </w:p>
          <w:p>
            <w:pPr>
              <w:spacing w:after="0" w:line="240" w:lineRule="auto"/>
              <w:jc w:val="both"/>
              <w:rPr>
                <w:rFonts w:hint="default"/>
                <w:sz w:val="18"/>
                <w:szCs w:val="18"/>
                <w:lang w:val="pt-BR"/>
              </w:rPr>
            </w:pPr>
            <w:r>
              <w:rPr>
                <w:rFonts w:hint="default"/>
                <w:sz w:val="18"/>
                <w:szCs w:val="18"/>
                <w:lang w:val="pt-BR"/>
              </w:rPr>
              <w:t>02 livros paradidáticos.</w:t>
            </w:r>
          </w:p>
          <w:p>
            <w:pPr>
              <w:spacing w:after="0" w:line="240" w:lineRule="auto"/>
              <w:jc w:val="both"/>
              <w:rPr>
                <w:rFonts w:hint="default"/>
                <w:sz w:val="18"/>
                <w:szCs w:val="18"/>
                <w:lang w:val="pt-BR"/>
              </w:rPr>
            </w:pPr>
            <w:r>
              <w:rPr>
                <w:rFonts w:hint="default"/>
                <w:b/>
                <w:bCs/>
                <w:sz w:val="18"/>
                <w:szCs w:val="18"/>
                <w:lang w:val="pt-BR"/>
              </w:rPr>
              <w:t>Material de apoio ao professor ( mínimo de 03 kits):</w:t>
            </w:r>
            <w:r>
              <w:rPr>
                <w:rFonts w:hint="default"/>
                <w:sz w:val="18"/>
                <w:szCs w:val="18"/>
                <w:lang w:val="pt-BR"/>
              </w:rPr>
              <w:t xml:space="preserve"> Livro do professor.</w:t>
            </w:r>
          </w:p>
          <w:p>
            <w:pPr>
              <w:spacing w:after="0" w:line="240" w:lineRule="auto"/>
              <w:jc w:val="both"/>
              <w:rPr>
                <w:rFonts w:hint="default"/>
                <w:sz w:val="18"/>
                <w:szCs w:val="18"/>
                <w:lang w:val="pt-BR"/>
              </w:rPr>
            </w:pPr>
            <w:r>
              <w:rPr>
                <w:rFonts w:hint="default"/>
                <w:sz w:val="18"/>
                <w:szCs w:val="18"/>
                <w:lang w:val="pt-BR"/>
              </w:rPr>
              <w:t>Alfabeto.</w:t>
            </w:r>
          </w:p>
          <w:p>
            <w:pPr>
              <w:spacing w:after="0" w:line="240" w:lineRule="auto"/>
              <w:jc w:val="both"/>
              <w:rPr>
                <w:rFonts w:hint="default"/>
                <w:sz w:val="18"/>
                <w:szCs w:val="18"/>
                <w:lang w:val="pt-BR"/>
              </w:rPr>
            </w:pPr>
            <w:r>
              <w:rPr>
                <w:rFonts w:hint="default"/>
                <w:sz w:val="18"/>
                <w:szCs w:val="18"/>
                <w:lang w:val="pt-BR"/>
              </w:rPr>
              <w:t>Números</w:t>
            </w:r>
          </w:p>
          <w:p>
            <w:pPr>
              <w:spacing w:after="0" w:line="240" w:lineRule="auto"/>
              <w:jc w:val="both"/>
              <w:rPr>
                <w:rFonts w:hint="default"/>
                <w:sz w:val="18"/>
                <w:szCs w:val="18"/>
                <w:lang w:val="pt-BR"/>
              </w:rPr>
            </w:pPr>
            <w:r>
              <w:rPr>
                <w:rFonts w:hint="default"/>
                <w:sz w:val="18"/>
                <w:szCs w:val="18"/>
                <w:lang w:val="pt-BR"/>
              </w:rPr>
              <w:t>02 livros paradidáticos.</w:t>
            </w:r>
          </w:p>
          <w:p>
            <w:pPr>
              <w:spacing w:after="0" w:line="240" w:lineRule="auto"/>
              <w:jc w:val="both"/>
              <w:rPr>
                <w:rFonts w:hint="default"/>
                <w:sz w:val="18"/>
                <w:szCs w:val="18"/>
                <w:lang w:val="pt-BR"/>
              </w:rPr>
            </w:pPr>
            <w:r>
              <w:rPr>
                <w:rFonts w:hint="default"/>
                <w:sz w:val="18"/>
                <w:szCs w:val="18"/>
                <w:lang w:val="pt-BR"/>
              </w:rPr>
              <w:t>Cartazes com obras de arte.</w:t>
            </w:r>
          </w:p>
          <w:p>
            <w:pPr>
              <w:spacing w:after="0" w:line="240" w:lineRule="auto"/>
              <w:jc w:val="both"/>
              <w:rPr>
                <w:rFonts w:hint="default"/>
                <w:sz w:val="18"/>
                <w:szCs w:val="18"/>
                <w:lang w:val="pt-BR"/>
              </w:rPr>
            </w:pPr>
            <w:r>
              <w:rPr>
                <w:rFonts w:hint="default"/>
                <w:sz w:val="18"/>
                <w:szCs w:val="18"/>
                <w:lang w:val="pt-BR"/>
              </w:rPr>
              <w:t xml:space="preserve">Livro socioemocional. </w:t>
            </w:r>
          </w:p>
          <w:p>
            <w:pPr>
              <w:spacing w:after="0" w:line="240" w:lineRule="auto"/>
              <w:jc w:val="both"/>
              <w:rPr>
                <w:sz w:val="18"/>
                <w:szCs w:val="18"/>
              </w:rPr>
            </w:pPr>
            <w:r>
              <w:rPr>
                <w:rFonts w:hint="default"/>
                <w:sz w:val="18"/>
                <w:szCs w:val="18"/>
                <w:lang w:val="pt-BR"/>
              </w:rPr>
              <w:t xml:space="preserve">Formação continuada ministrada pela Editora. </w:t>
            </w:r>
          </w:p>
        </w:tc>
        <w:tc>
          <w:tcPr>
            <w:tcW w:w="1465" w:type="dxa"/>
            <w:vAlign w:val="center"/>
          </w:tcPr>
          <w:p>
            <w:pPr>
              <w:spacing w:after="0" w:line="240" w:lineRule="auto"/>
              <w:jc w:val="center"/>
              <w:rPr>
                <w:rFonts w:hint="default"/>
                <w:sz w:val="18"/>
                <w:szCs w:val="18"/>
                <w:lang w:val="pt-BR"/>
              </w:rPr>
            </w:pPr>
            <w:r>
              <w:rPr>
                <w:rFonts w:hint="default"/>
                <w:sz w:val="18"/>
                <w:szCs w:val="18"/>
                <w:lang w:val="pt-BR"/>
              </w:rPr>
              <w:t>Creche</w:t>
            </w:r>
          </w:p>
          <w:p>
            <w:pPr>
              <w:spacing w:after="0" w:line="240" w:lineRule="auto"/>
              <w:jc w:val="center"/>
              <w:rPr>
                <w:sz w:val="18"/>
                <w:szCs w:val="18"/>
              </w:rPr>
            </w:pPr>
            <w:r>
              <w:rPr>
                <w:rFonts w:hint="default"/>
                <w:sz w:val="18"/>
                <w:szCs w:val="18"/>
                <w:lang w:val="pt-BR"/>
              </w:rPr>
              <w:t>(03 anos)</w:t>
            </w:r>
          </w:p>
        </w:tc>
        <w:tc>
          <w:tcPr>
            <w:tcW w:w="924" w:type="dxa"/>
            <w:vAlign w:val="center"/>
          </w:tcPr>
          <w:p>
            <w:pPr>
              <w:spacing w:after="0" w:line="240" w:lineRule="auto"/>
              <w:jc w:val="center"/>
              <w:rPr>
                <w:rFonts w:hint="default"/>
                <w:sz w:val="18"/>
                <w:szCs w:val="18"/>
                <w:lang w:val="pt-BR"/>
              </w:rPr>
            </w:pPr>
            <w:r>
              <w:rPr>
                <w:rFonts w:hint="default"/>
                <w:sz w:val="18"/>
                <w:szCs w:val="18"/>
                <w:lang w:val="pt-BR"/>
              </w:rPr>
              <w:t xml:space="preserve">Und. </w:t>
            </w:r>
          </w:p>
        </w:tc>
        <w:tc>
          <w:tcPr>
            <w:tcW w:w="1050" w:type="dxa"/>
            <w:vAlign w:val="center"/>
          </w:tcPr>
          <w:p>
            <w:pPr>
              <w:spacing w:after="0" w:line="240" w:lineRule="auto"/>
              <w:jc w:val="center"/>
              <w:rPr>
                <w:rFonts w:hint="default"/>
                <w:sz w:val="18"/>
                <w:szCs w:val="18"/>
                <w:lang w:val="pt-BR"/>
              </w:rPr>
            </w:pPr>
            <w:r>
              <w:rPr>
                <w:rFonts w:hint="default"/>
                <w:sz w:val="18"/>
                <w:szCs w:val="18"/>
                <w:lang w:val="pt-BR"/>
              </w:rPr>
              <w:t>58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0" w:type="dxa"/>
            <w:vAlign w:val="center"/>
          </w:tcPr>
          <w:p>
            <w:pPr>
              <w:spacing w:after="0" w:line="240" w:lineRule="auto"/>
              <w:jc w:val="center"/>
              <w:rPr>
                <w:rFonts w:hint="default"/>
                <w:sz w:val="18"/>
                <w:szCs w:val="18"/>
                <w:lang w:val="pt-BR"/>
              </w:rPr>
            </w:pPr>
            <w:r>
              <w:rPr>
                <w:rFonts w:hint="default"/>
                <w:sz w:val="18"/>
                <w:szCs w:val="18"/>
                <w:lang w:val="pt-BR"/>
              </w:rPr>
              <w:t>02</w:t>
            </w:r>
          </w:p>
        </w:tc>
        <w:tc>
          <w:tcPr>
            <w:tcW w:w="4341" w:type="dxa"/>
            <w:vAlign w:val="center"/>
          </w:tcPr>
          <w:p>
            <w:pPr>
              <w:spacing w:after="0" w:line="240" w:lineRule="auto"/>
              <w:jc w:val="both"/>
              <w:rPr>
                <w:rFonts w:hint="default"/>
                <w:sz w:val="18"/>
                <w:szCs w:val="18"/>
                <w:lang w:val="pt-BR"/>
              </w:rPr>
            </w:pPr>
            <w:r>
              <w:rPr>
                <w:rFonts w:hint="default"/>
                <w:sz w:val="18"/>
                <w:szCs w:val="18"/>
                <w:lang w:val="pt-BR"/>
              </w:rPr>
              <w:t>Livro didático integrado com sequências didáticas baseadas em experiências de aprendizagem e com consignas contextualizadas. Material de acordo com a BNCC.</w:t>
            </w:r>
          </w:p>
          <w:p>
            <w:pPr>
              <w:spacing w:after="0" w:line="240" w:lineRule="auto"/>
              <w:jc w:val="both"/>
              <w:rPr>
                <w:rFonts w:hint="default"/>
                <w:sz w:val="18"/>
                <w:szCs w:val="18"/>
                <w:lang w:val="pt-BR"/>
              </w:rPr>
            </w:pPr>
            <w:r>
              <w:rPr>
                <w:rFonts w:hint="default"/>
                <w:sz w:val="18"/>
                <w:szCs w:val="18"/>
                <w:lang w:val="pt-BR"/>
              </w:rPr>
              <w:t xml:space="preserve">Portifólio de Vivências com registros explorando os eixos interação e brincadeiras. </w:t>
            </w:r>
          </w:p>
          <w:p>
            <w:pPr>
              <w:spacing w:after="0" w:line="240" w:lineRule="auto"/>
              <w:jc w:val="both"/>
              <w:rPr>
                <w:rFonts w:hint="default"/>
                <w:sz w:val="18"/>
                <w:szCs w:val="18"/>
                <w:lang w:val="pt-BR"/>
              </w:rPr>
            </w:pPr>
            <w:r>
              <w:rPr>
                <w:rFonts w:hint="default"/>
                <w:sz w:val="18"/>
                <w:szCs w:val="18"/>
                <w:lang w:val="pt-BR"/>
              </w:rPr>
              <w:t>Agenda do aluno.</w:t>
            </w:r>
          </w:p>
          <w:p>
            <w:pPr>
              <w:spacing w:after="0" w:line="240" w:lineRule="auto"/>
              <w:jc w:val="both"/>
              <w:rPr>
                <w:rFonts w:hint="default"/>
                <w:sz w:val="18"/>
                <w:szCs w:val="18"/>
                <w:lang w:val="pt-BR"/>
              </w:rPr>
            </w:pPr>
            <w:r>
              <w:rPr>
                <w:rFonts w:hint="default"/>
                <w:sz w:val="18"/>
                <w:szCs w:val="18"/>
                <w:lang w:val="pt-BR"/>
              </w:rPr>
              <w:t>02 livros paradidáticos.</w:t>
            </w:r>
          </w:p>
          <w:p>
            <w:pPr>
              <w:spacing w:after="0" w:line="240" w:lineRule="auto"/>
              <w:jc w:val="both"/>
              <w:rPr>
                <w:rFonts w:hint="default"/>
                <w:sz w:val="18"/>
                <w:szCs w:val="18"/>
                <w:lang w:val="pt-BR"/>
              </w:rPr>
            </w:pPr>
            <w:r>
              <w:rPr>
                <w:rFonts w:hint="default"/>
                <w:b/>
                <w:bCs/>
                <w:sz w:val="18"/>
                <w:szCs w:val="18"/>
                <w:lang w:val="pt-BR"/>
              </w:rPr>
              <w:t>Material de apoio ao professor (mínimo de 10 kits): Livro do professor.</w:t>
            </w:r>
            <w:r>
              <w:rPr>
                <w:rFonts w:hint="default"/>
                <w:sz w:val="18"/>
                <w:szCs w:val="18"/>
                <w:lang w:val="pt-BR"/>
              </w:rPr>
              <w:t xml:space="preserve"> </w:t>
            </w:r>
          </w:p>
          <w:p>
            <w:pPr>
              <w:spacing w:after="0" w:line="240" w:lineRule="auto"/>
              <w:jc w:val="both"/>
              <w:rPr>
                <w:rFonts w:hint="default"/>
                <w:sz w:val="18"/>
                <w:szCs w:val="18"/>
                <w:lang w:val="pt-BR"/>
              </w:rPr>
            </w:pPr>
            <w:r>
              <w:rPr>
                <w:rFonts w:hint="default"/>
                <w:sz w:val="18"/>
                <w:szCs w:val="18"/>
                <w:lang w:val="pt-BR"/>
              </w:rPr>
              <w:t>Alfabeto.</w:t>
            </w:r>
          </w:p>
          <w:p>
            <w:pPr>
              <w:spacing w:after="0" w:line="240" w:lineRule="auto"/>
              <w:jc w:val="both"/>
              <w:rPr>
                <w:rFonts w:hint="default"/>
                <w:sz w:val="18"/>
                <w:szCs w:val="18"/>
                <w:lang w:val="pt-BR"/>
              </w:rPr>
            </w:pPr>
            <w:r>
              <w:rPr>
                <w:rFonts w:hint="default"/>
                <w:sz w:val="18"/>
                <w:szCs w:val="18"/>
                <w:lang w:val="pt-BR"/>
              </w:rPr>
              <w:t>Números.</w:t>
            </w:r>
          </w:p>
          <w:p>
            <w:pPr>
              <w:spacing w:after="0" w:line="240" w:lineRule="auto"/>
              <w:jc w:val="both"/>
              <w:rPr>
                <w:rFonts w:hint="default"/>
                <w:sz w:val="18"/>
                <w:szCs w:val="18"/>
                <w:lang w:val="pt-BR"/>
              </w:rPr>
            </w:pPr>
            <w:r>
              <w:rPr>
                <w:rFonts w:hint="default"/>
                <w:sz w:val="18"/>
                <w:szCs w:val="18"/>
                <w:lang w:val="pt-BR"/>
              </w:rPr>
              <w:t>02 livros paradidáticos.</w:t>
            </w:r>
          </w:p>
          <w:p>
            <w:pPr>
              <w:spacing w:after="0" w:line="240" w:lineRule="auto"/>
              <w:jc w:val="both"/>
              <w:rPr>
                <w:rFonts w:hint="default"/>
                <w:sz w:val="18"/>
                <w:szCs w:val="18"/>
                <w:lang w:val="pt-BR"/>
              </w:rPr>
            </w:pPr>
            <w:r>
              <w:rPr>
                <w:rFonts w:hint="default"/>
                <w:sz w:val="18"/>
                <w:szCs w:val="18"/>
                <w:lang w:val="pt-BR"/>
              </w:rPr>
              <w:t>Cartazes com obras de arte.</w:t>
            </w:r>
          </w:p>
          <w:p>
            <w:pPr>
              <w:spacing w:after="0" w:line="240" w:lineRule="auto"/>
              <w:jc w:val="both"/>
              <w:rPr>
                <w:rFonts w:hint="default"/>
                <w:sz w:val="18"/>
                <w:szCs w:val="18"/>
                <w:lang w:val="pt-BR"/>
              </w:rPr>
            </w:pPr>
            <w:r>
              <w:rPr>
                <w:rFonts w:hint="default"/>
                <w:sz w:val="18"/>
                <w:szCs w:val="18"/>
                <w:lang w:val="pt-BR"/>
              </w:rPr>
              <w:t>Livro socioemocional.</w:t>
            </w:r>
          </w:p>
          <w:p>
            <w:pPr>
              <w:spacing w:after="0" w:line="240" w:lineRule="auto"/>
              <w:jc w:val="both"/>
              <w:rPr>
                <w:rFonts w:hint="default"/>
                <w:sz w:val="18"/>
                <w:szCs w:val="18"/>
                <w:lang w:val="pt-BR"/>
              </w:rPr>
            </w:pPr>
            <w:r>
              <w:rPr>
                <w:rFonts w:hint="default"/>
                <w:sz w:val="18"/>
                <w:szCs w:val="18"/>
                <w:lang w:val="pt-BR"/>
              </w:rPr>
              <w:t xml:space="preserve">Formação continuada ministrada pela Editora. </w:t>
            </w:r>
          </w:p>
        </w:tc>
        <w:tc>
          <w:tcPr>
            <w:tcW w:w="1465" w:type="dxa"/>
            <w:vAlign w:val="center"/>
          </w:tcPr>
          <w:p>
            <w:pPr>
              <w:spacing w:after="0" w:line="240" w:lineRule="auto"/>
              <w:jc w:val="center"/>
              <w:rPr>
                <w:rFonts w:hint="default"/>
                <w:sz w:val="18"/>
                <w:szCs w:val="18"/>
                <w:lang w:val="pt-BR"/>
              </w:rPr>
            </w:pPr>
            <w:r>
              <w:rPr>
                <w:rFonts w:hint="default"/>
                <w:sz w:val="18"/>
                <w:szCs w:val="18"/>
                <w:lang w:val="pt-BR"/>
              </w:rPr>
              <w:t>Creche</w:t>
            </w:r>
          </w:p>
          <w:p>
            <w:pPr>
              <w:spacing w:after="0" w:line="240" w:lineRule="auto"/>
              <w:jc w:val="center"/>
              <w:rPr>
                <w:sz w:val="18"/>
                <w:szCs w:val="18"/>
              </w:rPr>
            </w:pPr>
            <w:r>
              <w:rPr>
                <w:rFonts w:hint="default"/>
                <w:sz w:val="18"/>
                <w:szCs w:val="18"/>
                <w:lang w:val="pt-BR"/>
              </w:rPr>
              <w:t>(04 anos)</w:t>
            </w:r>
          </w:p>
        </w:tc>
        <w:tc>
          <w:tcPr>
            <w:tcW w:w="924" w:type="dxa"/>
            <w:vAlign w:val="center"/>
          </w:tcPr>
          <w:p>
            <w:pPr>
              <w:spacing w:after="0" w:line="240" w:lineRule="auto"/>
              <w:jc w:val="center"/>
              <w:rPr>
                <w:rFonts w:hint="default"/>
                <w:sz w:val="18"/>
                <w:szCs w:val="18"/>
                <w:lang w:val="pt-BR"/>
              </w:rPr>
            </w:pPr>
            <w:r>
              <w:rPr>
                <w:rFonts w:hint="default"/>
                <w:sz w:val="18"/>
                <w:szCs w:val="18"/>
                <w:lang w:val="pt-BR"/>
              </w:rPr>
              <w:t xml:space="preserve">Und. </w:t>
            </w:r>
          </w:p>
        </w:tc>
        <w:tc>
          <w:tcPr>
            <w:tcW w:w="1050" w:type="dxa"/>
            <w:vAlign w:val="center"/>
          </w:tcPr>
          <w:p>
            <w:pPr>
              <w:spacing w:after="0" w:line="240" w:lineRule="auto"/>
              <w:jc w:val="center"/>
              <w:rPr>
                <w:rFonts w:hint="default"/>
                <w:sz w:val="18"/>
                <w:szCs w:val="18"/>
                <w:lang w:val="pt-BR"/>
              </w:rPr>
            </w:pPr>
            <w:r>
              <w:rPr>
                <w:rFonts w:hint="default"/>
                <w:sz w:val="18"/>
                <w:szCs w:val="18"/>
                <w:lang w:val="pt-BR"/>
              </w:rPr>
              <w:t>58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0" w:type="dxa"/>
            <w:vAlign w:val="center"/>
          </w:tcPr>
          <w:p>
            <w:pPr>
              <w:spacing w:after="0" w:line="240" w:lineRule="auto"/>
              <w:jc w:val="center"/>
              <w:rPr>
                <w:rFonts w:hint="default"/>
                <w:sz w:val="18"/>
                <w:szCs w:val="18"/>
                <w:lang w:val="pt-BR"/>
              </w:rPr>
            </w:pPr>
            <w:r>
              <w:rPr>
                <w:rFonts w:hint="default"/>
                <w:sz w:val="18"/>
                <w:szCs w:val="18"/>
                <w:lang w:val="pt-BR"/>
              </w:rPr>
              <w:t>03</w:t>
            </w:r>
          </w:p>
        </w:tc>
        <w:tc>
          <w:tcPr>
            <w:tcW w:w="4341" w:type="dxa"/>
            <w:vAlign w:val="center"/>
          </w:tcPr>
          <w:p>
            <w:pPr>
              <w:spacing w:after="0" w:line="240" w:lineRule="auto"/>
              <w:jc w:val="both"/>
              <w:rPr>
                <w:rFonts w:hint="default"/>
                <w:sz w:val="18"/>
                <w:szCs w:val="18"/>
                <w:lang w:val="pt-BR"/>
              </w:rPr>
            </w:pPr>
            <w:r>
              <w:rPr>
                <w:rFonts w:hint="default"/>
                <w:sz w:val="18"/>
                <w:szCs w:val="18"/>
                <w:lang w:val="pt-BR"/>
              </w:rPr>
              <w:t>Livro didático integrado com sequências didáticas baseadas em experiências de  aprendizagem e com consignas contextualizadas. Material de acordo com a BNCC. Portifólio de vivências com registros explorando os eixos interação e brincadeiras.</w:t>
            </w:r>
          </w:p>
          <w:p>
            <w:pPr>
              <w:spacing w:after="0" w:line="240" w:lineRule="auto"/>
              <w:jc w:val="both"/>
              <w:rPr>
                <w:rFonts w:hint="default"/>
                <w:sz w:val="18"/>
                <w:szCs w:val="18"/>
                <w:lang w:val="pt-BR"/>
              </w:rPr>
            </w:pPr>
            <w:r>
              <w:rPr>
                <w:rFonts w:hint="default"/>
                <w:sz w:val="18"/>
                <w:szCs w:val="18"/>
                <w:lang w:val="pt-BR"/>
              </w:rPr>
              <w:t>Agenda do aluno.</w:t>
            </w:r>
          </w:p>
          <w:p>
            <w:pPr>
              <w:spacing w:after="0" w:line="240" w:lineRule="auto"/>
              <w:jc w:val="both"/>
              <w:rPr>
                <w:rFonts w:hint="default"/>
                <w:sz w:val="18"/>
                <w:szCs w:val="18"/>
                <w:lang w:val="pt-BR"/>
              </w:rPr>
            </w:pPr>
            <w:r>
              <w:rPr>
                <w:rFonts w:hint="default"/>
                <w:sz w:val="18"/>
                <w:szCs w:val="18"/>
                <w:lang w:val="pt-BR"/>
              </w:rPr>
              <w:t>02 livros paradidáticos.</w:t>
            </w:r>
          </w:p>
          <w:p>
            <w:pPr>
              <w:spacing w:after="0" w:line="240" w:lineRule="auto"/>
              <w:jc w:val="both"/>
              <w:rPr>
                <w:rFonts w:hint="default"/>
                <w:sz w:val="18"/>
                <w:szCs w:val="18"/>
                <w:lang w:val="pt-BR"/>
              </w:rPr>
            </w:pPr>
            <w:r>
              <w:rPr>
                <w:rFonts w:hint="default"/>
                <w:b/>
                <w:bCs/>
                <w:sz w:val="18"/>
                <w:szCs w:val="18"/>
                <w:lang w:val="pt-BR"/>
              </w:rPr>
              <w:t>Material de apoio ao professor (mínimo de 10 kits)</w:t>
            </w:r>
          </w:p>
          <w:p>
            <w:pPr>
              <w:spacing w:after="0" w:line="240" w:lineRule="auto"/>
              <w:jc w:val="both"/>
              <w:rPr>
                <w:rFonts w:hint="default"/>
                <w:sz w:val="18"/>
                <w:szCs w:val="18"/>
                <w:lang w:val="pt-BR"/>
              </w:rPr>
            </w:pPr>
            <w:r>
              <w:rPr>
                <w:rFonts w:hint="default"/>
                <w:sz w:val="18"/>
                <w:szCs w:val="18"/>
                <w:lang w:val="pt-BR"/>
              </w:rPr>
              <w:t>Livro do professor .</w:t>
            </w:r>
          </w:p>
          <w:p>
            <w:pPr>
              <w:spacing w:after="0" w:line="240" w:lineRule="auto"/>
              <w:jc w:val="both"/>
              <w:rPr>
                <w:rFonts w:hint="default"/>
                <w:sz w:val="18"/>
                <w:szCs w:val="18"/>
                <w:lang w:val="pt-BR"/>
              </w:rPr>
            </w:pPr>
            <w:r>
              <w:rPr>
                <w:rFonts w:hint="default"/>
                <w:sz w:val="18"/>
                <w:szCs w:val="18"/>
                <w:lang w:val="pt-BR"/>
              </w:rPr>
              <w:t>Alfabeto.</w:t>
            </w:r>
          </w:p>
          <w:p>
            <w:pPr>
              <w:spacing w:after="0" w:line="240" w:lineRule="auto"/>
              <w:jc w:val="both"/>
              <w:rPr>
                <w:rFonts w:hint="default"/>
                <w:sz w:val="18"/>
                <w:szCs w:val="18"/>
                <w:lang w:val="pt-BR"/>
              </w:rPr>
            </w:pPr>
            <w:r>
              <w:rPr>
                <w:rFonts w:hint="default"/>
                <w:sz w:val="18"/>
                <w:szCs w:val="18"/>
                <w:lang w:val="pt-BR"/>
              </w:rPr>
              <w:t>Números.</w:t>
            </w:r>
          </w:p>
          <w:p>
            <w:pPr>
              <w:spacing w:after="0" w:line="240" w:lineRule="auto"/>
              <w:jc w:val="both"/>
              <w:rPr>
                <w:rFonts w:hint="default"/>
                <w:sz w:val="18"/>
                <w:szCs w:val="18"/>
                <w:lang w:val="pt-BR"/>
              </w:rPr>
            </w:pPr>
            <w:r>
              <w:rPr>
                <w:rFonts w:hint="default"/>
                <w:sz w:val="18"/>
                <w:szCs w:val="18"/>
                <w:lang w:val="pt-BR"/>
              </w:rPr>
              <w:t>02 livros paradidáticos.</w:t>
            </w:r>
          </w:p>
          <w:p>
            <w:pPr>
              <w:spacing w:after="0" w:line="240" w:lineRule="auto"/>
              <w:jc w:val="both"/>
              <w:rPr>
                <w:rFonts w:hint="default"/>
                <w:sz w:val="18"/>
                <w:szCs w:val="18"/>
                <w:lang w:val="pt-BR"/>
              </w:rPr>
            </w:pPr>
            <w:r>
              <w:rPr>
                <w:rFonts w:hint="default"/>
                <w:sz w:val="18"/>
                <w:szCs w:val="18"/>
                <w:lang w:val="pt-BR"/>
              </w:rPr>
              <w:t>Cartazes com obras de arte.</w:t>
            </w:r>
          </w:p>
          <w:p>
            <w:pPr>
              <w:spacing w:after="0" w:line="240" w:lineRule="auto"/>
              <w:jc w:val="both"/>
              <w:rPr>
                <w:rFonts w:hint="default"/>
                <w:sz w:val="18"/>
                <w:szCs w:val="18"/>
                <w:lang w:val="pt-BR"/>
              </w:rPr>
            </w:pPr>
            <w:r>
              <w:rPr>
                <w:rFonts w:hint="default"/>
                <w:sz w:val="18"/>
                <w:szCs w:val="18"/>
                <w:lang w:val="pt-BR"/>
              </w:rPr>
              <w:t>Livro socioemocional.</w:t>
            </w:r>
          </w:p>
          <w:p>
            <w:pPr>
              <w:spacing w:after="0" w:line="240" w:lineRule="auto"/>
              <w:jc w:val="both"/>
              <w:rPr>
                <w:rFonts w:hint="default"/>
                <w:sz w:val="18"/>
                <w:szCs w:val="18"/>
                <w:lang w:val="pt-BR"/>
              </w:rPr>
            </w:pPr>
            <w:r>
              <w:rPr>
                <w:rFonts w:hint="default"/>
                <w:sz w:val="18"/>
                <w:szCs w:val="18"/>
                <w:lang w:val="pt-BR"/>
              </w:rPr>
              <w:t>Formação continuada ministrada pela Editora.</w:t>
            </w:r>
          </w:p>
        </w:tc>
        <w:tc>
          <w:tcPr>
            <w:tcW w:w="1465" w:type="dxa"/>
            <w:vAlign w:val="center"/>
          </w:tcPr>
          <w:p>
            <w:pPr>
              <w:spacing w:after="0" w:line="240" w:lineRule="auto"/>
              <w:jc w:val="center"/>
              <w:rPr>
                <w:rFonts w:hint="default"/>
                <w:sz w:val="18"/>
                <w:szCs w:val="18"/>
                <w:lang w:val="pt-BR"/>
              </w:rPr>
            </w:pPr>
            <w:r>
              <w:rPr>
                <w:rFonts w:hint="default"/>
                <w:sz w:val="18"/>
                <w:szCs w:val="18"/>
                <w:lang w:val="pt-BR"/>
              </w:rPr>
              <w:t>Creche</w:t>
            </w:r>
          </w:p>
          <w:p>
            <w:pPr>
              <w:spacing w:after="0" w:line="240" w:lineRule="auto"/>
              <w:jc w:val="center"/>
              <w:rPr>
                <w:rFonts w:hint="default"/>
                <w:sz w:val="18"/>
                <w:szCs w:val="18"/>
                <w:lang w:val="pt-BR"/>
              </w:rPr>
            </w:pPr>
            <w:r>
              <w:rPr>
                <w:rFonts w:hint="default"/>
                <w:sz w:val="18"/>
                <w:szCs w:val="18"/>
                <w:lang w:val="pt-BR"/>
              </w:rPr>
              <w:t>(05 anos)</w:t>
            </w:r>
          </w:p>
        </w:tc>
        <w:tc>
          <w:tcPr>
            <w:tcW w:w="924" w:type="dxa"/>
            <w:vAlign w:val="center"/>
          </w:tcPr>
          <w:p>
            <w:pPr>
              <w:spacing w:after="0" w:line="240" w:lineRule="auto"/>
              <w:jc w:val="center"/>
              <w:rPr>
                <w:rFonts w:hint="default"/>
                <w:sz w:val="18"/>
                <w:szCs w:val="18"/>
                <w:lang w:val="pt-BR"/>
              </w:rPr>
            </w:pPr>
            <w:r>
              <w:rPr>
                <w:rFonts w:hint="default"/>
                <w:sz w:val="18"/>
                <w:szCs w:val="18"/>
                <w:lang w:val="pt-BR"/>
              </w:rPr>
              <w:t>Und.</w:t>
            </w:r>
          </w:p>
        </w:tc>
        <w:tc>
          <w:tcPr>
            <w:tcW w:w="1050" w:type="dxa"/>
            <w:vAlign w:val="center"/>
          </w:tcPr>
          <w:p>
            <w:pPr>
              <w:spacing w:after="0" w:line="240" w:lineRule="auto"/>
              <w:jc w:val="center"/>
              <w:rPr>
                <w:rFonts w:hint="default"/>
                <w:sz w:val="18"/>
                <w:szCs w:val="18"/>
                <w:lang w:val="pt-BR"/>
              </w:rPr>
            </w:pPr>
            <w:r>
              <w:rPr>
                <w:rFonts w:hint="default"/>
                <w:sz w:val="18"/>
                <w:szCs w:val="18"/>
                <w:lang w:val="pt-BR"/>
              </w:rPr>
              <w:t>58</w:t>
            </w:r>
          </w:p>
        </w:tc>
      </w:tr>
    </w:tbl>
    <w:p>
      <w:pPr>
        <w:pStyle w:val="8"/>
        <w:numPr>
          <w:ilvl w:val="1"/>
          <w:numId w:val="2"/>
        </w:numPr>
        <w:spacing w:before="240" w:after="240"/>
        <w:contextualSpacing w:val="0"/>
        <w:jc w:val="both"/>
        <w:rPr>
          <w:rFonts w:hint="default" w:ascii="Calibri" w:hAnsi="Calibri" w:cs="Calibri"/>
          <w:color w:val="auto"/>
          <w:sz w:val="20"/>
          <w:szCs w:val="20"/>
          <w:highlight w:val="none"/>
        </w:rPr>
      </w:pPr>
      <w:r>
        <w:rPr>
          <w:rFonts w:hint="default" w:ascii="Calibri" w:hAnsi="Calibri" w:cs="Calibri"/>
          <w:color w:val="auto"/>
          <w:sz w:val="20"/>
          <w:szCs w:val="20"/>
          <w:highlight w:val="none"/>
        </w:rPr>
        <w:t>O prazo de vigência da contratação é de 120 (cento e vinte) dias, contados da assinatura do instrumento de contrato, na forma do artigo 105 da Lei n° 14.133, de 2021.</w:t>
      </w:r>
    </w:p>
    <w:p>
      <w:pPr>
        <w:pStyle w:val="8"/>
        <w:numPr>
          <w:ilvl w:val="1"/>
          <w:numId w:val="2"/>
        </w:numPr>
        <w:spacing w:before="240" w:after="240"/>
        <w:contextualSpacing w:val="0"/>
        <w:jc w:val="both"/>
        <w:rPr>
          <w:rFonts w:hint="default" w:ascii="Calibri" w:hAnsi="Calibri" w:cs="Calibri"/>
          <w:color w:val="auto"/>
          <w:sz w:val="20"/>
          <w:szCs w:val="20"/>
        </w:rPr>
      </w:pPr>
      <w:r>
        <w:rPr>
          <w:rFonts w:hint="default" w:ascii="Calibri" w:hAnsi="Calibri" w:cs="Calibri"/>
          <w:color w:val="auto"/>
          <w:sz w:val="20"/>
          <w:szCs w:val="20"/>
        </w:rPr>
        <w:t>O instrumento de contrato poderá ser substituído por outro instrumento hábil, como carta-contrato, nota de empenho de despesa, autorização de compra ou ordem de execução de serviço, na forma do art. 95 da Lei n° 14.133/2021.</w:t>
      </w:r>
    </w:p>
    <w:p>
      <w:pPr>
        <w:pStyle w:val="8"/>
        <w:numPr>
          <w:ilvl w:val="0"/>
          <w:numId w:val="2"/>
        </w:numPr>
        <w:spacing w:before="240" w:after="240"/>
        <w:contextualSpacing w:val="0"/>
        <w:jc w:val="both"/>
        <w:rPr>
          <w:rFonts w:hint="default" w:ascii="Calibri" w:hAnsi="Calibri" w:cs="Calibri"/>
          <w:b/>
          <w:bCs/>
          <w:color w:val="auto"/>
          <w:sz w:val="20"/>
          <w:szCs w:val="20"/>
        </w:rPr>
      </w:pPr>
      <w:r>
        <w:rPr>
          <w:rFonts w:hint="default" w:ascii="Calibri" w:hAnsi="Calibri" w:cs="Calibri"/>
          <w:b/>
          <w:bCs/>
          <w:color w:val="auto"/>
          <w:sz w:val="20"/>
          <w:szCs w:val="20"/>
        </w:rPr>
        <w:t>FUNDAMENTAÇÃO E DESCRIÇÃO DA NECESSIDADE DA CONTRATAÇÃO</w:t>
      </w:r>
    </w:p>
    <w:p>
      <w:pPr>
        <w:pStyle w:val="8"/>
        <w:numPr>
          <w:ilvl w:val="1"/>
          <w:numId w:val="2"/>
        </w:numPr>
        <w:spacing w:before="240" w:after="240"/>
        <w:jc w:val="both"/>
        <w:rPr>
          <w:rFonts w:hint="default" w:ascii="Calibri" w:hAnsi="Calibri" w:cs="Calibri"/>
          <w:color w:val="auto"/>
          <w:sz w:val="20"/>
          <w:szCs w:val="20"/>
        </w:rPr>
      </w:pPr>
      <w:r>
        <w:rPr>
          <w:rFonts w:hint="default" w:ascii="Calibri" w:hAnsi="Calibri" w:eastAsia="Times New Roman" w:cs="Calibri"/>
          <w:color w:val="000000"/>
          <w:kern w:val="0"/>
          <w:sz w:val="20"/>
          <w:szCs w:val="20"/>
          <w:lang w:val="en-US" w:eastAsia="pt-BR"/>
          <w14:ligatures w14:val="none"/>
        </w:rPr>
        <w:t>Levando em consideração que o município já dispõe de um quantitativo de livros didáticos destinados aos alunos da Educação Infantil, porém não é suficiente para atender a demanda, a compra de materiais/livros didáticos visando complementar esse quantitativo mostra-se como uma prática vantajosa, visto que resulta em uma economia de recursos financeiros, uma vez que a quantidade a ser adquirida será em menor quantidade</w:t>
      </w:r>
      <w:r>
        <w:rPr>
          <w:rFonts w:hint="default" w:ascii="Calibri" w:hAnsi="Calibri" w:cs="Calibri"/>
          <w:color w:val="auto"/>
          <w:sz w:val="20"/>
          <w:szCs w:val="20"/>
        </w:rPr>
        <w:t>.</w:t>
      </w:r>
    </w:p>
    <w:p>
      <w:pPr>
        <w:pStyle w:val="8"/>
        <w:numPr>
          <w:ilvl w:val="1"/>
          <w:numId w:val="2"/>
        </w:numPr>
        <w:spacing w:before="240" w:after="240"/>
        <w:jc w:val="both"/>
        <w:rPr>
          <w:rFonts w:hint="default" w:ascii="Calibri" w:hAnsi="Calibri" w:cs="Calibri"/>
          <w:color w:val="auto"/>
          <w:sz w:val="20"/>
          <w:szCs w:val="20"/>
        </w:rPr>
      </w:pPr>
      <w:r>
        <w:rPr>
          <w:rFonts w:hint="default" w:ascii="Calibri" w:hAnsi="Calibri" w:eastAsia="Times New Roman" w:cs="Calibri"/>
          <w:color w:val="000000"/>
          <w:kern w:val="0"/>
          <w:sz w:val="20"/>
          <w:szCs w:val="20"/>
          <w:lang w:val="en-US" w:eastAsia="pt-BR"/>
          <w14:ligatures w14:val="none"/>
        </w:rPr>
        <w:t>Vale ressaltar que não faz sentido adquirir livros diferentes dos quais o município dispõe em estoque, dito isso, a aquisição complementar se faz necessária para que a mesma esteja alinhada com os objetivos educacionais e institucionais, contribuindo assim para a continuidade dos serviços oferecido aos alunos</w:t>
      </w:r>
      <w:r>
        <w:rPr>
          <w:rFonts w:hint="default" w:ascii="Calibri" w:hAnsi="Calibri" w:cs="Calibri"/>
          <w:color w:val="auto"/>
          <w:sz w:val="20"/>
          <w:szCs w:val="20"/>
        </w:rPr>
        <w:t>.</w:t>
      </w:r>
    </w:p>
    <w:p>
      <w:pPr>
        <w:pStyle w:val="8"/>
        <w:numPr>
          <w:ilvl w:val="1"/>
          <w:numId w:val="2"/>
        </w:numPr>
        <w:spacing w:before="240" w:after="240"/>
        <w:contextualSpacing w:val="0"/>
        <w:jc w:val="both"/>
        <w:rPr>
          <w:rFonts w:hint="default" w:ascii="Calibri" w:hAnsi="Calibri" w:cs="Calibri"/>
          <w:color w:val="auto"/>
          <w:sz w:val="20"/>
          <w:szCs w:val="20"/>
        </w:rPr>
      </w:pPr>
      <w:r>
        <w:rPr>
          <w:rFonts w:hint="default" w:ascii="Calibri" w:hAnsi="Calibri" w:eastAsia="Times New Roman" w:cs="Calibri"/>
          <w:color w:val="000000"/>
          <w:kern w:val="0"/>
          <w:sz w:val="20"/>
          <w:szCs w:val="20"/>
          <w:lang w:val="en-US" w:eastAsia="pt-BR"/>
          <w14:ligatures w14:val="none"/>
        </w:rPr>
        <w:t>Os livros didáticos na Educação Infantil fornecem uma base sólida para o desenvolvimento de habilidades acadêmicas essenciais, como reconhecimento de letras, compreensão de conceitos matemáticos básicos e familiaridade com o ambiente escolar, preparando as crianças para os anos subsequentes. Nesse contexto, a aquisição de materiais didáticos/livros didáticos para Educação Infantil caracteriza-se pela necessidade de aperfeiçoar o trabalho e desenvolvimento de competências que instigam a construção dos saberes. Com isso, o livro didático visa abranger múltiplos espaços de elaboração de conhecimentos e diferentes linguagens referente à construção da identidade, os processos de socialização e o desenvolvimento da autonomia dos educandos que propiciem por sua vez os aprendizados considerados essenciais</w:t>
      </w:r>
      <w:r>
        <w:rPr>
          <w:rFonts w:hint="default" w:ascii="Calibri" w:hAnsi="Calibri" w:cs="Calibri"/>
          <w:color w:val="auto"/>
          <w:sz w:val="20"/>
          <w:szCs w:val="20"/>
        </w:rPr>
        <w:t>.</w:t>
      </w:r>
    </w:p>
    <w:p>
      <w:pPr>
        <w:pStyle w:val="8"/>
        <w:numPr>
          <w:ilvl w:val="0"/>
          <w:numId w:val="2"/>
        </w:numPr>
        <w:spacing w:before="240" w:after="240"/>
        <w:contextualSpacing w:val="0"/>
        <w:jc w:val="both"/>
        <w:rPr>
          <w:rFonts w:hint="default" w:ascii="Calibri" w:hAnsi="Calibri" w:cs="Calibri"/>
          <w:b/>
          <w:bCs/>
          <w:color w:val="auto"/>
          <w:sz w:val="20"/>
          <w:szCs w:val="20"/>
        </w:rPr>
      </w:pPr>
      <w:r>
        <w:rPr>
          <w:rFonts w:hint="default" w:ascii="Calibri" w:hAnsi="Calibri" w:cs="Calibri"/>
          <w:b/>
          <w:bCs/>
          <w:color w:val="auto"/>
          <w:sz w:val="20"/>
          <w:szCs w:val="20"/>
        </w:rPr>
        <w:t>DESCRIÇÃO DA SOLUÇÃO COMO UM TODO CONSIDERADO O CICLO DE VIDA DO OBJETO E ESPECIFICAÇÃO DO PRODUTO</w:t>
      </w:r>
    </w:p>
    <w:p>
      <w:pPr>
        <w:pStyle w:val="8"/>
        <w:numPr>
          <w:ilvl w:val="1"/>
          <w:numId w:val="2"/>
        </w:numPr>
        <w:spacing w:before="240" w:after="240"/>
        <w:contextualSpacing w:val="0"/>
        <w:jc w:val="both"/>
        <w:rPr>
          <w:rFonts w:hint="default" w:ascii="Calibri" w:hAnsi="Calibri" w:cs="Calibri"/>
          <w:color w:val="auto"/>
          <w:sz w:val="20"/>
          <w:szCs w:val="20"/>
        </w:rPr>
      </w:pPr>
      <w:r>
        <w:rPr>
          <w:rFonts w:hint="default" w:ascii="Calibri" w:hAnsi="Calibri" w:cs="Calibri"/>
          <w:b/>
          <w:bCs/>
          <w:color w:val="auto"/>
          <w:sz w:val="20"/>
          <w:szCs w:val="20"/>
        </w:rPr>
        <w:t>Descrição da Solução como Um Todo</w:t>
      </w:r>
    </w:p>
    <w:p>
      <w:pPr>
        <w:pStyle w:val="8"/>
        <w:numPr>
          <w:ilvl w:val="0"/>
          <w:numId w:val="0"/>
        </w:numPr>
        <w:spacing w:before="240" w:after="240"/>
        <w:ind w:left="360" w:leftChars="0"/>
        <w:contextualSpacing w:val="0"/>
        <w:jc w:val="both"/>
        <w:rPr>
          <w:rFonts w:hint="default" w:ascii="Calibri" w:hAnsi="Calibri" w:cs="Calibri"/>
          <w:b w:val="0"/>
          <w:bCs w:val="0"/>
          <w:color w:val="auto"/>
          <w:sz w:val="20"/>
          <w:szCs w:val="20"/>
          <w:lang w:val="pt-BR"/>
        </w:rPr>
      </w:pPr>
      <w:r>
        <w:rPr>
          <w:rFonts w:hint="default" w:ascii="Calibri" w:hAnsi="Calibri" w:cs="Calibri"/>
          <w:b w:val="0"/>
          <w:bCs w:val="0"/>
          <w:color w:val="auto"/>
          <w:sz w:val="20"/>
          <w:szCs w:val="20"/>
          <w:lang w:val="pt-BR"/>
        </w:rPr>
        <w:t xml:space="preserve">3.1.1. A aquisição de livros didáticos na Educação Infantil busca criar um ambiente educacional estimulante, centrado na criança e alinhado aos princípios pedagógicos fundamentais para o desenvolvimento saudável e integral das crianças nessa fase crucial de aprendizado, assim como também os educadores se beneficiarão ao terem a disposição ferramentas eficazes para promover um ambiente de aprendizado estimulante. </w:t>
      </w:r>
    </w:p>
    <w:p>
      <w:pPr>
        <w:pStyle w:val="8"/>
        <w:keepNext w:val="0"/>
        <w:keepLines w:val="0"/>
        <w:pageBreakBefore w:val="0"/>
        <w:widowControl/>
        <w:numPr>
          <w:ilvl w:val="0"/>
          <w:numId w:val="0"/>
        </w:numPr>
        <w:kinsoku/>
        <w:wordWrap/>
        <w:overflowPunct/>
        <w:topLinePunct w:val="0"/>
        <w:autoSpaceDE/>
        <w:autoSpaceDN/>
        <w:bidi w:val="0"/>
        <w:adjustRightInd/>
        <w:snapToGrid/>
        <w:spacing w:before="80" w:after="80"/>
        <w:ind w:left="363" w:leftChars="0"/>
        <w:contextualSpacing w:val="0"/>
        <w:jc w:val="both"/>
        <w:textAlignment w:val="auto"/>
        <w:rPr>
          <w:rFonts w:hint="default" w:ascii="Calibri" w:hAnsi="Calibri" w:cs="Calibri"/>
          <w:b w:val="0"/>
          <w:bCs w:val="0"/>
          <w:color w:val="auto"/>
          <w:sz w:val="20"/>
          <w:szCs w:val="20"/>
          <w:lang w:val="pt-BR"/>
        </w:rPr>
      </w:pPr>
      <w:r>
        <w:rPr>
          <w:rFonts w:hint="default" w:ascii="Calibri" w:hAnsi="Calibri" w:cs="Calibri"/>
          <w:b w:val="0"/>
          <w:bCs w:val="0"/>
          <w:color w:val="auto"/>
          <w:sz w:val="20"/>
          <w:szCs w:val="20"/>
          <w:lang w:val="pt-BR"/>
        </w:rPr>
        <w:t>3.1.2. Posto isso, a apresentação dos conteúdos dos livros deve obedecer aos seguintes princípios que serão norteadores da análise pedagógica:</w:t>
      </w:r>
    </w:p>
    <w:p>
      <w:pPr>
        <w:pStyle w:val="8"/>
        <w:keepNext w:val="0"/>
        <w:keepLines w:val="0"/>
        <w:pageBreakBefore w:val="0"/>
        <w:widowControl/>
        <w:numPr>
          <w:ilvl w:val="0"/>
          <w:numId w:val="0"/>
        </w:numPr>
        <w:kinsoku/>
        <w:wordWrap/>
        <w:overflowPunct/>
        <w:topLinePunct w:val="0"/>
        <w:autoSpaceDE/>
        <w:autoSpaceDN/>
        <w:bidi w:val="0"/>
        <w:adjustRightInd/>
        <w:snapToGrid/>
        <w:spacing w:before="80" w:after="80"/>
        <w:ind w:left="363" w:leftChars="0"/>
        <w:contextualSpacing w:val="0"/>
        <w:jc w:val="both"/>
        <w:textAlignment w:val="auto"/>
        <w:rPr>
          <w:rFonts w:hint="default" w:ascii="Calibri" w:hAnsi="Calibri" w:cs="Calibri"/>
          <w:b w:val="0"/>
          <w:bCs w:val="0"/>
          <w:color w:val="auto"/>
          <w:sz w:val="20"/>
          <w:szCs w:val="20"/>
          <w:lang w:val="pt-BR"/>
        </w:rPr>
      </w:pPr>
      <w:r>
        <w:rPr>
          <w:rFonts w:hint="default" w:ascii="Calibri" w:hAnsi="Calibri" w:cs="Calibri"/>
          <w:b w:val="0"/>
          <w:bCs w:val="0"/>
          <w:color w:val="auto"/>
          <w:sz w:val="20"/>
          <w:szCs w:val="20"/>
          <w:lang w:val="pt-BR"/>
        </w:rPr>
        <w:t>3.1.2.1. Textos e atividades desafiadoras;</w:t>
      </w:r>
    </w:p>
    <w:p>
      <w:pPr>
        <w:pStyle w:val="8"/>
        <w:keepNext w:val="0"/>
        <w:keepLines w:val="0"/>
        <w:pageBreakBefore w:val="0"/>
        <w:widowControl/>
        <w:numPr>
          <w:ilvl w:val="0"/>
          <w:numId w:val="0"/>
        </w:numPr>
        <w:kinsoku/>
        <w:wordWrap/>
        <w:overflowPunct/>
        <w:topLinePunct w:val="0"/>
        <w:autoSpaceDE/>
        <w:autoSpaceDN/>
        <w:bidi w:val="0"/>
        <w:adjustRightInd/>
        <w:snapToGrid/>
        <w:spacing w:before="80" w:after="80"/>
        <w:ind w:left="363" w:leftChars="0"/>
        <w:contextualSpacing w:val="0"/>
        <w:jc w:val="both"/>
        <w:textAlignment w:val="auto"/>
        <w:rPr>
          <w:rFonts w:hint="default" w:ascii="Calibri" w:hAnsi="Calibri" w:cs="Calibri"/>
          <w:b w:val="0"/>
          <w:bCs w:val="0"/>
          <w:color w:val="auto"/>
          <w:sz w:val="20"/>
          <w:szCs w:val="20"/>
          <w:lang w:val="pt-BR"/>
        </w:rPr>
      </w:pPr>
      <w:r>
        <w:rPr>
          <w:rFonts w:hint="default" w:ascii="Calibri" w:hAnsi="Calibri" w:cs="Calibri"/>
          <w:b w:val="0"/>
          <w:bCs w:val="0"/>
          <w:color w:val="auto"/>
          <w:sz w:val="20"/>
          <w:szCs w:val="20"/>
          <w:lang w:val="pt-BR"/>
        </w:rPr>
        <w:t xml:space="preserve">3.1.2.2. Desenvolvimento de pesquisas e atividades que estimulam o pensar; </w:t>
      </w:r>
    </w:p>
    <w:p>
      <w:pPr>
        <w:pStyle w:val="8"/>
        <w:keepNext w:val="0"/>
        <w:keepLines w:val="0"/>
        <w:pageBreakBefore w:val="0"/>
        <w:widowControl/>
        <w:numPr>
          <w:ilvl w:val="0"/>
          <w:numId w:val="0"/>
        </w:numPr>
        <w:kinsoku/>
        <w:wordWrap/>
        <w:overflowPunct/>
        <w:topLinePunct w:val="0"/>
        <w:autoSpaceDE/>
        <w:autoSpaceDN/>
        <w:bidi w:val="0"/>
        <w:adjustRightInd/>
        <w:snapToGrid/>
        <w:spacing w:before="80" w:after="80"/>
        <w:ind w:left="363" w:leftChars="0"/>
        <w:contextualSpacing w:val="0"/>
        <w:jc w:val="both"/>
        <w:textAlignment w:val="auto"/>
        <w:rPr>
          <w:rFonts w:hint="default" w:ascii="Calibri" w:hAnsi="Calibri" w:cs="Calibri"/>
          <w:b w:val="0"/>
          <w:bCs w:val="0"/>
          <w:color w:val="auto"/>
          <w:sz w:val="20"/>
          <w:szCs w:val="20"/>
          <w:lang w:val="pt-BR"/>
        </w:rPr>
      </w:pPr>
      <w:r>
        <w:rPr>
          <w:rFonts w:hint="default" w:ascii="Calibri" w:hAnsi="Calibri" w:cs="Calibri"/>
          <w:b w:val="0"/>
          <w:bCs w:val="0"/>
          <w:color w:val="auto"/>
          <w:sz w:val="20"/>
          <w:szCs w:val="20"/>
          <w:lang w:val="pt-BR"/>
        </w:rPr>
        <w:t xml:space="preserve">3.1.2.3. Valorização do conhecimento prévio dos alunos; </w:t>
      </w:r>
    </w:p>
    <w:p>
      <w:pPr>
        <w:pStyle w:val="8"/>
        <w:keepNext w:val="0"/>
        <w:keepLines w:val="0"/>
        <w:pageBreakBefore w:val="0"/>
        <w:widowControl/>
        <w:numPr>
          <w:ilvl w:val="0"/>
          <w:numId w:val="0"/>
        </w:numPr>
        <w:kinsoku/>
        <w:wordWrap/>
        <w:overflowPunct/>
        <w:topLinePunct w:val="0"/>
        <w:autoSpaceDE/>
        <w:autoSpaceDN/>
        <w:bidi w:val="0"/>
        <w:adjustRightInd/>
        <w:snapToGrid/>
        <w:spacing w:before="80" w:after="80"/>
        <w:ind w:left="363" w:leftChars="0"/>
        <w:contextualSpacing w:val="0"/>
        <w:jc w:val="both"/>
        <w:textAlignment w:val="auto"/>
        <w:rPr>
          <w:rFonts w:hint="default" w:ascii="Calibri" w:hAnsi="Calibri" w:cs="Calibri"/>
          <w:b w:val="0"/>
          <w:bCs w:val="0"/>
          <w:color w:val="auto"/>
          <w:sz w:val="20"/>
          <w:szCs w:val="20"/>
          <w:lang w:val="pt-BR"/>
        </w:rPr>
      </w:pPr>
      <w:r>
        <w:rPr>
          <w:rFonts w:hint="default" w:ascii="Calibri" w:hAnsi="Calibri" w:cs="Calibri"/>
          <w:b w:val="0"/>
          <w:bCs w:val="0"/>
          <w:color w:val="auto"/>
          <w:sz w:val="20"/>
          <w:szCs w:val="20"/>
          <w:lang w:val="pt-BR"/>
        </w:rPr>
        <w:t xml:space="preserve">3.1.2.4. Formação de conceitos, a partir de discussões coletivas, entre professores e alunos; </w:t>
      </w:r>
    </w:p>
    <w:p>
      <w:pPr>
        <w:pStyle w:val="8"/>
        <w:keepNext w:val="0"/>
        <w:keepLines w:val="0"/>
        <w:pageBreakBefore w:val="0"/>
        <w:widowControl/>
        <w:numPr>
          <w:ilvl w:val="0"/>
          <w:numId w:val="0"/>
        </w:numPr>
        <w:kinsoku/>
        <w:wordWrap/>
        <w:overflowPunct/>
        <w:topLinePunct w:val="0"/>
        <w:autoSpaceDE/>
        <w:autoSpaceDN/>
        <w:bidi w:val="0"/>
        <w:adjustRightInd/>
        <w:snapToGrid/>
        <w:spacing w:before="80" w:after="80"/>
        <w:ind w:left="363" w:leftChars="0"/>
        <w:contextualSpacing w:val="0"/>
        <w:jc w:val="both"/>
        <w:textAlignment w:val="auto"/>
        <w:rPr>
          <w:rFonts w:hint="default" w:ascii="Calibri" w:hAnsi="Calibri" w:cs="Calibri"/>
          <w:b w:val="0"/>
          <w:bCs w:val="0"/>
          <w:color w:val="auto"/>
          <w:sz w:val="20"/>
          <w:szCs w:val="20"/>
          <w:lang w:val="pt-BR"/>
        </w:rPr>
      </w:pPr>
      <w:r>
        <w:rPr>
          <w:rFonts w:hint="default" w:ascii="Calibri" w:hAnsi="Calibri" w:cs="Calibri"/>
          <w:b w:val="0"/>
          <w:bCs w:val="0"/>
          <w:color w:val="auto"/>
          <w:sz w:val="20"/>
          <w:szCs w:val="20"/>
          <w:lang w:val="pt-BR"/>
        </w:rPr>
        <w:t>3.1.2.5. Abertura para uso de múltiplos recursos, como vídeo, música, estudo do meio e trabalhos em grupo;</w:t>
      </w:r>
    </w:p>
    <w:p>
      <w:pPr>
        <w:pStyle w:val="8"/>
        <w:keepNext w:val="0"/>
        <w:keepLines w:val="0"/>
        <w:pageBreakBefore w:val="0"/>
        <w:widowControl/>
        <w:numPr>
          <w:ilvl w:val="0"/>
          <w:numId w:val="0"/>
        </w:numPr>
        <w:kinsoku/>
        <w:wordWrap/>
        <w:overflowPunct/>
        <w:topLinePunct w:val="0"/>
        <w:autoSpaceDE/>
        <w:autoSpaceDN/>
        <w:bidi w:val="0"/>
        <w:adjustRightInd/>
        <w:snapToGrid/>
        <w:spacing w:before="80" w:after="80"/>
        <w:ind w:left="363" w:leftChars="0"/>
        <w:contextualSpacing w:val="0"/>
        <w:jc w:val="both"/>
        <w:textAlignment w:val="auto"/>
        <w:rPr>
          <w:rFonts w:hint="default" w:ascii="Calibri" w:hAnsi="Calibri" w:cs="Calibri"/>
          <w:b w:val="0"/>
          <w:bCs w:val="0"/>
          <w:color w:val="auto"/>
          <w:sz w:val="20"/>
          <w:szCs w:val="20"/>
          <w:lang w:val="pt-BR"/>
        </w:rPr>
      </w:pPr>
      <w:r>
        <w:rPr>
          <w:rFonts w:hint="default" w:ascii="Calibri" w:hAnsi="Calibri" w:cs="Calibri"/>
          <w:b w:val="0"/>
          <w:bCs w:val="0"/>
          <w:color w:val="auto"/>
          <w:sz w:val="20"/>
          <w:szCs w:val="20"/>
          <w:lang w:val="pt-BR"/>
        </w:rPr>
        <w:t>3.1.2.6. Incentivo à intervenção do professor para criação de aulas mais dinâmicas;</w:t>
      </w:r>
    </w:p>
    <w:p>
      <w:pPr>
        <w:pStyle w:val="8"/>
        <w:keepNext w:val="0"/>
        <w:keepLines w:val="0"/>
        <w:pageBreakBefore w:val="0"/>
        <w:widowControl/>
        <w:numPr>
          <w:ilvl w:val="0"/>
          <w:numId w:val="0"/>
        </w:numPr>
        <w:kinsoku/>
        <w:wordWrap/>
        <w:overflowPunct/>
        <w:topLinePunct w:val="0"/>
        <w:autoSpaceDE/>
        <w:autoSpaceDN/>
        <w:bidi w:val="0"/>
        <w:adjustRightInd/>
        <w:snapToGrid/>
        <w:spacing w:before="80" w:after="80"/>
        <w:ind w:left="363" w:leftChars="0"/>
        <w:contextualSpacing w:val="0"/>
        <w:jc w:val="both"/>
        <w:textAlignment w:val="auto"/>
        <w:rPr>
          <w:rFonts w:hint="default" w:ascii="Calibri" w:hAnsi="Calibri" w:cs="Calibri"/>
          <w:b w:val="0"/>
          <w:bCs w:val="0"/>
          <w:color w:val="auto"/>
          <w:sz w:val="20"/>
          <w:szCs w:val="20"/>
          <w:lang w:val="pt-BR"/>
        </w:rPr>
      </w:pPr>
      <w:r>
        <w:rPr>
          <w:rFonts w:hint="default" w:ascii="Calibri" w:hAnsi="Calibri" w:cs="Calibri"/>
          <w:b w:val="0"/>
          <w:bCs w:val="0"/>
          <w:color w:val="auto"/>
          <w:sz w:val="20"/>
          <w:szCs w:val="20"/>
          <w:lang w:val="pt-BR"/>
        </w:rPr>
        <w:t xml:space="preserve">3.1.2.7. Fornecer aos alunos e professores, a vivência da aprendizagem por meio de conteúdos significativos; </w:t>
      </w:r>
    </w:p>
    <w:p>
      <w:pPr>
        <w:pStyle w:val="8"/>
        <w:keepNext w:val="0"/>
        <w:keepLines w:val="0"/>
        <w:pageBreakBefore w:val="0"/>
        <w:widowControl/>
        <w:numPr>
          <w:ilvl w:val="0"/>
          <w:numId w:val="0"/>
        </w:numPr>
        <w:kinsoku/>
        <w:wordWrap/>
        <w:overflowPunct/>
        <w:topLinePunct w:val="0"/>
        <w:autoSpaceDE/>
        <w:autoSpaceDN/>
        <w:bidi w:val="0"/>
        <w:adjustRightInd/>
        <w:snapToGrid/>
        <w:spacing w:before="80" w:after="80"/>
        <w:ind w:left="363" w:leftChars="0"/>
        <w:contextualSpacing w:val="0"/>
        <w:jc w:val="both"/>
        <w:textAlignment w:val="auto"/>
        <w:rPr>
          <w:rFonts w:hint="default" w:ascii="Calibri" w:hAnsi="Calibri" w:cs="Calibri"/>
          <w:b w:val="0"/>
          <w:bCs w:val="0"/>
          <w:color w:val="auto"/>
          <w:sz w:val="20"/>
          <w:szCs w:val="20"/>
          <w:lang w:val="pt-BR"/>
        </w:rPr>
      </w:pPr>
      <w:r>
        <w:rPr>
          <w:rFonts w:hint="default" w:ascii="Calibri" w:hAnsi="Calibri" w:cs="Calibri"/>
          <w:b w:val="0"/>
          <w:bCs w:val="0"/>
          <w:color w:val="auto"/>
          <w:sz w:val="20"/>
          <w:szCs w:val="20"/>
          <w:lang w:val="pt-BR"/>
        </w:rPr>
        <w:t xml:space="preserve">3.1.2.8. Propor atividades interativas e projetos colaborativos; </w:t>
      </w:r>
    </w:p>
    <w:p>
      <w:pPr>
        <w:pStyle w:val="8"/>
        <w:keepNext w:val="0"/>
        <w:keepLines w:val="0"/>
        <w:pageBreakBefore w:val="0"/>
        <w:widowControl/>
        <w:numPr>
          <w:ilvl w:val="0"/>
          <w:numId w:val="0"/>
        </w:numPr>
        <w:kinsoku/>
        <w:wordWrap/>
        <w:overflowPunct/>
        <w:topLinePunct w:val="0"/>
        <w:autoSpaceDE/>
        <w:autoSpaceDN/>
        <w:bidi w:val="0"/>
        <w:adjustRightInd/>
        <w:snapToGrid/>
        <w:spacing w:before="80" w:after="80"/>
        <w:ind w:left="363" w:leftChars="0"/>
        <w:contextualSpacing w:val="0"/>
        <w:jc w:val="both"/>
        <w:textAlignment w:val="auto"/>
        <w:rPr>
          <w:rFonts w:hint="default" w:ascii="Calibri" w:hAnsi="Calibri" w:cs="Calibri"/>
          <w:b w:val="0"/>
          <w:bCs w:val="0"/>
          <w:color w:val="auto"/>
          <w:sz w:val="20"/>
          <w:szCs w:val="20"/>
          <w:lang w:val="pt-BR"/>
        </w:rPr>
      </w:pPr>
      <w:r>
        <w:rPr>
          <w:rFonts w:hint="default" w:ascii="Calibri" w:hAnsi="Calibri" w:cs="Calibri"/>
          <w:b w:val="0"/>
          <w:bCs w:val="0"/>
          <w:color w:val="auto"/>
          <w:sz w:val="20"/>
          <w:szCs w:val="20"/>
          <w:lang w:val="pt-BR"/>
        </w:rPr>
        <w:t>3.1.2.9. Apresentar situações-problema contextualizadas, que evidenciem o uso social dos conteúdos desenvolvidos e valorizem o conhecimento prévio dos alunos;</w:t>
      </w:r>
    </w:p>
    <w:p>
      <w:pPr>
        <w:pStyle w:val="8"/>
        <w:keepNext w:val="0"/>
        <w:keepLines w:val="0"/>
        <w:pageBreakBefore w:val="0"/>
        <w:widowControl/>
        <w:numPr>
          <w:ilvl w:val="0"/>
          <w:numId w:val="0"/>
        </w:numPr>
        <w:kinsoku/>
        <w:wordWrap/>
        <w:overflowPunct/>
        <w:topLinePunct w:val="0"/>
        <w:autoSpaceDE/>
        <w:autoSpaceDN/>
        <w:bidi w:val="0"/>
        <w:adjustRightInd/>
        <w:snapToGrid/>
        <w:spacing w:before="80" w:after="80"/>
        <w:ind w:left="363" w:leftChars="0"/>
        <w:contextualSpacing w:val="0"/>
        <w:jc w:val="both"/>
        <w:textAlignment w:val="auto"/>
        <w:rPr>
          <w:rFonts w:hint="default" w:ascii="Calibri" w:hAnsi="Calibri" w:cs="Calibri"/>
          <w:b w:val="0"/>
          <w:bCs w:val="0"/>
          <w:color w:val="auto"/>
          <w:sz w:val="20"/>
          <w:szCs w:val="20"/>
          <w:lang w:val="pt-BR"/>
        </w:rPr>
      </w:pPr>
      <w:r>
        <w:rPr>
          <w:rFonts w:hint="default" w:ascii="Calibri" w:hAnsi="Calibri" w:cs="Calibri"/>
          <w:b w:val="0"/>
          <w:bCs w:val="0"/>
          <w:color w:val="auto"/>
          <w:sz w:val="20"/>
          <w:szCs w:val="20"/>
          <w:lang w:val="pt-BR"/>
        </w:rPr>
        <w:t xml:space="preserve">3.1.2.10. Propiciar atividades que conduzam o trabalho com conteúdo atitudinais, orientando padrões de conduta a serem compartilhados com os grupos, e ações que permitem a elaboração de um juízo crítico sobre o que se aprende e que desenvolvem o espírito investigativo e a curiosidade dos educandos; </w:t>
      </w:r>
    </w:p>
    <w:p>
      <w:pPr>
        <w:pStyle w:val="8"/>
        <w:keepNext w:val="0"/>
        <w:keepLines w:val="0"/>
        <w:pageBreakBefore w:val="0"/>
        <w:widowControl/>
        <w:numPr>
          <w:ilvl w:val="0"/>
          <w:numId w:val="0"/>
        </w:numPr>
        <w:kinsoku/>
        <w:wordWrap/>
        <w:overflowPunct/>
        <w:topLinePunct w:val="0"/>
        <w:autoSpaceDE/>
        <w:autoSpaceDN/>
        <w:bidi w:val="0"/>
        <w:adjustRightInd/>
        <w:snapToGrid/>
        <w:spacing w:before="80" w:after="80"/>
        <w:ind w:left="363" w:leftChars="0"/>
        <w:contextualSpacing w:val="0"/>
        <w:jc w:val="both"/>
        <w:textAlignment w:val="auto"/>
        <w:rPr>
          <w:rFonts w:hint="default" w:ascii="Calibri" w:hAnsi="Calibri" w:cs="Calibri"/>
          <w:b w:val="0"/>
          <w:bCs w:val="0"/>
          <w:color w:val="auto"/>
          <w:sz w:val="20"/>
          <w:szCs w:val="20"/>
          <w:lang w:val="pt-BR"/>
        </w:rPr>
      </w:pPr>
      <w:r>
        <w:rPr>
          <w:rFonts w:hint="default" w:ascii="Calibri" w:hAnsi="Calibri" w:cs="Calibri"/>
          <w:b w:val="0"/>
          <w:bCs w:val="0"/>
          <w:color w:val="auto"/>
          <w:sz w:val="20"/>
          <w:szCs w:val="20"/>
          <w:lang w:val="pt-BR"/>
        </w:rPr>
        <w:t xml:space="preserve">3.1.2.11. Apresentar jogos e/ou atividades lúdicas que trabalhem conteúdos e habilidades pertinentes à faixa etária a qual as apostilas se destinam; </w:t>
      </w:r>
    </w:p>
    <w:p>
      <w:pPr>
        <w:pStyle w:val="8"/>
        <w:keepNext w:val="0"/>
        <w:keepLines w:val="0"/>
        <w:pageBreakBefore w:val="0"/>
        <w:widowControl/>
        <w:numPr>
          <w:ilvl w:val="0"/>
          <w:numId w:val="0"/>
        </w:numPr>
        <w:kinsoku/>
        <w:wordWrap/>
        <w:overflowPunct/>
        <w:topLinePunct w:val="0"/>
        <w:autoSpaceDE/>
        <w:autoSpaceDN/>
        <w:bidi w:val="0"/>
        <w:adjustRightInd/>
        <w:snapToGrid/>
        <w:spacing w:before="80" w:after="80"/>
        <w:ind w:left="363" w:leftChars="0"/>
        <w:contextualSpacing w:val="0"/>
        <w:jc w:val="both"/>
        <w:textAlignment w:val="auto"/>
        <w:rPr>
          <w:rFonts w:hint="default" w:ascii="Calibri" w:hAnsi="Calibri" w:cs="Calibri"/>
          <w:b w:val="0"/>
          <w:bCs w:val="0"/>
          <w:color w:val="auto"/>
          <w:sz w:val="20"/>
          <w:szCs w:val="20"/>
          <w:lang w:val="pt-BR"/>
        </w:rPr>
      </w:pPr>
      <w:r>
        <w:rPr>
          <w:rFonts w:hint="default" w:ascii="Calibri" w:hAnsi="Calibri" w:cs="Calibri"/>
          <w:b w:val="0"/>
          <w:bCs w:val="0"/>
          <w:color w:val="auto"/>
          <w:sz w:val="20"/>
          <w:szCs w:val="20"/>
          <w:lang w:val="pt-BR"/>
        </w:rPr>
        <w:t xml:space="preserve">3.1.2.12. Privilegiar atividades que conduzam a letramento, como: conhecer as diferentes formas de discurso escrito, saber como se estruturam e em quais situações são usadas; </w:t>
      </w:r>
    </w:p>
    <w:p>
      <w:pPr>
        <w:pStyle w:val="8"/>
        <w:keepNext w:val="0"/>
        <w:keepLines w:val="0"/>
        <w:pageBreakBefore w:val="0"/>
        <w:widowControl/>
        <w:numPr>
          <w:ilvl w:val="0"/>
          <w:numId w:val="0"/>
        </w:numPr>
        <w:kinsoku/>
        <w:wordWrap/>
        <w:overflowPunct/>
        <w:topLinePunct w:val="0"/>
        <w:autoSpaceDE/>
        <w:autoSpaceDN/>
        <w:bidi w:val="0"/>
        <w:adjustRightInd/>
        <w:snapToGrid/>
        <w:spacing w:before="80" w:after="80"/>
        <w:ind w:left="363" w:leftChars="0"/>
        <w:contextualSpacing w:val="0"/>
        <w:jc w:val="both"/>
        <w:textAlignment w:val="auto"/>
        <w:rPr>
          <w:rFonts w:hint="default" w:ascii="Calibri" w:hAnsi="Calibri" w:cs="Calibri"/>
          <w:b w:val="0"/>
          <w:bCs w:val="0"/>
          <w:color w:val="auto"/>
          <w:sz w:val="20"/>
          <w:szCs w:val="20"/>
          <w:lang w:val="pt-BR"/>
        </w:rPr>
      </w:pPr>
      <w:r>
        <w:rPr>
          <w:rFonts w:hint="default" w:ascii="Calibri" w:hAnsi="Calibri" w:cs="Calibri"/>
          <w:b w:val="0"/>
          <w:bCs w:val="0"/>
          <w:color w:val="auto"/>
          <w:sz w:val="20"/>
          <w:szCs w:val="20"/>
          <w:lang w:val="pt-BR"/>
        </w:rPr>
        <w:t xml:space="preserve">3.1.2.13. Propiciar a imersão do aluno na linguagem escrita de maneira significativa e prazerosa, por meio de situações que considerem o uso social, criando situações para o aluno manipular o discurso oral com diferentes objetivos: narrar, convencer, opinar, fazer rir, emocionar, informar, dar instruções etc; </w:t>
      </w:r>
    </w:p>
    <w:p>
      <w:pPr>
        <w:pStyle w:val="8"/>
        <w:keepNext w:val="0"/>
        <w:keepLines w:val="0"/>
        <w:pageBreakBefore w:val="0"/>
        <w:widowControl/>
        <w:numPr>
          <w:ilvl w:val="0"/>
          <w:numId w:val="0"/>
        </w:numPr>
        <w:kinsoku/>
        <w:wordWrap/>
        <w:overflowPunct/>
        <w:topLinePunct w:val="0"/>
        <w:autoSpaceDE/>
        <w:autoSpaceDN/>
        <w:bidi w:val="0"/>
        <w:adjustRightInd/>
        <w:snapToGrid/>
        <w:spacing w:before="80" w:after="80"/>
        <w:ind w:left="363" w:leftChars="0"/>
        <w:contextualSpacing w:val="0"/>
        <w:jc w:val="both"/>
        <w:textAlignment w:val="auto"/>
        <w:rPr>
          <w:rFonts w:hint="default" w:ascii="Calibri" w:hAnsi="Calibri" w:cs="Calibri"/>
          <w:b w:val="0"/>
          <w:bCs w:val="0"/>
          <w:color w:val="auto"/>
          <w:sz w:val="20"/>
          <w:szCs w:val="20"/>
          <w:lang w:val="pt-BR"/>
        </w:rPr>
      </w:pPr>
      <w:r>
        <w:rPr>
          <w:rFonts w:hint="default" w:ascii="Calibri" w:hAnsi="Calibri" w:cs="Calibri"/>
          <w:b w:val="0"/>
          <w:bCs w:val="0"/>
          <w:color w:val="auto"/>
          <w:sz w:val="20"/>
          <w:szCs w:val="20"/>
          <w:lang w:val="pt-BR"/>
        </w:rPr>
        <w:t xml:space="preserve">3.1.2.14. Encaminhar o aluno à resolução de problemas matemáticos por meio da exploração de jogos enredos e temas, visando ao estímulo das funções perceptivo-motoras, corporais, cognitivas e afetivas. </w:t>
      </w:r>
    </w:p>
    <w:p>
      <w:pPr>
        <w:pStyle w:val="8"/>
        <w:spacing w:before="240" w:after="240"/>
        <w:ind w:left="1728"/>
        <w:jc w:val="both"/>
        <w:rPr>
          <w:rFonts w:hint="default" w:ascii="Calibri" w:hAnsi="Calibri" w:cs="Calibri"/>
          <w:color w:val="auto"/>
          <w:sz w:val="20"/>
          <w:szCs w:val="20"/>
        </w:rPr>
      </w:pPr>
    </w:p>
    <w:p>
      <w:pPr>
        <w:pStyle w:val="8"/>
        <w:numPr>
          <w:ilvl w:val="1"/>
          <w:numId w:val="2"/>
        </w:numPr>
        <w:spacing w:before="240" w:after="240"/>
        <w:contextualSpacing w:val="0"/>
        <w:jc w:val="both"/>
        <w:rPr>
          <w:rFonts w:hint="default" w:ascii="Calibri" w:hAnsi="Calibri" w:cs="Calibri"/>
          <w:b/>
          <w:bCs/>
          <w:color w:val="auto"/>
          <w:sz w:val="20"/>
          <w:szCs w:val="20"/>
        </w:rPr>
      </w:pPr>
      <w:r>
        <w:rPr>
          <w:rFonts w:hint="default" w:ascii="Calibri" w:hAnsi="Calibri" w:cs="Calibri"/>
          <w:b/>
          <w:bCs/>
          <w:color w:val="auto"/>
          <w:sz w:val="20"/>
          <w:szCs w:val="20"/>
        </w:rPr>
        <w:t>Providências de Adequação</w:t>
      </w:r>
    </w:p>
    <w:p>
      <w:pPr>
        <w:pStyle w:val="8"/>
        <w:numPr>
          <w:ilvl w:val="2"/>
          <w:numId w:val="2"/>
        </w:numPr>
        <w:spacing w:before="240" w:after="240"/>
        <w:contextualSpacing w:val="0"/>
        <w:jc w:val="both"/>
        <w:rPr>
          <w:rFonts w:hint="default" w:ascii="Calibri" w:hAnsi="Calibri" w:cs="Calibri"/>
          <w:color w:val="auto"/>
          <w:sz w:val="20"/>
          <w:szCs w:val="20"/>
        </w:rPr>
      </w:pPr>
      <w:r>
        <w:rPr>
          <w:rFonts w:hint="default" w:ascii="Calibri" w:hAnsi="Calibri" w:cs="Calibri"/>
          <w:color w:val="auto"/>
          <w:sz w:val="20"/>
          <w:szCs w:val="20"/>
        </w:rPr>
        <w:t>Não se vislumbram providências de adequação a serem consideradas na solução como um todo.</w:t>
      </w:r>
    </w:p>
    <w:p>
      <w:pPr>
        <w:pStyle w:val="8"/>
        <w:numPr>
          <w:ilvl w:val="1"/>
          <w:numId w:val="2"/>
        </w:numPr>
        <w:spacing w:before="240" w:after="240"/>
        <w:contextualSpacing w:val="0"/>
        <w:jc w:val="both"/>
        <w:rPr>
          <w:rFonts w:hint="default" w:ascii="Calibri" w:hAnsi="Calibri" w:cs="Calibri"/>
          <w:b/>
          <w:bCs/>
          <w:color w:val="auto"/>
          <w:sz w:val="20"/>
          <w:szCs w:val="20"/>
        </w:rPr>
      </w:pPr>
      <w:r>
        <w:rPr>
          <w:rFonts w:hint="default" w:ascii="Calibri" w:hAnsi="Calibri" w:cs="Calibri"/>
          <w:b/>
          <w:bCs/>
          <w:color w:val="auto"/>
          <w:sz w:val="20"/>
          <w:szCs w:val="20"/>
        </w:rPr>
        <w:t>Contratações Correlatas ou interdependentes</w:t>
      </w:r>
    </w:p>
    <w:p>
      <w:pPr>
        <w:pStyle w:val="8"/>
        <w:numPr>
          <w:ilvl w:val="2"/>
          <w:numId w:val="2"/>
        </w:numPr>
        <w:spacing w:before="240" w:after="240"/>
        <w:contextualSpacing w:val="0"/>
        <w:jc w:val="both"/>
        <w:rPr>
          <w:rFonts w:hint="default" w:ascii="Calibri" w:hAnsi="Calibri" w:cs="Calibri"/>
          <w:color w:val="auto"/>
          <w:sz w:val="20"/>
          <w:szCs w:val="20"/>
        </w:rPr>
      </w:pPr>
      <w:r>
        <w:rPr>
          <w:rFonts w:hint="default" w:ascii="Calibri" w:hAnsi="Calibri" w:cs="Calibri"/>
          <w:color w:val="auto"/>
          <w:sz w:val="20"/>
          <w:szCs w:val="20"/>
        </w:rPr>
        <w:t xml:space="preserve">Não verifica-se contratações correlatas para a viabilidade e contratação desta demanda. </w:t>
      </w:r>
    </w:p>
    <w:p>
      <w:pPr>
        <w:pStyle w:val="8"/>
        <w:numPr>
          <w:ilvl w:val="2"/>
          <w:numId w:val="2"/>
        </w:numPr>
        <w:spacing w:before="240" w:after="240"/>
        <w:contextualSpacing w:val="0"/>
        <w:jc w:val="both"/>
        <w:rPr>
          <w:rFonts w:hint="default" w:ascii="Calibri" w:hAnsi="Calibri" w:cs="Calibri"/>
          <w:color w:val="auto"/>
          <w:sz w:val="20"/>
          <w:szCs w:val="20"/>
        </w:rPr>
      </w:pPr>
      <w:r>
        <w:rPr>
          <w:rFonts w:hint="default" w:ascii="Calibri" w:hAnsi="Calibri" w:cs="Calibri"/>
          <w:color w:val="auto"/>
          <w:sz w:val="20"/>
          <w:szCs w:val="20"/>
        </w:rPr>
        <w:t>Não verifica-se contratações interdependentes para a viabilidade e contratação desta demanda.</w:t>
      </w:r>
    </w:p>
    <w:p>
      <w:pPr>
        <w:pStyle w:val="8"/>
        <w:numPr>
          <w:ilvl w:val="0"/>
          <w:numId w:val="2"/>
        </w:numPr>
        <w:spacing w:before="240" w:after="240"/>
        <w:contextualSpacing w:val="0"/>
        <w:jc w:val="both"/>
        <w:rPr>
          <w:rFonts w:hint="default" w:ascii="Calibri" w:hAnsi="Calibri" w:cs="Calibri"/>
          <w:b/>
          <w:bCs/>
          <w:color w:val="auto"/>
          <w:sz w:val="20"/>
          <w:szCs w:val="20"/>
        </w:rPr>
      </w:pPr>
      <w:r>
        <w:rPr>
          <w:rFonts w:hint="default" w:ascii="Calibri" w:hAnsi="Calibri" w:cs="Calibri"/>
          <w:b/>
          <w:bCs/>
          <w:color w:val="auto"/>
          <w:sz w:val="20"/>
          <w:szCs w:val="20"/>
        </w:rPr>
        <w:t>REQUISITOS DA CONTRATAÇÃO</w:t>
      </w:r>
    </w:p>
    <w:p>
      <w:pPr>
        <w:pStyle w:val="8"/>
        <w:numPr>
          <w:ilvl w:val="1"/>
          <w:numId w:val="2"/>
        </w:numPr>
        <w:spacing w:before="240" w:after="240"/>
        <w:contextualSpacing w:val="0"/>
        <w:jc w:val="both"/>
        <w:rPr>
          <w:rFonts w:hint="default" w:ascii="Calibri" w:hAnsi="Calibri" w:cs="Calibri"/>
          <w:b/>
          <w:bCs/>
          <w:color w:val="auto"/>
          <w:sz w:val="20"/>
          <w:szCs w:val="20"/>
        </w:rPr>
      </w:pPr>
      <w:r>
        <w:rPr>
          <w:rFonts w:hint="default" w:ascii="Calibri" w:hAnsi="Calibri" w:cs="Calibri"/>
          <w:b/>
          <w:bCs/>
          <w:color w:val="auto"/>
          <w:sz w:val="20"/>
          <w:szCs w:val="20"/>
        </w:rPr>
        <w:t>Sustentabilidade:</w:t>
      </w:r>
    </w:p>
    <w:p>
      <w:pPr>
        <w:pStyle w:val="8"/>
        <w:numPr>
          <w:ilvl w:val="2"/>
          <w:numId w:val="2"/>
        </w:numPr>
        <w:spacing w:before="240" w:after="240"/>
        <w:contextualSpacing w:val="0"/>
        <w:jc w:val="both"/>
        <w:rPr>
          <w:rFonts w:hint="default" w:ascii="Calibri" w:hAnsi="Calibri" w:cs="Calibri"/>
          <w:color w:val="auto"/>
          <w:sz w:val="20"/>
          <w:szCs w:val="20"/>
        </w:rPr>
      </w:pPr>
      <w:r>
        <w:rPr>
          <w:rFonts w:hint="default" w:ascii="Calibri" w:hAnsi="Calibri" w:cs="Calibri"/>
          <w:color w:val="auto"/>
          <w:sz w:val="20"/>
          <w:szCs w:val="20"/>
        </w:rPr>
        <w:t>Não há critérios de sustentabilidade a serem consideradas na presente contratação.</w:t>
      </w:r>
    </w:p>
    <w:p>
      <w:pPr>
        <w:pStyle w:val="8"/>
        <w:numPr>
          <w:ilvl w:val="1"/>
          <w:numId w:val="2"/>
        </w:numPr>
        <w:spacing w:before="240" w:after="240"/>
        <w:contextualSpacing w:val="0"/>
        <w:jc w:val="both"/>
        <w:rPr>
          <w:rFonts w:hint="default" w:ascii="Calibri" w:hAnsi="Calibri" w:cs="Calibri"/>
          <w:b/>
          <w:bCs/>
          <w:color w:val="auto"/>
          <w:sz w:val="20"/>
          <w:szCs w:val="20"/>
        </w:rPr>
      </w:pPr>
      <w:r>
        <w:rPr>
          <w:rFonts w:hint="default" w:ascii="Calibri" w:hAnsi="Calibri" w:cs="Calibri"/>
          <w:b/>
          <w:bCs/>
          <w:color w:val="auto"/>
          <w:sz w:val="20"/>
          <w:szCs w:val="20"/>
        </w:rPr>
        <w:t>Indicação de marcas ou modelos de produtos utilizados na execução dos serviços:</w:t>
      </w:r>
    </w:p>
    <w:p>
      <w:pPr>
        <w:pStyle w:val="8"/>
        <w:numPr>
          <w:ilvl w:val="2"/>
          <w:numId w:val="2"/>
        </w:numPr>
        <w:spacing w:before="240" w:after="240"/>
        <w:contextualSpacing w:val="0"/>
        <w:jc w:val="both"/>
        <w:rPr>
          <w:rFonts w:hint="default" w:ascii="Calibri" w:hAnsi="Calibri" w:cs="Calibri"/>
          <w:color w:val="auto"/>
          <w:sz w:val="20"/>
          <w:szCs w:val="20"/>
        </w:rPr>
      </w:pPr>
      <w:r>
        <w:rPr>
          <w:rFonts w:hint="default" w:ascii="Calibri" w:hAnsi="Calibri" w:cs="Calibri"/>
          <w:color w:val="auto"/>
          <w:sz w:val="20"/>
          <w:szCs w:val="20"/>
        </w:rPr>
        <w:t>Na presente contratação será admitida eventuais indicações de marca, característica ou modelo de produtos a serem utilizados na prestação dos serviços, que estejam descritas neste Termo de Referência ou em outro próprio.</w:t>
      </w:r>
    </w:p>
    <w:p>
      <w:pPr>
        <w:pStyle w:val="8"/>
        <w:numPr>
          <w:ilvl w:val="1"/>
          <w:numId w:val="2"/>
        </w:numPr>
        <w:spacing w:before="240" w:after="240"/>
        <w:contextualSpacing w:val="0"/>
        <w:jc w:val="both"/>
        <w:rPr>
          <w:rFonts w:hint="default" w:ascii="Calibri" w:hAnsi="Calibri" w:cs="Calibri"/>
          <w:b/>
          <w:bCs/>
          <w:color w:val="auto"/>
          <w:sz w:val="20"/>
          <w:szCs w:val="20"/>
        </w:rPr>
      </w:pPr>
      <w:r>
        <w:rPr>
          <w:rFonts w:hint="default" w:ascii="Calibri" w:hAnsi="Calibri" w:cs="Calibri"/>
          <w:b/>
          <w:bCs/>
          <w:color w:val="auto"/>
          <w:sz w:val="20"/>
          <w:szCs w:val="20"/>
        </w:rPr>
        <w:t>Da vedação de utilização de marca/produto na execução do serviço</w:t>
      </w:r>
    </w:p>
    <w:p>
      <w:pPr>
        <w:pStyle w:val="8"/>
        <w:numPr>
          <w:ilvl w:val="2"/>
          <w:numId w:val="2"/>
        </w:numPr>
        <w:spacing w:before="240" w:after="240"/>
        <w:contextualSpacing w:val="0"/>
        <w:jc w:val="both"/>
        <w:rPr>
          <w:rFonts w:hint="default" w:ascii="Calibri" w:hAnsi="Calibri" w:cs="Calibri"/>
          <w:color w:val="auto"/>
          <w:sz w:val="20"/>
          <w:szCs w:val="20"/>
        </w:rPr>
      </w:pPr>
      <w:r>
        <w:rPr>
          <w:rFonts w:hint="default" w:ascii="Calibri" w:hAnsi="Calibri" w:cs="Calibri"/>
          <w:color w:val="auto"/>
          <w:sz w:val="20"/>
          <w:szCs w:val="20"/>
        </w:rPr>
        <w:t>Não haverá vedação de marca/produto na presente contratação.</w:t>
      </w:r>
    </w:p>
    <w:p>
      <w:pPr>
        <w:pStyle w:val="8"/>
        <w:numPr>
          <w:ilvl w:val="1"/>
          <w:numId w:val="2"/>
        </w:numPr>
        <w:spacing w:before="240" w:after="240"/>
        <w:contextualSpacing w:val="0"/>
        <w:jc w:val="both"/>
        <w:rPr>
          <w:rFonts w:hint="default" w:ascii="Calibri" w:hAnsi="Calibri" w:cs="Calibri"/>
          <w:b/>
          <w:bCs/>
          <w:color w:val="auto"/>
          <w:sz w:val="20"/>
          <w:szCs w:val="20"/>
        </w:rPr>
      </w:pPr>
      <w:r>
        <w:rPr>
          <w:rFonts w:hint="default" w:ascii="Calibri" w:hAnsi="Calibri" w:cs="Calibri"/>
          <w:b/>
          <w:bCs/>
          <w:color w:val="auto"/>
          <w:sz w:val="20"/>
          <w:szCs w:val="20"/>
        </w:rPr>
        <w:t>Garantia da contratação</w:t>
      </w:r>
    </w:p>
    <w:p>
      <w:pPr>
        <w:pStyle w:val="8"/>
        <w:numPr>
          <w:ilvl w:val="2"/>
          <w:numId w:val="2"/>
        </w:numPr>
        <w:spacing w:before="240" w:after="240"/>
        <w:contextualSpacing w:val="0"/>
        <w:jc w:val="both"/>
        <w:rPr>
          <w:rFonts w:hint="default" w:ascii="Calibri" w:hAnsi="Calibri" w:cs="Calibri"/>
          <w:color w:val="auto"/>
          <w:sz w:val="20"/>
          <w:szCs w:val="20"/>
        </w:rPr>
      </w:pPr>
      <w:r>
        <w:rPr>
          <w:rFonts w:hint="default" w:ascii="Calibri" w:hAnsi="Calibri" w:cs="Calibri"/>
          <w:color w:val="auto"/>
          <w:sz w:val="20"/>
          <w:szCs w:val="20"/>
        </w:rPr>
        <w:t>Não haverá exigência da garantia da contratação de que tratam os artigos 96 e seguintes da Lei nº 14.133, de 2021.</w:t>
      </w:r>
    </w:p>
    <w:p>
      <w:pPr>
        <w:pStyle w:val="8"/>
        <w:numPr>
          <w:ilvl w:val="0"/>
          <w:numId w:val="2"/>
        </w:numPr>
        <w:spacing w:before="240" w:after="240"/>
        <w:contextualSpacing w:val="0"/>
        <w:jc w:val="both"/>
        <w:rPr>
          <w:rFonts w:hint="default" w:ascii="Calibri" w:hAnsi="Calibri" w:cs="Calibri"/>
          <w:b/>
          <w:bCs/>
          <w:color w:val="auto"/>
          <w:sz w:val="20"/>
          <w:szCs w:val="20"/>
        </w:rPr>
      </w:pPr>
      <w:r>
        <w:rPr>
          <w:rFonts w:hint="default" w:ascii="Calibri" w:hAnsi="Calibri" w:cs="Calibri"/>
          <w:b/>
          <w:bCs/>
          <w:color w:val="auto"/>
          <w:sz w:val="20"/>
          <w:szCs w:val="20"/>
        </w:rPr>
        <w:t>MODELO DE EXECUÇÃO DO OBJETO</w:t>
      </w:r>
    </w:p>
    <w:p>
      <w:pPr>
        <w:spacing w:before="240" w:after="240" w:line="240" w:lineRule="auto"/>
        <w:ind w:firstLine="360"/>
        <w:jc w:val="both"/>
        <w:rPr>
          <w:rFonts w:hint="default" w:ascii="Calibri" w:hAnsi="Calibri" w:cs="Calibri"/>
          <w:b/>
          <w:bCs/>
          <w:color w:val="auto"/>
          <w:sz w:val="20"/>
          <w:szCs w:val="20"/>
        </w:rPr>
      </w:pPr>
      <w:r>
        <w:rPr>
          <w:rFonts w:hint="default" w:ascii="Calibri" w:hAnsi="Calibri" w:cs="Calibri"/>
          <w:b/>
          <w:bCs/>
          <w:color w:val="auto"/>
          <w:sz w:val="20"/>
          <w:szCs w:val="20"/>
        </w:rPr>
        <w:t>Condições de Execução:</w:t>
      </w:r>
    </w:p>
    <w:p>
      <w:pPr>
        <w:pStyle w:val="8"/>
        <w:numPr>
          <w:ilvl w:val="1"/>
          <w:numId w:val="2"/>
        </w:numPr>
        <w:spacing w:before="240" w:after="240"/>
        <w:contextualSpacing w:val="0"/>
        <w:jc w:val="both"/>
        <w:rPr>
          <w:rFonts w:hint="default" w:ascii="Calibri" w:hAnsi="Calibri" w:cs="Calibri"/>
          <w:color w:val="auto"/>
          <w:sz w:val="20"/>
          <w:szCs w:val="20"/>
          <w:highlight w:val="none"/>
        </w:rPr>
      </w:pPr>
      <w:r>
        <w:rPr>
          <w:rFonts w:hint="default" w:ascii="Calibri" w:hAnsi="Calibri" w:cs="Calibri"/>
          <w:color w:val="auto"/>
          <w:sz w:val="20"/>
          <w:szCs w:val="20"/>
          <w:highlight w:val="none"/>
          <w:lang w:val="pt-BR"/>
        </w:rPr>
        <w:t>O</w:t>
      </w:r>
      <w:r>
        <w:rPr>
          <w:rFonts w:hint="default" w:ascii="Calibri" w:hAnsi="Calibri" w:cs="Calibri"/>
          <w:color w:val="auto"/>
          <w:sz w:val="20"/>
          <w:szCs w:val="20"/>
          <w:highlight w:val="none"/>
        </w:rPr>
        <w:t xml:space="preserve"> fornecimento dos materiais deverá ocorrer em até no máximo 30 (trinta) dias.</w:t>
      </w:r>
      <w:bookmarkStart w:id="0" w:name="_GoBack"/>
      <w:bookmarkEnd w:id="0"/>
    </w:p>
    <w:p>
      <w:pPr>
        <w:pStyle w:val="8"/>
        <w:numPr>
          <w:ilvl w:val="1"/>
          <w:numId w:val="2"/>
        </w:numPr>
        <w:spacing w:before="240" w:after="240"/>
        <w:contextualSpacing w:val="0"/>
        <w:jc w:val="both"/>
        <w:rPr>
          <w:rFonts w:hint="default" w:ascii="Calibri" w:hAnsi="Calibri" w:cs="Calibri"/>
          <w:color w:val="auto"/>
          <w:sz w:val="20"/>
          <w:szCs w:val="20"/>
        </w:rPr>
      </w:pPr>
      <w:r>
        <w:rPr>
          <w:rFonts w:hint="default" w:ascii="Calibri" w:hAnsi="Calibri" w:cs="Calibri"/>
          <w:color w:val="auto"/>
          <w:sz w:val="20"/>
          <w:szCs w:val="20"/>
          <w:lang w:val="pt-BR"/>
        </w:rPr>
        <w:t>O</w:t>
      </w:r>
      <w:r>
        <w:rPr>
          <w:rFonts w:hint="default" w:ascii="Calibri" w:hAnsi="Calibri" w:cs="Calibri"/>
          <w:color w:val="auto"/>
          <w:sz w:val="20"/>
          <w:szCs w:val="20"/>
        </w:rPr>
        <w:t xml:space="preserve">s produtos </w:t>
      </w:r>
      <w:r>
        <w:rPr>
          <w:rFonts w:hint="default" w:ascii="Calibri" w:hAnsi="Calibri" w:cs="Calibri"/>
          <w:color w:val="auto"/>
          <w:sz w:val="20"/>
          <w:szCs w:val="20"/>
          <w:lang w:val="pt-BR"/>
        </w:rPr>
        <w:t xml:space="preserve">deverão ser </w:t>
      </w:r>
      <w:r>
        <w:rPr>
          <w:rFonts w:hint="default" w:ascii="Calibri" w:hAnsi="Calibri" w:cs="Calibri"/>
          <w:color w:val="auto"/>
          <w:sz w:val="20"/>
          <w:szCs w:val="20"/>
        </w:rPr>
        <w:t>entregues na sede da Secretaria Municipal de Educação e Desporto, situada no Centro Administrativo de Portalegre/RN, à Rua José Vieira Mafaldo, 122 – Centro – Portalegre/RN, CEP: 59.810-000, no prazo estipulado no item anterior.</w:t>
      </w:r>
    </w:p>
    <w:p>
      <w:pPr>
        <w:pStyle w:val="8"/>
        <w:numPr>
          <w:ilvl w:val="1"/>
          <w:numId w:val="2"/>
        </w:numPr>
        <w:spacing w:before="240" w:after="240"/>
        <w:contextualSpacing w:val="0"/>
        <w:jc w:val="both"/>
        <w:rPr>
          <w:rFonts w:hint="default" w:ascii="Calibri" w:hAnsi="Calibri" w:cs="Calibri"/>
          <w:color w:val="auto"/>
          <w:sz w:val="20"/>
          <w:szCs w:val="20"/>
        </w:rPr>
      </w:pPr>
      <w:r>
        <w:rPr>
          <w:rFonts w:hint="default" w:ascii="Calibri" w:hAnsi="Calibri" w:cs="Calibri"/>
          <w:color w:val="auto"/>
          <w:sz w:val="20"/>
          <w:szCs w:val="20"/>
          <w:lang w:val="pt-BR"/>
        </w:rPr>
        <w:t>DAS AMOSTRAS</w:t>
      </w:r>
    </w:p>
    <w:p>
      <w:pPr>
        <w:pStyle w:val="8"/>
        <w:numPr>
          <w:ilvl w:val="2"/>
          <w:numId w:val="2"/>
        </w:numPr>
        <w:spacing w:before="240" w:after="240"/>
        <w:ind w:left="1224" w:leftChars="0" w:hanging="504" w:firstLineChars="0"/>
        <w:contextualSpacing w:val="0"/>
        <w:jc w:val="both"/>
        <w:rPr>
          <w:rFonts w:hint="default" w:ascii="Calibri" w:hAnsi="Calibri" w:cs="Calibri"/>
          <w:color w:val="auto"/>
          <w:sz w:val="20"/>
          <w:szCs w:val="20"/>
          <w:lang w:val="pt-BR"/>
        </w:rPr>
      </w:pPr>
      <w:r>
        <w:rPr>
          <w:rFonts w:hint="default" w:ascii="Calibri" w:hAnsi="Calibri" w:cs="Calibri"/>
          <w:color w:val="auto"/>
          <w:sz w:val="20"/>
          <w:szCs w:val="20"/>
          <w:lang w:val="pt-BR"/>
        </w:rPr>
        <w:t xml:space="preserve">A amostra física de todos os itens, conforme composição no descritivo do material ofertado pela proponente vencedora, deverá ser enviado para a Secretaria Municipal de Educação localizada na Rua José Vieira Mafaldo, nº 122,  Centro - Portalegre - RN, no prazo de 03 dias utéis a contar da data da lavratura da ata. </w:t>
      </w:r>
    </w:p>
    <w:p>
      <w:pPr>
        <w:pStyle w:val="8"/>
        <w:numPr>
          <w:ilvl w:val="2"/>
          <w:numId w:val="2"/>
        </w:numPr>
        <w:spacing w:before="240" w:after="240"/>
        <w:ind w:left="1224" w:leftChars="0" w:hanging="504" w:firstLineChars="0"/>
        <w:contextualSpacing w:val="0"/>
        <w:jc w:val="both"/>
        <w:rPr>
          <w:rFonts w:hint="default" w:ascii="Calibri" w:hAnsi="Calibri" w:cs="Calibri"/>
          <w:color w:val="auto"/>
          <w:sz w:val="20"/>
          <w:szCs w:val="20"/>
          <w:lang w:val="pt-BR"/>
        </w:rPr>
      </w:pPr>
      <w:r>
        <w:rPr>
          <w:rFonts w:hint="default" w:ascii="Calibri" w:hAnsi="Calibri" w:cs="Calibri"/>
          <w:color w:val="auto"/>
          <w:sz w:val="20"/>
          <w:szCs w:val="20"/>
          <w:lang w:val="pt-BR"/>
        </w:rPr>
        <w:t xml:space="preserve">O material será analisado pela Coordenação Pedagógica da Educação Infantil, sendo os mesmos responsáveis pela emissão de </w:t>
      </w:r>
      <w:r>
        <w:rPr>
          <w:rFonts w:hint="default" w:ascii="Calibri" w:hAnsi="Calibri" w:cs="Calibri"/>
          <w:b/>
          <w:bCs/>
          <w:color w:val="auto"/>
          <w:sz w:val="20"/>
          <w:szCs w:val="20"/>
          <w:lang w:val="pt-BR"/>
        </w:rPr>
        <w:t>Laudo de Aceitabilidade</w:t>
      </w:r>
      <w:r>
        <w:rPr>
          <w:rFonts w:hint="default" w:ascii="Calibri" w:hAnsi="Calibri" w:cs="Calibri"/>
          <w:color w:val="auto"/>
          <w:sz w:val="20"/>
          <w:szCs w:val="20"/>
          <w:lang w:val="pt-BR"/>
        </w:rPr>
        <w:t>.</w:t>
      </w:r>
    </w:p>
    <w:p>
      <w:pPr>
        <w:pStyle w:val="8"/>
        <w:numPr>
          <w:ilvl w:val="2"/>
          <w:numId w:val="2"/>
        </w:numPr>
        <w:spacing w:before="240" w:after="240"/>
        <w:ind w:left="1224" w:leftChars="0" w:hanging="504" w:firstLineChars="0"/>
        <w:contextualSpacing w:val="0"/>
        <w:jc w:val="both"/>
        <w:rPr>
          <w:rFonts w:hint="default" w:ascii="Calibri" w:hAnsi="Calibri" w:cs="Calibri"/>
          <w:color w:val="auto"/>
          <w:sz w:val="20"/>
          <w:szCs w:val="20"/>
          <w:lang w:val="pt-BR"/>
        </w:rPr>
      </w:pPr>
      <w:r>
        <w:rPr>
          <w:rFonts w:hint="default" w:ascii="Calibri" w:hAnsi="Calibri" w:cs="Calibri"/>
          <w:color w:val="auto"/>
          <w:sz w:val="20"/>
          <w:szCs w:val="20"/>
          <w:lang w:val="pt-BR"/>
        </w:rPr>
        <w:t>A entrega de amostra faz-se necessário para garantir que o material/produto fornecido seja de qualidade, e que atenda às especificações contidas neste Termo de Referência.</w:t>
      </w:r>
    </w:p>
    <w:p>
      <w:pPr>
        <w:pStyle w:val="8"/>
        <w:numPr>
          <w:ilvl w:val="2"/>
          <w:numId w:val="2"/>
        </w:numPr>
        <w:spacing w:before="240" w:after="240"/>
        <w:ind w:left="1224" w:leftChars="0" w:hanging="504" w:firstLineChars="0"/>
        <w:contextualSpacing w:val="0"/>
        <w:jc w:val="both"/>
        <w:rPr>
          <w:rFonts w:hint="default" w:ascii="Calibri" w:hAnsi="Calibri" w:cs="Calibri"/>
          <w:color w:val="auto"/>
          <w:sz w:val="20"/>
          <w:szCs w:val="20"/>
          <w:lang w:val="pt-BR"/>
        </w:rPr>
      </w:pPr>
      <w:r>
        <w:rPr>
          <w:rFonts w:hint="default" w:ascii="Calibri" w:hAnsi="Calibri" w:cs="Calibri"/>
          <w:color w:val="auto"/>
          <w:sz w:val="20"/>
          <w:szCs w:val="20"/>
          <w:lang w:val="pt-BR"/>
        </w:rPr>
        <w:t>A amostra não faz parte do montante final, portanto não deve ser descontada da quantidade total a ser enviada.</w:t>
      </w:r>
    </w:p>
    <w:p>
      <w:pPr>
        <w:pStyle w:val="8"/>
        <w:numPr>
          <w:ilvl w:val="2"/>
          <w:numId w:val="2"/>
        </w:numPr>
        <w:spacing w:before="240" w:after="240"/>
        <w:ind w:left="1224" w:leftChars="0" w:hanging="504" w:firstLineChars="0"/>
        <w:contextualSpacing w:val="0"/>
        <w:jc w:val="both"/>
        <w:rPr>
          <w:rFonts w:hint="default" w:ascii="Calibri" w:hAnsi="Calibri" w:cs="Calibri"/>
          <w:color w:val="auto"/>
          <w:sz w:val="20"/>
          <w:szCs w:val="20"/>
          <w:lang w:val="pt-BR"/>
        </w:rPr>
      </w:pPr>
      <w:r>
        <w:rPr>
          <w:rFonts w:hint="default" w:ascii="Calibri" w:hAnsi="Calibri" w:cs="Calibri"/>
          <w:color w:val="auto"/>
          <w:sz w:val="20"/>
          <w:szCs w:val="20"/>
          <w:lang w:val="pt-BR"/>
        </w:rPr>
        <w:t xml:space="preserve">Será recusado o material da licitante que tiver amostra rejeitada, , ou que não apresentar no prazo estabelecido. </w:t>
      </w:r>
    </w:p>
    <w:p>
      <w:pPr>
        <w:pStyle w:val="8"/>
        <w:numPr>
          <w:ilvl w:val="2"/>
          <w:numId w:val="2"/>
        </w:numPr>
        <w:spacing w:before="240" w:after="240"/>
        <w:ind w:left="1224" w:leftChars="0" w:hanging="504" w:firstLineChars="0"/>
        <w:contextualSpacing w:val="0"/>
        <w:jc w:val="both"/>
        <w:rPr>
          <w:rFonts w:hint="default" w:ascii="Calibri" w:hAnsi="Calibri" w:cs="Calibri"/>
          <w:color w:val="auto"/>
          <w:sz w:val="20"/>
          <w:szCs w:val="20"/>
          <w:lang w:val="pt-BR"/>
        </w:rPr>
      </w:pPr>
      <w:r>
        <w:rPr>
          <w:rFonts w:hint="default" w:ascii="Calibri" w:hAnsi="Calibri" w:cs="Calibri"/>
          <w:color w:val="auto"/>
          <w:sz w:val="20"/>
          <w:szCs w:val="20"/>
          <w:lang w:val="pt-BR"/>
        </w:rPr>
        <w:t xml:space="preserve">O material final entregue deverá estar idêntico à amostra aprovada. Caso a Contratante constate qualquer divergência entre o material aprovado na amostra e o quantitativo entregue, a Contratada deverá substituir os itens às suas expensas. </w:t>
      </w:r>
    </w:p>
    <w:p>
      <w:pPr>
        <w:spacing w:before="240" w:after="240" w:line="240" w:lineRule="auto"/>
        <w:ind w:firstLine="360"/>
        <w:rPr>
          <w:rFonts w:hint="default" w:ascii="Calibri" w:hAnsi="Calibri" w:cs="Calibri"/>
          <w:b/>
          <w:bCs/>
          <w:color w:val="auto"/>
          <w:sz w:val="20"/>
          <w:szCs w:val="20"/>
        </w:rPr>
      </w:pPr>
      <w:r>
        <w:rPr>
          <w:rFonts w:hint="default" w:ascii="Calibri" w:hAnsi="Calibri" w:cs="Calibri"/>
          <w:b/>
          <w:bCs/>
          <w:color w:val="auto"/>
          <w:sz w:val="20"/>
          <w:szCs w:val="20"/>
        </w:rPr>
        <w:t xml:space="preserve">Especificação da garantia do serviço (art. 40, §1º, inciso III, da Lei nº 14.133, de 2021) </w:t>
      </w:r>
    </w:p>
    <w:p>
      <w:pPr>
        <w:pStyle w:val="8"/>
        <w:numPr>
          <w:ilvl w:val="1"/>
          <w:numId w:val="2"/>
        </w:numPr>
        <w:spacing w:before="240" w:after="240"/>
        <w:contextualSpacing w:val="0"/>
        <w:jc w:val="both"/>
        <w:rPr>
          <w:rFonts w:hint="default" w:ascii="Calibri" w:hAnsi="Calibri" w:cs="Calibri"/>
          <w:b/>
          <w:bCs/>
          <w:color w:val="auto"/>
          <w:sz w:val="20"/>
          <w:szCs w:val="20"/>
        </w:rPr>
      </w:pPr>
      <w:r>
        <w:rPr>
          <w:rFonts w:hint="default" w:ascii="Calibri" w:hAnsi="Calibri" w:cs="Calibri"/>
          <w:color w:val="auto"/>
          <w:sz w:val="20"/>
          <w:szCs w:val="20"/>
        </w:rPr>
        <w:t>O prazo de garantia é aquele estabelecido na Lei nº 8.078, de 11 de setembro de 1990 (Código de Defesa do Consumidor).</w:t>
      </w:r>
    </w:p>
    <w:p>
      <w:pPr>
        <w:pStyle w:val="8"/>
        <w:numPr>
          <w:ilvl w:val="0"/>
          <w:numId w:val="2"/>
        </w:numPr>
        <w:spacing w:before="240" w:after="240"/>
        <w:contextualSpacing w:val="0"/>
        <w:jc w:val="both"/>
        <w:rPr>
          <w:rFonts w:hint="default" w:ascii="Calibri" w:hAnsi="Calibri" w:cs="Calibri"/>
          <w:b/>
          <w:bCs/>
          <w:color w:val="auto"/>
          <w:sz w:val="20"/>
          <w:szCs w:val="20"/>
        </w:rPr>
      </w:pPr>
      <w:r>
        <w:rPr>
          <w:rFonts w:hint="default" w:ascii="Calibri" w:hAnsi="Calibri" w:cs="Calibri"/>
          <w:b/>
          <w:bCs/>
          <w:color w:val="auto"/>
          <w:sz w:val="20"/>
          <w:szCs w:val="20"/>
        </w:rPr>
        <w:t>MODELO DE GESTÃO DO CONTRATO</w:t>
      </w:r>
    </w:p>
    <w:p>
      <w:pPr>
        <w:pStyle w:val="8"/>
        <w:numPr>
          <w:ilvl w:val="1"/>
          <w:numId w:val="2"/>
        </w:numPr>
        <w:spacing w:before="240" w:after="240"/>
        <w:jc w:val="both"/>
        <w:rPr>
          <w:rFonts w:hint="default" w:ascii="Calibri" w:hAnsi="Calibri" w:cs="Calibri"/>
          <w:color w:val="auto"/>
          <w:sz w:val="20"/>
          <w:szCs w:val="20"/>
        </w:rPr>
      </w:pPr>
      <w:r>
        <w:rPr>
          <w:rFonts w:hint="default" w:ascii="Calibri" w:hAnsi="Calibri" w:cs="Calibri"/>
          <w:color w:val="auto"/>
          <w:sz w:val="20"/>
          <w:szCs w:val="20"/>
        </w:rPr>
        <w:t>O contrato deverá ser executado fielmente pelas partes, de acordo com as cláusulas avençadas e as normas da Lei nº 14.133, de 2021, e cada parte responderá pelas consequências de sua inexecução total ou parcial.</w:t>
      </w:r>
    </w:p>
    <w:p>
      <w:pPr>
        <w:pStyle w:val="8"/>
        <w:numPr>
          <w:ilvl w:val="1"/>
          <w:numId w:val="2"/>
        </w:numPr>
        <w:spacing w:before="240" w:after="240"/>
        <w:jc w:val="both"/>
        <w:rPr>
          <w:rFonts w:hint="default" w:ascii="Calibri" w:hAnsi="Calibri" w:cs="Calibri"/>
          <w:color w:val="auto"/>
          <w:sz w:val="20"/>
          <w:szCs w:val="20"/>
        </w:rPr>
      </w:pPr>
      <w:r>
        <w:rPr>
          <w:rFonts w:hint="default" w:ascii="Calibri" w:hAnsi="Calibri" w:cs="Calibri"/>
          <w:color w:val="auto"/>
          <w:sz w:val="20"/>
          <w:szCs w:val="20"/>
        </w:rPr>
        <w:t>Em caso de impedimento, ordem de paralisação ou suspensão do contrato, o cronograma de execução será prorrogado automaticamente pelo tempo correspondente, anotadas tais circunstâncias mediante simples apostila.</w:t>
      </w:r>
    </w:p>
    <w:p>
      <w:pPr>
        <w:pStyle w:val="8"/>
        <w:numPr>
          <w:ilvl w:val="1"/>
          <w:numId w:val="2"/>
        </w:numPr>
        <w:spacing w:before="240" w:after="240"/>
        <w:jc w:val="both"/>
        <w:rPr>
          <w:rFonts w:hint="default" w:ascii="Calibri" w:hAnsi="Calibri" w:cs="Calibri"/>
          <w:color w:val="auto"/>
          <w:sz w:val="20"/>
          <w:szCs w:val="20"/>
        </w:rPr>
      </w:pPr>
      <w:r>
        <w:rPr>
          <w:rFonts w:hint="default" w:ascii="Calibri" w:hAnsi="Calibri" w:cs="Calibri"/>
          <w:color w:val="auto"/>
          <w:sz w:val="20"/>
          <w:szCs w:val="20"/>
        </w:rPr>
        <w:t>As comunicações entre o órgão ou entidade e a contratada devem ser realizadas por escrito sempre que o ato exigir tal formalidade, admitindo-se o uso de mensagem eletrônica para esse fim.</w:t>
      </w:r>
    </w:p>
    <w:p>
      <w:pPr>
        <w:pStyle w:val="8"/>
        <w:numPr>
          <w:ilvl w:val="1"/>
          <w:numId w:val="2"/>
        </w:numPr>
        <w:spacing w:before="240" w:after="240"/>
        <w:jc w:val="both"/>
        <w:rPr>
          <w:rFonts w:hint="default" w:ascii="Calibri" w:hAnsi="Calibri" w:cs="Calibri"/>
          <w:color w:val="auto"/>
          <w:sz w:val="20"/>
          <w:szCs w:val="20"/>
        </w:rPr>
      </w:pPr>
      <w:r>
        <w:rPr>
          <w:rFonts w:hint="default" w:ascii="Calibri" w:hAnsi="Calibri" w:cs="Calibri"/>
          <w:color w:val="auto"/>
          <w:sz w:val="20"/>
          <w:szCs w:val="20"/>
        </w:rPr>
        <w:t>O órgão ou entidade poderá convocar representante da empresa para adoção de providências que devam ser cumpridas de imediato.</w:t>
      </w:r>
    </w:p>
    <w:p>
      <w:pPr>
        <w:pStyle w:val="8"/>
        <w:numPr>
          <w:ilvl w:val="1"/>
          <w:numId w:val="2"/>
        </w:numPr>
        <w:spacing w:before="240" w:after="240"/>
        <w:jc w:val="both"/>
        <w:rPr>
          <w:rFonts w:hint="default" w:ascii="Calibri" w:hAnsi="Calibri" w:cs="Calibri"/>
          <w:color w:val="auto"/>
          <w:sz w:val="20"/>
          <w:szCs w:val="20"/>
        </w:rPr>
      </w:pPr>
      <w:r>
        <w:rPr>
          <w:rFonts w:hint="default" w:ascii="Calibri" w:hAnsi="Calibri" w:cs="Calibri"/>
          <w:color w:val="auto"/>
          <w:sz w:val="20"/>
          <w:szCs w:val="20"/>
        </w:rPr>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pPr>
        <w:spacing w:before="240" w:after="240" w:line="240" w:lineRule="auto"/>
        <w:ind w:firstLine="360"/>
        <w:jc w:val="both"/>
        <w:rPr>
          <w:rFonts w:hint="default" w:ascii="Calibri" w:hAnsi="Calibri" w:cs="Calibri"/>
          <w:b/>
          <w:bCs/>
          <w:color w:val="auto"/>
          <w:sz w:val="20"/>
          <w:szCs w:val="20"/>
        </w:rPr>
      </w:pPr>
      <w:r>
        <w:rPr>
          <w:rFonts w:hint="default" w:ascii="Calibri" w:hAnsi="Calibri" w:cs="Calibri"/>
          <w:b/>
          <w:bCs/>
          <w:color w:val="auto"/>
          <w:sz w:val="20"/>
          <w:szCs w:val="20"/>
        </w:rPr>
        <w:t>Fiscalização</w:t>
      </w:r>
    </w:p>
    <w:p>
      <w:pPr>
        <w:pStyle w:val="8"/>
        <w:numPr>
          <w:ilvl w:val="1"/>
          <w:numId w:val="2"/>
        </w:numPr>
        <w:spacing w:before="240" w:after="240"/>
        <w:contextualSpacing w:val="0"/>
        <w:jc w:val="both"/>
        <w:rPr>
          <w:rFonts w:hint="default" w:ascii="Calibri" w:hAnsi="Calibri" w:cs="Calibri"/>
          <w:b/>
          <w:bCs/>
          <w:color w:val="auto"/>
          <w:sz w:val="20"/>
          <w:szCs w:val="20"/>
        </w:rPr>
      </w:pPr>
      <w:r>
        <w:rPr>
          <w:rFonts w:hint="default" w:ascii="Calibri" w:hAnsi="Calibri" w:cs="Calibri"/>
          <w:color w:val="auto"/>
          <w:sz w:val="20"/>
          <w:szCs w:val="20"/>
        </w:rPr>
        <w:t>A execução do contrato deverá ser acompanhada e fiscalizada pelo(s) fiscal(is) do contrato, ou pelos respectivos substitutos (Lei nº 14.133, de 2021, art. 117, caput).</w:t>
      </w:r>
    </w:p>
    <w:p>
      <w:pPr>
        <w:spacing w:before="240" w:after="240" w:line="240" w:lineRule="auto"/>
        <w:ind w:firstLine="360"/>
        <w:jc w:val="both"/>
        <w:rPr>
          <w:rFonts w:hint="default" w:ascii="Calibri" w:hAnsi="Calibri" w:cs="Calibri"/>
          <w:b/>
          <w:bCs/>
          <w:color w:val="auto"/>
          <w:sz w:val="20"/>
          <w:szCs w:val="20"/>
        </w:rPr>
      </w:pPr>
      <w:r>
        <w:rPr>
          <w:rFonts w:hint="default" w:ascii="Calibri" w:hAnsi="Calibri" w:cs="Calibri"/>
          <w:b/>
          <w:bCs/>
          <w:color w:val="auto"/>
          <w:sz w:val="20"/>
          <w:szCs w:val="20"/>
        </w:rPr>
        <w:t>Fiscalização Técnica</w:t>
      </w:r>
    </w:p>
    <w:p>
      <w:pPr>
        <w:pStyle w:val="8"/>
        <w:numPr>
          <w:ilvl w:val="1"/>
          <w:numId w:val="2"/>
        </w:numPr>
        <w:spacing w:before="240" w:after="240"/>
        <w:jc w:val="both"/>
        <w:rPr>
          <w:rFonts w:hint="default" w:ascii="Calibri" w:hAnsi="Calibri" w:cs="Calibri"/>
          <w:color w:val="auto"/>
          <w:sz w:val="20"/>
          <w:szCs w:val="20"/>
        </w:rPr>
      </w:pPr>
      <w:r>
        <w:rPr>
          <w:rFonts w:hint="default" w:ascii="Calibri" w:hAnsi="Calibri" w:cs="Calibri"/>
          <w:color w:val="auto"/>
          <w:sz w:val="20"/>
          <w:szCs w:val="20"/>
        </w:rPr>
        <w:t>O fiscal técnico do contrato acompanhará a execução do contrato, para que sejam cumpridas todas as condições estabelecidas no contrato, de modo a assegurar os melhores resultados para a Administração.</w:t>
      </w:r>
    </w:p>
    <w:p>
      <w:pPr>
        <w:pStyle w:val="8"/>
        <w:numPr>
          <w:ilvl w:val="1"/>
          <w:numId w:val="2"/>
        </w:numPr>
        <w:spacing w:before="240" w:after="240"/>
        <w:jc w:val="both"/>
        <w:rPr>
          <w:rFonts w:hint="default" w:ascii="Calibri" w:hAnsi="Calibri" w:cs="Calibri"/>
          <w:color w:val="auto"/>
          <w:sz w:val="20"/>
          <w:szCs w:val="20"/>
        </w:rPr>
      </w:pPr>
      <w:r>
        <w:rPr>
          <w:rFonts w:hint="default" w:ascii="Calibri" w:hAnsi="Calibri" w:cs="Calibri"/>
          <w:color w:val="auto"/>
          <w:sz w:val="20"/>
          <w:szCs w:val="20"/>
        </w:rPr>
        <w:t xml:space="preserve">Identificada qualquer inexatidão ou irregularidade, o fiscal técnico do contrato emitirá notificações para a correção da execução do contrato, determinando prazo para a correção. </w:t>
      </w:r>
    </w:p>
    <w:p>
      <w:pPr>
        <w:pStyle w:val="8"/>
        <w:numPr>
          <w:ilvl w:val="1"/>
          <w:numId w:val="2"/>
        </w:numPr>
        <w:spacing w:before="240" w:after="240"/>
        <w:jc w:val="both"/>
        <w:rPr>
          <w:rFonts w:hint="default" w:ascii="Calibri" w:hAnsi="Calibri" w:cs="Calibri"/>
          <w:color w:val="auto"/>
          <w:sz w:val="20"/>
          <w:szCs w:val="20"/>
        </w:rPr>
      </w:pPr>
      <w:r>
        <w:rPr>
          <w:rFonts w:hint="default" w:ascii="Calibri" w:hAnsi="Calibri" w:cs="Calibri"/>
          <w:color w:val="auto"/>
          <w:sz w:val="20"/>
          <w:szCs w:val="20"/>
        </w:rPr>
        <w:t>O fiscal técnico do contrato informará ao gestor do contato, em tempo hábil, a situação que demandar decisão ou adoção de medidas que ultrapassem sua competência, para que adote as medidas necessárias e saneadoras, se for o caso.</w:t>
      </w:r>
    </w:p>
    <w:p>
      <w:pPr>
        <w:pStyle w:val="8"/>
        <w:numPr>
          <w:ilvl w:val="1"/>
          <w:numId w:val="2"/>
        </w:numPr>
        <w:spacing w:before="240" w:after="240"/>
        <w:jc w:val="both"/>
        <w:rPr>
          <w:rFonts w:hint="default" w:ascii="Calibri" w:hAnsi="Calibri" w:cs="Calibri"/>
          <w:color w:val="auto"/>
          <w:sz w:val="20"/>
          <w:szCs w:val="20"/>
        </w:rPr>
      </w:pPr>
      <w:r>
        <w:rPr>
          <w:rFonts w:hint="default" w:ascii="Calibri" w:hAnsi="Calibri" w:cs="Calibri"/>
          <w:color w:val="auto"/>
          <w:sz w:val="20"/>
          <w:szCs w:val="20"/>
        </w:rPr>
        <w:t xml:space="preserve">No caso de ocorrências que possam inviabilizar a execução do contrato nas datas aprazadas, o fiscal técnico do contrato comunicará o fato imediatamente ao gestor do contrato. </w:t>
      </w:r>
    </w:p>
    <w:p>
      <w:pPr>
        <w:pStyle w:val="8"/>
        <w:numPr>
          <w:ilvl w:val="1"/>
          <w:numId w:val="2"/>
        </w:numPr>
        <w:spacing w:before="240" w:after="240"/>
        <w:jc w:val="both"/>
        <w:rPr>
          <w:rFonts w:hint="default" w:ascii="Calibri" w:hAnsi="Calibri" w:cs="Calibri"/>
          <w:color w:val="auto"/>
          <w:sz w:val="20"/>
          <w:szCs w:val="20"/>
        </w:rPr>
      </w:pPr>
      <w:r>
        <w:rPr>
          <w:rFonts w:hint="default" w:ascii="Calibri" w:hAnsi="Calibri" w:cs="Calibri"/>
          <w:color w:val="auto"/>
          <w:sz w:val="20"/>
          <w:szCs w:val="20"/>
        </w:rPr>
        <w:t>O fiscal técnico do contrato comunicará ao gestor do contrato, em tempo hábil, o término do contrato sob sua responsabilidade, com vistas à tempestiva renovação ou à prorrogação contratual.</w:t>
      </w:r>
    </w:p>
    <w:p>
      <w:pPr>
        <w:spacing w:before="240" w:after="240" w:line="240" w:lineRule="auto"/>
        <w:ind w:firstLine="360"/>
        <w:jc w:val="both"/>
        <w:rPr>
          <w:rFonts w:hint="default" w:ascii="Calibri" w:hAnsi="Calibri" w:cs="Calibri"/>
          <w:b/>
          <w:bCs/>
          <w:color w:val="auto"/>
          <w:sz w:val="20"/>
          <w:szCs w:val="20"/>
        </w:rPr>
      </w:pPr>
      <w:r>
        <w:rPr>
          <w:rFonts w:hint="default" w:ascii="Calibri" w:hAnsi="Calibri" w:cs="Calibri"/>
          <w:b/>
          <w:bCs/>
          <w:color w:val="auto"/>
          <w:sz w:val="20"/>
          <w:szCs w:val="20"/>
        </w:rPr>
        <w:t>Fiscalização Administrativa</w:t>
      </w:r>
    </w:p>
    <w:p>
      <w:pPr>
        <w:pStyle w:val="8"/>
        <w:numPr>
          <w:ilvl w:val="1"/>
          <w:numId w:val="2"/>
        </w:numPr>
        <w:spacing w:before="240" w:after="240"/>
        <w:contextualSpacing w:val="0"/>
        <w:jc w:val="both"/>
        <w:rPr>
          <w:rFonts w:hint="default" w:ascii="Calibri" w:hAnsi="Calibri" w:cs="Calibri"/>
          <w:b/>
          <w:bCs/>
          <w:color w:val="auto"/>
          <w:sz w:val="20"/>
          <w:szCs w:val="20"/>
        </w:rPr>
      </w:pPr>
      <w:r>
        <w:rPr>
          <w:rFonts w:hint="default" w:ascii="Calibri" w:hAnsi="Calibri" w:cs="Calibri"/>
          <w:color w:val="auto"/>
          <w:sz w:val="20"/>
          <w:szCs w:val="20"/>
        </w:rPr>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(Art. 23, I e II, do Decreto nº 11.246, de 2022).</w:t>
      </w:r>
    </w:p>
    <w:p>
      <w:pPr>
        <w:pStyle w:val="8"/>
        <w:numPr>
          <w:ilvl w:val="1"/>
          <w:numId w:val="2"/>
        </w:numPr>
        <w:spacing w:before="240" w:after="240"/>
        <w:contextualSpacing w:val="0"/>
        <w:jc w:val="both"/>
        <w:rPr>
          <w:rFonts w:hint="default" w:ascii="Calibri" w:hAnsi="Calibri" w:cs="Calibri"/>
          <w:b/>
          <w:bCs/>
          <w:color w:val="auto"/>
          <w:sz w:val="20"/>
          <w:szCs w:val="20"/>
        </w:rPr>
      </w:pPr>
      <w:r>
        <w:rPr>
          <w:rFonts w:hint="default" w:ascii="Calibri" w:hAnsi="Calibri" w:cs="Calibri"/>
          <w:color w:val="auto"/>
          <w:sz w:val="20"/>
          <w:szCs w:val="20"/>
        </w:rPr>
        <w:t>Caso ocorra descumprimento das obrigações contratuais, o fiscal administrativo do contrato atuará tempestivamente na solução do problema, reportando ao gestor do contrato para que tome as providências cabíveis, quando ultrapassar a sua competência;</w:t>
      </w:r>
    </w:p>
    <w:p>
      <w:pPr>
        <w:spacing w:before="240" w:after="240" w:line="240" w:lineRule="auto"/>
        <w:ind w:firstLine="360"/>
        <w:jc w:val="both"/>
        <w:rPr>
          <w:rFonts w:hint="default" w:ascii="Calibri" w:hAnsi="Calibri" w:cs="Calibri"/>
          <w:b/>
          <w:bCs/>
          <w:color w:val="auto"/>
          <w:sz w:val="20"/>
          <w:szCs w:val="20"/>
        </w:rPr>
      </w:pPr>
      <w:r>
        <w:rPr>
          <w:rFonts w:hint="default" w:ascii="Calibri" w:hAnsi="Calibri" w:cs="Calibri"/>
          <w:b/>
          <w:bCs/>
          <w:color w:val="auto"/>
          <w:sz w:val="20"/>
          <w:szCs w:val="20"/>
        </w:rPr>
        <w:t>Gestor do Contrato</w:t>
      </w:r>
    </w:p>
    <w:p>
      <w:pPr>
        <w:pStyle w:val="8"/>
        <w:numPr>
          <w:ilvl w:val="1"/>
          <w:numId w:val="2"/>
        </w:numPr>
        <w:spacing w:before="240" w:after="240"/>
        <w:contextualSpacing w:val="0"/>
        <w:jc w:val="both"/>
        <w:rPr>
          <w:rFonts w:hint="default" w:ascii="Calibri" w:hAnsi="Calibri" w:cs="Calibri"/>
          <w:color w:val="auto"/>
          <w:sz w:val="20"/>
          <w:szCs w:val="20"/>
        </w:rPr>
      </w:pPr>
      <w:r>
        <w:rPr>
          <w:rFonts w:hint="default" w:ascii="Calibri" w:hAnsi="Calibri" w:cs="Calibri"/>
          <w:color w:val="auto"/>
          <w:sz w:val="20"/>
          <w:szCs w:val="20"/>
        </w:rPr>
        <w:t>O gestor do contrato acompanhará os registros realizados pelos fiscais do contrato, de todas as ocorrências relacionadas à execução do contrato e as medidas adotadas, informando, se for o caso, à autoridade superior àquelas que ultrapassarem a sua competência.</w:t>
      </w:r>
    </w:p>
    <w:p>
      <w:pPr>
        <w:pStyle w:val="8"/>
        <w:numPr>
          <w:ilvl w:val="1"/>
          <w:numId w:val="2"/>
        </w:numPr>
        <w:spacing w:before="240" w:after="240"/>
        <w:contextualSpacing w:val="0"/>
        <w:jc w:val="both"/>
        <w:rPr>
          <w:rFonts w:hint="default" w:ascii="Calibri" w:hAnsi="Calibri" w:cs="Calibri"/>
          <w:color w:val="auto"/>
          <w:sz w:val="20"/>
          <w:szCs w:val="20"/>
        </w:rPr>
      </w:pPr>
      <w:r>
        <w:rPr>
          <w:rFonts w:hint="default" w:ascii="Calibri" w:hAnsi="Calibri" w:cs="Calibri"/>
          <w:color w:val="auto"/>
          <w:sz w:val="20"/>
          <w:szCs w:val="20"/>
        </w:rPr>
        <w:t>O gestor do contrato acompanhará a manutenção das condições de habilitação da contratada, para fins de empenho de despesa e pagamento, e anotará os problemas que obstem o fluxo normal da liquidação e do pagamento da despesa no relatório de riscos eventuais.</w:t>
      </w:r>
    </w:p>
    <w:p>
      <w:pPr>
        <w:pStyle w:val="8"/>
        <w:numPr>
          <w:ilvl w:val="1"/>
          <w:numId w:val="2"/>
        </w:numPr>
        <w:spacing w:before="240" w:after="240"/>
        <w:contextualSpacing w:val="0"/>
        <w:jc w:val="both"/>
        <w:rPr>
          <w:rFonts w:hint="default" w:ascii="Calibri" w:hAnsi="Calibri" w:cs="Calibri"/>
          <w:color w:val="auto"/>
          <w:sz w:val="20"/>
          <w:szCs w:val="20"/>
        </w:rPr>
      </w:pPr>
      <w:r>
        <w:rPr>
          <w:rFonts w:hint="default" w:ascii="Calibri" w:hAnsi="Calibri" w:cs="Calibri"/>
          <w:color w:val="auto"/>
          <w:sz w:val="20"/>
          <w:szCs w:val="20"/>
        </w:rPr>
        <w:t>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w:t>
      </w:r>
    </w:p>
    <w:p>
      <w:pPr>
        <w:pStyle w:val="8"/>
        <w:numPr>
          <w:ilvl w:val="1"/>
          <w:numId w:val="2"/>
        </w:numPr>
        <w:spacing w:before="240" w:after="240"/>
        <w:contextualSpacing w:val="0"/>
        <w:jc w:val="both"/>
        <w:rPr>
          <w:rFonts w:hint="default" w:ascii="Calibri" w:hAnsi="Calibri" w:cs="Calibri"/>
          <w:b/>
          <w:bCs/>
          <w:color w:val="auto"/>
          <w:sz w:val="20"/>
          <w:szCs w:val="20"/>
        </w:rPr>
      </w:pPr>
      <w:r>
        <w:rPr>
          <w:rFonts w:hint="default" w:ascii="Calibri" w:hAnsi="Calibri" w:cs="Calibri"/>
          <w:color w:val="auto"/>
          <w:sz w:val="20"/>
          <w:szCs w:val="20"/>
        </w:rPr>
        <w:t>O gestor do contrato deverá enviar a documentação pertinente ao setor de contratos para a formalização dos procedimentos de liquidação e pagamento, no valor dimensionado pela fiscalização e gestão nos termos do contrato.</w:t>
      </w:r>
    </w:p>
    <w:p>
      <w:pPr>
        <w:pStyle w:val="8"/>
        <w:numPr>
          <w:ilvl w:val="0"/>
          <w:numId w:val="2"/>
        </w:numPr>
        <w:spacing w:before="240" w:after="240"/>
        <w:contextualSpacing w:val="0"/>
        <w:jc w:val="both"/>
        <w:rPr>
          <w:rFonts w:hint="default" w:ascii="Calibri" w:hAnsi="Calibri" w:cs="Calibri"/>
          <w:b/>
          <w:bCs/>
          <w:color w:val="auto"/>
          <w:sz w:val="20"/>
          <w:szCs w:val="20"/>
        </w:rPr>
      </w:pPr>
      <w:r>
        <w:rPr>
          <w:rFonts w:hint="default" w:ascii="Calibri" w:hAnsi="Calibri" w:cs="Calibri"/>
          <w:b/>
          <w:bCs/>
          <w:color w:val="auto"/>
          <w:sz w:val="20"/>
          <w:szCs w:val="20"/>
        </w:rPr>
        <w:t>CRITÉRIOS DE MEDIÇÃO E DE PAGAMENTO</w:t>
      </w:r>
    </w:p>
    <w:p>
      <w:pPr>
        <w:pStyle w:val="8"/>
        <w:spacing w:before="240" w:after="240"/>
        <w:ind w:left="284"/>
        <w:contextualSpacing w:val="0"/>
        <w:jc w:val="both"/>
        <w:rPr>
          <w:rFonts w:hint="default" w:ascii="Calibri" w:hAnsi="Calibri" w:cs="Calibri"/>
          <w:b/>
          <w:bCs/>
          <w:color w:val="auto"/>
          <w:sz w:val="20"/>
          <w:szCs w:val="20"/>
        </w:rPr>
      </w:pPr>
      <w:r>
        <w:rPr>
          <w:rFonts w:hint="default" w:ascii="Calibri" w:hAnsi="Calibri" w:cs="Calibri"/>
          <w:b/>
          <w:bCs/>
          <w:color w:val="auto"/>
          <w:sz w:val="20"/>
          <w:szCs w:val="20"/>
        </w:rPr>
        <w:t>Recebimento do Objeto</w:t>
      </w:r>
    </w:p>
    <w:p>
      <w:pPr>
        <w:pStyle w:val="8"/>
        <w:numPr>
          <w:ilvl w:val="1"/>
          <w:numId w:val="2"/>
        </w:numPr>
        <w:spacing w:before="240" w:after="240"/>
        <w:jc w:val="both"/>
        <w:rPr>
          <w:rFonts w:hint="default" w:ascii="Calibri" w:hAnsi="Calibri" w:cs="Calibri"/>
          <w:color w:val="auto"/>
          <w:sz w:val="20"/>
          <w:szCs w:val="20"/>
        </w:rPr>
      </w:pPr>
      <w:r>
        <w:rPr>
          <w:rFonts w:hint="default" w:ascii="Calibri" w:hAnsi="Calibri" w:cs="Calibri"/>
          <w:color w:val="auto"/>
          <w:sz w:val="20"/>
          <w:szCs w:val="20"/>
        </w:rPr>
        <w:t>Será indicada a retenção ou glosa no pagamento, proporcional à irregularidade verificada, sem prejuízo das sanções cabíveis, caso se constate que a Contratada:</w:t>
      </w:r>
    </w:p>
    <w:p>
      <w:pPr>
        <w:pStyle w:val="8"/>
        <w:numPr>
          <w:ilvl w:val="2"/>
          <w:numId w:val="2"/>
        </w:numPr>
        <w:spacing w:before="240" w:after="240"/>
        <w:jc w:val="both"/>
        <w:rPr>
          <w:rFonts w:hint="default" w:ascii="Calibri" w:hAnsi="Calibri" w:cs="Calibri"/>
          <w:color w:val="auto"/>
          <w:sz w:val="20"/>
          <w:szCs w:val="20"/>
        </w:rPr>
      </w:pPr>
      <w:r>
        <w:rPr>
          <w:rFonts w:hint="default" w:ascii="Calibri" w:hAnsi="Calibri" w:cs="Calibri"/>
          <w:color w:val="auto"/>
          <w:sz w:val="20"/>
          <w:szCs w:val="20"/>
        </w:rPr>
        <w:t>não produzir os resultados acordados,</w:t>
      </w:r>
    </w:p>
    <w:p>
      <w:pPr>
        <w:pStyle w:val="8"/>
        <w:numPr>
          <w:ilvl w:val="2"/>
          <w:numId w:val="2"/>
        </w:numPr>
        <w:spacing w:before="240" w:after="240"/>
        <w:jc w:val="both"/>
        <w:rPr>
          <w:rFonts w:hint="default" w:ascii="Calibri" w:hAnsi="Calibri" w:cs="Calibri"/>
          <w:color w:val="auto"/>
          <w:sz w:val="20"/>
          <w:szCs w:val="20"/>
        </w:rPr>
      </w:pPr>
      <w:r>
        <w:rPr>
          <w:rFonts w:hint="default" w:ascii="Calibri" w:hAnsi="Calibri" w:cs="Calibri"/>
          <w:color w:val="auto"/>
          <w:sz w:val="20"/>
          <w:szCs w:val="20"/>
        </w:rPr>
        <w:t>deixar de executar, ou não executar com a qualidade mínima exigida as atividades contratadas; ou</w:t>
      </w:r>
    </w:p>
    <w:p>
      <w:pPr>
        <w:pStyle w:val="8"/>
        <w:numPr>
          <w:ilvl w:val="2"/>
          <w:numId w:val="2"/>
        </w:numPr>
        <w:spacing w:before="240" w:after="240"/>
        <w:jc w:val="both"/>
        <w:rPr>
          <w:rFonts w:hint="default" w:ascii="Calibri" w:hAnsi="Calibri" w:cs="Calibri"/>
          <w:color w:val="auto"/>
          <w:sz w:val="20"/>
          <w:szCs w:val="20"/>
        </w:rPr>
      </w:pPr>
      <w:r>
        <w:rPr>
          <w:rFonts w:hint="default" w:ascii="Calibri" w:hAnsi="Calibri" w:cs="Calibri"/>
          <w:color w:val="auto"/>
          <w:sz w:val="20"/>
          <w:szCs w:val="20"/>
        </w:rPr>
        <w:t>deixar de utilizar materiais e recursos humanos exigidos para a execução do serviço, ou utilizá-los com qualidade ou quantidade inferior à demandada.</w:t>
      </w:r>
    </w:p>
    <w:p>
      <w:pPr>
        <w:pStyle w:val="8"/>
        <w:numPr>
          <w:ilvl w:val="1"/>
          <w:numId w:val="2"/>
        </w:numPr>
        <w:spacing w:before="240" w:after="240"/>
        <w:jc w:val="both"/>
        <w:rPr>
          <w:rFonts w:hint="default" w:ascii="Calibri" w:hAnsi="Calibri" w:cs="Calibri"/>
          <w:color w:val="auto"/>
          <w:sz w:val="20"/>
          <w:szCs w:val="20"/>
        </w:rPr>
      </w:pPr>
      <w:r>
        <w:rPr>
          <w:rFonts w:hint="default" w:ascii="Calibri" w:hAnsi="Calibri" w:cs="Calibri"/>
          <w:color w:val="auto"/>
          <w:sz w:val="20"/>
          <w:szCs w:val="20"/>
        </w:rPr>
        <w:t>Os serviços serão recebidos provisoriamente, no prazo de 5 (cinco) dias, pelos fiscais técnico e administrativo, mediante termos detalhados, quando verificado o cumprimento das exigências de caráter técnico e administrativo. (Art. 140, I, a , da Lei nº 14.133, de 2021).</w:t>
      </w:r>
    </w:p>
    <w:p>
      <w:pPr>
        <w:pStyle w:val="8"/>
        <w:numPr>
          <w:ilvl w:val="1"/>
          <w:numId w:val="2"/>
        </w:numPr>
        <w:spacing w:before="240" w:after="240"/>
        <w:jc w:val="both"/>
        <w:rPr>
          <w:rFonts w:hint="default" w:ascii="Calibri" w:hAnsi="Calibri" w:cs="Calibri"/>
          <w:color w:val="auto"/>
          <w:sz w:val="20"/>
          <w:szCs w:val="20"/>
        </w:rPr>
      </w:pPr>
      <w:r>
        <w:rPr>
          <w:rFonts w:hint="default" w:ascii="Calibri" w:hAnsi="Calibri" w:cs="Calibri"/>
          <w:color w:val="auto"/>
          <w:sz w:val="20"/>
          <w:szCs w:val="20"/>
        </w:rPr>
        <w:t>O prazo da disposição acima será contado do recebimento de comunicação de cobrança oriunda do contratado com a comprovação da prestação dos serviços a que se referem a parcela a ser paga.</w:t>
      </w:r>
    </w:p>
    <w:p>
      <w:pPr>
        <w:pStyle w:val="8"/>
        <w:numPr>
          <w:ilvl w:val="1"/>
          <w:numId w:val="2"/>
        </w:numPr>
        <w:spacing w:before="240" w:after="240"/>
        <w:jc w:val="both"/>
        <w:rPr>
          <w:rFonts w:hint="default" w:ascii="Calibri" w:hAnsi="Calibri" w:cs="Calibri"/>
          <w:color w:val="auto"/>
          <w:sz w:val="20"/>
          <w:szCs w:val="20"/>
        </w:rPr>
      </w:pPr>
      <w:r>
        <w:rPr>
          <w:rFonts w:hint="default" w:ascii="Calibri" w:hAnsi="Calibri" w:cs="Calibri"/>
          <w:color w:val="auto"/>
          <w:sz w:val="20"/>
          <w:szCs w:val="20"/>
        </w:rPr>
        <w:t>O fiscal técnico do contrato realizará o recebimento provisório do objeto do contrato mediante termo detalhado que comprove o cumprimento das exigências de caráter técnico.</w:t>
      </w:r>
    </w:p>
    <w:p>
      <w:pPr>
        <w:pStyle w:val="8"/>
        <w:numPr>
          <w:ilvl w:val="1"/>
          <w:numId w:val="2"/>
        </w:numPr>
        <w:spacing w:before="240" w:after="240"/>
        <w:jc w:val="both"/>
        <w:rPr>
          <w:rFonts w:hint="default" w:ascii="Calibri" w:hAnsi="Calibri" w:cs="Calibri"/>
          <w:color w:val="auto"/>
          <w:sz w:val="20"/>
          <w:szCs w:val="20"/>
        </w:rPr>
      </w:pPr>
      <w:r>
        <w:rPr>
          <w:rFonts w:hint="default" w:ascii="Calibri" w:hAnsi="Calibri" w:cs="Calibri"/>
          <w:color w:val="auto"/>
          <w:sz w:val="20"/>
          <w:szCs w:val="20"/>
        </w:rPr>
        <w:t xml:space="preserve">O fiscal administrativo do contrato realizará o recebimento provisório do objeto do contrato mediante termo detalhado que comprove o cumprimento das exigências de caráter administrativo. </w:t>
      </w:r>
    </w:p>
    <w:p>
      <w:pPr>
        <w:pStyle w:val="8"/>
        <w:numPr>
          <w:ilvl w:val="1"/>
          <w:numId w:val="2"/>
        </w:numPr>
        <w:spacing w:before="240" w:after="240"/>
        <w:jc w:val="both"/>
        <w:rPr>
          <w:rFonts w:hint="default" w:ascii="Calibri" w:hAnsi="Calibri" w:cs="Calibri"/>
          <w:color w:val="auto"/>
          <w:sz w:val="20"/>
          <w:szCs w:val="20"/>
        </w:rPr>
      </w:pPr>
      <w:r>
        <w:rPr>
          <w:rFonts w:hint="default" w:ascii="Calibri" w:hAnsi="Calibri" w:cs="Calibri"/>
          <w:color w:val="auto"/>
          <w:sz w:val="20"/>
          <w:szCs w:val="20"/>
        </w:rPr>
        <w:t>O fiscal setorial do contrato, quando houver, realizará o recebimento provisório sob o ponto de vista técnico e administrativo.</w:t>
      </w:r>
    </w:p>
    <w:p>
      <w:pPr>
        <w:pStyle w:val="8"/>
        <w:numPr>
          <w:ilvl w:val="1"/>
          <w:numId w:val="2"/>
        </w:numPr>
        <w:spacing w:before="240" w:after="240"/>
        <w:jc w:val="both"/>
        <w:rPr>
          <w:rFonts w:hint="default" w:ascii="Calibri" w:hAnsi="Calibri" w:cs="Calibri"/>
          <w:color w:val="auto"/>
          <w:sz w:val="20"/>
          <w:szCs w:val="20"/>
        </w:rPr>
      </w:pPr>
      <w:r>
        <w:rPr>
          <w:rFonts w:hint="default" w:ascii="Calibri" w:hAnsi="Calibri" w:cs="Calibri"/>
          <w:color w:val="auto"/>
          <w:sz w:val="20"/>
          <w:szCs w:val="20"/>
        </w:rPr>
        <w:t>O Contratado fica obrigado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w:t>
      </w:r>
    </w:p>
    <w:p>
      <w:pPr>
        <w:pStyle w:val="8"/>
        <w:numPr>
          <w:ilvl w:val="2"/>
          <w:numId w:val="2"/>
        </w:numPr>
        <w:spacing w:before="240" w:after="240"/>
        <w:jc w:val="both"/>
        <w:rPr>
          <w:rFonts w:hint="default" w:ascii="Calibri" w:hAnsi="Calibri" w:cs="Calibri"/>
          <w:color w:val="auto"/>
          <w:sz w:val="20"/>
          <w:szCs w:val="20"/>
        </w:rPr>
      </w:pPr>
      <w:r>
        <w:rPr>
          <w:rFonts w:hint="default" w:ascii="Calibri" w:hAnsi="Calibri" w:cs="Calibri"/>
          <w:color w:val="auto"/>
          <w:sz w:val="20"/>
          <w:szCs w:val="20"/>
        </w:rPr>
        <w:t>A fiscalização não efetuará o ateste da última e/ou única medição de serviços até que sejam sanadas todas as eventuais pendências que possam vir a ser apontadas no Recebimento Provisório. (Art. 119 c/c art. 140 da Lei nº 14133, de 2021)</w:t>
      </w:r>
    </w:p>
    <w:p>
      <w:pPr>
        <w:pStyle w:val="8"/>
        <w:numPr>
          <w:ilvl w:val="2"/>
          <w:numId w:val="2"/>
        </w:numPr>
        <w:spacing w:before="240" w:after="240"/>
        <w:jc w:val="both"/>
        <w:rPr>
          <w:rFonts w:hint="default" w:ascii="Calibri" w:hAnsi="Calibri" w:cs="Calibri"/>
          <w:color w:val="auto"/>
          <w:sz w:val="20"/>
          <w:szCs w:val="20"/>
        </w:rPr>
      </w:pPr>
      <w:r>
        <w:rPr>
          <w:rFonts w:hint="default" w:ascii="Calibri" w:hAnsi="Calibri" w:cs="Calibri"/>
          <w:color w:val="auto"/>
          <w:sz w:val="20"/>
          <w:szCs w:val="20"/>
        </w:rPr>
        <w:t>O recebimento provisório também ficará sujeito, quando cabível, à conclusão de todos os testes de campo e à entrega dos Manuais e Instruções exigíveis.</w:t>
      </w:r>
    </w:p>
    <w:p>
      <w:pPr>
        <w:pStyle w:val="8"/>
        <w:numPr>
          <w:ilvl w:val="2"/>
          <w:numId w:val="2"/>
        </w:numPr>
        <w:spacing w:before="240" w:after="240"/>
        <w:jc w:val="both"/>
        <w:rPr>
          <w:rFonts w:hint="default" w:ascii="Calibri" w:hAnsi="Calibri" w:cs="Calibri"/>
          <w:color w:val="auto"/>
          <w:sz w:val="20"/>
          <w:szCs w:val="20"/>
        </w:rPr>
      </w:pPr>
      <w:r>
        <w:rPr>
          <w:rFonts w:hint="default" w:ascii="Calibri" w:hAnsi="Calibri" w:cs="Calibri"/>
          <w:color w:val="auto"/>
          <w:sz w:val="20"/>
          <w:szCs w:val="20"/>
        </w:rPr>
        <w:t>Os serviços poderão ser rejeitados, no todo ou em parte, quando em desacordo com as especificações constantes neste Termo de Referência e na proposta, sem prejuízo da aplicação das penalidades.</w:t>
      </w:r>
    </w:p>
    <w:p>
      <w:pPr>
        <w:pStyle w:val="8"/>
        <w:numPr>
          <w:ilvl w:val="1"/>
          <w:numId w:val="2"/>
        </w:numPr>
        <w:spacing w:before="240" w:after="240"/>
        <w:jc w:val="both"/>
        <w:rPr>
          <w:rFonts w:hint="default" w:ascii="Calibri" w:hAnsi="Calibri" w:cs="Calibri"/>
          <w:color w:val="auto"/>
          <w:sz w:val="20"/>
          <w:szCs w:val="20"/>
        </w:rPr>
      </w:pPr>
      <w:r>
        <w:rPr>
          <w:rFonts w:hint="default" w:ascii="Calibri" w:hAnsi="Calibri" w:cs="Calibri"/>
          <w:color w:val="auto"/>
          <w:sz w:val="20"/>
          <w:szCs w:val="20"/>
        </w:rPr>
        <w:t>Quando a fiscalização for exercida por um único servidor, o Termo Detalhado deverá conter o registro, a análise e a conclusão acerca das ocorrências na execução do contrato, em relação à fiscalização técnica e administrativa e demais documentos que julgar necessários, devendo encaminhá-los ao gestor do contrato para recebimento definitivo.</w:t>
      </w:r>
    </w:p>
    <w:p>
      <w:pPr>
        <w:pStyle w:val="8"/>
        <w:numPr>
          <w:ilvl w:val="1"/>
          <w:numId w:val="2"/>
        </w:numPr>
        <w:spacing w:before="240" w:after="240"/>
        <w:jc w:val="both"/>
        <w:rPr>
          <w:rFonts w:hint="default" w:ascii="Calibri" w:hAnsi="Calibri" w:cs="Calibri"/>
          <w:color w:val="auto"/>
          <w:sz w:val="20"/>
          <w:szCs w:val="20"/>
        </w:rPr>
      </w:pPr>
      <w:r>
        <w:rPr>
          <w:rFonts w:hint="default" w:ascii="Calibri" w:hAnsi="Calibri" w:cs="Calibri"/>
          <w:color w:val="auto"/>
          <w:sz w:val="20"/>
          <w:szCs w:val="20"/>
        </w:rPr>
        <w:t>Os serviços serão recebidos definitivamente no prazo de 5 (cinco) dias, contados do recebimento provisório, por servidor ou comissão designada pela autoridade competente, após a verificação da qualidade e quantidade do serviço e consequente aceitação mediante termo detalhado, obedecendo os seguintes procedimentos:</w:t>
      </w:r>
    </w:p>
    <w:p>
      <w:pPr>
        <w:pStyle w:val="8"/>
        <w:numPr>
          <w:ilvl w:val="2"/>
          <w:numId w:val="2"/>
        </w:numPr>
        <w:spacing w:before="240" w:after="240"/>
        <w:jc w:val="both"/>
        <w:rPr>
          <w:rFonts w:hint="default" w:ascii="Calibri" w:hAnsi="Calibri" w:cs="Calibri"/>
          <w:color w:val="auto"/>
          <w:sz w:val="20"/>
          <w:szCs w:val="20"/>
        </w:rPr>
      </w:pPr>
      <w:r>
        <w:rPr>
          <w:rFonts w:hint="default" w:ascii="Calibri" w:hAnsi="Calibri" w:cs="Calibri"/>
          <w:color w:val="auto"/>
          <w:sz w:val="20"/>
          <w:szCs w:val="20"/>
        </w:rPr>
        <w:t>Realizar a análise dos relatórios e de toda a documentação apresentada pela fiscalização e, caso haja irregularidades que impeçam a liquidação e o pagamento da despesa, indicar as cláusulas contratuais pertinentes, solicitando à CONTRATADA, por escrito, as respectivas correções;</w:t>
      </w:r>
    </w:p>
    <w:p>
      <w:pPr>
        <w:pStyle w:val="8"/>
        <w:numPr>
          <w:ilvl w:val="2"/>
          <w:numId w:val="2"/>
        </w:numPr>
        <w:spacing w:before="240" w:after="240"/>
        <w:jc w:val="both"/>
        <w:rPr>
          <w:rFonts w:hint="default" w:ascii="Calibri" w:hAnsi="Calibri" w:cs="Calibri"/>
          <w:color w:val="auto"/>
          <w:sz w:val="20"/>
          <w:szCs w:val="20"/>
        </w:rPr>
      </w:pPr>
      <w:r>
        <w:rPr>
          <w:rFonts w:hint="default" w:ascii="Calibri" w:hAnsi="Calibri" w:cs="Calibri"/>
          <w:color w:val="auto"/>
          <w:sz w:val="20"/>
          <w:szCs w:val="20"/>
        </w:rPr>
        <w:t>Emitir Termo Detalhado para efeito de recebimento definitivo dos serviços prestados, com base nos relatórios e documentações apresentadas; e</w:t>
      </w:r>
    </w:p>
    <w:p>
      <w:pPr>
        <w:pStyle w:val="8"/>
        <w:numPr>
          <w:ilvl w:val="2"/>
          <w:numId w:val="2"/>
        </w:numPr>
        <w:spacing w:before="240" w:after="240"/>
        <w:jc w:val="both"/>
        <w:rPr>
          <w:rFonts w:hint="default" w:ascii="Calibri" w:hAnsi="Calibri" w:cs="Calibri"/>
          <w:color w:val="auto"/>
          <w:sz w:val="20"/>
          <w:szCs w:val="20"/>
        </w:rPr>
      </w:pPr>
      <w:r>
        <w:rPr>
          <w:rFonts w:hint="default" w:ascii="Calibri" w:hAnsi="Calibri" w:cs="Calibri"/>
          <w:color w:val="auto"/>
          <w:sz w:val="20"/>
          <w:szCs w:val="20"/>
        </w:rPr>
        <w:t>Comunicar a empresa para que emita a Nota Fiscal ou Fatura, com o valor exato dimensionado pela fiscalização.</w:t>
      </w:r>
    </w:p>
    <w:p>
      <w:pPr>
        <w:pStyle w:val="8"/>
        <w:numPr>
          <w:ilvl w:val="2"/>
          <w:numId w:val="2"/>
        </w:numPr>
        <w:spacing w:before="240" w:after="240"/>
        <w:jc w:val="both"/>
        <w:rPr>
          <w:rFonts w:hint="default" w:ascii="Calibri" w:hAnsi="Calibri" w:cs="Calibri"/>
          <w:color w:val="auto"/>
          <w:sz w:val="20"/>
          <w:szCs w:val="20"/>
        </w:rPr>
      </w:pPr>
      <w:r>
        <w:rPr>
          <w:rFonts w:hint="default" w:ascii="Calibri" w:hAnsi="Calibri" w:cs="Calibri"/>
          <w:color w:val="auto"/>
          <w:sz w:val="20"/>
          <w:szCs w:val="20"/>
        </w:rPr>
        <w:t>Enviar a documentação pertinente ao setor de contratos para a formalização dos procedimentos de liquidação e pagamento, no valor dimensionado pela fiscalização e gestão.</w:t>
      </w:r>
    </w:p>
    <w:p>
      <w:pPr>
        <w:pStyle w:val="8"/>
        <w:numPr>
          <w:ilvl w:val="1"/>
          <w:numId w:val="2"/>
        </w:numPr>
        <w:spacing w:before="240" w:after="240"/>
        <w:jc w:val="both"/>
        <w:rPr>
          <w:rFonts w:hint="default" w:ascii="Calibri" w:hAnsi="Calibri" w:cs="Calibri"/>
          <w:color w:val="auto"/>
          <w:sz w:val="20"/>
          <w:szCs w:val="20"/>
        </w:rPr>
      </w:pPr>
      <w:r>
        <w:rPr>
          <w:rFonts w:hint="default" w:ascii="Calibri" w:hAnsi="Calibri" w:cs="Calibri"/>
          <w:color w:val="auto"/>
          <w:sz w:val="20"/>
          <w:szCs w:val="20"/>
        </w:rPr>
        <w:t>No caso de controvérsia sobre a execução do objeto, quanto à dimensão, qualidade e quantidade, deverá ser observado o teor do art. 143 da Lei nº 14.133, de 2021, comunicando-se à empresa para emissão de Nota Fiscal no que pertine à parcela incontroversa da execução do objeto, para efeito de liquidação e pagamento.</w:t>
      </w:r>
    </w:p>
    <w:p>
      <w:pPr>
        <w:pStyle w:val="8"/>
        <w:numPr>
          <w:ilvl w:val="1"/>
          <w:numId w:val="2"/>
        </w:numPr>
        <w:spacing w:before="240" w:after="240"/>
        <w:jc w:val="both"/>
        <w:rPr>
          <w:rFonts w:hint="default" w:ascii="Calibri" w:hAnsi="Calibri" w:cs="Calibri"/>
          <w:color w:val="auto"/>
          <w:sz w:val="20"/>
          <w:szCs w:val="20"/>
        </w:rPr>
      </w:pPr>
      <w:r>
        <w:rPr>
          <w:rFonts w:hint="default" w:ascii="Calibri" w:hAnsi="Calibri" w:cs="Calibri"/>
          <w:color w:val="auto"/>
          <w:sz w:val="20"/>
          <w:szCs w:val="20"/>
        </w:rPr>
        <w:t>Nenhum prazo de recebimento ocorrerá enquanto pendente a solução, pelo contratado, de inconsistências verificadas na execução do objeto ou no instrumento de cobrança.</w:t>
      </w:r>
    </w:p>
    <w:p>
      <w:pPr>
        <w:pStyle w:val="8"/>
        <w:numPr>
          <w:ilvl w:val="1"/>
          <w:numId w:val="2"/>
        </w:numPr>
        <w:spacing w:before="240" w:after="240"/>
        <w:jc w:val="both"/>
        <w:rPr>
          <w:rFonts w:hint="default" w:ascii="Calibri" w:hAnsi="Calibri" w:cs="Calibri"/>
          <w:color w:val="auto"/>
          <w:sz w:val="20"/>
          <w:szCs w:val="20"/>
        </w:rPr>
      </w:pPr>
      <w:r>
        <w:rPr>
          <w:rFonts w:hint="default" w:ascii="Calibri" w:hAnsi="Calibri" w:cs="Calibri"/>
          <w:color w:val="auto"/>
          <w:sz w:val="20"/>
          <w:szCs w:val="20"/>
        </w:rPr>
        <w:t>O recebimento provisório ou definitivo não excluirá a responsabilidade civil pela solidez e pela segurança do serviço nem a responsabilidade ético-profissional pela perfeita execução do contrato.</w:t>
      </w:r>
    </w:p>
    <w:p>
      <w:pPr>
        <w:spacing w:before="240" w:after="240"/>
        <w:ind w:left="360"/>
        <w:jc w:val="both"/>
        <w:rPr>
          <w:rFonts w:hint="default" w:ascii="Calibri" w:hAnsi="Calibri" w:cs="Calibri"/>
          <w:b/>
          <w:bCs/>
          <w:color w:val="auto"/>
          <w:sz w:val="20"/>
          <w:szCs w:val="20"/>
        </w:rPr>
      </w:pPr>
      <w:r>
        <w:rPr>
          <w:rFonts w:hint="default" w:ascii="Calibri" w:hAnsi="Calibri" w:cs="Calibri"/>
          <w:b/>
          <w:bCs/>
          <w:color w:val="auto"/>
          <w:sz w:val="20"/>
          <w:szCs w:val="20"/>
        </w:rPr>
        <w:t>Liquidação</w:t>
      </w:r>
    </w:p>
    <w:p>
      <w:pPr>
        <w:pStyle w:val="8"/>
        <w:numPr>
          <w:ilvl w:val="1"/>
          <w:numId w:val="2"/>
        </w:numPr>
        <w:spacing w:before="240" w:after="240"/>
        <w:jc w:val="both"/>
        <w:rPr>
          <w:rFonts w:hint="default" w:ascii="Calibri" w:hAnsi="Calibri" w:cs="Calibri"/>
          <w:color w:val="auto"/>
          <w:sz w:val="20"/>
          <w:szCs w:val="20"/>
        </w:rPr>
      </w:pPr>
      <w:r>
        <w:rPr>
          <w:rFonts w:hint="default" w:ascii="Calibri" w:hAnsi="Calibri" w:cs="Calibri"/>
          <w:color w:val="auto"/>
          <w:sz w:val="20"/>
          <w:szCs w:val="20"/>
        </w:rPr>
        <w:t>Recebida a Nota Fiscal ou documento de cobrança equivalente, correrá o prazo de dez dias úteis para fins de liquidação, na forma desta seção, prorrogáveis por igual período.</w:t>
      </w:r>
    </w:p>
    <w:p>
      <w:pPr>
        <w:pStyle w:val="8"/>
        <w:numPr>
          <w:ilvl w:val="2"/>
          <w:numId w:val="2"/>
        </w:numPr>
        <w:spacing w:before="240" w:after="240"/>
        <w:jc w:val="both"/>
        <w:rPr>
          <w:rFonts w:hint="default" w:ascii="Calibri" w:hAnsi="Calibri" w:cs="Calibri"/>
          <w:color w:val="auto"/>
          <w:sz w:val="20"/>
          <w:szCs w:val="20"/>
        </w:rPr>
      </w:pPr>
      <w:r>
        <w:rPr>
          <w:rFonts w:hint="default" w:ascii="Calibri" w:hAnsi="Calibri" w:cs="Calibri"/>
          <w:color w:val="auto"/>
          <w:sz w:val="20"/>
          <w:szCs w:val="20"/>
        </w:rPr>
        <w:t>O prazo de que trata o item anterior será reduzido à metade, mantendo-se a possibilidade de prorrogação, nos casos de contratações decorrentes de despesas cujos valores não ultrapassem o limite de que trata o inciso II do art. 75 da Lei nº 14.133, de 2021.</w:t>
      </w:r>
    </w:p>
    <w:p>
      <w:pPr>
        <w:pStyle w:val="8"/>
        <w:numPr>
          <w:ilvl w:val="1"/>
          <w:numId w:val="2"/>
        </w:numPr>
        <w:spacing w:before="240" w:after="240"/>
        <w:jc w:val="both"/>
        <w:rPr>
          <w:rFonts w:hint="default" w:ascii="Calibri" w:hAnsi="Calibri" w:cs="Calibri"/>
          <w:color w:val="auto"/>
          <w:sz w:val="20"/>
          <w:szCs w:val="20"/>
        </w:rPr>
      </w:pPr>
      <w:r>
        <w:rPr>
          <w:rFonts w:hint="default" w:ascii="Calibri" w:hAnsi="Calibri" w:cs="Calibri"/>
          <w:color w:val="auto"/>
          <w:sz w:val="20"/>
          <w:szCs w:val="20"/>
        </w:rPr>
        <w:t>Para fins de liquidação, o setor competente deve verificar se a Nota Fiscal ou Fatura apresentada expressa os elementos necessários e essenciais do documento.</w:t>
      </w:r>
    </w:p>
    <w:p>
      <w:pPr>
        <w:pStyle w:val="8"/>
        <w:numPr>
          <w:ilvl w:val="1"/>
          <w:numId w:val="2"/>
        </w:numPr>
        <w:spacing w:before="240" w:after="240"/>
        <w:jc w:val="both"/>
        <w:rPr>
          <w:rFonts w:hint="default" w:ascii="Calibri" w:hAnsi="Calibri" w:cs="Calibri"/>
          <w:color w:val="auto"/>
          <w:sz w:val="20"/>
          <w:szCs w:val="20"/>
        </w:rPr>
      </w:pPr>
      <w:r>
        <w:rPr>
          <w:rFonts w:hint="default" w:ascii="Calibri" w:hAnsi="Calibri" w:cs="Calibri"/>
          <w:color w:val="auto"/>
          <w:sz w:val="20"/>
          <w:szCs w:val="20"/>
        </w:rPr>
        <w:t xml:space="preserve"> Havendo erro na apresentação da Nota Fiscal/Fatura, ou circunstância que impeça a liquidação da despesa, esta ficará sobrestada até que o contratado providencie as medidas saneadoras, reiniciando-se o prazo após a comprovação da regularização da situação, sem ônus à contratante;</w:t>
      </w:r>
    </w:p>
    <w:p>
      <w:pPr>
        <w:pStyle w:val="8"/>
        <w:numPr>
          <w:ilvl w:val="1"/>
          <w:numId w:val="2"/>
        </w:numPr>
        <w:spacing w:before="240" w:after="240"/>
        <w:jc w:val="both"/>
        <w:rPr>
          <w:rFonts w:hint="default" w:ascii="Calibri" w:hAnsi="Calibri" w:cs="Calibri"/>
          <w:color w:val="auto"/>
          <w:sz w:val="20"/>
          <w:szCs w:val="20"/>
        </w:rPr>
      </w:pPr>
      <w:r>
        <w:rPr>
          <w:rFonts w:hint="default" w:ascii="Calibri" w:hAnsi="Calibri" w:cs="Calibri"/>
          <w:color w:val="auto"/>
          <w:sz w:val="20"/>
          <w:szCs w:val="20"/>
        </w:rPr>
        <w:t>A Nota Fiscal ou Fatura deverá ser obrigatoriamente acompanhada da comprovação da regularidade fiscal, constatada por meio de consulta on-line ao SICAF ou, na impossibilidade de acesso ao referido Sistema, mediante consulta aos sítios eletrônicos oficiais ou à documentação mencionada no art. 68 da Lei nº 14.133/2021.</w:t>
      </w:r>
    </w:p>
    <w:p>
      <w:pPr>
        <w:pStyle w:val="8"/>
        <w:numPr>
          <w:ilvl w:val="1"/>
          <w:numId w:val="2"/>
        </w:numPr>
        <w:spacing w:before="240" w:after="240"/>
        <w:jc w:val="both"/>
        <w:rPr>
          <w:rFonts w:hint="default" w:ascii="Calibri" w:hAnsi="Calibri" w:cs="Calibri"/>
          <w:color w:val="auto"/>
          <w:sz w:val="20"/>
          <w:szCs w:val="20"/>
        </w:rPr>
      </w:pPr>
      <w:r>
        <w:rPr>
          <w:rFonts w:hint="default" w:ascii="Calibri" w:hAnsi="Calibri" w:cs="Calibri"/>
          <w:color w:val="auto"/>
          <w:sz w:val="20"/>
          <w:szCs w:val="20"/>
        </w:rPr>
        <w:t>A Administração deverá realizar consulta para: a) verificar a manutenção das condições de habilitação exigidas; b) identificar possível razão que impeça a participação em licitação/contratação, no âmbito do órgão ou entidade, proibição de contratar com o Poder Público, bem como ocorrências impeditivas indiretas.</w:t>
      </w:r>
    </w:p>
    <w:p>
      <w:pPr>
        <w:pStyle w:val="8"/>
        <w:numPr>
          <w:ilvl w:val="1"/>
          <w:numId w:val="2"/>
        </w:numPr>
        <w:spacing w:before="240" w:after="240"/>
        <w:jc w:val="both"/>
        <w:rPr>
          <w:rFonts w:hint="default" w:ascii="Calibri" w:hAnsi="Calibri" w:cs="Calibri"/>
          <w:color w:val="auto"/>
          <w:sz w:val="20"/>
          <w:szCs w:val="20"/>
        </w:rPr>
      </w:pPr>
      <w:r>
        <w:rPr>
          <w:rFonts w:hint="default" w:ascii="Calibri" w:hAnsi="Calibri" w:cs="Calibri"/>
          <w:color w:val="auto"/>
          <w:sz w:val="20"/>
          <w:szCs w:val="20"/>
        </w:rPr>
        <w:t>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pPr>
        <w:pStyle w:val="8"/>
        <w:numPr>
          <w:ilvl w:val="1"/>
          <w:numId w:val="2"/>
        </w:numPr>
        <w:spacing w:before="240" w:after="240"/>
        <w:jc w:val="both"/>
        <w:rPr>
          <w:rFonts w:hint="default" w:ascii="Calibri" w:hAnsi="Calibri" w:cs="Calibri"/>
          <w:color w:val="auto"/>
          <w:sz w:val="20"/>
          <w:szCs w:val="20"/>
        </w:rPr>
      </w:pPr>
      <w:r>
        <w:rPr>
          <w:rFonts w:hint="default" w:ascii="Calibri" w:hAnsi="Calibri" w:cs="Calibri"/>
          <w:color w:val="auto"/>
          <w:sz w:val="20"/>
          <w:szCs w:val="20"/>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pPr>
        <w:pStyle w:val="8"/>
        <w:numPr>
          <w:ilvl w:val="1"/>
          <w:numId w:val="2"/>
        </w:numPr>
        <w:spacing w:before="240" w:after="240"/>
        <w:jc w:val="both"/>
        <w:rPr>
          <w:rFonts w:hint="default" w:ascii="Calibri" w:hAnsi="Calibri" w:cs="Calibri"/>
          <w:color w:val="auto"/>
          <w:sz w:val="20"/>
          <w:szCs w:val="20"/>
        </w:rPr>
      </w:pPr>
      <w:r>
        <w:rPr>
          <w:rFonts w:hint="default" w:ascii="Calibri" w:hAnsi="Calibri" w:cs="Calibri"/>
          <w:color w:val="auto"/>
          <w:sz w:val="20"/>
          <w:szCs w:val="20"/>
        </w:rPr>
        <w:t>Persistindo a irregularidade, o contratante deverá adotar as medidas necessárias à rescisão contratual nos autos do processo administrativo correspondente, assegurada ao contratado a ampla defesa.</w:t>
      </w:r>
    </w:p>
    <w:p>
      <w:pPr>
        <w:pStyle w:val="8"/>
        <w:numPr>
          <w:ilvl w:val="1"/>
          <w:numId w:val="2"/>
        </w:numPr>
        <w:spacing w:before="240" w:after="240"/>
        <w:jc w:val="both"/>
        <w:rPr>
          <w:rFonts w:hint="default" w:ascii="Calibri" w:hAnsi="Calibri" w:cs="Calibri"/>
          <w:color w:val="auto"/>
          <w:sz w:val="20"/>
          <w:szCs w:val="20"/>
        </w:rPr>
      </w:pPr>
      <w:r>
        <w:rPr>
          <w:rFonts w:hint="default" w:ascii="Calibri" w:hAnsi="Calibri" w:cs="Calibri"/>
          <w:color w:val="auto"/>
          <w:sz w:val="20"/>
          <w:szCs w:val="20"/>
        </w:rPr>
        <w:t>Havendo a efetiva execução do objeto, os pagamentos serão realizados normalmente, até que se decida pela rescisão do contrato, caso o contratado não regularize sua situação.</w:t>
      </w:r>
    </w:p>
    <w:p>
      <w:pPr>
        <w:pStyle w:val="8"/>
        <w:spacing w:before="240" w:after="240"/>
        <w:ind w:left="284"/>
        <w:contextualSpacing w:val="0"/>
        <w:rPr>
          <w:rFonts w:hint="default" w:ascii="Calibri" w:hAnsi="Calibri" w:cs="Calibri"/>
          <w:b/>
          <w:bCs/>
          <w:color w:val="auto"/>
          <w:sz w:val="20"/>
          <w:szCs w:val="20"/>
        </w:rPr>
      </w:pPr>
    </w:p>
    <w:p>
      <w:pPr>
        <w:pStyle w:val="8"/>
        <w:spacing w:before="240" w:after="240"/>
        <w:ind w:left="284"/>
        <w:contextualSpacing w:val="0"/>
        <w:rPr>
          <w:rFonts w:hint="default" w:ascii="Calibri" w:hAnsi="Calibri" w:cs="Calibri"/>
          <w:b/>
          <w:bCs/>
          <w:color w:val="auto"/>
          <w:sz w:val="20"/>
          <w:szCs w:val="20"/>
        </w:rPr>
      </w:pPr>
      <w:r>
        <w:rPr>
          <w:rFonts w:hint="default" w:ascii="Calibri" w:hAnsi="Calibri" w:cs="Calibri"/>
          <w:b/>
          <w:bCs/>
          <w:color w:val="auto"/>
          <w:sz w:val="20"/>
          <w:szCs w:val="20"/>
        </w:rPr>
        <w:t>Prazo de Pagamento</w:t>
      </w:r>
    </w:p>
    <w:p>
      <w:pPr>
        <w:pStyle w:val="8"/>
        <w:numPr>
          <w:ilvl w:val="1"/>
          <w:numId w:val="2"/>
        </w:numPr>
        <w:spacing w:before="240" w:after="240"/>
        <w:contextualSpacing w:val="0"/>
        <w:jc w:val="both"/>
        <w:rPr>
          <w:rFonts w:hint="default" w:ascii="Calibri" w:hAnsi="Calibri" w:cs="Calibri"/>
          <w:color w:val="auto"/>
          <w:sz w:val="20"/>
          <w:szCs w:val="20"/>
        </w:rPr>
      </w:pPr>
      <w:r>
        <w:rPr>
          <w:rFonts w:hint="default" w:ascii="Calibri" w:hAnsi="Calibri" w:cs="Calibri"/>
          <w:color w:val="auto"/>
          <w:sz w:val="20"/>
          <w:szCs w:val="20"/>
        </w:rPr>
        <w:t>O pagamento será efetuado no prazo de até 30 (trinta) dias contados da finalização da liquidação da despesa, conforme seção anterior.</w:t>
      </w:r>
    </w:p>
    <w:p>
      <w:pPr>
        <w:pStyle w:val="8"/>
        <w:numPr>
          <w:ilvl w:val="1"/>
          <w:numId w:val="2"/>
        </w:numPr>
        <w:spacing w:before="240" w:after="240"/>
        <w:contextualSpacing w:val="0"/>
        <w:jc w:val="both"/>
        <w:rPr>
          <w:rFonts w:hint="default" w:ascii="Calibri" w:hAnsi="Calibri" w:cs="Calibri"/>
          <w:color w:val="auto"/>
          <w:sz w:val="20"/>
          <w:szCs w:val="20"/>
        </w:rPr>
      </w:pPr>
      <w:r>
        <w:rPr>
          <w:rFonts w:hint="default" w:ascii="Calibri" w:hAnsi="Calibri" w:cs="Calibri"/>
          <w:color w:val="auto"/>
          <w:sz w:val="20"/>
          <w:szCs w:val="20"/>
        </w:rPr>
        <w:t>No caso de atraso pelo Contratante, os valores devidos ao contratado serão atualizados monetariamente entre o termo final do prazo de pagamento até a data de sua efetiva realização, mediante aplicação do seguinte índice de correção monetária:</w:t>
      </w:r>
    </w:p>
    <w:p>
      <w:pPr>
        <w:spacing w:after="0" w:line="240" w:lineRule="auto"/>
        <w:ind w:left="851"/>
        <w:jc w:val="both"/>
        <w:rPr>
          <w:rFonts w:hint="default" w:ascii="Calibri" w:hAnsi="Calibri" w:cs="Calibri"/>
          <w:color w:val="auto"/>
          <w:sz w:val="20"/>
          <w:szCs w:val="20"/>
        </w:rPr>
      </w:pPr>
      <w:r>
        <w:rPr>
          <w:rFonts w:hint="default" w:ascii="Calibri" w:hAnsi="Calibri" w:cs="Calibri"/>
          <w:color w:val="auto"/>
          <w:sz w:val="20"/>
          <w:szCs w:val="20"/>
        </w:rPr>
        <w:t>EM = I x N x VP, sendo:</w:t>
      </w:r>
    </w:p>
    <w:p>
      <w:pPr>
        <w:spacing w:after="0" w:line="240" w:lineRule="auto"/>
        <w:ind w:left="851"/>
        <w:jc w:val="both"/>
        <w:rPr>
          <w:rFonts w:hint="default" w:ascii="Calibri" w:hAnsi="Calibri" w:cs="Calibri"/>
          <w:color w:val="auto"/>
          <w:sz w:val="20"/>
          <w:szCs w:val="20"/>
        </w:rPr>
      </w:pPr>
      <w:r>
        <w:rPr>
          <w:rFonts w:hint="default" w:ascii="Calibri" w:hAnsi="Calibri" w:cs="Calibri"/>
          <w:color w:val="auto"/>
          <w:sz w:val="20"/>
          <w:szCs w:val="20"/>
        </w:rPr>
        <w:t>EM = Encargos moratórios;</w:t>
      </w:r>
    </w:p>
    <w:p>
      <w:pPr>
        <w:spacing w:after="0" w:line="240" w:lineRule="auto"/>
        <w:ind w:left="851"/>
        <w:jc w:val="both"/>
        <w:rPr>
          <w:rFonts w:hint="default" w:ascii="Calibri" w:hAnsi="Calibri" w:cs="Calibri"/>
          <w:color w:val="auto"/>
          <w:sz w:val="20"/>
          <w:szCs w:val="20"/>
        </w:rPr>
      </w:pPr>
      <w:r>
        <w:rPr>
          <w:rFonts w:hint="default" w:ascii="Calibri" w:hAnsi="Calibri" w:cs="Calibri"/>
          <w:color w:val="auto"/>
          <w:sz w:val="20"/>
          <w:szCs w:val="20"/>
        </w:rPr>
        <w:t>N = Número de dias entre a data prevista para o pagamento e a do efetivo pagamento;</w:t>
      </w:r>
    </w:p>
    <w:p>
      <w:pPr>
        <w:spacing w:after="0" w:line="240" w:lineRule="auto"/>
        <w:ind w:left="851"/>
        <w:jc w:val="both"/>
        <w:rPr>
          <w:rFonts w:hint="default" w:ascii="Calibri" w:hAnsi="Calibri" w:cs="Calibri"/>
          <w:color w:val="auto"/>
          <w:sz w:val="20"/>
          <w:szCs w:val="20"/>
        </w:rPr>
      </w:pPr>
      <w:r>
        <w:rPr>
          <w:rFonts w:hint="default" w:ascii="Calibri" w:hAnsi="Calibri" w:cs="Calibri"/>
          <w:color w:val="auto"/>
          <w:sz w:val="20"/>
          <w:szCs w:val="20"/>
        </w:rPr>
        <w:t>VP = Valor da parcela a ser paga.</w:t>
      </w:r>
    </w:p>
    <w:p>
      <w:pPr>
        <w:spacing w:after="0" w:line="240" w:lineRule="auto"/>
        <w:ind w:left="851"/>
        <w:jc w:val="both"/>
        <w:rPr>
          <w:rFonts w:hint="default" w:ascii="Calibri" w:hAnsi="Calibri" w:cs="Calibri"/>
          <w:color w:val="auto"/>
          <w:sz w:val="20"/>
          <w:szCs w:val="20"/>
        </w:rPr>
      </w:pPr>
      <w:r>
        <w:rPr>
          <w:rFonts w:hint="default" w:ascii="Calibri" w:hAnsi="Calibri" w:cs="Calibri"/>
          <w:color w:val="auto"/>
          <w:sz w:val="20"/>
          <w:szCs w:val="20"/>
        </w:rPr>
        <w:t>I = Índice de compensação financeira = 0,00016438, assim apurado:</w:t>
      </w:r>
    </w:p>
    <w:p>
      <w:pPr>
        <w:spacing w:after="0" w:line="240" w:lineRule="auto"/>
        <w:ind w:left="851"/>
        <w:jc w:val="both"/>
        <w:rPr>
          <w:rFonts w:hint="default" w:ascii="Calibri" w:hAnsi="Calibri" w:cs="Calibri"/>
          <w:color w:val="auto"/>
          <w:sz w:val="20"/>
          <w:szCs w:val="20"/>
        </w:rPr>
      </w:pPr>
    </w:p>
    <w:tbl>
      <w:tblPr>
        <w:tblStyle w:val="7"/>
        <w:tblW w:w="0" w:type="auto"/>
        <w:tblInd w:w="425"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1979"/>
        <w:gridCol w:w="550"/>
        <w:gridCol w:w="1185"/>
        <w:gridCol w:w="4383"/>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2214" w:type="dxa"/>
            <w:vAlign w:val="center"/>
          </w:tcPr>
          <w:p>
            <w:pPr>
              <w:tabs>
                <w:tab w:val="left" w:pos="1701"/>
              </w:tabs>
              <w:spacing w:after="0" w:line="240" w:lineRule="auto"/>
              <w:jc w:val="center"/>
              <w:rPr>
                <w:rFonts w:hint="default" w:ascii="Calibri" w:hAnsi="Calibri" w:cs="Calibri"/>
                <w:color w:val="auto"/>
                <w:sz w:val="20"/>
                <w:szCs w:val="20"/>
              </w:rPr>
            </w:pPr>
            <w:r>
              <w:rPr>
                <w:rFonts w:hint="default" w:ascii="Calibri" w:hAnsi="Calibri" w:cs="Calibri"/>
                <w:color w:val="auto"/>
                <w:sz w:val="20"/>
                <w:szCs w:val="20"/>
              </w:rPr>
              <w:t>I = (TX)</w:t>
            </w:r>
          </w:p>
        </w:tc>
        <w:tc>
          <w:tcPr>
            <w:tcW w:w="588" w:type="dxa"/>
            <w:vAlign w:val="center"/>
          </w:tcPr>
          <w:p>
            <w:pPr>
              <w:tabs>
                <w:tab w:val="left" w:pos="1701"/>
              </w:tabs>
              <w:spacing w:after="0" w:line="240" w:lineRule="auto"/>
              <w:rPr>
                <w:rFonts w:hint="default" w:ascii="Calibri" w:hAnsi="Calibri" w:cs="Calibri"/>
                <w:color w:val="auto"/>
                <w:sz w:val="20"/>
                <w:szCs w:val="20"/>
              </w:rPr>
            </w:pPr>
            <w:r>
              <w:rPr>
                <w:rFonts w:hint="default" w:ascii="Calibri" w:hAnsi="Calibri" w:cs="Calibri"/>
                <w:color w:val="auto"/>
                <w:sz w:val="20"/>
                <w:szCs w:val="20"/>
              </w:rPr>
              <w:t xml:space="preserve">I = </w:t>
            </w:r>
          </w:p>
        </w:tc>
        <w:tc>
          <w:tcPr>
            <w:tcW w:w="1276" w:type="dxa"/>
          </w:tcPr>
          <w:p>
            <w:pPr>
              <w:tabs>
                <w:tab w:val="left" w:pos="1701"/>
              </w:tabs>
              <w:spacing w:after="0" w:line="240" w:lineRule="auto"/>
              <w:jc w:val="center"/>
              <w:rPr>
                <w:rFonts w:hint="default" w:ascii="Calibri" w:hAnsi="Calibri" w:cs="Calibri"/>
                <w:color w:val="auto"/>
                <w:sz w:val="20"/>
                <w:szCs w:val="20"/>
                <w:u w:val="single"/>
              </w:rPr>
            </w:pPr>
            <w:r>
              <w:rPr>
                <w:rFonts w:hint="default" w:ascii="Calibri" w:hAnsi="Calibri" w:cs="Calibri"/>
                <w:color w:val="auto"/>
                <w:sz w:val="20"/>
                <w:szCs w:val="20"/>
                <w:u w:val="single"/>
              </w:rPr>
              <w:t>( 6 / 100 )</w:t>
            </w:r>
          </w:p>
          <w:p>
            <w:pPr>
              <w:tabs>
                <w:tab w:val="left" w:pos="1701"/>
              </w:tabs>
              <w:spacing w:after="0" w:line="240" w:lineRule="auto"/>
              <w:jc w:val="center"/>
              <w:rPr>
                <w:rFonts w:hint="default" w:ascii="Calibri" w:hAnsi="Calibri" w:cs="Calibri"/>
                <w:color w:val="auto"/>
                <w:sz w:val="20"/>
                <w:szCs w:val="20"/>
              </w:rPr>
            </w:pPr>
            <w:r>
              <w:rPr>
                <w:rFonts w:hint="default" w:ascii="Calibri" w:hAnsi="Calibri" w:cs="Calibri"/>
                <w:color w:val="auto"/>
                <w:sz w:val="20"/>
                <w:szCs w:val="20"/>
              </w:rPr>
              <w:t>365</w:t>
            </w:r>
          </w:p>
        </w:tc>
        <w:tc>
          <w:tcPr>
            <w:tcW w:w="4784" w:type="dxa"/>
            <w:vAlign w:val="center"/>
          </w:tcPr>
          <w:p>
            <w:pPr>
              <w:tabs>
                <w:tab w:val="left" w:pos="1701"/>
              </w:tabs>
              <w:spacing w:after="0" w:line="240" w:lineRule="auto"/>
              <w:ind w:left="742"/>
              <w:rPr>
                <w:rFonts w:hint="default" w:ascii="Calibri" w:hAnsi="Calibri" w:cs="Calibri"/>
                <w:color w:val="auto"/>
                <w:sz w:val="20"/>
                <w:szCs w:val="20"/>
              </w:rPr>
            </w:pPr>
            <w:r>
              <w:rPr>
                <w:rFonts w:hint="default" w:ascii="Calibri" w:hAnsi="Calibri" w:cs="Calibri"/>
                <w:color w:val="auto"/>
                <w:sz w:val="20"/>
                <w:szCs w:val="20"/>
              </w:rPr>
              <w:t>I = 0,00016438</w:t>
            </w:r>
          </w:p>
          <w:p>
            <w:pPr>
              <w:tabs>
                <w:tab w:val="left" w:pos="1701"/>
              </w:tabs>
              <w:spacing w:after="0" w:line="240" w:lineRule="auto"/>
              <w:ind w:left="742"/>
              <w:rPr>
                <w:rFonts w:hint="default" w:ascii="Calibri" w:hAnsi="Calibri" w:cs="Calibri"/>
                <w:color w:val="auto"/>
                <w:sz w:val="20"/>
                <w:szCs w:val="20"/>
              </w:rPr>
            </w:pPr>
            <w:r>
              <w:rPr>
                <w:rFonts w:hint="default" w:ascii="Calibri" w:hAnsi="Calibri" w:cs="Calibri"/>
                <w:color w:val="auto"/>
                <w:sz w:val="20"/>
                <w:szCs w:val="20"/>
              </w:rPr>
              <w:t>TX = Percentual da taxa anual = 6%</w:t>
            </w:r>
          </w:p>
        </w:tc>
      </w:tr>
    </w:tbl>
    <w:p>
      <w:pPr>
        <w:pStyle w:val="8"/>
        <w:spacing w:before="240" w:after="240"/>
        <w:ind w:left="284"/>
        <w:contextualSpacing w:val="0"/>
        <w:rPr>
          <w:rFonts w:hint="default" w:ascii="Calibri" w:hAnsi="Calibri" w:cs="Calibri"/>
          <w:b/>
          <w:bCs/>
          <w:color w:val="auto"/>
          <w:sz w:val="20"/>
          <w:szCs w:val="20"/>
        </w:rPr>
      </w:pPr>
      <w:r>
        <w:rPr>
          <w:rFonts w:hint="default" w:ascii="Calibri" w:hAnsi="Calibri" w:cs="Calibri"/>
          <w:b/>
          <w:bCs/>
          <w:color w:val="auto"/>
          <w:sz w:val="20"/>
          <w:szCs w:val="20"/>
        </w:rPr>
        <w:t>Forma de Pagamento</w:t>
      </w:r>
    </w:p>
    <w:p>
      <w:pPr>
        <w:pStyle w:val="8"/>
        <w:numPr>
          <w:ilvl w:val="1"/>
          <w:numId w:val="2"/>
        </w:numPr>
        <w:spacing w:before="240" w:after="240"/>
        <w:contextualSpacing w:val="0"/>
        <w:jc w:val="both"/>
        <w:rPr>
          <w:rFonts w:hint="default" w:ascii="Calibri" w:hAnsi="Calibri" w:cs="Calibri"/>
          <w:color w:val="auto"/>
          <w:sz w:val="20"/>
          <w:szCs w:val="20"/>
        </w:rPr>
      </w:pPr>
      <w:r>
        <w:rPr>
          <w:rFonts w:hint="default" w:ascii="Calibri" w:hAnsi="Calibri" w:cs="Calibri"/>
          <w:color w:val="auto"/>
          <w:sz w:val="20"/>
          <w:szCs w:val="20"/>
        </w:rPr>
        <w:t>O pagamento será realizado por meio de ordem bancária, para crédito em banco, agência e conta corrente indicados pelo contratado.</w:t>
      </w:r>
    </w:p>
    <w:p>
      <w:pPr>
        <w:pStyle w:val="8"/>
        <w:numPr>
          <w:ilvl w:val="1"/>
          <w:numId w:val="2"/>
        </w:numPr>
        <w:spacing w:before="240" w:after="240"/>
        <w:contextualSpacing w:val="0"/>
        <w:jc w:val="both"/>
        <w:rPr>
          <w:rFonts w:hint="default" w:ascii="Calibri" w:hAnsi="Calibri" w:cs="Calibri"/>
          <w:color w:val="auto"/>
          <w:sz w:val="20"/>
          <w:szCs w:val="20"/>
        </w:rPr>
      </w:pPr>
      <w:r>
        <w:rPr>
          <w:rFonts w:hint="default" w:ascii="Calibri" w:hAnsi="Calibri" w:cs="Calibri"/>
          <w:color w:val="auto"/>
          <w:sz w:val="20"/>
          <w:szCs w:val="20"/>
        </w:rPr>
        <w:t>Será considerada data do pagamento o dia em que constar como emitida a ordem bancária para pagamento.</w:t>
      </w:r>
    </w:p>
    <w:p>
      <w:pPr>
        <w:pStyle w:val="8"/>
        <w:numPr>
          <w:ilvl w:val="1"/>
          <w:numId w:val="2"/>
        </w:numPr>
        <w:spacing w:before="240" w:after="240"/>
        <w:contextualSpacing w:val="0"/>
        <w:jc w:val="both"/>
        <w:rPr>
          <w:rFonts w:hint="default" w:ascii="Calibri" w:hAnsi="Calibri" w:cs="Calibri"/>
          <w:color w:val="auto"/>
          <w:sz w:val="20"/>
          <w:szCs w:val="20"/>
        </w:rPr>
      </w:pPr>
      <w:r>
        <w:rPr>
          <w:rFonts w:hint="default" w:ascii="Calibri" w:hAnsi="Calibri" w:cs="Calibri"/>
          <w:color w:val="auto"/>
          <w:sz w:val="20"/>
          <w:szCs w:val="20"/>
        </w:rPr>
        <w:t>Quando do pagamento, será efetuada a retenção tributária prevista na legislação aplicável.</w:t>
      </w:r>
    </w:p>
    <w:p>
      <w:pPr>
        <w:pStyle w:val="8"/>
        <w:numPr>
          <w:ilvl w:val="2"/>
          <w:numId w:val="2"/>
        </w:numPr>
        <w:spacing w:before="240" w:after="240"/>
        <w:contextualSpacing w:val="0"/>
        <w:jc w:val="both"/>
        <w:rPr>
          <w:rFonts w:hint="default" w:ascii="Calibri" w:hAnsi="Calibri" w:cs="Calibri"/>
          <w:color w:val="auto"/>
          <w:sz w:val="20"/>
          <w:szCs w:val="20"/>
        </w:rPr>
      </w:pPr>
      <w:r>
        <w:rPr>
          <w:rFonts w:hint="default" w:ascii="Calibri" w:hAnsi="Calibri" w:cs="Calibri"/>
          <w:color w:val="auto"/>
          <w:sz w:val="20"/>
          <w:szCs w:val="20"/>
        </w:rPr>
        <w:t>Independentemente do percentual de tributo inserido na planilha, quando houver, serão retidos na fonte, quando da realização do pagamento, os percentuais estabelecidos na legislação vigente.</w:t>
      </w:r>
    </w:p>
    <w:p>
      <w:pPr>
        <w:pStyle w:val="8"/>
        <w:numPr>
          <w:ilvl w:val="1"/>
          <w:numId w:val="2"/>
        </w:numPr>
        <w:spacing w:before="240" w:after="240"/>
        <w:contextualSpacing w:val="0"/>
        <w:jc w:val="both"/>
        <w:rPr>
          <w:rFonts w:hint="default" w:ascii="Calibri" w:hAnsi="Calibri" w:cs="Calibri"/>
          <w:color w:val="auto"/>
          <w:sz w:val="20"/>
          <w:szCs w:val="20"/>
        </w:rPr>
      </w:pPr>
      <w:r>
        <w:rPr>
          <w:rFonts w:hint="default" w:ascii="Calibri" w:hAnsi="Calibri" w:cs="Calibri"/>
          <w:color w:val="auto"/>
          <w:sz w:val="20"/>
          <w:szCs w:val="20"/>
        </w:rPr>
        <w:t>O contratado regularmente optante pelo Simples Nacional, nos termos da Lei Complementar nº 123, de 2006, não sofrerá a retenção tributária quanto aos impostos e contribuições abrangidos por aquele regime, exceto o ISS, que poderá ser retiro na fonte. No entanto, o pagamento ficará condicionado à apresentação de comprovação, por meio de documento oficial, de que faz jus ao tratamento tributário favorecido previsto na referida Lei Complementar.</w:t>
      </w:r>
    </w:p>
    <w:p>
      <w:pPr>
        <w:pStyle w:val="8"/>
        <w:numPr>
          <w:ilvl w:val="0"/>
          <w:numId w:val="2"/>
        </w:numPr>
        <w:spacing w:before="240" w:after="240"/>
        <w:contextualSpacing w:val="0"/>
        <w:rPr>
          <w:rFonts w:hint="default" w:ascii="Calibri" w:hAnsi="Calibri" w:cs="Calibri"/>
          <w:b/>
          <w:bCs/>
          <w:color w:val="auto"/>
          <w:sz w:val="20"/>
          <w:szCs w:val="20"/>
        </w:rPr>
      </w:pPr>
      <w:r>
        <w:rPr>
          <w:rFonts w:hint="default" w:ascii="Calibri" w:hAnsi="Calibri" w:cs="Calibri"/>
          <w:b/>
          <w:bCs/>
          <w:color w:val="auto"/>
          <w:sz w:val="20"/>
          <w:szCs w:val="20"/>
        </w:rPr>
        <w:t>OBRIGAÇÕES DO CONTRATANTE:</w:t>
      </w:r>
    </w:p>
    <w:p>
      <w:pPr>
        <w:pStyle w:val="8"/>
        <w:numPr>
          <w:ilvl w:val="1"/>
          <w:numId w:val="2"/>
        </w:numPr>
        <w:spacing w:before="240" w:after="240"/>
        <w:contextualSpacing w:val="0"/>
        <w:jc w:val="both"/>
        <w:rPr>
          <w:rFonts w:hint="default" w:ascii="Calibri" w:hAnsi="Calibri" w:cs="Calibri"/>
          <w:b/>
          <w:bCs/>
          <w:color w:val="auto"/>
          <w:sz w:val="20"/>
          <w:szCs w:val="20"/>
        </w:rPr>
      </w:pPr>
      <w:r>
        <w:rPr>
          <w:rFonts w:hint="default" w:ascii="Calibri" w:hAnsi="Calibri" w:cs="Calibri"/>
          <w:color w:val="auto"/>
          <w:sz w:val="20"/>
          <w:szCs w:val="20"/>
        </w:rPr>
        <w:t>São obrigações do Contratante:</w:t>
      </w:r>
    </w:p>
    <w:p>
      <w:pPr>
        <w:pStyle w:val="8"/>
        <w:numPr>
          <w:ilvl w:val="2"/>
          <w:numId w:val="2"/>
        </w:numPr>
        <w:spacing w:before="240" w:after="240"/>
        <w:jc w:val="both"/>
        <w:rPr>
          <w:rFonts w:hint="default" w:ascii="Calibri" w:hAnsi="Calibri" w:cs="Calibri"/>
          <w:color w:val="auto"/>
          <w:sz w:val="20"/>
          <w:szCs w:val="20"/>
        </w:rPr>
      </w:pPr>
      <w:r>
        <w:rPr>
          <w:rFonts w:hint="default" w:ascii="Calibri" w:hAnsi="Calibri" w:cs="Calibri"/>
          <w:color w:val="auto"/>
          <w:sz w:val="20"/>
          <w:szCs w:val="20"/>
        </w:rPr>
        <w:t>Exigir o cumprimento de todas as obrigações assumidas pelo Contratado, de acordo com o contrato e seus anexos;</w:t>
      </w:r>
    </w:p>
    <w:p>
      <w:pPr>
        <w:pStyle w:val="8"/>
        <w:numPr>
          <w:ilvl w:val="2"/>
          <w:numId w:val="2"/>
        </w:numPr>
        <w:spacing w:before="240" w:after="240"/>
        <w:jc w:val="both"/>
        <w:rPr>
          <w:rFonts w:hint="default" w:ascii="Calibri" w:hAnsi="Calibri" w:cs="Calibri"/>
          <w:color w:val="auto"/>
          <w:sz w:val="20"/>
          <w:szCs w:val="20"/>
        </w:rPr>
      </w:pPr>
      <w:r>
        <w:rPr>
          <w:rFonts w:hint="default" w:ascii="Calibri" w:hAnsi="Calibri" w:cs="Calibri"/>
          <w:color w:val="auto"/>
          <w:sz w:val="20"/>
          <w:szCs w:val="20"/>
        </w:rPr>
        <w:t>Receber o objeto no prazo e condições estabelecidas no Termo de Referência;</w:t>
      </w:r>
    </w:p>
    <w:p>
      <w:pPr>
        <w:pStyle w:val="8"/>
        <w:numPr>
          <w:ilvl w:val="2"/>
          <w:numId w:val="2"/>
        </w:numPr>
        <w:spacing w:before="240" w:after="240"/>
        <w:jc w:val="both"/>
        <w:rPr>
          <w:rFonts w:hint="default" w:ascii="Calibri" w:hAnsi="Calibri" w:cs="Calibri"/>
          <w:color w:val="auto"/>
          <w:sz w:val="20"/>
          <w:szCs w:val="20"/>
        </w:rPr>
      </w:pPr>
      <w:r>
        <w:rPr>
          <w:rFonts w:hint="default" w:ascii="Calibri" w:hAnsi="Calibri" w:cs="Calibri"/>
          <w:color w:val="auto"/>
          <w:sz w:val="20"/>
          <w:szCs w:val="20"/>
        </w:rPr>
        <w:t>Notificar o Contratado, por escrito, sobre vícios, defeitos ou incorreções verificadas no objeto fornecido, para que seja por ele substituído, reparado ou corrigido, no total ou em parte, às suas expensas;</w:t>
      </w:r>
    </w:p>
    <w:p>
      <w:pPr>
        <w:pStyle w:val="8"/>
        <w:numPr>
          <w:ilvl w:val="2"/>
          <w:numId w:val="2"/>
        </w:numPr>
        <w:spacing w:before="240" w:after="240"/>
        <w:jc w:val="both"/>
        <w:rPr>
          <w:rFonts w:hint="default" w:ascii="Calibri" w:hAnsi="Calibri" w:cs="Calibri"/>
          <w:color w:val="auto"/>
          <w:sz w:val="20"/>
          <w:szCs w:val="20"/>
        </w:rPr>
      </w:pPr>
      <w:r>
        <w:rPr>
          <w:rFonts w:hint="default" w:ascii="Calibri" w:hAnsi="Calibri" w:cs="Calibri"/>
          <w:color w:val="auto"/>
          <w:sz w:val="20"/>
          <w:szCs w:val="20"/>
        </w:rPr>
        <w:t>Acompanhar e fiscalizar a execução do contrato e o cumprimento das obrigações pelo Contratado;</w:t>
      </w:r>
    </w:p>
    <w:p>
      <w:pPr>
        <w:pStyle w:val="8"/>
        <w:numPr>
          <w:ilvl w:val="2"/>
          <w:numId w:val="2"/>
        </w:numPr>
        <w:spacing w:before="240" w:after="240"/>
        <w:jc w:val="both"/>
        <w:rPr>
          <w:rFonts w:hint="default" w:ascii="Calibri" w:hAnsi="Calibri" w:cs="Calibri"/>
          <w:color w:val="auto"/>
          <w:sz w:val="20"/>
          <w:szCs w:val="20"/>
        </w:rPr>
      </w:pPr>
      <w:r>
        <w:rPr>
          <w:rFonts w:hint="default" w:ascii="Calibri" w:hAnsi="Calibri" w:cs="Calibri"/>
          <w:color w:val="auto"/>
          <w:sz w:val="20"/>
          <w:szCs w:val="20"/>
        </w:rPr>
        <w:t>Comunicar a empresa para emissão de Nota Fiscal no que pertine à parcela incontroversa da execução do objeto, para efeito de liquidação e pagamento, quando houver controvérsia sobre a execução do objeto, quanto à dimensão, qualidade e quantidade, conforme o art. 143 da Lei nº 14.133, de 2021;</w:t>
      </w:r>
    </w:p>
    <w:p>
      <w:pPr>
        <w:pStyle w:val="8"/>
        <w:numPr>
          <w:ilvl w:val="2"/>
          <w:numId w:val="2"/>
        </w:numPr>
        <w:spacing w:before="240" w:after="240"/>
        <w:jc w:val="both"/>
        <w:rPr>
          <w:rFonts w:hint="default" w:ascii="Calibri" w:hAnsi="Calibri" w:cs="Calibri"/>
          <w:color w:val="auto"/>
          <w:sz w:val="20"/>
          <w:szCs w:val="20"/>
        </w:rPr>
      </w:pPr>
      <w:r>
        <w:rPr>
          <w:rFonts w:hint="default" w:ascii="Calibri" w:hAnsi="Calibri" w:cs="Calibri"/>
          <w:color w:val="auto"/>
          <w:sz w:val="20"/>
          <w:szCs w:val="20"/>
        </w:rPr>
        <w:t>Efetuar o pagamento ao Contratado do valor correspondente à execução do objeto, no prazo, forma e condições estabelecidos no presente Contrato e no Termo de Referência;</w:t>
      </w:r>
    </w:p>
    <w:p>
      <w:pPr>
        <w:pStyle w:val="8"/>
        <w:numPr>
          <w:ilvl w:val="2"/>
          <w:numId w:val="2"/>
        </w:numPr>
        <w:spacing w:before="240" w:after="240"/>
        <w:jc w:val="both"/>
        <w:rPr>
          <w:rFonts w:hint="default" w:ascii="Calibri" w:hAnsi="Calibri" w:cs="Calibri"/>
          <w:color w:val="auto"/>
          <w:sz w:val="20"/>
          <w:szCs w:val="20"/>
        </w:rPr>
      </w:pPr>
      <w:r>
        <w:rPr>
          <w:rFonts w:hint="default" w:ascii="Calibri" w:hAnsi="Calibri" w:cs="Calibri"/>
          <w:color w:val="auto"/>
          <w:sz w:val="20"/>
          <w:szCs w:val="20"/>
        </w:rPr>
        <w:t xml:space="preserve">Aplicar ao Contratado as sanções previstas na lei e neste Contrato; </w:t>
      </w:r>
    </w:p>
    <w:p>
      <w:pPr>
        <w:pStyle w:val="8"/>
        <w:numPr>
          <w:ilvl w:val="2"/>
          <w:numId w:val="2"/>
        </w:numPr>
        <w:spacing w:before="240" w:after="240"/>
        <w:jc w:val="both"/>
        <w:rPr>
          <w:rFonts w:hint="default" w:ascii="Calibri" w:hAnsi="Calibri" w:cs="Calibri"/>
          <w:color w:val="auto"/>
          <w:sz w:val="20"/>
          <w:szCs w:val="20"/>
        </w:rPr>
      </w:pPr>
      <w:r>
        <w:rPr>
          <w:rFonts w:hint="default" w:ascii="Calibri" w:hAnsi="Calibri" w:cs="Calibri"/>
          <w:color w:val="auto"/>
          <w:sz w:val="20"/>
          <w:szCs w:val="20"/>
        </w:rPr>
        <w:t>Cientificar o órgão de representação judicial para adoção das medidas cabíveis quando do descumprimento de obrigações pelo Contratado;</w:t>
      </w:r>
    </w:p>
    <w:p>
      <w:pPr>
        <w:pStyle w:val="8"/>
        <w:numPr>
          <w:ilvl w:val="2"/>
          <w:numId w:val="2"/>
        </w:numPr>
        <w:spacing w:before="240" w:after="240"/>
        <w:jc w:val="both"/>
        <w:rPr>
          <w:rFonts w:hint="default" w:ascii="Calibri" w:hAnsi="Calibri" w:cs="Calibri"/>
          <w:color w:val="auto"/>
          <w:sz w:val="20"/>
          <w:szCs w:val="20"/>
        </w:rPr>
      </w:pPr>
      <w:r>
        <w:rPr>
          <w:rFonts w:hint="default" w:ascii="Calibri" w:hAnsi="Calibri" w:cs="Calibri"/>
          <w:color w:val="auto"/>
          <w:sz w:val="20"/>
          <w:szCs w:val="20"/>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pPr>
        <w:pStyle w:val="8"/>
        <w:numPr>
          <w:ilvl w:val="3"/>
          <w:numId w:val="2"/>
        </w:numPr>
        <w:spacing w:before="240" w:after="240"/>
        <w:jc w:val="both"/>
        <w:rPr>
          <w:rFonts w:hint="default" w:ascii="Calibri" w:hAnsi="Calibri" w:cs="Calibri"/>
          <w:color w:val="auto"/>
          <w:sz w:val="20"/>
          <w:szCs w:val="20"/>
        </w:rPr>
      </w:pPr>
      <w:r>
        <w:rPr>
          <w:rFonts w:hint="default" w:ascii="Calibri" w:hAnsi="Calibri" w:cs="Calibri"/>
          <w:color w:val="auto"/>
          <w:sz w:val="20"/>
          <w:szCs w:val="20"/>
        </w:rPr>
        <w:t xml:space="preserve">A Administração terá o prazo de 30 dias, a contar da data do protocolo do requerimento para decidir, admitida a prorrogação motivada, por igual período. </w:t>
      </w:r>
    </w:p>
    <w:p>
      <w:pPr>
        <w:pStyle w:val="8"/>
        <w:numPr>
          <w:ilvl w:val="2"/>
          <w:numId w:val="2"/>
        </w:numPr>
        <w:spacing w:before="240" w:after="240"/>
        <w:jc w:val="both"/>
        <w:rPr>
          <w:rFonts w:hint="default" w:ascii="Calibri" w:hAnsi="Calibri" w:cs="Calibri"/>
          <w:color w:val="auto"/>
          <w:sz w:val="20"/>
          <w:szCs w:val="20"/>
        </w:rPr>
      </w:pPr>
      <w:r>
        <w:rPr>
          <w:rFonts w:hint="default" w:ascii="Calibri" w:hAnsi="Calibri" w:cs="Calibri"/>
          <w:color w:val="auto"/>
          <w:sz w:val="20"/>
          <w:szCs w:val="20"/>
        </w:rPr>
        <w:t>Responder eventuais pedidos de reestabelecimento do equilíbrio econômico-financeiro feitos pelo contratado no prazo máximo de 30 dias.</w:t>
      </w:r>
    </w:p>
    <w:p>
      <w:pPr>
        <w:pStyle w:val="8"/>
        <w:numPr>
          <w:ilvl w:val="2"/>
          <w:numId w:val="2"/>
        </w:numPr>
        <w:spacing w:before="240" w:after="240"/>
        <w:jc w:val="both"/>
        <w:rPr>
          <w:rFonts w:hint="default" w:ascii="Calibri" w:hAnsi="Calibri" w:cs="Calibri"/>
          <w:color w:val="auto"/>
          <w:sz w:val="20"/>
          <w:szCs w:val="20"/>
        </w:rPr>
      </w:pPr>
      <w:r>
        <w:rPr>
          <w:rFonts w:hint="default" w:ascii="Calibri" w:hAnsi="Calibri" w:cs="Calibri"/>
          <w:color w:val="auto"/>
          <w:sz w:val="20"/>
          <w:szCs w:val="20"/>
        </w:rPr>
        <w:t>Notificar os emitentes das garantias quanto ao início de processo administrativo para apuração de descumprimento de cláusulas contratuais.</w:t>
      </w:r>
    </w:p>
    <w:p>
      <w:pPr>
        <w:pStyle w:val="8"/>
        <w:numPr>
          <w:ilvl w:val="2"/>
          <w:numId w:val="2"/>
        </w:numPr>
        <w:spacing w:before="240" w:after="240"/>
        <w:jc w:val="both"/>
        <w:rPr>
          <w:rFonts w:hint="default" w:ascii="Calibri" w:hAnsi="Calibri" w:cs="Calibri"/>
          <w:color w:val="auto"/>
          <w:sz w:val="20"/>
          <w:szCs w:val="20"/>
        </w:rPr>
      </w:pPr>
      <w:r>
        <w:rPr>
          <w:rFonts w:hint="default" w:ascii="Calibri" w:hAnsi="Calibri" w:cs="Calibri"/>
          <w:color w:val="auto"/>
          <w:sz w:val="20"/>
          <w:szCs w:val="20"/>
        </w:rPr>
        <w:t>Comunicar o Contratado na hipótese de posterior alteração do projeto pelo Contratante, no caso do art. 93, §2º, da Lei nº 14.133, de 2021.</w:t>
      </w:r>
    </w:p>
    <w:p>
      <w:pPr>
        <w:pStyle w:val="8"/>
        <w:numPr>
          <w:ilvl w:val="2"/>
          <w:numId w:val="2"/>
        </w:numPr>
        <w:spacing w:before="240" w:after="240"/>
        <w:jc w:val="both"/>
        <w:rPr>
          <w:rFonts w:hint="default" w:ascii="Calibri" w:hAnsi="Calibri" w:cs="Calibri"/>
          <w:color w:val="auto"/>
          <w:sz w:val="20"/>
          <w:szCs w:val="20"/>
        </w:rPr>
      </w:pPr>
      <w:r>
        <w:rPr>
          <w:rFonts w:hint="default" w:ascii="Calibri" w:hAnsi="Calibri" w:cs="Calibri"/>
          <w:color w:val="auto"/>
          <w:sz w:val="20"/>
          <w:szCs w:val="20"/>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pPr>
        <w:pStyle w:val="8"/>
        <w:spacing w:before="240" w:after="240"/>
        <w:ind w:left="1224"/>
        <w:jc w:val="both"/>
        <w:rPr>
          <w:rFonts w:hint="default" w:ascii="Calibri" w:hAnsi="Calibri" w:cs="Calibri"/>
          <w:color w:val="auto"/>
          <w:sz w:val="20"/>
          <w:szCs w:val="20"/>
        </w:rPr>
      </w:pPr>
    </w:p>
    <w:p>
      <w:pPr>
        <w:pStyle w:val="8"/>
        <w:numPr>
          <w:ilvl w:val="0"/>
          <w:numId w:val="2"/>
        </w:numPr>
        <w:spacing w:before="240" w:after="240"/>
        <w:contextualSpacing w:val="0"/>
        <w:jc w:val="both"/>
        <w:rPr>
          <w:rFonts w:hint="default" w:ascii="Calibri" w:hAnsi="Calibri" w:cs="Calibri"/>
          <w:b/>
          <w:bCs/>
          <w:color w:val="auto"/>
          <w:sz w:val="20"/>
          <w:szCs w:val="20"/>
        </w:rPr>
      </w:pPr>
      <w:r>
        <w:rPr>
          <w:rFonts w:hint="default" w:ascii="Calibri" w:hAnsi="Calibri" w:cs="Calibri"/>
          <w:b/>
          <w:bCs/>
          <w:color w:val="auto"/>
          <w:sz w:val="20"/>
          <w:szCs w:val="20"/>
        </w:rPr>
        <w:t>OBRIGAÇÕES DO CONTRATADO</w:t>
      </w:r>
    </w:p>
    <w:p>
      <w:pPr>
        <w:pStyle w:val="8"/>
        <w:numPr>
          <w:ilvl w:val="1"/>
          <w:numId w:val="2"/>
        </w:numPr>
        <w:spacing w:before="240" w:after="240"/>
        <w:jc w:val="both"/>
        <w:rPr>
          <w:rFonts w:hint="default" w:ascii="Calibri" w:hAnsi="Calibri" w:cs="Calibri"/>
          <w:color w:val="auto"/>
          <w:sz w:val="20"/>
          <w:szCs w:val="20"/>
        </w:rPr>
      </w:pPr>
      <w:r>
        <w:rPr>
          <w:rFonts w:hint="default" w:ascii="Calibri" w:hAnsi="Calibri" w:cs="Calibri"/>
          <w:color w:val="auto"/>
          <w:sz w:val="20"/>
          <w:szCs w:val="20"/>
        </w:rPr>
        <w:t>O Contratado deve cumprir todas as obrigações constantes deste Contrato e de seus anexos, assumindo como exclusivamente seus os riscos e as despesas decorrentes da boa e perfeita execução do objeto, observando, ainda, as obrigações a seguir dispostas:</w:t>
      </w:r>
    </w:p>
    <w:p>
      <w:pPr>
        <w:pStyle w:val="8"/>
        <w:numPr>
          <w:ilvl w:val="2"/>
          <w:numId w:val="2"/>
        </w:numPr>
        <w:spacing w:before="240" w:after="240"/>
        <w:jc w:val="both"/>
        <w:rPr>
          <w:rFonts w:hint="default" w:ascii="Calibri" w:hAnsi="Calibri" w:cs="Calibri"/>
          <w:color w:val="auto"/>
          <w:sz w:val="20"/>
          <w:szCs w:val="20"/>
        </w:rPr>
      </w:pPr>
      <w:r>
        <w:rPr>
          <w:rFonts w:hint="default" w:ascii="Calibri" w:hAnsi="Calibri" w:cs="Calibri"/>
          <w:color w:val="auto"/>
          <w:sz w:val="20"/>
          <w:szCs w:val="20"/>
        </w:rPr>
        <w:t>Manter preposto aceito pela Administração no local do serviço para representá-lo na execução do contrato.</w:t>
      </w:r>
    </w:p>
    <w:p>
      <w:pPr>
        <w:pStyle w:val="8"/>
        <w:numPr>
          <w:ilvl w:val="3"/>
          <w:numId w:val="2"/>
        </w:numPr>
        <w:spacing w:before="240" w:after="240"/>
        <w:jc w:val="both"/>
        <w:rPr>
          <w:rFonts w:hint="default" w:ascii="Calibri" w:hAnsi="Calibri" w:cs="Calibri"/>
          <w:color w:val="auto"/>
          <w:sz w:val="20"/>
          <w:szCs w:val="20"/>
        </w:rPr>
      </w:pPr>
      <w:r>
        <w:rPr>
          <w:rFonts w:hint="default" w:ascii="Calibri" w:hAnsi="Calibri" w:cs="Calibri"/>
          <w:color w:val="auto"/>
          <w:sz w:val="20"/>
          <w:szCs w:val="20"/>
        </w:rPr>
        <w:t>A indicação ou a manutenção do preposto da empresa poderá ser recusada pelo órgão ou entidade, desde que devidamente justificada, devendo a empresa designar outro para o exercício da atividade.</w:t>
      </w:r>
    </w:p>
    <w:p>
      <w:pPr>
        <w:pStyle w:val="8"/>
        <w:numPr>
          <w:ilvl w:val="2"/>
          <w:numId w:val="2"/>
        </w:numPr>
        <w:spacing w:before="240" w:after="240"/>
        <w:jc w:val="both"/>
        <w:rPr>
          <w:rFonts w:hint="default" w:ascii="Calibri" w:hAnsi="Calibri" w:cs="Calibri"/>
          <w:color w:val="auto"/>
          <w:sz w:val="20"/>
          <w:szCs w:val="20"/>
        </w:rPr>
      </w:pPr>
      <w:r>
        <w:rPr>
          <w:rFonts w:hint="default" w:ascii="Calibri" w:hAnsi="Calibri" w:cs="Calibri"/>
          <w:color w:val="auto"/>
          <w:sz w:val="20"/>
          <w:szCs w:val="20"/>
        </w:rPr>
        <w:t>Atender às determinações regulares emitidas pelo fiscal do contrato ou autoridade superior (art. 137, II) e prestar todo esclarecimento ou informação por eles solicitados;</w:t>
      </w:r>
    </w:p>
    <w:p>
      <w:pPr>
        <w:pStyle w:val="8"/>
        <w:numPr>
          <w:ilvl w:val="2"/>
          <w:numId w:val="2"/>
        </w:numPr>
        <w:spacing w:before="240" w:after="240"/>
        <w:jc w:val="both"/>
        <w:rPr>
          <w:rFonts w:hint="default" w:ascii="Calibri" w:hAnsi="Calibri" w:cs="Calibri"/>
          <w:color w:val="auto"/>
          <w:sz w:val="20"/>
          <w:szCs w:val="20"/>
        </w:rPr>
      </w:pPr>
      <w:r>
        <w:rPr>
          <w:rFonts w:hint="default" w:ascii="Calibri" w:hAnsi="Calibri" w:cs="Calibri"/>
          <w:color w:val="auto"/>
          <w:sz w:val="20"/>
          <w:szCs w:val="20"/>
        </w:rPr>
        <w:t>Alocar os empregados necessários ao perfeito cumprimento das cláusulas deste contrato, com habilitação e conhecimento adequados, fornecendo os materiais, equipamentos, ferramentas e utensílios demandados, cuja quantidade, qualidade e tecnologia deverão atender às recomendações de boa técnica e a legislação de regência;</w:t>
      </w:r>
    </w:p>
    <w:p>
      <w:pPr>
        <w:pStyle w:val="8"/>
        <w:numPr>
          <w:ilvl w:val="2"/>
          <w:numId w:val="2"/>
        </w:numPr>
        <w:spacing w:before="240" w:after="240"/>
        <w:jc w:val="both"/>
        <w:rPr>
          <w:rFonts w:hint="default" w:ascii="Calibri" w:hAnsi="Calibri" w:cs="Calibri"/>
          <w:color w:val="auto"/>
          <w:sz w:val="20"/>
          <w:szCs w:val="20"/>
        </w:rPr>
      </w:pPr>
      <w:r>
        <w:rPr>
          <w:rFonts w:hint="default" w:ascii="Calibri" w:hAnsi="Calibri" w:cs="Calibri"/>
          <w:color w:val="auto"/>
          <w:sz w:val="20"/>
          <w:szCs w:val="20"/>
        </w:rPr>
        <w:t>Reparar, corrigir, remover, reconstruir ou substituir, às suas expensas, no total ou em parte, no prazo fixado pelo fiscal do contrato, os serviços nos quais se verificarem vícios, defeitos ou incorreções resultantes da execução ou dos materiais empregados;</w:t>
      </w:r>
    </w:p>
    <w:p>
      <w:pPr>
        <w:pStyle w:val="8"/>
        <w:numPr>
          <w:ilvl w:val="2"/>
          <w:numId w:val="2"/>
        </w:numPr>
        <w:spacing w:before="240" w:after="240"/>
        <w:jc w:val="both"/>
        <w:rPr>
          <w:rFonts w:hint="default" w:ascii="Calibri" w:hAnsi="Calibri" w:cs="Calibri"/>
          <w:color w:val="auto"/>
          <w:sz w:val="20"/>
          <w:szCs w:val="20"/>
        </w:rPr>
      </w:pPr>
      <w:r>
        <w:rPr>
          <w:rFonts w:hint="default" w:ascii="Calibri" w:hAnsi="Calibri" w:cs="Calibri"/>
          <w:color w:val="auto"/>
          <w:sz w:val="20"/>
          <w:szCs w:val="20"/>
        </w:rPr>
        <w:t>Responsabilizar-se pelos vícios e danos decorrentes da execução do objeto, de acordo com o Código de Defesa do Consumidor (Lei nº 8.078, de 1990),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pPr>
        <w:pStyle w:val="8"/>
        <w:numPr>
          <w:ilvl w:val="2"/>
          <w:numId w:val="2"/>
        </w:numPr>
        <w:spacing w:before="240" w:after="240"/>
        <w:jc w:val="both"/>
        <w:rPr>
          <w:rFonts w:hint="default" w:ascii="Calibri" w:hAnsi="Calibri" w:cs="Calibri"/>
          <w:color w:val="auto"/>
          <w:sz w:val="20"/>
          <w:szCs w:val="20"/>
        </w:rPr>
      </w:pPr>
      <w:r>
        <w:rPr>
          <w:rFonts w:hint="default" w:ascii="Calibri" w:hAnsi="Calibri" w:cs="Calibri"/>
          <w:color w:val="auto"/>
          <w:sz w:val="20"/>
          <w:szCs w:val="20"/>
        </w:rPr>
        <w:t>Não contratar, durante a vigência do contrato, cônjuge, companheiro ou parente em linha reta, colateral ou por afinidade, até o terceiro grau, de dirigente do contratante ou do fiscal ou gestor do contrato, nos termos do artigo 48, parágrafo único, da Lei nº 14.133, de 2021;</w:t>
      </w:r>
    </w:p>
    <w:p>
      <w:pPr>
        <w:pStyle w:val="8"/>
        <w:numPr>
          <w:ilvl w:val="2"/>
          <w:numId w:val="2"/>
        </w:numPr>
        <w:spacing w:before="240" w:after="240"/>
        <w:jc w:val="both"/>
        <w:rPr>
          <w:rFonts w:hint="default" w:ascii="Calibri" w:hAnsi="Calibri" w:cs="Calibri"/>
          <w:color w:val="auto"/>
          <w:sz w:val="20"/>
          <w:szCs w:val="20"/>
        </w:rPr>
      </w:pPr>
      <w:r>
        <w:rPr>
          <w:rFonts w:hint="default" w:ascii="Calibri" w:hAnsi="Calibri" w:cs="Calibri"/>
          <w:color w:val="auto"/>
          <w:sz w:val="20"/>
          <w:szCs w:val="20"/>
        </w:rPr>
        <w:t xml:space="preserve">O contratado deverá entregar ao setor responsável pela fiscalização do contrato, até o dia trinta do mês seguinte ao da prestação dos serviços, os seguintes documentos: 1) prova de regularidade relativa à Seguridade Social; 2) certidão conjunta relativa aos tributos federais e à Dívida Ativa da União; 3) certidões que comprovem a regularidade perante a Fazenda Municipal do domicílio ou sede do contratado; 4) Certidão de Regularidade do FGTS – CRF; e 5) Certidão Negativa de Débitos Trabalhistas – CNDT; </w:t>
      </w:r>
    </w:p>
    <w:p>
      <w:pPr>
        <w:pStyle w:val="8"/>
        <w:numPr>
          <w:ilvl w:val="2"/>
          <w:numId w:val="2"/>
        </w:numPr>
        <w:spacing w:before="240" w:after="240"/>
        <w:jc w:val="both"/>
        <w:rPr>
          <w:rFonts w:hint="default" w:ascii="Calibri" w:hAnsi="Calibri" w:cs="Calibri"/>
          <w:color w:val="auto"/>
          <w:sz w:val="20"/>
          <w:szCs w:val="20"/>
        </w:rPr>
      </w:pPr>
      <w:r>
        <w:rPr>
          <w:rFonts w:hint="default" w:ascii="Calibri" w:hAnsi="Calibri" w:cs="Calibri"/>
          <w:color w:val="auto"/>
          <w:sz w:val="20"/>
          <w:szCs w:val="20"/>
        </w:rPr>
        <w:t xml:space="preserve">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w:t>
      </w:r>
    </w:p>
    <w:p>
      <w:pPr>
        <w:pStyle w:val="8"/>
        <w:numPr>
          <w:ilvl w:val="2"/>
          <w:numId w:val="2"/>
        </w:numPr>
        <w:spacing w:before="240" w:after="240"/>
        <w:jc w:val="both"/>
        <w:rPr>
          <w:rFonts w:hint="default" w:ascii="Calibri" w:hAnsi="Calibri" w:cs="Calibri"/>
          <w:color w:val="auto"/>
          <w:sz w:val="20"/>
          <w:szCs w:val="20"/>
        </w:rPr>
      </w:pPr>
      <w:r>
        <w:rPr>
          <w:rFonts w:hint="default" w:ascii="Calibri" w:hAnsi="Calibri" w:cs="Calibri"/>
          <w:color w:val="auto"/>
          <w:sz w:val="20"/>
          <w:szCs w:val="20"/>
        </w:rPr>
        <w:t>Comunicar ao Fiscal do contrato, no prazo de 24 (vinte e quatro) horas, qualquer ocorrência anormal ou acidente que se verifique no local dos serviços.</w:t>
      </w:r>
    </w:p>
    <w:p>
      <w:pPr>
        <w:pStyle w:val="8"/>
        <w:numPr>
          <w:ilvl w:val="2"/>
          <w:numId w:val="2"/>
        </w:numPr>
        <w:spacing w:before="240" w:after="240"/>
        <w:jc w:val="both"/>
        <w:rPr>
          <w:rFonts w:hint="default" w:ascii="Calibri" w:hAnsi="Calibri" w:cs="Calibri"/>
          <w:color w:val="auto"/>
          <w:sz w:val="20"/>
          <w:szCs w:val="20"/>
        </w:rPr>
      </w:pPr>
      <w:r>
        <w:rPr>
          <w:rFonts w:hint="default" w:ascii="Calibri" w:hAnsi="Calibri" w:cs="Calibri"/>
          <w:color w:val="auto"/>
          <w:sz w:val="20"/>
          <w:szCs w:val="20"/>
        </w:rPr>
        <w:t>Prestar todo esclarecimento ou informação solicitada pelo Contratante ou por seus prepostos, garantindo-lhes o acesso, a qualquer tempo, ao local dos trabalhos, bem como aos documentos relativos à execução do empreendimento.</w:t>
      </w:r>
    </w:p>
    <w:p>
      <w:pPr>
        <w:pStyle w:val="8"/>
        <w:numPr>
          <w:ilvl w:val="2"/>
          <w:numId w:val="2"/>
        </w:numPr>
        <w:spacing w:before="240" w:after="240"/>
        <w:jc w:val="both"/>
        <w:rPr>
          <w:rFonts w:hint="default" w:ascii="Calibri" w:hAnsi="Calibri" w:cs="Calibri"/>
          <w:color w:val="auto"/>
          <w:sz w:val="20"/>
          <w:szCs w:val="20"/>
        </w:rPr>
      </w:pPr>
      <w:r>
        <w:rPr>
          <w:rFonts w:hint="default" w:ascii="Calibri" w:hAnsi="Calibri" w:cs="Calibri"/>
          <w:color w:val="auto"/>
          <w:sz w:val="20"/>
          <w:szCs w:val="20"/>
        </w:rPr>
        <w:t>Paralisar, por determinação do Contratante, qualquer atividade que não esteja sendo executada de acordo com a boa técnica ou que ponha em risco a segurança de pessoas ou bens de terceiros.</w:t>
      </w:r>
    </w:p>
    <w:p>
      <w:pPr>
        <w:pStyle w:val="8"/>
        <w:numPr>
          <w:ilvl w:val="2"/>
          <w:numId w:val="2"/>
        </w:numPr>
        <w:spacing w:before="240" w:after="240"/>
        <w:jc w:val="both"/>
        <w:rPr>
          <w:rFonts w:hint="default" w:ascii="Calibri" w:hAnsi="Calibri" w:cs="Calibri"/>
          <w:color w:val="auto"/>
          <w:sz w:val="20"/>
          <w:szCs w:val="20"/>
        </w:rPr>
      </w:pPr>
      <w:r>
        <w:rPr>
          <w:rFonts w:hint="default" w:ascii="Calibri" w:hAnsi="Calibri" w:cs="Calibri"/>
          <w:color w:val="auto"/>
          <w:sz w:val="20"/>
          <w:szCs w:val="20"/>
        </w:rPr>
        <w:t>Promover a guarda, manutenção e vigilância de materiais, ferramentas, e tudo o que for necessário à execução do objeto, durante a vigência do contrato.</w:t>
      </w:r>
    </w:p>
    <w:p>
      <w:pPr>
        <w:pStyle w:val="8"/>
        <w:numPr>
          <w:ilvl w:val="2"/>
          <w:numId w:val="2"/>
        </w:numPr>
        <w:spacing w:before="240" w:after="240"/>
        <w:jc w:val="both"/>
        <w:rPr>
          <w:rFonts w:hint="default" w:ascii="Calibri" w:hAnsi="Calibri" w:cs="Calibri"/>
          <w:color w:val="auto"/>
          <w:sz w:val="20"/>
          <w:szCs w:val="20"/>
        </w:rPr>
      </w:pPr>
      <w:r>
        <w:rPr>
          <w:rFonts w:hint="default" w:ascii="Calibri" w:hAnsi="Calibri" w:cs="Calibri"/>
          <w:color w:val="auto"/>
          <w:sz w:val="20"/>
          <w:szCs w:val="20"/>
        </w:rPr>
        <w:t>Conduzir os trabalhos com estrita observância às normas da legislação pertinente, cumprindo as determinações dos Poderes Públicos, mantendo sempre limpo o local dos serviços e nas melhores condições de segurança, higiene e disciplina.</w:t>
      </w:r>
    </w:p>
    <w:p>
      <w:pPr>
        <w:pStyle w:val="8"/>
        <w:numPr>
          <w:ilvl w:val="2"/>
          <w:numId w:val="2"/>
        </w:numPr>
        <w:spacing w:before="240" w:after="240"/>
        <w:jc w:val="both"/>
        <w:rPr>
          <w:rFonts w:hint="default" w:ascii="Calibri" w:hAnsi="Calibri" w:cs="Calibri"/>
          <w:color w:val="auto"/>
          <w:sz w:val="20"/>
          <w:szCs w:val="20"/>
        </w:rPr>
      </w:pPr>
      <w:r>
        <w:rPr>
          <w:rFonts w:hint="default" w:ascii="Calibri" w:hAnsi="Calibri" w:cs="Calibri"/>
          <w:color w:val="auto"/>
          <w:sz w:val="20"/>
          <w:szCs w:val="20"/>
        </w:rPr>
        <w:t>Submeter previamente, por escrito, ao Contratante, para análise e aprovação, quaisquer mudanças nos métodos executivos que fujam às especificações do memorial descritivo ou instrumento congênere.</w:t>
      </w:r>
    </w:p>
    <w:p>
      <w:pPr>
        <w:pStyle w:val="8"/>
        <w:numPr>
          <w:ilvl w:val="2"/>
          <w:numId w:val="2"/>
        </w:numPr>
        <w:spacing w:before="240" w:after="240"/>
        <w:jc w:val="both"/>
        <w:rPr>
          <w:rFonts w:hint="default" w:ascii="Calibri" w:hAnsi="Calibri" w:cs="Calibri"/>
          <w:color w:val="auto"/>
          <w:sz w:val="20"/>
          <w:szCs w:val="20"/>
        </w:rPr>
      </w:pPr>
      <w:r>
        <w:rPr>
          <w:rFonts w:hint="default" w:ascii="Calibri" w:hAnsi="Calibri" w:cs="Calibri"/>
          <w:color w:val="auto"/>
          <w:sz w:val="20"/>
          <w:szCs w:val="20"/>
        </w:rPr>
        <w:t>Não permitir a utilização de qualquer trabalho do menor de dezesseis anos, exceto na condição de aprendiz para os maiores de quatorze anos, nem permitir a utilização do trabalho do menor de dezoito anos em trabalho noturno, perigoso ou insalubre;</w:t>
      </w:r>
    </w:p>
    <w:p>
      <w:pPr>
        <w:pStyle w:val="8"/>
        <w:numPr>
          <w:ilvl w:val="2"/>
          <w:numId w:val="2"/>
        </w:numPr>
        <w:spacing w:before="240" w:after="240"/>
        <w:jc w:val="both"/>
        <w:rPr>
          <w:rFonts w:hint="default" w:ascii="Calibri" w:hAnsi="Calibri" w:cs="Calibri"/>
          <w:color w:val="auto"/>
          <w:sz w:val="20"/>
          <w:szCs w:val="20"/>
        </w:rPr>
      </w:pPr>
      <w:r>
        <w:rPr>
          <w:rFonts w:hint="default" w:ascii="Calibri" w:hAnsi="Calibri" w:cs="Calibri"/>
          <w:color w:val="auto"/>
          <w:sz w:val="20"/>
          <w:szCs w:val="20"/>
        </w:rPr>
        <w:t xml:space="preserve"> Manter durante toda a vigência do contrato, em compatibilidade com as obrigações assumidas, todas as condições exigidas para qualificação na contratação direta;</w:t>
      </w:r>
    </w:p>
    <w:p>
      <w:pPr>
        <w:pStyle w:val="8"/>
        <w:numPr>
          <w:ilvl w:val="2"/>
          <w:numId w:val="2"/>
        </w:numPr>
        <w:spacing w:before="240" w:after="240"/>
        <w:jc w:val="both"/>
        <w:rPr>
          <w:rFonts w:hint="default" w:ascii="Calibri" w:hAnsi="Calibri" w:cs="Calibri"/>
          <w:color w:val="auto"/>
          <w:sz w:val="20"/>
          <w:szCs w:val="20"/>
        </w:rPr>
      </w:pPr>
      <w:r>
        <w:rPr>
          <w:rFonts w:hint="default" w:ascii="Calibri" w:hAnsi="Calibri" w:cs="Calibri"/>
          <w:color w:val="auto"/>
          <w:sz w:val="20"/>
          <w:szCs w:val="20"/>
        </w:rPr>
        <w:t>Cumprir, durante todo o período de execução do contrato, a reserva de cargos prevista em lei para pessoa com deficiência, para reabilitado da Previdência Social ou para aprendiz, bem como as reservas de cargos previstas na legislação (art. 116);</w:t>
      </w:r>
    </w:p>
    <w:p>
      <w:pPr>
        <w:pStyle w:val="8"/>
        <w:numPr>
          <w:ilvl w:val="2"/>
          <w:numId w:val="2"/>
        </w:numPr>
        <w:spacing w:before="240" w:after="240"/>
        <w:jc w:val="both"/>
        <w:rPr>
          <w:rFonts w:hint="default" w:ascii="Calibri" w:hAnsi="Calibri" w:cs="Calibri"/>
          <w:color w:val="auto"/>
          <w:sz w:val="20"/>
          <w:szCs w:val="20"/>
        </w:rPr>
      </w:pPr>
      <w:r>
        <w:rPr>
          <w:rFonts w:hint="default" w:ascii="Calibri" w:hAnsi="Calibri" w:cs="Calibri"/>
          <w:color w:val="auto"/>
          <w:sz w:val="20"/>
          <w:szCs w:val="20"/>
        </w:rPr>
        <w:t>Comprovar a reserva de cargos a que se refere a cláusula acima, no prazo fixado pelo fiscal do contrato, com a indicação dos empregados que preencheram as referidas vagas (art. 116, parágrafo único);</w:t>
      </w:r>
    </w:p>
    <w:p>
      <w:pPr>
        <w:pStyle w:val="8"/>
        <w:numPr>
          <w:ilvl w:val="2"/>
          <w:numId w:val="2"/>
        </w:numPr>
        <w:spacing w:before="240" w:after="240"/>
        <w:jc w:val="both"/>
        <w:rPr>
          <w:rFonts w:hint="default" w:ascii="Calibri" w:hAnsi="Calibri" w:cs="Calibri"/>
          <w:color w:val="auto"/>
          <w:sz w:val="20"/>
          <w:szCs w:val="20"/>
        </w:rPr>
      </w:pPr>
      <w:r>
        <w:rPr>
          <w:rFonts w:hint="default" w:ascii="Calibri" w:hAnsi="Calibri" w:cs="Calibri"/>
          <w:color w:val="auto"/>
          <w:sz w:val="20"/>
          <w:szCs w:val="20"/>
        </w:rPr>
        <w:t>Guardar sigilo sobre todas as informações obtidas em decorrência do cumprimento do contrato;</w:t>
      </w:r>
    </w:p>
    <w:p>
      <w:pPr>
        <w:pStyle w:val="8"/>
        <w:numPr>
          <w:ilvl w:val="2"/>
          <w:numId w:val="2"/>
        </w:numPr>
        <w:spacing w:before="240" w:after="240"/>
        <w:jc w:val="both"/>
        <w:rPr>
          <w:rFonts w:hint="default" w:ascii="Calibri" w:hAnsi="Calibri" w:cs="Calibri"/>
          <w:color w:val="auto"/>
          <w:sz w:val="20"/>
          <w:szCs w:val="20"/>
        </w:rPr>
      </w:pPr>
      <w:r>
        <w:rPr>
          <w:rFonts w:hint="default" w:ascii="Calibri" w:hAnsi="Calibri" w:cs="Calibri"/>
          <w:color w:val="auto"/>
          <w:sz w:val="20"/>
          <w:szCs w:val="20"/>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pPr>
        <w:pStyle w:val="8"/>
        <w:numPr>
          <w:ilvl w:val="2"/>
          <w:numId w:val="2"/>
        </w:numPr>
        <w:spacing w:before="240" w:after="240"/>
        <w:jc w:val="both"/>
        <w:rPr>
          <w:rFonts w:hint="default" w:ascii="Calibri" w:hAnsi="Calibri" w:cs="Calibri"/>
          <w:color w:val="auto"/>
          <w:sz w:val="20"/>
          <w:szCs w:val="20"/>
        </w:rPr>
      </w:pPr>
      <w:r>
        <w:rPr>
          <w:rFonts w:hint="default" w:ascii="Calibri" w:hAnsi="Calibri" w:cs="Calibri"/>
          <w:color w:val="auto"/>
          <w:sz w:val="20"/>
          <w:szCs w:val="20"/>
        </w:rPr>
        <w:t>Cumprir, além dos postulados legais vigentes de âmbito federal, estadual ou municipal, as normas de segurança do Contratante;</w:t>
      </w:r>
    </w:p>
    <w:p>
      <w:pPr>
        <w:pStyle w:val="8"/>
        <w:numPr>
          <w:ilvl w:val="2"/>
          <w:numId w:val="2"/>
        </w:numPr>
        <w:spacing w:before="240" w:after="240"/>
        <w:jc w:val="both"/>
        <w:rPr>
          <w:rFonts w:hint="default" w:ascii="Calibri" w:hAnsi="Calibri" w:cs="Calibri"/>
          <w:color w:val="auto"/>
          <w:sz w:val="20"/>
          <w:szCs w:val="20"/>
        </w:rPr>
      </w:pPr>
      <w:r>
        <w:rPr>
          <w:rFonts w:hint="default" w:ascii="Calibri" w:hAnsi="Calibri" w:cs="Calibri"/>
          <w:color w:val="auto"/>
          <w:sz w:val="20"/>
          <w:szCs w:val="20"/>
        </w:rPr>
        <w:t>Realizar a transição contratual com transferência de conhecimento, tecnologia e técnicas empregadas, sem perda de informações, podendo exigir, inclusive, a capacitação dos técnicos do contratante ou da nova empresa que continuará a execução dos serviços;</w:t>
      </w:r>
    </w:p>
    <w:p>
      <w:pPr>
        <w:pStyle w:val="8"/>
        <w:numPr>
          <w:ilvl w:val="2"/>
          <w:numId w:val="2"/>
        </w:numPr>
        <w:spacing w:before="240" w:after="240"/>
        <w:jc w:val="both"/>
        <w:rPr>
          <w:rFonts w:hint="default" w:ascii="Calibri" w:hAnsi="Calibri" w:cs="Calibri"/>
          <w:color w:val="auto"/>
          <w:sz w:val="20"/>
          <w:szCs w:val="20"/>
        </w:rPr>
      </w:pPr>
      <w:r>
        <w:rPr>
          <w:rFonts w:hint="default" w:ascii="Calibri" w:hAnsi="Calibri" w:cs="Calibri"/>
          <w:color w:val="auto"/>
          <w:sz w:val="20"/>
          <w:szCs w:val="20"/>
        </w:rPr>
        <w:t>Ceder ao Contratante todos os direitos patrimoniais relativos ao objeto contratado, o qual poderá ser livremente utilizado e/ou alterado em outras ocasiões, sem necessidade de nova autorização do Contratado.</w:t>
      </w:r>
    </w:p>
    <w:p>
      <w:pPr>
        <w:pStyle w:val="8"/>
        <w:numPr>
          <w:ilvl w:val="3"/>
          <w:numId w:val="2"/>
        </w:numPr>
        <w:spacing w:before="240" w:after="240"/>
        <w:contextualSpacing w:val="0"/>
        <w:jc w:val="both"/>
        <w:rPr>
          <w:rFonts w:hint="default" w:ascii="Calibri" w:hAnsi="Calibri" w:cs="Calibri"/>
          <w:b/>
          <w:bCs/>
          <w:color w:val="auto"/>
          <w:sz w:val="20"/>
          <w:szCs w:val="20"/>
        </w:rPr>
      </w:pPr>
      <w:r>
        <w:rPr>
          <w:rFonts w:hint="default" w:ascii="Calibri" w:hAnsi="Calibri" w:cs="Calibri"/>
          <w:color w:val="auto"/>
          <w:sz w:val="20"/>
          <w:szCs w:val="20"/>
        </w:rPr>
        <w:t>Considerando que o projeto contratado se refere a obra imaterial de caráter tecnológico, insuscetível de privilégio, a cessão dos direitos a que se refere o subitem acima inclui o fornecimento de todos os dados, documentos e elementos de informação pertinentes à tecnologia de concepção, desenvolvimento, fixação em suporte físico de qualquer natureza e aplicação da obra.</w:t>
      </w:r>
    </w:p>
    <w:p>
      <w:pPr>
        <w:pStyle w:val="8"/>
        <w:numPr>
          <w:ilvl w:val="0"/>
          <w:numId w:val="2"/>
        </w:numPr>
        <w:spacing w:before="240" w:after="240"/>
        <w:contextualSpacing w:val="0"/>
        <w:jc w:val="both"/>
        <w:rPr>
          <w:rFonts w:hint="default" w:ascii="Calibri" w:hAnsi="Calibri" w:cs="Calibri"/>
          <w:b/>
          <w:bCs/>
          <w:color w:val="auto"/>
          <w:sz w:val="20"/>
          <w:szCs w:val="20"/>
        </w:rPr>
      </w:pPr>
      <w:r>
        <w:rPr>
          <w:rFonts w:hint="default" w:ascii="Calibri" w:hAnsi="Calibri" w:cs="Calibri"/>
          <w:b/>
          <w:bCs/>
          <w:color w:val="auto"/>
          <w:sz w:val="20"/>
          <w:szCs w:val="20"/>
        </w:rPr>
        <w:t>INFRAÇÕES E SANÇÕES ADMINISTRATIVAS</w:t>
      </w:r>
    </w:p>
    <w:p>
      <w:pPr>
        <w:pStyle w:val="8"/>
        <w:numPr>
          <w:ilvl w:val="1"/>
          <w:numId w:val="2"/>
        </w:numPr>
        <w:spacing w:before="240" w:after="240"/>
        <w:contextualSpacing w:val="0"/>
        <w:jc w:val="both"/>
        <w:rPr>
          <w:rFonts w:hint="default" w:ascii="Calibri" w:hAnsi="Calibri" w:cs="Calibri"/>
          <w:color w:val="auto"/>
          <w:sz w:val="20"/>
          <w:szCs w:val="20"/>
        </w:rPr>
      </w:pPr>
      <w:r>
        <w:rPr>
          <w:rFonts w:hint="default" w:ascii="Calibri" w:hAnsi="Calibri" w:cs="Calibri"/>
          <w:color w:val="auto"/>
          <w:sz w:val="20"/>
          <w:szCs w:val="20"/>
        </w:rPr>
        <w:t xml:space="preserve">Comete infração administrativa, nos termos da Lei nº 14.133, de 2021, o contratado que: </w:t>
      </w:r>
    </w:p>
    <w:p>
      <w:pPr>
        <w:pStyle w:val="8"/>
        <w:numPr>
          <w:ilvl w:val="2"/>
          <w:numId w:val="2"/>
        </w:numPr>
        <w:spacing w:before="240" w:after="240"/>
        <w:contextualSpacing w:val="0"/>
        <w:jc w:val="both"/>
        <w:rPr>
          <w:rFonts w:hint="default" w:ascii="Calibri" w:hAnsi="Calibri" w:cs="Calibri"/>
          <w:color w:val="auto"/>
          <w:sz w:val="20"/>
          <w:szCs w:val="20"/>
        </w:rPr>
      </w:pPr>
      <w:r>
        <w:rPr>
          <w:rFonts w:hint="default" w:ascii="Calibri" w:hAnsi="Calibri" w:cs="Calibri"/>
          <w:color w:val="auto"/>
          <w:sz w:val="20"/>
          <w:szCs w:val="20"/>
        </w:rPr>
        <w:t>dar causa à inexecução parcial do contrato;</w:t>
      </w:r>
    </w:p>
    <w:p>
      <w:pPr>
        <w:pStyle w:val="8"/>
        <w:numPr>
          <w:ilvl w:val="2"/>
          <w:numId w:val="2"/>
        </w:numPr>
        <w:spacing w:before="240" w:after="240"/>
        <w:contextualSpacing w:val="0"/>
        <w:jc w:val="both"/>
        <w:rPr>
          <w:rFonts w:hint="default" w:ascii="Calibri" w:hAnsi="Calibri" w:cs="Calibri"/>
          <w:color w:val="auto"/>
          <w:sz w:val="20"/>
          <w:szCs w:val="20"/>
        </w:rPr>
      </w:pPr>
      <w:r>
        <w:rPr>
          <w:rFonts w:hint="default" w:ascii="Calibri" w:hAnsi="Calibri" w:cs="Calibri"/>
          <w:color w:val="auto"/>
          <w:sz w:val="20"/>
          <w:szCs w:val="20"/>
        </w:rPr>
        <w:t>dar causa à inexecução parcial do contrato que cause grave dano à Administração, ao funcionamento dos serviços públicos ou ao interesse coletivo;</w:t>
      </w:r>
    </w:p>
    <w:p>
      <w:pPr>
        <w:pStyle w:val="8"/>
        <w:numPr>
          <w:ilvl w:val="2"/>
          <w:numId w:val="2"/>
        </w:numPr>
        <w:spacing w:before="240" w:after="240"/>
        <w:contextualSpacing w:val="0"/>
        <w:jc w:val="both"/>
        <w:rPr>
          <w:rFonts w:hint="default" w:ascii="Calibri" w:hAnsi="Calibri" w:cs="Calibri"/>
          <w:color w:val="auto"/>
          <w:sz w:val="20"/>
          <w:szCs w:val="20"/>
        </w:rPr>
      </w:pPr>
      <w:r>
        <w:rPr>
          <w:rFonts w:hint="default" w:ascii="Calibri" w:hAnsi="Calibri" w:cs="Calibri"/>
          <w:color w:val="auto"/>
          <w:sz w:val="20"/>
          <w:szCs w:val="20"/>
        </w:rPr>
        <w:t>dar causa à inexecução total do contrato;</w:t>
      </w:r>
    </w:p>
    <w:p>
      <w:pPr>
        <w:pStyle w:val="8"/>
        <w:numPr>
          <w:ilvl w:val="2"/>
          <w:numId w:val="2"/>
        </w:numPr>
        <w:spacing w:before="240" w:after="240"/>
        <w:contextualSpacing w:val="0"/>
        <w:jc w:val="both"/>
        <w:rPr>
          <w:rFonts w:hint="default" w:ascii="Calibri" w:hAnsi="Calibri" w:cs="Calibri"/>
          <w:color w:val="auto"/>
          <w:sz w:val="20"/>
          <w:szCs w:val="20"/>
        </w:rPr>
      </w:pPr>
      <w:r>
        <w:rPr>
          <w:rFonts w:hint="default" w:ascii="Calibri" w:hAnsi="Calibri" w:cs="Calibri"/>
          <w:color w:val="auto"/>
          <w:sz w:val="20"/>
          <w:szCs w:val="20"/>
        </w:rPr>
        <w:t>ensejar o retardamento da execução ou da entrega do objeto da contratação sem motivo justificado;</w:t>
      </w:r>
    </w:p>
    <w:p>
      <w:pPr>
        <w:pStyle w:val="8"/>
        <w:numPr>
          <w:ilvl w:val="2"/>
          <w:numId w:val="2"/>
        </w:numPr>
        <w:spacing w:before="240" w:after="240"/>
        <w:contextualSpacing w:val="0"/>
        <w:jc w:val="both"/>
        <w:rPr>
          <w:rFonts w:hint="default" w:ascii="Calibri" w:hAnsi="Calibri" w:cs="Calibri"/>
          <w:color w:val="auto"/>
          <w:sz w:val="20"/>
          <w:szCs w:val="20"/>
        </w:rPr>
      </w:pPr>
      <w:r>
        <w:rPr>
          <w:rFonts w:hint="default" w:ascii="Calibri" w:hAnsi="Calibri" w:cs="Calibri"/>
          <w:color w:val="auto"/>
          <w:sz w:val="20"/>
          <w:szCs w:val="20"/>
        </w:rPr>
        <w:t>apresentar documentação falsa ou prestar declaração falsa durante a execução do contrato;</w:t>
      </w:r>
    </w:p>
    <w:p>
      <w:pPr>
        <w:pStyle w:val="8"/>
        <w:numPr>
          <w:ilvl w:val="2"/>
          <w:numId w:val="2"/>
        </w:numPr>
        <w:spacing w:before="240" w:after="240"/>
        <w:contextualSpacing w:val="0"/>
        <w:jc w:val="both"/>
        <w:rPr>
          <w:rFonts w:hint="default" w:ascii="Calibri" w:hAnsi="Calibri" w:cs="Calibri"/>
          <w:color w:val="auto"/>
          <w:sz w:val="20"/>
          <w:szCs w:val="20"/>
        </w:rPr>
      </w:pPr>
      <w:r>
        <w:rPr>
          <w:rFonts w:hint="default" w:ascii="Calibri" w:hAnsi="Calibri" w:cs="Calibri"/>
          <w:color w:val="auto"/>
          <w:sz w:val="20"/>
          <w:szCs w:val="20"/>
        </w:rPr>
        <w:t>praticar ato fraudulento na execução do contrato;</w:t>
      </w:r>
    </w:p>
    <w:p>
      <w:pPr>
        <w:pStyle w:val="8"/>
        <w:numPr>
          <w:ilvl w:val="2"/>
          <w:numId w:val="2"/>
        </w:numPr>
        <w:spacing w:before="240" w:after="240"/>
        <w:contextualSpacing w:val="0"/>
        <w:jc w:val="both"/>
        <w:rPr>
          <w:rFonts w:hint="default" w:ascii="Calibri" w:hAnsi="Calibri" w:cs="Calibri"/>
          <w:color w:val="auto"/>
          <w:sz w:val="20"/>
          <w:szCs w:val="20"/>
        </w:rPr>
      </w:pPr>
      <w:r>
        <w:rPr>
          <w:rFonts w:hint="default" w:ascii="Calibri" w:hAnsi="Calibri" w:cs="Calibri"/>
          <w:color w:val="auto"/>
          <w:sz w:val="20"/>
          <w:szCs w:val="20"/>
        </w:rPr>
        <w:t>comportar-se de modo inidôneo ou cometer fraude de qualquer natureza;</w:t>
      </w:r>
    </w:p>
    <w:p>
      <w:pPr>
        <w:pStyle w:val="8"/>
        <w:numPr>
          <w:ilvl w:val="2"/>
          <w:numId w:val="2"/>
        </w:numPr>
        <w:spacing w:before="240" w:after="240"/>
        <w:contextualSpacing w:val="0"/>
        <w:jc w:val="both"/>
        <w:rPr>
          <w:rFonts w:hint="default" w:ascii="Calibri" w:hAnsi="Calibri" w:cs="Calibri"/>
          <w:color w:val="auto"/>
          <w:sz w:val="20"/>
          <w:szCs w:val="20"/>
        </w:rPr>
      </w:pPr>
      <w:r>
        <w:rPr>
          <w:rFonts w:hint="default" w:ascii="Calibri" w:hAnsi="Calibri" w:cs="Calibri"/>
          <w:color w:val="auto"/>
          <w:sz w:val="20"/>
          <w:szCs w:val="20"/>
        </w:rPr>
        <w:t>praticar ato lesivo previsto no art. 5º da Lei nº 12.846, de 1º de agosto de 2013.</w:t>
      </w:r>
    </w:p>
    <w:p>
      <w:pPr>
        <w:pStyle w:val="8"/>
        <w:numPr>
          <w:ilvl w:val="1"/>
          <w:numId w:val="2"/>
        </w:numPr>
        <w:spacing w:before="240" w:after="240"/>
        <w:contextualSpacing w:val="0"/>
        <w:jc w:val="both"/>
        <w:rPr>
          <w:rFonts w:hint="default" w:ascii="Calibri" w:hAnsi="Calibri" w:cs="Calibri"/>
          <w:color w:val="auto"/>
          <w:sz w:val="20"/>
          <w:szCs w:val="20"/>
        </w:rPr>
      </w:pPr>
      <w:r>
        <w:rPr>
          <w:rFonts w:hint="default" w:ascii="Calibri" w:hAnsi="Calibri" w:cs="Calibri"/>
          <w:color w:val="auto"/>
          <w:sz w:val="20"/>
          <w:szCs w:val="20"/>
        </w:rPr>
        <w:t>Serão aplicadas ao contratado que incorrer nas infrações acima descritas as seguintes sanções:</w:t>
      </w:r>
    </w:p>
    <w:p>
      <w:pPr>
        <w:pStyle w:val="8"/>
        <w:numPr>
          <w:ilvl w:val="0"/>
          <w:numId w:val="3"/>
        </w:numPr>
        <w:spacing w:before="240" w:after="240"/>
        <w:ind w:left="1276"/>
        <w:contextualSpacing w:val="0"/>
        <w:jc w:val="both"/>
        <w:rPr>
          <w:rFonts w:hint="default" w:ascii="Calibri" w:hAnsi="Calibri" w:cs="Calibri"/>
          <w:color w:val="auto"/>
          <w:sz w:val="20"/>
          <w:szCs w:val="20"/>
        </w:rPr>
      </w:pPr>
      <w:r>
        <w:rPr>
          <w:rFonts w:hint="default" w:ascii="Calibri" w:hAnsi="Calibri" w:cs="Calibri"/>
          <w:b/>
          <w:bCs/>
          <w:color w:val="auto"/>
          <w:sz w:val="20"/>
          <w:szCs w:val="20"/>
        </w:rPr>
        <w:t>Advertência,</w:t>
      </w:r>
      <w:r>
        <w:rPr>
          <w:rFonts w:hint="default" w:ascii="Calibri" w:hAnsi="Calibri" w:cs="Calibri"/>
          <w:color w:val="auto"/>
          <w:sz w:val="20"/>
          <w:szCs w:val="20"/>
        </w:rPr>
        <w:t xml:space="preserve"> quando o contratado der causa à inexecução parcial do contrato, sempre que não se justificar a imposição de penalidade mais grave (art. 156, §2º, da Lei nº 14.133, de 2021);</w:t>
      </w:r>
    </w:p>
    <w:p>
      <w:pPr>
        <w:pStyle w:val="8"/>
        <w:numPr>
          <w:ilvl w:val="0"/>
          <w:numId w:val="3"/>
        </w:numPr>
        <w:spacing w:before="240" w:after="240"/>
        <w:ind w:left="1276"/>
        <w:contextualSpacing w:val="0"/>
        <w:jc w:val="both"/>
        <w:rPr>
          <w:rFonts w:hint="default" w:ascii="Calibri" w:hAnsi="Calibri" w:cs="Calibri"/>
          <w:color w:val="auto"/>
          <w:sz w:val="20"/>
          <w:szCs w:val="20"/>
        </w:rPr>
      </w:pPr>
      <w:r>
        <w:rPr>
          <w:rFonts w:hint="default" w:ascii="Calibri" w:hAnsi="Calibri" w:cs="Calibri"/>
          <w:b/>
          <w:bCs/>
          <w:color w:val="auto"/>
          <w:sz w:val="20"/>
          <w:szCs w:val="20"/>
        </w:rPr>
        <w:t>Impedimento de licitar e contratar,</w:t>
      </w:r>
      <w:r>
        <w:rPr>
          <w:rFonts w:hint="default" w:ascii="Calibri" w:hAnsi="Calibri" w:cs="Calibri"/>
          <w:color w:val="auto"/>
          <w:sz w:val="20"/>
          <w:szCs w:val="20"/>
        </w:rPr>
        <w:t xml:space="preserve"> quando praticadas as condutas descritas nas alíneas </w:t>
      </w:r>
      <w:r>
        <w:rPr>
          <w:rFonts w:hint="default" w:ascii="Calibri" w:hAnsi="Calibri" w:cs="Calibri"/>
          <w:b/>
          <w:bCs/>
          <w:color w:val="auto"/>
          <w:sz w:val="20"/>
          <w:szCs w:val="20"/>
        </w:rPr>
        <w:t>“b”, “c” e “d”</w:t>
      </w:r>
      <w:r>
        <w:rPr>
          <w:rFonts w:hint="default" w:ascii="Calibri" w:hAnsi="Calibri" w:cs="Calibri"/>
          <w:color w:val="auto"/>
          <w:sz w:val="20"/>
          <w:szCs w:val="20"/>
        </w:rPr>
        <w:t xml:space="preserve"> do subitem acima, sempre que não se justificar a imposição de penalidade mais grave (art. 156, § 4º, da Lei nº 14.133, de 2021);</w:t>
      </w:r>
    </w:p>
    <w:p>
      <w:pPr>
        <w:pStyle w:val="8"/>
        <w:numPr>
          <w:ilvl w:val="0"/>
          <w:numId w:val="3"/>
        </w:numPr>
        <w:spacing w:before="240" w:after="240"/>
        <w:ind w:left="1276"/>
        <w:contextualSpacing w:val="0"/>
        <w:jc w:val="both"/>
        <w:rPr>
          <w:rFonts w:hint="default" w:ascii="Calibri" w:hAnsi="Calibri" w:cs="Calibri"/>
          <w:color w:val="auto"/>
          <w:sz w:val="20"/>
          <w:szCs w:val="20"/>
        </w:rPr>
      </w:pPr>
      <w:r>
        <w:rPr>
          <w:rFonts w:hint="default" w:ascii="Calibri" w:hAnsi="Calibri" w:cs="Calibri"/>
          <w:b/>
          <w:bCs/>
          <w:color w:val="auto"/>
          <w:sz w:val="20"/>
          <w:szCs w:val="20"/>
        </w:rPr>
        <w:t>Declaração de inidoneidade para licitar e contratar,</w:t>
      </w:r>
      <w:r>
        <w:rPr>
          <w:rFonts w:hint="default" w:ascii="Calibri" w:hAnsi="Calibri" w:cs="Calibri"/>
          <w:color w:val="auto"/>
          <w:sz w:val="20"/>
          <w:szCs w:val="20"/>
        </w:rPr>
        <w:t xml:space="preserve"> quando praticadas as condutas descritas nas alíneas </w:t>
      </w:r>
      <w:r>
        <w:rPr>
          <w:rFonts w:hint="default" w:ascii="Calibri" w:hAnsi="Calibri" w:cs="Calibri"/>
          <w:b/>
          <w:bCs/>
          <w:color w:val="auto"/>
          <w:sz w:val="20"/>
          <w:szCs w:val="20"/>
        </w:rPr>
        <w:t>“e”, “f”, “g” e “h”</w:t>
      </w:r>
      <w:r>
        <w:rPr>
          <w:rFonts w:hint="default" w:ascii="Calibri" w:hAnsi="Calibri" w:cs="Calibri"/>
          <w:color w:val="auto"/>
          <w:sz w:val="20"/>
          <w:szCs w:val="20"/>
        </w:rPr>
        <w:t xml:space="preserve"> do subitem acima, bem como nas alíneas </w:t>
      </w:r>
      <w:r>
        <w:rPr>
          <w:rFonts w:hint="default" w:ascii="Calibri" w:hAnsi="Calibri" w:cs="Calibri"/>
          <w:b/>
          <w:bCs/>
          <w:color w:val="auto"/>
          <w:sz w:val="20"/>
          <w:szCs w:val="20"/>
        </w:rPr>
        <w:t xml:space="preserve">“b”, “c” e “d”, </w:t>
      </w:r>
      <w:r>
        <w:rPr>
          <w:rFonts w:hint="default" w:ascii="Calibri" w:hAnsi="Calibri" w:cs="Calibri"/>
          <w:color w:val="auto"/>
          <w:sz w:val="20"/>
          <w:szCs w:val="20"/>
        </w:rPr>
        <w:t>que justifiquem a imposição de penalidade mais grave (art. 156, §5º, da Lei nº 14.133, de 2021).</w:t>
      </w:r>
    </w:p>
    <w:p>
      <w:pPr>
        <w:pStyle w:val="8"/>
        <w:numPr>
          <w:ilvl w:val="0"/>
          <w:numId w:val="3"/>
        </w:numPr>
        <w:spacing w:before="240" w:after="240"/>
        <w:ind w:left="1276"/>
        <w:contextualSpacing w:val="0"/>
        <w:jc w:val="both"/>
        <w:rPr>
          <w:rFonts w:hint="default" w:ascii="Calibri" w:hAnsi="Calibri" w:cs="Calibri"/>
          <w:b/>
          <w:bCs/>
          <w:color w:val="auto"/>
          <w:sz w:val="20"/>
          <w:szCs w:val="20"/>
        </w:rPr>
      </w:pPr>
      <w:r>
        <w:rPr>
          <w:rFonts w:hint="default" w:ascii="Calibri" w:hAnsi="Calibri" w:cs="Calibri"/>
          <w:b/>
          <w:bCs/>
          <w:color w:val="auto"/>
          <w:sz w:val="20"/>
          <w:szCs w:val="20"/>
        </w:rPr>
        <w:t>Multa:</w:t>
      </w:r>
    </w:p>
    <w:p>
      <w:pPr>
        <w:pStyle w:val="8"/>
        <w:numPr>
          <w:ilvl w:val="1"/>
          <w:numId w:val="3"/>
        </w:numPr>
        <w:spacing w:before="240" w:after="240"/>
        <w:contextualSpacing w:val="0"/>
        <w:jc w:val="both"/>
        <w:rPr>
          <w:rFonts w:hint="default" w:ascii="Calibri" w:hAnsi="Calibri" w:cs="Calibri"/>
          <w:b/>
          <w:bCs/>
          <w:color w:val="auto"/>
          <w:sz w:val="20"/>
          <w:szCs w:val="20"/>
        </w:rPr>
      </w:pPr>
      <w:r>
        <w:rPr>
          <w:rFonts w:hint="default" w:ascii="Calibri" w:hAnsi="Calibri" w:cs="Calibri"/>
          <w:color w:val="auto"/>
          <w:sz w:val="20"/>
          <w:szCs w:val="20"/>
        </w:rPr>
        <w:t>Moratória de 0,5% por dia de atraso injustificado sobre o valor da parcela inadimplida, até o limite de 20 dias;</w:t>
      </w:r>
    </w:p>
    <w:p>
      <w:pPr>
        <w:pStyle w:val="8"/>
        <w:numPr>
          <w:ilvl w:val="1"/>
          <w:numId w:val="3"/>
        </w:numPr>
        <w:spacing w:before="240" w:after="240"/>
        <w:contextualSpacing w:val="0"/>
        <w:jc w:val="both"/>
        <w:rPr>
          <w:rFonts w:hint="default" w:ascii="Calibri" w:hAnsi="Calibri" w:cs="Calibri"/>
          <w:b/>
          <w:bCs/>
          <w:color w:val="auto"/>
          <w:sz w:val="20"/>
          <w:szCs w:val="20"/>
        </w:rPr>
      </w:pPr>
      <w:r>
        <w:rPr>
          <w:rFonts w:hint="default" w:ascii="Calibri" w:hAnsi="Calibri" w:cs="Calibri"/>
          <w:color w:val="auto"/>
          <w:sz w:val="20"/>
          <w:szCs w:val="20"/>
        </w:rPr>
        <w:t>Moratória de 0,5% por dia de atraso injustificado sobre o valor total do contrato, até o máximo de 10%, pela inobservância do prazo fixado para apresentação, suplementação ou reposição da garantia.</w:t>
      </w:r>
    </w:p>
    <w:p>
      <w:pPr>
        <w:pStyle w:val="8"/>
        <w:numPr>
          <w:ilvl w:val="2"/>
          <w:numId w:val="3"/>
        </w:numPr>
        <w:spacing w:before="240" w:after="240"/>
        <w:contextualSpacing w:val="0"/>
        <w:jc w:val="both"/>
        <w:rPr>
          <w:rFonts w:hint="default" w:ascii="Calibri" w:hAnsi="Calibri" w:cs="Calibri"/>
          <w:b/>
          <w:bCs/>
          <w:color w:val="auto"/>
          <w:sz w:val="20"/>
          <w:szCs w:val="20"/>
        </w:rPr>
      </w:pPr>
      <w:r>
        <w:rPr>
          <w:rFonts w:hint="default" w:ascii="Calibri" w:hAnsi="Calibri" w:cs="Calibri"/>
          <w:color w:val="auto"/>
          <w:sz w:val="20"/>
          <w:szCs w:val="20"/>
        </w:rPr>
        <w:t xml:space="preserve">O atraso superior a 20 dias autoriza a Administração a promover a extinção do contrato por descumprimento ou cumprimento irregular de suas cláusulas, conforme dispõe o inciso I do art. 137 da Lei n. 14.133, de 2021. </w:t>
      </w:r>
    </w:p>
    <w:p>
      <w:pPr>
        <w:pStyle w:val="8"/>
        <w:numPr>
          <w:ilvl w:val="1"/>
          <w:numId w:val="3"/>
        </w:numPr>
        <w:spacing w:before="240" w:after="240"/>
        <w:contextualSpacing w:val="0"/>
        <w:jc w:val="both"/>
        <w:rPr>
          <w:rFonts w:hint="default" w:ascii="Calibri" w:hAnsi="Calibri" w:cs="Calibri"/>
          <w:b/>
          <w:bCs/>
          <w:color w:val="auto"/>
          <w:sz w:val="20"/>
          <w:szCs w:val="20"/>
        </w:rPr>
      </w:pPr>
      <w:r>
        <w:rPr>
          <w:rFonts w:hint="default" w:ascii="Calibri" w:hAnsi="Calibri" w:cs="Calibri"/>
          <w:color w:val="auto"/>
          <w:sz w:val="20"/>
          <w:szCs w:val="20"/>
        </w:rPr>
        <w:t>Compensatória, para as infrações descritas nas alíneas “e” a “h” do subitem anterior, de 20% a 30% do valor do Contrato.</w:t>
      </w:r>
    </w:p>
    <w:p>
      <w:pPr>
        <w:pStyle w:val="8"/>
        <w:numPr>
          <w:ilvl w:val="1"/>
          <w:numId w:val="3"/>
        </w:numPr>
        <w:spacing w:before="240" w:after="240"/>
        <w:contextualSpacing w:val="0"/>
        <w:jc w:val="both"/>
        <w:rPr>
          <w:rFonts w:hint="default" w:ascii="Calibri" w:hAnsi="Calibri" w:cs="Calibri"/>
          <w:b/>
          <w:bCs/>
          <w:color w:val="auto"/>
          <w:sz w:val="20"/>
          <w:szCs w:val="20"/>
        </w:rPr>
      </w:pPr>
      <w:r>
        <w:rPr>
          <w:rFonts w:hint="default" w:ascii="Calibri" w:hAnsi="Calibri" w:cs="Calibri"/>
          <w:color w:val="auto"/>
          <w:sz w:val="20"/>
          <w:szCs w:val="20"/>
        </w:rPr>
        <w:t xml:space="preserve">Compensatória, para a inexecução total do contrato prevista na alínea “c” do subitem anterior, de 15% a 25% do valor do Contrato. </w:t>
      </w:r>
    </w:p>
    <w:p>
      <w:pPr>
        <w:pStyle w:val="8"/>
        <w:numPr>
          <w:ilvl w:val="1"/>
          <w:numId w:val="3"/>
        </w:numPr>
        <w:spacing w:before="240" w:after="240"/>
        <w:contextualSpacing w:val="0"/>
        <w:jc w:val="both"/>
        <w:rPr>
          <w:rFonts w:hint="default" w:ascii="Calibri" w:hAnsi="Calibri" w:cs="Calibri"/>
          <w:b/>
          <w:bCs/>
          <w:color w:val="auto"/>
          <w:sz w:val="20"/>
          <w:szCs w:val="20"/>
        </w:rPr>
      </w:pPr>
      <w:r>
        <w:rPr>
          <w:rFonts w:hint="default" w:ascii="Calibri" w:hAnsi="Calibri" w:cs="Calibri"/>
          <w:color w:val="auto"/>
          <w:sz w:val="20"/>
          <w:szCs w:val="20"/>
        </w:rPr>
        <w:t>Para infração descrita na alínea “b” do subitem anterior, a multa será de 10% a 20% do valor do Contrato.</w:t>
      </w:r>
    </w:p>
    <w:p>
      <w:pPr>
        <w:pStyle w:val="8"/>
        <w:numPr>
          <w:ilvl w:val="1"/>
          <w:numId w:val="3"/>
        </w:numPr>
        <w:spacing w:before="240" w:after="240"/>
        <w:contextualSpacing w:val="0"/>
        <w:jc w:val="both"/>
        <w:rPr>
          <w:rFonts w:hint="default" w:ascii="Calibri" w:hAnsi="Calibri" w:cs="Calibri"/>
          <w:b/>
          <w:bCs/>
          <w:color w:val="auto"/>
          <w:sz w:val="20"/>
          <w:szCs w:val="20"/>
        </w:rPr>
      </w:pPr>
      <w:r>
        <w:rPr>
          <w:rFonts w:hint="default" w:ascii="Calibri" w:hAnsi="Calibri" w:cs="Calibri"/>
          <w:color w:val="auto"/>
          <w:sz w:val="20"/>
          <w:szCs w:val="20"/>
        </w:rPr>
        <w:t>Para infrações descritas na alínea “d” do subitem anterior, a multa será de 5% a 15% do valor do Contrato.</w:t>
      </w:r>
    </w:p>
    <w:p>
      <w:pPr>
        <w:pStyle w:val="8"/>
        <w:numPr>
          <w:ilvl w:val="1"/>
          <w:numId w:val="3"/>
        </w:numPr>
        <w:spacing w:before="240" w:after="240"/>
        <w:contextualSpacing w:val="0"/>
        <w:jc w:val="both"/>
        <w:rPr>
          <w:rFonts w:hint="default" w:ascii="Calibri" w:hAnsi="Calibri" w:cs="Calibri"/>
          <w:b/>
          <w:bCs/>
          <w:color w:val="auto"/>
          <w:sz w:val="20"/>
          <w:szCs w:val="20"/>
        </w:rPr>
      </w:pPr>
      <w:r>
        <w:rPr>
          <w:rFonts w:hint="default" w:ascii="Calibri" w:hAnsi="Calibri" w:cs="Calibri"/>
          <w:color w:val="auto"/>
          <w:sz w:val="20"/>
          <w:szCs w:val="20"/>
        </w:rPr>
        <w:t>Para a infração descrita na alínea “a” do subitem anterior a multa será de 5% a 15% do valor do Contrato.</w:t>
      </w:r>
    </w:p>
    <w:p>
      <w:pPr>
        <w:pStyle w:val="8"/>
        <w:numPr>
          <w:ilvl w:val="1"/>
          <w:numId w:val="2"/>
        </w:numPr>
        <w:spacing w:before="240" w:after="240"/>
        <w:contextualSpacing w:val="0"/>
        <w:jc w:val="both"/>
        <w:rPr>
          <w:rFonts w:hint="default" w:ascii="Calibri" w:hAnsi="Calibri" w:cs="Calibri"/>
          <w:color w:val="auto"/>
          <w:sz w:val="20"/>
          <w:szCs w:val="20"/>
        </w:rPr>
      </w:pPr>
      <w:r>
        <w:rPr>
          <w:rFonts w:hint="default" w:ascii="Calibri" w:hAnsi="Calibri" w:cs="Calibri"/>
          <w:color w:val="auto"/>
          <w:sz w:val="20"/>
          <w:szCs w:val="20"/>
        </w:rPr>
        <w:t>A aplicação das sanções previstas neste Contrato não exclui, em hipótese alguma, a obrigação de reparação integral do dano causado ao Contratante (art. 156, §9º, da Lei nº 14.133, de 2021).</w:t>
      </w:r>
    </w:p>
    <w:p>
      <w:pPr>
        <w:pStyle w:val="8"/>
        <w:numPr>
          <w:ilvl w:val="1"/>
          <w:numId w:val="2"/>
        </w:numPr>
        <w:spacing w:before="240" w:after="240"/>
        <w:contextualSpacing w:val="0"/>
        <w:jc w:val="both"/>
        <w:rPr>
          <w:rFonts w:hint="default" w:ascii="Calibri" w:hAnsi="Calibri" w:cs="Calibri"/>
          <w:color w:val="auto"/>
          <w:sz w:val="20"/>
          <w:szCs w:val="20"/>
        </w:rPr>
      </w:pPr>
      <w:r>
        <w:rPr>
          <w:rFonts w:hint="default" w:ascii="Calibri" w:hAnsi="Calibri" w:cs="Calibri"/>
          <w:color w:val="auto"/>
          <w:sz w:val="20"/>
          <w:szCs w:val="20"/>
        </w:rPr>
        <w:t>Todas as sanções previstas neste Contrato poderão ser aplicadas cumulativamente com a multa (art. 156, §7º, da Lei nº 14.133, de 2021).</w:t>
      </w:r>
    </w:p>
    <w:p>
      <w:pPr>
        <w:pStyle w:val="8"/>
        <w:numPr>
          <w:ilvl w:val="2"/>
          <w:numId w:val="2"/>
        </w:numPr>
        <w:spacing w:before="240" w:after="240"/>
        <w:contextualSpacing w:val="0"/>
        <w:jc w:val="both"/>
        <w:rPr>
          <w:rFonts w:hint="default" w:ascii="Calibri" w:hAnsi="Calibri" w:cs="Calibri"/>
          <w:color w:val="auto"/>
          <w:sz w:val="20"/>
          <w:szCs w:val="20"/>
        </w:rPr>
      </w:pPr>
      <w:r>
        <w:rPr>
          <w:rFonts w:hint="default" w:ascii="Calibri" w:hAnsi="Calibri" w:cs="Calibri"/>
          <w:color w:val="auto"/>
          <w:sz w:val="20"/>
          <w:szCs w:val="20"/>
        </w:rPr>
        <w:t>Antes da aplicação da multa será facultada a defesa do interessado no prazo de 15 (quinze) dias úteis, contado da data de sua intimação (art. 157, da Lei nº 14.133, de 2021).</w:t>
      </w:r>
    </w:p>
    <w:p>
      <w:pPr>
        <w:pStyle w:val="8"/>
        <w:numPr>
          <w:ilvl w:val="2"/>
          <w:numId w:val="2"/>
        </w:numPr>
        <w:spacing w:before="240" w:after="240"/>
        <w:contextualSpacing w:val="0"/>
        <w:jc w:val="both"/>
        <w:rPr>
          <w:rFonts w:hint="default" w:ascii="Calibri" w:hAnsi="Calibri" w:cs="Calibri"/>
          <w:color w:val="auto"/>
          <w:sz w:val="20"/>
          <w:szCs w:val="20"/>
        </w:rPr>
      </w:pPr>
      <w:r>
        <w:rPr>
          <w:rFonts w:hint="default" w:ascii="Calibri" w:hAnsi="Calibri" w:cs="Calibri"/>
          <w:color w:val="auto"/>
          <w:sz w:val="20"/>
          <w:szCs w:val="20"/>
        </w:rPr>
        <w:t>Se a multa aplicada e as indenizações cabíveis forem superiores ao valor do pagamento eventualmente devido pelo Contratante ao Contratado, além da perda desse valor, a diferença será descontada da garantia prestada ou será cobrada judicialmente (art. 156, §8º, da Lei nº 14.133, de 2021).</w:t>
      </w:r>
    </w:p>
    <w:p>
      <w:pPr>
        <w:pStyle w:val="8"/>
        <w:numPr>
          <w:ilvl w:val="2"/>
          <w:numId w:val="2"/>
        </w:numPr>
        <w:spacing w:before="240" w:after="240"/>
        <w:contextualSpacing w:val="0"/>
        <w:jc w:val="both"/>
        <w:rPr>
          <w:rFonts w:hint="default" w:ascii="Calibri" w:hAnsi="Calibri" w:cs="Calibri"/>
          <w:color w:val="auto"/>
          <w:sz w:val="20"/>
          <w:szCs w:val="20"/>
        </w:rPr>
      </w:pPr>
      <w:r>
        <w:rPr>
          <w:rFonts w:hint="default" w:ascii="Calibri" w:hAnsi="Calibri" w:cs="Calibri"/>
          <w:color w:val="auto"/>
          <w:sz w:val="20"/>
          <w:szCs w:val="20"/>
        </w:rPr>
        <w:t>Previamente ao encaminhamento à cobrança judicial, a multa poderá ser recolhida administrativamente no prazo máximo de 10 dias úteis, a contar da data do recebimento da comunicação enviada pela autoridade competente.</w:t>
      </w:r>
    </w:p>
    <w:p>
      <w:pPr>
        <w:pStyle w:val="8"/>
        <w:numPr>
          <w:ilvl w:val="1"/>
          <w:numId w:val="2"/>
        </w:numPr>
        <w:spacing w:before="240" w:after="240"/>
        <w:contextualSpacing w:val="0"/>
        <w:jc w:val="both"/>
        <w:rPr>
          <w:rFonts w:hint="default" w:ascii="Calibri" w:hAnsi="Calibri" w:cs="Calibri"/>
          <w:color w:val="auto"/>
          <w:sz w:val="20"/>
          <w:szCs w:val="20"/>
        </w:rPr>
      </w:pPr>
      <w:r>
        <w:rPr>
          <w:rFonts w:hint="default" w:ascii="Calibri" w:hAnsi="Calibri" w:cs="Calibri"/>
          <w:color w:val="auto"/>
          <w:sz w:val="20"/>
          <w:szCs w:val="20"/>
        </w:rPr>
        <w:t>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w:t>
      </w:r>
    </w:p>
    <w:p>
      <w:pPr>
        <w:pStyle w:val="8"/>
        <w:numPr>
          <w:ilvl w:val="1"/>
          <w:numId w:val="2"/>
        </w:numPr>
        <w:spacing w:before="240" w:after="240"/>
        <w:contextualSpacing w:val="0"/>
        <w:jc w:val="both"/>
        <w:rPr>
          <w:rFonts w:hint="default" w:ascii="Calibri" w:hAnsi="Calibri" w:cs="Calibri"/>
          <w:color w:val="auto"/>
          <w:sz w:val="20"/>
          <w:szCs w:val="20"/>
        </w:rPr>
      </w:pPr>
      <w:r>
        <w:rPr>
          <w:rFonts w:hint="default" w:ascii="Calibri" w:hAnsi="Calibri" w:cs="Calibri"/>
          <w:color w:val="auto"/>
          <w:sz w:val="20"/>
          <w:szCs w:val="20"/>
        </w:rPr>
        <w:t>Na aplicação das sanções serão considerados (art. 156, §1º):</w:t>
      </w:r>
    </w:p>
    <w:p>
      <w:pPr>
        <w:pStyle w:val="8"/>
        <w:numPr>
          <w:ilvl w:val="2"/>
          <w:numId w:val="2"/>
        </w:numPr>
        <w:spacing w:before="240" w:after="240"/>
        <w:contextualSpacing w:val="0"/>
        <w:jc w:val="both"/>
        <w:rPr>
          <w:rFonts w:hint="default" w:ascii="Calibri" w:hAnsi="Calibri" w:cs="Calibri"/>
          <w:color w:val="auto"/>
          <w:sz w:val="20"/>
          <w:szCs w:val="20"/>
        </w:rPr>
      </w:pPr>
      <w:r>
        <w:rPr>
          <w:rFonts w:hint="default" w:ascii="Calibri" w:hAnsi="Calibri" w:cs="Calibri"/>
          <w:color w:val="auto"/>
          <w:sz w:val="20"/>
          <w:szCs w:val="20"/>
        </w:rPr>
        <w:t>a natureza e a gravidade da infração cometida;</w:t>
      </w:r>
    </w:p>
    <w:p>
      <w:pPr>
        <w:pStyle w:val="8"/>
        <w:numPr>
          <w:ilvl w:val="2"/>
          <w:numId w:val="2"/>
        </w:numPr>
        <w:spacing w:before="240" w:after="240"/>
        <w:contextualSpacing w:val="0"/>
        <w:jc w:val="both"/>
        <w:rPr>
          <w:rFonts w:hint="default" w:ascii="Calibri" w:hAnsi="Calibri" w:cs="Calibri"/>
          <w:color w:val="auto"/>
          <w:sz w:val="20"/>
          <w:szCs w:val="20"/>
        </w:rPr>
      </w:pPr>
      <w:r>
        <w:rPr>
          <w:rFonts w:hint="default" w:ascii="Calibri" w:hAnsi="Calibri" w:cs="Calibri"/>
          <w:color w:val="auto"/>
          <w:sz w:val="20"/>
          <w:szCs w:val="20"/>
        </w:rPr>
        <w:t>as peculiaridades do caso concreto;</w:t>
      </w:r>
    </w:p>
    <w:p>
      <w:pPr>
        <w:pStyle w:val="8"/>
        <w:numPr>
          <w:ilvl w:val="2"/>
          <w:numId w:val="2"/>
        </w:numPr>
        <w:spacing w:before="240" w:after="240"/>
        <w:contextualSpacing w:val="0"/>
        <w:jc w:val="both"/>
        <w:rPr>
          <w:rFonts w:hint="default" w:ascii="Calibri" w:hAnsi="Calibri" w:cs="Calibri"/>
          <w:color w:val="auto"/>
          <w:sz w:val="20"/>
          <w:szCs w:val="20"/>
        </w:rPr>
      </w:pPr>
      <w:r>
        <w:rPr>
          <w:rFonts w:hint="default" w:ascii="Calibri" w:hAnsi="Calibri" w:cs="Calibri"/>
          <w:color w:val="auto"/>
          <w:sz w:val="20"/>
          <w:szCs w:val="20"/>
        </w:rPr>
        <w:t>as circunstâncias agravantes ou atenuantes;</w:t>
      </w:r>
    </w:p>
    <w:p>
      <w:pPr>
        <w:pStyle w:val="8"/>
        <w:numPr>
          <w:ilvl w:val="2"/>
          <w:numId w:val="2"/>
        </w:numPr>
        <w:spacing w:before="240" w:after="240"/>
        <w:contextualSpacing w:val="0"/>
        <w:jc w:val="both"/>
        <w:rPr>
          <w:rFonts w:hint="default" w:ascii="Calibri" w:hAnsi="Calibri" w:cs="Calibri"/>
          <w:color w:val="auto"/>
          <w:sz w:val="20"/>
          <w:szCs w:val="20"/>
        </w:rPr>
      </w:pPr>
      <w:r>
        <w:rPr>
          <w:rFonts w:hint="default" w:ascii="Calibri" w:hAnsi="Calibri" w:cs="Calibri"/>
          <w:color w:val="auto"/>
          <w:sz w:val="20"/>
          <w:szCs w:val="20"/>
        </w:rPr>
        <w:t>os danos que dela provierem para o Contratante;</w:t>
      </w:r>
    </w:p>
    <w:p>
      <w:pPr>
        <w:pStyle w:val="8"/>
        <w:numPr>
          <w:ilvl w:val="2"/>
          <w:numId w:val="2"/>
        </w:numPr>
        <w:spacing w:before="240" w:after="240"/>
        <w:contextualSpacing w:val="0"/>
        <w:jc w:val="both"/>
        <w:rPr>
          <w:rFonts w:hint="default" w:ascii="Calibri" w:hAnsi="Calibri" w:cs="Calibri"/>
          <w:color w:val="auto"/>
          <w:sz w:val="20"/>
          <w:szCs w:val="20"/>
        </w:rPr>
      </w:pPr>
      <w:r>
        <w:rPr>
          <w:rFonts w:hint="default" w:ascii="Calibri" w:hAnsi="Calibri" w:cs="Calibri"/>
          <w:color w:val="auto"/>
          <w:sz w:val="20"/>
          <w:szCs w:val="20"/>
        </w:rPr>
        <w:t>a implantação ou o aperfeiçoamento de programa de integridade, conforme normas e orientações dos órgãos de controle.</w:t>
      </w:r>
    </w:p>
    <w:p>
      <w:pPr>
        <w:pStyle w:val="8"/>
        <w:numPr>
          <w:ilvl w:val="1"/>
          <w:numId w:val="2"/>
        </w:numPr>
        <w:spacing w:before="240" w:after="240"/>
        <w:contextualSpacing w:val="0"/>
        <w:jc w:val="both"/>
        <w:rPr>
          <w:rFonts w:hint="default" w:ascii="Calibri" w:hAnsi="Calibri" w:cs="Calibri"/>
          <w:color w:val="auto"/>
          <w:sz w:val="20"/>
          <w:szCs w:val="20"/>
        </w:rPr>
      </w:pPr>
      <w:r>
        <w:rPr>
          <w:rFonts w:hint="default" w:ascii="Calibri" w:hAnsi="Calibri" w:cs="Calibri"/>
          <w:color w:val="auto"/>
          <w:sz w:val="20"/>
          <w:szCs w:val="20"/>
        </w:rPr>
        <w:t>Os atos previstos como infrações administrativas na Lei nº 14.133, de 2021, ou em outras leis de licitações e contratos da Administração Pública que também sejam tipificados como atos lesivos na Lei nº 12.846, de 1º de agosto de 2013, serão apurados e julgados conjuntamente, nos mesmos autos, observados o rito procedimental e autoridade competente definidos na referida Lei (art. 159).</w:t>
      </w:r>
    </w:p>
    <w:p>
      <w:pPr>
        <w:pStyle w:val="8"/>
        <w:numPr>
          <w:ilvl w:val="1"/>
          <w:numId w:val="2"/>
        </w:numPr>
        <w:spacing w:before="240" w:after="240"/>
        <w:contextualSpacing w:val="0"/>
        <w:jc w:val="both"/>
        <w:rPr>
          <w:rFonts w:hint="default" w:ascii="Calibri" w:hAnsi="Calibri" w:cs="Calibri"/>
          <w:color w:val="auto"/>
          <w:sz w:val="20"/>
          <w:szCs w:val="20"/>
        </w:rPr>
      </w:pPr>
      <w:r>
        <w:rPr>
          <w:rFonts w:hint="default" w:ascii="Calibri" w:hAnsi="Calibri" w:cs="Calibri"/>
          <w:color w:val="auto"/>
          <w:sz w:val="20"/>
          <w:szCs w:val="20"/>
        </w:rPr>
        <w:t>A personalidade jurídica do Contratado poderá ser desconsiderada sempre que utilizada com abuso do direito para facilitar, encobrir ou dissimular a prática dos atos ilícitos previstos no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w:t>
      </w:r>
    </w:p>
    <w:p>
      <w:pPr>
        <w:pStyle w:val="8"/>
        <w:numPr>
          <w:ilvl w:val="1"/>
          <w:numId w:val="2"/>
        </w:numPr>
        <w:spacing w:before="240" w:after="240"/>
        <w:contextualSpacing w:val="0"/>
        <w:jc w:val="both"/>
        <w:rPr>
          <w:rFonts w:hint="default" w:ascii="Calibri" w:hAnsi="Calibri" w:cs="Calibri"/>
          <w:color w:val="auto"/>
          <w:sz w:val="20"/>
          <w:szCs w:val="20"/>
        </w:rPr>
      </w:pPr>
      <w:r>
        <w:rPr>
          <w:rFonts w:hint="default" w:ascii="Calibri" w:hAnsi="Calibri" w:cs="Calibri"/>
          <w:color w:val="auto"/>
          <w:sz w:val="20"/>
          <w:szCs w:val="20"/>
        </w:rPr>
        <w:t>O Contratante deverá, no prazo máximo 15 (quinze) dias úteis, contado da data de aplicação da sanção, informar e manter atualizados os dados relativos às sanções por ele aplicadas, para fins de publicidade no Cadastro Nacional de Empresas Inidôneas e Suspensas (Ceis) e no Cadastro Nacional de Empresas Punidas (Cnep), instituídos no âmbito do Poder Executivo Federal. (Art. 161)</w:t>
      </w:r>
    </w:p>
    <w:p>
      <w:pPr>
        <w:pStyle w:val="8"/>
        <w:numPr>
          <w:ilvl w:val="1"/>
          <w:numId w:val="2"/>
        </w:numPr>
        <w:spacing w:before="240" w:after="240"/>
        <w:contextualSpacing w:val="0"/>
        <w:jc w:val="both"/>
        <w:rPr>
          <w:rFonts w:hint="default" w:ascii="Calibri" w:hAnsi="Calibri" w:cs="Calibri"/>
          <w:color w:val="auto"/>
          <w:sz w:val="20"/>
          <w:szCs w:val="20"/>
        </w:rPr>
      </w:pPr>
      <w:r>
        <w:rPr>
          <w:rFonts w:hint="default" w:ascii="Calibri" w:hAnsi="Calibri" w:cs="Calibri"/>
          <w:color w:val="auto"/>
          <w:sz w:val="20"/>
          <w:szCs w:val="20"/>
        </w:rPr>
        <w:t>As sanções de impedimento de licitar e contratar e declaração de inidoneidade para licitar ou contratar são passíveis de reabilitação na forma do art. 163 da Lei nº 14.133, de 2021.</w:t>
      </w:r>
    </w:p>
    <w:p>
      <w:pPr>
        <w:pStyle w:val="8"/>
        <w:numPr>
          <w:ilvl w:val="1"/>
          <w:numId w:val="2"/>
        </w:numPr>
        <w:spacing w:before="240" w:after="240"/>
        <w:contextualSpacing w:val="0"/>
        <w:jc w:val="both"/>
        <w:rPr>
          <w:rFonts w:hint="default" w:ascii="Calibri" w:hAnsi="Calibri" w:cs="Calibri"/>
          <w:color w:val="auto"/>
          <w:sz w:val="20"/>
          <w:szCs w:val="20"/>
        </w:rPr>
      </w:pPr>
      <w:r>
        <w:rPr>
          <w:rFonts w:hint="default" w:ascii="Calibri" w:hAnsi="Calibri" w:cs="Calibri"/>
          <w:color w:val="auto"/>
          <w:sz w:val="20"/>
          <w:szCs w:val="20"/>
        </w:rPr>
        <w:t xml:space="preserve">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w:t>
      </w:r>
    </w:p>
    <w:p>
      <w:pPr>
        <w:pStyle w:val="8"/>
        <w:numPr>
          <w:ilvl w:val="0"/>
          <w:numId w:val="2"/>
        </w:numPr>
        <w:spacing w:before="240" w:after="240"/>
        <w:contextualSpacing w:val="0"/>
        <w:jc w:val="both"/>
        <w:rPr>
          <w:rFonts w:hint="default" w:ascii="Calibri" w:hAnsi="Calibri" w:cs="Calibri"/>
          <w:b/>
          <w:bCs/>
          <w:color w:val="auto"/>
          <w:sz w:val="20"/>
          <w:szCs w:val="20"/>
        </w:rPr>
      </w:pPr>
      <w:r>
        <w:rPr>
          <w:rFonts w:hint="default" w:ascii="Calibri" w:hAnsi="Calibri" w:cs="Calibri"/>
          <w:b/>
          <w:bCs/>
          <w:color w:val="auto"/>
          <w:sz w:val="20"/>
          <w:szCs w:val="20"/>
        </w:rPr>
        <w:t>FORMA E CRITÉRIOS DE SELEÇÃO DO FORNECEDOR</w:t>
      </w:r>
    </w:p>
    <w:p>
      <w:pPr>
        <w:spacing w:before="240" w:after="240" w:line="240" w:lineRule="auto"/>
        <w:jc w:val="both"/>
        <w:rPr>
          <w:rFonts w:hint="default" w:ascii="Calibri" w:hAnsi="Calibri" w:cs="Calibri"/>
          <w:b/>
          <w:bCs/>
          <w:color w:val="auto"/>
          <w:sz w:val="20"/>
          <w:szCs w:val="20"/>
        </w:rPr>
      </w:pPr>
      <w:r>
        <w:rPr>
          <w:rFonts w:hint="default" w:ascii="Calibri" w:hAnsi="Calibri" w:cs="Calibri"/>
          <w:b/>
          <w:bCs/>
          <w:color w:val="auto"/>
          <w:sz w:val="20"/>
          <w:szCs w:val="20"/>
        </w:rPr>
        <w:t>I – Forma de seleção e critério de julgamento da proposta</w:t>
      </w:r>
    </w:p>
    <w:p>
      <w:pPr>
        <w:pStyle w:val="8"/>
        <w:numPr>
          <w:ilvl w:val="1"/>
          <w:numId w:val="2"/>
        </w:numPr>
        <w:spacing w:before="240" w:after="240"/>
        <w:contextualSpacing w:val="0"/>
        <w:jc w:val="both"/>
        <w:rPr>
          <w:rFonts w:hint="default" w:ascii="Calibri" w:hAnsi="Calibri" w:cs="Calibri"/>
          <w:color w:val="auto"/>
          <w:sz w:val="20"/>
          <w:szCs w:val="20"/>
        </w:rPr>
      </w:pPr>
      <w:r>
        <w:rPr>
          <w:rFonts w:hint="default" w:ascii="Calibri" w:hAnsi="Calibri" w:cs="Calibri"/>
          <w:color w:val="auto"/>
          <w:sz w:val="20"/>
          <w:szCs w:val="20"/>
        </w:rPr>
        <w:t>O fornecedor será selecionado por meio da realização de procedimento de Dispensa de Licitação,, com a seguinte fundamentação legal: Inc. II do Art. 75 da Lei 14.133/21. Será adotado para a seleção o critério de julgamento pelo Menor Preço Por item.</w:t>
      </w:r>
    </w:p>
    <w:p>
      <w:pPr>
        <w:spacing w:before="240" w:after="240"/>
        <w:jc w:val="both"/>
        <w:rPr>
          <w:rFonts w:hint="default" w:ascii="Calibri" w:hAnsi="Calibri" w:cs="Calibri"/>
          <w:color w:val="auto"/>
          <w:sz w:val="20"/>
          <w:szCs w:val="20"/>
        </w:rPr>
      </w:pPr>
      <w:r>
        <w:rPr>
          <w:rFonts w:hint="default" w:ascii="Calibri" w:hAnsi="Calibri" w:cs="Calibri"/>
          <w:b/>
          <w:bCs/>
          <w:color w:val="auto"/>
          <w:sz w:val="20"/>
          <w:szCs w:val="20"/>
        </w:rPr>
        <w:t>II – Exigências de habilitação</w:t>
      </w:r>
    </w:p>
    <w:p>
      <w:pPr>
        <w:pStyle w:val="8"/>
        <w:numPr>
          <w:ilvl w:val="1"/>
          <w:numId w:val="2"/>
        </w:numPr>
        <w:spacing w:before="240" w:after="240"/>
        <w:contextualSpacing w:val="0"/>
        <w:jc w:val="both"/>
        <w:rPr>
          <w:rFonts w:hint="default" w:ascii="Calibri" w:hAnsi="Calibri" w:cs="Calibri"/>
          <w:color w:val="auto"/>
          <w:sz w:val="20"/>
          <w:szCs w:val="20"/>
        </w:rPr>
      </w:pPr>
      <w:r>
        <w:rPr>
          <w:rFonts w:hint="default" w:ascii="Calibri" w:hAnsi="Calibri" w:cs="Calibri"/>
          <w:color w:val="auto"/>
          <w:sz w:val="20"/>
          <w:szCs w:val="20"/>
        </w:rPr>
        <w:t xml:space="preserve">Previamente à celebração do contrato, a Administração verificará o eventual descumprimento das condições para contratação, especialmente quanto à existência de sanção que a impeça, mediante a consulta a cadastros informativos oficiais, tais como:  </w:t>
      </w:r>
    </w:p>
    <w:p>
      <w:pPr>
        <w:pStyle w:val="8"/>
        <w:numPr>
          <w:ilvl w:val="2"/>
          <w:numId w:val="2"/>
        </w:numPr>
        <w:spacing w:before="240" w:after="240"/>
        <w:contextualSpacing w:val="0"/>
        <w:jc w:val="both"/>
        <w:rPr>
          <w:rFonts w:hint="default" w:ascii="Calibri" w:hAnsi="Calibri" w:cs="Calibri"/>
          <w:color w:val="auto"/>
          <w:sz w:val="20"/>
          <w:szCs w:val="20"/>
        </w:rPr>
      </w:pPr>
      <w:r>
        <w:rPr>
          <w:rFonts w:hint="default" w:ascii="Calibri" w:hAnsi="Calibri" w:cs="Calibri"/>
          <w:color w:val="auto"/>
          <w:sz w:val="20"/>
          <w:szCs w:val="20"/>
        </w:rPr>
        <w:t xml:space="preserve">SICAF;  </w:t>
      </w:r>
    </w:p>
    <w:p>
      <w:pPr>
        <w:pStyle w:val="8"/>
        <w:numPr>
          <w:ilvl w:val="2"/>
          <w:numId w:val="2"/>
        </w:numPr>
        <w:spacing w:before="240" w:after="240"/>
        <w:contextualSpacing w:val="0"/>
        <w:jc w:val="both"/>
        <w:rPr>
          <w:rFonts w:hint="default" w:ascii="Calibri" w:hAnsi="Calibri" w:cs="Calibri"/>
          <w:color w:val="auto"/>
          <w:sz w:val="20"/>
          <w:szCs w:val="20"/>
        </w:rPr>
      </w:pPr>
      <w:r>
        <w:rPr>
          <w:rFonts w:hint="default" w:ascii="Calibri" w:hAnsi="Calibri" w:cs="Calibri"/>
          <w:color w:val="auto"/>
          <w:sz w:val="20"/>
          <w:szCs w:val="20"/>
        </w:rPr>
        <w:t xml:space="preserve">Cadastro Nacional de Empresas Inidôneas e Suspensas - CEIS, mantido pela Controladoria-Geral da União (www.portaldatransparencia.gov.br/ceis);  </w:t>
      </w:r>
    </w:p>
    <w:p>
      <w:pPr>
        <w:pStyle w:val="8"/>
        <w:numPr>
          <w:ilvl w:val="2"/>
          <w:numId w:val="2"/>
        </w:numPr>
        <w:spacing w:before="240" w:after="240"/>
        <w:contextualSpacing w:val="0"/>
        <w:jc w:val="both"/>
        <w:rPr>
          <w:rFonts w:hint="default" w:ascii="Calibri" w:hAnsi="Calibri" w:cs="Calibri"/>
          <w:color w:val="auto"/>
          <w:sz w:val="20"/>
          <w:szCs w:val="20"/>
        </w:rPr>
      </w:pPr>
      <w:r>
        <w:rPr>
          <w:rFonts w:hint="default" w:ascii="Calibri" w:hAnsi="Calibri" w:cs="Calibri"/>
          <w:color w:val="auto"/>
          <w:sz w:val="20"/>
          <w:szCs w:val="20"/>
        </w:rPr>
        <w:t>Cadastro Nacional de Empresas Punidas – CNEP, mantido pela Controladoria-Geral da União (https://www.portaltransparencia.gov.br/sancoes/cnep).</w:t>
      </w:r>
    </w:p>
    <w:p>
      <w:pPr>
        <w:pStyle w:val="8"/>
        <w:numPr>
          <w:ilvl w:val="1"/>
          <w:numId w:val="2"/>
        </w:numPr>
        <w:spacing w:before="240" w:after="240"/>
        <w:contextualSpacing w:val="0"/>
        <w:jc w:val="both"/>
        <w:rPr>
          <w:rFonts w:hint="default" w:ascii="Calibri" w:hAnsi="Calibri" w:cs="Calibri"/>
          <w:color w:val="auto"/>
          <w:sz w:val="20"/>
          <w:szCs w:val="20"/>
        </w:rPr>
      </w:pPr>
      <w:r>
        <w:rPr>
          <w:rFonts w:hint="default" w:ascii="Calibri" w:hAnsi="Calibri" w:cs="Calibri"/>
          <w:color w:val="auto"/>
          <w:sz w:val="20"/>
          <w:szCs w:val="20"/>
        </w:rPr>
        <w:t>A consulta aos cadastros será realizada em nome da empresa interessada e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pPr>
        <w:pStyle w:val="8"/>
        <w:numPr>
          <w:ilvl w:val="1"/>
          <w:numId w:val="2"/>
        </w:numPr>
        <w:spacing w:before="240" w:after="240"/>
        <w:contextualSpacing w:val="0"/>
        <w:jc w:val="both"/>
        <w:rPr>
          <w:rFonts w:hint="default" w:ascii="Calibri" w:hAnsi="Calibri" w:cs="Calibri"/>
          <w:color w:val="auto"/>
          <w:sz w:val="20"/>
          <w:szCs w:val="20"/>
        </w:rPr>
      </w:pPr>
      <w:r>
        <w:rPr>
          <w:rFonts w:hint="default" w:ascii="Calibri" w:hAnsi="Calibri" w:cs="Calibri"/>
          <w:color w:val="auto"/>
          <w:sz w:val="20"/>
          <w:szCs w:val="20"/>
        </w:rPr>
        <w:t>Caso conste na Consulta de Situação do interessado a existência de Ocorrências Impeditivas Indiretas, o gestor diligenciará para verificar se houve fraude por parte das empresas apontadas no Relatório de Ocorrências Impeditivas Indiretas.</w:t>
      </w:r>
    </w:p>
    <w:p>
      <w:pPr>
        <w:pStyle w:val="8"/>
        <w:numPr>
          <w:ilvl w:val="1"/>
          <w:numId w:val="2"/>
        </w:numPr>
        <w:spacing w:before="240" w:after="240"/>
        <w:contextualSpacing w:val="0"/>
        <w:jc w:val="both"/>
        <w:rPr>
          <w:rFonts w:hint="default" w:ascii="Calibri" w:hAnsi="Calibri" w:cs="Calibri"/>
          <w:color w:val="auto"/>
          <w:sz w:val="20"/>
          <w:szCs w:val="20"/>
        </w:rPr>
      </w:pPr>
      <w:r>
        <w:rPr>
          <w:rFonts w:hint="default" w:ascii="Calibri" w:hAnsi="Calibri" w:cs="Calibri"/>
          <w:color w:val="auto"/>
          <w:sz w:val="20"/>
          <w:szCs w:val="20"/>
        </w:rPr>
        <w:t>A tentativa de burla será verificada por meio dos vínculos societários, linhas de fornecimento similares, dentre outros.</w:t>
      </w:r>
    </w:p>
    <w:p>
      <w:pPr>
        <w:pStyle w:val="8"/>
        <w:numPr>
          <w:ilvl w:val="1"/>
          <w:numId w:val="2"/>
        </w:numPr>
        <w:spacing w:before="240" w:after="240"/>
        <w:contextualSpacing w:val="0"/>
        <w:jc w:val="both"/>
        <w:rPr>
          <w:rFonts w:hint="default" w:ascii="Calibri" w:hAnsi="Calibri" w:cs="Calibri"/>
          <w:color w:val="auto"/>
          <w:sz w:val="20"/>
          <w:szCs w:val="20"/>
        </w:rPr>
      </w:pPr>
      <w:r>
        <w:rPr>
          <w:rFonts w:hint="default" w:ascii="Calibri" w:hAnsi="Calibri" w:cs="Calibri"/>
          <w:color w:val="auto"/>
          <w:sz w:val="20"/>
          <w:szCs w:val="20"/>
        </w:rPr>
        <w:t>O interessado será convocado para manifestação previamente a uma eventual negativa de contratação.</w:t>
      </w:r>
    </w:p>
    <w:p>
      <w:pPr>
        <w:pStyle w:val="8"/>
        <w:numPr>
          <w:ilvl w:val="1"/>
          <w:numId w:val="2"/>
        </w:numPr>
        <w:spacing w:before="240" w:after="240"/>
        <w:contextualSpacing w:val="0"/>
        <w:jc w:val="both"/>
        <w:rPr>
          <w:rFonts w:hint="default" w:ascii="Calibri" w:hAnsi="Calibri" w:cs="Calibri"/>
          <w:color w:val="auto"/>
          <w:sz w:val="20"/>
          <w:szCs w:val="20"/>
        </w:rPr>
      </w:pPr>
      <w:r>
        <w:rPr>
          <w:rFonts w:hint="default" w:ascii="Calibri" w:hAnsi="Calibri" w:cs="Calibri"/>
          <w:color w:val="auto"/>
          <w:sz w:val="20"/>
          <w:szCs w:val="20"/>
        </w:rPr>
        <w:t>Não serão aceitos documentos de habilitação com indicação de CNPJ/CPF diferentes, salvo aqueles legalmente permitidos.</w:t>
      </w:r>
    </w:p>
    <w:p>
      <w:pPr>
        <w:pStyle w:val="8"/>
        <w:numPr>
          <w:ilvl w:val="1"/>
          <w:numId w:val="2"/>
        </w:numPr>
        <w:spacing w:before="240" w:after="240"/>
        <w:contextualSpacing w:val="0"/>
        <w:jc w:val="both"/>
        <w:rPr>
          <w:rFonts w:hint="default" w:ascii="Calibri" w:hAnsi="Calibri" w:cs="Calibri"/>
          <w:color w:val="auto"/>
          <w:sz w:val="20"/>
          <w:szCs w:val="20"/>
        </w:rPr>
      </w:pPr>
      <w:r>
        <w:rPr>
          <w:rFonts w:hint="default" w:ascii="Calibri" w:hAnsi="Calibri" w:cs="Calibri"/>
          <w:color w:val="auto"/>
          <w:sz w:val="20"/>
          <w:szCs w:val="20"/>
        </w:rPr>
        <w:t>Se o interessado for a matriz, todos os documentos deverão estar em nome da matriz, e se o fornecedor for a filial, todos os documentos deverão estar em nome da filial, exceto para atestados de capacidade técnica, caso exigidos, e no caso daqueles documentos que, pela própria natureza, comprovadamente, forem emitidos somente em nome da matriz.</w:t>
      </w:r>
    </w:p>
    <w:p>
      <w:pPr>
        <w:pStyle w:val="8"/>
        <w:numPr>
          <w:ilvl w:val="1"/>
          <w:numId w:val="2"/>
        </w:numPr>
        <w:spacing w:before="240" w:after="240"/>
        <w:contextualSpacing w:val="0"/>
        <w:jc w:val="both"/>
        <w:rPr>
          <w:rFonts w:hint="default" w:ascii="Calibri" w:hAnsi="Calibri" w:cs="Calibri"/>
          <w:color w:val="auto"/>
          <w:sz w:val="20"/>
          <w:szCs w:val="20"/>
        </w:rPr>
      </w:pPr>
      <w:r>
        <w:rPr>
          <w:rFonts w:hint="default" w:ascii="Calibri" w:hAnsi="Calibri" w:cs="Calibri"/>
          <w:color w:val="auto"/>
          <w:sz w:val="20"/>
          <w:szCs w:val="20"/>
        </w:rPr>
        <w:t>Serão aceitos registros de CNPJ de fornecedor matriz e filial com diferenças de números de documentos pertinentes ao CND e ao CRF/FGTS, quando for comprovada a centralização do recolhimento dessas contribuições.</w:t>
      </w:r>
    </w:p>
    <w:p>
      <w:pPr>
        <w:pStyle w:val="8"/>
        <w:numPr>
          <w:ilvl w:val="1"/>
          <w:numId w:val="2"/>
        </w:numPr>
        <w:spacing w:before="240" w:after="240"/>
        <w:contextualSpacing w:val="0"/>
        <w:jc w:val="both"/>
        <w:rPr>
          <w:rFonts w:hint="default" w:ascii="Calibri" w:hAnsi="Calibri" w:cs="Calibri"/>
          <w:color w:val="auto"/>
          <w:sz w:val="20"/>
          <w:szCs w:val="20"/>
        </w:rPr>
      </w:pPr>
      <w:r>
        <w:rPr>
          <w:rFonts w:hint="default" w:ascii="Calibri" w:hAnsi="Calibri" w:cs="Calibri"/>
          <w:color w:val="auto"/>
          <w:sz w:val="20"/>
          <w:szCs w:val="20"/>
        </w:rPr>
        <w:t>Para fins de habilitação, deverá o interessado comprovar os seguintes requisitos, que serão exigidos conforme sua natureza jurídica:</w:t>
      </w:r>
    </w:p>
    <w:p>
      <w:pPr>
        <w:spacing w:before="240" w:after="240"/>
        <w:ind w:left="360"/>
        <w:jc w:val="both"/>
        <w:rPr>
          <w:rFonts w:hint="default" w:ascii="Calibri" w:hAnsi="Calibri" w:cs="Calibri"/>
          <w:b/>
          <w:bCs/>
          <w:color w:val="auto"/>
          <w:sz w:val="20"/>
          <w:szCs w:val="20"/>
        </w:rPr>
      </w:pPr>
      <w:r>
        <w:rPr>
          <w:rFonts w:hint="default" w:ascii="Calibri" w:hAnsi="Calibri" w:cs="Calibri"/>
          <w:b/>
          <w:bCs/>
          <w:color w:val="auto"/>
          <w:sz w:val="20"/>
          <w:szCs w:val="20"/>
        </w:rPr>
        <w:t>Habilitação jurídica</w:t>
      </w:r>
    </w:p>
    <w:p>
      <w:pPr>
        <w:pStyle w:val="8"/>
        <w:numPr>
          <w:ilvl w:val="1"/>
          <w:numId w:val="2"/>
        </w:numPr>
        <w:spacing w:before="240" w:after="240"/>
        <w:contextualSpacing w:val="0"/>
        <w:jc w:val="both"/>
        <w:rPr>
          <w:rFonts w:hint="default" w:ascii="Calibri" w:hAnsi="Calibri" w:cs="Calibri"/>
          <w:b/>
          <w:bCs/>
          <w:color w:val="auto"/>
          <w:sz w:val="20"/>
          <w:szCs w:val="20"/>
        </w:rPr>
      </w:pPr>
      <w:r>
        <w:rPr>
          <w:rFonts w:hint="default" w:ascii="Calibri" w:hAnsi="Calibri" w:cs="Calibri"/>
          <w:b/>
          <w:bCs/>
          <w:color w:val="auto"/>
          <w:sz w:val="20"/>
          <w:szCs w:val="20"/>
        </w:rPr>
        <w:t>Empresário individual:</w:t>
      </w:r>
      <w:r>
        <w:rPr>
          <w:rFonts w:hint="default" w:ascii="Calibri" w:hAnsi="Calibri" w:cs="Calibri"/>
          <w:color w:val="auto"/>
          <w:sz w:val="20"/>
          <w:szCs w:val="20"/>
        </w:rPr>
        <w:t xml:space="preserve"> inscrição no Registro Público de Empresas Mercantis, a cargo da Junta Comercial da respectiva sede;</w:t>
      </w:r>
    </w:p>
    <w:p>
      <w:pPr>
        <w:pStyle w:val="8"/>
        <w:numPr>
          <w:ilvl w:val="1"/>
          <w:numId w:val="2"/>
        </w:numPr>
        <w:spacing w:before="240" w:after="240"/>
        <w:contextualSpacing w:val="0"/>
        <w:jc w:val="both"/>
        <w:rPr>
          <w:rFonts w:hint="default" w:ascii="Calibri" w:hAnsi="Calibri" w:cs="Calibri"/>
          <w:b/>
          <w:bCs/>
          <w:color w:val="auto"/>
          <w:sz w:val="20"/>
          <w:szCs w:val="20"/>
        </w:rPr>
      </w:pPr>
      <w:r>
        <w:rPr>
          <w:rFonts w:hint="default" w:ascii="Calibri" w:hAnsi="Calibri" w:cs="Calibri"/>
          <w:b/>
          <w:bCs/>
          <w:color w:val="auto"/>
          <w:sz w:val="20"/>
          <w:szCs w:val="20"/>
        </w:rPr>
        <w:t>Microempreendedor Individual - MEI:</w:t>
      </w:r>
      <w:r>
        <w:rPr>
          <w:rFonts w:hint="default" w:ascii="Calibri" w:hAnsi="Calibri" w:cs="Calibri"/>
          <w:color w:val="auto"/>
          <w:sz w:val="20"/>
          <w:szCs w:val="20"/>
        </w:rPr>
        <w:t xml:space="preserve"> Certificado da Condição de Microempreendedor Individual - CCMEI, cuja aceitação ficará condicionada à verificação da autenticidade no sítio </w:t>
      </w:r>
      <w:r>
        <w:rPr>
          <w:rFonts w:hint="default" w:ascii="Calibri" w:hAnsi="Calibri" w:cs="Calibri"/>
          <w:color w:val="auto"/>
          <w:sz w:val="20"/>
          <w:szCs w:val="20"/>
        </w:rPr>
        <w:fldChar w:fldCharType="begin"/>
      </w:r>
      <w:r>
        <w:rPr>
          <w:rFonts w:hint="default" w:ascii="Calibri" w:hAnsi="Calibri" w:cs="Calibri"/>
          <w:color w:val="auto"/>
          <w:sz w:val="20"/>
          <w:szCs w:val="20"/>
        </w:rPr>
        <w:instrText xml:space="preserve"> HYPERLINK "https://www.gov.br/empresas-e-negocios/pt-br/empreendedor" </w:instrText>
      </w:r>
      <w:r>
        <w:rPr>
          <w:rFonts w:hint="default" w:ascii="Calibri" w:hAnsi="Calibri" w:cs="Calibri"/>
          <w:color w:val="auto"/>
          <w:sz w:val="20"/>
          <w:szCs w:val="20"/>
        </w:rPr>
        <w:fldChar w:fldCharType="separate"/>
      </w:r>
      <w:r>
        <w:rPr>
          <w:rStyle w:val="4"/>
          <w:rFonts w:hint="default" w:ascii="Calibri" w:hAnsi="Calibri" w:cs="Calibri"/>
          <w:color w:val="auto"/>
          <w:sz w:val="20"/>
          <w:szCs w:val="20"/>
        </w:rPr>
        <w:t>https://www.gov.br/empresas-e-negocios/pt-br/empreendedor</w:t>
      </w:r>
      <w:r>
        <w:rPr>
          <w:rStyle w:val="4"/>
          <w:rFonts w:hint="default" w:ascii="Calibri" w:hAnsi="Calibri" w:cs="Calibri"/>
          <w:color w:val="auto"/>
          <w:sz w:val="20"/>
          <w:szCs w:val="20"/>
        </w:rPr>
        <w:fldChar w:fldCharType="end"/>
      </w:r>
      <w:r>
        <w:rPr>
          <w:rFonts w:hint="default" w:ascii="Calibri" w:hAnsi="Calibri" w:cs="Calibri"/>
          <w:color w:val="auto"/>
          <w:sz w:val="20"/>
          <w:szCs w:val="20"/>
        </w:rPr>
        <w:t>;</w:t>
      </w:r>
    </w:p>
    <w:p>
      <w:pPr>
        <w:pStyle w:val="8"/>
        <w:numPr>
          <w:ilvl w:val="1"/>
          <w:numId w:val="2"/>
        </w:numPr>
        <w:spacing w:before="240" w:after="240"/>
        <w:contextualSpacing w:val="0"/>
        <w:jc w:val="both"/>
        <w:rPr>
          <w:rFonts w:hint="default" w:ascii="Calibri" w:hAnsi="Calibri" w:cs="Calibri"/>
          <w:b/>
          <w:bCs/>
          <w:color w:val="auto"/>
          <w:sz w:val="20"/>
          <w:szCs w:val="20"/>
        </w:rPr>
      </w:pPr>
      <w:r>
        <w:rPr>
          <w:rFonts w:hint="default" w:ascii="Calibri" w:hAnsi="Calibri" w:cs="Calibri"/>
          <w:b/>
          <w:bCs/>
          <w:color w:val="auto"/>
          <w:sz w:val="20"/>
          <w:szCs w:val="20"/>
        </w:rPr>
        <w:t xml:space="preserve">Sociedade empresária, sociedade limitada unipessoal – SLU ou sociedade identificada como empresa individual de responsabilidade limitada - EIRELI: </w:t>
      </w:r>
      <w:r>
        <w:rPr>
          <w:rFonts w:hint="default" w:ascii="Calibri" w:hAnsi="Calibri" w:cs="Calibri"/>
          <w:color w:val="auto"/>
          <w:sz w:val="20"/>
          <w:szCs w:val="20"/>
        </w:rPr>
        <w:t>inscrição do ato constitutivo, estatuto ou contrato social no Registro Público de Empresas Mercantis, a cargo da Junta Comercial da respectiva sede, acompanhada de documento comprobatório de seus administradores;</w:t>
      </w:r>
    </w:p>
    <w:p>
      <w:pPr>
        <w:pStyle w:val="8"/>
        <w:numPr>
          <w:ilvl w:val="1"/>
          <w:numId w:val="2"/>
        </w:numPr>
        <w:spacing w:before="240" w:after="240"/>
        <w:contextualSpacing w:val="0"/>
        <w:jc w:val="both"/>
        <w:rPr>
          <w:rFonts w:hint="default" w:ascii="Calibri" w:hAnsi="Calibri" w:cs="Calibri"/>
          <w:b/>
          <w:bCs/>
          <w:color w:val="auto"/>
          <w:sz w:val="20"/>
          <w:szCs w:val="20"/>
        </w:rPr>
      </w:pPr>
      <w:r>
        <w:rPr>
          <w:rFonts w:hint="default" w:ascii="Calibri" w:hAnsi="Calibri" w:cs="Calibri"/>
          <w:b/>
          <w:bCs/>
          <w:color w:val="auto"/>
          <w:sz w:val="20"/>
          <w:szCs w:val="20"/>
        </w:rPr>
        <w:t>Sociedade empresária estrangeira com atuação permanente no País:</w:t>
      </w:r>
      <w:r>
        <w:rPr>
          <w:rFonts w:hint="default" w:ascii="Calibri" w:hAnsi="Calibri" w:cs="Calibri"/>
          <w:color w:val="auto"/>
          <w:sz w:val="20"/>
          <w:szCs w:val="20"/>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pPr>
        <w:pStyle w:val="8"/>
        <w:numPr>
          <w:ilvl w:val="1"/>
          <w:numId w:val="2"/>
        </w:numPr>
        <w:spacing w:before="240" w:after="240"/>
        <w:contextualSpacing w:val="0"/>
        <w:jc w:val="both"/>
        <w:rPr>
          <w:rFonts w:hint="default" w:ascii="Calibri" w:hAnsi="Calibri" w:cs="Calibri"/>
          <w:b/>
          <w:bCs/>
          <w:color w:val="auto"/>
          <w:sz w:val="20"/>
          <w:szCs w:val="20"/>
        </w:rPr>
      </w:pPr>
      <w:r>
        <w:rPr>
          <w:rFonts w:hint="default" w:ascii="Calibri" w:hAnsi="Calibri" w:cs="Calibri"/>
          <w:b/>
          <w:bCs/>
          <w:color w:val="auto"/>
          <w:sz w:val="20"/>
          <w:szCs w:val="20"/>
        </w:rPr>
        <w:t>Sociedade simples:</w:t>
      </w:r>
      <w:r>
        <w:rPr>
          <w:rFonts w:hint="default" w:ascii="Calibri" w:hAnsi="Calibri" w:cs="Calibri"/>
          <w:color w:val="auto"/>
          <w:sz w:val="20"/>
          <w:szCs w:val="20"/>
        </w:rPr>
        <w:t xml:space="preserve"> inscrição do ato constitutivo no Registro Civil de Pessoas Jurídicas do local de sua sede, acompanhada de documento comprobatório de seus administradores;</w:t>
      </w:r>
    </w:p>
    <w:p>
      <w:pPr>
        <w:pStyle w:val="8"/>
        <w:numPr>
          <w:ilvl w:val="1"/>
          <w:numId w:val="2"/>
        </w:numPr>
        <w:spacing w:before="240" w:after="240"/>
        <w:contextualSpacing w:val="0"/>
        <w:jc w:val="both"/>
        <w:rPr>
          <w:rFonts w:hint="default" w:ascii="Calibri" w:hAnsi="Calibri" w:cs="Calibri"/>
          <w:b/>
          <w:bCs/>
          <w:color w:val="auto"/>
          <w:sz w:val="20"/>
          <w:szCs w:val="20"/>
        </w:rPr>
      </w:pPr>
      <w:r>
        <w:rPr>
          <w:rFonts w:hint="default" w:ascii="Calibri" w:hAnsi="Calibri" w:cs="Calibri"/>
          <w:b/>
          <w:bCs/>
          <w:color w:val="auto"/>
          <w:sz w:val="20"/>
          <w:szCs w:val="20"/>
        </w:rPr>
        <w:t>Filial, sucursal ou agência de sociedade simples ou empresária</w:t>
      </w:r>
      <w:r>
        <w:rPr>
          <w:rFonts w:hint="default" w:ascii="Calibri" w:hAnsi="Calibri" w:cs="Calibri"/>
          <w:color w:val="auto"/>
          <w:sz w:val="20"/>
          <w:szCs w:val="20"/>
        </w:rPr>
        <w:t xml:space="preserve"> - inscrição do ato constitutivo da filial, sucursal ou agência da sociedade simples ou empresária, respectivamente, no Registro Civil das Pessoas Jurídicas ou no Registro Público de Empresas Mercantis onde opera, com averbação no Registro onde tem sede a matriz;</w:t>
      </w:r>
    </w:p>
    <w:p>
      <w:pPr>
        <w:pStyle w:val="8"/>
        <w:numPr>
          <w:ilvl w:val="1"/>
          <w:numId w:val="2"/>
        </w:numPr>
        <w:spacing w:before="240" w:after="240"/>
        <w:contextualSpacing w:val="0"/>
        <w:jc w:val="both"/>
        <w:rPr>
          <w:rFonts w:hint="default" w:ascii="Calibri" w:hAnsi="Calibri" w:cs="Calibri"/>
          <w:b/>
          <w:bCs/>
          <w:color w:val="auto"/>
          <w:sz w:val="20"/>
          <w:szCs w:val="20"/>
        </w:rPr>
      </w:pPr>
      <w:r>
        <w:rPr>
          <w:rFonts w:hint="default" w:ascii="Calibri" w:hAnsi="Calibri" w:cs="Calibri"/>
          <w:color w:val="auto"/>
          <w:sz w:val="20"/>
          <w:szCs w:val="20"/>
        </w:rPr>
        <w:t>Os documentos apresentados deverão estar acompanhados de todas as alterações ou da consolidação respectiva.</w:t>
      </w:r>
    </w:p>
    <w:p>
      <w:pPr>
        <w:spacing w:before="240" w:after="240"/>
        <w:ind w:left="360"/>
        <w:jc w:val="both"/>
        <w:rPr>
          <w:rFonts w:hint="default" w:ascii="Calibri" w:hAnsi="Calibri" w:cs="Calibri"/>
          <w:b/>
          <w:bCs/>
          <w:color w:val="auto"/>
          <w:sz w:val="20"/>
          <w:szCs w:val="20"/>
        </w:rPr>
      </w:pPr>
      <w:r>
        <w:rPr>
          <w:rFonts w:hint="default" w:ascii="Calibri" w:hAnsi="Calibri" w:cs="Calibri"/>
          <w:b/>
          <w:bCs/>
          <w:color w:val="auto"/>
          <w:sz w:val="20"/>
          <w:szCs w:val="20"/>
        </w:rPr>
        <w:t>Habilitações fiscal, social e trabalhista:</w:t>
      </w:r>
    </w:p>
    <w:p>
      <w:pPr>
        <w:pStyle w:val="8"/>
        <w:numPr>
          <w:ilvl w:val="2"/>
          <w:numId w:val="2"/>
        </w:numPr>
        <w:spacing w:before="240" w:after="240"/>
        <w:contextualSpacing w:val="0"/>
        <w:jc w:val="both"/>
        <w:rPr>
          <w:rFonts w:hint="default" w:ascii="Calibri" w:hAnsi="Calibri" w:cs="Calibri"/>
          <w:b/>
          <w:bCs/>
          <w:color w:val="auto"/>
          <w:sz w:val="20"/>
          <w:szCs w:val="20"/>
        </w:rPr>
      </w:pPr>
      <w:r>
        <w:rPr>
          <w:rFonts w:hint="default" w:ascii="Calibri" w:hAnsi="Calibri" w:cs="Calibri"/>
          <w:color w:val="auto"/>
          <w:sz w:val="20"/>
          <w:szCs w:val="20"/>
        </w:rPr>
        <w:t>prova de inscrição no Cadastro Nacional da Pessoa Jurídica (CNPJ);</w:t>
      </w:r>
    </w:p>
    <w:p>
      <w:pPr>
        <w:pStyle w:val="8"/>
        <w:numPr>
          <w:ilvl w:val="2"/>
          <w:numId w:val="2"/>
        </w:numPr>
        <w:spacing w:before="240" w:after="240"/>
        <w:contextualSpacing w:val="0"/>
        <w:jc w:val="both"/>
        <w:rPr>
          <w:rFonts w:hint="default" w:ascii="Calibri" w:hAnsi="Calibri" w:cs="Calibri"/>
          <w:b/>
          <w:bCs/>
          <w:color w:val="auto"/>
          <w:sz w:val="20"/>
          <w:szCs w:val="20"/>
        </w:rPr>
      </w:pPr>
      <w:r>
        <w:rPr>
          <w:rFonts w:hint="default" w:ascii="Calibri" w:hAnsi="Calibri" w:cs="Calibri"/>
          <w:color w:val="auto"/>
          <w:sz w:val="20"/>
          <w:szCs w:val="20"/>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pPr>
        <w:pStyle w:val="8"/>
        <w:numPr>
          <w:ilvl w:val="2"/>
          <w:numId w:val="2"/>
        </w:numPr>
        <w:spacing w:before="240" w:after="240"/>
        <w:contextualSpacing w:val="0"/>
        <w:jc w:val="both"/>
        <w:rPr>
          <w:rFonts w:hint="default" w:ascii="Calibri" w:hAnsi="Calibri" w:cs="Calibri"/>
          <w:b/>
          <w:bCs/>
          <w:color w:val="auto"/>
          <w:sz w:val="20"/>
          <w:szCs w:val="20"/>
        </w:rPr>
      </w:pPr>
      <w:r>
        <w:rPr>
          <w:rFonts w:hint="default" w:ascii="Calibri" w:hAnsi="Calibri" w:cs="Calibri"/>
          <w:color w:val="auto"/>
          <w:sz w:val="20"/>
          <w:szCs w:val="20"/>
        </w:rPr>
        <w:t>prova de regularidade com o Fundo de Garantia do Tempo de Serviço (FGTS);</w:t>
      </w:r>
    </w:p>
    <w:p>
      <w:pPr>
        <w:pStyle w:val="8"/>
        <w:numPr>
          <w:ilvl w:val="2"/>
          <w:numId w:val="2"/>
        </w:numPr>
        <w:spacing w:before="240" w:after="240"/>
        <w:contextualSpacing w:val="0"/>
        <w:jc w:val="both"/>
        <w:rPr>
          <w:rFonts w:hint="default" w:ascii="Calibri" w:hAnsi="Calibri" w:cs="Calibri"/>
          <w:b/>
          <w:bCs/>
          <w:color w:val="auto"/>
          <w:sz w:val="20"/>
          <w:szCs w:val="20"/>
        </w:rPr>
      </w:pPr>
      <w:r>
        <w:rPr>
          <w:rFonts w:hint="default" w:ascii="Calibri" w:hAnsi="Calibri" w:cs="Calibri"/>
          <w:color w:val="auto"/>
          <w:sz w:val="20"/>
          <w:szCs w:val="20"/>
        </w:rPr>
        <w:t>declaração de que não emprega menor de 18 anos em trabalho noturno, perigoso ou insalubre e não emprega menor de 16 anos, salvo menor, a partir de 14 anos, na condição de aprendiz, nos termos do artigo 7°, XXXIII, da Constituição;</w:t>
      </w:r>
    </w:p>
    <w:p>
      <w:pPr>
        <w:pStyle w:val="8"/>
        <w:numPr>
          <w:ilvl w:val="2"/>
          <w:numId w:val="2"/>
        </w:numPr>
        <w:spacing w:before="240" w:after="240"/>
        <w:contextualSpacing w:val="0"/>
        <w:jc w:val="both"/>
        <w:rPr>
          <w:rFonts w:hint="default" w:ascii="Calibri" w:hAnsi="Calibri" w:cs="Calibri"/>
          <w:b/>
          <w:bCs/>
          <w:color w:val="auto"/>
          <w:sz w:val="20"/>
          <w:szCs w:val="20"/>
        </w:rPr>
      </w:pPr>
      <w:r>
        <w:rPr>
          <w:rFonts w:hint="default" w:ascii="Calibri" w:hAnsi="Calibri" w:cs="Calibri"/>
          <w:color w:val="auto"/>
          <w:sz w:val="20"/>
          <w:szCs w:val="20"/>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pPr>
        <w:pStyle w:val="8"/>
        <w:numPr>
          <w:ilvl w:val="2"/>
          <w:numId w:val="2"/>
        </w:numPr>
        <w:spacing w:before="240" w:after="240"/>
        <w:contextualSpacing w:val="0"/>
        <w:jc w:val="both"/>
        <w:rPr>
          <w:rFonts w:hint="default" w:ascii="Calibri" w:hAnsi="Calibri" w:cs="Calibri"/>
          <w:b/>
          <w:bCs/>
          <w:color w:val="auto"/>
          <w:sz w:val="20"/>
          <w:szCs w:val="20"/>
        </w:rPr>
      </w:pPr>
      <w:r>
        <w:rPr>
          <w:rFonts w:hint="default" w:ascii="Calibri" w:hAnsi="Calibri" w:cs="Calibri"/>
          <w:color w:val="auto"/>
          <w:sz w:val="20"/>
          <w:szCs w:val="20"/>
        </w:rPr>
        <w:t xml:space="preserve">prova de regularidade com a Fazenda Estadual e Municipal do domicílio ou sede do fornecedor, relativa à atividade em cujo exercício contrata ou concorre; </w:t>
      </w:r>
    </w:p>
    <w:p>
      <w:pPr>
        <w:pStyle w:val="8"/>
        <w:numPr>
          <w:ilvl w:val="3"/>
          <w:numId w:val="2"/>
        </w:numPr>
        <w:spacing w:before="240" w:after="240"/>
        <w:contextualSpacing w:val="0"/>
        <w:jc w:val="both"/>
        <w:rPr>
          <w:rFonts w:hint="default" w:ascii="Calibri" w:hAnsi="Calibri" w:cs="Calibri"/>
          <w:b/>
          <w:bCs/>
          <w:color w:val="auto"/>
          <w:sz w:val="20"/>
          <w:szCs w:val="20"/>
        </w:rPr>
      </w:pPr>
      <w:r>
        <w:rPr>
          <w:rFonts w:hint="default" w:ascii="Calibri" w:hAnsi="Calibri" w:cs="Calibri"/>
          <w:color w:val="auto"/>
          <w:sz w:val="20"/>
          <w:szCs w:val="20"/>
        </w:rPr>
        <w:t>caso o fornecedor seja considerado isento dos tributos estaduais ou municipais relacionados ao objeto, deverá comprovar tal condição mediante a apresentação de certidão ou declaração da Fazenda respectiva do seu domicílio ou sede, ou por meio de outro documento equivalente, na forma da respectiva legislação de regência.</w:t>
      </w:r>
    </w:p>
    <w:p>
      <w:pPr>
        <w:spacing w:before="240" w:after="240"/>
        <w:ind w:left="426"/>
        <w:jc w:val="both"/>
        <w:rPr>
          <w:rFonts w:hint="default" w:ascii="Calibri" w:hAnsi="Calibri" w:cs="Calibri"/>
          <w:b/>
          <w:bCs/>
          <w:color w:val="auto"/>
          <w:sz w:val="20"/>
          <w:szCs w:val="20"/>
        </w:rPr>
      </w:pPr>
      <w:r>
        <w:rPr>
          <w:rFonts w:hint="default" w:ascii="Calibri" w:hAnsi="Calibri" w:cs="Calibri"/>
          <w:b/>
          <w:bCs/>
          <w:color w:val="auto"/>
          <w:sz w:val="20"/>
          <w:szCs w:val="20"/>
        </w:rPr>
        <w:t xml:space="preserve">Habilitação econômico-financeira: </w:t>
      </w:r>
    </w:p>
    <w:p>
      <w:pPr>
        <w:pStyle w:val="8"/>
        <w:numPr>
          <w:ilvl w:val="1"/>
          <w:numId w:val="2"/>
        </w:numPr>
        <w:spacing w:before="240" w:after="240"/>
        <w:contextualSpacing w:val="0"/>
        <w:jc w:val="both"/>
        <w:rPr>
          <w:rFonts w:hint="default" w:ascii="Calibri" w:hAnsi="Calibri" w:cs="Calibri"/>
          <w:color w:val="auto"/>
          <w:sz w:val="20"/>
          <w:szCs w:val="20"/>
        </w:rPr>
      </w:pPr>
      <w:r>
        <w:rPr>
          <w:rFonts w:hint="default" w:ascii="Calibri" w:hAnsi="Calibri" w:cs="Calibri"/>
          <w:color w:val="auto"/>
          <w:sz w:val="20"/>
          <w:szCs w:val="20"/>
        </w:rPr>
        <w:t>Certidão Negativa de falência, concordata, recuperação judicial ou extrajudicial (Lei nº 11.101, de 9.2.2005), expedida pelo distribuidor da sede da empresa, datado dos últimos 60 (sessenta) dias, ou que esteja dentro do prazo de validade expresso na própria Certidão.</w:t>
      </w:r>
    </w:p>
    <w:p>
      <w:pPr>
        <w:spacing w:before="240" w:after="240"/>
        <w:ind w:left="426"/>
        <w:jc w:val="both"/>
        <w:rPr>
          <w:rFonts w:hint="default" w:ascii="Calibri" w:hAnsi="Calibri" w:cs="Calibri"/>
          <w:b/>
          <w:bCs/>
          <w:color w:val="auto"/>
          <w:sz w:val="20"/>
          <w:szCs w:val="20"/>
        </w:rPr>
      </w:pPr>
      <w:r>
        <w:rPr>
          <w:rFonts w:hint="default" w:ascii="Calibri" w:hAnsi="Calibri" w:cs="Calibri"/>
          <w:b/>
          <w:bCs/>
          <w:color w:val="auto"/>
          <w:sz w:val="20"/>
          <w:szCs w:val="20"/>
        </w:rPr>
        <w:t>Habilitação técnica:</w:t>
      </w:r>
    </w:p>
    <w:p>
      <w:pPr>
        <w:pStyle w:val="8"/>
        <w:numPr>
          <w:ilvl w:val="1"/>
          <w:numId w:val="2"/>
        </w:numPr>
        <w:spacing w:before="240" w:after="240"/>
        <w:contextualSpacing w:val="0"/>
        <w:jc w:val="both"/>
        <w:rPr>
          <w:rFonts w:hint="default" w:ascii="Calibri" w:hAnsi="Calibri" w:cs="Calibri"/>
          <w:b/>
          <w:bCs/>
          <w:color w:val="auto"/>
          <w:sz w:val="20"/>
          <w:szCs w:val="20"/>
        </w:rPr>
      </w:pPr>
      <w:r>
        <w:rPr>
          <w:rFonts w:hint="default" w:ascii="Calibri" w:hAnsi="Calibri" w:cs="Calibri"/>
          <w:color w:val="auto"/>
          <w:sz w:val="20"/>
          <w:szCs w:val="20"/>
        </w:rPr>
        <w:t xml:space="preserve">Declaração do fornecedor atestando acerca do conhecimento pleno das condições e peculiaridades da contratação. </w:t>
      </w:r>
    </w:p>
    <w:p>
      <w:pPr>
        <w:pStyle w:val="8"/>
        <w:numPr>
          <w:ilvl w:val="1"/>
          <w:numId w:val="2"/>
        </w:numPr>
        <w:spacing w:before="240" w:after="240"/>
        <w:jc w:val="both"/>
        <w:rPr>
          <w:rFonts w:hint="default" w:ascii="Calibri" w:hAnsi="Calibri" w:cs="Calibri"/>
          <w:color w:val="auto"/>
          <w:sz w:val="20"/>
          <w:szCs w:val="20"/>
        </w:rPr>
      </w:pPr>
      <w:r>
        <w:rPr>
          <w:rFonts w:hint="default" w:ascii="Calibri" w:hAnsi="Calibri" w:cs="Calibri"/>
          <w:color w:val="auto"/>
          <w:sz w:val="20"/>
          <w:szCs w:val="20"/>
        </w:rPr>
        <w:t>Comprovação de aptidão para o fornecimento de objeto similiar de complexidade tecnológica e operacional equivalente ou superior com o objeto desta contratação, ou com o item pertinente, por meio da apresentação de certidões ou atestados, por pessoas jurídicas de direito público ou privado, ou regularmente emitido(s) pelo conselho profissional competente, quando for o caso.</w:t>
      </w:r>
    </w:p>
    <w:p>
      <w:pPr>
        <w:pStyle w:val="8"/>
        <w:numPr>
          <w:ilvl w:val="2"/>
          <w:numId w:val="2"/>
        </w:numPr>
        <w:spacing w:before="240" w:after="240"/>
        <w:jc w:val="both"/>
        <w:rPr>
          <w:rFonts w:hint="default" w:ascii="Calibri" w:hAnsi="Calibri" w:cs="Calibri"/>
          <w:color w:val="auto"/>
          <w:sz w:val="20"/>
          <w:szCs w:val="20"/>
        </w:rPr>
      </w:pPr>
      <w:r>
        <w:rPr>
          <w:rFonts w:hint="default" w:ascii="Calibri" w:hAnsi="Calibri" w:cs="Calibri"/>
          <w:color w:val="auto"/>
          <w:sz w:val="20"/>
          <w:szCs w:val="20"/>
        </w:rPr>
        <w:t>Será admitida, para fins de comprovação de quantitativo mínimo, a apresentação e o somatório de diferentes atestados executados de forma concomitante.</w:t>
      </w:r>
    </w:p>
    <w:p>
      <w:pPr>
        <w:pStyle w:val="8"/>
        <w:numPr>
          <w:ilvl w:val="2"/>
          <w:numId w:val="2"/>
        </w:numPr>
        <w:spacing w:before="240" w:after="240"/>
        <w:jc w:val="both"/>
        <w:rPr>
          <w:rFonts w:hint="default" w:ascii="Calibri" w:hAnsi="Calibri" w:cs="Calibri"/>
          <w:color w:val="auto"/>
          <w:sz w:val="20"/>
          <w:szCs w:val="20"/>
        </w:rPr>
      </w:pPr>
      <w:r>
        <w:rPr>
          <w:rFonts w:hint="default" w:ascii="Calibri" w:hAnsi="Calibri" w:cs="Calibri"/>
          <w:color w:val="auto"/>
          <w:sz w:val="20"/>
          <w:szCs w:val="20"/>
        </w:rPr>
        <w:t>Os atestados de capacidade técnica poderão ser apresentados em nome da matriz ou da filial do fornecedor.</w:t>
      </w:r>
    </w:p>
    <w:p>
      <w:pPr>
        <w:pStyle w:val="8"/>
        <w:numPr>
          <w:ilvl w:val="2"/>
          <w:numId w:val="2"/>
        </w:numPr>
        <w:spacing w:before="240" w:after="240"/>
        <w:contextualSpacing w:val="0"/>
        <w:jc w:val="both"/>
        <w:rPr>
          <w:rFonts w:hint="default" w:ascii="Calibri" w:hAnsi="Calibri" w:cs="Calibri"/>
          <w:color w:val="auto"/>
          <w:sz w:val="20"/>
          <w:szCs w:val="20"/>
        </w:rPr>
      </w:pPr>
      <w:r>
        <w:rPr>
          <w:rFonts w:hint="default" w:ascii="Calibri" w:hAnsi="Calibri" w:cs="Calibri"/>
          <w:color w:val="auto"/>
          <w:sz w:val="20"/>
          <w:szCs w:val="20"/>
        </w:rPr>
        <w:t>O fornecedor disponibilizará todas as informações necessárias à comprovação da legitimidade dos ate</w:t>
      </w:r>
      <w:r>
        <w:rPr>
          <w:rFonts w:hint="default" w:ascii="Calibri" w:hAnsi="Calibri" w:cs="Calibri"/>
          <w:color w:val="auto"/>
          <w:sz w:val="20"/>
          <w:szCs w:val="20"/>
        </w:rPr>
        <w:tab/>
      </w:r>
      <w:r>
        <w:rPr>
          <w:rFonts w:hint="default" w:ascii="Calibri" w:hAnsi="Calibri" w:cs="Calibri"/>
          <w:color w:val="auto"/>
          <w:sz w:val="20"/>
          <w:szCs w:val="20"/>
        </w:rPr>
        <w:t>stados, apresentando, quando solicitado pela Administração, cópia do contrato que deu suporte à contratação, endereço atual da contratante e local em que foi executado o objeto contratado, dentre outros documentos.</w:t>
      </w:r>
    </w:p>
    <w:p>
      <w:pPr>
        <w:pStyle w:val="8"/>
        <w:numPr>
          <w:ilvl w:val="0"/>
          <w:numId w:val="2"/>
        </w:numPr>
        <w:spacing w:before="240" w:after="240"/>
        <w:contextualSpacing w:val="0"/>
        <w:jc w:val="both"/>
        <w:rPr>
          <w:rFonts w:hint="default" w:ascii="Calibri" w:hAnsi="Calibri" w:cs="Calibri"/>
          <w:b/>
          <w:bCs/>
          <w:color w:val="auto"/>
          <w:sz w:val="20"/>
          <w:szCs w:val="20"/>
        </w:rPr>
      </w:pPr>
      <w:r>
        <w:rPr>
          <w:rFonts w:hint="default" w:ascii="Calibri" w:hAnsi="Calibri" w:cs="Calibri"/>
          <w:b/>
          <w:bCs/>
          <w:color w:val="auto"/>
          <w:sz w:val="20"/>
          <w:szCs w:val="20"/>
        </w:rPr>
        <w:t>ESTIMATIVAS DO VALOR DA CONTRATAÇÃO</w:t>
      </w:r>
    </w:p>
    <w:p>
      <w:pPr>
        <w:pStyle w:val="8"/>
        <w:numPr>
          <w:ilvl w:val="1"/>
          <w:numId w:val="2"/>
        </w:numPr>
        <w:spacing w:before="240" w:after="240"/>
        <w:contextualSpacing w:val="0"/>
        <w:jc w:val="both"/>
        <w:rPr>
          <w:rFonts w:hint="default" w:ascii="Calibri" w:hAnsi="Calibri" w:cs="Calibri"/>
          <w:color w:val="auto"/>
          <w:sz w:val="20"/>
          <w:szCs w:val="20"/>
        </w:rPr>
      </w:pPr>
      <w:r>
        <w:rPr>
          <w:rFonts w:hint="default" w:ascii="Calibri" w:hAnsi="Calibri" w:cs="Calibri"/>
          <w:color w:val="auto"/>
          <w:sz w:val="20"/>
          <w:szCs w:val="20"/>
        </w:rPr>
        <w:t>O valor estimado da contratação, que será utilizado como critério de classificação de propostas, será elaborado na próxima fase, tendo por base este Termo de Referência, seguindo a metodologia do art. 23 da Lei 14.133/2021 e respectivas regulamentações.</w:t>
      </w:r>
    </w:p>
    <w:p>
      <w:pPr>
        <w:pStyle w:val="8"/>
        <w:numPr>
          <w:ilvl w:val="0"/>
          <w:numId w:val="2"/>
        </w:numPr>
        <w:spacing w:before="240" w:after="240"/>
        <w:contextualSpacing w:val="0"/>
        <w:rPr>
          <w:rFonts w:hint="default" w:ascii="Calibri" w:hAnsi="Calibri" w:cs="Calibri"/>
          <w:b/>
          <w:bCs/>
          <w:color w:val="auto"/>
          <w:sz w:val="20"/>
          <w:szCs w:val="20"/>
        </w:rPr>
      </w:pPr>
      <w:r>
        <w:rPr>
          <w:rFonts w:hint="default" w:ascii="Calibri" w:hAnsi="Calibri" w:cs="Calibri"/>
          <w:b/>
          <w:bCs/>
          <w:color w:val="auto"/>
          <w:sz w:val="20"/>
          <w:szCs w:val="20"/>
        </w:rPr>
        <w:t>ADEQUAÇÃO ORÇAMENTÁRIA</w:t>
      </w:r>
    </w:p>
    <w:p>
      <w:pPr>
        <w:pStyle w:val="8"/>
        <w:numPr>
          <w:ilvl w:val="1"/>
          <w:numId w:val="2"/>
        </w:numPr>
        <w:spacing w:before="240" w:after="240"/>
        <w:contextualSpacing w:val="0"/>
        <w:jc w:val="both"/>
        <w:rPr>
          <w:rFonts w:hint="default" w:ascii="Calibri" w:hAnsi="Calibri" w:cs="Calibri"/>
          <w:color w:val="auto"/>
          <w:sz w:val="20"/>
          <w:szCs w:val="20"/>
        </w:rPr>
      </w:pPr>
      <w:r>
        <w:rPr>
          <w:rFonts w:hint="default" w:ascii="Calibri" w:hAnsi="Calibri" w:cs="Calibri"/>
          <w:color w:val="auto"/>
          <w:sz w:val="20"/>
          <w:szCs w:val="20"/>
        </w:rPr>
        <w:t>A contratação será atendida através de dotação orçamentária a ser indicada pela Secretaria Municipal de Planejamento, Finanças e Tributação – Semplafit, devendo estar consiginada no orçamento vigente.</w:t>
      </w:r>
    </w:p>
    <w:p>
      <w:pPr>
        <w:spacing w:before="240" w:after="240" w:line="240" w:lineRule="auto"/>
        <w:jc w:val="both"/>
        <w:rPr>
          <w:rFonts w:hint="default" w:ascii="Calibri" w:hAnsi="Calibri" w:cs="Calibri"/>
          <w:color w:val="auto"/>
          <w:sz w:val="20"/>
          <w:szCs w:val="20"/>
        </w:rPr>
      </w:pPr>
    </w:p>
    <w:p>
      <w:pPr>
        <w:spacing w:before="240" w:after="240" w:line="240" w:lineRule="auto"/>
        <w:jc w:val="both"/>
        <w:rPr>
          <w:rFonts w:hint="default" w:ascii="Calibri" w:hAnsi="Calibri" w:cs="Calibri"/>
          <w:color w:val="auto"/>
          <w:sz w:val="20"/>
          <w:szCs w:val="20"/>
        </w:rPr>
      </w:pPr>
      <w:r>
        <w:rPr>
          <w:rFonts w:hint="default" w:ascii="Calibri" w:hAnsi="Calibri" w:cs="Calibri"/>
          <w:color w:val="auto"/>
          <w:sz w:val="20"/>
          <w:szCs w:val="20"/>
        </w:rPr>
        <w:t>Portalegre/RN, 1</w:t>
      </w:r>
      <w:r>
        <w:rPr>
          <w:rFonts w:hint="default" w:ascii="Calibri" w:hAnsi="Calibri" w:cs="Calibri"/>
          <w:color w:val="auto"/>
          <w:sz w:val="20"/>
          <w:szCs w:val="20"/>
          <w:lang w:val="pt-BR"/>
        </w:rPr>
        <w:t>8</w:t>
      </w:r>
      <w:r>
        <w:rPr>
          <w:rFonts w:hint="default" w:ascii="Calibri" w:hAnsi="Calibri" w:cs="Calibri"/>
          <w:color w:val="auto"/>
          <w:sz w:val="20"/>
          <w:szCs w:val="20"/>
        </w:rPr>
        <w:t xml:space="preserve"> de dezembro de 2023.</w:t>
      </w:r>
    </w:p>
    <w:p>
      <w:pPr>
        <w:spacing w:after="0" w:line="240" w:lineRule="auto"/>
        <w:jc w:val="center"/>
        <w:rPr>
          <w:rFonts w:hint="default" w:ascii="Calibri" w:hAnsi="Calibri" w:cs="Calibri"/>
          <w:color w:val="auto"/>
          <w:sz w:val="20"/>
          <w:szCs w:val="20"/>
        </w:rPr>
      </w:pPr>
    </w:p>
    <w:p>
      <w:pPr>
        <w:spacing w:after="0" w:line="240" w:lineRule="auto"/>
        <w:jc w:val="center"/>
        <w:rPr>
          <w:rFonts w:hint="default" w:ascii="Calibri" w:hAnsi="Calibri" w:cs="Calibri"/>
          <w:b/>
          <w:bCs/>
          <w:color w:val="auto"/>
          <w:sz w:val="20"/>
          <w:szCs w:val="20"/>
        </w:rPr>
      </w:pPr>
      <w:r>
        <w:rPr>
          <w:rFonts w:hint="default" w:ascii="Calibri" w:hAnsi="Calibri" w:cs="Calibri"/>
          <w:b/>
          <w:bCs/>
          <w:color w:val="auto"/>
          <w:sz w:val="20"/>
          <w:szCs w:val="20"/>
        </w:rPr>
        <w:t>Maria das Graças de Oliveira</w:t>
      </w:r>
    </w:p>
    <w:p>
      <w:pPr>
        <w:spacing w:after="0" w:line="240" w:lineRule="auto"/>
        <w:jc w:val="center"/>
        <w:rPr>
          <w:rFonts w:hint="default" w:ascii="Calibri" w:hAnsi="Calibri" w:cs="Calibri"/>
          <w:color w:val="auto"/>
          <w:sz w:val="20"/>
          <w:szCs w:val="20"/>
          <w:lang w:val="pt-BR"/>
        </w:rPr>
      </w:pPr>
      <w:r>
        <w:rPr>
          <w:rFonts w:hint="default" w:ascii="Calibri" w:hAnsi="Calibri" w:cs="Calibri"/>
          <w:color w:val="auto"/>
          <w:sz w:val="20"/>
          <w:szCs w:val="20"/>
        </w:rPr>
        <w:t>Sec</w:t>
      </w:r>
      <w:r>
        <w:rPr>
          <w:rFonts w:hint="default" w:ascii="Calibri" w:hAnsi="Calibri" w:cs="Calibri"/>
          <w:color w:val="auto"/>
          <w:sz w:val="20"/>
          <w:szCs w:val="20"/>
          <w:lang w:val="pt-BR"/>
        </w:rPr>
        <w:t xml:space="preserve">retaria Municipal de </w:t>
      </w:r>
      <w:r>
        <w:rPr>
          <w:rFonts w:hint="default" w:ascii="Calibri" w:hAnsi="Calibri" w:cs="Calibri"/>
          <w:color w:val="auto"/>
          <w:sz w:val="20"/>
          <w:szCs w:val="20"/>
        </w:rPr>
        <w:t>Educação e Desporto - S</w:t>
      </w:r>
      <w:r>
        <w:rPr>
          <w:rFonts w:hint="default" w:ascii="Calibri" w:hAnsi="Calibri" w:cs="Calibri"/>
          <w:color w:val="auto"/>
          <w:sz w:val="20"/>
          <w:szCs w:val="20"/>
          <w:lang w:val="pt-BR"/>
        </w:rPr>
        <w:t>EMED</w:t>
      </w:r>
    </w:p>
    <w:p>
      <w:pPr>
        <w:spacing w:after="0" w:line="240" w:lineRule="auto"/>
        <w:jc w:val="center"/>
        <w:rPr>
          <w:rFonts w:hint="default" w:ascii="Calibri" w:hAnsi="Calibri" w:cs="Calibri"/>
          <w:color w:val="auto"/>
          <w:sz w:val="20"/>
          <w:szCs w:val="20"/>
        </w:rPr>
      </w:pPr>
      <w:r>
        <w:rPr>
          <w:rFonts w:hint="default" w:ascii="Calibri" w:hAnsi="Calibri" w:cs="Calibri"/>
          <w:color w:val="auto"/>
          <w:sz w:val="20"/>
          <w:szCs w:val="20"/>
        </w:rPr>
        <w:t>Secretária Municipal</w:t>
      </w:r>
    </w:p>
    <w:p>
      <w:pPr>
        <w:jc w:val="both"/>
        <w:rPr>
          <w:rFonts w:hint="default" w:ascii="Calibri" w:hAnsi="Calibri" w:cs="Calibri"/>
          <w:color w:val="auto"/>
          <w:sz w:val="20"/>
          <w:szCs w:val="20"/>
        </w:rPr>
      </w:pPr>
    </w:p>
    <w:sectPr>
      <w:headerReference r:id="rId5" w:type="default"/>
      <w:footerReference r:id="rId6" w:type="default"/>
      <w:pgSz w:w="11906" w:h="16838"/>
      <w:pgMar w:top="1440" w:right="1800" w:bottom="1440" w:left="1800" w:header="720" w:footer="0" w:gutter="0"/>
      <w:cols w:space="720"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SimHei">
    <w:altName w:val="SimSun"/>
    <w:panose1 w:val="02010609060101010101"/>
    <w:charset w:val="86"/>
    <w:family w:val="modern"/>
    <w:pitch w:val="default"/>
    <w:sig w:usb0="800002BF" w:usb1="38CF7CFA" w:usb2="00000016" w:usb3="00000000" w:csb0="00040001" w:csb1="00000000"/>
  </w:font>
  <w:font w:name="Calibri">
    <w:panose1 w:val="020F0502020204030204"/>
    <w:charset w:val="00"/>
    <w:family w:val="swiss"/>
    <w:pitch w:val="default"/>
    <w:sig w:usb0="E4002EFF" w:usb1="C200247B" w:usb2="00000009" w:usb3="00000000" w:csb0="200001FF" w:csb1="00000000"/>
  </w:font>
  <w:font w:name="Ecofont_Spranq_eco_Sans">
    <w:altName w:val="Calibri"/>
    <w:panose1 w:val="00000000000000000000"/>
    <w:charset w:val="00"/>
    <w:family w:val="swiss"/>
    <w:pitch w:val="default"/>
    <w:sig w:usb0="00000000" w:usb1="00000000" w:usb2="00000000" w:usb3="00000000" w:csb0="00000001" w:csb1="00000000"/>
  </w:font>
  <w:font w:name="Tahoma">
    <w:panose1 w:val="020B0604030504040204"/>
    <w:charset w:val="00"/>
    <w:family w:val="swiss"/>
    <w:pitch w:val="default"/>
    <w:sig w:usb0="E1002EFF" w:usb1="C000605B" w:usb2="00000029" w:usb3="00000000" w:csb0="200101FF" w:csb1="20280000"/>
  </w:font>
  <w:font w:name="Calibri Light">
    <w:panose1 w:val="020F0302020204030204"/>
    <w:charset w:val="00"/>
    <w:family w:val="swiss"/>
    <w:pitch w:val="default"/>
    <w:sig w:usb0="E4002EFF" w:usb1="C2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autoSpaceDE w:val="0"/>
      <w:autoSpaceDN w:val="0"/>
      <w:adjustRightInd w:val="0"/>
      <w:jc w:val="center"/>
      <w:rPr>
        <w:rFonts w:hint="default" w:asciiTheme="majorHAnsi" w:hAnsiTheme="majorHAnsi" w:cstheme="majorHAnsi"/>
        <w:sz w:val="22"/>
        <w:szCs w:val="22"/>
        <w:lang w:val="pt-BR"/>
      </w:rPr>
    </w:pPr>
    <w:r>
      <w:rPr>
        <w:rFonts w:asciiTheme="majorHAnsi" w:hAnsiTheme="majorHAnsi" w:cstheme="majorHAnsi"/>
        <w:sz w:val="22"/>
        <w:szCs w:val="22"/>
      </w:rPr>
      <w:drawing>
        <wp:anchor distT="0" distB="0" distL="114300" distR="114300" simplePos="0" relativeHeight="251661312" behindDoc="0" locked="0" layoutInCell="1" allowOverlap="1">
          <wp:simplePos x="0" y="0"/>
          <wp:positionH relativeFrom="margin">
            <wp:posOffset>-441960</wp:posOffset>
          </wp:positionH>
          <wp:positionV relativeFrom="margin">
            <wp:posOffset>8705850</wp:posOffset>
          </wp:positionV>
          <wp:extent cx="6280785" cy="45085"/>
          <wp:effectExtent l="0" t="0" r="13335" b="635"/>
          <wp:wrapSquare wrapText="bothSides"/>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m 4"/>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6280785" cy="45085"/>
                  </a:xfrm>
                  <a:prstGeom prst="rect">
                    <a:avLst/>
                  </a:prstGeom>
                </pic:spPr>
              </pic:pic>
            </a:graphicData>
          </a:graphic>
        </wp:anchor>
      </w:drawing>
    </w:r>
    <w:r>
      <w:rPr>
        <w:rFonts w:hint="default" w:ascii="Times New Roman" w:hAnsi="Times New Roman" w:cs="Times New Roman"/>
        <w:b/>
        <w:bCs/>
        <w:sz w:val="20"/>
        <w:szCs w:val="20"/>
      </w:rPr>
      <w:t xml:space="preserve">Rua José Vieira Mafaldo – 122 – Centro – Portalegre/RN – CEP.: 59.810-00 – Fone/Fax.: (84) 3377 2241/2196 CNPJ.: 08.358.053/0001-90  </w:t>
    </w:r>
    <w:r>
      <w:rPr>
        <w:rFonts w:hint="default" w:ascii="Times New Roman" w:hAnsi="Times New Roman" w:cs="Times New Roman"/>
        <w:sz w:val="20"/>
        <w:szCs w:val="20"/>
      </w:rPr>
      <w:fldChar w:fldCharType="begin"/>
    </w:r>
    <w:r>
      <w:rPr>
        <w:rFonts w:hint="default" w:ascii="Times New Roman" w:hAnsi="Times New Roman" w:cs="Times New Roman"/>
        <w:sz w:val="20"/>
        <w:szCs w:val="20"/>
      </w:rPr>
      <w:instrText xml:space="preserve"> HYPERLINK "http://www.portalegre.rn.gov.br" </w:instrText>
    </w:r>
    <w:r>
      <w:rPr>
        <w:rFonts w:hint="default" w:ascii="Times New Roman" w:hAnsi="Times New Roman" w:cs="Times New Roman"/>
        <w:sz w:val="20"/>
        <w:szCs w:val="20"/>
      </w:rPr>
      <w:fldChar w:fldCharType="separate"/>
    </w:r>
    <w:r>
      <w:rPr>
        <w:rStyle w:val="4"/>
        <w:rFonts w:hint="default" w:ascii="Times New Roman" w:hAnsi="Times New Roman" w:cs="Times New Roman"/>
        <w:b/>
        <w:bCs/>
        <w:sz w:val="20"/>
        <w:szCs w:val="20"/>
      </w:rPr>
      <w:t>www.portalegre.rn.gov.br</w:t>
    </w:r>
    <w:r>
      <w:rPr>
        <w:rStyle w:val="4"/>
        <w:rFonts w:hint="default" w:ascii="Times New Roman" w:hAnsi="Times New Roman" w:cs="Times New Roman"/>
        <w:b/>
        <w:bCs/>
        <w:sz w:val="20"/>
        <w:szCs w:val="20"/>
      </w:rPr>
      <w:fldChar w:fldCharType="end"/>
    </w:r>
    <w:r>
      <w:rPr>
        <w:rFonts w:hint="default" w:ascii="Times New Roman" w:hAnsi="Times New Roman" w:cs="Times New Roman"/>
        <w:b/>
        <w:bCs/>
        <w:color w:val="DCA10D"/>
        <w:sz w:val="20"/>
        <w:szCs w:val="20"/>
        <w:u w:val="single" w:color="DCA10D"/>
      </w:rPr>
      <w:t xml:space="preserve"> </w:t>
    </w:r>
    <w:r>
      <w:rPr>
        <w:rFonts w:hint="default" w:ascii="Times New Roman" w:hAnsi="Times New Roman" w:cs="Times New Roman"/>
        <w:b/>
        <w:bCs/>
        <w:color w:val="000099"/>
        <w:sz w:val="20"/>
        <w:szCs w:val="20"/>
        <w:u w:val="single" w:color="DCA10D"/>
      </w:rPr>
      <w:t xml:space="preserve">– E-mail: </w:t>
    </w:r>
    <w:r>
      <w:rPr>
        <w:rFonts w:hint="default" w:ascii="Times New Roman" w:hAnsi="Times New Roman" w:cs="Times New Roman"/>
        <w:b/>
        <w:bCs/>
        <w:color w:val="000099"/>
        <w:sz w:val="20"/>
        <w:szCs w:val="20"/>
        <w:u w:val="single" w:color="DCA10D"/>
      </w:rPr>
      <w:fldChar w:fldCharType="begin"/>
    </w:r>
    <w:r>
      <w:rPr>
        <w:rFonts w:hint="default" w:ascii="Times New Roman" w:hAnsi="Times New Roman" w:cs="Times New Roman"/>
        <w:b/>
        <w:bCs/>
        <w:color w:val="000099"/>
        <w:sz w:val="20"/>
        <w:szCs w:val="20"/>
        <w:u w:val="single" w:color="DCA10D"/>
      </w:rPr>
      <w:instrText xml:space="preserve"> HYPERLINK "mailto:smedportalegre@gmail.com" </w:instrText>
    </w:r>
    <w:r>
      <w:rPr>
        <w:rFonts w:hint="default" w:ascii="Times New Roman" w:hAnsi="Times New Roman" w:cs="Times New Roman"/>
        <w:b/>
        <w:bCs/>
        <w:color w:val="000099"/>
        <w:sz w:val="20"/>
        <w:szCs w:val="20"/>
        <w:u w:val="single" w:color="DCA10D"/>
      </w:rPr>
      <w:fldChar w:fldCharType="separate"/>
    </w:r>
    <w:r>
      <w:rPr>
        <w:rStyle w:val="4"/>
        <w:rFonts w:hint="default" w:ascii="Times New Roman" w:hAnsi="Times New Roman" w:cs="Times New Roman"/>
        <w:b/>
        <w:bCs/>
        <w:color w:val="000099"/>
        <w:sz w:val="20"/>
        <w:szCs w:val="20"/>
      </w:rPr>
      <w:t>smedportalegre@gmail.com</w:t>
    </w:r>
    <w:r>
      <w:rPr>
        <w:rFonts w:hint="default" w:ascii="Times New Roman" w:hAnsi="Times New Roman" w:cs="Times New Roman"/>
        <w:b/>
        <w:bCs/>
        <w:color w:val="000099"/>
        <w:sz w:val="20"/>
        <w:szCs w:val="20"/>
        <w:u w:val="single" w:color="DCA10D"/>
      </w:rPr>
      <w:fldChar w:fldCharType="end"/>
    </w:r>
    <w:r>
      <w:rPr>
        <w:rFonts w:hint="default" w:ascii="Times New Roman" w:hAnsi="Times New Roman" w:cs="Times New Roman"/>
        <w:b/>
        <w:bCs/>
        <w:color w:val="000099"/>
        <w:sz w:val="20"/>
        <w:szCs w:val="20"/>
        <w:u w:val="single" w:color="DCA10D"/>
        <w:lang w:val="pt-BR"/>
      </w:rPr>
      <w:t xml:space="preserve"> - smeportalegre@educar.rn.gov.br</w:t>
    </w:r>
  </w:p>
  <w:p>
    <w:pPr>
      <w:pStyle w:val="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Pr>
    <w:r>
      <w:drawing>
        <wp:anchor distT="0" distB="0" distL="114300" distR="114300" simplePos="0" relativeHeight="251662336" behindDoc="0" locked="0" layoutInCell="1" allowOverlap="1">
          <wp:simplePos x="0" y="0"/>
          <wp:positionH relativeFrom="margin">
            <wp:posOffset>5120640</wp:posOffset>
          </wp:positionH>
          <wp:positionV relativeFrom="margin">
            <wp:posOffset>-886460</wp:posOffset>
          </wp:positionV>
          <wp:extent cx="1134110" cy="1111250"/>
          <wp:effectExtent l="0" t="0" r="8890" b="1270"/>
          <wp:wrapSquare wrapText="bothSides"/>
          <wp:docPr id="43" name="Imagem 43" descr="CARIMBO"/>
          <wp:cNvGraphicFramePr/>
          <a:graphic xmlns:a="http://schemas.openxmlformats.org/drawingml/2006/main">
            <a:graphicData uri="http://schemas.openxmlformats.org/drawingml/2006/picture">
              <pic:pic xmlns:pic="http://schemas.openxmlformats.org/drawingml/2006/picture">
                <pic:nvPicPr>
                  <pic:cNvPr id="43" name="Imagem 43" descr="CARIMBO"/>
                  <pic:cNvPicPr/>
                </pic:nvPicPr>
                <pic:blipFill>
                  <a:blip r:embed="rId1">
                    <a:extLst>
                      <a:ext uri="{28A0092B-C50C-407E-A947-70E740481C1C}">
                        <a14:useLocalDpi xmlns:a14="http://schemas.microsoft.com/office/drawing/2010/main" val="0"/>
                      </a:ext>
                    </a:extLst>
                  </a:blip>
                  <a:srcRect/>
                  <a:stretch>
                    <a:fillRect/>
                  </a:stretch>
                </pic:blipFill>
                <pic:spPr>
                  <a:xfrm>
                    <a:off x="0" y="0"/>
                    <a:ext cx="1134110" cy="1111250"/>
                  </a:xfrm>
                  <a:prstGeom prst="rect">
                    <a:avLst/>
                  </a:prstGeom>
                  <a:noFill/>
                  <a:ln>
                    <a:noFill/>
                  </a:ln>
                </pic:spPr>
              </pic:pic>
            </a:graphicData>
          </a:graphic>
        </wp:anchor>
      </w:drawing>
    </w:r>
    <w:r>
      <w:rPr>
        <w:rFonts w:ascii="Calibri Light" w:hAnsi="Calibri Light" w:cs="Calibri Light"/>
      </w:rPr>
      <w:drawing>
        <wp:anchor distT="0" distB="0" distL="114300" distR="114300" simplePos="0" relativeHeight="251660288" behindDoc="0" locked="0" layoutInCell="1" allowOverlap="1">
          <wp:simplePos x="0" y="0"/>
          <wp:positionH relativeFrom="page">
            <wp:posOffset>-635635</wp:posOffset>
          </wp:positionH>
          <wp:positionV relativeFrom="margin">
            <wp:posOffset>-848360</wp:posOffset>
          </wp:positionV>
          <wp:extent cx="8033385" cy="1129665"/>
          <wp:effectExtent l="0" t="0" r="0" b="0"/>
          <wp:wrapSquare wrapText="bothSides"/>
          <wp:docPr id="3" name="Imagem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6"/>
                  <pic:cNvPicPr>
                    <a:picLocks noChangeAspect="1"/>
                  </pic:cNvPicPr>
                </pic:nvPicPr>
                <pic:blipFill>
                  <a:blip r:embed="rId2"/>
                  <a:stretch>
                    <a:fillRect/>
                  </a:stretch>
                </pic:blipFill>
                <pic:spPr>
                  <a:xfrm>
                    <a:off x="0" y="0"/>
                    <a:ext cx="8033385" cy="1129665"/>
                  </a:xfrm>
                  <a:prstGeom prst="rect">
                    <a:avLst/>
                  </a:prstGeom>
                  <a:noFill/>
                  <a:ln>
                    <a:noFill/>
                  </a:ln>
                </pic:spPr>
              </pic:pic>
            </a:graphicData>
          </a:graphic>
        </wp:anchor>
      </w:drawing>
    </w:r>
    <w:r>
      <w:rPr>
        <w:rFonts w:hint="default" w:ascii="Times New Roman" w:hAnsi="Times New Roman" w:cs="Times New Roman"/>
        <w:b/>
        <w:bCs/>
        <w:sz w:val="24"/>
        <w:szCs w:val="24"/>
      </w:rPr>
      <w:drawing>
        <wp:anchor distT="0" distB="0" distL="114300" distR="114300" simplePos="0" relativeHeight="251659264" behindDoc="0" locked="0" layoutInCell="1" allowOverlap="1">
          <wp:simplePos x="0" y="0"/>
          <wp:positionH relativeFrom="margin">
            <wp:posOffset>-527050</wp:posOffset>
          </wp:positionH>
          <wp:positionV relativeFrom="margin">
            <wp:posOffset>231775</wp:posOffset>
          </wp:positionV>
          <wp:extent cx="6280785" cy="45085"/>
          <wp:effectExtent l="0" t="0" r="13335" b="635"/>
          <wp:wrapSquare wrapText="bothSides"/>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pic:cNvPicPr>
                    <a:picLocks noChangeAspect="1"/>
                  </pic:cNvPicPr>
                </pic:nvPicPr>
                <pic:blipFill>
                  <a:blip r:embed="rId3">
                    <a:extLst>
                      <a:ext uri="{28A0092B-C50C-407E-A947-70E740481C1C}">
                        <a14:useLocalDpi xmlns:a14="http://schemas.microsoft.com/office/drawing/2010/main" val="0"/>
                      </a:ext>
                    </a:extLst>
                  </a:blip>
                  <a:stretch>
                    <a:fillRect/>
                  </a:stretch>
                </pic:blipFill>
                <pic:spPr>
                  <a:xfrm>
                    <a:off x="0" y="0"/>
                    <a:ext cx="6280785" cy="45085"/>
                  </a:xfrm>
                  <a:prstGeom prst="rect">
                    <a:avLst/>
                  </a:prstGeom>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D151F5A"/>
    <w:multiLevelType w:val="multilevel"/>
    <w:tmpl w:val="0D151F5A"/>
    <w:lvl w:ilvl="0" w:tentative="0">
      <w:start w:val="1"/>
      <w:numFmt w:val="decimal"/>
      <w:lvlText w:val="%1."/>
      <w:lvlJc w:val="left"/>
      <w:pPr>
        <w:ind w:left="360" w:hanging="360"/>
      </w:pPr>
      <w:rPr>
        <w:rFonts w:hint="default"/>
      </w:rPr>
    </w:lvl>
    <w:lvl w:ilvl="1" w:tentative="0">
      <w:start w:val="1"/>
      <w:numFmt w:val="decimal"/>
      <w:lvlText w:val="%1.%2."/>
      <w:lvlJc w:val="left"/>
      <w:pPr>
        <w:ind w:left="792" w:hanging="432"/>
      </w:pPr>
      <w:rPr>
        <w:b w:val="0"/>
        <w:bCs w:val="0"/>
        <w:i w:val="0"/>
        <w:iCs w:val="0"/>
        <w:color w:val="auto"/>
      </w:rPr>
    </w:lvl>
    <w:lvl w:ilvl="2" w:tentative="0">
      <w:start w:val="1"/>
      <w:numFmt w:val="decimal"/>
      <w:lvlText w:val="%1.%2.%3."/>
      <w:lvlJc w:val="left"/>
      <w:pPr>
        <w:ind w:left="1224" w:hanging="504"/>
      </w:pPr>
      <w:rPr>
        <w:b w:val="0"/>
        <w:bCs w:val="0"/>
        <w:color w:val="auto"/>
      </w:rPr>
    </w:lvl>
    <w:lvl w:ilvl="3" w:tentative="0">
      <w:start w:val="1"/>
      <w:numFmt w:val="decimal"/>
      <w:lvlText w:val="%1.%2.%3.%4."/>
      <w:lvlJc w:val="left"/>
      <w:pPr>
        <w:ind w:left="1728" w:hanging="648"/>
      </w:pPr>
      <w:rPr>
        <w:b w:val="0"/>
        <w:bCs w:val="0"/>
        <w:color w:val="auto"/>
      </w:rPr>
    </w:lvl>
    <w:lvl w:ilvl="4" w:tentative="0">
      <w:start w:val="1"/>
      <w:numFmt w:val="decimal"/>
      <w:lvlText w:val="%1.%2.%3.%4.%5."/>
      <w:lvlJc w:val="left"/>
      <w:pPr>
        <w:ind w:left="2232" w:hanging="792"/>
      </w:pPr>
    </w:lvl>
    <w:lvl w:ilvl="5" w:tentative="0">
      <w:start w:val="1"/>
      <w:numFmt w:val="decimal"/>
      <w:lvlText w:val="%1.%2.%3.%4.%5.%6."/>
      <w:lvlJc w:val="left"/>
      <w:pPr>
        <w:ind w:left="2736" w:hanging="936"/>
      </w:pPr>
    </w:lvl>
    <w:lvl w:ilvl="6" w:tentative="0">
      <w:start w:val="1"/>
      <w:numFmt w:val="decimal"/>
      <w:lvlText w:val="%1.%2.%3.%4.%5.%6.%7."/>
      <w:lvlJc w:val="left"/>
      <w:pPr>
        <w:ind w:left="3240" w:hanging="1080"/>
      </w:pPr>
    </w:lvl>
    <w:lvl w:ilvl="7" w:tentative="0">
      <w:start w:val="1"/>
      <w:numFmt w:val="decimal"/>
      <w:lvlText w:val="%1.%2.%3.%4.%5.%6.%7.%8."/>
      <w:lvlJc w:val="left"/>
      <w:pPr>
        <w:ind w:left="3744" w:hanging="1224"/>
      </w:pPr>
    </w:lvl>
    <w:lvl w:ilvl="8" w:tentative="0">
      <w:start w:val="1"/>
      <w:numFmt w:val="decimal"/>
      <w:lvlText w:val="%1.%2.%3.%4.%5.%6.%7.%8.%9."/>
      <w:lvlJc w:val="left"/>
      <w:pPr>
        <w:ind w:left="4320" w:hanging="1440"/>
      </w:pPr>
    </w:lvl>
  </w:abstractNum>
  <w:abstractNum w:abstractNumId="1">
    <w:nsid w:val="3A395418"/>
    <w:multiLevelType w:val="multilevel"/>
    <w:tmpl w:val="3A395418"/>
    <w:lvl w:ilvl="0" w:tentative="0">
      <w:start w:val="1"/>
      <w:numFmt w:val="lowerRoman"/>
      <w:lvlText w:val="%1."/>
      <w:lvlJc w:val="right"/>
      <w:pPr>
        <w:ind w:left="1584" w:hanging="360"/>
      </w:pPr>
      <w:rPr>
        <w:rFonts w:hint="default"/>
      </w:rPr>
    </w:lvl>
    <w:lvl w:ilvl="1" w:tentative="0">
      <w:start w:val="1"/>
      <w:numFmt w:val="lowerLetter"/>
      <w:lvlText w:val="%2."/>
      <w:lvlJc w:val="left"/>
      <w:pPr>
        <w:ind w:left="2304" w:hanging="360"/>
      </w:pPr>
    </w:lvl>
    <w:lvl w:ilvl="2" w:tentative="0">
      <w:start w:val="1"/>
      <w:numFmt w:val="lowerRoman"/>
      <w:lvlText w:val="%3."/>
      <w:lvlJc w:val="right"/>
      <w:pPr>
        <w:ind w:left="3024" w:hanging="180"/>
      </w:pPr>
    </w:lvl>
    <w:lvl w:ilvl="3" w:tentative="0">
      <w:start w:val="1"/>
      <w:numFmt w:val="decimal"/>
      <w:lvlText w:val="%4."/>
      <w:lvlJc w:val="left"/>
      <w:pPr>
        <w:ind w:left="3744" w:hanging="360"/>
      </w:pPr>
    </w:lvl>
    <w:lvl w:ilvl="4" w:tentative="0">
      <w:start w:val="1"/>
      <w:numFmt w:val="lowerLetter"/>
      <w:lvlText w:val="%5."/>
      <w:lvlJc w:val="left"/>
      <w:pPr>
        <w:ind w:left="4464" w:hanging="360"/>
      </w:pPr>
    </w:lvl>
    <w:lvl w:ilvl="5" w:tentative="0">
      <w:start w:val="1"/>
      <w:numFmt w:val="lowerRoman"/>
      <w:lvlText w:val="%6."/>
      <w:lvlJc w:val="right"/>
      <w:pPr>
        <w:ind w:left="5184" w:hanging="180"/>
      </w:pPr>
    </w:lvl>
    <w:lvl w:ilvl="6" w:tentative="0">
      <w:start w:val="1"/>
      <w:numFmt w:val="decimal"/>
      <w:lvlText w:val="%7."/>
      <w:lvlJc w:val="left"/>
      <w:pPr>
        <w:ind w:left="5904" w:hanging="360"/>
      </w:pPr>
    </w:lvl>
    <w:lvl w:ilvl="7" w:tentative="0">
      <w:start w:val="1"/>
      <w:numFmt w:val="lowerLetter"/>
      <w:lvlText w:val="%8."/>
      <w:lvlJc w:val="left"/>
      <w:pPr>
        <w:ind w:left="6624" w:hanging="360"/>
      </w:pPr>
    </w:lvl>
    <w:lvl w:ilvl="8" w:tentative="0">
      <w:start w:val="1"/>
      <w:numFmt w:val="lowerRoman"/>
      <w:lvlText w:val="%9."/>
      <w:lvlJc w:val="right"/>
      <w:pPr>
        <w:ind w:left="7344" w:hanging="180"/>
      </w:pPr>
    </w:lvl>
  </w:abstractNum>
  <w:abstractNum w:abstractNumId="2">
    <w:nsid w:val="7DDE03E7"/>
    <w:multiLevelType w:val="multilevel"/>
    <w:tmpl w:val="7DDE03E7"/>
    <w:lvl w:ilvl="0" w:tentative="0">
      <w:start w:val="1"/>
      <w:numFmt w:val="decimal"/>
      <w:lvlText w:val="%1."/>
      <w:lvlJc w:val="left"/>
      <w:pPr>
        <w:ind w:left="360" w:hanging="360"/>
      </w:pPr>
      <w:rPr>
        <w:rFonts w:hint="default"/>
      </w:rPr>
    </w:lvl>
    <w:lvl w:ilvl="1" w:tentative="0">
      <w:start w:val="1"/>
      <w:numFmt w:val="decimal"/>
      <w:lvlText w:val="%1.%2."/>
      <w:lvlJc w:val="left"/>
      <w:pPr>
        <w:ind w:left="792" w:hanging="432"/>
      </w:pPr>
      <w:rPr>
        <w:b w:val="0"/>
        <w:bCs w:val="0"/>
        <w:i w:val="0"/>
        <w:iCs w:val="0"/>
        <w:color w:val="auto"/>
      </w:rPr>
    </w:lvl>
    <w:lvl w:ilvl="2" w:tentative="0">
      <w:start w:val="1"/>
      <w:numFmt w:val="decimal"/>
      <w:lvlText w:val="%1.%2.%3."/>
      <w:lvlJc w:val="left"/>
      <w:pPr>
        <w:ind w:left="1224" w:hanging="504"/>
      </w:pPr>
      <w:rPr>
        <w:b w:val="0"/>
        <w:bCs w:val="0"/>
        <w:color w:val="auto"/>
      </w:rPr>
    </w:lvl>
    <w:lvl w:ilvl="3" w:tentative="0">
      <w:start w:val="1"/>
      <w:numFmt w:val="decimal"/>
      <w:lvlText w:val="%1.%2.%3.%4."/>
      <w:lvlJc w:val="left"/>
      <w:pPr>
        <w:ind w:left="1728" w:hanging="648"/>
      </w:pPr>
      <w:rPr>
        <w:b w:val="0"/>
        <w:bCs w:val="0"/>
        <w:color w:val="auto"/>
      </w:rPr>
    </w:lvl>
    <w:lvl w:ilvl="4" w:tentative="0">
      <w:start w:val="1"/>
      <w:numFmt w:val="decimal"/>
      <w:lvlText w:val="%1.%2.%3.%4.%5."/>
      <w:lvlJc w:val="left"/>
      <w:pPr>
        <w:ind w:left="2232" w:hanging="792"/>
      </w:pPr>
    </w:lvl>
    <w:lvl w:ilvl="5" w:tentative="0">
      <w:start w:val="1"/>
      <w:numFmt w:val="decimal"/>
      <w:lvlText w:val="%1.%2.%3.%4.%5.%6."/>
      <w:lvlJc w:val="left"/>
      <w:pPr>
        <w:ind w:left="2736" w:hanging="936"/>
      </w:pPr>
    </w:lvl>
    <w:lvl w:ilvl="6" w:tentative="0">
      <w:start w:val="1"/>
      <w:numFmt w:val="decimal"/>
      <w:lvlText w:val="%1.%2.%3.%4.%5.%6.%7."/>
      <w:lvlJc w:val="left"/>
      <w:pPr>
        <w:ind w:left="3240" w:hanging="1080"/>
      </w:pPr>
    </w:lvl>
    <w:lvl w:ilvl="7" w:tentative="0">
      <w:start w:val="1"/>
      <w:numFmt w:val="decimal"/>
      <w:lvlText w:val="%1.%2.%3.%4.%5.%6.%7.%8."/>
      <w:lvlJc w:val="left"/>
      <w:pPr>
        <w:ind w:left="3744" w:hanging="1224"/>
      </w:pPr>
    </w:lvl>
    <w:lvl w:ilvl="8" w:tentative="0">
      <w:start w:val="1"/>
      <w:numFmt w:val="decimal"/>
      <w:lvlText w:val="%1.%2.%3.%4.%5.%6.%7.%8.%9."/>
      <w:lvlJc w:val="left"/>
      <w:pPr>
        <w:ind w:left="4320" w:hanging="144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50"/>
  <w:embedSystemFonts/>
  <w:bordersDoNotSurroundHeader w:val="1"/>
  <w:bordersDoNotSurroundFooter w:val="1"/>
  <w:documentProtection w:enforcement="0"/>
  <w:defaultTabStop w:val="508"/>
  <w:drawingGridVerticalSpacing w:val="156"/>
  <w:displayHorizontalDrawingGridEvery w:val="0"/>
  <w:displayVerticalDrawingGridEvery w:val="2"/>
  <w:characterSpacingControl w:val="doNotCompress"/>
  <w:footnotePr>
    <w:footnote w:id="0"/>
    <w:footnote w:id="1"/>
  </w:footnotePr>
  <w:endnotePr>
    <w:endnote w:id="0"/>
    <w:endnote w:id="1"/>
  </w:endnotePr>
  <w:compat>
    <w:spaceForUL/>
    <w:doNotLeaveBackslashAlone/>
    <w:ulTrailSpace/>
    <w:doNotExpandShiftReturn/>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78611B1"/>
    <w:rsid w:val="04AC0086"/>
    <w:rsid w:val="106659D8"/>
    <w:rsid w:val="10DC6C37"/>
    <w:rsid w:val="23072F52"/>
    <w:rsid w:val="2A1060BE"/>
    <w:rsid w:val="3DDE55C5"/>
    <w:rsid w:val="49E91E83"/>
    <w:rsid w:val="56303E9C"/>
    <w:rsid w:val="612F4193"/>
    <w:rsid w:val="6629273F"/>
    <w:rsid w:val="66445EC9"/>
    <w:rsid w:val="688F1E81"/>
    <w:rsid w:val="778611B1"/>
    <w:rsid w:val="7E961EE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qFormat="1" w:unhideWhenUsed="0" w:uiPriority="34" w:semiHidden="0" w:name="List Paragraph"/>
  </w:latentStyles>
  <w:style w:type="paragraph" w:default="1" w:styleId="1">
    <w:name w:val="Normal"/>
    <w:qFormat/>
    <w:uiPriority w:val="0"/>
    <w:pPr>
      <w:spacing w:after="200" w:line="276" w:lineRule="auto"/>
    </w:pPr>
    <w:rPr>
      <w:rFonts w:asciiTheme="minorHAnsi" w:hAnsiTheme="minorHAnsi" w:eastAsiaTheme="minorHAnsi" w:cstheme="minorBidi"/>
      <w:sz w:val="22"/>
      <w:szCs w:val="22"/>
      <w:lang w:val="pt-BR" w:eastAsia="en-US" w:bidi="ar-SA"/>
    </w:rPr>
  </w:style>
  <w:style w:type="character" w:default="1" w:styleId="2">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character" w:styleId="4">
    <w:name w:val="Hyperlink"/>
    <w:basedOn w:val="2"/>
    <w:qFormat/>
    <w:uiPriority w:val="0"/>
    <w:rPr>
      <w:color w:val="0000FF"/>
      <w:u w:val="single"/>
    </w:rPr>
  </w:style>
  <w:style w:type="paragraph" w:styleId="5">
    <w:name w:val="header"/>
    <w:basedOn w:val="1"/>
    <w:qFormat/>
    <w:uiPriority w:val="0"/>
    <w:pPr>
      <w:tabs>
        <w:tab w:val="center" w:pos="4252"/>
        <w:tab w:val="right" w:pos="8504"/>
      </w:tabs>
    </w:pPr>
  </w:style>
  <w:style w:type="paragraph" w:styleId="6">
    <w:name w:val="footer"/>
    <w:basedOn w:val="1"/>
    <w:qFormat/>
    <w:uiPriority w:val="0"/>
    <w:pPr>
      <w:tabs>
        <w:tab w:val="center" w:pos="4252"/>
        <w:tab w:val="right" w:pos="8504"/>
      </w:tabs>
    </w:pPr>
  </w:style>
  <w:style w:type="table" w:styleId="7">
    <w:name w:val="Table Grid"/>
    <w:basedOn w:val="3"/>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8">
    <w:name w:val="List Paragraph"/>
    <w:basedOn w:val="1"/>
    <w:qFormat/>
    <w:uiPriority w:val="34"/>
    <w:pPr>
      <w:spacing w:after="0" w:line="240" w:lineRule="auto"/>
      <w:ind w:left="720"/>
      <w:contextualSpacing/>
    </w:pPr>
    <w:rPr>
      <w:rFonts w:ascii="Ecofont_Spranq_eco_Sans" w:hAnsi="Ecofont_Spranq_eco_Sans" w:cs="Tahoma" w:eastAsiaTheme="minorEastAsia"/>
      <w:sz w:val="24"/>
      <w:szCs w:val="24"/>
      <w:lang w:eastAsia="pt-BR"/>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theme" Target="theme/theme1.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4</TotalTime>
  <ScaleCrop>false</ScaleCrop>
  <LinksUpToDate>false</LinksUpToDate>
  <CharactersWithSpaces>0</CharactersWithSpaces>
  <Application>WPS Office_11.2.0.11225_F1E327BC-269C-435d-A152-05C5408002CA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2023-02-09T13:51:00Z</dcterms:created>
  <dc:creator>google1583800197</dc:creator>
  <cp:lastModifiedBy>PMP - 2044</cp:lastModifiedBy>
  <cp:lastPrinted>2023-12-12T17:26:00Z</cp:lastPrinted>
  <dcterms:modified xsi:type="dcterms:W3CDTF">2023-12-19T16:22:34Z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1046-11.2.0.11225</vt:lpwstr>
  </property>
  <property fmtid="{D5CDD505-2E9C-101B-9397-08002B2CF9AE}" pid="3" name="ICV">
    <vt:lpwstr>30D49E92DE5846B1B455516ED6A1B409</vt:lpwstr>
  </property>
</Properties>
</file>