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lang w:val="pt-BR"/>
        </w:rPr>
      </w:pPr>
      <w:r>
        <w:rPr>
          <w:rFonts w:hint="default"/>
          <w:b/>
          <w:bCs/>
          <w:lang w:val="pt-BR"/>
        </w:rPr>
        <w:t>PARECER TÉCNICO</w:t>
      </w:r>
    </w:p>
    <w:p>
      <w:pPr>
        <w:jc w:val="both"/>
      </w:pPr>
      <w:r>
        <w:t xml:space="preserve">Aos oito dias do mês de fevereiro do ano de dois mil e vinte e quatro, na sede da Secretaria Municipal de </w:t>
      </w:r>
      <w:r>
        <w:rPr>
          <w:lang w:val="pt-BR"/>
        </w:rPr>
        <w:t>Educação</w:t>
      </w:r>
      <w:r>
        <w:t xml:space="preserve"> e Cultura, foram analisados catálogos digitais que possuam todas as especificações técnicas de alguns materiais, do processo administrativo nº 24010001/2024, Dispensa de Licitação Eletrônica nº 002/2024 – DISP/SEMED, cujo objeto é Contratação de empresa para aquisição complementar de materiais/livros didáticos para atender os alunos da Educação Infantil destinados a Creche (03 a 05 anos) da Rede Municipal de Ensino de Portalegre/RN, no decorrer do ano letivo de 2024. </w:t>
      </w:r>
    </w:p>
    <w:p>
      <w:pPr>
        <w:jc w:val="both"/>
      </w:pPr>
      <w:r>
        <w:t>De acordo com os itens 01, 02 e 03, os detentores das melhores ofertas são: D F de S Silva (Itens 01 e 02) e 52.524.430 ANNA ALICE ALVES CARVALHO (item 03) respectivamente, onde eles encaminharam no dia 02 de fevereiro de 2024 as fichas técnicas (catálogo digital) para análise.</w:t>
      </w:r>
    </w:p>
    <w:p>
      <w:pPr>
        <w:jc w:val="both"/>
      </w:pPr>
      <w:r>
        <w:t>Os critérios de análise das fichas técnicas foram as especificações condizentes ou similares ao solicitado no Termo de Referência, conforme segue:</w:t>
      </w:r>
    </w:p>
    <w:tbl>
      <w:tblPr>
        <w:tblStyle w:val="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095"/>
        <w:gridCol w:w="924"/>
        <w:gridCol w:w="121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Item</w:t>
            </w:r>
          </w:p>
        </w:tc>
        <w:tc>
          <w:tcPr>
            <w:tcW w:w="4095"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Descrição/Especificação</w:t>
            </w:r>
          </w:p>
        </w:tc>
        <w:tc>
          <w:tcPr>
            <w:tcW w:w="924"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Marca</w:t>
            </w:r>
          </w:p>
        </w:tc>
        <w:tc>
          <w:tcPr>
            <w:tcW w:w="1218"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Empresa Vencedora</w:t>
            </w:r>
          </w:p>
        </w:tc>
        <w:tc>
          <w:tcPr>
            <w:tcW w:w="1417" w:type="dxa"/>
            <w:shd w:val="clear" w:color="auto" w:fill="FBE4D5" w:themeFill="accent2" w:themeFillTint="33"/>
          </w:tcPr>
          <w:p>
            <w:pPr>
              <w:spacing w:after="0" w:line="240" w:lineRule="auto"/>
              <w:jc w:val="center"/>
              <w:rPr>
                <w:rFonts w:eastAsiaTheme="minorEastAsia"/>
                <w:b/>
                <w:bCs/>
                <w:sz w:val="22"/>
                <w:szCs w:val="22"/>
                <w:lang w:eastAsia="pt-BR"/>
              </w:rPr>
            </w:pPr>
            <w:r>
              <w:rPr>
                <w:rFonts w:eastAsiaTheme="minorEastAsia"/>
                <w:b/>
                <w:bCs/>
                <w:sz w:val="22"/>
                <w:szCs w:val="22"/>
                <w:lang w:eastAsia="pt-BR"/>
              </w:rPr>
              <w:t>Situação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after="0" w:line="240" w:lineRule="auto"/>
              <w:jc w:val="center"/>
              <w:rPr>
                <w:rFonts w:eastAsiaTheme="minorEastAsia"/>
                <w:sz w:val="22"/>
                <w:szCs w:val="22"/>
                <w:lang w:eastAsia="pt-BR"/>
              </w:rPr>
            </w:pPr>
            <w:r>
              <w:rPr>
                <w:rFonts w:eastAsiaTheme="minorEastAsia"/>
                <w:sz w:val="22"/>
                <w:szCs w:val="22"/>
                <w:lang w:eastAsia="pt-BR"/>
              </w:rPr>
              <w:t>01</w:t>
            </w:r>
          </w:p>
        </w:tc>
        <w:tc>
          <w:tcPr>
            <w:tcW w:w="4095" w:type="dxa"/>
            <w:vAlign w:val="center"/>
          </w:tcPr>
          <w:p>
            <w:pPr>
              <w:spacing w:after="0" w:line="240" w:lineRule="auto"/>
              <w:jc w:val="both"/>
              <w:rPr>
                <w:rFonts w:eastAsiaTheme="minorEastAsia"/>
                <w:sz w:val="22"/>
                <w:szCs w:val="22"/>
                <w:lang w:eastAsia="pt-BR"/>
              </w:rPr>
            </w:pPr>
            <w:r>
              <w:rPr>
                <w:rFonts w:eastAsiaTheme="minorEastAsia"/>
                <w:sz w:val="22"/>
                <w:szCs w:val="22"/>
                <w:lang w:eastAsia="pt-BR"/>
              </w:rPr>
              <w:t xml:space="preserve">Livro didático integrado com sequências didáticas baseadas em experiências de aprendizagem e com consignas contextualizadas. Material de acordo com a BNCC. </w:t>
            </w:r>
          </w:p>
          <w:p>
            <w:pPr>
              <w:spacing w:after="0" w:line="240" w:lineRule="auto"/>
              <w:jc w:val="both"/>
              <w:rPr>
                <w:rFonts w:eastAsiaTheme="minorEastAsia"/>
                <w:sz w:val="22"/>
                <w:szCs w:val="22"/>
                <w:lang w:eastAsia="pt-BR"/>
              </w:rPr>
            </w:pPr>
            <w:r>
              <w:rPr>
                <w:rFonts w:eastAsiaTheme="minorEastAsia"/>
                <w:sz w:val="22"/>
                <w:szCs w:val="22"/>
                <w:lang w:eastAsia="pt-BR"/>
              </w:rPr>
              <w:t>Portifólio de Vivências com registros explorando os eixos de interação e brincadeiras.</w:t>
            </w:r>
          </w:p>
          <w:p>
            <w:pPr>
              <w:spacing w:after="0" w:line="240" w:lineRule="auto"/>
              <w:jc w:val="both"/>
              <w:rPr>
                <w:rFonts w:eastAsiaTheme="minorEastAsia"/>
                <w:sz w:val="22"/>
                <w:szCs w:val="22"/>
                <w:lang w:eastAsia="pt-BR"/>
              </w:rPr>
            </w:pPr>
            <w:r>
              <w:rPr>
                <w:rFonts w:eastAsiaTheme="minorEastAsia"/>
                <w:sz w:val="22"/>
                <w:szCs w:val="22"/>
                <w:lang w:eastAsia="pt-BR"/>
              </w:rPr>
              <w:t>Agenda do aluno.</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b/>
                <w:bCs/>
                <w:sz w:val="22"/>
                <w:szCs w:val="22"/>
                <w:lang w:eastAsia="pt-BR"/>
              </w:rPr>
              <w:t>Material de apoio ao professor ( mínimo de 03 kits):</w:t>
            </w:r>
            <w:r>
              <w:rPr>
                <w:rFonts w:eastAsiaTheme="minorEastAsia"/>
                <w:sz w:val="22"/>
                <w:szCs w:val="22"/>
                <w:lang w:eastAsia="pt-BR"/>
              </w:rPr>
              <w:t xml:space="preserve"> Livro do professor.</w:t>
            </w:r>
          </w:p>
          <w:p>
            <w:pPr>
              <w:spacing w:after="0" w:line="240" w:lineRule="auto"/>
              <w:jc w:val="both"/>
              <w:rPr>
                <w:rFonts w:eastAsiaTheme="minorEastAsia"/>
                <w:sz w:val="22"/>
                <w:szCs w:val="22"/>
                <w:lang w:eastAsia="pt-BR"/>
              </w:rPr>
            </w:pPr>
            <w:r>
              <w:rPr>
                <w:rFonts w:eastAsiaTheme="minorEastAsia"/>
                <w:sz w:val="22"/>
                <w:szCs w:val="22"/>
                <w:lang w:eastAsia="pt-BR"/>
              </w:rPr>
              <w:t>Alfabeto.</w:t>
            </w:r>
          </w:p>
          <w:p>
            <w:pPr>
              <w:spacing w:after="0" w:line="240" w:lineRule="auto"/>
              <w:jc w:val="both"/>
              <w:rPr>
                <w:rFonts w:eastAsiaTheme="minorEastAsia"/>
                <w:sz w:val="22"/>
                <w:szCs w:val="22"/>
                <w:lang w:eastAsia="pt-BR"/>
              </w:rPr>
            </w:pPr>
            <w:r>
              <w:rPr>
                <w:rFonts w:eastAsiaTheme="minorEastAsia"/>
                <w:sz w:val="22"/>
                <w:szCs w:val="22"/>
                <w:lang w:eastAsia="pt-BR"/>
              </w:rPr>
              <w:t>Números</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sz w:val="22"/>
                <w:szCs w:val="22"/>
                <w:lang w:eastAsia="pt-BR"/>
              </w:rPr>
              <w:t>Cartazes com obras de arte.</w:t>
            </w:r>
          </w:p>
          <w:p>
            <w:pPr>
              <w:spacing w:after="0" w:line="240" w:lineRule="auto"/>
              <w:jc w:val="both"/>
              <w:rPr>
                <w:rFonts w:eastAsiaTheme="minorEastAsia"/>
                <w:sz w:val="22"/>
                <w:szCs w:val="22"/>
                <w:lang w:eastAsia="pt-BR"/>
              </w:rPr>
            </w:pPr>
            <w:r>
              <w:rPr>
                <w:rFonts w:eastAsiaTheme="minorEastAsia"/>
                <w:sz w:val="22"/>
                <w:szCs w:val="22"/>
                <w:lang w:eastAsia="pt-BR"/>
              </w:rPr>
              <w:t xml:space="preserve">Livro socioemocional. </w:t>
            </w:r>
          </w:p>
          <w:p>
            <w:pPr>
              <w:spacing w:after="0" w:line="240" w:lineRule="auto"/>
              <w:jc w:val="both"/>
              <w:rPr>
                <w:rFonts w:eastAsiaTheme="minorEastAsia"/>
                <w:sz w:val="22"/>
                <w:szCs w:val="22"/>
                <w:lang w:eastAsia="pt-BR"/>
              </w:rPr>
            </w:pPr>
            <w:r>
              <w:rPr>
                <w:rFonts w:eastAsiaTheme="minorEastAsia"/>
                <w:sz w:val="22"/>
                <w:szCs w:val="22"/>
                <w:lang w:eastAsia="pt-BR"/>
              </w:rPr>
              <w:t xml:space="preserve">Formação continuada ministrada pela Editora. </w:t>
            </w:r>
          </w:p>
        </w:tc>
        <w:tc>
          <w:tcPr>
            <w:tcW w:w="924" w:type="dxa"/>
            <w:vAlign w:val="center"/>
          </w:tcPr>
          <w:p>
            <w:pPr>
              <w:spacing w:after="0" w:line="240" w:lineRule="auto"/>
              <w:jc w:val="center"/>
              <w:rPr>
                <w:rFonts w:eastAsiaTheme="minorEastAsia"/>
                <w:sz w:val="22"/>
                <w:szCs w:val="22"/>
                <w:lang w:eastAsia="pt-BR"/>
              </w:rPr>
            </w:pPr>
          </w:p>
        </w:tc>
        <w:tc>
          <w:tcPr>
            <w:tcW w:w="1218" w:type="dxa"/>
            <w:vAlign w:val="center"/>
          </w:tcPr>
          <w:p>
            <w:pPr>
              <w:spacing w:after="0" w:line="240" w:lineRule="auto"/>
              <w:jc w:val="center"/>
              <w:rPr>
                <w:rFonts w:eastAsiaTheme="minorEastAsia"/>
                <w:sz w:val="22"/>
                <w:szCs w:val="22"/>
                <w:lang w:eastAsia="pt-BR"/>
              </w:rPr>
            </w:pPr>
          </w:p>
        </w:tc>
        <w:tc>
          <w:tcPr>
            <w:tcW w:w="1417" w:type="dxa"/>
          </w:tcPr>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r>
              <w:rPr>
                <w:rFonts w:eastAsiaTheme="minorEastAsia"/>
                <w:sz w:val="22"/>
                <w:szCs w:val="22"/>
                <w:lang w:eastAsia="pt-BR"/>
              </w:rPr>
              <w:t>APROVADO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after="0" w:line="240" w:lineRule="auto"/>
              <w:jc w:val="center"/>
              <w:rPr>
                <w:rFonts w:eastAsiaTheme="minorEastAsia"/>
                <w:sz w:val="22"/>
                <w:szCs w:val="22"/>
                <w:lang w:eastAsia="pt-BR"/>
              </w:rPr>
            </w:pPr>
            <w:r>
              <w:rPr>
                <w:rFonts w:eastAsiaTheme="minorEastAsia"/>
                <w:sz w:val="22"/>
                <w:szCs w:val="22"/>
                <w:lang w:eastAsia="pt-BR"/>
              </w:rPr>
              <w:t>02</w:t>
            </w:r>
          </w:p>
        </w:tc>
        <w:tc>
          <w:tcPr>
            <w:tcW w:w="4095" w:type="dxa"/>
            <w:vAlign w:val="center"/>
          </w:tcPr>
          <w:p>
            <w:pPr>
              <w:spacing w:after="0" w:line="240" w:lineRule="auto"/>
              <w:jc w:val="both"/>
              <w:rPr>
                <w:rFonts w:eastAsiaTheme="minorEastAsia"/>
                <w:sz w:val="22"/>
                <w:szCs w:val="22"/>
                <w:lang w:eastAsia="pt-BR"/>
              </w:rPr>
            </w:pPr>
            <w:r>
              <w:rPr>
                <w:rFonts w:eastAsiaTheme="minorEastAsia"/>
                <w:sz w:val="22"/>
                <w:szCs w:val="22"/>
                <w:lang w:eastAsia="pt-BR"/>
              </w:rPr>
              <w:t>Livro didático integrado com sequências didáticas baseadas em experiências de aprendizagem e com consignas contextualizadas. Material de acordo com a BNCC.</w:t>
            </w:r>
          </w:p>
          <w:p>
            <w:pPr>
              <w:spacing w:after="0" w:line="240" w:lineRule="auto"/>
              <w:jc w:val="both"/>
              <w:rPr>
                <w:rFonts w:eastAsiaTheme="minorEastAsia"/>
                <w:sz w:val="22"/>
                <w:szCs w:val="22"/>
                <w:lang w:eastAsia="pt-BR"/>
              </w:rPr>
            </w:pPr>
            <w:r>
              <w:rPr>
                <w:rFonts w:eastAsiaTheme="minorEastAsia"/>
                <w:sz w:val="22"/>
                <w:szCs w:val="22"/>
                <w:lang w:eastAsia="pt-BR"/>
              </w:rPr>
              <w:t xml:space="preserve">Portifólio de Vivências com registros explorando os eixos interação e brincadeiras. </w:t>
            </w:r>
          </w:p>
          <w:p>
            <w:pPr>
              <w:spacing w:after="0" w:line="240" w:lineRule="auto"/>
              <w:jc w:val="both"/>
              <w:rPr>
                <w:rFonts w:eastAsiaTheme="minorEastAsia"/>
                <w:sz w:val="22"/>
                <w:szCs w:val="22"/>
                <w:lang w:eastAsia="pt-BR"/>
              </w:rPr>
            </w:pPr>
            <w:r>
              <w:rPr>
                <w:rFonts w:eastAsiaTheme="minorEastAsia"/>
                <w:sz w:val="22"/>
                <w:szCs w:val="22"/>
                <w:lang w:eastAsia="pt-BR"/>
              </w:rPr>
              <w:t>Agenda do aluno.</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b/>
                <w:bCs/>
                <w:sz w:val="22"/>
                <w:szCs w:val="22"/>
                <w:lang w:eastAsia="pt-BR"/>
              </w:rPr>
              <w:t>Material de apoio ao professor (mínimo de 10 kits): Livro do professor.</w:t>
            </w:r>
            <w:r>
              <w:rPr>
                <w:rFonts w:eastAsiaTheme="minorEastAsia"/>
                <w:sz w:val="22"/>
                <w:szCs w:val="22"/>
                <w:lang w:eastAsia="pt-BR"/>
              </w:rPr>
              <w:t xml:space="preserve"> </w:t>
            </w:r>
          </w:p>
          <w:p>
            <w:pPr>
              <w:spacing w:after="0" w:line="240" w:lineRule="auto"/>
              <w:jc w:val="both"/>
              <w:rPr>
                <w:rFonts w:eastAsiaTheme="minorEastAsia"/>
                <w:sz w:val="22"/>
                <w:szCs w:val="22"/>
                <w:lang w:eastAsia="pt-BR"/>
              </w:rPr>
            </w:pPr>
            <w:r>
              <w:rPr>
                <w:rFonts w:eastAsiaTheme="minorEastAsia"/>
                <w:sz w:val="22"/>
                <w:szCs w:val="22"/>
                <w:lang w:eastAsia="pt-BR"/>
              </w:rPr>
              <w:t>Alfabeto.</w:t>
            </w:r>
          </w:p>
          <w:p>
            <w:pPr>
              <w:spacing w:after="0" w:line="240" w:lineRule="auto"/>
              <w:jc w:val="both"/>
              <w:rPr>
                <w:rFonts w:eastAsiaTheme="minorEastAsia"/>
                <w:sz w:val="22"/>
                <w:szCs w:val="22"/>
                <w:lang w:eastAsia="pt-BR"/>
              </w:rPr>
            </w:pPr>
            <w:r>
              <w:rPr>
                <w:rFonts w:eastAsiaTheme="minorEastAsia"/>
                <w:sz w:val="22"/>
                <w:szCs w:val="22"/>
                <w:lang w:eastAsia="pt-BR"/>
              </w:rPr>
              <w:t>Números.</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sz w:val="22"/>
                <w:szCs w:val="22"/>
                <w:lang w:eastAsia="pt-BR"/>
              </w:rPr>
              <w:t>Cartazes com obras de arte.</w:t>
            </w:r>
          </w:p>
          <w:p>
            <w:pPr>
              <w:spacing w:after="0" w:line="240" w:lineRule="auto"/>
              <w:jc w:val="both"/>
              <w:rPr>
                <w:rFonts w:eastAsiaTheme="minorEastAsia"/>
                <w:sz w:val="22"/>
                <w:szCs w:val="22"/>
                <w:lang w:eastAsia="pt-BR"/>
              </w:rPr>
            </w:pPr>
            <w:r>
              <w:rPr>
                <w:rFonts w:eastAsiaTheme="minorEastAsia"/>
                <w:sz w:val="22"/>
                <w:szCs w:val="22"/>
                <w:lang w:eastAsia="pt-BR"/>
              </w:rPr>
              <w:t>Livro socioemocional.</w:t>
            </w:r>
          </w:p>
          <w:p>
            <w:pPr>
              <w:spacing w:after="0" w:line="240" w:lineRule="auto"/>
              <w:jc w:val="both"/>
              <w:rPr>
                <w:rFonts w:eastAsiaTheme="minorEastAsia"/>
                <w:sz w:val="22"/>
                <w:szCs w:val="22"/>
                <w:lang w:eastAsia="pt-BR"/>
              </w:rPr>
            </w:pPr>
            <w:r>
              <w:rPr>
                <w:rFonts w:eastAsiaTheme="minorEastAsia"/>
                <w:sz w:val="22"/>
                <w:szCs w:val="22"/>
                <w:lang w:eastAsia="pt-BR"/>
              </w:rPr>
              <w:t xml:space="preserve">Formação continuada ministrada pela Editora. </w:t>
            </w:r>
          </w:p>
        </w:tc>
        <w:tc>
          <w:tcPr>
            <w:tcW w:w="924" w:type="dxa"/>
            <w:vAlign w:val="center"/>
          </w:tcPr>
          <w:p>
            <w:pPr>
              <w:spacing w:after="0" w:line="240" w:lineRule="auto"/>
              <w:jc w:val="center"/>
              <w:rPr>
                <w:rFonts w:eastAsiaTheme="minorEastAsia"/>
                <w:sz w:val="22"/>
                <w:szCs w:val="22"/>
                <w:lang w:eastAsia="pt-BR"/>
              </w:rPr>
            </w:pPr>
          </w:p>
        </w:tc>
        <w:tc>
          <w:tcPr>
            <w:tcW w:w="1218" w:type="dxa"/>
            <w:vAlign w:val="center"/>
          </w:tcPr>
          <w:p>
            <w:pPr>
              <w:spacing w:after="0" w:line="240" w:lineRule="auto"/>
              <w:jc w:val="center"/>
              <w:rPr>
                <w:rFonts w:eastAsiaTheme="minorEastAsia"/>
                <w:sz w:val="22"/>
                <w:szCs w:val="22"/>
                <w:lang w:eastAsia="pt-BR"/>
              </w:rPr>
            </w:pPr>
          </w:p>
        </w:tc>
        <w:tc>
          <w:tcPr>
            <w:tcW w:w="1417" w:type="dxa"/>
          </w:tcPr>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r>
              <w:rPr>
                <w:rFonts w:eastAsiaTheme="minorEastAsia"/>
                <w:sz w:val="22"/>
                <w:szCs w:val="22"/>
                <w:lang w:eastAsia="pt-BR"/>
              </w:rPr>
              <w:t>APROVADO</w:t>
            </w: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after="0" w:line="240" w:lineRule="auto"/>
              <w:jc w:val="center"/>
              <w:rPr>
                <w:rFonts w:eastAsiaTheme="minorEastAsia"/>
                <w:sz w:val="22"/>
                <w:szCs w:val="22"/>
                <w:lang w:eastAsia="pt-BR"/>
              </w:rPr>
            </w:pPr>
            <w:r>
              <w:rPr>
                <w:rFonts w:eastAsiaTheme="minorEastAsia"/>
                <w:sz w:val="22"/>
                <w:szCs w:val="22"/>
                <w:lang w:eastAsia="pt-BR"/>
              </w:rPr>
              <w:t>03</w:t>
            </w:r>
          </w:p>
        </w:tc>
        <w:tc>
          <w:tcPr>
            <w:tcW w:w="4095" w:type="dxa"/>
            <w:vAlign w:val="center"/>
          </w:tcPr>
          <w:p>
            <w:pPr>
              <w:spacing w:after="0" w:line="240" w:lineRule="auto"/>
              <w:jc w:val="both"/>
              <w:rPr>
                <w:rFonts w:eastAsiaTheme="minorEastAsia"/>
                <w:sz w:val="22"/>
                <w:szCs w:val="22"/>
                <w:lang w:eastAsia="pt-BR"/>
              </w:rPr>
            </w:pPr>
            <w:r>
              <w:rPr>
                <w:rFonts w:eastAsiaTheme="minorEastAsia"/>
                <w:sz w:val="22"/>
                <w:szCs w:val="22"/>
                <w:lang w:eastAsia="pt-BR"/>
              </w:rPr>
              <w:t>Livro didático integrado com sequências didáticas baseadas em experiências de  aprendizagem e com consignas contextualizadas. Material de acordo com a BNCC. Portifólio de vivências com registros explorando os eixos interação e brincadeiras.</w:t>
            </w:r>
          </w:p>
          <w:p>
            <w:pPr>
              <w:spacing w:after="0" w:line="240" w:lineRule="auto"/>
              <w:jc w:val="both"/>
              <w:rPr>
                <w:rFonts w:eastAsiaTheme="minorEastAsia"/>
                <w:sz w:val="22"/>
                <w:szCs w:val="22"/>
                <w:lang w:eastAsia="pt-BR"/>
              </w:rPr>
            </w:pPr>
            <w:r>
              <w:rPr>
                <w:rFonts w:eastAsiaTheme="minorEastAsia"/>
                <w:sz w:val="22"/>
                <w:szCs w:val="22"/>
                <w:lang w:eastAsia="pt-BR"/>
              </w:rPr>
              <w:t>Agenda do aluno.</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b/>
                <w:bCs/>
                <w:sz w:val="22"/>
                <w:szCs w:val="22"/>
                <w:lang w:eastAsia="pt-BR"/>
              </w:rPr>
              <w:t>Material de apoio ao professor (mínimo de 10 kits)</w:t>
            </w:r>
          </w:p>
          <w:p>
            <w:pPr>
              <w:spacing w:after="0" w:line="240" w:lineRule="auto"/>
              <w:jc w:val="both"/>
              <w:rPr>
                <w:rFonts w:eastAsiaTheme="minorEastAsia"/>
                <w:sz w:val="22"/>
                <w:szCs w:val="22"/>
                <w:lang w:eastAsia="pt-BR"/>
              </w:rPr>
            </w:pPr>
            <w:r>
              <w:rPr>
                <w:rFonts w:eastAsiaTheme="minorEastAsia"/>
                <w:sz w:val="22"/>
                <w:szCs w:val="22"/>
                <w:lang w:eastAsia="pt-BR"/>
              </w:rPr>
              <w:t>Livro do professor</w:t>
            </w:r>
            <w:r>
              <w:rPr>
                <w:rFonts w:hint="default" w:eastAsiaTheme="minorEastAsia"/>
                <w:sz w:val="22"/>
                <w:szCs w:val="22"/>
                <w:lang w:val="en-US" w:eastAsia="pt-BR"/>
              </w:rPr>
              <w:t xml:space="preserve">; </w:t>
            </w:r>
            <w:r>
              <w:rPr>
                <w:rFonts w:eastAsiaTheme="minorEastAsia"/>
                <w:sz w:val="22"/>
                <w:szCs w:val="22"/>
                <w:lang w:eastAsia="pt-BR"/>
              </w:rPr>
              <w:t>Alfabeto</w:t>
            </w:r>
            <w:r>
              <w:rPr>
                <w:rFonts w:hint="default" w:eastAsiaTheme="minorEastAsia"/>
                <w:sz w:val="22"/>
                <w:szCs w:val="22"/>
                <w:lang w:val="en-US" w:eastAsia="pt-BR"/>
              </w:rPr>
              <w:t xml:space="preserve">; </w:t>
            </w:r>
            <w:r>
              <w:rPr>
                <w:rFonts w:eastAsiaTheme="minorEastAsia"/>
                <w:sz w:val="22"/>
                <w:szCs w:val="22"/>
                <w:lang w:eastAsia="pt-BR"/>
              </w:rPr>
              <w:t>Números.</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sz w:val="22"/>
                <w:szCs w:val="22"/>
                <w:lang w:eastAsia="pt-BR"/>
              </w:rPr>
              <w:t>Cartazes com obras de arte.</w:t>
            </w:r>
          </w:p>
          <w:p>
            <w:pPr>
              <w:spacing w:after="0" w:line="240" w:lineRule="auto"/>
              <w:jc w:val="both"/>
              <w:rPr>
                <w:rFonts w:eastAsiaTheme="minorEastAsia"/>
                <w:sz w:val="22"/>
                <w:szCs w:val="22"/>
                <w:lang w:eastAsia="pt-BR"/>
              </w:rPr>
            </w:pPr>
            <w:r>
              <w:rPr>
                <w:rFonts w:eastAsiaTheme="minorEastAsia"/>
                <w:sz w:val="22"/>
                <w:szCs w:val="22"/>
                <w:lang w:eastAsia="pt-BR"/>
              </w:rPr>
              <w:t>Livro socioemocional.</w:t>
            </w:r>
          </w:p>
          <w:p>
            <w:pPr>
              <w:spacing w:after="0" w:line="240" w:lineRule="auto"/>
              <w:jc w:val="both"/>
              <w:rPr>
                <w:rFonts w:eastAsiaTheme="minorEastAsia"/>
                <w:sz w:val="22"/>
                <w:szCs w:val="22"/>
                <w:lang w:eastAsia="pt-BR"/>
              </w:rPr>
            </w:pPr>
            <w:r>
              <w:rPr>
                <w:rFonts w:eastAsiaTheme="minorEastAsia"/>
                <w:sz w:val="22"/>
                <w:szCs w:val="22"/>
                <w:lang w:eastAsia="pt-BR"/>
              </w:rPr>
              <w:t>Formação continuada ministrada pela Editora.</w:t>
            </w:r>
          </w:p>
        </w:tc>
        <w:tc>
          <w:tcPr>
            <w:tcW w:w="924" w:type="dxa"/>
            <w:vAlign w:val="center"/>
          </w:tcPr>
          <w:p>
            <w:pPr>
              <w:spacing w:after="0" w:line="240" w:lineRule="auto"/>
              <w:jc w:val="center"/>
              <w:rPr>
                <w:rFonts w:eastAsiaTheme="minorEastAsia"/>
                <w:sz w:val="22"/>
                <w:szCs w:val="22"/>
                <w:lang w:eastAsia="pt-BR"/>
              </w:rPr>
            </w:pPr>
          </w:p>
        </w:tc>
        <w:tc>
          <w:tcPr>
            <w:tcW w:w="1218" w:type="dxa"/>
            <w:vAlign w:val="center"/>
          </w:tcPr>
          <w:p>
            <w:pPr>
              <w:spacing w:after="0" w:line="240" w:lineRule="auto"/>
              <w:jc w:val="center"/>
              <w:rPr>
                <w:rFonts w:eastAsiaTheme="minorEastAsia"/>
                <w:sz w:val="22"/>
                <w:szCs w:val="22"/>
                <w:lang w:eastAsia="pt-BR"/>
              </w:rPr>
            </w:pPr>
          </w:p>
        </w:tc>
        <w:tc>
          <w:tcPr>
            <w:tcW w:w="1417" w:type="dxa"/>
          </w:tcPr>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r>
              <w:rPr>
                <w:rFonts w:eastAsiaTheme="minorEastAsia"/>
                <w:sz w:val="22"/>
                <w:szCs w:val="22"/>
                <w:lang w:eastAsia="pt-BR"/>
              </w:rPr>
              <w:t>REPROVADO</w:t>
            </w:r>
          </w:p>
        </w:tc>
      </w:tr>
    </w:tbl>
    <w:p>
      <w:pPr>
        <w:jc w:val="both"/>
      </w:pPr>
      <w:r>
        <w:t>O item 03 – Livro didático integrado com sequências didáticas baseadas em experiências de aprendizagem e com consignas contextualizadas. Material de acordo com a BNCC. Portifólio de vivências com registros explorando os eixos interação e brincadeiras. Agenda do aluno. 02 livros paradidáticos. Material de apoio ao professor (mínimo de 10 kits). Livro do professor. Alfabeto. Números. 02 livros paradidáticos. Cartazes com obras de arte. Livro socioemocional. Formação continuada ministrada pela Editora, será reprovado em virtude do pedido de desistência motivado de maneira própria pela empresa 52.524.430 ANNA ALICE ALVES CARVALHO, por intermédio de e-mail enviado no dia 05 de fevereiro de 2024.</w:t>
      </w:r>
    </w:p>
    <w:p>
      <w:pPr>
        <w:jc w:val="both"/>
      </w:pPr>
      <w:r>
        <w:t>Com isso, ficam aprovados os itens 01 e 02. Com a manifestação de desistência da empresa supracitada até então vencedora do item 03, foi solicitado catálogo da empresa remanescente na ordem de classificação (por menor preço), no qual foi apresentado e analisado.</w:t>
      </w:r>
    </w:p>
    <w:p>
      <w:pPr>
        <w:jc w:val="both"/>
      </w:pPr>
      <w:r>
        <w:t xml:space="preserve">A empresa D F de S Silva </w:t>
      </w:r>
      <w:r>
        <w:rPr>
          <w:rFonts w:hint="default"/>
          <w:lang w:val="pt-BR"/>
        </w:rPr>
        <w:t>a</w:t>
      </w:r>
      <w:r>
        <w:t>rrematante do</w:t>
      </w:r>
      <w:r>
        <w:rPr>
          <w:rFonts w:hint="default"/>
          <w:lang w:val="pt-BR"/>
        </w:rPr>
        <w:t>s</w:t>
      </w:r>
      <w:r>
        <w:t xml:space="preserve"> ite</w:t>
      </w:r>
      <w:r>
        <w:rPr>
          <w:rFonts w:hint="default"/>
          <w:lang w:val="pt-BR"/>
        </w:rPr>
        <w:t>ns 01 e 02</w:t>
      </w:r>
      <w:r>
        <w:t xml:space="preserve"> teve o seu catálogo</w:t>
      </w:r>
      <w:r>
        <w:rPr>
          <w:highlight w:val="none"/>
        </w:rPr>
        <w:t xml:space="preserve"> </w:t>
      </w:r>
      <w:r>
        <w:rPr>
          <w:rFonts w:hint="default"/>
          <w:highlight w:val="none"/>
          <w:lang w:val="pt-BR"/>
        </w:rPr>
        <w:t>A</w:t>
      </w:r>
      <w:r>
        <w:rPr>
          <w:highlight w:val="none"/>
        </w:rPr>
        <w:t>PROVADO</w:t>
      </w:r>
      <w:r>
        <w:rPr>
          <w:rFonts w:hint="default"/>
          <w:highlight w:val="none"/>
          <w:lang w:val="pt-BR"/>
        </w:rPr>
        <w:t xml:space="preserve">. </w:t>
      </w:r>
      <w:r>
        <w:t>A avaliação dos catálogos é uma das alternativas que dispõe o gestor para assegurar a eficácia da contratação, tendo como objetivo verificar as especificações do produto/equipamento ofertado aos requisitos mínimos estabelecidos.</w:t>
      </w:r>
    </w:p>
    <w:p>
      <w:pPr>
        <w:jc w:val="both"/>
      </w:pPr>
      <w:r>
        <w:t xml:space="preserve">Sendo assim, </w:t>
      </w:r>
      <w:r>
        <w:rPr>
          <w:rFonts w:hint="default"/>
          <w:lang w:val="pt-BR"/>
        </w:rPr>
        <w:t xml:space="preserve">os itens 01 e 02 foram </w:t>
      </w:r>
      <w:r>
        <w:t>avaliado</w:t>
      </w:r>
      <w:r>
        <w:rPr>
          <w:rFonts w:hint="default"/>
          <w:lang w:val="pt-BR"/>
        </w:rPr>
        <w:t>s</w:t>
      </w:r>
      <w:r>
        <w:t xml:space="preserve"> e </w:t>
      </w:r>
      <w:r>
        <w:rPr>
          <w:rFonts w:hint="default"/>
          <w:lang w:val="pt-BR"/>
        </w:rPr>
        <w:t>aprovados, apresentar as especificações exigidas, principalmente por corresponder ao mesmo material que já temos em estoque, que essa nova aquisição será para suplementar o material didático existente para  uso pedagógico dos estudantes e professores nas escolas de educação infantil do município de Portalegre/RN.</w:t>
      </w:r>
    </w:p>
    <w:p>
      <w:pPr>
        <w:jc w:val="both"/>
        <w:rPr>
          <w:b/>
          <w:bCs/>
        </w:rPr>
      </w:pPr>
      <w:r>
        <w:t xml:space="preserve">Portalegre/RN, </w:t>
      </w:r>
      <w:r>
        <w:rPr>
          <w:rFonts w:hint="default"/>
          <w:lang w:val="pt-BR"/>
        </w:rPr>
        <w:t>22</w:t>
      </w:r>
      <w:r>
        <w:t xml:space="preserve"> de fevereiro de 2024.</w:t>
      </w:r>
      <w:r>
        <w:rPr>
          <w:rFonts w:hint="default"/>
          <w:lang w:val="pt-BR"/>
        </w:rPr>
        <w:t xml:space="preserve"> </w:t>
      </w:r>
      <w:bookmarkStart w:id="0" w:name="_GoBack"/>
      <w:bookmarkEnd w:id="0"/>
    </w:p>
    <w:p>
      <w:pPr>
        <w:spacing w:after="0" w:line="240" w:lineRule="auto"/>
        <w:jc w:val="center"/>
        <w:rPr>
          <w:b/>
          <w:bCs/>
        </w:rPr>
      </w:pPr>
      <w:r>
        <w:rPr>
          <w:b/>
          <w:bCs/>
        </w:rPr>
        <w:t>MARIA DAS GRAÇAS DE OLIVEIRA</w:t>
      </w:r>
    </w:p>
    <w:p>
      <w:pPr>
        <w:spacing w:after="0" w:line="240" w:lineRule="auto"/>
        <w:jc w:val="center"/>
      </w:pPr>
      <w:r>
        <w:t>Secretária Municipal de Educação e Desporto – SEMED</w:t>
      </w:r>
    </w:p>
    <w:sectPr>
      <w:headerReference r:id="rId5" w:type="default"/>
      <w:footerReference r:id="rId6" w:type="default"/>
      <w:pgSz w:w="11906" w:h="16838"/>
      <w:pgMar w:top="1417" w:right="1701" w:bottom="1417" w:left="1701" w:header="708"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jc w:val="center"/>
      <w:rPr>
        <w:rFonts w:cstheme="minorHAnsi"/>
        <w:b/>
        <w:bCs/>
        <w:sz w:val="16"/>
        <w:szCs w:val="16"/>
      </w:rPr>
    </w:pPr>
    <w:r>
      <w:rPr>
        <w:rFonts w:cstheme="minorHAnsi"/>
        <w:sz w:val="16"/>
        <w:szCs w:val="16"/>
      </w:rPr>
      <w:drawing>
        <wp:anchor distT="0" distB="0" distL="114300" distR="114300" simplePos="0" relativeHeight="251661312" behindDoc="0" locked="0" layoutInCell="1" allowOverlap="1">
          <wp:simplePos x="0" y="0"/>
          <wp:positionH relativeFrom="margin">
            <wp:posOffset>-245745</wp:posOffset>
          </wp:positionH>
          <wp:positionV relativeFrom="bottomMargin">
            <wp:align>top</wp:align>
          </wp:positionV>
          <wp:extent cx="6120130" cy="43815"/>
          <wp:effectExtent l="0" t="0" r="0" b="0"/>
          <wp:wrapSquare wrapText="bothSides"/>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r>
      <w:rPr>
        <w:rFonts w:cstheme="minorHAnsi"/>
        <w:b/>
        <w:bCs/>
        <w:sz w:val="20"/>
        <w:szCs w:val="18"/>
      </w:rPr>
      <w:t xml:space="preserve">Rua José Vieira Mafaldo – 122 – Centro – Portalegre/RN – CEP.: 59.810-00 – Fone/Fax.: (84) 3377 2241/2196 CNPJ.: 08.358.053/0001-90  </w:t>
    </w:r>
    <w:r>
      <w:fldChar w:fldCharType="begin"/>
    </w:r>
    <w:r>
      <w:instrText xml:space="preserve"> HYPERLINK "http://www.portalegre.rn.gov.br" </w:instrText>
    </w:r>
    <w:r>
      <w:fldChar w:fldCharType="separate"/>
    </w:r>
    <w:r>
      <w:rPr>
        <w:rStyle w:val="4"/>
        <w:rFonts w:cstheme="minorHAnsi"/>
        <w:b/>
        <w:bCs/>
        <w:sz w:val="20"/>
        <w:szCs w:val="18"/>
      </w:rPr>
      <w:t>www.portalegre.rn.gov.br</w:t>
    </w:r>
    <w:r>
      <w:rPr>
        <w:rStyle w:val="4"/>
        <w:rFonts w:cstheme="minorHAnsi"/>
        <w:b/>
        <w:bCs/>
        <w:sz w:val="20"/>
        <w:szCs w:val="18"/>
      </w:rPr>
      <w:fldChar w:fldCharType="end"/>
    </w:r>
    <w:r>
      <w:rPr>
        <w:rFonts w:cstheme="minorHAnsi"/>
        <w:b/>
        <w:bCs/>
        <w:color w:val="DCA10D"/>
        <w:sz w:val="20"/>
        <w:szCs w:val="18"/>
        <w:u w:val="single" w:color="DCA10D"/>
      </w:rPr>
      <w:t xml:space="preserve"> </w:t>
    </w:r>
    <w:r>
      <w:rPr>
        <w:rFonts w:cstheme="minorHAnsi"/>
        <w:b/>
        <w:bCs/>
        <w:color w:val="000099"/>
        <w:sz w:val="20"/>
        <w:szCs w:val="18"/>
        <w:u w:val="single" w:color="DCA10D"/>
      </w:rPr>
      <w:t xml:space="preserve">– E-mail: </w:t>
    </w:r>
    <w:r>
      <w:fldChar w:fldCharType="begin"/>
    </w:r>
    <w:r>
      <w:instrText xml:space="preserve"> HYPERLINK "mailto:smedportalegre@gmail.com" </w:instrText>
    </w:r>
    <w:r>
      <w:fldChar w:fldCharType="separate"/>
    </w:r>
    <w:r>
      <w:rPr>
        <w:rStyle w:val="4"/>
        <w:rFonts w:cstheme="minorHAnsi"/>
        <w:b/>
        <w:bCs/>
        <w:color w:val="000099"/>
        <w:sz w:val="20"/>
        <w:szCs w:val="18"/>
      </w:rPr>
      <w:t>smedportalegre@gmail.com</w:t>
    </w:r>
    <w:r>
      <w:rPr>
        <w:rStyle w:val="4"/>
        <w:rFonts w:cstheme="minorHAnsi"/>
        <w:b/>
        <w:bCs/>
        <w:color w:val="000099"/>
        <w:sz w:val="20"/>
        <w:szCs w:val="18"/>
      </w:rPr>
      <w:fldChar w:fldCharType="end"/>
    </w:r>
    <w:r>
      <w:rPr>
        <w:rFonts w:cstheme="minorHAnsi"/>
        <w:b/>
        <w:bCs/>
        <w:color w:val="000099"/>
        <w:sz w:val="20"/>
        <w:szCs w:val="18"/>
        <w:u w:val="single" w:color="DCA10D"/>
      </w:rPr>
      <w:t xml:space="preserve"> - smeportalegre@educar.rn.gov.br</w:t>
    </w: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ascii="Times New Roman" w:hAnsi="Times New Roman" w:cs="Times New Roman"/>
      </w:rPr>
    </w:pPr>
    <w:r>
      <w:rPr>
        <w:rFonts w:ascii="Calibri Light" w:hAnsi="Calibri Light" w:cs="Calibri Light"/>
      </w:rPr>
      <w:drawing>
        <wp:anchor distT="0" distB="0" distL="114300" distR="114300" simplePos="0" relativeHeight="251660288" behindDoc="0" locked="0" layoutInCell="1" allowOverlap="1">
          <wp:simplePos x="0" y="0"/>
          <wp:positionH relativeFrom="page">
            <wp:posOffset>652780</wp:posOffset>
          </wp:positionH>
          <wp:positionV relativeFrom="page">
            <wp:posOffset>58420</wp:posOffset>
          </wp:positionV>
          <wp:extent cx="6623685" cy="931545"/>
          <wp:effectExtent l="0" t="0" r="0" b="0"/>
          <wp:wrapSquare wrapText="bothSides"/>
          <wp:docPr id="40"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16"/>
                  <pic:cNvPicPr>
                    <a:picLocks noChangeAspect="1"/>
                  </pic:cNvPicPr>
                </pic:nvPicPr>
                <pic:blipFill>
                  <a:blip r:embed="rId1"/>
                  <a:stretch>
                    <a:fillRect/>
                  </a:stretch>
                </pic:blipFill>
                <pic:spPr>
                  <a:xfrm>
                    <a:off x="0" y="0"/>
                    <a:ext cx="6623685" cy="931545"/>
                  </a:xfrm>
                  <a:prstGeom prst="rect">
                    <a:avLst/>
                  </a:prstGeom>
                  <a:noFill/>
                  <a:ln>
                    <a:noFill/>
                  </a:ln>
                </pic:spPr>
              </pic:pic>
            </a:graphicData>
          </a:graphic>
        </wp:anchor>
      </w:drawing>
    </w:r>
    <w:r>
      <w:rPr>
        <w:rFonts w:ascii="Times New Roman" w:hAnsi="Times New Roman" w:cs="Times New Roman"/>
      </w:rPr>
      <w:t xml:space="preserve">Página </w:t>
    </w:r>
    <w:r>
      <w:rPr>
        <w:rFonts w:ascii="Times New Roman" w:hAnsi="Times New Roman" w:cs="Times New Roman"/>
        <w:b/>
        <w:bCs/>
      </w:rPr>
      <w:fldChar w:fldCharType="begin"/>
    </w:r>
    <w:r>
      <w:rPr>
        <w:rFonts w:ascii="Times New Roman" w:hAnsi="Times New Roman" w:cs="Times New Roman"/>
        <w:b/>
        <w:bCs/>
      </w:rPr>
      <w:instrText xml:space="preserve">PAGE  \* Arabic  \* MERGEFORMAT</w:instrText>
    </w:r>
    <w:r>
      <w:rPr>
        <w:rFonts w:ascii="Times New Roman" w:hAnsi="Times New Roman" w:cs="Times New Roman"/>
        <w:b/>
        <w:bCs/>
      </w:rPr>
      <w:fldChar w:fldCharType="separate"/>
    </w:r>
    <w:r>
      <w:rPr>
        <w:rFonts w:ascii="Times New Roman" w:hAnsi="Times New Roman" w:cs="Times New Roman"/>
        <w:b/>
        <w:bCs/>
      </w:rPr>
      <w:t>1</w:t>
    </w:r>
    <w:r>
      <w:rPr>
        <w:rFonts w:ascii="Times New Roman" w:hAnsi="Times New Roman" w:cs="Times New Roman"/>
        <w:b/>
        <w:bCs/>
      </w:rPr>
      <w:fldChar w:fldCharType="end"/>
    </w:r>
    <w:r>
      <w:rPr>
        <w:rFonts w:ascii="Times New Roman" w:hAnsi="Times New Roman" w:cs="Times New Roman"/>
      </w:rPr>
      <w:t xml:space="preserve"> de </w:t>
    </w:r>
    <w:r>
      <w:rPr>
        <w:rFonts w:ascii="Times New Roman" w:hAnsi="Times New Roman" w:cs="Times New Roman"/>
        <w:b/>
        <w:bCs/>
      </w:rPr>
      <w:fldChar w:fldCharType="begin"/>
    </w:r>
    <w:r>
      <w:rPr>
        <w:rFonts w:ascii="Times New Roman" w:hAnsi="Times New Roman" w:cs="Times New Roman"/>
        <w:b/>
        <w:bCs/>
      </w:rPr>
      <w:instrText xml:space="preserve">NUMPAGES  \* Arabic  \* MERGEFORMAT</w:instrText>
    </w:r>
    <w:r>
      <w:rPr>
        <w:rFonts w:ascii="Times New Roman" w:hAnsi="Times New Roman" w:cs="Times New Roman"/>
        <w:b/>
        <w:bCs/>
      </w:rPr>
      <w:fldChar w:fldCharType="separate"/>
    </w:r>
    <w:r>
      <w:rPr>
        <w:rFonts w:ascii="Times New Roman" w:hAnsi="Times New Roman" w:cs="Times New Roman"/>
        <w:b/>
        <w:bCs/>
      </w:rPr>
      <w:t>1</w:t>
    </w:r>
    <w:r>
      <w:rPr>
        <w:rFonts w:ascii="Times New Roman" w:hAnsi="Times New Roman" w:cs="Times New Roman"/>
        <w:b/>
        <w:bCs/>
      </w:rPr>
      <w:fldChar w:fldCharType="end"/>
    </w:r>
    <w:r>
      <w:rPr>
        <w:rFonts w:ascii="Times New Roman" w:hAnsi="Times New Roman" w:cs="Times New Roman"/>
      </w:rPr>
      <w:drawing>
        <wp:anchor distT="0" distB="0" distL="114300" distR="114300" simplePos="0" relativeHeight="251659264" behindDoc="0" locked="0" layoutInCell="1" allowOverlap="1">
          <wp:simplePos x="0" y="0"/>
          <wp:positionH relativeFrom="rightMargin">
            <wp:align>left</wp:align>
          </wp:positionH>
          <wp:positionV relativeFrom="paragraph">
            <wp:posOffset>-372110</wp:posOffset>
          </wp:positionV>
          <wp:extent cx="844550" cy="819150"/>
          <wp:effectExtent l="0" t="0" r="0" b="0"/>
          <wp:wrapSquare wrapText="bothSides"/>
          <wp:docPr id="41" name="Imagem 41" descr="CARIMBO"/>
          <wp:cNvGraphicFramePr/>
          <a:graphic xmlns:a="http://schemas.openxmlformats.org/drawingml/2006/main">
            <a:graphicData uri="http://schemas.openxmlformats.org/drawingml/2006/picture">
              <pic:pic xmlns:pic="http://schemas.openxmlformats.org/drawingml/2006/picture">
                <pic:nvPicPr>
                  <pic:cNvPr id="41" name="Imagem 41" descr="CARIMBO"/>
                  <pic:cNvPicPr/>
                </pic:nvPicPr>
                <pic:blipFill>
                  <a:blip r:embed="rId2">
                    <a:extLst>
                      <a:ext uri="{28A0092B-C50C-407E-A947-70E740481C1C}">
                        <a14:useLocalDpi xmlns:a14="http://schemas.microsoft.com/office/drawing/2010/main" val="0"/>
                      </a:ext>
                    </a:extLst>
                  </a:blip>
                  <a:srcRect/>
                  <a:stretch>
                    <a:fillRect/>
                  </a:stretch>
                </pic:blipFill>
                <pic:spPr>
                  <a:xfrm>
                    <a:off x="0" y="0"/>
                    <a:ext cx="844550" cy="819150"/>
                  </a:xfrm>
                  <a:prstGeom prst="rect">
                    <a:avLst/>
                  </a:prstGeom>
                  <a:noFill/>
                  <a:ln>
                    <a:noFill/>
                  </a:ln>
                </pic:spPr>
              </pic:pic>
            </a:graphicData>
          </a:graphic>
        </wp:anchor>
      </w:drawing>
    </w:r>
  </w:p>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603"/>
    <w:rsid w:val="000A1FC3"/>
    <w:rsid w:val="00133E70"/>
    <w:rsid w:val="00173C8F"/>
    <w:rsid w:val="001855F0"/>
    <w:rsid w:val="00197414"/>
    <w:rsid w:val="003A6D90"/>
    <w:rsid w:val="0045234D"/>
    <w:rsid w:val="00595E7C"/>
    <w:rsid w:val="005A13F7"/>
    <w:rsid w:val="00782055"/>
    <w:rsid w:val="00801809"/>
    <w:rsid w:val="008332BC"/>
    <w:rsid w:val="00A2586A"/>
    <w:rsid w:val="00C1048A"/>
    <w:rsid w:val="00C24931"/>
    <w:rsid w:val="00CA6603"/>
    <w:rsid w:val="00DB1663"/>
    <w:rsid w:val="00F01F42"/>
    <w:rsid w:val="00F2388E"/>
    <w:rsid w:val="0C462686"/>
    <w:rsid w:val="15C01A59"/>
    <w:rsid w:val="2C5F14C0"/>
    <w:rsid w:val="3A7A1EE2"/>
    <w:rsid w:val="495471B4"/>
    <w:rsid w:val="67F401A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qFormat/>
    <w:uiPriority w:val="0"/>
    <w:rPr>
      <w:color w:val="000080"/>
      <w:u w:val="single"/>
    </w:rPr>
  </w:style>
  <w:style w:type="paragraph" w:styleId="5">
    <w:name w:val="header"/>
    <w:basedOn w:val="1"/>
    <w:link w:val="8"/>
    <w:unhideWhenUsed/>
    <w:qFormat/>
    <w:uiPriority w:val="99"/>
    <w:pPr>
      <w:tabs>
        <w:tab w:val="center" w:pos="4252"/>
        <w:tab w:val="right" w:pos="8504"/>
      </w:tabs>
      <w:spacing w:after="0" w:line="240" w:lineRule="auto"/>
    </w:pPr>
  </w:style>
  <w:style w:type="paragraph" w:styleId="6">
    <w:name w:val="footer"/>
    <w:basedOn w:val="1"/>
    <w:link w:val="9"/>
    <w:unhideWhenUsed/>
    <w:qFormat/>
    <w:uiPriority w:val="99"/>
    <w:pPr>
      <w:tabs>
        <w:tab w:val="center" w:pos="4252"/>
        <w:tab w:val="right" w:pos="8504"/>
      </w:tabs>
      <w:spacing w:after="0" w:line="240" w:lineRule="auto"/>
    </w:pPr>
  </w:style>
  <w:style w:type="table" w:styleId="7">
    <w:name w:val="Table Grid"/>
    <w:basedOn w:val="3"/>
    <w:qFormat/>
    <w:uiPriority w:val="0"/>
    <w:pPr>
      <w:spacing w:after="0" w:line="240" w:lineRule="auto"/>
    </w:pPr>
    <w:rPr>
      <w:rFonts w:eastAsiaTheme="minorEastAsia"/>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Cabeçalho Char"/>
    <w:basedOn w:val="2"/>
    <w:link w:val="5"/>
    <w:qFormat/>
    <w:uiPriority w:val="99"/>
  </w:style>
  <w:style w:type="character" w:customStyle="1" w:styleId="9">
    <w:name w:val="Rodapé Char"/>
    <w:basedOn w:val="2"/>
    <w:link w:val="6"/>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652</Words>
  <Characters>3522</Characters>
  <Lines>29</Lines>
  <Paragraphs>8</Paragraphs>
  <TotalTime>9</TotalTime>
  <ScaleCrop>false</ScaleCrop>
  <LinksUpToDate>false</LinksUpToDate>
  <CharactersWithSpaces>4166</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2024-02-08T18:27:00Z</dcterms:created>
  <dc:creator>PMP</dc:creator>
  <cp:lastModifiedBy>notee</cp:lastModifiedBy>
  <dcterms:modified xsi:type="dcterms:W3CDTF">2024-02-22T13:07:11Z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8178779D9D9A434890B2099AB623BFC1_13</vt:lpwstr>
  </property>
</Properties>
</file>