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41754" w14:textId="77777777" w:rsidR="00CF6FCF" w:rsidRPr="001C3727" w:rsidRDefault="00CF6FCF" w:rsidP="00CF6FCF">
      <w:pPr>
        <w:rPr>
          <w:color w:val="0D0D0D" w:themeColor="text1" w:themeTint="F2"/>
        </w:rPr>
      </w:pPr>
      <w:r w:rsidRPr="001C3727">
        <w:rPr>
          <w:noProof/>
          <w:color w:val="0D0D0D" w:themeColor="text1" w:themeTint="F2"/>
          <w:lang w:eastAsia="pt-BR"/>
        </w:rPr>
        <w:drawing>
          <wp:inline distT="0" distB="0" distL="0" distR="0" wp14:anchorId="28410667" wp14:editId="619F602D">
            <wp:extent cx="5400040" cy="1064868"/>
            <wp:effectExtent l="0" t="0" r="0" b="2540"/>
            <wp:docPr id="527" name="Imagem 527" descr="C:\Users\Usuario\Downloads\Timbre CISAM M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Timbre CISAM MO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6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FDE8A" w14:textId="77777777" w:rsidR="00CF6FCF" w:rsidRPr="001C3727" w:rsidRDefault="00CF6FCF" w:rsidP="00CF6FCF">
      <w:pPr>
        <w:spacing w:line="276" w:lineRule="auto"/>
        <w:jc w:val="both"/>
        <w:rPr>
          <w:rFonts w:ascii="Verdana" w:hAnsi="Verdana" w:cs="Arial"/>
          <w:b/>
          <w:color w:val="0D0D0D" w:themeColor="text1" w:themeTint="F2"/>
          <w:sz w:val="22"/>
          <w:szCs w:val="22"/>
        </w:rPr>
      </w:pPr>
    </w:p>
    <w:p w14:paraId="4F79129F" w14:textId="77777777" w:rsidR="00CF6FCF" w:rsidRPr="001C3727" w:rsidRDefault="00CF6FCF" w:rsidP="00CF6FCF">
      <w:pPr>
        <w:spacing w:line="360" w:lineRule="auto"/>
        <w:jc w:val="center"/>
        <w:rPr>
          <w:rFonts w:ascii="Arial" w:hAnsi="Arial" w:cs="Arial"/>
          <w:b/>
          <w:color w:val="0D0D0D" w:themeColor="text1" w:themeTint="F2"/>
        </w:rPr>
      </w:pPr>
      <w:r w:rsidRPr="001C3727">
        <w:rPr>
          <w:rFonts w:ascii="Arial" w:hAnsi="Arial" w:cs="Arial"/>
          <w:b/>
          <w:color w:val="0D0D0D" w:themeColor="text1" w:themeTint="F2"/>
        </w:rPr>
        <w:t>PARECER JURÍDICO</w:t>
      </w:r>
    </w:p>
    <w:p w14:paraId="72CC4A54" w14:textId="77777777" w:rsidR="00CF6FCF" w:rsidRPr="001C3727" w:rsidRDefault="00CF6FCF" w:rsidP="00CF6FCF">
      <w:pPr>
        <w:spacing w:line="360" w:lineRule="auto"/>
        <w:jc w:val="both"/>
        <w:rPr>
          <w:rFonts w:ascii="Arial" w:hAnsi="Arial" w:cs="Arial"/>
          <w:b/>
          <w:color w:val="0D0D0D" w:themeColor="text1" w:themeTint="F2"/>
        </w:rPr>
      </w:pPr>
      <w:r w:rsidRPr="001C3727">
        <w:rPr>
          <w:rFonts w:ascii="Arial" w:hAnsi="Arial" w:cs="Arial"/>
          <w:b/>
          <w:color w:val="0D0D0D" w:themeColor="text1" w:themeTint="F2"/>
        </w:rPr>
        <w:t>Parecer Jurídico nº 27/2023</w:t>
      </w:r>
    </w:p>
    <w:p w14:paraId="224C804A" w14:textId="77777777" w:rsidR="00CF6FCF" w:rsidRPr="001C3727" w:rsidRDefault="00CF6FCF" w:rsidP="00CF6FCF">
      <w:pPr>
        <w:spacing w:line="360" w:lineRule="auto"/>
        <w:jc w:val="center"/>
        <w:rPr>
          <w:rFonts w:ascii="Arial" w:hAnsi="Arial" w:cs="Arial"/>
          <w:color w:val="0D0D0D" w:themeColor="text1" w:themeTint="F2"/>
        </w:rPr>
      </w:pPr>
    </w:p>
    <w:p w14:paraId="6BE24F74" w14:textId="77777777" w:rsidR="00CF6FCF" w:rsidRPr="001C3727" w:rsidRDefault="00CF6FCF" w:rsidP="00CF6FCF">
      <w:pPr>
        <w:pStyle w:val="Ttulo"/>
        <w:spacing w:line="276" w:lineRule="auto"/>
        <w:jc w:val="both"/>
        <w:rPr>
          <w:b w:val="0"/>
          <w:color w:val="0D0D0D" w:themeColor="text1" w:themeTint="F2"/>
          <w:sz w:val="24"/>
          <w:szCs w:val="24"/>
          <w:u w:val="none"/>
        </w:rPr>
      </w:pPr>
      <w:r>
        <w:rPr>
          <w:b w:val="0"/>
          <w:color w:val="0D0D0D" w:themeColor="text1" w:themeTint="F2"/>
          <w:sz w:val="24"/>
          <w:szCs w:val="24"/>
          <w:u w:val="none"/>
        </w:rPr>
        <w:t xml:space="preserve">            </w:t>
      </w:r>
      <w:r>
        <w:rPr>
          <w:b w:val="0"/>
          <w:color w:val="0D0D0D" w:themeColor="text1" w:themeTint="F2"/>
          <w:sz w:val="24"/>
          <w:szCs w:val="24"/>
          <w:u w:val="none"/>
        </w:rPr>
        <w:tab/>
        <w:t>A C</w:t>
      </w:r>
      <w:r w:rsidRPr="001C3727">
        <w:rPr>
          <w:b w:val="0"/>
          <w:color w:val="0D0D0D" w:themeColor="text1" w:themeTint="F2"/>
          <w:sz w:val="24"/>
          <w:szCs w:val="24"/>
          <w:u w:val="none"/>
        </w:rPr>
        <w:t xml:space="preserve">omissão de Licitação, do </w:t>
      </w:r>
      <w:r w:rsidRPr="001C3727">
        <w:rPr>
          <w:color w:val="0D0D0D" w:themeColor="text1" w:themeTint="F2"/>
          <w:sz w:val="24"/>
          <w:szCs w:val="24"/>
          <w:u w:val="none"/>
        </w:rPr>
        <w:t>Consórcio Intermunicipal de Saneamento Ambiental – CISAM Meio Oeste,</w:t>
      </w:r>
      <w:r>
        <w:rPr>
          <w:color w:val="0D0D0D" w:themeColor="text1" w:themeTint="F2"/>
          <w:sz w:val="24"/>
          <w:szCs w:val="24"/>
          <w:u w:val="none"/>
        </w:rPr>
        <w:t xml:space="preserve"> </w:t>
      </w:r>
      <w:r w:rsidRPr="00820E5E">
        <w:rPr>
          <w:b w:val="0"/>
          <w:color w:val="0D0D0D" w:themeColor="text1" w:themeTint="F2"/>
          <w:sz w:val="24"/>
          <w:szCs w:val="24"/>
          <w:u w:val="none"/>
        </w:rPr>
        <w:t>en</w:t>
      </w:r>
      <w:r>
        <w:rPr>
          <w:b w:val="0"/>
          <w:color w:val="0D0D0D" w:themeColor="text1" w:themeTint="F2"/>
          <w:sz w:val="24"/>
          <w:szCs w:val="24"/>
          <w:u w:val="none"/>
        </w:rPr>
        <w:t>caminha</w:t>
      </w:r>
      <w:r w:rsidRPr="00820E5E">
        <w:rPr>
          <w:b w:val="0"/>
          <w:color w:val="0D0D0D" w:themeColor="text1" w:themeTint="F2"/>
          <w:sz w:val="24"/>
          <w:szCs w:val="24"/>
          <w:u w:val="none"/>
        </w:rPr>
        <w:t xml:space="preserve"> a esta Assessoria, </w:t>
      </w:r>
      <w:r w:rsidRPr="001C3727">
        <w:rPr>
          <w:b w:val="0"/>
          <w:color w:val="0D0D0D" w:themeColor="text1" w:themeTint="F2"/>
          <w:sz w:val="24"/>
          <w:szCs w:val="24"/>
          <w:u w:val="none"/>
        </w:rPr>
        <w:t>para análise e parecer jurídico, o Processo de Licitação nº 013/2023 – Processo Administrativo nº 53/2023 – Inexigibilidade de Licitação nº 004/2023, de 05.09.2023</w:t>
      </w:r>
      <w:r>
        <w:rPr>
          <w:b w:val="0"/>
          <w:color w:val="0D0D0D" w:themeColor="text1" w:themeTint="F2"/>
          <w:sz w:val="24"/>
          <w:szCs w:val="24"/>
          <w:u w:val="none"/>
        </w:rPr>
        <w:t>,</w:t>
      </w:r>
      <w:r w:rsidRPr="001C3727">
        <w:rPr>
          <w:b w:val="0"/>
          <w:color w:val="0D0D0D" w:themeColor="text1" w:themeTint="F2"/>
          <w:sz w:val="24"/>
          <w:szCs w:val="24"/>
          <w:u w:val="none"/>
        </w:rPr>
        <w:t xml:space="preserve"> referente à contratação de empresa especializada para ministrar</w:t>
      </w:r>
      <w:r>
        <w:rPr>
          <w:b w:val="0"/>
          <w:color w:val="0D0D0D" w:themeColor="text1" w:themeTint="F2"/>
          <w:sz w:val="24"/>
          <w:szCs w:val="24"/>
          <w:u w:val="none"/>
        </w:rPr>
        <w:t xml:space="preserve"> curso</w:t>
      </w:r>
      <w:r w:rsidRPr="001C3727">
        <w:rPr>
          <w:b w:val="0"/>
          <w:color w:val="0D0D0D" w:themeColor="text1" w:themeTint="F2"/>
          <w:sz w:val="24"/>
          <w:szCs w:val="24"/>
          <w:u w:val="none"/>
        </w:rPr>
        <w:t>, na sede do Consórcio,</w:t>
      </w:r>
      <w:r>
        <w:rPr>
          <w:b w:val="0"/>
          <w:color w:val="0D0D0D" w:themeColor="text1" w:themeTint="F2"/>
          <w:sz w:val="24"/>
          <w:szCs w:val="24"/>
          <w:u w:val="none"/>
        </w:rPr>
        <w:t xml:space="preserve"> sob o tema:</w:t>
      </w:r>
      <w:r w:rsidRPr="001C3727">
        <w:rPr>
          <w:b w:val="0"/>
          <w:color w:val="0D0D0D" w:themeColor="text1" w:themeTint="F2"/>
          <w:sz w:val="24"/>
          <w:szCs w:val="24"/>
          <w:u w:val="none"/>
        </w:rPr>
        <w:t xml:space="preserve"> tratamento de água para consumo humano, destinado à capacitação de servidores de entes consorciados. </w:t>
      </w:r>
    </w:p>
    <w:p w14:paraId="640EF44C" w14:textId="77777777" w:rsidR="00CF6FCF" w:rsidRPr="001C3727" w:rsidRDefault="00CF6FCF" w:rsidP="00CF6FCF">
      <w:pPr>
        <w:spacing w:line="276" w:lineRule="auto"/>
        <w:jc w:val="both"/>
        <w:rPr>
          <w:rFonts w:ascii="Arial" w:hAnsi="Arial" w:cs="Arial"/>
          <w:color w:val="0D0D0D" w:themeColor="text1" w:themeTint="F2"/>
        </w:rPr>
      </w:pPr>
      <w:r w:rsidRPr="001C3727">
        <w:rPr>
          <w:rFonts w:ascii="Arial" w:hAnsi="Arial" w:cs="Arial"/>
          <w:color w:val="0D0D0D" w:themeColor="text1" w:themeTint="F2"/>
        </w:rPr>
        <w:t xml:space="preserve">  </w:t>
      </w:r>
    </w:p>
    <w:p w14:paraId="2CBEFBD3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  <w:t xml:space="preserve">Trata-se de  procedimento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voltado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à contratação direta do Serviço Nacional de Aprendizagem Industrial (SENAI), que</w:t>
      </w:r>
      <w:r w:rsidRPr="001C3727">
        <w:rPr>
          <w:color w:val="0D0D0D" w:themeColor="text1" w:themeTint="F2"/>
        </w:rPr>
        <w:t xml:space="preserve">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possui notória especialização no mister, habilitando-se adequadamente à prestação dos serviços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técnicos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que constituem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o objeto em vista, conforme devidamente justificado. No caso, as peculiaridades do objeto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inviabiliza</w:t>
      </w:r>
      <w:r>
        <w:rPr>
          <w:rFonts w:ascii="Arial" w:hAnsi="Arial" w:cs="Arial"/>
          <w:color w:val="0D0D0D" w:themeColor="text1" w:themeTint="F2"/>
          <w:sz w:val="24"/>
          <w:szCs w:val="24"/>
        </w:rPr>
        <w:t>m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a realização de procedimento licitatório, facultando a contratação direta do SENAI para a prestação, orçada em R$ </w:t>
      </w:r>
      <w:r>
        <w:rPr>
          <w:rFonts w:ascii="Arial" w:hAnsi="Arial" w:cs="Arial"/>
          <w:color w:val="0D0D0D" w:themeColor="text1" w:themeTint="F2"/>
          <w:sz w:val="24"/>
          <w:szCs w:val="24"/>
        </w:rPr>
        <w:t>8.550,00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. </w:t>
      </w:r>
    </w:p>
    <w:p w14:paraId="35CF9CED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8C410AD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                 </w:t>
      </w:r>
      <w:r>
        <w:rPr>
          <w:rFonts w:ascii="Arial" w:hAnsi="Arial" w:cs="Arial"/>
          <w:color w:val="0D0D0D" w:themeColor="text1" w:themeTint="F2"/>
          <w:sz w:val="24"/>
          <w:szCs w:val="24"/>
        </w:rPr>
        <w:tab/>
        <w:t>É bem de se ver que p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rop</w:t>
      </w:r>
      <w:r>
        <w:rPr>
          <w:rFonts w:ascii="Arial" w:hAnsi="Arial" w:cs="Arial"/>
          <w:color w:val="0D0D0D" w:themeColor="text1" w:themeTint="F2"/>
          <w:sz w:val="24"/>
          <w:szCs w:val="24"/>
        </w:rPr>
        <w:t>orcion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ar cursos de capacitação</w:t>
      </w:r>
      <w:r>
        <w:rPr>
          <w:rFonts w:ascii="Arial" w:hAnsi="Arial" w:cs="Arial"/>
          <w:color w:val="0D0D0D" w:themeColor="text1" w:themeTint="F2"/>
          <w:sz w:val="24"/>
          <w:szCs w:val="24"/>
        </w:rPr>
        <w:t>, com vistas ao aperfeiçoamento técnico dos servidores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dos entes consorciados</w:t>
      </w:r>
      <w:r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consta entre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os objetivos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do Consórcio, nos precisos termos do art.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6º,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de seu Estatuto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, </w:t>
      </w:r>
      <w:r w:rsidRPr="004235E6">
        <w:rPr>
          <w:rFonts w:ascii="Arial" w:hAnsi="Arial" w:cs="Arial"/>
          <w:i/>
          <w:color w:val="0D0D0D" w:themeColor="text1" w:themeTint="F2"/>
          <w:sz w:val="24"/>
          <w:szCs w:val="24"/>
        </w:rPr>
        <w:t>in verbis:</w:t>
      </w:r>
    </w:p>
    <w:p w14:paraId="14C0C239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41E7C479" w14:textId="77777777" w:rsidR="00CF6FCF" w:rsidRPr="00CF6FCF" w:rsidRDefault="00CF6FCF" w:rsidP="00CF6FCF">
      <w:pPr>
        <w:pStyle w:val="c55"/>
        <w:spacing w:before="0" w:beforeAutospacing="0" w:after="0" w:afterAutospacing="0"/>
        <w:ind w:left="708" w:right="100"/>
        <w:jc w:val="both"/>
        <w:rPr>
          <w:rStyle w:val="c10"/>
          <w:rFonts w:ascii="Arial" w:eastAsia="SimSun" w:hAnsi="Arial" w:cs="Arial"/>
          <w:i/>
          <w:sz w:val="22"/>
          <w:szCs w:val="22"/>
        </w:rPr>
      </w:pPr>
      <w:r w:rsidRPr="00CF6FCF">
        <w:rPr>
          <w:rStyle w:val="c7"/>
          <w:rFonts w:ascii="Arial" w:hAnsi="Arial" w:cs="Arial"/>
          <w:b/>
          <w:bCs/>
          <w:i/>
          <w:sz w:val="22"/>
          <w:szCs w:val="22"/>
        </w:rPr>
        <w:t>Art. 6º</w:t>
      </w:r>
      <w:r w:rsidRPr="00CF6FCF">
        <w:rPr>
          <w:rStyle w:val="apple-converted-space"/>
          <w:rFonts w:ascii="Arial" w:hAnsi="Arial" w:cs="Arial"/>
          <w:b/>
          <w:bCs/>
          <w:i/>
          <w:sz w:val="22"/>
          <w:szCs w:val="22"/>
        </w:rPr>
        <w:t> </w:t>
      </w:r>
      <w:r w:rsidRPr="00CF6FCF">
        <w:rPr>
          <w:rStyle w:val="c10"/>
          <w:rFonts w:ascii="Arial" w:eastAsia="SimSun" w:hAnsi="Arial" w:cs="Arial"/>
          <w:i/>
          <w:sz w:val="22"/>
          <w:szCs w:val="22"/>
        </w:rPr>
        <w:t>- Observada a autonomia municipal e o disposto no Contrato de Consórcio Público, o Consórcio tem por finalidade:</w:t>
      </w:r>
    </w:p>
    <w:p w14:paraId="73691F89" w14:textId="77777777" w:rsidR="00CF6FCF" w:rsidRPr="00CF6FCF" w:rsidRDefault="00CF6FCF" w:rsidP="00CF6FCF">
      <w:pPr>
        <w:pStyle w:val="c55"/>
        <w:spacing w:before="0" w:beforeAutospacing="0" w:after="0" w:afterAutospacing="0"/>
        <w:ind w:left="708" w:right="100"/>
        <w:jc w:val="both"/>
        <w:rPr>
          <w:rFonts w:ascii="Arial" w:hAnsi="Arial" w:cs="Arial"/>
          <w:i/>
          <w:sz w:val="22"/>
          <w:szCs w:val="22"/>
        </w:rPr>
      </w:pPr>
    </w:p>
    <w:p w14:paraId="22EBB2D9" w14:textId="77777777" w:rsidR="00CF6FCF" w:rsidRPr="00CF6FCF" w:rsidRDefault="00CF6FCF" w:rsidP="00CF6FCF">
      <w:pPr>
        <w:pStyle w:val="c28"/>
        <w:spacing w:before="0" w:beforeAutospacing="0" w:after="0" w:afterAutospacing="0"/>
        <w:ind w:left="708" w:right="110"/>
        <w:jc w:val="both"/>
        <w:rPr>
          <w:rStyle w:val="c10"/>
          <w:rFonts w:ascii="Arial" w:eastAsia="SimSun" w:hAnsi="Arial" w:cs="Arial"/>
          <w:b/>
          <w:i/>
          <w:sz w:val="22"/>
          <w:szCs w:val="22"/>
        </w:rPr>
      </w:pPr>
      <w:r w:rsidRPr="00CF6FCF">
        <w:rPr>
          <w:rStyle w:val="c7"/>
          <w:rFonts w:ascii="Arial" w:hAnsi="Arial" w:cs="Arial"/>
          <w:b/>
          <w:bCs/>
          <w:i/>
          <w:sz w:val="22"/>
          <w:szCs w:val="22"/>
        </w:rPr>
        <w:t>I –</w:t>
      </w:r>
      <w:r w:rsidRPr="00CF6FCF">
        <w:rPr>
          <w:rStyle w:val="apple-converted-space"/>
          <w:rFonts w:ascii="Arial" w:hAnsi="Arial" w:cs="Arial"/>
          <w:b/>
          <w:bCs/>
          <w:i/>
          <w:sz w:val="22"/>
          <w:szCs w:val="22"/>
        </w:rPr>
        <w:t> </w:t>
      </w:r>
      <w:r w:rsidRPr="00CF6FCF">
        <w:rPr>
          <w:rStyle w:val="c10"/>
          <w:rFonts w:ascii="Arial" w:eastAsia="SimSun" w:hAnsi="Arial" w:cs="Arial"/>
          <w:b/>
          <w:i/>
          <w:sz w:val="22"/>
          <w:szCs w:val="22"/>
        </w:rPr>
        <w:t>a capacitação técnica do pessoal encarregado da prestação dos serviços de saneamento nos municípios consorciados;</w:t>
      </w:r>
    </w:p>
    <w:p w14:paraId="4738EDD9" w14:textId="77777777" w:rsidR="00CF6FCF" w:rsidRPr="00CF6FCF" w:rsidRDefault="00CF6FCF" w:rsidP="00CF6FCF">
      <w:pPr>
        <w:pStyle w:val="c55"/>
        <w:spacing w:before="0" w:beforeAutospacing="0" w:after="0" w:afterAutospacing="0"/>
        <w:ind w:left="708" w:right="114"/>
        <w:jc w:val="both"/>
        <w:rPr>
          <w:rStyle w:val="c10"/>
          <w:rFonts w:ascii="Arial" w:hAnsi="Arial" w:cs="Arial"/>
          <w:i/>
          <w:sz w:val="22"/>
          <w:szCs w:val="22"/>
        </w:rPr>
      </w:pPr>
      <w:r w:rsidRPr="00CF6FCF">
        <w:rPr>
          <w:rStyle w:val="c7"/>
          <w:rFonts w:ascii="Arial" w:hAnsi="Arial" w:cs="Arial"/>
          <w:b/>
          <w:bCs/>
          <w:i/>
          <w:sz w:val="22"/>
          <w:szCs w:val="22"/>
        </w:rPr>
        <w:t>II –</w:t>
      </w:r>
      <w:r w:rsidRPr="00CF6FCF">
        <w:rPr>
          <w:rStyle w:val="apple-converted-space"/>
          <w:rFonts w:ascii="Arial" w:hAnsi="Arial" w:cs="Arial"/>
          <w:b/>
          <w:bCs/>
          <w:i/>
          <w:sz w:val="22"/>
          <w:szCs w:val="22"/>
        </w:rPr>
        <w:t> </w:t>
      </w:r>
      <w:r w:rsidRPr="00CF6FCF">
        <w:rPr>
          <w:rStyle w:val="c10"/>
          <w:rFonts w:ascii="Arial" w:eastAsia="SimSun" w:hAnsi="Arial" w:cs="Arial"/>
          <w:i/>
          <w:sz w:val="22"/>
          <w:szCs w:val="22"/>
        </w:rPr>
        <w:t>a prestação de assessoramento na execução de obras e o fornecimento de bens à administração direta ou indireta dos municípios consorciados e destes para com o Consórcio, inclusive a operação de análises para o controle da qualidade da água e monitoramento de esgoto, assistência técnica e assessoria administrativa, contábil e jurídica, tais como:</w:t>
      </w:r>
    </w:p>
    <w:p w14:paraId="6E096E74" w14:textId="77777777" w:rsidR="00CF6FCF" w:rsidRPr="00CF6FCF" w:rsidRDefault="00CF6FCF" w:rsidP="00CF6FCF">
      <w:pPr>
        <w:pStyle w:val="c55"/>
        <w:spacing w:before="0" w:beforeAutospacing="0" w:after="0" w:afterAutospacing="0"/>
        <w:ind w:left="708" w:right="114"/>
        <w:jc w:val="both"/>
        <w:rPr>
          <w:rFonts w:ascii="Arial" w:hAnsi="Arial" w:cs="Arial"/>
          <w:i/>
          <w:sz w:val="22"/>
          <w:szCs w:val="22"/>
        </w:rPr>
      </w:pPr>
      <w:r w:rsidRPr="00CF6FCF">
        <w:rPr>
          <w:rStyle w:val="c7"/>
          <w:rFonts w:ascii="Arial" w:hAnsi="Arial" w:cs="Arial"/>
          <w:bCs/>
          <w:i/>
          <w:sz w:val="22"/>
          <w:szCs w:val="22"/>
        </w:rPr>
        <w:t>[ .</w:t>
      </w:r>
      <w:r w:rsidRPr="00CF6FCF">
        <w:rPr>
          <w:rFonts w:ascii="Arial" w:hAnsi="Arial" w:cs="Arial"/>
          <w:i/>
          <w:sz w:val="22"/>
          <w:szCs w:val="22"/>
        </w:rPr>
        <w:t xml:space="preserve"> . . ]</w:t>
      </w:r>
    </w:p>
    <w:p w14:paraId="7ADF430F" w14:textId="77777777" w:rsidR="00CF6FCF" w:rsidRPr="00CF6FCF" w:rsidRDefault="00CF6FCF" w:rsidP="00CF6FCF">
      <w:pPr>
        <w:pStyle w:val="c55"/>
        <w:spacing w:before="0" w:beforeAutospacing="0" w:after="0" w:afterAutospacing="0"/>
        <w:ind w:firstLine="708"/>
        <w:rPr>
          <w:rFonts w:ascii="Arial" w:hAnsi="Arial" w:cs="Arial"/>
          <w:b/>
          <w:i/>
          <w:sz w:val="22"/>
          <w:szCs w:val="22"/>
        </w:rPr>
      </w:pPr>
      <w:r w:rsidRPr="00CF6FCF">
        <w:rPr>
          <w:rStyle w:val="c7"/>
          <w:rFonts w:ascii="Arial" w:hAnsi="Arial" w:cs="Arial"/>
          <w:b/>
          <w:bCs/>
          <w:i/>
          <w:sz w:val="22"/>
          <w:szCs w:val="22"/>
        </w:rPr>
        <w:t>e)</w:t>
      </w:r>
      <w:r w:rsidRPr="00CF6FCF">
        <w:rPr>
          <w:rStyle w:val="apple-converted-space"/>
          <w:rFonts w:ascii="Arial" w:hAnsi="Arial" w:cs="Arial"/>
          <w:b/>
          <w:bCs/>
          <w:i/>
          <w:sz w:val="22"/>
          <w:szCs w:val="22"/>
        </w:rPr>
        <w:t> </w:t>
      </w:r>
      <w:r w:rsidRPr="00CF6FCF">
        <w:rPr>
          <w:rStyle w:val="c10"/>
          <w:rFonts w:ascii="Arial" w:eastAsia="SimSun" w:hAnsi="Arial" w:cs="Arial"/>
          <w:b/>
          <w:i/>
          <w:sz w:val="22"/>
          <w:szCs w:val="22"/>
        </w:rPr>
        <w:t>treinamento e aperfeiçoamento de pessoal;</w:t>
      </w:r>
    </w:p>
    <w:p w14:paraId="621C9E71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7EF748F6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</w:p>
    <w:p w14:paraId="6FB7057E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         </w:t>
      </w:r>
      <w:r>
        <w:rPr>
          <w:rFonts w:ascii="Arial" w:hAnsi="Arial" w:cs="Arial"/>
          <w:color w:val="0D0D0D" w:themeColor="text1" w:themeTint="F2"/>
          <w:sz w:val="24"/>
          <w:szCs w:val="24"/>
        </w:rPr>
        <w:tab/>
      </w:r>
      <w:r>
        <w:rPr>
          <w:rFonts w:ascii="Arial" w:hAnsi="Arial" w:cs="Arial"/>
          <w:color w:val="0D0D0D" w:themeColor="text1" w:themeTint="F2"/>
          <w:sz w:val="24"/>
          <w:szCs w:val="24"/>
        </w:rPr>
        <w:tab/>
        <w:t>No caso específico, cuida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-se de hipótese de </w:t>
      </w:r>
      <w:r w:rsidRPr="001C3727">
        <w:rPr>
          <w:rFonts w:ascii="Arial" w:hAnsi="Arial" w:cs="Arial"/>
          <w:b/>
          <w:color w:val="0D0D0D" w:themeColor="text1" w:themeTint="F2"/>
          <w:sz w:val="24"/>
          <w:szCs w:val="24"/>
        </w:rPr>
        <w:t>inexigibilidade de licitação,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prevista no art. 74, </w:t>
      </w:r>
      <w:r>
        <w:rPr>
          <w:rFonts w:ascii="Arial" w:hAnsi="Arial" w:cs="Arial"/>
          <w:color w:val="0D0D0D" w:themeColor="text1" w:themeTint="F2"/>
          <w:sz w:val="24"/>
          <w:szCs w:val="24"/>
        </w:rPr>
        <w:t>III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,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f,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da Lei nº 14.133/2021, </w:t>
      </w:r>
      <w:r w:rsidRPr="001C3727">
        <w:rPr>
          <w:rFonts w:ascii="Arial" w:hAnsi="Arial" w:cs="Arial"/>
          <w:i/>
          <w:color w:val="0D0D0D" w:themeColor="text1" w:themeTint="F2"/>
          <w:sz w:val="24"/>
          <w:szCs w:val="24"/>
        </w:rPr>
        <w:t>in verbis: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</w:p>
    <w:p w14:paraId="5B5AA3FD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 Narrow" w:hAnsi="Arial Narrow" w:cs="Arial"/>
          <w:color w:val="0D0D0D" w:themeColor="text1" w:themeTint="F2"/>
        </w:rPr>
      </w:pPr>
    </w:p>
    <w:p w14:paraId="3F520C6F" w14:textId="77777777" w:rsidR="00CF6FCF" w:rsidRDefault="00CF6FCF" w:rsidP="00CF6FCF">
      <w:pPr>
        <w:pStyle w:val="SemEspaamento"/>
        <w:ind w:left="708"/>
        <w:jc w:val="both"/>
        <w:rPr>
          <w:rFonts w:ascii="Arial" w:hAnsi="Arial" w:cs="Arial"/>
          <w:i/>
        </w:rPr>
      </w:pPr>
      <w:r w:rsidRPr="000C5476">
        <w:rPr>
          <w:rFonts w:ascii="Arial" w:hAnsi="Arial" w:cs="Arial"/>
          <w:i/>
        </w:rPr>
        <w:lastRenderedPageBreak/>
        <w:t>Art. 74. É inexigível a licitação quando inviável a competição</w:t>
      </w:r>
      <w:r>
        <w:rPr>
          <w:rFonts w:ascii="Arial" w:hAnsi="Arial" w:cs="Arial"/>
          <w:i/>
        </w:rPr>
        <w:t xml:space="preserve"> em especial nos casos de</w:t>
      </w:r>
      <w:r w:rsidRPr="000C5476">
        <w:rPr>
          <w:rFonts w:ascii="Arial" w:hAnsi="Arial" w:cs="Arial"/>
          <w:i/>
        </w:rPr>
        <w:t xml:space="preserve"> </w:t>
      </w:r>
    </w:p>
    <w:p w14:paraId="49B3CAE7" w14:textId="77777777" w:rsidR="00CF6FCF" w:rsidRPr="000C5476" w:rsidRDefault="00CF6FCF" w:rsidP="00CF6FCF">
      <w:pPr>
        <w:pStyle w:val="SemEspaamento"/>
        <w:ind w:left="708"/>
        <w:jc w:val="both"/>
        <w:rPr>
          <w:rFonts w:ascii="Arial" w:hAnsi="Arial" w:cs="Arial"/>
          <w:i/>
        </w:rPr>
      </w:pPr>
      <w:r w:rsidRPr="000C5476">
        <w:rPr>
          <w:rFonts w:ascii="Arial" w:hAnsi="Arial" w:cs="Arial"/>
          <w:i/>
        </w:rPr>
        <w:t>[</w:t>
      </w:r>
      <w:r>
        <w:rPr>
          <w:rFonts w:ascii="Arial" w:hAnsi="Arial" w:cs="Arial"/>
          <w:i/>
        </w:rPr>
        <w:t xml:space="preserve"> </w:t>
      </w:r>
      <w:r w:rsidRPr="000C5476">
        <w:rPr>
          <w:rFonts w:ascii="Arial" w:hAnsi="Arial" w:cs="Arial"/>
          <w:i/>
        </w:rPr>
        <w:t>…</w:t>
      </w:r>
      <w:r>
        <w:rPr>
          <w:rFonts w:ascii="Arial" w:hAnsi="Arial" w:cs="Arial"/>
          <w:i/>
        </w:rPr>
        <w:t xml:space="preserve"> </w:t>
      </w:r>
      <w:r w:rsidRPr="000C5476">
        <w:rPr>
          <w:rFonts w:ascii="Arial" w:hAnsi="Arial" w:cs="Arial"/>
          <w:i/>
        </w:rPr>
        <w:t>]</w:t>
      </w:r>
    </w:p>
    <w:p w14:paraId="117BCBD3" w14:textId="77777777" w:rsidR="00CF6FCF" w:rsidRDefault="00CF6FCF" w:rsidP="00CF6FCF">
      <w:pPr>
        <w:pStyle w:val="SemEspaamento"/>
        <w:ind w:left="708"/>
        <w:jc w:val="both"/>
        <w:rPr>
          <w:rFonts w:ascii="Arial" w:hAnsi="Arial" w:cs="Arial"/>
          <w:i/>
        </w:rPr>
      </w:pPr>
    </w:p>
    <w:p w14:paraId="55471134" w14:textId="77777777" w:rsidR="00CF6FCF" w:rsidRDefault="00CF6FCF" w:rsidP="00CF6FCF">
      <w:pPr>
        <w:pStyle w:val="SemEspaamento"/>
        <w:ind w:left="708"/>
        <w:jc w:val="both"/>
        <w:rPr>
          <w:rFonts w:ascii="Arial" w:hAnsi="Arial" w:cs="Arial"/>
          <w:i/>
        </w:rPr>
      </w:pPr>
      <w:r w:rsidRPr="000C5476">
        <w:rPr>
          <w:rFonts w:ascii="Arial" w:hAnsi="Arial" w:cs="Arial"/>
          <w:i/>
        </w:rPr>
        <w:t>III – contratação dos […] serviços técnicos especializados de natureza predominantemente intelectual com profissionais ou empresas de notória especialização, vedada a inexigibilidade para serviços de publicidade e divulgação</w:t>
      </w:r>
    </w:p>
    <w:p w14:paraId="226BD088" w14:textId="77777777" w:rsidR="00CF6FCF" w:rsidRDefault="00CF6FCF" w:rsidP="00CF6FCF">
      <w:pPr>
        <w:pStyle w:val="SemEspaamen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[ . . . ]</w:t>
      </w:r>
      <w:r w:rsidRPr="000C5476">
        <w:rPr>
          <w:rFonts w:ascii="Arial" w:hAnsi="Arial" w:cs="Arial"/>
          <w:i/>
        </w:rPr>
        <w:t xml:space="preserve"> </w:t>
      </w:r>
    </w:p>
    <w:p w14:paraId="1D2BC6AD" w14:textId="77777777" w:rsidR="00CF6FCF" w:rsidRPr="006B7681" w:rsidRDefault="00CF6FCF" w:rsidP="00CF6FCF">
      <w:pPr>
        <w:pStyle w:val="SemEspaamento"/>
        <w:ind w:left="708"/>
        <w:jc w:val="both"/>
        <w:rPr>
          <w:rFonts w:ascii="Arial" w:hAnsi="Arial" w:cs="Arial"/>
          <w:i/>
          <w:color w:val="0D0D0D" w:themeColor="text1" w:themeTint="F2"/>
        </w:rPr>
      </w:pPr>
      <w:r w:rsidRPr="006B7681">
        <w:rPr>
          <w:rFonts w:ascii="Arial" w:hAnsi="Arial" w:cs="Arial"/>
          <w:i/>
          <w:color w:val="0D0D0D" w:themeColor="text1" w:themeTint="F2"/>
          <w:shd w:val="clear" w:color="auto" w:fill="FFFFFF"/>
        </w:rPr>
        <w:t>f) treinamento e aperfeiçoamento de pessoal;</w:t>
      </w:r>
    </w:p>
    <w:p w14:paraId="3371A973" w14:textId="77777777" w:rsidR="00CF6FCF" w:rsidRDefault="00CF6FCF" w:rsidP="00CF6FCF">
      <w:pPr>
        <w:pStyle w:val="SemEspaamento"/>
        <w:rPr>
          <w:rFonts w:ascii="Arial" w:hAnsi="Arial" w:cs="Arial"/>
          <w:i/>
        </w:rPr>
      </w:pPr>
    </w:p>
    <w:p w14:paraId="2A7E6903" w14:textId="77777777" w:rsidR="00CF6FCF" w:rsidRPr="000C5476" w:rsidRDefault="00CF6FCF" w:rsidP="00CF6FCF">
      <w:pPr>
        <w:pStyle w:val="SemEspaamento"/>
        <w:rPr>
          <w:rFonts w:ascii="Arial" w:hAnsi="Arial" w:cs="Arial"/>
          <w:i/>
        </w:rPr>
      </w:pPr>
    </w:p>
    <w:p w14:paraId="4E8F4F76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i/>
          <w:color w:val="0D0D0D" w:themeColor="text1" w:themeTint="F2"/>
          <w:sz w:val="24"/>
          <w:szCs w:val="24"/>
        </w:rPr>
      </w:pP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  <w:t xml:space="preserve">Acerca da </w:t>
      </w:r>
      <w:r w:rsidRPr="00373B28">
        <w:rPr>
          <w:rFonts w:ascii="Arial" w:hAnsi="Arial" w:cs="Arial"/>
          <w:b/>
          <w:color w:val="0D0D0D" w:themeColor="text1" w:themeTint="F2"/>
          <w:sz w:val="24"/>
          <w:szCs w:val="24"/>
        </w:rPr>
        <w:t>inexigibilidade de licitação,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Matheus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Ca</w:t>
      </w:r>
      <w:r>
        <w:rPr>
          <w:rFonts w:ascii="Arial" w:hAnsi="Arial" w:cs="Arial"/>
          <w:color w:val="0D0D0D" w:themeColor="text1" w:themeTint="F2"/>
          <w:sz w:val="24"/>
          <w:szCs w:val="24"/>
        </w:rPr>
        <w:t>rvalho, João Paulo Oliveira e Paulo Germano Rocha comentam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, </w:t>
      </w:r>
      <w:r w:rsidRPr="001C3727">
        <w:rPr>
          <w:rFonts w:ascii="Arial" w:hAnsi="Arial" w:cs="Arial"/>
          <w:i/>
          <w:color w:val="0D0D0D" w:themeColor="text1" w:themeTint="F2"/>
          <w:sz w:val="24"/>
          <w:szCs w:val="24"/>
        </w:rPr>
        <w:t>in verbis:</w:t>
      </w:r>
    </w:p>
    <w:p w14:paraId="6AE8449F" w14:textId="77777777" w:rsidR="00CF6FCF" w:rsidRDefault="00CF6FCF" w:rsidP="00CF6FCF">
      <w:pPr>
        <w:pStyle w:val="SemEspaamento"/>
        <w:spacing w:line="276" w:lineRule="auto"/>
        <w:jc w:val="both"/>
        <w:rPr>
          <w:rFonts w:ascii="Arial Narrow" w:hAnsi="Arial Narrow" w:cs="Arial"/>
          <w:i/>
          <w:color w:val="0D0D0D" w:themeColor="text1" w:themeTint="F2"/>
        </w:rPr>
      </w:pPr>
    </w:p>
    <w:p w14:paraId="6B9D7109" w14:textId="77777777" w:rsidR="00CF6FCF" w:rsidRPr="00176A74" w:rsidRDefault="00CF6FCF" w:rsidP="00CF6FCF">
      <w:pPr>
        <w:pStyle w:val="SemEspaamento"/>
        <w:spacing w:line="276" w:lineRule="auto"/>
        <w:ind w:left="708"/>
        <w:jc w:val="both"/>
        <w:rPr>
          <w:rFonts w:ascii="Arial" w:hAnsi="Arial" w:cs="Arial"/>
          <w:i/>
          <w:color w:val="0D0D0D" w:themeColor="text1" w:themeTint="F2"/>
        </w:rPr>
      </w:pPr>
      <w:r w:rsidRPr="00176A74">
        <w:rPr>
          <w:rFonts w:ascii="Arial" w:hAnsi="Arial" w:cs="Arial"/>
          <w:i/>
          <w:color w:val="0D0D0D" w:themeColor="text1" w:themeTint="F2"/>
        </w:rPr>
        <w:t>“A inexigibilidade ocorre quando é inviável a competição. Por isso, é que o art. 74 traz apenas um rol exemplificativo, uma vez que se torna praticamente impossível enumerar todas as situações em que a competição é inviável. Marçal Justen Filho traz uma sistematização para auxiliar na correta interpretação da norma (JUSTEN FILHO, 2010, pp. 358/359)</w:t>
      </w:r>
    </w:p>
    <w:p w14:paraId="1206480E" w14:textId="77777777" w:rsidR="00CF6FCF" w:rsidRPr="00176A74" w:rsidRDefault="00CF6FCF" w:rsidP="00CF6FCF">
      <w:pPr>
        <w:pStyle w:val="SemEspaamento"/>
        <w:spacing w:line="276" w:lineRule="auto"/>
        <w:ind w:left="708"/>
        <w:jc w:val="both"/>
        <w:rPr>
          <w:rFonts w:ascii="Arial" w:hAnsi="Arial" w:cs="Arial"/>
          <w:i/>
          <w:color w:val="0D0D0D" w:themeColor="text1" w:themeTint="F2"/>
        </w:rPr>
      </w:pPr>
      <w:r w:rsidRPr="00176A74">
        <w:rPr>
          <w:rFonts w:ascii="Arial" w:hAnsi="Arial" w:cs="Arial"/>
          <w:i/>
          <w:color w:val="0D0D0D" w:themeColor="text1" w:themeTint="F2"/>
        </w:rPr>
        <w:t>Nessa sistematização, as hipóteses que geram a inexigibilidade podem ser divididas em: a) ausência de alternativas; b) ausência de mercado concorrencial; c) ausência de objetividade na seleção do jogo; e d) ausência de definição objetiva da prestação a ser executada</w:t>
      </w:r>
    </w:p>
    <w:p w14:paraId="1606F637" w14:textId="77777777" w:rsidR="00CF6FCF" w:rsidRPr="00176A74" w:rsidRDefault="00CF6FCF" w:rsidP="00CF6FCF">
      <w:pPr>
        <w:pStyle w:val="SemEspaamento"/>
        <w:spacing w:line="276" w:lineRule="auto"/>
        <w:ind w:left="708"/>
        <w:jc w:val="both"/>
        <w:rPr>
          <w:rFonts w:ascii="Arial" w:hAnsi="Arial" w:cs="Arial"/>
          <w:i/>
          <w:color w:val="0D0D0D" w:themeColor="text1" w:themeTint="F2"/>
        </w:rPr>
      </w:pPr>
      <w:r w:rsidRPr="00176A74">
        <w:rPr>
          <w:rFonts w:ascii="Arial" w:hAnsi="Arial" w:cs="Arial"/>
          <w:i/>
          <w:color w:val="0D0D0D" w:themeColor="text1" w:themeTint="F2"/>
        </w:rPr>
        <w:t>A Lei 14.133/202</w:t>
      </w:r>
      <w:r>
        <w:rPr>
          <w:rFonts w:ascii="Arial" w:hAnsi="Arial" w:cs="Arial"/>
          <w:i/>
          <w:color w:val="0D0D0D" w:themeColor="text1" w:themeTint="F2"/>
        </w:rPr>
        <w:t>1</w:t>
      </w:r>
      <w:r w:rsidRPr="00176A74">
        <w:rPr>
          <w:rFonts w:ascii="Arial" w:hAnsi="Arial" w:cs="Arial"/>
          <w:i/>
          <w:color w:val="0D0D0D" w:themeColor="text1" w:themeTint="F2"/>
        </w:rPr>
        <w:t xml:space="preserve"> manteve o rol exemplificativo, o que fica claro ao perceber a utilização do termo “em especial” pelo </w:t>
      </w:r>
      <w:r w:rsidRPr="00176A74">
        <w:rPr>
          <w:rFonts w:ascii="Arial" w:hAnsi="Arial" w:cs="Arial"/>
          <w:color w:val="0D0D0D" w:themeColor="text1" w:themeTint="F2"/>
        </w:rPr>
        <w:t xml:space="preserve">caput </w:t>
      </w:r>
      <w:r w:rsidRPr="00176A74">
        <w:rPr>
          <w:rFonts w:ascii="Arial" w:hAnsi="Arial" w:cs="Arial"/>
          <w:i/>
          <w:color w:val="0D0D0D" w:themeColor="text1" w:themeTint="F2"/>
        </w:rPr>
        <w:t>do dispositivo, o que mostra que além das hipóteses ali traçadas outras situações podem sim ser causa de contratação direta por inviabilidade de competição.”.</w:t>
      </w:r>
    </w:p>
    <w:p w14:paraId="24204724" w14:textId="77777777" w:rsidR="00CF6FCF" w:rsidRPr="00176A74" w:rsidRDefault="00CF6FCF" w:rsidP="00CF6FCF">
      <w:pPr>
        <w:pStyle w:val="SemEspaamento"/>
        <w:spacing w:line="276" w:lineRule="auto"/>
        <w:ind w:left="708"/>
        <w:jc w:val="both"/>
        <w:rPr>
          <w:rFonts w:ascii="Arial" w:hAnsi="Arial" w:cs="Arial"/>
          <w:i/>
          <w:color w:val="0D0D0D" w:themeColor="text1" w:themeTint="F2"/>
        </w:rPr>
      </w:pPr>
      <w:r w:rsidRPr="00176A74">
        <w:rPr>
          <w:rFonts w:ascii="Arial" w:hAnsi="Arial" w:cs="Arial"/>
          <w:i/>
          <w:color w:val="0D0D0D" w:themeColor="text1" w:themeTint="F2"/>
        </w:rPr>
        <w:t xml:space="preserve">In </w:t>
      </w:r>
      <w:r w:rsidRPr="006B7681">
        <w:rPr>
          <w:rFonts w:ascii="Arial" w:hAnsi="Arial" w:cs="Arial"/>
          <w:color w:val="0D0D0D" w:themeColor="text1" w:themeTint="F2"/>
        </w:rPr>
        <w:t>Nova Lei de Licitações Comentada e Comparada. 3ª ed., Salvador: Jus Podivm, 2023, pp. 348/349.</w:t>
      </w:r>
    </w:p>
    <w:p w14:paraId="0555FB89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 Narrow" w:hAnsi="Arial Narrow" w:cs="Arial"/>
          <w:color w:val="0D0D0D" w:themeColor="text1" w:themeTint="F2"/>
        </w:rPr>
      </w:pPr>
    </w:p>
    <w:p w14:paraId="4E9F66DF" w14:textId="77777777" w:rsidR="00CF6FCF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ab/>
        <w:t>Portanto,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considerando que o projeto básico submetido ao órgão de assessoramento jurídico cumpriu os requisitos e amolda-se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à prev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isão legal, não se vislumbrando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qualquer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impedimento, o p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arecer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é pela viabilidade de contratação direta do Serviço Nacional de Aprendizagem Industrial (SENAI)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para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a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>prestação de serviços</w:t>
      </w: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ao Consórcio, consistentes na ministração do curso de capacitação: ‘T</w:t>
      </w:r>
      <w:r w:rsidRPr="00373B28">
        <w:rPr>
          <w:rFonts w:ascii="Arial" w:hAnsi="Arial" w:cs="Arial"/>
          <w:color w:val="0D0D0D" w:themeColor="text1" w:themeTint="F2"/>
          <w:sz w:val="24"/>
          <w:szCs w:val="24"/>
        </w:rPr>
        <w:t>ratamento de água para consumo humano</w:t>
      </w:r>
      <w:r>
        <w:rPr>
          <w:rFonts w:ascii="Arial" w:hAnsi="Arial" w:cs="Arial"/>
          <w:color w:val="0D0D0D" w:themeColor="text1" w:themeTint="F2"/>
          <w:sz w:val="24"/>
          <w:szCs w:val="24"/>
        </w:rPr>
        <w:t>’, destinado ao aperfeiçoamento técnico de pessoal dos entes consorciados.</w:t>
      </w:r>
    </w:p>
    <w:p w14:paraId="543A6A61" w14:textId="77777777" w:rsidR="00CF6FCF" w:rsidRPr="001C3727" w:rsidRDefault="00CF6FCF" w:rsidP="00CF6FCF">
      <w:pPr>
        <w:pStyle w:val="SemEspaamento"/>
        <w:spacing w:line="276" w:lineRule="auto"/>
        <w:jc w:val="both"/>
        <w:rPr>
          <w:rFonts w:ascii="Arial" w:hAnsi="Arial" w:cs="Arial"/>
          <w:color w:val="0D0D0D" w:themeColor="text1" w:themeTint="F2"/>
          <w:sz w:val="24"/>
          <w:szCs w:val="24"/>
        </w:rPr>
      </w:pPr>
      <w:r>
        <w:rPr>
          <w:rFonts w:ascii="Arial" w:hAnsi="Arial" w:cs="Arial"/>
          <w:color w:val="0D0D0D" w:themeColor="text1" w:themeTint="F2"/>
          <w:sz w:val="24"/>
          <w:szCs w:val="24"/>
        </w:rPr>
        <w:t xml:space="preserve">  </w:t>
      </w:r>
      <w:r w:rsidRPr="001C3727">
        <w:rPr>
          <w:rFonts w:ascii="Arial" w:hAnsi="Arial" w:cs="Arial"/>
          <w:color w:val="0D0D0D" w:themeColor="text1" w:themeTint="F2"/>
          <w:sz w:val="24"/>
          <w:szCs w:val="24"/>
        </w:rPr>
        <w:t xml:space="preserve">  </w:t>
      </w:r>
    </w:p>
    <w:p w14:paraId="600FDE42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  <w:r w:rsidRPr="001C3727">
        <w:rPr>
          <w:rFonts w:ascii="Arial" w:hAnsi="Arial" w:cs="Arial"/>
          <w:color w:val="0D0D0D" w:themeColor="text1" w:themeTint="F2"/>
        </w:rPr>
        <w:t>CAPINZAL (SC), 05 de setembro de 2023.</w:t>
      </w:r>
    </w:p>
    <w:p w14:paraId="5BCE6DB4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</w:p>
    <w:p w14:paraId="19538987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</w:p>
    <w:p w14:paraId="34CFD28A" w14:textId="77777777" w:rsidR="00CF6FCF" w:rsidRPr="001C3727" w:rsidRDefault="00CF6FCF" w:rsidP="00CF6FCF">
      <w:pPr>
        <w:rPr>
          <w:rFonts w:ascii="Arial" w:hAnsi="Arial" w:cs="Arial"/>
          <w:color w:val="0D0D0D" w:themeColor="text1" w:themeTint="F2"/>
        </w:rPr>
      </w:pPr>
    </w:p>
    <w:p w14:paraId="23CCD173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  <w:r w:rsidRPr="001C3727">
        <w:rPr>
          <w:rFonts w:ascii="Arial" w:hAnsi="Arial" w:cs="Arial"/>
          <w:color w:val="0D0D0D" w:themeColor="text1" w:themeTint="F2"/>
        </w:rPr>
        <w:t>...............................................................</w:t>
      </w:r>
      <w:r>
        <w:rPr>
          <w:rFonts w:ascii="Arial" w:hAnsi="Arial" w:cs="Arial"/>
          <w:color w:val="0D0D0D" w:themeColor="text1" w:themeTint="F2"/>
        </w:rPr>
        <w:t>....</w:t>
      </w:r>
    </w:p>
    <w:p w14:paraId="038BF00A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  <w:r w:rsidRPr="001C3727">
        <w:rPr>
          <w:rFonts w:ascii="Arial" w:hAnsi="Arial" w:cs="Arial"/>
          <w:color w:val="0D0D0D" w:themeColor="text1" w:themeTint="F2"/>
        </w:rPr>
        <w:t>Ernesto Jorge Vogt – OAB/SC 10364</w:t>
      </w:r>
    </w:p>
    <w:p w14:paraId="2A845925" w14:textId="77777777" w:rsidR="00CF6FCF" w:rsidRPr="001C3727" w:rsidRDefault="00CF6FCF" w:rsidP="00CF6FCF">
      <w:pPr>
        <w:ind w:left="567"/>
        <w:jc w:val="center"/>
        <w:rPr>
          <w:rFonts w:ascii="Arial" w:hAnsi="Arial" w:cs="Arial"/>
          <w:color w:val="0D0D0D" w:themeColor="text1" w:themeTint="F2"/>
        </w:rPr>
      </w:pPr>
      <w:r w:rsidRPr="001C3727">
        <w:rPr>
          <w:rFonts w:ascii="Arial" w:hAnsi="Arial" w:cs="Arial"/>
          <w:color w:val="0D0D0D" w:themeColor="text1" w:themeTint="F2"/>
        </w:rPr>
        <w:t>Assessor Jurídico CISAM Meio Oeste</w:t>
      </w:r>
    </w:p>
    <w:p w14:paraId="325CAC0C" w14:textId="77777777" w:rsidR="00314A56" w:rsidRDefault="00F14CF6"/>
    <w:sectPr w:rsidR="00314A56" w:rsidSect="00CF6FCF"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FCF"/>
    <w:rsid w:val="00662FC3"/>
    <w:rsid w:val="007746E7"/>
    <w:rsid w:val="00CF6FCF"/>
    <w:rsid w:val="00F1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835F"/>
  <w15:docId w15:val="{EFE8673F-BBE2-4131-A842-EC14ACC84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6FC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F6FCF"/>
    <w:pPr>
      <w:spacing w:after="0" w:line="240" w:lineRule="auto"/>
    </w:pPr>
    <w:rPr>
      <w:noProof/>
    </w:rPr>
  </w:style>
  <w:style w:type="character" w:customStyle="1" w:styleId="apple-converted-space">
    <w:name w:val="apple-converted-space"/>
    <w:basedOn w:val="Fontepargpadro"/>
    <w:rsid w:val="00CF6FCF"/>
  </w:style>
  <w:style w:type="paragraph" w:styleId="Ttulo">
    <w:name w:val="Title"/>
    <w:basedOn w:val="Normal"/>
    <w:link w:val="TtuloChar"/>
    <w:qFormat/>
    <w:rsid w:val="00CF6FCF"/>
    <w:pPr>
      <w:jc w:val="center"/>
    </w:pPr>
    <w:rPr>
      <w:rFonts w:ascii="Arial" w:hAnsi="Arial" w:cs="Arial"/>
      <w:b/>
      <w:sz w:val="22"/>
      <w:szCs w:val="32"/>
      <w:u w:val="single"/>
    </w:rPr>
  </w:style>
  <w:style w:type="character" w:customStyle="1" w:styleId="TtuloChar">
    <w:name w:val="Título Char"/>
    <w:basedOn w:val="Fontepargpadro"/>
    <w:link w:val="Ttulo"/>
    <w:rsid w:val="00CF6FCF"/>
    <w:rPr>
      <w:rFonts w:ascii="Arial" w:eastAsia="SimSun" w:hAnsi="Arial" w:cs="Arial"/>
      <w:b/>
      <w:szCs w:val="32"/>
      <w:u w:val="single"/>
      <w:lang w:eastAsia="zh-CN"/>
    </w:rPr>
  </w:style>
  <w:style w:type="paragraph" w:customStyle="1" w:styleId="c55">
    <w:name w:val="c55"/>
    <w:basedOn w:val="Normal"/>
    <w:rsid w:val="00CF6FCF"/>
    <w:pPr>
      <w:spacing w:before="100" w:beforeAutospacing="1" w:after="100" w:afterAutospacing="1"/>
    </w:pPr>
    <w:rPr>
      <w:rFonts w:eastAsia="Times New Roman"/>
      <w:lang w:eastAsia="pt-BR"/>
    </w:rPr>
  </w:style>
  <w:style w:type="character" w:customStyle="1" w:styleId="c7">
    <w:name w:val="c7"/>
    <w:basedOn w:val="Fontepargpadro"/>
    <w:rsid w:val="00CF6FCF"/>
  </w:style>
  <w:style w:type="character" w:customStyle="1" w:styleId="c10">
    <w:name w:val="c10"/>
    <w:basedOn w:val="Fontepargpadro"/>
    <w:rsid w:val="00CF6FCF"/>
  </w:style>
  <w:style w:type="paragraph" w:customStyle="1" w:styleId="c28">
    <w:name w:val="c28"/>
    <w:basedOn w:val="Normal"/>
    <w:rsid w:val="00CF6FC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6FC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6FC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667</Words>
  <Characters>3606</Characters>
  <Application>Microsoft Office Word</Application>
  <DocSecurity>0</DocSecurity>
  <Lines>30</Lines>
  <Paragraphs>8</Paragraphs>
  <ScaleCrop>false</ScaleCrop>
  <Company>Microsoft</Company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Cisam</cp:lastModifiedBy>
  <cp:revision>2</cp:revision>
  <dcterms:created xsi:type="dcterms:W3CDTF">2023-09-21T10:43:00Z</dcterms:created>
  <dcterms:modified xsi:type="dcterms:W3CDTF">2023-09-21T10:43:00Z</dcterms:modified>
</cp:coreProperties>
</file>