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120" w:after="288"/>
        <w:jc w:val="center"/>
        <w:rPr>
          <w:rFonts w:ascii="Arial" w:hAnsi="Arial" w:cs="Arial"/>
          <w:bCs/>
          <w:color w:val="000000"/>
          <w:sz w:val="20"/>
          <w:szCs w:val="20"/>
        </w:rPr>
      </w:pPr>
      <w:r>
        <w:rPr>
          <w:rFonts w:cs="Arial" w:ascii="Arial" w:hAnsi="Arial"/>
          <w:color w:themeColor="text1" w:val="000000"/>
          <w:sz w:val="20"/>
          <w:szCs w:val="20"/>
        </w:rPr>
        <w:t>Processo Administrativo n° 01/2025</w:t>
      </w:r>
    </w:p>
    <w:p>
      <w:pPr>
        <w:pStyle w:val="Nivel01"/>
        <w:numPr>
          <w:ilvl w:val="0"/>
          <w:numId w:val="4"/>
        </w:numPr>
        <w:ind w:hanging="0" w:left="0"/>
        <w:rPr>
          <w:rFonts w:ascii="Calibri" w:hAnsi="Calibri"/>
          <w:sz w:val="24"/>
          <w:szCs w:val="24"/>
        </w:rPr>
      </w:pPr>
      <w:r>
        <w:rPr>
          <w:sz w:val="24"/>
          <w:szCs w:val="24"/>
        </w:rPr>
        <w:t>CONDIÇÕES GERAIS DA CONTRATAÇÃO</w:t>
      </w:r>
    </w:p>
    <w:p>
      <w:pPr>
        <w:pStyle w:val="Standard"/>
        <w:widowControl/>
        <w:numPr>
          <w:ilvl w:val="1"/>
          <w:numId w:val="113"/>
        </w:numPr>
        <w:tabs>
          <w:tab w:val="clear" w:pos="708"/>
          <w:tab w:val="left" w:pos="567" w:leader="none"/>
        </w:tabs>
        <w:spacing w:lineRule="auto" w:line="360" w:before="120" w:after="120"/>
        <w:ind w:hanging="0" w:left="0"/>
        <w:jc w:val="both"/>
        <w:rPr>
          <w:rFonts w:ascii="Calibri" w:hAnsi="Calibri"/>
          <w:sz w:val="24"/>
          <w:szCs w:val="24"/>
        </w:rPr>
      </w:pPr>
      <w:r>
        <w:rPr>
          <w:rFonts w:eastAsia="Arial" w:cs="Arial" w:ascii="Calibri" w:hAnsi="Calibri"/>
          <w:color w:val="000000"/>
          <w:sz w:val="24"/>
          <w:szCs w:val="24"/>
          <w:lang w:eastAsia="pt-BR"/>
        </w:rPr>
        <w:t>Contratação de empresa especializada para emissão de Certificados Digitais, e tokens criptográficos para pessoa jurídica, E-CPF, ICP-BRASIL, com garantia e suporte técnico, nas condições, quantidades e exigências estabelecidas neste termo de referência</w:t>
      </w:r>
      <w:r>
        <w:rPr>
          <w:rFonts w:eastAsia="Times New Roman" w:cs="Arial" w:ascii="Calibri" w:hAnsi="Calibri"/>
          <w:color w:val="000000"/>
          <w:sz w:val="24"/>
          <w:szCs w:val="24"/>
          <w:lang w:eastAsia="pt-BR" w:bidi="ar-SA"/>
        </w:rPr>
        <w:t>.</w:t>
      </w:r>
    </w:p>
    <w:tbl>
      <w:tblPr>
        <w:tblW w:w="9102" w:type="dxa"/>
        <w:jc w:val="left"/>
        <w:tblInd w:w="15" w:type="dxa"/>
        <w:tblLayout w:type="fixed"/>
        <w:tblCellMar>
          <w:top w:w="0" w:type="dxa"/>
          <w:left w:w="10" w:type="dxa"/>
          <w:bottom w:w="0" w:type="dxa"/>
          <w:right w:w="10" w:type="dxa"/>
        </w:tblCellMar>
        <w:tblLook w:firstRow="1" w:noVBand="1" w:lastRow="0" w:firstColumn="1" w:lastColumn="0" w:noHBand="0" w:val="04a0"/>
      </w:tblPr>
      <w:tblGrid>
        <w:gridCol w:w="636"/>
        <w:gridCol w:w="3518"/>
        <w:gridCol w:w="955"/>
        <w:gridCol w:w="1701"/>
        <w:gridCol w:w="2292"/>
      </w:tblGrid>
      <w:tr>
        <w:trPr>
          <w:trHeight w:val="1064" w:hRule="atLeast"/>
        </w:trPr>
        <w:tc>
          <w:tcPr>
            <w:tcW w:w="636" w:type="dxa"/>
            <w:tcBorders>
              <w:top w:val="single" w:sz="4" w:space="0" w:color="000000"/>
              <w:left w:val="single" w:sz="4" w:space="0" w:color="000000"/>
              <w:bottom w:val="single" w:sz="4" w:space="0" w:color="000000"/>
              <w:right w:val="single" w:sz="4" w:space="0" w:color="000000"/>
            </w:tcBorders>
          </w:tcPr>
          <w:p>
            <w:pPr>
              <w:pStyle w:val="Normal11"/>
              <w:jc w:val="center"/>
              <w:rPr>
                <w:rFonts w:ascii="Calibri" w:hAnsi="Calibri"/>
                <w:sz w:val="20"/>
                <w:szCs w:val="20"/>
              </w:rPr>
            </w:pPr>
            <w:r>
              <w:rPr>
                <w:rFonts w:cs="Arial" w:ascii="Calibri" w:hAnsi="Calibri"/>
                <w:b/>
                <w:bCs/>
                <w:color w:val="000000"/>
                <w:sz w:val="20"/>
                <w:szCs w:val="20"/>
              </w:rPr>
              <w:t>ITEM</w:t>
            </w:r>
          </w:p>
        </w:tc>
        <w:tc>
          <w:tcPr>
            <w:tcW w:w="351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pPr>
              <w:pStyle w:val="Normal11"/>
              <w:jc w:val="center"/>
              <w:rPr>
                <w:rFonts w:ascii="Calibri" w:hAnsi="Calibri"/>
                <w:sz w:val="20"/>
                <w:szCs w:val="20"/>
              </w:rPr>
            </w:pPr>
            <w:r>
              <w:rPr>
                <w:rFonts w:cs="Arial" w:ascii="Calibri" w:hAnsi="Calibri"/>
                <w:b/>
                <w:bCs/>
                <w:color w:val="000000"/>
                <w:sz w:val="20"/>
                <w:szCs w:val="20"/>
              </w:rPr>
              <w:t>Especificação</w:t>
            </w:r>
          </w:p>
        </w:tc>
        <w:tc>
          <w:tcPr>
            <w:tcW w:w="95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pPr>
              <w:pStyle w:val="Normal11"/>
              <w:jc w:val="center"/>
              <w:rPr>
                <w:rFonts w:ascii="Calibri" w:hAnsi="Calibri"/>
                <w:sz w:val="20"/>
                <w:szCs w:val="20"/>
              </w:rPr>
            </w:pPr>
            <w:r>
              <w:rPr>
                <w:rFonts w:cs="Arial" w:ascii="Calibri" w:hAnsi="Calibri"/>
                <w:b/>
                <w:bCs/>
                <w:color w:val="000000"/>
                <w:sz w:val="20"/>
                <w:szCs w:val="20"/>
              </w:rPr>
              <w:t>Quant.</w:t>
            </w:r>
          </w:p>
        </w:tc>
        <w:tc>
          <w:tcPr>
            <w:tcW w:w="170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pPr>
              <w:pStyle w:val="Normal11"/>
              <w:jc w:val="center"/>
              <w:rPr>
                <w:rFonts w:ascii="Calibri" w:hAnsi="Calibri"/>
                <w:sz w:val="20"/>
                <w:szCs w:val="20"/>
              </w:rPr>
            </w:pPr>
            <w:r>
              <w:rPr>
                <w:rFonts w:cs="Arial" w:ascii="Calibri" w:hAnsi="Calibri"/>
                <w:b/>
                <w:bCs/>
                <w:color w:val="000000"/>
                <w:sz w:val="20"/>
                <w:szCs w:val="20"/>
              </w:rPr>
              <w:t>Valor Unit. Estimado</w:t>
            </w:r>
          </w:p>
        </w:tc>
        <w:tc>
          <w:tcPr>
            <w:tcW w:w="2292"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pPr>
              <w:pStyle w:val="Normal11"/>
              <w:jc w:val="center"/>
              <w:rPr>
                <w:rFonts w:ascii="Calibri" w:hAnsi="Calibri"/>
                <w:sz w:val="20"/>
                <w:szCs w:val="20"/>
              </w:rPr>
            </w:pPr>
            <w:r>
              <w:rPr>
                <w:rFonts w:cs="Arial" w:ascii="Calibri" w:hAnsi="Calibri"/>
                <w:b/>
                <w:bCs/>
                <w:color w:val="000000"/>
                <w:sz w:val="20"/>
                <w:szCs w:val="20"/>
              </w:rPr>
              <w:t>Valor Total Estimado</w:t>
            </w:r>
          </w:p>
        </w:tc>
      </w:tr>
      <w:tr>
        <w:trPr>
          <w:trHeight w:val="1025" w:hRule="atLeast"/>
        </w:trPr>
        <w:tc>
          <w:tcPr>
            <w:tcW w:w="636" w:type="dxa"/>
            <w:tcBorders>
              <w:left w:val="single" w:sz="2" w:space="0" w:color="000000"/>
              <w:bottom w:val="single" w:sz="2" w:space="0" w:color="000000"/>
              <w:right w:val="single" w:sz="4" w:space="0" w:color="000000"/>
            </w:tcBorders>
          </w:tcPr>
          <w:p>
            <w:pPr>
              <w:pStyle w:val="Normal11"/>
              <w:jc w:val="center"/>
              <w:rPr/>
            </w:pPr>
            <w:r>
              <w:rPr>
                <w:rFonts w:cs="Arial" w:ascii="Calibri" w:hAnsi="Calibri"/>
                <w:sz w:val="20"/>
                <w:szCs w:val="20"/>
              </w:rPr>
              <w:t xml:space="preserve"> </w:t>
            </w:r>
            <w:r>
              <w:rPr>
                <w:rFonts w:cs="Arial" w:ascii="Calibri" w:hAnsi="Calibri"/>
                <w:sz w:val="20"/>
                <w:szCs w:val="20"/>
              </w:rPr>
              <w:t>01</w:t>
            </w:r>
          </w:p>
        </w:tc>
        <w:tc>
          <w:tcPr>
            <w:tcW w:w="3518" w:type="dxa"/>
            <w:tcBorders>
              <w:left w:val="single" w:sz="2" w:space="0" w:color="000000"/>
              <w:bottom w:val="single" w:sz="2" w:space="0" w:color="000000"/>
              <w:right w:val="single" w:sz="4" w:space="0" w:color="000000"/>
            </w:tcBorders>
            <w:tcMar>
              <w:top w:w="55" w:type="dxa"/>
              <w:left w:w="55" w:type="dxa"/>
              <w:bottom w:w="55" w:type="dxa"/>
              <w:right w:w="55" w:type="dxa"/>
            </w:tcMar>
          </w:tcPr>
          <w:p>
            <w:pPr>
              <w:pStyle w:val="Normal11"/>
              <w:jc w:val="both"/>
              <w:rPr>
                <w:rFonts w:ascii="Calibri" w:hAnsi="Calibri"/>
                <w:sz w:val="20"/>
                <w:szCs w:val="20"/>
              </w:rPr>
            </w:pPr>
            <w:r>
              <w:rPr>
                <w:rFonts w:cs="Arial" w:ascii="Calibri" w:hAnsi="Calibri"/>
                <w:sz w:val="20"/>
                <w:szCs w:val="20"/>
              </w:rPr>
              <w:t xml:space="preserve">Emissão de Certificado Digital do tipo </w:t>
            </w:r>
            <w:r>
              <w:rPr>
                <w:rFonts w:cs="Arial" w:ascii="Calibri" w:hAnsi="Calibri"/>
                <w:sz w:val="20"/>
                <w:szCs w:val="20"/>
              </w:rPr>
              <w:t xml:space="preserve">A3 </w:t>
            </w:r>
            <w:r>
              <w:rPr>
                <w:rFonts w:cs="Arial" w:ascii="Calibri" w:hAnsi="Calibri"/>
                <w:sz w:val="20"/>
                <w:szCs w:val="20"/>
              </w:rPr>
              <w:t xml:space="preserve"> E-CPF, padrão ICP-Brasil Pessoa Física, com fornecimento de token criptográfico para armazenamento do Certificado, com validade mínima de 2 anos.</w:t>
            </w:r>
          </w:p>
        </w:tc>
        <w:tc>
          <w:tcPr>
            <w:tcW w:w="955" w:type="dxa"/>
            <w:tcBorders>
              <w:left w:val="single" w:sz="4" w:space="0" w:color="000000"/>
              <w:bottom w:val="single" w:sz="2" w:space="0" w:color="000000"/>
            </w:tcBorders>
            <w:tcMar>
              <w:top w:w="55" w:type="dxa"/>
              <w:left w:w="55" w:type="dxa"/>
              <w:bottom w:w="55" w:type="dxa"/>
              <w:right w:w="55" w:type="dxa"/>
            </w:tcMar>
            <w:vAlign w:val="center"/>
          </w:tcPr>
          <w:p>
            <w:pPr>
              <w:pStyle w:val="Normal11"/>
              <w:jc w:val="center"/>
              <w:rPr>
                <w:rFonts w:ascii="Calibri" w:hAnsi="Calibri"/>
                <w:sz w:val="20"/>
                <w:szCs w:val="20"/>
              </w:rPr>
            </w:pPr>
            <w:r>
              <w:rPr>
                <w:rFonts w:cs="Arial" w:ascii="Calibri" w:hAnsi="Calibri"/>
                <w:color w:val="000000"/>
                <w:sz w:val="20"/>
                <w:szCs w:val="20"/>
              </w:rPr>
              <w:t>01</w:t>
            </w:r>
          </w:p>
        </w:tc>
        <w:tc>
          <w:tcPr>
            <w:tcW w:w="1701" w:type="dxa"/>
            <w:tcBorders>
              <w:left w:val="single" w:sz="2" w:space="0" w:color="000000"/>
              <w:bottom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c>
          <w:tcPr>
            <w:tcW w:w="229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r>
      <w:tr>
        <w:trPr>
          <w:trHeight w:val="1025" w:hRule="atLeast"/>
        </w:trPr>
        <w:tc>
          <w:tcPr>
            <w:tcW w:w="636" w:type="dxa"/>
            <w:tcBorders>
              <w:left w:val="single" w:sz="2" w:space="0" w:color="000000"/>
              <w:bottom w:val="single" w:sz="2" w:space="0" w:color="000000"/>
              <w:right w:val="single" w:sz="4" w:space="0" w:color="000000"/>
            </w:tcBorders>
          </w:tcPr>
          <w:p>
            <w:pPr>
              <w:pStyle w:val="Normal11"/>
              <w:jc w:val="center"/>
              <w:rPr/>
            </w:pPr>
            <w:r>
              <w:rPr>
                <w:rFonts w:cs="Arial" w:ascii="Calibri" w:hAnsi="Calibri"/>
                <w:sz w:val="20"/>
                <w:szCs w:val="20"/>
              </w:rPr>
              <w:t xml:space="preserve">   </w:t>
            </w:r>
            <w:r>
              <w:rPr>
                <w:rFonts w:cs="Arial" w:ascii="Calibri" w:hAnsi="Calibri"/>
                <w:sz w:val="20"/>
                <w:szCs w:val="20"/>
              </w:rPr>
              <w:t>02</w:t>
            </w:r>
          </w:p>
        </w:tc>
        <w:tc>
          <w:tcPr>
            <w:tcW w:w="3518" w:type="dxa"/>
            <w:tcBorders>
              <w:left w:val="single" w:sz="2" w:space="0" w:color="000000"/>
              <w:bottom w:val="single" w:sz="2" w:space="0" w:color="000000"/>
              <w:right w:val="single" w:sz="4" w:space="0" w:color="000000"/>
            </w:tcBorders>
            <w:tcMar>
              <w:top w:w="55" w:type="dxa"/>
              <w:left w:w="55" w:type="dxa"/>
              <w:bottom w:w="55" w:type="dxa"/>
              <w:right w:w="55" w:type="dxa"/>
            </w:tcMar>
          </w:tcPr>
          <w:p>
            <w:pPr>
              <w:pStyle w:val="Normal11"/>
              <w:jc w:val="both"/>
              <w:rPr>
                <w:rFonts w:ascii="Calibri" w:hAnsi="Calibri"/>
                <w:sz w:val="20"/>
                <w:szCs w:val="20"/>
              </w:rPr>
            </w:pPr>
            <w:r>
              <w:rPr>
                <w:rFonts w:ascii="Calibri" w:hAnsi="Calibri"/>
                <w:sz w:val="20"/>
                <w:szCs w:val="20"/>
              </w:rPr>
              <w:t>Renovação de Certificado Digital do tipo A1, padrão ICP-Brasil para Pessoa Jurídica, do tipo para e – CNPJ, com validade mínima de 1 ano.</w:t>
            </w:r>
          </w:p>
        </w:tc>
        <w:tc>
          <w:tcPr>
            <w:tcW w:w="955" w:type="dxa"/>
            <w:tcBorders>
              <w:left w:val="single" w:sz="4" w:space="0" w:color="000000"/>
              <w:bottom w:val="single" w:sz="2" w:space="0" w:color="000000"/>
            </w:tcBorders>
            <w:tcMar>
              <w:top w:w="55" w:type="dxa"/>
              <w:left w:w="55" w:type="dxa"/>
              <w:bottom w:w="55" w:type="dxa"/>
              <w:right w:w="55" w:type="dxa"/>
            </w:tcMar>
            <w:vAlign w:val="center"/>
          </w:tcPr>
          <w:p>
            <w:pPr>
              <w:pStyle w:val="Normal11"/>
              <w:jc w:val="center"/>
              <w:rPr>
                <w:rFonts w:ascii="Calibri" w:hAnsi="Calibri" w:cs="Arial"/>
                <w:color w:val="000000"/>
                <w:sz w:val="20"/>
                <w:szCs w:val="20"/>
              </w:rPr>
            </w:pPr>
            <w:r>
              <w:rPr>
                <w:rFonts w:cs="Arial" w:ascii="Calibri" w:hAnsi="Calibri"/>
                <w:color w:val="000000"/>
                <w:sz w:val="20"/>
                <w:szCs w:val="20"/>
              </w:rPr>
              <w:t>01</w:t>
            </w:r>
          </w:p>
        </w:tc>
        <w:tc>
          <w:tcPr>
            <w:tcW w:w="1701" w:type="dxa"/>
            <w:tcBorders>
              <w:left w:val="single" w:sz="2" w:space="0" w:color="000000"/>
              <w:bottom w:val="single" w:sz="2" w:space="0" w:color="000000"/>
            </w:tcBorders>
            <w:tcMar>
              <w:top w:w="55" w:type="dxa"/>
              <w:left w:w="55" w:type="dxa"/>
              <w:bottom w:w="55" w:type="dxa"/>
              <w:right w:w="55" w:type="dxa"/>
            </w:tcMar>
            <w:vAlign w:val="center"/>
          </w:tcPr>
          <w:p>
            <w:pPr>
              <w:pStyle w:val="Standard"/>
              <w:keepNext w:val="true"/>
              <w:jc w:val="center"/>
              <w:rPr>
                <w:rFonts w:ascii="Calibri" w:hAnsi="Calibri" w:cs="Arial"/>
                <w:color w:val="000000"/>
                <w:sz w:val="20"/>
                <w:szCs w:val="20"/>
              </w:rPr>
            </w:pPr>
            <w:r>
              <w:rPr>
                <w:rFonts w:cs="Arial" w:ascii="Calibri" w:hAnsi="Calibri"/>
                <w:color w:val="000000"/>
                <w:sz w:val="20"/>
                <w:szCs w:val="20"/>
              </w:rPr>
              <w:t>R$</w:t>
            </w:r>
          </w:p>
        </w:tc>
        <w:tc>
          <w:tcPr>
            <w:tcW w:w="229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Standard"/>
              <w:keepNext w:val="true"/>
              <w:jc w:val="center"/>
              <w:rPr>
                <w:rFonts w:ascii="Calibri" w:hAnsi="Calibri" w:cs="Arial"/>
                <w:color w:val="000000"/>
                <w:sz w:val="20"/>
                <w:szCs w:val="20"/>
              </w:rPr>
            </w:pPr>
            <w:r>
              <w:rPr>
                <w:rFonts w:cs="Arial" w:ascii="Calibri" w:hAnsi="Calibri"/>
                <w:color w:val="000000"/>
                <w:sz w:val="20"/>
                <w:szCs w:val="20"/>
              </w:rPr>
              <w:t>R$</w:t>
            </w:r>
          </w:p>
        </w:tc>
      </w:tr>
      <w:tr>
        <w:trPr>
          <w:trHeight w:val="1025" w:hRule="atLeast"/>
        </w:trPr>
        <w:tc>
          <w:tcPr>
            <w:tcW w:w="636" w:type="dxa"/>
            <w:tcBorders>
              <w:left w:val="single" w:sz="2" w:space="0" w:color="000000"/>
              <w:bottom w:val="single" w:sz="2" w:space="0" w:color="000000"/>
              <w:right w:val="single" w:sz="4" w:space="0" w:color="000000"/>
            </w:tcBorders>
          </w:tcPr>
          <w:p>
            <w:pPr>
              <w:pStyle w:val="Normal11"/>
              <w:jc w:val="center"/>
              <w:rPr/>
            </w:pPr>
            <w:r>
              <w:rPr>
                <w:rFonts w:cs="Arial" w:ascii="Calibri" w:hAnsi="Calibri"/>
                <w:sz w:val="20"/>
                <w:szCs w:val="20"/>
              </w:rPr>
              <w:t xml:space="preserve">    </w:t>
            </w:r>
            <w:r>
              <w:rPr>
                <w:rFonts w:cs="Arial" w:ascii="Calibri" w:hAnsi="Calibri"/>
                <w:sz w:val="20"/>
                <w:szCs w:val="20"/>
              </w:rPr>
              <w:t>03</w:t>
            </w:r>
          </w:p>
        </w:tc>
        <w:tc>
          <w:tcPr>
            <w:tcW w:w="3518" w:type="dxa"/>
            <w:tcBorders>
              <w:left w:val="single" w:sz="2" w:space="0" w:color="000000"/>
              <w:bottom w:val="single" w:sz="2" w:space="0" w:color="000000"/>
              <w:right w:val="single" w:sz="4" w:space="0" w:color="000000"/>
            </w:tcBorders>
            <w:tcMar>
              <w:top w:w="55" w:type="dxa"/>
              <w:left w:w="55" w:type="dxa"/>
              <w:bottom w:w="55" w:type="dxa"/>
              <w:right w:w="55" w:type="dxa"/>
            </w:tcMar>
          </w:tcPr>
          <w:p>
            <w:pPr>
              <w:pStyle w:val="Normal11"/>
              <w:jc w:val="both"/>
              <w:rPr>
                <w:rFonts w:ascii="Calibri" w:hAnsi="Calibri"/>
                <w:sz w:val="20"/>
                <w:szCs w:val="20"/>
              </w:rPr>
            </w:pPr>
            <w:r>
              <w:rPr>
                <w:rFonts w:cs="Arial" w:ascii="Calibri" w:hAnsi="Calibri"/>
                <w:sz w:val="20"/>
                <w:szCs w:val="20"/>
              </w:rPr>
              <w:t>Emissão de Certificado Digital do tipo A1, padrão ICP-Brasil para Pessoa Jurídica, do tipo para e – CNPJ, com validade mínima de 01 ano .</w:t>
            </w:r>
          </w:p>
        </w:tc>
        <w:tc>
          <w:tcPr>
            <w:tcW w:w="955" w:type="dxa"/>
            <w:tcBorders>
              <w:left w:val="single" w:sz="4" w:space="0" w:color="000000"/>
              <w:bottom w:val="single" w:sz="2" w:space="0" w:color="000000"/>
            </w:tcBorders>
            <w:tcMar>
              <w:top w:w="55" w:type="dxa"/>
              <w:left w:w="55" w:type="dxa"/>
              <w:bottom w:w="55" w:type="dxa"/>
              <w:right w:w="55" w:type="dxa"/>
            </w:tcMar>
            <w:vAlign w:val="center"/>
          </w:tcPr>
          <w:p>
            <w:pPr>
              <w:pStyle w:val="Normal11"/>
              <w:jc w:val="center"/>
              <w:rPr>
                <w:rFonts w:ascii="Calibri" w:hAnsi="Calibri"/>
                <w:sz w:val="20"/>
                <w:szCs w:val="20"/>
              </w:rPr>
            </w:pPr>
            <w:r>
              <w:rPr>
                <w:rFonts w:cs="Arial" w:ascii="Calibri" w:hAnsi="Calibri"/>
                <w:color w:val="000000"/>
                <w:sz w:val="20"/>
                <w:szCs w:val="20"/>
              </w:rPr>
              <w:t>02</w:t>
            </w:r>
          </w:p>
        </w:tc>
        <w:tc>
          <w:tcPr>
            <w:tcW w:w="1701" w:type="dxa"/>
            <w:tcBorders>
              <w:left w:val="single" w:sz="2" w:space="0" w:color="000000"/>
              <w:bottom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c>
          <w:tcPr>
            <w:tcW w:w="229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r>
      <w:tr>
        <w:trPr>
          <w:trHeight w:val="1025" w:hRule="atLeast"/>
        </w:trPr>
        <w:tc>
          <w:tcPr>
            <w:tcW w:w="636" w:type="dxa"/>
            <w:tcBorders>
              <w:left w:val="single" w:sz="2" w:space="0" w:color="000000"/>
              <w:bottom w:val="single" w:sz="2" w:space="0" w:color="000000"/>
              <w:right w:val="single" w:sz="4" w:space="0" w:color="000000"/>
            </w:tcBorders>
            <w:tcMar>
              <w:left w:w="0" w:type="dxa"/>
              <w:right w:w="0" w:type="dxa"/>
            </w:tcMar>
          </w:tcPr>
          <w:p>
            <w:pPr>
              <w:pStyle w:val="Normal11"/>
              <w:jc w:val="center"/>
              <w:rPr>
                <w:rFonts w:ascii="Calibri" w:hAnsi="Calibri" w:cs="Arial"/>
                <w:sz w:val="20"/>
                <w:szCs w:val="20"/>
              </w:rPr>
            </w:pPr>
            <w:r>
              <w:rPr>
                <w:rFonts w:cs="Arial" w:ascii="Calibri" w:hAnsi="Calibri"/>
                <w:sz w:val="20"/>
                <w:szCs w:val="20"/>
              </w:rPr>
              <w:t xml:space="preserve">     </w:t>
            </w:r>
            <w:r>
              <w:rPr>
                <w:rFonts w:cs="Arial" w:ascii="Calibri" w:hAnsi="Calibri"/>
                <w:sz w:val="20"/>
                <w:szCs w:val="20"/>
              </w:rPr>
              <w:t>04</w:t>
            </w:r>
          </w:p>
        </w:tc>
        <w:tc>
          <w:tcPr>
            <w:tcW w:w="3518" w:type="dxa"/>
            <w:tcBorders>
              <w:left w:val="single" w:sz="2" w:space="0" w:color="000000"/>
              <w:bottom w:val="single" w:sz="2" w:space="0" w:color="000000"/>
              <w:right w:val="single" w:sz="4" w:space="0" w:color="000000"/>
            </w:tcBorders>
            <w:tcMar>
              <w:top w:w="55" w:type="dxa"/>
              <w:left w:w="55" w:type="dxa"/>
              <w:bottom w:w="55" w:type="dxa"/>
              <w:right w:w="55" w:type="dxa"/>
            </w:tcMar>
          </w:tcPr>
          <w:p>
            <w:pPr>
              <w:pStyle w:val="Normal11"/>
              <w:jc w:val="both"/>
              <w:rPr/>
            </w:pPr>
            <w:r>
              <w:rPr>
                <w:rFonts w:cs="Arial"/>
                <w:sz w:val="20"/>
                <w:szCs w:val="20"/>
              </w:rPr>
              <w:t xml:space="preserve">Emissão de Certificado Digital do tipo A3, padrão ICP-Brasil para Pessoa Jurídica, do tipo para </w:t>
            </w:r>
            <w:r>
              <w:rPr>
                <w:rFonts w:cs="Arial" w:ascii="Calibri" w:hAnsi="Calibri"/>
                <w:b w:val="false"/>
                <w:i w:val="false"/>
                <w:caps w:val="false"/>
                <w:smallCaps w:val="false"/>
                <w:color w:val="000000"/>
                <w:spacing w:val="0"/>
                <w:sz w:val="20"/>
                <w:szCs w:val="20"/>
              </w:rPr>
              <w:t xml:space="preserve">e-Jurídico </w:t>
            </w:r>
            <w:r>
              <w:rPr>
                <w:rFonts w:cs="Arial" w:ascii="Calibri" w:hAnsi="Calibri"/>
                <w:b w:val="false"/>
                <w:i w:val="false"/>
                <w:caps w:val="false"/>
                <w:smallCaps w:val="false"/>
                <w:color w:val="000000"/>
                <w:spacing w:val="0"/>
                <w:sz w:val="20"/>
                <w:szCs w:val="20"/>
              </w:rPr>
              <w:t xml:space="preserve">com token </w:t>
            </w:r>
            <w:r>
              <w:rPr>
                <w:rFonts w:cs="Arial" w:ascii="Calibri" w:hAnsi="Calibri"/>
                <w:color w:val="000000"/>
                <w:sz w:val="20"/>
                <w:szCs w:val="20"/>
              </w:rPr>
              <w:t xml:space="preserve"> </w:t>
            </w:r>
            <w:r>
              <w:rPr>
                <w:rFonts w:cs="Arial"/>
                <w:sz w:val="20"/>
                <w:szCs w:val="20"/>
              </w:rPr>
              <w:t>, com validade mínima de 36 meses .</w:t>
            </w:r>
          </w:p>
        </w:tc>
        <w:tc>
          <w:tcPr>
            <w:tcW w:w="955" w:type="dxa"/>
            <w:tcBorders>
              <w:left w:val="single" w:sz="4" w:space="0" w:color="000000"/>
              <w:bottom w:val="single" w:sz="2" w:space="0" w:color="000000"/>
            </w:tcBorders>
            <w:tcMar>
              <w:top w:w="55" w:type="dxa"/>
              <w:left w:w="55" w:type="dxa"/>
              <w:bottom w:w="55" w:type="dxa"/>
              <w:right w:w="55" w:type="dxa"/>
            </w:tcMar>
            <w:vAlign w:val="center"/>
          </w:tcPr>
          <w:p>
            <w:pPr>
              <w:pStyle w:val="Normal11"/>
              <w:jc w:val="center"/>
              <w:rPr>
                <w:rFonts w:ascii="Calibri" w:hAnsi="Calibri"/>
                <w:sz w:val="20"/>
                <w:szCs w:val="20"/>
              </w:rPr>
            </w:pPr>
            <w:r>
              <w:rPr>
                <w:rFonts w:ascii="Calibri" w:hAnsi="Calibri"/>
                <w:sz w:val="20"/>
                <w:szCs w:val="20"/>
              </w:rPr>
              <w:t>01</w:t>
            </w:r>
          </w:p>
        </w:tc>
        <w:tc>
          <w:tcPr>
            <w:tcW w:w="1701" w:type="dxa"/>
            <w:tcBorders>
              <w:left w:val="single" w:sz="2" w:space="0" w:color="000000"/>
              <w:bottom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ascii="Calibri" w:hAnsi="Calibri"/>
                <w:sz w:val="20"/>
                <w:szCs w:val="20"/>
              </w:rPr>
              <w:t>R$</w:t>
            </w:r>
          </w:p>
        </w:tc>
        <w:tc>
          <w:tcPr>
            <w:tcW w:w="229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ascii="Calibri" w:hAnsi="Calibri"/>
                <w:sz w:val="20"/>
                <w:szCs w:val="20"/>
              </w:rPr>
              <w:t>R$</w:t>
            </w:r>
          </w:p>
        </w:tc>
      </w:tr>
      <w:tr>
        <w:trPr>
          <w:trHeight w:val="517" w:hRule="atLeast"/>
        </w:trPr>
        <w:tc>
          <w:tcPr>
            <w:tcW w:w="636" w:type="dxa"/>
            <w:tcBorders>
              <w:left w:val="single" w:sz="2" w:space="0" w:color="000000"/>
              <w:bottom w:val="single" w:sz="2" w:space="0" w:color="000000"/>
              <w:right w:val="single" w:sz="4" w:space="0" w:color="000000"/>
            </w:tcBorders>
          </w:tcPr>
          <w:p>
            <w:pPr>
              <w:pStyle w:val="Normal11"/>
              <w:jc w:val="both"/>
              <w:rPr>
                <w:rFonts w:ascii="Calibri" w:hAnsi="Calibri" w:cs="Arial"/>
                <w:sz w:val="20"/>
                <w:szCs w:val="20"/>
              </w:rPr>
            </w:pPr>
            <w:r>
              <w:rPr>
                <w:rFonts w:cs="Arial" w:ascii="Calibri" w:hAnsi="Calibri"/>
                <w:sz w:val="20"/>
                <w:szCs w:val="20"/>
              </w:rPr>
            </w:r>
          </w:p>
        </w:tc>
        <w:tc>
          <w:tcPr>
            <w:tcW w:w="3518" w:type="dxa"/>
            <w:tcBorders>
              <w:left w:val="single" w:sz="2" w:space="0" w:color="000000"/>
              <w:bottom w:val="single" w:sz="2" w:space="0" w:color="000000"/>
              <w:right w:val="single" w:sz="4" w:space="0" w:color="000000"/>
            </w:tcBorders>
            <w:tcMar>
              <w:top w:w="55" w:type="dxa"/>
              <w:left w:w="55" w:type="dxa"/>
              <w:bottom w:w="55" w:type="dxa"/>
              <w:right w:w="55" w:type="dxa"/>
            </w:tcMar>
            <w:vAlign w:val="center"/>
          </w:tcPr>
          <w:p>
            <w:pPr>
              <w:pStyle w:val="Normal11"/>
              <w:jc w:val="both"/>
              <w:rPr>
                <w:rFonts w:ascii="Calibri" w:hAnsi="Calibri"/>
                <w:sz w:val="20"/>
                <w:szCs w:val="20"/>
              </w:rPr>
            </w:pPr>
            <w:r>
              <w:rPr>
                <w:rFonts w:cs="Arial" w:ascii="Calibri" w:hAnsi="Calibri"/>
                <w:sz w:val="20"/>
                <w:szCs w:val="20"/>
              </w:rPr>
              <w:t>TOTAL</w:t>
            </w:r>
          </w:p>
        </w:tc>
        <w:tc>
          <w:tcPr>
            <w:tcW w:w="955" w:type="dxa"/>
            <w:tcBorders>
              <w:left w:val="single" w:sz="4" w:space="0" w:color="000000"/>
              <w:bottom w:val="single" w:sz="2" w:space="0" w:color="000000"/>
            </w:tcBorders>
            <w:tcMar>
              <w:top w:w="55" w:type="dxa"/>
              <w:left w:w="55" w:type="dxa"/>
              <w:bottom w:w="55" w:type="dxa"/>
              <w:right w:w="55" w:type="dxa"/>
            </w:tcMar>
            <w:vAlign w:val="center"/>
          </w:tcPr>
          <w:p>
            <w:pPr>
              <w:pStyle w:val="Normal11"/>
              <w:jc w:val="center"/>
              <w:rPr>
                <w:rFonts w:ascii="Calibri" w:hAnsi="Calibri"/>
                <w:sz w:val="20"/>
                <w:szCs w:val="20"/>
              </w:rPr>
            </w:pPr>
            <w:r>
              <w:rPr>
                <w:rFonts w:cs="Arial" w:ascii="Calibri" w:hAnsi="Calibri"/>
                <w:color w:val="000000"/>
                <w:sz w:val="20"/>
                <w:szCs w:val="20"/>
              </w:rPr>
              <w:t>05</w:t>
            </w:r>
          </w:p>
        </w:tc>
        <w:tc>
          <w:tcPr>
            <w:tcW w:w="1701" w:type="dxa"/>
            <w:tcBorders>
              <w:left w:val="single" w:sz="2" w:space="0" w:color="000000"/>
              <w:bottom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c>
          <w:tcPr>
            <w:tcW w:w="229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r>
    </w:tbl>
    <w:p>
      <w:pPr>
        <w:pStyle w:val="Normal"/>
        <w:ind w:hanging="0" w:left="0"/>
        <w:rPr>
          <w:rFonts w:ascii="Calibri" w:hAnsi="Calibri"/>
          <w:sz w:val="24"/>
          <w:szCs w:val="24"/>
        </w:rPr>
      </w:pPr>
      <w:r>
        <w:rPr>
          <w:rFonts w:ascii="Calibri" w:hAnsi="Calibri"/>
          <w:sz w:val="24"/>
          <w:szCs w:val="24"/>
        </w:rPr>
      </w:r>
    </w:p>
    <w:p>
      <w:pPr>
        <w:pStyle w:val="Nivel2"/>
        <w:numPr>
          <w:ilvl w:val="1"/>
          <w:numId w:val="114"/>
        </w:numPr>
        <w:ind w:hanging="0" w:left="0" w:right="0"/>
        <w:rPr>
          <w:rFonts w:ascii="Calibri" w:hAnsi="Calibri"/>
          <w:sz w:val="24"/>
          <w:szCs w:val="24"/>
        </w:rPr>
      </w:pPr>
      <w:r>
        <w:rPr>
          <w:rFonts w:ascii="Calibri" w:hAnsi="Calibri"/>
          <w:sz w:val="24"/>
          <w:szCs w:val="24"/>
        </w:rPr>
        <w:t>O objeto desta contratação não se enquadra como sendo de bem de luxo, conforme Decreto nº 10.818, de 27 de setembro de 2021.</w:t>
      </w:r>
    </w:p>
    <w:p>
      <w:pPr>
        <w:pStyle w:val="Nivel2"/>
        <w:numPr>
          <w:ilvl w:val="1"/>
          <w:numId w:val="115"/>
        </w:numPr>
        <w:ind w:hanging="0" w:left="0" w:right="0"/>
        <w:rPr>
          <w:rFonts w:ascii="Calibri" w:hAnsi="Calibri"/>
          <w:sz w:val="24"/>
          <w:szCs w:val="24"/>
        </w:rPr>
      </w:pPr>
      <w:r>
        <w:rPr>
          <w:rFonts w:ascii="Calibri" w:hAnsi="Calibri"/>
          <w:sz w:val="24"/>
          <w:szCs w:val="24"/>
        </w:rPr>
        <w:t xml:space="preserve">Os certificados digitais oriundos dessa contratação, será contratada </w:t>
      </w:r>
      <w:r>
        <w:rPr>
          <w:rFonts w:ascii="Calibri" w:hAnsi="Calibri"/>
          <w:b/>
          <w:bCs/>
          <w:sz w:val="24"/>
          <w:szCs w:val="24"/>
        </w:rPr>
        <w:t>PARCIALMENTE DURANTE O PERÍODO DO ANO DE 2025</w:t>
      </w:r>
      <w:r>
        <w:rPr>
          <w:rFonts w:ascii="Calibri" w:hAnsi="Calibri"/>
          <w:sz w:val="24"/>
          <w:szCs w:val="24"/>
        </w:rPr>
        <w:t xml:space="preserve">, conforme necessidade da Instituição. </w:t>
      </w:r>
    </w:p>
    <w:p>
      <w:pPr>
        <w:pStyle w:val="Nivel01"/>
        <w:numPr>
          <w:ilvl w:val="0"/>
          <w:numId w:val="4"/>
        </w:numPr>
        <w:ind w:hanging="0" w:left="0"/>
        <w:rPr>
          <w:rFonts w:ascii="Calibri" w:hAnsi="Calibri"/>
          <w:sz w:val="24"/>
          <w:szCs w:val="24"/>
        </w:rPr>
      </w:pPr>
      <w:r>
        <w:rPr>
          <w:sz w:val="24"/>
          <w:szCs w:val="24"/>
        </w:rPr>
        <w:t>FUNDAMENTAÇÃO E DESCRIÇÃO DA NECESSIDADE DA CONTRATAÇÃO</w:t>
      </w:r>
    </w:p>
    <w:p>
      <w:pPr>
        <w:pStyle w:val="Nivel2"/>
        <w:numPr>
          <w:ilvl w:val="1"/>
          <w:numId w:val="116"/>
        </w:numPr>
        <w:ind w:hanging="0" w:left="0" w:right="0"/>
        <w:rPr>
          <w:rFonts w:ascii="Calibri" w:hAnsi="Calibri"/>
          <w:sz w:val="24"/>
          <w:szCs w:val="24"/>
        </w:rPr>
      </w:pPr>
      <w:r>
        <w:rPr>
          <w:rFonts w:ascii="Calibri" w:hAnsi="Calibri"/>
          <w:sz w:val="24"/>
          <w:szCs w:val="24"/>
        </w:rPr>
        <w:t>A utilização da certificação digital é fundamental para que os servidores do Conselho Regional de Enfermagem do Estado do Rio Grande do Norte  acessem os diversos sistemas da Administração Pública Federal (SCDP, SIAPE, SIAFI, Receita Federal e Comprasnet);</w:t>
      </w:r>
    </w:p>
    <w:p>
      <w:pPr>
        <w:pStyle w:val="Nivel2"/>
        <w:numPr>
          <w:ilvl w:val="1"/>
          <w:numId w:val="117"/>
        </w:numPr>
        <w:ind w:hanging="0" w:left="0" w:right="0"/>
        <w:rPr>
          <w:rFonts w:ascii="Calibri" w:hAnsi="Calibri"/>
          <w:sz w:val="24"/>
          <w:szCs w:val="24"/>
        </w:rPr>
      </w:pPr>
      <w:r>
        <w:rPr>
          <w:rFonts w:ascii="Calibri" w:hAnsi="Calibri"/>
          <w:sz w:val="24"/>
          <w:szCs w:val="24"/>
        </w:rPr>
        <w:t xml:space="preserve"> </w:t>
      </w:r>
      <w:r>
        <w:rPr>
          <w:rFonts w:ascii="Calibri" w:hAnsi="Calibri"/>
          <w:sz w:val="24"/>
          <w:szCs w:val="24"/>
        </w:rPr>
        <w:t>A solução será adquirida na forma de contratação de serviço e contemplará a emissão de certificados do nível A1 e e-CPF (com fornecimento de dispositivo físico de armazenamento do tipo USB), com validade de 3 anos, em conformidade com o padrão ICP-Brasil;</w:t>
      </w:r>
    </w:p>
    <w:p>
      <w:pPr>
        <w:pStyle w:val="Nivel2"/>
        <w:numPr>
          <w:ilvl w:val="1"/>
          <w:numId w:val="118"/>
        </w:numPr>
        <w:ind w:hanging="0" w:left="0" w:right="0"/>
        <w:rPr>
          <w:rFonts w:ascii="Calibri" w:hAnsi="Calibri"/>
          <w:sz w:val="24"/>
          <w:szCs w:val="24"/>
        </w:rPr>
      </w:pPr>
      <w:r>
        <w:rPr>
          <w:rFonts w:ascii="Calibri" w:hAnsi="Calibri"/>
          <w:sz w:val="24"/>
          <w:szCs w:val="24"/>
        </w:rPr>
        <w:t xml:space="preserve">A presente aquisição visa atender a necessidade de Certificados Digitais , para garantir a autenticidade e a confiabilidade dos colaboradores e à autenticação dos colaboradores nos sistemas do Governo Federal, tais como SCDP (Sistema de Concessão de Diárias e Passagens), SIAFI (Sistema Integrado de Gestão Financeira), SIORG (Sistema de Informações organizacionais do Governo Federal), SIAPE (Sistema Integrado Administração de Recursos Humanos). </w:t>
      </w:r>
    </w:p>
    <w:p>
      <w:pPr>
        <w:pStyle w:val="Nivel2"/>
        <w:numPr>
          <w:ilvl w:val="1"/>
          <w:numId w:val="119"/>
        </w:numPr>
        <w:ind w:hanging="0" w:left="0" w:right="0"/>
        <w:rPr>
          <w:rFonts w:ascii="Calibri" w:hAnsi="Calibri"/>
          <w:sz w:val="24"/>
          <w:szCs w:val="24"/>
        </w:rPr>
      </w:pPr>
      <w:r>
        <w:rPr>
          <w:rFonts w:ascii="Calibri" w:hAnsi="Calibri"/>
          <w:sz w:val="24"/>
          <w:szCs w:val="24"/>
        </w:rPr>
        <w:t xml:space="preserve">Os certificados supracitados neste documento, tem como objetivo confirmar se o usuário é exatamente aquele que diz ser e se está autorizado a executar as transações eletrônicas que garante a integridade, confidencialidade e autenticidade da transação eletrônica. </w:t>
      </w:r>
    </w:p>
    <w:p>
      <w:pPr>
        <w:pStyle w:val="Nivel2"/>
        <w:numPr>
          <w:ilvl w:val="1"/>
          <w:numId w:val="120"/>
        </w:numPr>
        <w:ind w:hanging="0" w:left="0" w:right="0"/>
        <w:rPr>
          <w:rFonts w:ascii="Calibri" w:hAnsi="Calibri"/>
          <w:sz w:val="24"/>
          <w:szCs w:val="24"/>
        </w:rPr>
      </w:pPr>
      <w:r>
        <w:rPr>
          <w:rFonts w:ascii="Calibri" w:hAnsi="Calibri"/>
          <w:sz w:val="24"/>
          <w:szCs w:val="24"/>
        </w:rPr>
        <w:t xml:space="preserve">As aquisições serão parciais devido aos vencimentos distintos dos certificados atuais da Instituição. </w:t>
      </w:r>
    </w:p>
    <w:p>
      <w:pPr>
        <w:pStyle w:val="Nivel01"/>
        <w:numPr>
          <w:ilvl w:val="0"/>
          <w:numId w:val="4"/>
        </w:numPr>
        <w:ind w:hanging="0" w:left="0"/>
        <w:rPr>
          <w:rFonts w:ascii="Calibri" w:hAnsi="Calibri"/>
          <w:sz w:val="24"/>
          <w:szCs w:val="24"/>
        </w:rPr>
      </w:pPr>
      <w:r>
        <w:rPr>
          <w:sz w:val="24"/>
          <w:szCs w:val="24"/>
        </w:rPr>
        <w:t>REQUISITOS DA CONTRATAÇÃO</w:t>
      </w:r>
    </w:p>
    <w:p>
      <w:pPr>
        <w:pStyle w:val="Normal"/>
        <w:ind w:hanging="0" w:left="0"/>
        <w:rPr>
          <w:rFonts w:ascii="Calibri" w:hAnsi="Calibri"/>
          <w:sz w:val="24"/>
          <w:szCs w:val="24"/>
        </w:rPr>
      </w:pPr>
      <w:r>
        <w:rPr>
          <w:rFonts w:ascii="Calibri" w:hAnsi="Calibri"/>
          <w:sz w:val="24"/>
          <w:szCs w:val="24"/>
        </w:rPr>
      </w:r>
    </w:p>
    <w:p>
      <w:pPr>
        <w:pStyle w:val="Nivel2"/>
        <w:numPr>
          <w:ilvl w:val="1"/>
          <w:numId w:val="121"/>
        </w:numPr>
        <w:ind w:hanging="0" w:left="0" w:right="0"/>
        <w:rPr>
          <w:rFonts w:ascii="Calibri" w:hAnsi="Calibri"/>
          <w:sz w:val="24"/>
          <w:szCs w:val="24"/>
        </w:rPr>
      </w:pPr>
      <w:r>
        <w:rPr>
          <w:rFonts w:ascii="Calibri" w:hAnsi="Calibri"/>
          <w:sz w:val="24"/>
          <w:szCs w:val="24"/>
        </w:rPr>
        <w:t xml:space="preserve">A Contratada deverá ter capacidade técnica para orientar o titular do certificado digital, durante a validação presencial de documentos do servidor, sobre as melhores práticas de utilização, visando evitar o mau uso do certificado e do respectivo dispositivo de armazenamento </w:t>
      </w:r>
    </w:p>
    <w:p>
      <w:pPr>
        <w:pStyle w:val="Nivel2"/>
        <w:numPr>
          <w:ilvl w:val="1"/>
          <w:numId w:val="122"/>
        </w:numPr>
        <w:ind w:hanging="0" w:left="0" w:right="0"/>
        <w:rPr>
          <w:rFonts w:ascii="Calibri" w:hAnsi="Calibri"/>
          <w:sz w:val="24"/>
          <w:szCs w:val="24"/>
        </w:rPr>
      </w:pPr>
      <w:r>
        <w:rPr>
          <w:rFonts w:ascii="Calibri" w:hAnsi="Calibri"/>
          <w:sz w:val="24"/>
          <w:szCs w:val="24"/>
          <w:shd w:fill="FFFFFF" w:val="clear"/>
        </w:rPr>
        <w:t xml:space="preserve">A contratada deverá vir presencialmente em um dia marcado ao Conselho Regional de Enfermagem do Estado do Rio Grande do Norte; </w:t>
      </w:r>
    </w:p>
    <w:p>
      <w:pPr>
        <w:pStyle w:val="Nivel2"/>
        <w:numPr>
          <w:ilvl w:val="1"/>
          <w:numId w:val="123"/>
        </w:numPr>
        <w:ind w:hanging="0" w:left="0" w:right="0"/>
        <w:rPr>
          <w:rFonts w:ascii="Calibri" w:hAnsi="Calibri"/>
          <w:sz w:val="24"/>
          <w:szCs w:val="24"/>
        </w:rPr>
      </w:pPr>
      <w:r>
        <w:rPr>
          <w:rFonts w:ascii="Calibri" w:hAnsi="Calibri"/>
          <w:sz w:val="24"/>
          <w:szCs w:val="24"/>
          <w:shd w:fill="FFFFFF" w:val="clear"/>
        </w:rPr>
        <w:t>A Contratada deverá realizar a validação presencial para emissão dos certificados em, no máximo, 7 (sete) dias úteis após o contato para agendamento pela Administração;</w:t>
      </w:r>
    </w:p>
    <w:p>
      <w:pPr>
        <w:pStyle w:val="Nivel2"/>
        <w:numPr>
          <w:ilvl w:val="1"/>
          <w:numId w:val="124"/>
        </w:numPr>
        <w:ind w:hanging="0" w:left="0" w:right="0"/>
        <w:rPr>
          <w:rFonts w:ascii="Calibri" w:hAnsi="Calibri"/>
          <w:sz w:val="24"/>
          <w:szCs w:val="24"/>
        </w:rPr>
      </w:pPr>
      <w:r>
        <w:rPr>
          <w:rFonts w:ascii="Calibri" w:hAnsi="Calibri"/>
          <w:sz w:val="24"/>
          <w:szCs w:val="24"/>
          <w:shd w:fill="FFFFFF" w:val="clear"/>
        </w:rPr>
        <w:t xml:space="preserve">Após a validação presencial do certificado, a Contratada terá, no máximo, 2(dois)dias úteis para entregar o certificado; </w:t>
      </w:r>
    </w:p>
    <w:p>
      <w:pPr>
        <w:pStyle w:val="Nivel2"/>
        <w:numPr>
          <w:ilvl w:val="1"/>
          <w:numId w:val="125"/>
        </w:numPr>
        <w:ind w:hanging="0" w:left="0" w:right="0"/>
        <w:rPr>
          <w:rFonts w:ascii="Calibri" w:hAnsi="Calibri"/>
          <w:sz w:val="24"/>
          <w:szCs w:val="24"/>
        </w:rPr>
      </w:pPr>
      <w:r>
        <w:rPr>
          <w:rFonts w:ascii="Calibri" w:hAnsi="Calibri"/>
          <w:sz w:val="24"/>
          <w:szCs w:val="24"/>
          <w:shd w:fill="FFFFFF" w:val="clear"/>
        </w:rPr>
        <w:t>O software de gerenciamento do dispositivo deverá estar no idioma Português do Brasil;</w:t>
      </w:r>
    </w:p>
    <w:p>
      <w:pPr>
        <w:pStyle w:val="Nivel2"/>
        <w:numPr>
          <w:ilvl w:val="1"/>
          <w:numId w:val="126"/>
        </w:numPr>
        <w:ind w:hanging="0" w:left="0" w:right="0"/>
        <w:rPr>
          <w:rFonts w:ascii="Calibri" w:hAnsi="Calibri"/>
          <w:sz w:val="24"/>
          <w:szCs w:val="24"/>
        </w:rPr>
      </w:pPr>
      <w:r>
        <w:rPr>
          <w:rFonts w:ascii="Calibri" w:hAnsi="Calibri"/>
          <w:sz w:val="24"/>
          <w:szCs w:val="24"/>
          <w:shd w:fill="FFFFFF" w:val="clear"/>
        </w:rPr>
        <w:t xml:space="preserve">Será exigida a garantia de 3 (três) anos do certificado digital e do dispositivo físico de armazenamento, contada a partir da data do aceite definitivo dos produtos. </w:t>
      </w:r>
    </w:p>
    <w:p>
      <w:pPr>
        <w:pStyle w:val="Nvel1-SemNum"/>
        <w:ind w:hanging="0" w:left="0"/>
        <w:rPr>
          <w:rFonts w:ascii="Calibri" w:hAnsi="Calibri"/>
          <w:sz w:val="24"/>
          <w:szCs w:val="24"/>
        </w:rPr>
      </w:pPr>
      <w:r>
        <w:rPr>
          <w:color w:val="1C1C1C"/>
          <w:sz w:val="24"/>
          <w:szCs w:val="24"/>
        </w:rPr>
        <w:t>Da exigência de carta de solidariedade</w:t>
      </w:r>
    </w:p>
    <w:p>
      <w:pPr>
        <w:pStyle w:val="Nvel2-Red"/>
        <w:numPr>
          <w:ilvl w:val="1"/>
          <w:numId w:val="127"/>
        </w:numPr>
        <w:ind w:hanging="0" w:left="0" w:right="0"/>
        <w:rPr>
          <w:rFonts w:ascii="Calibri" w:hAnsi="Calibri"/>
          <w:sz w:val="24"/>
          <w:szCs w:val="24"/>
        </w:rPr>
      </w:pPr>
      <w:r>
        <w:rPr>
          <w:rFonts w:ascii="Calibri" w:hAnsi="Calibri"/>
          <w:color w:val="1C1C1C"/>
          <w:sz w:val="24"/>
          <w:szCs w:val="24"/>
        </w:rPr>
        <w:t>E</w:t>
      </w:r>
      <w:r>
        <w:rPr>
          <w:rFonts w:ascii="Calibri" w:hAnsi="Calibri"/>
          <w:i w:val="false"/>
          <w:iCs w:val="false"/>
          <w:color w:val="1C1C1C"/>
          <w:sz w:val="24"/>
          <w:szCs w:val="24"/>
        </w:rPr>
        <w:t>m caso de fornecedor revendedor ou distribuidor, será exigida carta de solidariedade emitida pelo fabricante, que assegure a execução do contrato.</w:t>
      </w:r>
    </w:p>
    <w:p>
      <w:pPr>
        <w:pStyle w:val="Nvel1-SemNumPreto"/>
        <w:ind w:hanging="0" w:left="0"/>
        <w:rPr>
          <w:rFonts w:ascii="Calibri" w:hAnsi="Calibri"/>
          <w:sz w:val="24"/>
          <w:szCs w:val="24"/>
        </w:rPr>
      </w:pPr>
      <w:r>
        <w:rPr>
          <w:sz w:val="24"/>
          <w:szCs w:val="24"/>
        </w:rPr>
        <w:t>Subcontratação</w:t>
      </w:r>
    </w:p>
    <w:p>
      <w:pPr>
        <w:pStyle w:val="Nivel2"/>
        <w:numPr>
          <w:ilvl w:val="1"/>
          <w:numId w:val="128"/>
        </w:numPr>
        <w:ind w:hanging="0" w:left="0" w:right="0"/>
        <w:rPr>
          <w:rFonts w:ascii="Calibri" w:hAnsi="Calibri"/>
          <w:sz w:val="24"/>
          <w:szCs w:val="24"/>
        </w:rPr>
      </w:pPr>
      <w:r>
        <w:rPr>
          <w:rFonts w:ascii="Calibri" w:hAnsi="Calibri"/>
          <w:sz w:val="24"/>
          <w:szCs w:val="24"/>
        </w:rPr>
        <w:t>Não é admitida a subcontratação do objeto contratual.</w:t>
      </w:r>
    </w:p>
    <w:p>
      <w:pPr>
        <w:pStyle w:val="Nvel1-SemNumPreto"/>
        <w:ind w:hanging="0" w:left="0"/>
        <w:rPr>
          <w:rFonts w:ascii="Calibri" w:hAnsi="Calibri"/>
          <w:sz w:val="24"/>
          <w:szCs w:val="24"/>
        </w:rPr>
      </w:pPr>
      <w:r>
        <w:rPr>
          <w:sz w:val="24"/>
          <w:szCs w:val="24"/>
        </w:rPr>
        <w:t>Garantia da contratação</w:t>
      </w:r>
    </w:p>
    <w:p>
      <w:pPr>
        <w:pStyle w:val="Nvel2-Red"/>
        <w:numPr>
          <w:ilvl w:val="1"/>
          <w:numId w:val="129"/>
        </w:numPr>
        <w:ind w:hanging="0" w:left="0" w:right="0"/>
        <w:rPr/>
      </w:pPr>
      <w:r>
        <w:rPr>
          <w:rFonts w:ascii="Calibri" w:hAnsi="Calibri"/>
          <w:i w:val="false"/>
          <w:iCs w:val="false"/>
          <w:color w:val="111111"/>
          <w:sz w:val="24"/>
          <w:szCs w:val="24"/>
        </w:rPr>
        <w:t xml:space="preserve">Não haverá exigência da garantia da contratação dos </w:t>
      </w:r>
      <w:r>
        <w:fldChar w:fldCharType="begin"/>
      </w:r>
      <w:r>
        <w:rPr>
          <w:rStyle w:val="Hyperlink"/>
          <w:sz w:val="24"/>
          <w:i w:val="false"/>
          <w:szCs w:val="24"/>
          <w:iCs w:val="false"/>
          <w:rFonts w:ascii="Calibri" w:hAnsi="Calibri"/>
          <w:color w:val="111111"/>
        </w:rPr>
        <w:instrText xml:space="preserve"> HYPERLINK "http://www.planalto.gov.br/ccivil_03/_ato2019-2022/2021/lei/L14133.htm" \l "art96"</w:instrText>
      </w:r>
      <w:r>
        <w:rPr>
          <w:rStyle w:val="Hyperlink"/>
          <w:sz w:val="24"/>
          <w:i w:val="false"/>
          <w:szCs w:val="24"/>
          <w:iCs w:val="false"/>
          <w:rFonts w:ascii="Calibri" w:hAnsi="Calibri"/>
          <w:color w:val="111111"/>
        </w:rPr>
        <w:fldChar w:fldCharType="separate"/>
      </w:r>
      <w:r>
        <w:rPr>
          <w:rStyle w:val="Hyperlink"/>
          <w:rFonts w:ascii="Calibri" w:hAnsi="Calibri"/>
          <w:i w:val="false"/>
          <w:iCs w:val="false"/>
          <w:color w:val="111111"/>
          <w:sz w:val="24"/>
          <w:szCs w:val="24"/>
        </w:rPr>
        <w:t>artigos 96 e seguintes da Lei nº 14.133, de 202</w:t>
      </w:r>
      <w:r>
        <w:rPr>
          <w:rStyle w:val="Hyperlink"/>
          <w:sz w:val="24"/>
          <w:i w:val="false"/>
          <w:szCs w:val="24"/>
          <w:iCs w:val="false"/>
          <w:rFonts w:ascii="Calibri" w:hAnsi="Calibri"/>
          <w:color w:val="111111"/>
        </w:rPr>
        <w:fldChar w:fldCharType="end"/>
      </w:r>
      <w:r>
        <w:rPr>
          <w:rStyle w:val="InternetLink1"/>
          <w:rFonts w:ascii="Calibri" w:hAnsi="Calibri"/>
          <w:color w:val="111111"/>
          <w:sz w:val="24"/>
          <w:szCs w:val="24"/>
        </w:rPr>
        <w:t>1</w:t>
      </w:r>
      <w:r>
        <w:rPr>
          <w:rFonts w:ascii="Calibri" w:hAnsi="Calibri"/>
          <w:color w:val="111111"/>
          <w:sz w:val="24"/>
          <w:szCs w:val="24"/>
        </w:rPr>
        <w:t xml:space="preserve">, </w:t>
      </w:r>
    </w:p>
    <w:p>
      <w:pPr>
        <w:pStyle w:val="Nivel01"/>
        <w:numPr>
          <w:ilvl w:val="0"/>
          <w:numId w:val="4"/>
        </w:numPr>
        <w:ind w:hanging="0" w:left="0"/>
        <w:rPr>
          <w:rFonts w:ascii="Calibri" w:hAnsi="Calibri"/>
          <w:sz w:val="24"/>
          <w:szCs w:val="24"/>
        </w:rPr>
      </w:pPr>
      <w:r>
        <w:rPr>
          <w:sz w:val="24"/>
          <w:szCs w:val="24"/>
        </w:rPr>
        <w:t>MODELO DE EXECUÇÃO DO OBJETO</w:t>
      </w:r>
    </w:p>
    <w:p>
      <w:pPr>
        <w:pStyle w:val="Nvel1-SemNum"/>
        <w:keepNext w:val="true"/>
        <w:keepLines/>
        <w:widowControl/>
        <w:numPr>
          <w:ilvl w:val="0"/>
          <w:numId w:val="0"/>
        </w:numPr>
        <w:bidi w:val="0"/>
        <w:spacing w:lineRule="auto" w:line="276" w:before="240" w:after="120"/>
        <w:ind w:hanging="0" w:left="0"/>
        <w:jc w:val="both"/>
        <w:rPr>
          <w:rFonts w:ascii="Calibri" w:hAnsi="Calibri"/>
          <w:sz w:val="24"/>
          <w:szCs w:val="24"/>
        </w:rPr>
      </w:pPr>
      <w:r>
        <w:rPr>
          <w:rFonts w:eastAsia="ＭＳ ゴシック" w:cs="Arial"/>
          <w:b/>
          <w:bCs/>
          <w:sz w:val="24"/>
          <w:szCs w:val="24"/>
          <w:lang w:eastAsia="pt-BR"/>
        </w:rPr>
        <w:t>Condições de Entrega</w:t>
      </w:r>
    </w:p>
    <w:p>
      <w:pPr>
        <w:pStyle w:val="Nvel2-Red"/>
        <w:numPr>
          <w:ilvl w:val="1"/>
          <w:numId w:val="130"/>
        </w:numPr>
        <w:ind w:hanging="0" w:left="0" w:right="0"/>
        <w:rPr>
          <w:rFonts w:ascii="Calibri" w:hAnsi="Calibri"/>
          <w:sz w:val="24"/>
          <w:szCs w:val="24"/>
        </w:rPr>
      </w:pPr>
      <w:r>
        <w:rPr>
          <w:rFonts w:ascii="Calibri" w:hAnsi="Calibri"/>
          <w:i w:val="false"/>
          <w:iCs w:val="false"/>
          <w:color w:val="1C1C1C"/>
          <w:sz w:val="24"/>
          <w:szCs w:val="24"/>
        </w:rPr>
        <w:t>O prazo de entrega é de até 3 dias úteis, contados do envio da Ordem de Compra/empenho, de acordo com a quantidade solicitada ;</w:t>
      </w:r>
    </w:p>
    <w:p>
      <w:pPr>
        <w:pStyle w:val="Nivel2"/>
        <w:numPr>
          <w:ilvl w:val="1"/>
          <w:numId w:val="131"/>
        </w:numPr>
        <w:ind w:hanging="0" w:left="0" w:right="0"/>
        <w:rPr>
          <w:rFonts w:ascii="Calibri" w:hAnsi="Calibri"/>
          <w:sz w:val="24"/>
          <w:szCs w:val="24"/>
        </w:rPr>
      </w:pPr>
      <w:r>
        <w:rPr>
          <w:rFonts w:ascii="Calibri" w:hAnsi="Calibri"/>
          <w:kern w:val="0"/>
          <w:sz w:val="24"/>
          <w:szCs w:val="24"/>
          <w:lang w:val="pt-BR" w:bidi="ar-SA"/>
        </w:rPr>
        <w:t>Caso não seja possível a entrega na data assinalada, a empresa deverá comunicar as razões respectivas com pelo menos 3 dias de antecedência para que qualquer pleito de prorrogação de prazo seja analisado, ressalvadas situações de caso fortuito e força maior.</w:t>
      </w:r>
    </w:p>
    <w:p>
      <w:pPr>
        <w:pStyle w:val="Nivel2"/>
        <w:numPr>
          <w:ilvl w:val="1"/>
          <w:numId w:val="132"/>
        </w:numPr>
        <w:ind w:hanging="0" w:left="0" w:right="0"/>
        <w:rPr>
          <w:rFonts w:ascii="Calibri" w:hAnsi="Calibri"/>
          <w:sz w:val="24"/>
          <w:szCs w:val="24"/>
        </w:rPr>
      </w:pPr>
      <w:r>
        <w:rPr>
          <w:rFonts w:ascii="Calibri" w:hAnsi="Calibri"/>
          <w:kern w:val="0"/>
          <w:sz w:val="24"/>
          <w:szCs w:val="24"/>
          <w:lang w:val="pt-BR" w:bidi="ar-SA"/>
        </w:rPr>
        <w:t xml:space="preserve">O certificado poderá ser rejeitado, no todo ou em parte, quando em desacordo com as especificações constantes neste Termo de Referência e na proposta, devendo ser substituídos no prazo de até 3 dias úteis, a contar da notificação da contratada, às suas custas, sem prejuízo da aplicação das penalidades.  </w:t>
      </w:r>
    </w:p>
    <w:p>
      <w:pPr>
        <w:pStyle w:val="Nivel2"/>
        <w:numPr>
          <w:ilvl w:val="1"/>
          <w:numId w:val="133"/>
        </w:numPr>
        <w:ind w:hanging="0" w:left="0" w:right="0"/>
        <w:rPr>
          <w:rFonts w:ascii="Calibri" w:hAnsi="Calibri"/>
          <w:sz w:val="24"/>
          <w:szCs w:val="24"/>
        </w:rPr>
      </w:pPr>
      <w:r>
        <w:rPr>
          <w:rFonts w:ascii="Calibri" w:hAnsi="Calibri"/>
          <w:kern w:val="0"/>
          <w:sz w:val="24"/>
          <w:szCs w:val="24"/>
          <w:lang w:val="pt-BR" w:bidi="ar-SA"/>
        </w:rPr>
        <w:t xml:space="preserve">O recebimento provisório ou definitivo não excluirá a responsabilidade civil pela solidez e pela segurança do serviço nem a responsabilidade ético-profissional pela perfeita execução do contrato. </w:t>
      </w:r>
    </w:p>
    <w:p>
      <w:pPr>
        <w:pStyle w:val="Nivel2"/>
        <w:numPr>
          <w:ilvl w:val="1"/>
          <w:numId w:val="134"/>
        </w:numPr>
        <w:ind w:hanging="0" w:left="0" w:right="0"/>
        <w:rPr>
          <w:rFonts w:ascii="Calibri" w:hAnsi="Calibri"/>
          <w:sz w:val="24"/>
          <w:szCs w:val="24"/>
        </w:rPr>
      </w:pPr>
      <w:r>
        <w:rPr>
          <w:rFonts w:ascii="Calibri" w:hAnsi="Calibri"/>
          <w:kern w:val="0"/>
          <w:sz w:val="24"/>
          <w:szCs w:val="24"/>
          <w:lang w:val="pt-BR" w:bidi="ar-SA"/>
        </w:rPr>
        <w:t xml:space="preserve">O fornecimento dos serviços se dará na sede do Conselho Regional de Enfermagem do Estado do Rio Grande do Norte, localizada na Rua das Gardênias, 1805, Mirassol. </w:t>
      </w:r>
    </w:p>
    <w:p>
      <w:pPr>
        <w:pStyle w:val="Nivel2"/>
        <w:numPr>
          <w:ilvl w:val="0"/>
          <w:numId w:val="0"/>
        </w:numPr>
        <w:ind w:hanging="0" w:left="0" w:right="0"/>
        <w:rPr>
          <w:kern w:val="0"/>
          <w:lang w:val="pt-BR" w:bidi="ar-SA"/>
        </w:rPr>
      </w:pPr>
      <w:r>
        <w:rPr>
          <w:kern w:val="0"/>
          <w:lang w:val="pt-BR" w:bidi="ar-SA"/>
        </w:rPr>
      </w:r>
    </w:p>
    <w:p>
      <w:pPr>
        <w:pStyle w:val="Nvel1-SemNumPreto"/>
        <w:ind w:hanging="0" w:left="0"/>
        <w:rPr>
          <w:rFonts w:ascii="Calibri" w:hAnsi="Calibri"/>
          <w:sz w:val="24"/>
          <w:szCs w:val="24"/>
        </w:rPr>
      </w:pPr>
      <w:r>
        <w:rPr>
          <w:sz w:val="24"/>
          <w:szCs w:val="24"/>
        </w:rPr>
        <w:t>Garantia, manutenção e assistência técnica</w:t>
      </w:r>
    </w:p>
    <w:p>
      <w:pPr>
        <w:pStyle w:val="Nvel2-Red"/>
        <w:numPr>
          <w:ilvl w:val="1"/>
          <w:numId w:val="135"/>
        </w:numPr>
        <w:ind w:hanging="0" w:left="0" w:right="0"/>
        <w:rPr>
          <w:rFonts w:ascii="Calibri" w:hAnsi="Calibri"/>
          <w:sz w:val="24"/>
          <w:szCs w:val="24"/>
        </w:rPr>
      </w:pPr>
      <w:r>
        <w:rPr>
          <w:rFonts w:ascii="Calibri" w:hAnsi="Calibri"/>
          <w:i w:val="false"/>
          <w:iCs w:val="false"/>
          <w:color w:val="1C1C1C"/>
          <w:sz w:val="24"/>
          <w:szCs w:val="24"/>
        </w:rPr>
        <w:t>O prazo de garantia é aquele estabelecido na Lei nº 8.078, de 11 de setembro de 1990 (Código de Defesa do Consumidor);</w:t>
      </w:r>
    </w:p>
    <w:p>
      <w:pPr>
        <w:pStyle w:val="Nvel2-Red"/>
        <w:numPr>
          <w:ilvl w:val="1"/>
          <w:numId w:val="136"/>
        </w:numPr>
        <w:ind w:hanging="0" w:left="0" w:right="0"/>
        <w:rPr>
          <w:rFonts w:ascii="Calibri" w:hAnsi="Calibri"/>
          <w:sz w:val="24"/>
          <w:szCs w:val="24"/>
        </w:rPr>
      </w:pPr>
      <w:r>
        <w:rPr>
          <w:rFonts w:ascii="Calibri" w:hAnsi="Calibri"/>
          <w:i w:val="false"/>
          <w:iCs w:val="false"/>
          <w:color w:val="1C1C1C"/>
          <w:sz w:val="24"/>
          <w:szCs w:val="24"/>
        </w:rPr>
        <w:t>A garantia será prestada com vistas a manter os equipamentos fornecidos em perfeitas condições de uso, sem qualquer ônus ou custo adicional para o Contratante;</w:t>
      </w:r>
    </w:p>
    <w:p>
      <w:pPr>
        <w:pStyle w:val="Nvel2-Red"/>
        <w:numPr>
          <w:ilvl w:val="1"/>
          <w:numId w:val="137"/>
        </w:numPr>
        <w:ind w:hanging="0" w:left="0" w:right="0"/>
        <w:rPr>
          <w:rFonts w:ascii="Calibri" w:hAnsi="Calibri"/>
          <w:sz w:val="24"/>
          <w:szCs w:val="24"/>
        </w:rPr>
      </w:pPr>
      <w:r>
        <w:rPr>
          <w:rFonts w:ascii="Calibri" w:hAnsi="Calibri"/>
          <w:i w:val="false"/>
          <w:iCs w:val="false"/>
          <w:color w:val="1C1C1C"/>
          <w:sz w:val="24"/>
          <w:szCs w:val="24"/>
        </w:rPr>
        <w:t xml:space="preserve">A garantia abrange a realização da manutenção corretiva dos bens pelo próprio Contratado, ou, se for o caso, por meio de assistência técnica autorizada, de acordo com as normas técnicas específicas; </w:t>
      </w:r>
    </w:p>
    <w:p>
      <w:pPr>
        <w:pStyle w:val="Nvel2-Red"/>
        <w:numPr>
          <w:ilvl w:val="1"/>
          <w:numId w:val="138"/>
        </w:numPr>
        <w:ind w:hanging="0" w:left="0" w:right="0"/>
        <w:rPr>
          <w:rFonts w:ascii="Calibri" w:hAnsi="Calibri"/>
          <w:sz w:val="24"/>
          <w:szCs w:val="24"/>
        </w:rPr>
      </w:pPr>
      <w:r>
        <w:rPr>
          <w:rFonts w:ascii="Calibri" w:hAnsi="Calibri"/>
          <w:i w:val="false"/>
          <w:iCs w:val="false"/>
          <w:color w:val="1C1C1C"/>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pPr>
        <w:pStyle w:val="Nvel2-Red"/>
        <w:numPr>
          <w:ilvl w:val="1"/>
          <w:numId w:val="139"/>
        </w:numPr>
        <w:ind w:hanging="0" w:left="0" w:right="0"/>
        <w:rPr>
          <w:rFonts w:ascii="Calibri" w:hAnsi="Calibri"/>
          <w:sz w:val="24"/>
          <w:szCs w:val="24"/>
        </w:rPr>
      </w:pPr>
      <w:r>
        <w:rPr>
          <w:rFonts w:ascii="Calibri" w:hAnsi="Calibri"/>
          <w:i w:val="false"/>
          <w:iCs w:val="false"/>
          <w:color w:val="1C1C1C"/>
          <w:sz w:val="24"/>
          <w:szCs w:val="24"/>
        </w:rPr>
        <w:t xml:space="preserve">Uma vez notificado, o Contratado realizará a reparação ou substituição dos bens que apresentarem vício ou defeito no prazo de até 30 ( trinta)  dias úteis, contados a partir da data de retirada do equipamento das dependências da Administração pelo Contratado ou pela assistência técnica autorizada. </w:t>
      </w:r>
    </w:p>
    <w:p>
      <w:pPr>
        <w:pStyle w:val="Nvel2-Red"/>
        <w:numPr>
          <w:ilvl w:val="1"/>
          <w:numId w:val="140"/>
        </w:numPr>
        <w:ind w:hanging="0" w:left="0" w:right="0"/>
        <w:rPr>
          <w:rFonts w:ascii="Calibri" w:hAnsi="Calibri"/>
          <w:sz w:val="24"/>
          <w:szCs w:val="24"/>
        </w:rPr>
      </w:pPr>
      <w:r>
        <w:rPr>
          <w:rFonts w:ascii="Calibri" w:hAnsi="Calibri"/>
          <w:i w:val="false"/>
          <w:iCs w:val="false"/>
          <w:color w:val="1C1C1C"/>
          <w:sz w:val="24"/>
          <w:szCs w:val="24"/>
        </w:rPr>
        <w:t xml:space="preserve">O prazo indicado no subitem anterior, durante seu transcurso, poderá ser prorrogado uma única vez, por igual período, mediante solicitação escrita e justificada do Contratado, aceita pelo Contratante. </w:t>
      </w:r>
    </w:p>
    <w:p>
      <w:pPr>
        <w:pStyle w:val="Nvel2-Red"/>
        <w:numPr>
          <w:ilvl w:val="1"/>
          <w:numId w:val="141"/>
        </w:numPr>
        <w:ind w:hanging="0" w:left="0" w:right="0"/>
        <w:rPr>
          <w:rFonts w:ascii="Calibri" w:hAnsi="Calibri"/>
          <w:sz w:val="24"/>
          <w:szCs w:val="24"/>
        </w:rPr>
      </w:pPr>
      <w:r>
        <w:rPr>
          <w:rFonts w:ascii="Calibri" w:hAnsi="Calibri"/>
          <w:i w:val="false"/>
          <w:iCs w:val="false"/>
          <w:color w:val="1C1C1C"/>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pPr>
        <w:pStyle w:val="Nvel2-Red"/>
        <w:numPr>
          <w:ilvl w:val="1"/>
          <w:numId w:val="142"/>
        </w:numPr>
        <w:ind w:hanging="0" w:left="0" w:right="0"/>
        <w:rPr>
          <w:rFonts w:ascii="Calibri" w:hAnsi="Calibri"/>
          <w:sz w:val="24"/>
          <w:szCs w:val="24"/>
        </w:rPr>
      </w:pPr>
      <w:r>
        <w:rPr>
          <w:rFonts w:ascii="Calibri" w:hAnsi="Calibri"/>
          <w:i w:val="false"/>
          <w:iCs w:val="false"/>
          <w:color w:val="1C1C1C"/>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pPr>
        <w:pStyle w:val="Nvel2-Red"/>
        <w:numPr>
          <w:ilvl w:val="1"/>
          <w:numId w:val="143"/>
        </w:numPr>
        <w:ind w:hanging="0" w:left="0" w:right="0"/>
        <w:rPr>
          <w:rFonts w:ascii="Calibri" w:hAnsi="Calibri"/>
          <w:sz w:val="24"/>
          <w:szCs w:val="24"/>
        </w:rPr>
      </w:pPr>
      <w:r>
        <w:rPr>
          <w:rFonts w:ascii="Calibri" w:hAnsi="Calibri"/>
          <w:i w:val="false"/>
          <w:iCs w:val="false"/>
          <w:color w:val="1C1C1C"/>
          <w:sz w:val="24"/>
          <w:szCs w:val="24"/>
        </w:rPr>
        <w:t xml:space="preserve">O custo referente ao transporte dos equipamentos cobertos pela garantia será de responsabilidade do Contratado. </w:t>
      </w:r>
    </w:p>
    <w:p>
      <w:pPr>
        <w:pStyle w:val="Nvel2-Red"/>
        <w:numPr>
          <w:ilvl w:val="1"/>
          <w:numId w:val="144"/>
        </w:numPr>
        <w:ind w:hanging="0" w:left="0" w:right="0"/>
        <w:rPr>
          <w:rFonts w:ascii="Calibri" w:hAnsi="Calibri"/>
          <w:sz w:val="24"/>
          <w:szCs w:val="24"/>
        </w:rPr>
      </w:pPr>
      <w:r>
        <w:rPr>
          <w:rFonts w:ascii="Calibri" w:hAnsi="Calibri"/>
          <w:i w:val="false"/>
          <w:iCs w:val="false"/>
          <w:color w:val="1C1C1C"/>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pStyle w:val="Nivel01"/>
        <w:numPr>
          <w:ilvl w:val="0"/>
          <w:numId w:val="4"/>
        </w:numPr>
        <w:ind w:hanging="0" w:left="0"/>
        <w:rPr>
          <w:rFonts w:ascii="Calibri" w:hAnsi="Calibri"/>
          <w:sz w:val="24"/>
          <w:szCs w:val="24"/>
        </w:rPr>
      </w:pPr>
      <w:r>
        <w:rPr>
          <w:sz w:val="24"/>
          <w:szCs w:val="24"/>
        </w:rPr>
        <w:t>MODELO DE GESTÃO DO CONTRATO</w:t>
      </w:r>
    </w:p>
    <w:p>
      <w:pPr>
        <w:pStyle w:val="Nivel2"/>
        <w:numPr>
          <w:ilvl w:val="1"/>
          <w:numId w:val="145"/>
        </w:numPr>
        <w:ind w:hanging="0" w:left="0" w:right="0"/>
        <w:rPr>
          <w:rFonts w:ascii="Calibri" w:hAnsi="Calibri"/>
          <w:sz w:val="24"/>
          <w:szCs w:val="24"/>
        </w:rPr>
      </w:pPr>
      <w:r>
        <w:rPr>
          <w:rFonts w:ascii="Calibri" w:hAnsi="Calibri"/>
          <w:sz w:val="24"/>
          <w:szCs w:val="24"/>
        </w:rPr>
        <w:t>O contrato ( mediante entrega de Ordem de Compra e Ordem de Serviço ) deverá ser executado fielmente pelas partes, de acordo com as cláusulas avençadas e as normas da Lei nº 14.133, de 2021, e cada parte responderá pelas consequências de sua inexecução total ou parcial.</w:t>
      </w:r>
    </w:p>
    <w:p>
      <w:pPr>
        <w:pStyle w:val="Nivel2"/>
        <w:numPr>
          <w:ilvl w:val="1"/>
          <w:numId w:val="146"/>
        </w:numPr>
        <w:ind w:hanging="0" w:left="0" w:right="0"/>
        <w:rPr>
          <w:rFonts w:ascii="Calibri" w:hAnsi="Calibri"/>
          <w:sz w:val="24"/>
          <w:szCs w:val="24"/>
        </w:rPr>
      </w:pPr>
      <w:r>
        <w:rPr>
          <w:rFonts w:ascii="Calibri" w:hAnsi="Calibri"/>
          <w:sz w:val="24"/>
          <w:szCs w:val="24"/>
        </w:rPr>
        <w:t>As comunicações entre o órgão ou entidade e a contratada devem ser realizadas por escrito sempre que o ato exigir tal formalidade, admitindo-se o uso de mensagem eletrônica para esse fim.</w:t>
      </w:r>
    </w:p>
    <w:p>
      <w:pPr>
        <w:pStyle w:val="Nivel2"/>
        <w:numPr>
          <w:ilvl w:val="1"/>
          <w:numId w:val="147"/>
        </w:numPr>
        <w:ind w:hanging="0" w:left="0" w:right="0"/>
        <w:rPr>
          <w:rFonts w:ascii="Calibri" w:hAnsi="Calibri"/>
          <w:sz w:val="24"/>
          <w:szCs w:val="24"/>
        </w:rPr>
      </w:pPr>
      <w:r>
        <w:rPr>
          <w:rFonts w:ascii="Calibri" w:hAnsi="Calibri"/>
          <w:sz w:val="24"/>
          <w:szCs w:val="24"/>
        </w:rPr>
        <w:t>O órgão ou entidade poderá convocar representante da empresa para adoção de providências que devam ser cumpridas de imediato.</w:t>
      </w:r>
    </w:p>
    <w:p>
      <w:pPr>
        <w:pStyle w:val="Nivel2"/>
        <w:numPr>
          <w:ilvl w:val="0"/>
          <w:numId w:val="0"/>
        </w:numPr>
        <w:ind w:hanging="0" w:left="0" w:right="0"/>
        <w:rPr>
          <w:rFonts w:ascii="Calibri" w:hAnsi="Calibri"/>
          <w:sz w:val="24"/>
          <w:szCs w:val="24"/>
        </w:rPr>
      </w:pPr>
      <w:r>
        <w:rPr>
          <w:rFonts w:ascii="Calibri" w:hAnsi="Calibri"/>
          <w:b/>
          <w:bCs/>
          <w:sz w:val="24"/>
          <w:szCs w:val="24"/>
        </w:rPr>
        <w:t>Fiscalização</w:t>
      </w:r>
    </w:p>
    <w:p>
      <w:pPr>
        <w:pStyle w:val="Nivel2"/>
        <w:numPr>
          <w:ilvl w:val="1"/>
          <w:numId w:val="148"/>
        </w:numPr>
        <w:ind w:hanging="0" w:left="0" w:right="0"/>
        <w:rPr/>
      </w:pPr>
      <w:r>
        <w:rPr>
          <w:rFonts w:ascii="Calibri" w:hAnsi="Calibri"/>
          <w:sz w:val="24"/>
          <w:szCs w:val="24"/>
        </w:rPr>
        <w:t>A execução do contrato deverá ser acompanhada e fiscalizada pelo fiscal do contrato, ou pelos respectivos substitutos (</w:t>
      </w:r>
      <w:r>
        <w:fldChar w:fldCharType="begin"/>
      </w:r>
      <w:r>
        <w:rPr>
          <w:rStyle w:val="Hyperlink"/>
          <w:sz w:val="24"/>
          <w:szCs w:val="24"/>
          <w:rFonts w:ascii="Calibri" w:hAnsi="Calibri"/>
        </w:rPr>
        <w:instrText xml:space="preserve"> HYPERLINK "http://www.planalto.gov.br/ccivil_03/_ato2019-2022/2021/lei/L14133.htm" \l "art117"</w:instrText>
      </w:r>
      <w:r>
        <w:rPr>
          <w:rStyle w:val="Hyperlink"/>
          <w:sz w:val="24"/>
          <w:szCs w:val="24"/>
          <w:rFonts w:ascii="Calibri" w:hAnsi="Calibri"/>
        </w:rPr>
        <w:fldChar w:fldCharType="separate"/>
      </w:r>
      <w:r>
        <w:rPr>
          <w:rStyle w:val="Hyperlink"/>
          <w:rFonts w:ascii="Calibri" w:hAnsi="Calibri"/>
          <w:sz w:val="24"/>
          <w:szCs w:val="24"/>
        </w:rPr>
        <w:t>Lei nº 14.133, de 2021, art. 117, caput</w:t>
      </w:r>
      <w:r>
        <w:rPr>
          <w:rStyle w:val="Hyperlink"/>
          <w:sz w:val="24"/>
          <w:szCs w:val="24"/>
          <w:rFonts w:ascii="Calibri" w:hAnsi="Calibri"/>
        </w:rPr>
        <w:fldChar w:fldCharType="end"/>
      </w:r>
      <w:r>
        <w:rPr>
          <w:rFonts w:ascii="Calibri" w:hAnsi="Calibri"/>
          <w:sz w:val="24"/>
          <w:szCs w:val="24"/>
        </w:rPr>
        <w:t>).</w:t>
      </w:r>
    </w:p>
    <w:p>
      <w:pPr>
        <w:pStyle w:val="Nvel1-SemNumPreto"/>
        <w:ind w:hanging="0" w:left="0"/>
        <w:rPr>
          <w:rFonts w:ascii="Calibri" w:hAnsi="Calibri"/>
          <w:sz w:val="24"/>
          <w:szCs w:val="24"/>
        </w:rPr>
      </w:pPr>
      <w:r>
        <w:rPr>
          <w:sz w:val="24"/>
          <w:szCs w:val="24"/>
        </w:rPr>
        <w:t>Fiscalização Técnica</w:t>
      </w:r>
    </w:p>
    <w:p>
      <w:pPr>
        <w:pStyle w:val="Nivel2"/>
        <w:numPr>
          <w:ilvl w:val="1"/>
          <w:numId w:val="149"/>
        </w:numPr>
        <w:ind w:hanging="0" w:left="0" w:right="0"/>
        <w:rPr>
          <w:rFonts w:ascii="Calibri" w:hAnsi="Calibri"/>
          <w:sz w:val="24"/>
          <w:szCs w:val="24"/>
        </w:rPr>
      </w:pPr>
      <w:r>
        <w:rPr>
          <w:rFonts w:ascii="Calibri" w:hAnsi="Calibri"/>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pPr>
        <w:pStyle w:val="Nivel3"/>
        <w:numPr>
          <w:ilvl w:val="2"/>
          <w:numId w:val="150"/>
        </w:numPr>
        <w:ind w:hanging="0" w:left="284"/>
        <w:rPr/>
      </w:pPr>
      <w:r>
        <w:rPr>
          <w:rFonts w:ascii="Calibri" w:hAnsi="Calibri"/>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r>
        <w:fldChar w:fldCharType="begin"/>
      </w:r>
      <w:r>
        <w:rPr>
          <w:rStyle w:val="Hyperlink"/>
          <w:sz w:val="24"/>
          <w:szCs w:val="24"/>
          <w:rFonts w:ascii="Calibri" w:hAnsi="Calibri"/>
        </w:rPr>
        <w:instrText xml:space="preserve"> HYPERLINK "http://www.planalto.gov.br/ccivil_03/_ato2019-2022/2021/lei/L14133.htm" \l "art117%C2%A71"</w:instrText>
      </w:r>
      <w:r>
        <w:rPr>
          <w:rStyle w:val="Hyperlink"/>
          <w:sz w:val="24"/>
          <w:szCs w:val="24"/>
          <w:rFonts w:ascii="Calibri" w:hAnsi="Calibri"/>
        </w:rPr>
        <w:fldChar w:fldCharType="separate"/>
      </w:r>
      <w:r>
        <w:rPr>
          <w:rStyle w:val="Hyperlink"/>
          <w:rFonts w:ascii="Calibri" w:hAnsi="Calibri"/>
          <w:sz w:val="24"/>
          <w:szCs w:val="24"/>
        </w:rPr>
        <w:t>Lei nº 14.133, de 2021, art. 117, §1º</w:t>
      </w:r>
      <w:r>
        <w:rPr>
          <w:rStyle w:val="Hyperlink"/>
          <w:sz w:val="24"/>
          <w:szCs w:val="24"/>
          <w:rFonts w:ascii="Calibri" w:hAnsi="Calibri"/>
        </w:rPr>
        <w:fldChar w:fldCharType="end"/>
      </w:r>
      <w:r>
        <w:rPr>
          <w:rFonts w:ascii="Calibri" w:hAnsi="Calibri"/>
          <w:sz w:val="24"/>
          <w:szCs w:val="24"/>
        </w:rPr>
        <w:t xml:space="preserve">, e </w:t>
      </w:r>
      <w:r>
        <w:fldChar w:fldCharType="begin"/>
      </w:r>
      <w:r>
        <w:rPr>
          <w:rStyle w:val="Hyperlink"/>
          <w:sz w:val="24"/>
          <w:szCs w:val="24"/>
          <w:rFonts w:ascii="Calibri" w:hAnsi="Calibri"/>
        </w:rPr>
        <w:instrText xml:space="preserve"> HYPERLINK "https://www.planalto.gov.br/ccivil_03/_ato2019-2022/2022/Decreto/D11246.htm" \l "art22"</w:instrText>
      </w:r>
      <w:r>
        <w:rPr>
          <w:rStyle w:val="Hyperlink"/>
          <w:sz w:val="24"/>
          <w:szCs w:val="24"/>
          <w:rFonts w:ascii="Calibri" w:hAnsi="Calibri"/>
        </w:rPr>
        <w:fldChar w:fldCharType="separate"/>
      </w:r>
      <w:r>
        <w:rPr>
          <w:rStyle w:val="Hyperlink"/>
          <w:rFonts w:ascii="Calibri" w:hAnsi="Calibri"/>
          <w:sz w:val="24"/>
          <w:szCs w:val="24"/>
        </w:rPr>
        <w:t>Decreto nº 11.246, de 2022, art. 22, II);</w:t>
      </w:r>
      <w:r>
        <w:rPr>
          <w:rStyle w:val="Hyperlink"/>
          <w:sz w:val="24"/>
          <w:szCs w:val="24"/>
          <w:rFonts w:ascii="Calibri" w:hAnsi="Calibri"/>
        </w:rPr>
        <w:fldChar w:fldCharType="end"/>
      </w:r>
    </w:p>
    <w:p>
      <w:pPr>
        <w:pStyle w:val="Nivel3"/>
        <w:numPr>
          <w:ilvl w:val="2"/>
          <w:numId w:val="151"/>
        </w:numPr>
        <w:ind w:hanging="0" w:left="284"/>
        <w:rPr/>
      </w:pPr>
      <w:r>
        <w:rPr>
          <w:rFonts w:ascii="Calibri" w:hAnsi="Calibri"/>
          <w:sz w:val="24"/>
          <w:szCs w:val="24"/>
        </w:rPr>
        <w:t>Identificada qualquer inexatidão ou irregularidade, o fiscal técnico do contrato emitirá notificações para a correção da execução do contrato, determinando prazo para a correção. (</w:t>
      </w:r>
      <w:r>
        <w:fldChar w:fldCharType="begin"/>
      </w:r>
      <w:r>
        <w:rPr>
          <w:rStyle w:val="Hyperlink"/>
          <w:sz w:val="24"/>
          <w:szCs w:val="24"/>
          <w:rFonts w:ascii="Calibri" w:hAnsi="Calibri"/>
        </w:rPr>
        <w:instrText xml:space="preserve"> HYPERLINK "https://www.planalto.gov.br/ccivil_03/_ato2019-2022/2022/Decreto/D11246.htm" \l "art22"</w:instrText>
      </w:r>
      <w:r>
        <w:rPr>
          <w:rStyle w:val="Hyperlink"/>
          <w:sz w:val="24"/>
          <w:szCs w:val="24"/>
          <w:rFonts w:ascii="Calibri" w:hAnsi="Calibri"/>
        </w:rPr>
        <w:fldChar w:fldCharType="separate"/>
      </w:r>
      <w:r>
        <w:rPr>
          <w:rStyle w:val="Hyperlink"/>
          <w:rFonts w:ascii="Calibri" w:hAnsi="Calibri"/>
          <w:sz w:val="24"/>
          <w:szCs w:val="24"/>
        </w:rPr>
        <w:t>Decreto nº 11.246, de 2022, art. 22, III</w:t>
      </w:r>
      <w:r>
        <w:rPr>
          <w:rStyle w:val="Hyperlink"/>
          <w:sz w:val="24"/>
          <w:szCs w:val="24"/>
          <w:rFonts w:ascii="Calibri" w:hAnsi="Calibri"/>
        </w:rPr>
        <w:fldChar w:fldCharType="end"/>
      </w:r>
      <w:r>
        <w:rPr>
          <w:rFonts w:ascii="Calibri" w:hAnsi="Calibri"/>
          <w:sz w:val="24"/>
          <w:szCs w:val="24"/>
        </w:rPr>
        <w:t xml:space="preserve">); </w:t>
      </w:r>
    </w:p>
    <w:p>
      <w:pPr>
        <w:pStyle w:val="Nivel3"/>
        <w:numPr>
          <w:ilvl w:val="2"/>
          <w:numId w:val="152"/>
        </w:numPr>
        <w:ind w:hanging="0" w:left="284"/>
        <w:rPr/>
      </w:pPr>
      <w:r>
        <w:rPr>
          <w:rFonts w:ascii="Calibri" w:hAnsi="Calibri"/>
          <w:sz w:val="24"/>
          <w:szCs w:val="24"/>
        </w:rPr>
        <w:t>O fiscal técnico do contrato informará ao gestor do contato, em tempo hábil, a situação que demandar decisão ou adoção de medidas que ultrapassem sua competência, para que adote as medidas necessárias e saneadoras, se for o caso. (</w:t>
      </w:r>
      <w:r>
        <w:fldChar w:fldCharType="begin"/>
      </w:r>
      <w:r>
        <w:rPr>
          <w:rStyle w:val="Hyperlink"/>
          <w:sz w:val="24"/>
          <w:szCs w:val="24"/>
          <w:rFonts w:ascii="Calibri" w:hAnsi="Calibri"/>
        </w:rPr>
        <w:instrText xml:space="preserve"> HYPERLINK "https://www.planalto.gov.br/ccivil_03/_ato2019-2022/2022/Decreto/D11246.htm" \l "art22"</w:instrText>
      </w:r>
      <w:r>
        <w:rPr>
          <w:rStyle w:val="Hyperlink"/>
          <w:sz w:val="24"/>
          <w:szCs w:val="24"/>
          <w:rFonts w:ascii="Calibri" w:hAnsi="Calibri"/>
        </w:rPr>
        <w:fldChar w:fldCharType="separate"/>
      </w:r>
      <w:r>
        <w:rPr>
          <w:rStyle w:val="Hyperlink"/>
          <w:rFonts w:ascii="Calibri" w:hAnsi="Calibri"/>
          <w:sz w:val="24"/>
          <w:szCs w:val="24"/>
        </w:rPr>
        <w:t>Decreto nº 11.246, de 2022, art. 22, IV</w:t>
      </w:r>
      <w:r>
        <w:rPr>
          <w:rStyle w:val="Hyperlink"/>
          <w:sz w:val="24"/>
          <w:szCs w:val="24"/>
          <w:rFonts w:ascii="Calibri" w:hAnsi="Calibri"/>
        </w:rPr>
        <w:fldChar w:fldCharType="end"/>
      </w:r>
      <w:r>
        <w:rPr>
          <w:rFonts w:ascii="Calibri" w:hAnsi="Calibri"/>
          <w:sz w:val="24"/>
          <w:szCs w:val="24"/>
        </w:rPr>
        <w:t>).</w:t>
      </w:r>
    </w:p>
    <w:p>
      <w:pPr>
        <w:pStyle w:val="Nivel3"/>
        <w:numPr>
          <w:ilvl w:val="2"/>
          <w:numId w:val="153"/>
        </w:numPr>
        <w:ind w:hanging="0" w:left="284"/>
        <w:rPr/>
      </w:pPr>
      <w:r>
        <w:rPr>
          <w:rFonts w:ascii="Calibri" w:hAnsi="Calibri"/>
          <w:sz w:val="24"/>
          <w:szCs w:val="24"/>
        </w:rPr>
        <w:t>No caso de ocorrências que possam inviabilizar a execução do contrato nas datas aprazadas, o fiscal técnico do contrato comunicará o fato imediatamente ao gestor do contrato. (</w:t>
      </w:r>
      <w:r>
        <w:fldChar w:fldCharType="begin"/>
      </w:r>
      <w:r>
        <w:rPr>
          <w:rStyle w:val="Hyperlink"/>
          <w:sz w:val="24"/>
          <w:szCs w:val="24"/>
          <w:rFonts w:ascii="Calibri" w:hAnsi="Calibri"/>
        </w:rPr>
        <w:instrText xml:space="preserve"> HYPERLINK "https://www.planalto.gov.br/ccivil_03/_ato2019-2022/2022/Decreto/D11246.htm" \l "art22"</w:instrText>
      </w:r>
      <w:r>
        <w:rPr>
          <w:rStyle w:val="Hyperlink"/>
          <w:sz w:val="24"/>
          <w:szCs w:val="24"/>
          <w:rFonts w:ascii="Calibri" w:hAnsi="Calibri"/>
        </w:rPr>
        <w:fldChar w:fldCharType="separate"/>
      </w:r>
      <w:r>
        <w:rPr>
          <w:rStyle w:val="Hyperlink"/>
          <w:rFonts w:ascii="Calibri" w:hAnsi="Calibri"/>
          <w:sz w:val="24"/>
          <w:szCs w:val="24"/>
        </w:rPr>
        <w:t>Decreto nº 11.246, de 2022, art. 22, V</w:t>
      </w:r>
      <w:r>
        <w:rPr>
          <w:rStyle w:val="Hyperlink"/>
          <w:sz w:val="24"/>
          <w:szCs w:val="24"/>
          <w:rFonts w:ascii="Calibri" w:hAnsi="Calibri"/>
        </w:rPr>
        <w:fldChar w:fldCharType="end"/>
      </w:r>
      <w:r>
        <w:rPr>
          <w:rFonts w:ascii="Calibri" w:hAnsi="Calibri"/>
          <w:sz w:val="24"/>
          <w:szCs w:val="24"/>
        </w:rPr>
        <w:t>).</w:t>
      </w:r>
    </w:p>
    <w:p>
      <w:pPr>
        <w:pStyle w:val="Nivel3"/>
        <w:numPr>
          <w:ilvl w:val="2"/>
          <w:numId w:val="154"/>
        </w:numPr>
        <w:ind w:hanging="0" w:left="284"/>
        <w:rPr/>
      </w:pPr>
      <w:r>
        <w:rPr>
          <w:rFonts w:ascii="Calibri" w:hAnsi="Calibri"/>
          <w:sz w:val="24"/>
          <w:szCs w:val="24"/>
        </w:rPr>
        <w:t xml:space="preserve">O fiscal técnico do contrato comunicará ao gestor do contrato, em tempo hábil, o término do contrato sob sua responsabilidade, com vistas à renovação tempestiva ou à prorrogação contratual </w:t>
      </w:r>
      <w:r>
        <w:fldChar w:fldCharType="begin"/>
      </w:r>
      <w:r>
        <w:rPr>
          <w:rStyle w:val="Hyperlink"/>
          <w:sz w:val="24"/>
          <w:szCs w:val="24"/>
          <w:rFonts w:ascii="Calibri" w:hAnsi="Calibri"/>
        </w:rPr>
        <w:instrText xml:space="preserve"> HYPERLINK "https://www.planalto.gov.br/ccivil_03/_ato2019-2022/2022/Decreto/D11246.htm" \l "art22"</w:instrText>
      </w:r>
      <w:r>
        <w:rPr>
          <w:rStyle w:val="Hyperlink"/>
          <w:sz w:val="24"/>
          <w:szCs w:val="24"/>
          <w:rFonts w:ascii="Calibri" w:hAnsi="Calibri"/>
        </w:rPr>
        <w:fldChar w:fldCharType="separate"/>
      </w:r>
      <w:r>
        <w:rPr>
          <w:rStyle w:val="Hyperlink"/>
          <w:rFonts w:ascii="Calibri" w:hAnsi="Calibri"/>
          <w:sz w:val="24"/>
          <w:szCs w:val="24"/>
        </w:rPr>
        <w:t>(Decreto nº 11.246, de 2022, art. 22, VII</w:t>
      </w:r>
      <w:r>
        <w:rPr>
          <w:rStyle w:val="Hyperlink"/>
          <w:sz w:val="24"/>
          <w:szCs w:val="24"/>
          <w:rFonts w:ascii="Calibri" w:hAnsi="Calibri"/>
        </w:rPr>
        <w:fldChar w:fldCharType="end"/>
      </w:r>
      <w:r>
        <w:rPr>
          <w:rFonts w:ascii="Calibri" w:hAnsi="Calibri"/>
          <w:sz w:val="24"/>
          <w:szCs w:val="24"/>
        </w:rPr>
        <w:t>).</w:t>
      </w:r>
    </w:p>
    <w:p>
      <w:pPr>
        <w:pStyle w:val="Nivel3"/>
        <w:numPr>
          <w:ilvl w:val="0"/>
          <w:numId w:val="0"/>
        </w:numPr>
        <w:ind w:hanging="0" w:left="0"/>
        <w:rPr>
          <w:rFonts w:ascii="Calibri" w:hAnsi="Calibri"/>
          <w:sz w:val="24"/>
          <w:szCs w:val="24"/>
        </w:rPr>
      </w:pPr>
      <w:r>
        <w:rPr>
          <w:rFonts w:ascii="Calibri" w:hAnsi="Calibri"/>
          <w:sz w:val="24"/>
          <w:szCs w:val="24"/>
        </w:rPr>
        <w:t>Fiscalização Administrativa</w:t>
      </w:r>
    </w:p>
    <w:p>
      <w:pPr>
        <w:pStyle w:val="Nivel2"/>
        <w:numPr>
          <w:ilvl w:val="1"/>
          <w:numId w:val="155"/>
        </w:numPr>
        <w:ind w:hanging="0" w:left="0" w:right="0"/>
        <w:rPr/>
      </w:pPr>
      <w:r>
        <w:rPr>
          <w:rFonts w:ascii="Calibri" w:hAnsi="Calibri"/>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fldChar w:fldCharType="begin"/>
      </w:r>
      <w:r>
        <w:rPr>
          <w:rStyle w:val="Hyperlink"/>
          <w:sz w:val="24"/>
          <w:szCs w:val="24"/>
          <w:rFonts w:ascii="Calibri" w:hAnsi="Calibri"/>
        </w:rPr>
        <w:instrText xml:space="preserve"> HYPERLINK "https://www.planalto.gov.br/ccivil_03/_ato2019-2022/2022/Decreto/D11246.htm" \l "art23"</w:instrText>
      </w:r>
      <w:r>
        <w:rPr>
          <w:rStyle w:val="Hyperlink"/>
          <w:sz w:val="24"/>
          <w:szCs w:val="24"/>
          <w:rFonts w:ascii="Calibri" w:hAnsi="Calibri"/>
        </w:rPr>
        <w:fldChar w:fldCharType="separate"/>
      </w:r>
      <w:r>
        <w:rPr>
          <w:rStyle w:val="Hyperlink"/>
          <w:rFonts w:ascii="Calibri" w:hAnsi="Calibri"/>
          <w:sz w:val="24"/>
          <w:szCs w:val="24"/>
        </w:rPr>
        <w:t>Art. 23, I e II, do Decreto nº 11.246, de 2022</w:t>
      </w:r>
      <w:r>
        <w:rPr>
          <w:rStyle w:val="Hyperlink"/>
          <w:sz w:val="24"/>
          <w:szCs w:val="24"/>
          <w:rFonts w:ascii="Calibri" w:hAnsi="Calibri"/>
        </w:rPr>
        <w:fldChar w:fldCharType="end"/>
      </w:r>
      <w:r>
        <w:rPr>
          <w:rFonts w:ascii="Calibri" w:hAnsi="Calibri"/>
          <w:sz w:val="24"/>
          <w:szCs w:val="24"/>
        </w:rPr>
        <w:t>).</w:t>
      </w:r>
    </w:p>
    <w:p>
      <w:pPr>
        <w:pStyle w:val="Nivel3"/>
        <w:numPr>
          <w:ilvl w:val="2"/>
          <w:numId w:val="156"/>
        </w:numPr>
        <w:ind w:hanging="0" w:left="284"/>
        <w:rPr/>
      </w:pPr>
      <w:r>
        <w:rPr>
          <w:rFonts w:ascii="Calibri" w:hAnsi="Calibri"/>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r>
        <w:fldChar w:fldCharType="begin"/>
      </w:r>
      <w:r>
        <w:rPr>
          <w:rStyle w:val="Hyperlink"/>
          <w:sz w:val="24"/>
          <w:szCs w:val="24"/>
          <w:rFonts w:ascii="Calibri" w:hAnsi="Calibri"/>
        </w:rPr>
        <w:instrText xml:space="preserve"> HYPERLINK "https://www.planalto.gov.br/ccivil_03/_ato2019-2022/2022/Decreto/D11246.htm" \l "art23"</w:instrText>
      </w:r>
      <w:r>
        <w:rPr>
          <w:rStyle w:val="Hyperlink"/>
          <w:sz w:val="24"/>
          <w:szCs w:val="24"/>
          <w:rFonts w:ascii="Calibri" w:hAnsi="Calibri"/>
        </w:rPr>
        <w:fldChar w:fldCharType="separate"/>
      </w:r>
      <w:r>
        <w:rPr>
          <w:rStyle w:val="Hyperlink"/>
          <w:rFonts w:ascii="Calibri" w:hAnsi="Calibri"/>
          <w:sz w:val="24"/>
          <w:szCs w:val="24"/>
        </w:rPr>
        <w:t>Decreto nº 11.246, de 2022, art. 23, IV</w:t>
      </w:r>
      <w:r>
        <w:rPr>
          <w:rStyle w:val="Hyperlink"/>
          <w:sz w:val="24"/>
          <w:szCs w:val="24"/>
          <w:rFonts w:ascii="Calibri" w:hAnsi="Calibri"/>
        </w:rPr>
        <w:fldChar w:fldCharType="end"/>
      </w:r>
      <w:r>
        <w:rPr>
          <w:rFonts w:ascii="Calibri" w:hAnsi="Calibri"/>
          <w:sz w:val="24"/>
          <w:szCs w:val="24"/>
        </w:rPr>
        <w:t>).</w:t>
      </w:r>
    </w:p>
    <w:p>
      <w:pPr>
        <w:pStyle w:val="Nvel1-SemNumPreto"/>
        <w:ind w:hanging="0" w:left="0"/>
        <w:rPr>
          <w:rFonts w:ascii="Calibri" w:hAnsi="Calibri"/>
          <w:sz w:val="24"/>
          <w:szCs w:val="24"/>
        </w:rPr>
      </w:pPr>
      <w:r>
        <w:rPr>
          <w:sz w:val="24"/>
          <w:szCs w:val="24"/>
        </w:rPr>
        <w:t>Gestor do Contrato</w:t>
      </w:r>
    </w:p>
    <w:p>
      <w:pPr>
        <w:pStyle w:val="Nivel2"/>
        <w:numPr>
          <w:ilvl w:val="1"/>
          <w:numId w:val="157"/>
        </w:numPr>
        <w:ind w:hanging="0" w:left="0" w:right="0"/>
        <w:rPr>
          <w:rFonts w:ascii="Calibri" w:hAnsi="Calibri"/>
          <w:sz w:val="24"/>
          <w:szCs w:val="24"/>
        </w:rPr>
      </w:pPr>
      <w:r>
        <w:rPr>
          <w:rFonts w:ascii="Calibri" w:hAnsi="Calibri"/>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ivel2"/>
        <w:numPr>
          <w:ilvl w:val="1"/>
          <w:numId w:val="158"/>
        </w:numPr>
        <w:ind w:hanging="0" w:left="0" w:right="0"/>
        <w:rPr>
          <w:rFonts w:ascii="Calibri" w:hAnsi="Calibri"/>
          <w:sz w:val="24"/>
          <w:szCs w:val="24"/>
        </w:rPr>
      </w:pPr>
      <w:r>
        <w:rPr>
          <w:rFonts w:ascii="Calibri" w:hAnsi="Calibri"/>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ivel2"/>
        <w:numPr>
          <w:ilvl w:val="1"/>
          <w:numId w:val="159"/>
        </w:numPr>
        <w:ind w:hanging="0" w:left="0" w:right="0"/>
        <w:rPr>
          <w:rFonts w:ascii="Calibri" w:hAnsi="Calibri"/>
          <w:sz w:val="24"/>
          <w:szCs w:val="24"/>
        </w:rPr>
      </w:pPr>
      <w:r>
        <w:rPr>
          <w:rFonts w:ascii="Calibri" w:hAnsi="Calibr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pPr>
        <w:pStyle w:val="Nivel2"/>
        <w:numPr>
          <w:ilvl w:val="1"/>
          <w:numId w:val="160"/>
        </w:numPr>
        <w:ind w:hanging="0" w:left="0" w:right="0"/>
        <w:rPr>
          <w:rFonts w:ascii="Calibri" w:hAnsi="Calibri"/>
          <w:sz w:val="24"/>
          <w:szCs w:val="24"/>
        </w:rPr>
      </w:pPr>
      <w:r>
        <w:rPr>
          <w:rFonts w:ascii="Calibri" w:hAnsi="Calibri"/>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ivel2"/>
        <w:numPr>
          <w:ilvl w:val="1"/>
          <w:numId w:val="161"/>
        </w:numPr>
        <w:ind w:hanging="0" w:left="0" w:right="0"/>
        <w:rPr>
          <w:rFonts w:ascii="Calibri" w:hAnsi="Calibri"/>
          <w:sz w:val="24"/>
          <w:szCs w:val="24"/>
        </w:rPr>
      </w:pPr>
      <w:r>
        <w:rPr>
          <w:rFonts w:ascii="Calibri" w:hAnsi="Calibr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ivel2"/>
        <w:numPr>
          <w:ilvl w:val="1"/>
          <w:numId w:val="162"/>
        </w:numPr>
        <w:ind w:hanging="0" w:left="0" w:right="0"/>
        <w:rPr>
          <w:rFonts w:ascii="Calibri" w:hAnsi="Calibri"/>
          <w:sz w:val="24"/>
          <w:szCs w:val="24"/>
        </w:rPr>
      </w:pPr>
      <w:r>
        <w:rPr>
          <w:rFonts w:ascii="Calibri" w:hAnsi="Calibri"/>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ivel2"/>
        <w:numPr>
          <w:ilvl w:val="1"/>
          <w:numId w:val="163"/>
        </w:numPr>
        <w:ind w:hanging="0" w:left="0" w:right="0"/>
        <w:rPr>
          <w:rFonts w:ascii="Calibri" w:hAnsi="Calibri"/>
          <w:sz w:val="24"/>
          <w:szCs w:val="24"/>
        </w:rPr>
      </w:pPr>
      <w:r>
        <w:rPr>
          <w:rFonts w:ascii="Calibri" w:hAnsi="Calibri"/>
          <w:sz w:val="24"/>
          <w:szCs w:val="24"/>
        </w:rPr>
        <w:t>O gestor do contrato deverá enviar a documentação pertinente ao setor de contratos para a formalização dos procedimentos de liquidação e pagamento, no valor dimensionado pela fiscalização e gestão nos termos do contrato.</w:t>
      </w:r>
    </w:p>
    <w:p>
      <w:pPr>
        <w:pStyle w:val="Nivel01"/>
        <w:numPr>
          <w:ilvl w:val="0"/>
          <w:numId w:val="4"/>
        </w:numPr>
        <w:ind w:hanging="0" w:left="0"/>
        <w:rPr>
          <w:rFonts w:ascii="Calibri" w:hAnsi="Calibri"/>
          <w:sz w:val="24"/>
          <w:szCs w:val="24"/>
        </w:rPr>
      </w:pPr>
      <w:r>
        <w:rPr>
          <w:sz w:val="24"/>
          <w:szCs w:val="24"/>
        </w:rPr>
        <w:t>CRITÉRIOS DE MEDIÇÃO E DE PAGAMENTO</w:t>
      </w:r>
    </w:p>
    <w:p>
      <w:pPr>
        <w:pStyle w:val="Nvel1-SemNumPreto"/>
        <w:ind w:hanging="0" w:left="0"/>
        <w:rPr>
          <w:rFonts w:ascii="Calibri" w:hAnsi="Calibri"/>
          <w:sz w:val="24"/>
          <w:szCs w:val="24"/>
        </w:rPr>
      </w:pPr>
      <w:r>
        <w:rPr>
          <w:sz w:val="24"/>
          <w:szCs w:val="24"/>
        </w:rPr>
        <w:t>Recebimento</w:t>
      </w:r>
    </w:p>
    <w:p>
      <w:pPr>
        <w:pStyle w:val="Nivel2"/>
        <w:numPr>
          <w:ilvl w:val="1"/>
          <w:numId w:val="164"/>
        </w:numPr>
        <w:ind w:hanging="0" w:left="0" w:right="0"/>
        <w:rPr>
          <w:rFonts w:ascii="Calibri" w:hAnsi="Calibri"/>
          <w:sz w:val="24"/>
          <w:szCs w:val="24"/>
        </w:rPr>
      </w:pPr>
      <w:r>
        <w:rPr>
          <w:rFonts w:ascii="Calibri" w:hAnsi="Calibri"/>
          <w:sz w:val="24"/>
          <w:szCs w:val="24"/>
          <w:lang w:eastAsia="en-US"/>
        </w:rPr>
        <w:t xml:space="preserve">Os bens serão recebidos provisoriamente, de forma sumária, no ato da entrega, juntamente com a </w:t>
      </w:r>
      <w:r>
        <w:rPr>
          <w:rFonts w:eastAsia="Calibri" w:ascii="Calibri" w:hAnsi="Calibri"/>
          <w:sz w:val="24"/>
          <w:szCs w:val="24"/>
          <w:lang w:eastAsia="en-US"/>
        </w:rPr>
        <w:t>nota</w:t>
      </w:r>
      <w:r>
        <w:rPr>
          <w:rFonts w:ascii="Calibri" w:hAnsi="Calibri"/>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ascii="Calibri" w:hAnsi="Calibri"/>
          <w:color w:val="FF0000"/>
          <w:sz w:val="24"/>
          <w:szCs w:val="24"/>
          <w:lang w:eastAsia="en-US"/>
        </w:rPr>
        <w:t xml:space="preserve"> </w:t>
      </w:r>
      <w:r>
        <w:rPr>
          <w:rFonts w:ascii="Calibri" w:hAnsi="Calibri"/>
          <w:sz w:val="24"/>
          <w:szCs w:val="24"/>
          <w:lang w:eastAsia="en-US"/>
        </w:rPr>
        <w:t>e na proposta.</w:t>
      </w:r>
    </w:p>
    <w:p>
      <w:pPr>
        <w:pStyle w:val="Nivel2"/>
        <w:numPr>
          <w:ilvl w:val="1"/>
          <w:numId w:val="165"/>
        </w:numPr>
        <w:ind w:hanging="0" w:left="0" w:right="0"/>
        <w:rPr>
          <w:rFonts w:ascii="Calibri" w:hAnsi="Calibri"/>
          <w:sz w:val="24"/>
          <w:szCs w:val="24"/>
        </w:rPr>
      </w:pPr>
      <w:r>
        <w:rPr>
          <w:rFonts w:ascii="Calibri" w:hAnsi="Calibri"/>
          <w:sz w:val="24"/>
          <w:szCs w:val="24"/>
          <w:lang w:eastAsia="en-US"/>
        </w:rPr>
        <w:t>Os bens poderão ser rejeitados, no todo ou em parte, inclusive antes do recebimento provisório, quando em desacordo com as especificações constantes no Termo de Referência</w:t>
      </w:r>
      <w:r>
        <w:rPr>
          <w:rFonts w:ascii="Calibri" w:hAnsi="Calibri"/>
          <w:color w:val="FF0000"/>
          <w:sz w:val="24"/>
          <w:szCs w:val="24"/>
          <w:lang w:eastAsia="en-US"/>
        </w:rPr>
        <w:t xml:space="preserve"> </w:t>
      </w:r>
      <w:r>
        <w:rPr>
          <w:rFonts w:ascii="Calibri" w:hAnsi="Calibri"/>
          <w:sz w:val="24"/>
          <w:szCs w:val="24"/>
          <w:lang w:eastAsia="en-US"/>
        </w:rPr>
        <w:t>e na proposta, devendo ser substituídos no prazo de 05 (cinco)</w:t>
      </w:r>
      <w:r>
        <w:rPr>
          <w:rFonts w:ascii="Calibri" w:hAnsi="Calibri"/>
          <w:color w:val="FF0000"/>
          <w:sz w:val="24"/>
          <w:szCs w:val="24"/>
          <w:lang w:eastAsia="en-US"/>
        </w:rPr>
        <w:t xml:space="preserve"> </w:t>
      </w:r>
      <w:r>
        <w:rPr>
          <w:rFonts w:ascii="Calibri" w:hAnsi="Calibri"/>
          <w:sz w:val="24"/>
          <w:szCs w:val="24"/>
          <w:lang w:eastAsia="en-US"/>
        </w:rPr>
        <w:t>dias após a instalação dos equipamentos, a contar da notificação da contratada, às suas custas, sem prejuízo da aplicação das penalidades.</w:t>
      </w:r>
    </w:p>
    <w:p>
      <w:pPr>
        <w:pStyle w:val="Nivel2"/>
        <w:numPr>
          <w:ilvl w:val="1"/>
          <w:numId w:val="166"/>
        </w:numPr>
        <w:ind w:hanging="0" w:left="0" w:right="0"/>
        <w:rPr>
          <w:rFonts w:ascii="Calibri" w:hAnsi="Calibri"/>
          <w:sz w:val="24"/>
          <w:szCs w:val="24"/>
        </w:rPr>
      </w:pPr>
      <w:r>
        <w:rPr>
          <w:rFonts w:ascii="Calibri" w:hAnsi="Calibri"/>
          <w:sz w:val="24"/>
          <w:szCs w:val="24"/>
          <w:lang w:eastAsia="en-US"/>
        </w:rPr>
        <w:t>O recebimento definitivo ocorrerá no prazo de 10</w:t>
      </w:r>
      <w:r>
        <w:rPr>
          <w:rFonts w:ascii="Calibri" w:hAnsi="Calibri"/>
          <w:color w:val="FF0000"/>
          <w:sz w:val="24"/>
          <w:szCs w:val="24"/>
          <w:lang w:eastAsia="en-US"/>
        </w:rPr>
        <w:t xml:space="preserve"> </w:t>
      </w:r>
      <w:r>
        <w:rPr>
          <w:rFonts w:ascii="Calibri" w:hAnsi="Calibri"/>
          <w:b w:val="false"/>
          <w:bCs w:val="false"/>
          <w:color w:val="1C1C1C"/>
          <w:sz w:val="24"/>
          <w:szCs w:val="24"/>
          <w:lang w:eastAsia="en-US"/>
        </w:rPr>
        <w:t>dias úteis</w:t>
      </w:r>
      <w:r>
        <w:rPr>
          <w:rFonts w:ascii="Calibri" w:hAnsi="Calibri"/>
          <w:color w:val="FF0000"/>
          <w:sz w:val="24"/>
          <w:szCs w:val="24"/>
          <w:lang w:eastAsia="en-US"/>
        </w:rPr>
        <w:t xml:space="preserve">, </w:t>
      </w:r>
      <w:r>
        <w:rPr>
          <w:rFonts w:ascii="Calibri" w:hAnsi="Calibri"/>
          <w:sz w:val="24"/>
          <w:szCs w:val="24"/>
          <w:lang w:eastAsia="en-US"/>
        </w:rPr>
        <w:t>a contar do recebimento da nota fiscal ou instrumento de cobrança equivalente pela Administração, após a verificação da qualidade e quantidade do material e consequente aceitação mediante termo detalhado.</w:t>
      </w:r>
    </w:p>
    <w:p>
      <w:pPr>
        <w:pStyle w:val="Nivel2"/>
        <w:numPr>
          <w:ilvl w:val="1"/>
          <w:numId w:val="167"/>
        </w:numPr>
        <w:ind w:hanging="0" w:left="0" w:right="0"/>
        <w:rPr>
          <w:rFonts w:ascii="Calibri" w:hAnsi="Calibri"/>
          <w:sz w:val="24"/>
          <w:szCs w:val="24"/>
        </w:rPr>
      </w:pPr>
      <w:r>
        <w:rPr>
          <w:rFonts w:ascii="Calibri" w:hAnsi="Calibri"/>
          <w:sz w:val="24"/>
          <w:szCs w:val="24"/>
          <w:lang w:eastAsia="en-US"/>
        </w:rPr>
        <w:t xml:space="preserve">O prazo para recebimento definitivo poderá ser excepcionalmente prorrogado, </w:t>
      </w:r>
      <w:r>
        <w:rPr>
          <w:rFonts w:ascii="Calibri" w:hAnsi="Calibri"/>
          <w:color w:val="auto"/>
          <w:sz w:val="24"/>
          <w:szCs w:val="24"/>
          <w:lang w:eastAsia="en-US"/>
        </w:rPr>
        <w:t>de forma justificada, por igual período, quando houver necessidade de diligências para a aferição do ate</w:t>
      </w:r>
      <w:r>
        <w:rPr>
          <w:rFonts w:ascii="Calibri" w:hAnsi="Calibri"/>
          <w:sz w:val="24"/>
          <w:szCs w:val="24"/>
          <w:lang w:eastAsia="en-US"/>
        </w:rPr>
        <w:t>ndimento das exigências contratuais.</w:t>
      </w:r>
    </w:p>
    <w:p>
      <w:pPr>
        <w:pStyle w:val="Nivel2"/>
        <w:numPr>
          <w:ilvl w:val="1"/>
          <w:numId w:val="168"/>
        </w:numPr>
        <w:ind w:hanging="0" w:left="0" w:right="0"/>
        <w:rPr/>
      </w:pPr>
      <w:r>
        <w:rPr>
          <w:rFonts w:ascii="Calibri" w:hAnsi="Calibri"/>
          <w:sz w:val="24"/>
          <w:szCs w:val="24"/>
          <w:lang w:eastAsia="en-US"/>
        </w:rPr>
        <w:t xml:space="preserve">No caso de controvérsia sobre a execução do objeto, quanto à dimensão, qualidade e quantidade, deverá ser observado o teor do </w:t>
      </w:r>
      <w:r>
        <w:fldChar w:fldCharType="begin"/>
      </w:r>
      <w:r>
        <w:rPr>
          <w:rStyle w:val="Hyperlink"/>
          <w:sz w:val="24"/>
          <w:szCs w:val="24"/>
          <w:rFonts w:ascii="Calibri" w:hAnsi="Calibri"/>
          <w:lang w:eastAsia="en-US"/>
        </w:rPr>
        <w:instrText xml:space="preserve"> HYPERLINK "http://www.planalto.gov.br/ccivil_03/_ato2019-2022/2021/lei/L14133.htm" \l "art143"</w:instrText>
      </w:r>
      <w:r>
        <w:rPr>
          <w:rStyle w:val="Hyperlink"/>
          <w:sz w:val="24"/>
          <w:szCs w:val="24"/>
          <w:rFonts w:ascii="Calibri" w:hAnsi="Calibri"/>
          <w:lang w:eastAsia="en-US"/>
        </w:rPr>
        <w:fldChar w:fldCharType="separate"/>
      </w:r>
      <w:r>
        <w:rPr>
          <w:rStyle w:val="Hyperlink"/>
          <w:rFonts w:ascii="Calibri" w:hAnsi="Calibri"/>
          <w:sz w:val="24"/>
          <w:szCs w:val="24"/>
          <w:lang w:eastAsia="en-US"/>
        </w:rPr>
        <w:t>art. 143 da Lei nº 14.133, de 2021</w:t>
      </w:r>
      <w:r>
        <w:rPr>
          <w:rStyle w:val="Hyperlink"/>
          <w:sz w:val="24"/>
          <w:szCs w:val="24"/>
          <w:rFonts w:ascii="Calibri" w:hAnsi="Calibri"/>
          <w:lang w:eastAsia="en-US"/>
        </w:rPr>
        <w:fldChar w:fldCharType="end"/>
      </w:r>
      <w:r>
        <w:rPr>
          <w:rFonts w:ascii="Calibri" w:hAnsi="Calibri"/>
          <w:sz w:val="24"/>
          <w:szCs w:val="24"/>
          <w:lang w:eastAsia="en-US"/>
        </w:rPr>
        <w:t>, comunicando-se à empresa para emissão de Nota Fiscal no que pertine à parcela incontroversa da execução do objeto, para efeito de liquidação e pagamento.</w:t>
      </w:r>
    </w:p>
    <w:p>
      <w:pPr>
        <w:pStyle w:val="Nivel2"/>
        <w:numPr>
          <w:ilvl w:val="1"/>
          <w:numId w:val="169"/>
        </w:numPr>
        <w:ind w:hanging="0" w:left="0" w:right="0"/>
        <w:rPr>
          <w:rFonts w:ascii="Calibri" w:hAnsi="Calibri"/>
          <w:sz w:val="24"/>
          <w:szCs w:val="24"/>
        </w:rPr>
      </w:pPr>
      <w:r>
        <w:rPr>
          <w:rFonts w:ascii="Calibri" w:hAnsi="Calibri"/>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ivel2"/>
        <w:numPr>
          <w:ilvl w:val="1"/>
          <w:numId w:val="170"/>
        </w:numPr>
        <w:ind w:hanging="0" w:left="0" w:right="0"/>
        <w:rPr>
          <w:rFonts w:ascii="Calibri" w:hAnsi="Calibri"/>
          <w:sz w:val="24"/>
          <w:szCs w:val="24"/>
        </w:rPr>
      </w:pPr>
      <w:r>
        <w:rPr>
          <w:rFonts w:ascii="Calibri" w:hAnsi="Calibri"/>
          <w:sz w:val="24"/>
          <w:szCs w:val="24"/>
          <w:lang w:eastAsia="en-US"/>
        </w:rPr>
        <w:t>O recebimento provisório ou definitivo não excluirá a responsabilidade civil pela solidez e pela segurança dos bens nem a responsabilidade ético-profissional pela perfeita execução do contrato.</w:t>
      </w:r>
    </w:p>
    <w:p>
      <w:pPr>
        <w:pStyle w:val="Nvel1-SemNumPreto"/>
        <w:ind w:hanging="0" w:left="0"/>
        <w:rPr>
          <w:rFonts w:ascii="Calibri" w:hAnsi="Calibri"/>
          <w:sz w:val="24"/>
          <w:szCs w:val="24"/>
        </w:rPr>
      </w:pPr>
      <w:r>
        <w:rPr>
          <w:sz w:val="24"/>
          <w:szCs w:val="24"/>
        </w:rPr>
        <w:t>Liquidação</w:t>
      </w:r>
    </w:p>
    <w:p>
      <w:pPr>
        <w:pStyle w:val="Nivel2"/>
        <w:numPr>
          <w:ilvl w:val="1"/>
          <w:numId w:val="171"/>
        </w:numPr>
        <w:ind w:hanging="0" w:left="0" w:right="0"/>
        <w:rPr/>
      </w:pPr>
      <w:r>
        <w:rPr>
          <w:rFonts w:ascii="Calibri" w:hAnsi="Calibri"/>
          <w:sz w:val="24"/>
          <w:szCs w:val="24"/>
          <w:lang w:eastAsia="en-US"/>
        </w:rPr>
        <w:t>Recebida a Nota Fiscal ou documento de cobrança equivalente, correrá o prazo de dez dias úteis para fins de liquidação, na forma desta seção, prorrogáveis por igual período, nos termos do art. 7º, §3</w:t>
      </w:r>
      <w:r>
        <w:rPr>
          <w:rStyle w:val="InternetLink"/>
          <w:rFonts w:ascii="Calibri" w:hAnsi="Calibri"/>
          <w:sz w:val="24"/>
          <w:szCs w:val="24"/>
          <w:lang w:eastAsia="en-US"/>
        </w:rPr>
        <w:t>º da Instrução Normativa SEGES/ME nº 77/2022</w:t>
      </w:r>
      <w:r>
        <w:rPr>
          <w:rFonts w:ascii="Calibri" w:hAnsi="Calibri"/>
          <w:sz w:val="24"/>
          <w:szCs w:val="24"/>
          <w:lang w:eastAsia="en-US"/>
        </w:rPr>
        <w:t>.</w:t>
      </w:r>
    </w:p>
    <w:p>
      <w:pPr>
        <w:pStyle w:val="Nivel3"/>
        <w:numPr>
          <w:ilvl w:val="2"/>
          <w:numId w:val="172"/>
        </w:numPr>
        <w:ind w:hanging="0" w:left="284"/>
        <w:rPr/>
      </w:pPr>
      <w:r>
        <w:rPr>
          <w:rFonts w:ascii="Calibri" w:hAnsi="Calibri"/>
          <w:sz w:val="24"/>
          <w:szCs w:val="24"/>
        </w:rPr>
        <w:t xml:space="preserve">O prazo de que trata o item anterior será reduzido à metade, mantendo-se a possibilidade de prorrogação, no caso de contratações decorrentes de despesas cujos valores não ultrapassem o limite de que trata o </w:t>
      </w:r>
      <w:r>
        <w:fldChar w:fldCharType="begin"/>
      </w:r>
      <w:r>
        <w:rPr>
          <w:rStyle w:val="Hyperlink"/>
          <w:sz w:val="24"/>
          <w:szCs w:val="24"/>
          <w:rFonts w:ascii="Calibri" w:hAnsi="Calibri"/>
        </w:rPr>
        <w:instrText xml:space="preserve"> HYPERLINK "http://www.planalto.gov.br/ccivil_03/_ato2019-2022/2021/lei/L14133.htm" \l "art75"</w:instrText>
      </w:r>
      <w:r>
        <w:rPr>
          <w:rStyle w:val="Hyperlink"/>
          <w:sz w:val="24"/>
          <w:szCs w:val="24"/>
          <w:rFonts w:ascii="Calibri" w:hAnsi="Calibri"/>
        </w:rPr>
        <w:fldChar w:fldCharType="separate"/>
      </w:r>
      <w:r>
        <w:rPr>
          <w:rStyle w:val="Hyperlink"/>
          <w:rFonts w:ascii="Calibri" w:hAnsi="Calibri"/>
          <w:sz w:val="24"/>
          <w:szCs w:val="24"/>
        </w:rPr>
        <w:t>inciso II do art. 75 da Lei nº 14.133, de 2021</w:t>
      </w:r>
      <w:r>
        <w:rPr>
          <w:rStyle w:val="Hyperlink"/>
          <w:sz w:val="24"/>
          <w:szCs w:val="24"/>
          <w:rFonts w:ascii="Calibri" w:hAnsi="Calibri"/>
        </w:rPr>
        <w:fldChar w:fldCharType="end"/>
      </w:r>
      <w:r>
        <w:rPr>
          <w:rFonts w:ascii="Calibri" w:hAnsi="Calibri"/>
          <w:sz w:val="24"/>
          <w:szCs w:val="24"/>
        </w:rPr>
        <w:t>.</w:t>
      </w:r>
    </w:p>
    <w:p>
      <w:pPr>
        <w:pStyle w:val="Nivel2"/>
        <w:numPr>
          <w:ilvl w:val="1"/>
          <w:numId w:val="173"/>
        </w:numPr>
        <w:ind w:hanging="0" w:left="0" w:right="0"/>
        <w:rPr>
          <w:rFonts w:ascii="Calibri" w:hAnsi="Calibri"/>
          <w:sz w:val="24"/>
          <w:szCs w:val="24"/>
        </w:rPr>
      </w:pPr>
      <w:r>
        <w:rPr>
          <w:rFonts w:ascii="Calibri" w:hAnsi="Calibri"/>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pPr>
        <w:pStyle w:val="Nivel3"/>
        <w:numPr>
          <w:ilvl w:val="2"/>
          <w:numId w:val="174"/>
        </w:numPr>
        <w:ind w:hanging="0" w:left="284"/>
        <w:rPr>
          <w:rFonts w:ascii="Calibri" w:hAnsi="Calibri"/>
          <w:sz w:val="24"/>
          <w:szCs w:val="24"/>
        </w:rPr>
      </w:pPr>
      <w:r>
        <w:rPr>
          <w:rFonts w:ascii="Calibri" w:hAnsi="Calibri"/>
          <w:sz w:val="24"/>
          <w:szCs w:val="24"/>
          <w:lang w:eastAsia="en-US"/>
        </w:rPr>
        <w:t>o prazo de validade;</w:t>
      </w:r>
    </w:p>
    <w:p>
      <w:pPr>
        <w:pStyle w:val="Nivel3"/>
        <w:numPr>
          <w:ilvl w:val="2"/>
          <w:numId w:val="175"/>
        </w:numPr>
        <w:ind w:hanging="0" w:left="284"/>
        <w:rPr>
          <w:rFonts w:ascii="Calibri" w:hAnsi="Calibri"/>
          <w:sz w:val="24"/>
          <w:szCs w:val="24"/>
        </w:rPr>
      </w:pPr>
      <w:r>
        <w:rPr>
          <w:rFonts w:ascii="Calibri" w:hAnsi="Calibri"/>
          <w:sz w:val="24"/>
          <w:szCs w:val="24"/>
          <w:lang w:eastAsia="en-US"/>
        </w:rPr>
        <w:t xml:space="preserve">a data da emissão; </w:t>
      </w:r>
    </w:p>
    <w:p>
      <w:pPr>
        <w:pStyle w:val="Nivel3"/>
        <w:numPr>
          <w:ilvl w:val="2"/>
          <w:numId w:val="176"/>
        </w:numPr>
        <w:ind w:hanging="0" w:left="284"/>
        <w:rPr>
          <w:rFonts w:ascii="Calibri" w:hAnsi="Calibri"/>
          <w:sz w:val="24"/>
          <w:szCs w:val="24"/>
        </w:rPr>
      </w:pPr>
      <w:r>
        <w:rPr>
          <w:rFonts w:ascii="Calibri" w:hAnsi="Calibri"/>
          <w:sz w:val="24"/>
          <w:szCs w:val="24"/>
          <w:lang w:eastAsia="en-US"/>
        </w:rPr>
        <w:t xml:space="preserve">os dados do contrato e do órgão contratante; </w:t>
      </w:r>
    </w:p>
    <w:p>
      <w:pPr>
        <w:pStyle w:val="Nivel3"/>
        <w:numPr>
          <w:ilvl w:val="2"/>
          <w:numId w:val="177"/>
        </w:numPr>
        <w:ind w:hanging="0" w:left="284"/>
        <w:rPr>
          <w:rFonts w:ascii="Calibri" w:hAnsi="Calibri"/>
          <w:sz w:val="24"/>
          <w:szCs w:val="24"/>
        </w:rPr>
      </w:pPr>
      <w:r>
        <w:rPr>
          <w:rFonts w:ascii="Calibri" w:hAnsi="Calibri"/>
          <w:sz w:val="24"/>
          <w:szCs w:val="24"/>
          <w:lang w:eastAsia="en-US"/>
        </w:rPr>
        <w:t xml:space="preserve">o período respectivo de execução do contrato; </w:t>
      </w:r>
    </w:p>
    <w:p>
      <w:pPr>
        <w:pStyle w:val="Nivel3"/>
        <w:numPr>
          <w:ilvl w:val="2"/>
          <w:numId w:val="178"/>
        </w:numPr>
        <w:ind w:hanging="0" w:left="284"/>
        <w:rPr>
          <w:rFonts w:ascii="Calibri" w:hAnsi="Calibri"/>
          <w:sz w:val="24"/>
          <w:szCs w:val="24"/>
        </w:rPr>
      </w:pPr>
      <w:r>
        <w:rPr>
          <w:rFonts w:ascii="Calibri" w:hAnsi="Calibri"/>
          <w:sz w:val="24"/>
          <w:szCs w:val="24"/>
          <w:lang w:eastAsia="en-US"/>
        </w:rPr>
        <w:t xml:space="preserve">o valor a pagar; e </w:t>
      </w:r>
    </w:p>
    <w:p>
      <w:pPr>
        <w:pStyle w:val="Nivel3"/>
        <w:numPr>
          <w:ilvl w:val="2"/>
          <w:numId w:val="179"/>
        </w:numPr>
        <w:ind w:hanging="0" w:left="284"/>
        <w:rPr>
          <w:rFonts w:ascii="Calibri" w:hAnsi="Calibri"/>
          <w:sz w:val="24"/>
          <w:szCs w:val="24"/>
        </w:rPr>
      </w:pPr>
      <w:r>
        <w:rPr>
          <w:rFonts w:ascii="Calibri" w:hAnsi="Calibri"/>
          <w:sz w:val="24"/>
          <w:szCs w:val="24"/>
          <w:lang w:eastAsia="en-US"/>
        </w:rPr>
        <w:t>eventual destaque do valor de retenções tributárias cabíveis.</w:t>
      </w:r>
    </w:p>
    <w:p>
      <w:pPr>
        <w:pStyle w:val="Nivel2"/>
        <w:numPr>
          <w:ilvl w:val="1"/>
          <w:numId w:val="180"/>
        </w:numPr>
        <w:ind w:hanging="0" w:left="0" w:right="0"/>
        <w:rPr>
          <w:rFonts w:ascii="Calibri" w:hAnsi="Calibri"/>
          <w:sz w:val="24"/>
          <w:szCs w:val="24"/>
        </w:rPr>
      </w:pPr>
      <w:r>
        <w:rPr>
          <w:rFonts w:eastAsia="Calibri" w:ascii="Calibri" w:hAnsi="Calibri"/>
          <w:sz w:val="24"/>
          <w:szCs w:val="24"/>
          <w:lang w:eastAsia="en-US"/>
        </w:rPr>
        <w:t xml:space="preserve"> </w:t>
      </w:r>
      <w:r>
        <w:rPr>
          <w:rFonts w:eastAsia="Calibri" w:ascii="Calibri" w:hAnsi="Calibri"/>
          <w:sz w:val="24"/>
          <w:szCs w:val="24"/>
          <w:lang w:eastAsia="en-US"/>
        </w:rPr>
        <w:t xml:space="preserve">Havendo erro na apresentação da nota fiscal ou instrumento de cobrança equivalente, ou circunstância que impeça a </w:t>
      </w:r>
      <w:r>
        <w:rPr>
          <w:rFonts w:ascii="Calibri" w:hAnsi="Calibri"/>
          <w:sz w:val="24"/>
          <w:szCs w:val="24"/>
          <w:lang w:eastAsia="en-US"/>
        </w:rPr>
        <w:t>liquidação da despesa, esta ficará sobrestada até que o contratado providencie as medidas saneadoras, reiniciando-se o prazo após a comprovação da regularização da situação, sem ônus ao contratante;</w:t>
      </w:r>
    </w:p>
    <w:p>
      <w:pPr>
        <w:pStyle w:val="Nivel2"/>
        <w:numPr>
          <w:ilvl w:val="1"/>
          <w:numId w:val="181"/>
        </w:numPr>
        <w:ind w:hanging="0" w:left="0" w:right="0"/>
        <w:rPr/>
      </w:pPr>
      <w:r>
        <w:rPr>
          <w:rFonts w:ascii="Calibri" w:hAnsi="Calibri"/>
          <w:sz w:val="24"/>
          <w:szCs w:val="24"/>
          <w:lang w:eastAsia="en-US"/>
        </w:rPr>
        <w:t xml:space="preserve"> </w:t>
      </w:r>
      <w:r>
        <w:rPr>
          <w:rFonts w:ascii="Calibri" w:hAnsi="Calibri"/>
          <w:sz w:val="24"/>
          <w:szCs w:val="24"/>
          <w:lang w:eastAsia="en-US"/>
        </w:rPr>
        <w:t xml:space="preserve">A nota fiscal ou instrumento de cobrança equivalente deverá ser obrigatoriamente acompanhado da comprovação da regularidade fiscal, constatada por meio de consulta </w:t>
      </w:r>
      <w:r>
        <w:rPr>
          <w:rFonts w:ascii="Calibri" w:hAnsi="Calibri"/>
          <w:i/>
          <w:iCs/>
          <w:sz w:val="24"/>
          <w:szCs w:val="24"/>
          <w:lang w:eastAsia="en-US"/>
        </w:rPr>
        <w:t>on-line</w:t>
      </w:r>
      <w:r>
        <w:rPr>
          <w:rFonts w:ascii="Calibri" w:hAnsi="Calibri"/>
          <w:sz w:val="24"/>
          <w:szCs w:val="24"/>
          <w:lang w:eastAsia="en-US"/>
        </w:rPr>
        <w:t xml:space="preserve"> ao SICAF ou, na impossibilidade de acesso ao referido Sistema, mediante consulta aos sítios eletrônicos oficiais ou à documentação mencionada no </w:t>
      </w:r>
      <w:r>
        <w:fldChar w:fldCharType="begin"/>
      </w:r>
      <w:r>
        <w:rPr>
          <w:rStyle w:val="Hyperlink"/>
          <w:sz w:val="24"/>
          <w:szCs w:val="24"/>
          <w:rFonts w:ascii="Calibri" w:hAnsi="Calibri"/>
          <w:lang w:eastAsia="en-US"/>
        </w:rPr>
        <w:instrText xml:space="preserve"> HYPERLINK "http://www.planalto.gov.br/ccivil_03/_ato2019-2022/2021/lei/L14133.htm" \l "art68"</w:instrText>
      </w:r>
      <w:r>
        <w:rPr>
          <w:rStyle w:val="Hyperlink"/>
          <w:sz w:val="24"/>
          <w:szCs w:val="24"/>
          <w:rFonts w:ascii="Calibri" w:hAnsi="Calibri"/>
          <w:lang w:eastAsia="en-US"/>
        </w:rPr>
        <w:fldChar w:fldCharType="separate"/>
      </w:r>
      <w:r>
        <w:rPr>
          <w:rStyle w:val="Hyperlink"/>
          <w:rFonts w:ascii="Calibri" w:hAnsi="Calibri"/>
          <w:sz w:val="24"/>
          <w:szCs w:val="24"/>
          <w:lang w:eastAsia="en-US"/>
        </w:rPr>
        <w:t xml:space="preserve">art. 68 da Lei nº 14.133, de 2021.  </w:t>
      </w:r>
      <w:r>
        <w:rPr>
          <w:rStyle w:val="Hyperlink"/>
          <w:sz w:val="24"/>
          <w:szCs w:val="24"/>
          <w:rFonts w:ascii="Calibri" w:hAnsi="Calibri"/>
          <w:lang w:eastAsia="en-US"/>
        </w:rPr>
        <w:fldChar w:fldCharType="end"/>
      </w:r>
      <w:r>
        <w:rPr>
          <w:rFonts w:ascii="Calibri" w:hAnsi="Calibri"/>
          <w:sz w:val="24"/>
          <w:szCs w:val="24"/>
          <w:lang w:eastAsia="en-US"/>
        </w:rPr>
        <w:t xml:space="preserve"> </w:t>
      </w:r>
    </w:p>
    <w:p>
      <w:pPr>
        <w:pStyle w:val="Nivel2"/>
        <w:numPr>
          <w:ilvl w:val="1"/>
          <w:numId w:val="182"/>
        </w:numPr>
        <w:ind w:hanging="0" w:left="0" w:right="0"/>
        <w:rPr>
          <w:rFonts w:ascii="Calibri" w:hAnsi="Calibri"/>
          <w:sz w:val="24"/>
          <w:szCs w:val="24"/>
        </w:rPr>
      </w:pPr>
      <w:r>
        <w:rPr>
          <w:rFonts w:ascii="Calibri" w:hAnsi="Calibri"/>
          <w:sz w:val="24"/>
          <w:szCs w:val="24"/>
        </w:rPr>
        <w:t xml:space="preserve">A Administração deverá realizar consulta ao SICAF para: a) verificar a manutenção das condições de habilitação exigidas; b) </w:t>
      </w:r>
      <w:r>
        <w:rPr>
          <w:rFonts w:ascii="Calibri" w:hAnsi="Calibri"/>
          <w:sz w:val="24"/>
          <w:szCs w:val="24"/>
          <w:shd w:fill="FFFFFF" w:val="clear"/>
        </w:rPr>
        <w:t xml:space="preserve">identificar possível razão que impeça a contratação no âmbito do órgão ou entidade, tais como a proibição de contratar com a Administração ou com o Poder Público, </w:t>
      </w:r>
      <w:r>
        <w:rPr>
          <w:rFonts w:ascii="Calibri" w:hAnsi="Calibri"/>
          <w:sz w:val="24"/>
          <w:szCs w:val="24"/>
        </w:rPr>
        <w:t>bem como ocorrências impeditivas indiretas (INSTRUÇÃO NORMATIVA Nº 3, DE 26 DE ABRIL DE 2018).</w:t>
      </w:r>
    </w:p>
    <w:p>
      <w:pPr>
        <w:pStyle w:val="Nivel2"/>
        <w:numPr>
          <w:ilvl w:val="1"/>
          <w:numId w:val="183"/>
        </w:numPr>
        <w:ind w:hanging="0" w:left="0" w:right="0"/>
        <w:rPr>
          <w:rFonts w:ascii="Calibri" w:hAnsi="Calibri"/>
          <w:sz w:val="24"/>
          <w:szCs w:val="24"/>
        </w:rPr>
      </w:pPr>
      <w:r>
        <w:rPr>
          <w:rFonts w:ascii="Calibri" w:hAnsi="Calibri"/>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numPr>
          <w:ilvl w:val="1"/>
          <w:numId w:val="184"/>
        </w:numPr>
        <w:ind w:hanging="0" w:left="0" w:right="0"/>
        <w:rPr>
          <w:rFonts w:ascii="Calibri" w:hAnsi="Calibri"/>
          <w:sz w:val="24"/>
          <w:szCs w:val="24"/>
        </w:rPr>
      </w:pPr>
      <w:r>
        <w:rPr>
          <w:rFonts w:ascii="Calibri" w:hAnsi="Calibri"/>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numPr>
          <w:ilvl w:val="1"/>
          <w:numId w:val="185"/>
        </w:numPr>
        <w:ind w:hanging="0" w:left="0" w:right="0"/>
        <w:rPr>
          <w:rFonts w:ascii="Calibri" w:hAnsi="Calibri"/>
          <w:sz w:val="24"/>
          <w:szCs w:val="24"/>
        </w:rPr>
      </w:pPr>
      <w:r>
        <w:rPr>
          <w:rFonts w:ascii="Calibri" w:hAnsi="Calibri"/>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pPr>
        <w:pStyle w:val="Nivel2"/>
        <w:numPr>
          <w:ilvl w:val="1"/>
          <w:numId w:val="186"/>
        </w:numPr>
        <w:ind w:hanging="0" w:left="0" w:right="0"/>
        <w:rPr>
          <w:rFonts w:ascii="Calibri" w:hAnsi="Calibri"/>
          <w:sz w:val="24"/>
          <w:szCs w:val="24"/>
        </w:rPr>
      </w:pPr>
      <w:r>
        <w:rPr>
          <w:rFonts w:ascii="Calibri" w:hAnsi="Calibri"/>
          <w:sz w:val="24"/>
          <w:szCs w:val="24"/>
          <w:lang w:eastAsia="en-US"/>
        </w:rPr>
        <w:t xml:space="preserve">Havendo a efetiva execução do objeto, os pagamentos serão realizados normalmente, até que se decida pela rescisão do contrato, caso o contratado não regularize sua situação junto ao SICAF. </w:t>
      </w:r>
    </w:p>
    <w:p>
      <w:pPr>
        <w:pStyle w:val="Nvel1-SemNumPreto"/>
        <w:ind w:hanging="0" w:left="0"/>
        <w:rPr>
          <w:rFonts w:ascii="Calibri" w:hAnsi="Calibri"/>
          <w:sz w:val="24"/>
          <w:szCs w:val="24"/>
        </w:rPr>
      </w:pPr>
      <w:r>
        <w:rPr>
          <w:sz w:val="24"/>
          <w:szCs w:val="24"/>
        </w:rPr>
        <w:t>Prazo de pagamento</w:t>
      </w:r>
    </w:p>
    <w:p>
      <w:pPr>
        <w:pStyle w:val="Nivel2"/>
        <w:numPr>
          <w:ilvl w:val="1"/>
          <w:numId w:val="187"/>
        </w:numPr>
        <w:ind w:hanging="0" w:left="0" w:right="0"/>
        <w:rPr/>
      </w:pPr>
      <w:r>
        <w:rPr>
          <w:rFonts w:ascii="Calibri" w:hAnsi="Calibri"/>
          <w:sz w:val="24"/>
          <w:szCs w:val="24"/>
        </w:rPr>
        <w:t xml:space="preserve">O pagamento será efetuado no prazo de até 10 (dez) dias úteis contados da finalização da liquidação da despesa, conforme seção anterior, nos termos da </w:t>
      </w:r>
      <w:hyperlink r:id="rId2">
        <w:r>
          <w:rPr>
            <w:rStyle w:val="Hyperlink"/>
            <w:rFonts w:ascii="Calibri" w:hAnsi="Calibri"/>
            <w:sz w:val="24"/>
            <w:szCs w:val="24"/>
          </w:rPr>
          <w:t>Instrução Normativa SEGES/ME nº 77, de 2022</w:t>
        </w:r>
      </w:hyperlink>
      <w:r>
        <w:rPr>
          <w:rFonts w:ascii="Calibri" w:hAnsi="Calibri"/>
          <w:sz w:val="24"/>
          <w:szCs w:val="24"/>
        </w:rPr>
        <w:t>.</w:t>
      </w:r>
    </w:p>
    <w:p>
      <w:pPr>
        <w:pStyle w:val="Nvel1-SemNumPreto"/>
        <w:ind w:hanging="0" w:left="0"/>
        <w:rPr>
          <w:rFonts w:ascii="Calibri" w:hAnsi="Calibri"/>
          <w:sz w:val="24"/>
          <w:szCs w:val="24"/>
        </w:rPr>
      </w:pPr>
      <w:r>
        <w:rPr>
          <w:sz w:val="24"/>
          <w:szCs w:val="24"/>
        </w:rPr>
        <w:t>Forma de pagamento</w:t>
      </w:r>
    </w:p>
    <w:p>
      <w:pPr>
        <w:pStyle w:val="Nivel2"/>
        <w:numPr>
          <w:ilvl w:val="1"/>
          <w:numId w:val="188"/>
        </w:numPr>
        <w:ind w:hanging="0" w:left="0" w:right="0"/>
        <w:rPr>
          <w:rFonts w:ascii="Calibri" w:hAnsi="Calibri"/>
          <w:sz w:val="24"/>
          <w:szCs w:val="24"/>
        </w:rPr>
      </w:pPr>
      <w:r>
        <w:rPr>
          <w:rFonts w:ascii="Calibri" w:hAnsi="Calibri"/>
          <w:sz w:val="24"/>
          <w:szCs w:val="24"/>
          <w:lang w:eastAsia="en-US"/>
        </w:rPr>
        <w:t>O pagamento será realizado por meio de ordem bancária, para crédito em banco, agência e conta - corrente indicados pelo contratado.</w:t>
      </w:r>
    </w:p>
    <w:p>
      <w:pPr>
        <w:pStyle w:val="Nivel2"/>
        <w:numPr>
          <w:ilvl w:val="1"/>
          <w:numId w:val="189"/>
        </w:numPr>
        <w:ind w:hanging="0" w:left="0" w:right="0"/>
        <w:rPr>
          <w:rFonts w:ascii="Calibri" w:hAnsi="Calibri"/>
          <w:sz w:val="24"/>
          <w:szCs w:val="24"/>
        </w:rPr>
      </w:pPr>
      <w:r>
        <w:rPr>
          <w:rFonts w:ascii="Calibri" w:hAnsi="Calibri"/>
          <w:sz w:val="24"/>
          <w:szCs w:val="24"/>
          <w:lang w:eastAsia="en-US"/>
        </w:rPr>
        <w:t>Será considerada data do pagamento o dia em que constar como emitida a ordem bancária para pagamento.</w:t>
      </w:r>
    </w:p>
    <w:p>
      <w:pPr>
        <w:pStyle w:val="Nivel2"/>
        <w:numPr>
          <w:ilvl w:val="1"/>
          <w:numId w:val="190"/>
        </w:numPr>
        <w:ind w:hanging="0" w:left="0" w:right="0"/>
        <w:rPr>
          <w:rFonts w:ascii="Calibri" w:hAnsi="Calibri"/>
          <w:sz w:val="24"/>
          <w:szCs w:val="24"/>
        </w:rPr>
      </w:pPr>
      <w:r>
        <w:rPr>
          <w:rFonts w:ascii="Calibri" w:hAnsi="Calibri"/>
          <w:sz w:val="24"/>
          <w:szCs w:val="24"/>
          <w:lang w:eastAsia="en-US"/>
        </w:rPr>
        <w:t>Quando do pagamento, será efetuada a retenção tributária prevista na legislação aplicável.</w:t>
      </w:r>
    </w:p>
    <w:p>
      <w:pPr>
        <w:pStyle w:val="Nivel3"/>
        <w:numPr>
          <w:ilvl w:val="2"/>
          <w:numId w:val="191"/>
        </w:numPr>
        <w:ind w:hanging="0" w:left="284"/>
        <w:rPr>
          <w:rFonts w:ascii="Calibri" w:hAnsi="Calibri"/>
          <w:sz w:val="24"/>
          <w:szCs w:val="24"/>
        </w:rPr>
      </w:pPr>
      <w:r>
        <w:rPr>
          <w:rFonts w:ascii="Calibri" w:hAnsi="Calibri"/>
          <w:sz w:val="24"/>
          <w:szCs w:val="24"/>
          <w:lang w:eastAsia="en-US"/>
        </w:rPr>
        <w:t>Independentemente do percentual de tributo inserido na planilha, quando houver, serão retidos na fonte, quando da realização do pagamento, os percentuais estabelecidos na legislação vigente.</w:t>
      </w:r>
    </w:p>
    <w:p>
      <w:pPr>
        <w:pStyle w:val="Nivel2"/>
        <w:numPr>
          <w:ilvl w:val="1"/>
          <w:numId w:val="192"/>
        </w:numPr>
        <w:ind w:hanging="0" w:left="0" w:right="0"/>
        <w:rPr/>
      </w:pPr>
      <w:r>
        <w:rPr>
          <w:rFonts w:ascii="Calibri" w:hAnsi="Calibri"/>
          <w:sz w:val="24"/>
          <w:szCs w:val="24"/>
          <w:lang w:eastAsia="en-US"/>
        </w:rPr>
        <w:t xml:space="preserve">O contratado regularmente optante pelo Simples Nacional, nos termos da </w:t>
      </w:r>
      <w:hyperlink r:id="rId3">
        <w:r>
          <w:rPr>
            <w:rStyle w:val="Hyperlink"/>
            <w:rFonts w:ascii="Calibri" w:hAnsi="Calibri"/>
            <w:sz w:val="24"/>
            <w:szCs w:val="24"/>
            <w:lang w:eastAsia="en-US"/>
          </w:rPr>
          <w:t>Lei Complementar nº 123, de 2006</w:t>
        </w:r>
      </w:hyperlink>
      <w:r>
        <w:rPr>
          <w:rFonts w:ascii="Calibri" w:hAnsi="Calibri"/>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ivel2"/>
        <w:numPr>
          <w:ilvl w:val="0"/>
          <w:numId w:val="0"/>
        </w:numPr>
        <w:ind w:hanging="0" w:left="0" w:right="0"/>
        <w:rPr>
          <w:rFonts w:ascii="Calibri" w:hAnsi="Calibri"/>
          <w:sz w:val="24"/>
          <w:szCs w:val="24"/>
          <w:lang w:eastAsia="en-US"/>
        </w:rPr>
      </w:pPr>
      <w:r>
        <w:rPr>
          <w:rFonts w:ascii="Calibri" w:hAnsi="Calibri"/>
          <w:sz w:val="24"/>
          <w:szCs w:val="24"/>
          <w:lang w:eastAsia="en-US"/>
        </w:rPr>
      </w:r>
    </w:p>
    <w:p>
      <w:pPr>
        <w:pStyle w:val="Nivel01"/>
        <w:numPr>
          <w:ilvl w:val="0"/>
          <w:numId w:val="4"/>
        </w:numPr>
        <w:bidi w:val="0"/>
        <w:rPr>
          <w:rFonts w:ascii="Calibri" w:hAnsi="Calibri"/>
          <w:sz w:val="24"/>
          <w:szCs w:val="24"/>
        </w:rPr>
      </w:pPr>
      <w:r>
        <w:rPr>
          <w:sz w:val="24"/>
          <w:szCs w:val="24"/>
          <w:lang w:eastAsia="pt-BR"/>
        </w:rPr>
        <w:t>FORMA E CRITÉRIOS DE SELEÇÃO DO FORNECEDOR E FORMA DE FORNECIMENTO</w:t>
      </w:r>
    </w:p>
    <w:p>
      <w:pPr>
        <w:pStyle w:val="Nivel2"/>
        <w:numPr>
          <w:ilvl w:val="0"/>
          <w:numId w:val="0"/>
        </w:numPr>
        <w:ind w:hanging="0" w:left="0" w:right="0"/>
        <w:rPr>
          <w:rFonts w:ascii="Calibri" w:hAnsi="Calibri"/>
          <w:color w:val="FF0000"/>
          <w:sz w:val="24"/>
          <w:szCs w:val="24"/>
        </w:rPr>
      </w:pPr>
      <w:r>
        <w:rPr>
          <w:rFonts w:ascii="Calibri" w:hAnsi="Calibri"/>
          <w:color w:val="FF0000"/>
          <w:sz w:val="24"/>
          <w:szCs w:val="24"/>
        </w:rPr>
      </w:r>
    </w:p>
    <w:p>
      <w:pPr>
        <w:pStyle w:val="Nivel2"/>
        <w:numPr>
          <w:ilvl w:val="1"/>
          <w:numId w:val="193"/>
        </w:numPr>
        <w:ind w:hanging="0" w:left="0" w:right="0"/>
        <w:rPr>
          <w:rFonts w:ascii="Calibri" w:hAnsi="Calibri"/>
          <w:sz w:val="24"/>
          <w:szCs w:val="24"/>
        </w:rPr>
      </w:pPr>
      <w:r>
        <w:rPr>
          <w:rFonts w:eastAsia="Ecofont_Spranq_eco_Sans" w:cs="Ecofont_Spranq_eco_Sans" w:ascii="Calibri" w:hAnsi="Calibri"/>
          <w:i w:val="false"/>
          <w:iCs w:val="false"/>
          <w:color w:val="111111"/>
          <w:sz w:val="24"/>
          <w:szCs w:val="24"/>
        </w:rPr>
        <w:t>O fornecedor será selecionado por meio da realização de procedimento de dispensa de licitação, com fundamento na hipótese do art. 75, inciso II, da Lei nº 14.133/2021, que culminará com a seleção da proposta de menor valor por grupo.</w:t>
      </w:r>
    </w:p>
    <w:p>
      <w:pPr>
        <w:pStyle w:val="Nvel1-SemNumPreto"/>
        <w:ind w:hanging="0" w:left="0"/>
        <w:rPr>
          <w:rFonts w:ascii="Calibri" w:hAnsi="Calibri"/>
          <w:sz w:val="24"/>
          <w:szCs w:val="24"/>
        </w:rPr>
      </w:pPr>
      <w:r>
        <w:rPr>
          <w:sz w:val="24"/>
          <w:szCs w:val="24"/>
        </w:rPr>
        <w:t>Forma de fornecimento</w:t>
      </w:r>
    </w:p>
    <w:p>
      <w:pPr>
        <w:pStyle w:val="Nivel2"/>
        <w:numPr>
          <w:ilvl w:val="1"/>
          <w:numId w:val="194"/>
        </w:numPr>
        <w:ind w:hanging="0" w:left="0" w:right="0"/>
        <w:rPr/>
      </w:pPr>
      <w:r>
        <w:rPr>
          <w:rStyle w:val="normaltextrun"/>
          <w:rFonts w:ascii="Calibri" w:hAnsi="Calibri"/>
          <w:sz w:val="24"/>
          <w:szCs w:val="24"/>
          <w:shd w:fill="FFFFFF" w:val="clear"/>
        </w:rPr>
        <w:t xml:space="preserve">O </w:t>
      </w:r>
      <w:r>
        <w:rPr>
          <w:rStyle w:val="findhit"/>
          <w:rFonts w:ascii="Calibri" w:hAnsi="Calibri"/>
          <w:sz w:val="24"/>
          <w:szCs w:val="24"/>
          <w:shd w:fill="FFFFFF" w:val="clear"/>
        </w:rPr>
        <w:t xml:space="preserve">fornecimento e a execução do serviço de instalação será parcial, conforme demanda da Instituição. </w:t>
      </w:r>
    </w:p>
    <w:p>
      <w:pPr>
        <w:pStyle w:val="Nvel1-SemNumPreto"/>
        <w:ind w:hanging="0" w:left="0"/>
        <w:rPr>
          <w:rFonts w:ascii="Calibri" w:hAnsi="Calibri"/>
          <w:sz w:val="24"/>
          <w:szCs w:val="24"/>
        </w:rPr>
      </w:pPr>
      <w:r>
        <w:rPr>
          <w:sz w:val="24"/>
          <w:szCs w:val="24"/>
        </w:rPr>
        <w:t>Exigências de habilitação</w:t>
      </w:r>
    </w:p>
    <w:p>
      <w:pPr>
        <w:pStyle w:val="Nivel2"/>
        <w:numPr>
          <w:ilvl w:val="1"/>
          <w:numId w:val="195"/>
        </w:numPr>
        <w:ind w:hanging="432" w:left="0" w:right="0"/>
        <w:rPr>
          <w:rFonts w:ascii="Calibri" w:hAnsi="Calibri"/>
          <w:sz w:val="24"/>
          <w:szCs w:val="24"/>
        </w:rPr>
      </w:pPr>
      <w:r>
        <w:rPr>
          <w:rFonts w:eastAsia="Ecofont_Spranq_eco_Sans" w:cs="Ecofont_Spranq_eco_Sans" w:ascii="Calibri" w:hAnsi="Calibri"/>
          <w:i/>
          <w:iCs/>
          <w:color w:val="auto"/>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pPr>
        <w:pStyle w:val="Normal"/>
        <w:spacing w:lineRule="auto" w:line="276" w:before="120" w:after="120"/>
        <w:ind w:left="810"/>
        <w:jc w:val="both"/>
        <w:rPr>
          <w:rFonts w:ascii="Calibri" w:hAnsi="Calibri"/>
          <w:sz w:val="24"/>
          <w:szCs w:val="24"/>
        </w:rPr>
      </w:pPr>
      <w:r>
        <w:rPr>
          <w:rFonts w:eastAsia="Arial" w:cs="Arial" w:ascii="Calibri" w:hAnsi="Calibri"/>
          <w:i/>
          <w:iCs/>
          <w:sz w:val="24"/>
          <w:szCs w:val="24"/>
        </w:rPr>
        <w:t xml:space="preserve">a) SICAF;  </w:t>
      </w:r>
    </w:p>
    <w:p>
      <w:pPr>
        <w:pStyle w:val="Normal"/>
        <w:spacing w:lineRule="auto" w:line="276" w:before="120" w:after="120"/>
        <w:ind w:left="810"/>
        <w:jc w:val="both"/>
        <w:rPr/>
      </w:pPr>
      <w:r>
        <w:rPr>
          <w:rFonts w:eastAsia="Arial" w:cs="Arial" w:ascii="Calibri" w:hAnsi="Calibri"/>
          <w:i/>
          <w:iCs/>
          <w:sz w:val="24"/>
          <w:szCs w:val="24"/>
        </w:rPr>
        <w:t>b) Cadastro Nacional de Empresas Inidôneas e Suspensas - CEIS, mantido pela Controladoria-Geral da União (</w:t>
      </w:r>
      <w:hyperlink r:id="rId4">
        <w:r>
          <w:rPr>
            <w:rStyle w:val="Hyperlink"/>
            <w:rFonts w:eastAsia="Arial" w:cs="Arial" w:ascii="Calibri" w:hAnsi="Calibri"/>
            <w:i/>
            <w:iCs/>
            <w:color w:val="auto"/>
            <w:sz w:val="24"/>
            <w:szCs w:val="24"/>
          </w:rPr>
          <w:t>www.portaldatransparencia.gov.br/ceis</w:t>
        </w:r>
      </w:hyperlink>
      <w:r>
        <w:rPr>
          <w:rFonts w:eastAsia="Arial" w:cs="Arial" w:ascii="Calibri" w:hAnsi="Calibri"/>
          <w:i/>
          <w:iCs/>
          <w:sz w:val="24"/>
          <w:szCs w:val="24"/>
        </w:rPr>
        <w:t xml:space="preserve">);  </w:t>
      </w:r>
    </w:p>
    <w:p>
      <w:pPr>
        <w:pStyle w:val="Normal"/>
        <w:spacing w:lineRule="auto" w:line="276" w:before="120" w:after="120"/>
        <w:ind w:left="810"/>
        <w:jc w:val="both"/>
        <w:rPr/>
      </w:pPr>
      <w:r>
        <w:rPr>
          <w:rFonts w:eastAsia="Arial" w:cs="Arial" w:ascii="Calibri" w:hAnsi="Calibri"/>
          <w:i/>
          <w:iCs/>
          <w:sz w:val="24"/>
          <w:szCs w:val="24"/>
        </w:rPr>
        <w:t>c) Cadastro Nacional de Empresas Punidas – CNEP, mantido pela Controladoria-Geral da União (</w:t>
      </w:r>
      <w:hyperlink r:id="rId5">
        <w:r>
          <w:rPr>
            <w:rStyle w:val="Hyperlink"/>
            <w:rFonts w:eastAsia="Arial" w:cs="Arial" w:ascii="Calibri" w:hAnsi="Calibri"/>
            <w:i/>
            <w:iCs/>
            <w:color w:val="auto"/>
            <w:sz w:val="24"/>
            <w:szCs w:val="24"/>
          </w:rPr>
          <w:t>https://www.portaltransparencia.gov.br/sancoes/cnep</w:t>
        </w:r>
      </w:hyperlink>
      <w:r>
        <w:rPr>
          <w:rFonts w:eastAsia="Arial" w:cs="Arial" w:ascii="Calibri" w:hAnsi="Calibri"/>
          <w:i/>
          <w:iCs/>
          <w:sz w:val="24"/>
          <w:szCs w:val="24"/>
        </w:rPr>
        <w:t>)</w:t>
      </w:r>
    </w:p>
    <w:p>
      <w:pPr>
        <w:pStyle w:val="Nivel2"/>
        <w:numPr>
          <w:ilvl w:val="1"/>
          <w:numId w:val="196"/>
        </w:numPr>
        <w:ind w:hanging="432" w:left="0" w:right="0"/>
        <w:rPr>
          <w:rFonts w:ascii="Calibri" w:hAnsi="Calibri"/>
          <w:sz w:val="24"/>
          <w:szCs w:val="24"/>
        </w:rPr>
      </w:pPr>
      <w:r>
        <w:rPr>
          <w:rFonts w:ascii="Calibri" w:hAnsi="Calibri"/>
          <w:i/>
          <w:iCs/>
          <w:color w:val="auto"/>
          <w:sz w:val="24"/>
          <w:szCs w:val="24"/>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ivel2"/>
        <w:numPr>
          <w:ilvl w:val="1"/>
          <w:numId w:val="197"/>
        </w:numPr>
        <w:ind w:hanging="432" w:left="0" w:right="0"/>
        <w:rPr>
          <w:rFonts w:ascii="Calibri" w:hAnsi="Calibri"/>
          <w:sz w:val="24"/>
          <w:szCs w:val="24"/>
        </w:rPr>
      </w:pPr>
      <w:r>
        <w:rPr>
          <w:rFonts w:ascii="Calibri" w:hAnsi="Calibri"/>
          <w:i/>
          <w:iCs/>
          <w:color w:val="auto"/>
          <w:sz w:val="24"/>
          <w:szCs w:val="24"/>
        </w:rPr>
        <w:t>Caso conste na Consulta de Situação do interessado a existência de Ocorrências Impeditivas Indiretas, o gestor diligenciará para verificar se houve fraude por parte das empresas apontadas no Relatório de Ocorrências Impeditivas Indiretas.</w:t>
      </w:r>
    </w:p>
    <w:p>
      <w:pPr>
        <w:pStyle w:val="Nivel2"/>
        <w:numPr>
          <w:ilvl w:val="1"/>
          <w:numId w:val="198"/>
        </w:numPr>
        <w:ind w:hanging="432" w:left="0" w:right="0"/>
        <w:rPr>
          <w:rFonts w:ascii="Calibri" w:hAnsi="Calibri"/>
          <w:sz w:val="24"/>
          <w:szCs w:val="24"/>
        </w:rPr>
      </w:pPr>
      <w:r>
        <w:rPr>
          <w:rFonts w:ascii="Calibri" w:hAnsi="Calibri"/>
          <w:i/>
          <w:iCs/>
          <w:color w:val="auto"/>
          <w:sz w:val="24"/>
          <w:szCs w:val="24"/>
        </w:rPr>
        <w:t>A tentativa de burla será verificada por meio dos vínculos societários, linhas de fornecimento similares, dentre outros.</w:t>
      </w:r>
    </w:p>
    <w:p>
      <w:pPr>
        <w:pStyle w:val="Nivel2"/>
        <w:numPr>
          <w:ilvl w:val="1"/>
          <w:numId w:val="199"/>
        </w:numPr>
        <w:ind w:hanging="432" w:left="0" w:right="0"/>
        <w:rPr>
          <w:rFonts w:ascii="Calibri" w:hAnsi="Calibri"/>
          <w:sz w:val="24"/>
          <w:szCs w:val="24"/>
        </w:rPr>
      </w:pPr>
      <w:r>
        <w:rPr>
          <w:rFonts w:ascii="Calibri" w:hAnsi="Calibri"/>
          <w:i/>
          <w:iCs/>
          <w:color w:val="auto"/>
          <w:sz w:val="24"/>
          <w:szCs w:val="24"/>
        </w:rPr>
        <w:t>O interessado será convocado para manifestação previamente a uma eventual negativa de contratação.</w:t>
      </w:r>
    </w:p>
    <w:p>
      <w:pPr>
        <w:pStyle w:val="Nivel2"/>
        <w:numPr>
          <w:ilvl w:val="1"/>
          <w:numId w:val="200"/>
        </w:numPr>
        <w:ind w:hanging="432" w:left="0" w:right="0"/>
        <w:rPr>
          <w:rFonts w:ascii="Calibri" w:hAnsi="Calibri"/>
          <w:sz w:val="24"/>
          <w:szCs w:val="24"/>
        </w:rPr>
      </w:pPr>
      <w:r>
        <w:rPr>
          <w:rFonts w:ascii="Calibri" w:hAnsi="Calibri"/>
          <w:i/>
          <w:iCs/>
          <w:color w:val="auto"/>
          <w:sz w:val="24"/>
          <w:szCs w:val="24"/>
        </w:rPr>
        <w:t>Caso atendidas as condições para contratação, a habilitação do interessado será verificada por meio do SICAF, nos documentos por ele abrangidos.</w:t>
      </w:r>
    </w:p>
    <w:p>
      <w:pPr>
        <w:pStyle w:val="Nivel2"/>
        <w:numPr>
          <w:ilvl w:val="1"/>
          <w:numId w:val="201"/>
        </w:numPr>
        <w:ind w:hanging="432" w:left="0" w:right="0"/>
        <w:rPr>
          <w:rFonts w:ascii="Calibri" w:hAnsi="Calibri"/>
          <w:sz w:val="24"/>
          <w:szCs w:val="24"/>
        </w:rPr>
      </w:pPr>
      <w:r>
        <w:rPr>
          <w:rFonts w:ascii="Calibri" w:hAnsi="Calibri"/>
          <w:i/>
          <w:iCs/>
          <w:color w:val="auto"/>
          <w:sz w:val="24"/>
          <w:szCs w:val="24"/>
        </w:rPr>
        <w:t>É dever do interessado manter atualizada a respectiva documentação constante do SICAF, ou encaminhar, quando solicitado pela Administração, a respectiva documentação atualizada.</w:t>
      </w:r>
    </w:p>
    <w:p>
      <w:pPr>
        <w:pStyle w:val="Nivel2"/>
        <w:numPr>
          <w:ilvl w:val="1"/>
          <w:numId w:val="202"/>
        </w:numPr>
        <w:ind w:hanging="432" w:left="0" w:right="0"/>
        <w:rPr>
          <w:rFonts w:ascii="Calibri" w:hAnsi="Calibri"/>
          <w:sz w:val="24"/>
          <w:szCs w:val="24"/>
        </w:rPr>
      </w:pPr>
      <w:r>
        <w:rPr>
          <w:rFonts w:ascii="Calibri" w:hAnsi="Calibri"/>
          <w:i/>
          <w:iCs/>
          <w:color w:val="auto"/>
          <w:sz w:val="24"/>
          <w:szCs w:val="24"/>
        </w:rPr>
        <w:t>Não serão aceitos documentos de habilitação com indicação de CNPJ/CPF diferentes, salvo aqueles legalmente permitidos.</w:t>
      </w:r>
    </w:p>
    <w:p>
      <w:pPr>
        <w:pStyle w:val="Nivel2"/>
        <w:numPr>
          <w:ilvl w:val="1"/>
          <w:numId w:val="203"/>
        </w:numPr>
        <w:ind w:hanging="432" w:left="0" w:right="0"/>
        <w:rPr>
          <w:rFonts w:ascii="Calibri" w:hAnsi="Calibri"/>
          <w:sz w:val="24"/>
          <w:szCs w:val="24"/>
        </w:rPr>
      </w:pPr>
      <w:r>
        <w:rPr>
          <w:rFonts w:ascii="Calibri" w:hAnsi="Calibri"/>
          <w:i/>
          <w:iCs/>
          <w:color w:val="auto"/>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Nivel2"/>
        <w:numPr>
          <w:ilvl w:val="1"/>
          <w:numId w:val="204"/>
        </w:numPr>
        <w:ind w:hanging="432" w:left="0" w:right="0"/>
        <w:rPr>
          <w:rFonts w:ascii="Calibri" w:hAnsi="Calibri"/>
          <w:sz w:val="24"/>
          <w:szCs w:val="24"/>
        </w:rPr>
      </w:pPr>
      <w:r>
        <w:rPr>
          <w:rFonts w:ascii="Calibri" w:hAnsi="Calibri"/>
          <w:i/>
          <w:iCs/>
          <w:color w:val="auto"/>
          <w:sz w:val="24"/>
          <w:szCs w:val="24"/>
        </w:rPr>
        <w:t>Serão aceitos registros de CNPJ de fornecedor matriz e filial com diferenças de números de documentos pertinentes ao CND e ao CRF/FGTS, quando for comprovada a centralização do recolhimento dessas contribuições.</w:t>
      </w:r>
    </w:p>
    <w:p>
      <w:pPr>
        <w:pStyle w:val="Nvel1-SemNumPreto"/>
        <w:ind w:hanging="0" w:left="0"/>
        <w:rPr>
          <w:rFonts w:ascii="Calibri" w:hAnsi="Calibri"/>
          <w:sz w:val="24"/>
          <w:szCs w:val="24"/>
        </w:rPr>
      </w:pPr>
      <w:r>
        <w:rPr>
          <w:sz w:val="24"/>
          <w:szCs w:val="24"/>
        </w:rPr>
        <w:t>Habilitação jurídica</w:t>
      </w:r>
    </w:p>
    <w:p>
      <w:pPr>
        <w:pStyle w:val="Nivel2"/>
        <w:numPr>
          <w:ilvl w:val="1"/>
          <w:numId w:val="205"/>
        </w:numPr>
        <w:ind w:hanging="0" w:left="0" w:right="0"/>
        <w:rPr>
          <w:rFonts w:ascii="Calibri" w:hAnsi="Calibri"/>
          <w:sz w:val="24"/>
          <w:szCs w:val="24"/>
        </w:rPr>
      </w:pPr>
      <w:bookmarkStart w:id="0" w:name="_Ref115800561"/>
      <w:r>
        <w:rPr>
          <w:rFonts w:ascii="Calibri" w:hAnsi="Calibri"/>
          <w:b/>
          <w:bCs/>
          <w:sz w:val="24"/>
          <w:szCs w:val="24"/>
        </w:rPr>
        <w:t>Pessoa física:</w:t>
      </w:r>
      <w:r>
        <w:rPr>
          <w:rFonts w:ascii="Calibri" w:hAnsi="Calibri"/>
          <w:sz w:val="24"/>
          <w:szCs w:val="24"/>
        </w:rPr>
        <w:t xml:space="preserve"> cédula de identidade (RG) ou documento equivalente que, por força de lei, tenha validade para fins de identificação em todo o território nacional;</w:t>
      </w:r>
      <w:bookmarkEnd w:id="0"/>
    </w:p>
    <w:p>
      <w:pPr>
        <w:pStyle w:val="Nivel2"/>
        <w:numPr>
          <w:ilvl w:val="1"/>
          <w:numId w:val="206"/>
        </w:numPr>
        <w:ind w:hanging="0" w:left="0" w:right="0"/>
        <w:rPr>
          <w:rFonts w:ascii="Calibri" w:hAnsi="Calibri"/>
          <w:sz w:val="24"/>
          <w:szCs w:val="24"/>
        </w:rPr>
      </w:pPr>
      <w:r>
        <w:rPr>
          <w:rFonts w:ascii="Calibri" w:hAnsi="Calibri"/>
          <w:b/>
          <w:bCs/>
          <w:sz w:val="24"/>
          <w:szCs w:val="24"/>
        </w:rPr>
        <w:t>Empresário individual:</w:t>
      </w:r>
      <w:r>
        <w:rPr>
          <w:rFonts w:ascii="Calibri" w:hAnsi="Calibri"/>
          <w:sz w:val="24"/>
          <w:szCs w:val="24"/>
        </w:rPr>
        <w:t xml:space="preserve"> inscrição no Registro Público de Empresas Mercantis, a cargo da Junta Comercial da respectiva sede; </w:t>
      </w:r>
    </w:p>
    <w:p>
      <w:pPr>
        <w:pStyle w:val="Nivel2"/>
        <w:numPr>
          <w:ilvl w:val="1"/>
          <w:numId w:val="207"/>
        </w:numPr>
        <w:ind w:hanging="0" w:left="0" w:right="0"/>
        <w:rPr/>
      </w:pPr>
      <w:r>
        <w:rPr>
          <w:rFonts w:ascii="Calibri" w:hAnsi="Calibri"/>
          <w:b/>
          <w:bCs/>
          <w:sz w:val="24"/>
          <w:szCs w:val="24"/>
        </w:rPr>
        <w:t>Microempreendedor Individual - MEI:</w:t>
      </w:r>
      <w:r>
        <w:rPr>
          <w:rFonts w:ascii="Calibri" w:hAnsi="Calibri"/>
          <w:sz w:val="24"/>
          <w:szCs w:val="24"/>
        </w:rPr>
        <w:t xml:space="preserve"> Certificado da Condição de Microempreendedor Individual - CCMEI, cuja aceitação ficará condicionada à verificação da autenticidade no sítio </w:t>
      </w:r>
      <w:hyperlink r:id="rId6">
        <w:r>
          <w:rPr>
            <w:rStyle w:val="Hyperlink"/>
            <w:rFonts w:ascii="Calibri" w:hAnsi="Calibri"/>
            <w:sz w:val="24"/>
            <w:szCs w:val="24"/>
          </w:rPr>
          <w:t>https://www.gov.br/empresas-e-negocios/pt-br/empreendedor</w:t>
        </w:r>
      </w:hyperlink>
      <w:r>
        <w:rPr>
          <w:rFonts w:ascii="Calibri" w:hAnsi="Calibri"/>
          <w:sz w:val="24"/>
          <w:szCs w:val="24"/>
        </w:rPr>
        <w:t xml:space="preserve">; </w:t>
      </w:r>
    </w:p>
    <w:p>
      <w:pPr>
        <w:pStyle w:val="Nivel2"/>
        <w:numPr>
          <w:ilvl w:val="1"/>
          <w:numId w:val="208"/>
        </w:numPr>
        <w:ind w:hanging="0" w:left="0" w:right="0"/>
        <w:rPr>
          <w:rFonts w:ascii="Calibri" w:hAnsi="Calibri"/>
          <w:sz w:val="24"/>
          <w:szCs w:val="24"/>
        </w:rPr>
      </w:pPr>
      <w:r>
        <w:rPr>
          <w:rFonts w:ascii="Calibri" w:hAnsi="Calibri"/>
          <w:b/>
          <w:bCs/>
          <w:sz w:val="24"/>
          <w:szCs w:val="24"/>
        </w:rPr>
        <w:t>Sociedade empresária, sociedade limitada unipessoal – SLU ou sociedade identificada como empresa individual de responsabilidade limitada - EIRELI</w:t>
      </w:r>
      <w:r>
        <w:rPr>
          <w:rFonts w:ascii="Calibri" w:hAnsi="Calibri"/>
          <w:sz w:val="24"/>
          <w:szCs w:val="24"/>
        </w:rPr>
        <w:t>: inscrição do ato constitutivo, estatuto ou contrato social no Registro Público de Empresas Mercantis, a cargo da Junta Comercial da respectiva sede, acompanhada de documento comprobatório de seus administradores;</w:t>
      </w:r>
    </w:p>
    <w:p>
      <w:pPr>
        <w:pStyle w:val="Nivel2"/>
        <w:numPr>
          <w:ilvl w:val="1"/>
          <w:numId w:val="209"/>
        </w:numPr>
        <w:ind w:hanging="0" w:left="0" w:right="0"/>
        <w:rPr>
          <w:rFonts w:ascii="Calibri" w:hAnsi="Calibri"/>
          <w:sz w:val="24"/>
          <w:szCs w:val="24"/>
        </w:rPr>
      </w:pPr>
      <w:r>
        <w:rPr>
          <w:rFonts w:ascii="Calibri" w:hAnsi="Calibri"/>
          <w:b/>
          <w:bCs/>
          <w:sz w:val="24"/>
          <w:szCs w:val="24"/>
        </w:rPr>
        <w:t xml:space="preserve">Sociedade simples: </w:t>
      </w:r>
      <w:r>
        <w:rPr>
          <w:rFonts w:ascii="Calibri" w:hAnsi="Calibri"/>
          <w:sz w:val="24"/>
          <w:szCs w:val="24"/>
        </w:rPr>
        <w:t>inscrição do ato constitutivo no Registro Civil de Pessoas Jurídicas do local de sua sede, acompanhada de documento comprobatório de seus administradores;</w:t>
      </w:r>
    </w:p>
    <w:p>
      <w:pPr>
        <w:pStyle w:val="Nivel2"/>
        <w:numPr>
          <w:ilvl w:val="1"/>
          <w:numId w:val="210"/>
        </w:numPr>
        <w:ind w:hanging="0" w:left="0" w:right="0"/>
        <w:rPr>
          <w:rFonts w:ascii="Calibri" w:hAnsi="Calibri"/>
          <w:sz w:val="24"/>
          <w:szCs w:val="24"/>
        </w:rPr>
      </w:pPr>
      <w:r>
        <w:rPr>
          <w:rFonts w:ascii="Calibri" w:hAnsi="Calibri"/>
          <w:b/>
          <w:bCs/>
          <w:sz w:val="24"/>
          <w:szCs w:val="24"/>
        </w:rPr>
        <w:t>Filial, sucursal ou agência de sociedade simples ou empresária:</w:t>
      </w:r>
      <w:r>
        <w:rPr>
          <w:rFonts w:ascii="Calibri" w:hAnsi="Calibri"/>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Pr>
          <w:rFonts w:ascii="Calibri" w:hAnsi="Calibri"/>
          <w:sz w:val="24"/>
          <w:szCs w:val="24"/>
        </w:rPr>
        <w:t>Mercantis onde</w:t>
      </w:r>
      <w:bookmarkEnd w:id="1"/>
      <w:r>
        <w:rPr>
          <w:rFonts w:ascii="Calibri" w:hAnsi="Calibri"/>
          <w:sz w:val="24"/>
          <w:szCs w:val="24"/>
        </w:rPr>
        <w:t xml:space="preserve"> opera, com averbação no Registro onde tem sede a matriz</w:t>
      </w:r>
    </w:p>
    <w:p>
      <w:pPr>
        <w:pStyle w:val="Nvel1-SemNumPreto"/>
        <w:ind w:hanging="0" w:left="0"/>
        <w:rPr>
          <w:rFonts w:ascii="Calibri" w:hAnsi="Calibri"/>
          <w:sz w:val="24"/>
          <w:szCs w:val="24"/>
        </w:rPr>
      </w:pPr>
      <w:r>
        <w:rPr>
          <w:sz w:val="24"/>
          <w:szCs w:val="24"/>
        </w:rPr>
        <w:t>Habilitação fiscal, social e trabalhista</w:t>
      </w:r>
    </w:p>
    <w:p>
      <w:pPr>
        <w:pStyle w:val="Nivel2"/>
        <w:numPr>
          <w:ilvl w:val="1"/>
          <w:numId w:val="211"/>
        </w:numPr>
        <w:ind w:hanging="0" w:left="0" w:right="0"/>
        <w:rPr>
          <w:rFonts w:ascii="Calibri" w:hAnsi="Calibri"/>
          <w:sz w:val="24"/>
          <w:szCs w:val="24"/>
        </w:rPr>
      </w:pPr>
      <w:r>
        <w:rPr>
          <w:rFonts w:ascii="Calibri" w:hAnsi="Calibri"/>
          <w:sz w:val="24"/>
          <w:szCs w:val="24"/>
        </w:rPr>
        <w:t>Prova de inscrição no Cadastro Nacional de Pessoas Jurídicas ou no Cadastro de Pessoas Físicas, conforme o caso;</w:t>
      </w:r>
    </w:p>
    <w:p>
      <w:pPr>
        <w:pStyle w:val="Nivel2"/>
        <w:numPr>
          <w:ilvl w:val="1"/>
          <w:numId w:val="212"/>
        </w:numPr>
        <w:ind w:hanging="0" w:left="0" w:right="0"/>
        <w:rPr>
          <w:rFonts w:ascii="Calibri" w:hAnsi="Calibri"/>
          <w:sz w:val="24"/>
          <w:szCs w:val="24"/>
        </w:rPr>
      </w:pPr>
      <w:r>
        <w:rPr>
          <w:rFonts w:ascii="Calibri" w:hAnsi="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1"/>
          <w:numId w:val="213"/>
        </w:numPr>
        <w:ind w:hanging="0" w:left="0" w:right="0"/>
        <w:rPr>
          <w:rFonts w:ascii="Calibri" w:hAnsi="Calibri"/>
          <w:sz w:val="24"/>
          <w:szCs w:val="24"/>
        </w:rPr>
      </w:pPr>
      <w:r>
        <w:rPr>
          <w:rFonts w:ascii="Calibri" w:hAnsi="Calibri"/>
          <w:sz w:val="24"/>
          <w:szCs w:val="24"/>
        </w:rPr>
        <w:t>Prova de regularidade com o Fundo de Garantia do Tempo de Serviço (FGTS);</w:t>
      </w:r>
    </w:p>
    <w:p>
      <w:pPr>
        <w:pStyle w:val="Nivel2"/>
        <w:numPr>
          <w:ilvl w:val="1"/>
          <w:numId w:val="214"/>
        </w:numPr>
        <w:ind w:hanging="0" w:left="0" w:right="0"/>
        <w:rPr>
          <w:rFonts w:ascii="Calibri" w:hAnsi="Calibri"/>
          <w:sz w:val="24"/>
          <w:szCs w:val="24"/>
        </w:rPr>
      </w:pPr>
      <w:r>
        <w:rPr>
          <w:rFonts w:ascii="Calibri" w:hAnsi="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1"/>
          <w:numId w:val="215"/>
        </w:numPr>
        <w:ind w:hanging="0" w:left="0" w:right="0"/>
        <w:rPr>
          <w:rFonts w:ascii="Calibri" w:hAnsi="Calibri"/>
          <w:sz w:val="24"/>
          <w:szCs w:val="24"/>
        </w:rPr>
      </w:pPr>
      <w:r>
        <w:rPr>
          <w:rFonts w:ascii="Calibri" w:hAnsi="Calibri"/>
          <w:sz w:val="24"/>
          <w:szCs w:val="24"/>
        </w:rPr>
        <w:t xml:space="preserve">Prova de inscrição no cadastro de contribuintes </w:t>
      </w:r>
      <w:r>
        <w:rPr>
          <w:rFonts w:ascii="Calibri" w:hAnsi="Calibri"/>
          <w:i/>
          <w:iCs/>
          <w:color w:val="FF0000"/>
          <w:sz w:val="24"/>
          <w:szCs w:val="24"/>
        </w:rPr>
        <w:t>[</w:t>
      </w:r>
      <w:r>
        <w:rPr>
          <w:rFonts w:ascii="Calibri" w:hAnsi="Calibri"/>
          <w:i/>
          <w:iCs/>
          <w:color w:val="111111"/>
          <w:sz w:val="24"/>
          <w:szCs w:val="24"/>
        </w:rPr>
        <w:t>Estadual/Distrital]</w:t>
      </w:r>
      <w:r>
        <w:rPr>
          <w:rFonts w:ascii="Calibri" w:hAnsi="Calibri"/>
          <w:color w:val="111111"/>
          <w:sz w:val="24"/>
          <w:szCs w:val="24"/>
        </w:rPr>
        <w:t xml:space="preserve"> ou </w:t>
      </w:r>
      <w:r>
        <w:rPr>
          <w:rFonts w:ascii="Calibri" w:hAnsi="Calibri"/>
          <w:i/>
          <w:iCs/>
          <w:color w:val="111111"/>
          <w:sz w:val="24"/>
          <w:szCs w:val="24"/>
        </w:rPr>
        <w:t>[Municipal/Distrital]</w:t>
      </w:r>
      <w:r>
        <w:rPr>
          <w:rFonts w:ascii="Calibri" w:hAnsi="Calibri"/>
          <w:color w:val="111111"/>
          <w:sz w:val="24"/>
          <w:szCs w:val="24"/>
        </w:rPr>
        <w:t xml:space="preserve"> r</w:t>
      </w:r>
      <w:r>
        <w:rPr>
          <w:rFonts w:ascii="Calibri" w:hAnsi="Calibri"/>
          <w:sz w:val="24"/>
          <w:szCs w:val="24"/>
        </w:rPr>
        <w:t xml:space="preserve">elativo ao domicílio ou sede do fornecedor, pertinente ao seu ramo de atividade e compatível com o objeto contratual; </w:t>
      </w:r>
    </w:p>
    <w:p>
      <w:pPr>
        <w:pStyle w:val="Nivel2"/>
        <w:numPr>
          <w:ilvl w:val="1"/>
          <w:numId w:val="216"/>
        </w:numPr>
        <w:ind w:hanging="0" w:left="0" w:right="0"/>
        <w:rPr>
          <w:rFonts w:ascii="Calibri" w:hAnsi="Calibri"/>
          <w:sz w:val="24"/>
          <w:szCs w:val="24"/>
        </w:rPr>
      </w:pPr>
      <w:r>
        <w:rPr>
          <w:rFonts w:ascii="Calibri" w:hAnsi="Calibri"/>
          <w:sz w:val="24"/>
          <w:szCs w:val="24"/>
        </w:rPr>
        <w:t xml:space="preserve">Prova de regularidade com a Fazenda </w:t>
      </w:r>
      <w:r>
        <w:rPr>
          <w:rFonts w:ascii="Calibri" w:hAnsi="Calibri"/>
          <w:i/>
          <w:iCs/>
          <w:color w:val="111111"/>
          <w:sz w:val="24"/>
          <w:szCs w:val="24"/>
        </w:rPr>
        <w:t>[Estadual/Distrital] ou [Municipal/Distrital]</w:t>
      </w:r>
      <w:r>
        <w:rPr>
          <w:rFonts w:ascii="Calibri" w:hAnsi="Calibri"/>
          <w:color w:val="111111"/>
          <w:sz w:val="24"/>
          <w:szCs w:val="24"/>
        </w:rPr>
        <w:t xml:space="preserve"> do domicílio ou sede do fornecedor, relativa à atividade em cujo exercício contrata ou concorre;</w:t>
      </w:r>
    </w:p>
    <w:p>
      <w:pPr>
        <w:pStyle w:val="Nivel2"/>
        <w:numPr>
          <w:ilvl w:val="1"/>
          <w:numId w:val="217"/>
        </w:numPr>
        <w:ind w:hanging="0" w:left="0" w:right="0"/>
        <w:rPr>
          <w:rFonts w:ascii="Calibri" w:hAnsi="Calibri"/>
          <w:sz w:val="24"/>
          <w:szCs w:val="24"/>
        </w:rPr>
      </w:pPr>
      <w:r>
        <w:rPr>
          <w:rFonts w:ascii="Calibri" w:hAnsi="Calibri"/>
          <w:color w:val="111111"/>
          <w:sz w:val="24"/>
          <w:szCs w:val="24"/>
        </w:rPr>
        <w:t xml:space="preserve">Caso o fornecedor seja considerado isento dos tributos </w:t>
      </w:r>
      <w:r>
        <w:rPr>
          <w:rFonts w:ascii="Calibri" w:hAnsi="Calibri"/>
          <w:i/>
          <w:iCs/>
          <w:color w:val="111111"/>
          <w:sz w:val="24"/>
          <w:szCs w:val="24"/>
        </w:rPr>
        <w:t>[Estadual/Distrital] ou [Municipal/Distrital]</w:t>
      </w:r>
      <w:r>
        <w:rPr>
          <w:rFonts w:ascii="Calibri" w:hAnsi="Calibri"/>
          <w:color w:val="111111"/>
          <w:sz w:val="24"/>
          <w:szCs w:val="24"/>
        </w:rPr>
        <w:t xml:space="preserve"> </w:t>
      </w:r>
      <w:r>
        <w:rPr>
          <w:rFonts w:ascii="Calibri" w:hAnsi="Calibri"/>
          <w:sz w:val="24"/>
          <w:szCs w:val="24"/>
        </w:rPr>
        <w:t>relacionados ao objeto contratual, deverá comprovar tal condição mediante a apresentação de declaração da Fazenda respectiva do seu domicílio ou sede, ou outra equivalente, na forma da lei.</w:t>
      </w:r>
    </w:p>
    <w:p>
      <w:pPr>
        <w:pStyle w:val="Nivel2"/>
        <w:numPr>
          <w:ilvl w:val="1"/>
          <w:numId w:val="218"/>
        </w:numPr>
        <w:ind w:hanging="0" w:left="0" w:right="0"/>
        <w:rPr>
          <w:rFonts w:ascii="Calibri" w:hAnsi="Calibri"/>
          <w:sz w:val="24"/>
          <w:szCs w:val="24"/>
        </w:rPr>
      </w:pPr>
      <w:r>
        <w:rPr>
          <w:rFonts w:ascii="Calibri" w:hAnsi="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ivel01"/>
        <w:numPr>
          <w:ilvl w:val="0"/>
          <w:numId w:val="4"/>
        </w:numPr>
        <w:bidi w:val="0"/>
        <w:rPr>
          <w:rFonts w:ascii="Calibri" w:hAnsi="Calibri"/>
          <w:sz w:val="24"/>
          <w:szCs w:val="24"/>
        </w:rPr>
      </w:pPr>
      <w:r>
        <w:rPr>
          <w:b/>
          <w:bCs/>
          <w:sz w:val="24"/>
          <w:szCs w:val="24"/>
          <w:lang w:eastAsia="pt-BR"/>
        </w:rPr>
        <w:t>ESTIMATIVAS DO VALOR DA CONTRATAÇÃO</w:t>
      </w:r>
    </w:p>
    <w:p>
      <w:pPr>
        <w:pStyle w:val="Nivel01"/>
        <w:keepNext w:val="true"/>
        <w:keepLines/>
        <w:widowControl/>
        <w:numPr>
          <w:ilvl w:val="0"/>
          <w:numId w:val="0"/>
        </w:numPr>
        <w:suppressAutoHyphens w:val="true"/>
        <w:bidi w:val="0"/>
        <w:spacing w:lineRule="auto" w:line="276" w:before="240" w:after="120"/>
        <w:ind w:hanging="0" w:left="0"/>
        <w:jc w:val="both"/>
        <w:rPr>
          <w:rFonts w:ascii="Calibri" w:hAnsi="Calibri" w:eastAsia="" w:cs="Arial"/>
          <w:color w:val="111111"/>
          <w:kern w:val="0"/>
          <w:sz w:val="24"/>
          <w:szCs w:val="24"/>
          <w:lang w:val="pt-BR" w:eastAsia="pt-BR" w:bidi="ar-SA"/>
        </w:rPr>
      </w:pPr>
      <w:r>
        <w:rPr>
          <w:rFonts w:eastAsia="" w:cs="Arial"/>
          <w:color w:val="111111"/>
          <w:kern w:val="0"/>
          <w:sz w:val="24"/>
          <w:szCs w:val="24"/>
          <w:lang w:val="pt-BR" w:eastAsia="pt-BR" w:bidi="ar-SA"/>
        </w:rPr>
        <w:t>8.1 O custo estimado total da contratação será realizado pelo setor de compras conforme custos unitários apostos em anexo conforme pesquisa mercadológica.</w:t>
      </w:r>
    </w:p>
    <w:p>
      <w:pPr>
        <w:pStyle w:val="Nivel01"/>
        <w:keepNext w:val="true"/>
        <w:keepLines/>
        <w:widowControl/>
        <w:numPr>
          <w:ilvl w:val="0"/>
          <w:numId w:val="4"/>
        </w:numPr>
        <w:suppressAutoHyphens w:val="true"/>
        <w:bidi w:val="0"/>
        <w:spacing w:lineRule="auto" w:line="276" w:before="240" w:after="120"/>
        <w:ind w:hanging="0" w:left="0"/>
        <w:jc w:val="both"/>
        <w:rPr>
          <w:rFonts w:ascii="Calibri" w:hAnsi="Calibri" w:eastAsia="" w:cs="Arial"/>
          <w:color w:themeColor="accent1" w:themeShade="bf" w:val="000000"/>
          <w:kern w:val="0"/>
          <w:sz w:val="24"/>
          <w:szCs w:val="24"/>
          <w:lang w:val="pt-BR" w:eastAsia="pt-BR" w:bidi="ar-SA"/>
        </w:rPr>
      </w:pPr>
      <w:r>
        <w:rPr>
          <w:rFonts w:eastAsia="" w:cs="Arial"/>
          <w:color w:themeColor="accent1" w:themeShade="bf" w:val="000000"/>
          <w:kern w:val="0"/>
          <w:sz w:val="24"/>
          <w:szCs w:val="24"/>
          <w:lang w:val="pt-BR" w:eastAsia="pt-BR" w:bidi="ar-SA"/>
        </w:rPr>
        <w:t>ADEQUAÇÃO ORÇAMENTÁRIA</w:t>
      </w:r>
    </w:p>
    <w:p>
      <w:pPr>
        <w:pStyle w:val="Nivel2"/>
        <w:numPr>
          <w:ilvl w:val="1"/>
          <w:numId w:val="219"/>
        </w:numPr>
        <w:ind w:hanging="0" w:left="0" w:right="0"/>
        <w:rPr>
          <w:rFonts w:ascii="Calibri" w:hAnsi="Calibri"/>
          <w:sz w:val="24"/>
          <w:szCs w:val="24"/>
        </w:rPr>
      </w:pPr>
      <w:r>
        <w:rPr>
          <w:rFonts w:ascii="Calibri" w:hAnsi="Calibri"/>
          <w:sz w:val="24"/>
          <w:szCs w:val="24"/>
        </w:rPr>
        <w:t xml:space="preserve">As despesas decorrentes da presente contratação correrão à conta de recursos específicos consignados no Orçamento do Coren/RN; </w:t>
      </w:r>
    </w:p>
    <w:p>
      <w:pPr>
        <w:pStyle w:val="Nivel2"/>
        <w:numPr>
          <w:ilvl w:val="0"/>
          <w:numId w:val="0"/>
        </w:numPr>
        <w:ind w:hanging="0" w:left="0" w:right="0"/>
        <w:rPr>
          <w:rFonts w:ascii="Calibri" w:hAnsi="Calibri"/>
          <w:sz w:val="24"/>
          <w:szCs w:val="24"/>
        </w:rPr>
      </w:pPr>
      <w:r>
        <w:rPr>
          <w:rFonts w:ascii="Calibri" w:hAnsi="Calibri"/>
          <w:sz w:val="24"/>
          <w:szCs w:val="24"/>
        </w:rPr>
      </w:r>
    </w:p>
    <w:p>
      <w:pPr>
        <w:pStyle w:val="Nivel2"/>
        <w:widowControl/>
        <w:numPr>
          <w:ilvl w:val="0"/>
          <w:numId w:val="0"/>
        </w:numPr>
        <w:bidi w:val="0"/>
        <w:spacing w:lineRule="auto" w:line="276" w:before="120" w:after="120"/>
        <w:ind w:hanging="0" w:left="0" w:right="0"/>
        <w:rPr>
          <w:rFonts w:ascii="Calibri" w:hAnsi="Calibri"/>
          <w:sz w:val="24"/>
          <w:szCs w:val="24"/>
        </w:rPr>
      </w:pPr>
      <w:r>
        <w:rPr>
          <w:rFonts w:eastAsia="Arial" w:cs="Arial" w:ascii="Calibri" w:hAnsi="Calibri"/>
          <w:color w:val="000000"/>
          <w:sz w:val="24"/>
          <w:szCs w:val="24"/>
          <w:lang w:eastAsia="pt-BR"/>
        </w:rPr>
        <w:t xml:space="preserve">                                                                                                                          </w:t>
      </w:r>
      <w:r>
        <w:rPr>
          <w:rFonts w:eastAsia="Arial" w:cs="Arial" w:ascii="Calibri" w:hAnsi="Calibri"/>
          <w:color w:val="000000"/>
          <w:sz w:val="24"/>
          <w:szCs w:val="24"/>
          <w:lang w:eastAsia="pt-BR"/>
        </w:rPr>
        <w:t>Natal, 02 de janeiro de 2024.</w:t>
      </w:r>
    </w:p>
    <w:p>
      <w:pPr>
        <w:pStyle w:val="Nivel2"/>
        <w:numPr>
          <w:ilvl w:val="0"/>
          <w:numId w:val="0"/>
        </w:numPr>
        <w:ind w:hanging="0" w:left="0" w:right="0"/>
        <w:rPr>
          <w:rFonts w:ascii="Calibri" w:hAnsi="Calibri"/>
          <w:sz w:val="24"/>
          <w:szCs w:val="24"/>
        </w:rPr>
      </w:pPr>
      <w:r>
        <w:rPr>
          <w:rFonts w:ascii="Calibri" w:hAnsi="Calibri"/>
          <w:sz w:val="24"/>
          <w:szCs w:val="24"/>
        </w:rPr>
      </w:r>
    </w:p>
    <w:p>
      <w:pPr>
        <w:pStyle w:val="Normal"/>
        <w:rPr>
          <w:rFonts w:ascii="Calibri" w:hAnsi="Calibri"/>
          <w:sz w:val="24"/>
          <w:szCs w:val="24"/>
        </w:rPr>
      </w:pPr>
      <w:r>
        <w:rPr>
          <w:rFonts w:cs="Calibri" w:ascii="Calibri" w:hAnsi="Calibri"/>
          <w:sz w:val="24"/>
          <w:szCs w:val="24"/>
        </w:rPr>
        <w:t xml:space="preserve">Elaborado por: </w:t>
      </w:r>
    </w:p>
    <w:p>
      <w:pPr>
        <w:pStyle w:val="Normal"/>
        <w:jc w:val="center"/>
        <w:rPr>
          <w:rFonts w:ascii="Calibri" w:hAnsi="Calibri"/>
          <w:sz w:val="24"/>
          <w:szCs w:val="24"/>
        </w:rPr>
      </w:pPr>
      <w:r>
        <w:rPr>
          <w:rFonts w:cs="Calibri" w:ascii="Calibri" w:hAnsi="Calibri"/>
          <w:b/>
          <w:bCs/>
          <w:i/>
          <w:iCs/>
          <w:sz w:val="24"/>
          <w:szCs w:val="24"/>
        </w:rPr>
        <w:t>__________________________________</w:t>
      </w:r>
    </w:p>
    <w:p>
      <w:pPr>
        <w:pStyle w:val="Normal"/>
        <w:jc w:val="center"/>
        <w:rPr>
          <w:rFonts w:ascii="Calibri" w:hAnsi="Calibri"/>
          <w:sz w:val="24"/>
          <w:szCs w:val="24"/>
        </w:rPr>
      </w:pPr>
      <w:r>
        <w:rPr>
          <w:rFonts w:cs="Calibri" w:ascii="Calibri" w:hAnsi="Calibri"/>
          <w:i/>
          <w:iCs/>
          <w:sz w:val="24"/>
          <w:szCs w:val="24"/>
        </w:rPr>
        <w:t>Marilisi Alves dos Santos</w:t>
      </w:r>
    </w:p>
    <w:p>
      <w:pPr>
        <w:pStyle w:val="Normal"/>
        <w:jc w:val="center"/>
        <w:rPr>
          <w:rFonts w:ascii="Calibri" w:hAnsi="Calibri"/>
          <w:sz w:val="24"/>
          <w:szCs w:val="24"/>
        </w:rPr>
      </w:pPr>
      <w:r>
        <w:rPr>
          <w:rFonts w:cs="Calibri" w:ascii="Calibri" w:hAnsi="Calibri"/>
          <w:b/>
          <w:bCs/>
          <w:i/>
          <w:iCs/>
          <w:sz w:val="24"/>
          <w:szCs w:val="24"/>
        </w:rPr>
        <w:t>Chefe do Departamento Administrativo</w:t>
      </w:r>
    </w:p>
    <w:p>
      <w:pPr>
        <w:pStyle w:val="Normal"/>
        <w:jc w:val="center"/>
        <w:rPr>
          <w:rFonts w:ascii="Calibri" w:hAnsi="Calibri" w:cs="Calibri"/>
          <w:b/>
          <w:bCs/>
          <w:i/>
          <w:i/>
          <w:iCs/>
          <w:sz w:val="24"/>
          <w:szCs w:val="24"/>
        </w:rPr>
      </w:pPr>
      <w:r>
        <w:rPr>
          <w:rFonts w:cs="Calibri" w:ascii="Calibri" w:hAnsi="Calibri"/>
          <w:b/>
          <w:bCs/>
          <w:i/>
          <w:iCs/>
          <w:sz w:val="24"/>
          <w:szCs w:val="24"/>
        </w:rPr>
      </w:r>
    </w:p>
    <w:p>
      <w:pPr>
        <w:pStyle w:val="Normal"/>
        <w:rPr>
          <w:rFonts w:ascii="Calibri" w:hAnsi="Calibri" w:cs="Calibri"/>
          <w:sz w:val="24"/>
          <w:szCs w:val="24"/>
        </w:rPr>
      </w:pPr>
      <w:r>
        <w:rPr>
          <w:rFonts w:cs="Calibri" w:ascii="Calibri" w:hAnsi="Calibri"/>
          <w:sz w:val="24"/>
          <w:szCs w:val="24"/>
        </w:rPr>
      </w:r>
    </w:p>
    <w:p>
      <w:pPr>
        <w:pStyle w:val="Normal"/>
        <w:rPr/>
      </w:pPr>
      <w:r>
        <w:rPr>
          <w:rStyle w:val="Emphasis"/>
          <w:rFonts w:cs="Calibri" w:ascii="Calibri" w:hAnsi="Calibri"/>
          <w:i w:val="false"/>
          <w:iCs w:val="false"/>
          <w:color w:val="111111"/>
          <w:sz w:val="24"/>
          <w:szCs w:val="24"/>
        </w:rPr>
        <w:t>Apr</w:t>
      </w:r>
      <w:r>
        <w:rPr>
          <w:rStyle w:val="Emphasis"/>
          <w:rFonts w:eastAsia="" w:cs="Calibri" w:ascii="Calibri" w:hAnsi="Calibri" w:eastAsiaTheme="minorEastAsia"/>
          <w:i w:val="false"/>
          <w:iCs w:val="false"/>
          <w:color w:val="111111"/>
          <w:sz w:val="24"/>
          <w:szCs w:val="24"/>
          <w:shd w:fill="auto" w:val="clear"/>
        </w:rPr>
        <w:t xml:space="preserve">ovo: </w:t>
      </w:r>
    </w:p>
    <w:p>
      <w:pPr>
        <w:pStyle w:val="Normal"/>
        <w:rPr>
          <w:rFonts w:ascii="Calibri" w:hAnsi="Calibri" w:cs="Calibri"/>
          <w:i w:val="false"/>
          <w:i w:val="false"/>
          <w:sz w:val="24"/>
          <w:szCs w:val="24"/>
        </w:rPr>
      </w:pPr>
      <w:r>
        <w:rPr>
          <w:rFonts w:cs="Calibri" w:ascii="Calibri" w:hAnsi="Calibri"/>
          <w:i w:val="false"/>
          <w:sz w:val="24"/>
          <w:szCs w:val="24"/>
        </w:rPr>
      </w:r>
    </w:p>
    <w:p>
      <w:pPr>
        <w:pStyle w:val="Normal"/>
        <w:rPr>
          <w:rFonts w:ascii="Calibri" w:hAnsi="Calibri" w:cs="Calibri"/>
          <w:i w:val="false"/>
          <w:i w:val="false"/>
          <w:sz w:val="24"/>
          <w:szCs w:val="24"/>
        </w:rPr>
      </w:pPr>
      <w:r>
        <w:rPr>
          <w:rFonts w:cs="Calibri" w:ascii="Calibri" w:hAnsi="Calibri"/>
          <w:i w:val="false"/>
          <w:sz w:val="24"/>
          <w:szCs w:val="24"/>
        </w:rPr>
      </w:r>
    </w:p>
    <w:p>
      <w:pPr>
        <w:pStyle w:val="Normal"/>
        <w:jc w:val="center"/>
        <w:rPr>
          <w:rFonts w:ascii="Calibri" w:hAnsi="Calibri"/>
          <w:sz w:val="24"/>
          <w:szCs w:val="24"/>
        </w:rPr>
      </w:pPr>
      <w:r>
        <w:rPr>
          <w:rFonts w:cs="Calibri" w:ascii="Calibri" w:hAnsi="Calibri"/>
          <w:b/>
          <w:bCs/>
          <w:iCs/>
          <w:sz w:val="24"/>
          <w:szCs w:val="24"/>
        </w:rPr>
        <w:t>_______________________________</w:t>
      </w:r>
    </w:p>
    <w:p>
      <w:pPr>
        <w:pStyle w:val="Normal"/>
        <w:jc w:val="center"/>
        <w:rPr/>
      </w:pPr>
      <w:r>
        <w:rPr>
          <w:rStyle w:val="Emphasis"/>
          <w:rFonts w:cs="Calibri" w:ascii="Calibri" w:hAnsi="Calibri"/>
          <w:sz w:val="24"/>
          <w:szCs w:val="24"/>
        </w:rPr>
        <w:t>Manoel Egídio da Silva Júnior</w:t>
      </w:r>
    </w:p>
    <w:p>
      <w:pPr>
        <w:pStyle w:val="Normal"/>
        <w:jc w:val="center"/>
        <w:rPr/>
      </w:pPr>
      <w:bookmarkStart w:id="2" w:name="_Hlk82471863_Copia_2"/>
      <w:r>
        <w:rPr>
          <w:rStyle w:val="Emphasis"/>
          <w:rFonts w:eastAsia="Arial" w:cs="Calibri" w:ascii="Calibri" w:hAnsi="Calibri"/>
          <w:b/>
          <w:bCs/>
          <w:sz w:val="24"/>
          <w:szCs w:val="24"/>
        </w:rPr>
        <w:t>Presidente do Coren-RN</w:t>
      </w:r>
      <w:bookmarkEnd w:id="2"/>
    </w:p>
    <w:p>
      <w:pPr>
        <w:pStyle w:val="Normal"/>
        <w:jc w:val="center"/>
        <w:rPr>
          <w:rFonts w:ascii="Calibri" w:hAnsi="Calibri" w:eastAsia="Arial" w:cs="Calibri"/>
          <w:b/>
          <w:bCs/>
          <w:sz w:val="24"/>
          <w:szCs w:val="24"/>
        </w:rPr>
      </w:pPr>
      <w:r>
        <w:rPr>
          <w:rFonts w:eastAsia="Arial" w:cs="Calibri" w:ascii="Calibri" w:hAnsi="Calibri"/>
          <w:b/>
          <w:bCs/>
          <w:sz w:val="24"/>
          <w:szCs w:val="24"/>
        </w:rPr>
      </w:r>
    </w:p>
    <w:p>
      <w:pPr>
        <w:pStyle w:val="Normal"/>
        <w:jc w:val="center"/>
        <w:rPr>
          <w:rFonts w:ascii="Calibri" w:hAnsi="Calibri" w:eastAsia="Arial" w:cs="Calibri"/>
          <w:b/>
          <w:bCs/>
          <w:sz w:val="24"/>
          <w:szCs w:val="24"/>
        </w:rPr>
      </w:pPr>
      <w:r>
        <w:rPr>
          <w:rFonts w:eastAsia="Arial" w:cs="Calibri" w:ascii="Calibri" w:hAnsi="Calibri"/>
          <w:b/>
          <w:bCs/>
          <w:sz w:val="24"/>
          <w:szCs w:val="24"/>
        </w:rPr>
      </w:r>
    </w:p>
    <w:p>
      <w:pPr>
        <w:pStyle w:val="Normal"/>
        <w:jc w:val="center"/>
        <w:rPr>
          <w:rFonts w:ascii="Calibri" w:hAnsi="Calibri" w:eastAsia="Arial" w:cs="Calibri"/>
          <w:b/>
          <w:bCs/>
          <w:sz w:val="24"/>
          <w:szCs w:val="24"/>
        </w:rPr>
      </w:pPr>
      <w:r>
        <w:rPr>
          <w:rFonts w:eastAsia="Arial" w:cs="Calibri" w:ascii="Calibri" w:hAnsi="Calibri"/>
          <w:b/>
          <w:bCs/>
          <w:sz w:val="24"/>
          <w:szCs w:val="24"/>
        </w:rPr>
      </w:r>
    </w:p>
    <w:p>
      <w:pPr>
        <w:pStyle w:val="Normal"/>
        <w:jc w:val="center"/>
        <w:rPr>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Style w:val="Emphasis"/>
          <w:rFonts w:ascii="Calibri" w:hAnsi="Calibri" w:eastAsia="Arial" w:cs="Calibri"/>
          <w:b/>
          <w:bCs/>
          <w:sz w:val="24"/>
          <w:szCs w:val="24"/>
        </w:rPr>
      </w:pPr>
      <w:r>
        <w:rPr>
          <w:rFonts w:eastAsia="Arial" w:cs="Calibri" w:ascii="Calibri" w:hAnsi="Calibri"/>
          <w:b/>
          <w:bCs/>
          <w:sz w:val="24"/>
          <w:szCs w:val="24"/>
        </w:rPr>
      </w:r>
    </w:p>
    <w:p>
      <w:pPr>
        <w:pStyle w:val="Normal"/>
        <w:jc w:val="center"/>
        <w:rPr>
          <w:rFonts w:ascii="Cambria" w:hAnsi="Cambria" w:cs="Cambria"/>
          <w:b/>
          <w:sz w:val="22"/>
          <w:szCs w:val="22"/>
        </w:rPr>
      </w:pPr>
      <w:r>
        <w:rPr>
          <w:rFonts w:cs="Cambria" w:ascii="Cambria" w:hAnsi="Cambria"/>
          <w:b/>
          <w:sz w:val="22"/>
          <w:szCs w:val="22"/>
        </w:rPr>
      </w:r>
    </w:p>
    <w:p>
      <w:pPr>
        <w:pStyle w:val="Normal"/>
        <w:spacing w:lineRule="auto" w:line="360"/>
        <w:ind w:right="139"/>
        <w:jc w:val="center"/>
        <w:rPr/>
      </w:pPr>
      <w:r>
        <w:rPr>
          <w:rFonts w:cs="Cambria" w:ascii="Cambria" w:hAnsi="Cambria"/>
          <w:b/>
          <w:sz w:val="22"/>
          <w:szCs w:val="22"/>
        </w:rPr>
        <w:t>Modelo de Proposta de Preço</w:t>
      </w:r>
    </w:p>
    <w:p>
      <w:pPr>
        <w:pStyle w:val="Normal"/>
        <w:spacing w:lineRule="auto" w:line="360"/>
        <w:ind w:right="139"/>
        <w:jc w:val="both"/>
        <w:rPr>
          <w:rFonts w:ascii="Cambria" w:hAnsi="Cambria" w:eastAsia="Cambria" w:cs="Cambria"/>
          <w:sz w:val="22"/>
          <w:szCs w:val="22"/>
        </w:rPr>
      </w:pPr>
      <w:r>
        <w:rPr>
          <w:rFonts w:eastAsia="Cambria" w:cs="Cambria" w:ascii="Cambria" w:hAnsi="Cambria"/>
          <w:sz w:val="22"/>
          <w:szCs w:val="22"/>
        </w:rPr>
      </w:r>
    </w:p>
    <w:p>
      <w:pPr>
        <w:pStyle w:val="Normal"/>
        <w:spacing w:lineRule="auto" w:line="360"/>
        <w:ind w:right="139"/>
        <w:rPr/>
      </w:pPr>
      <w:r>
        <w:rPr>
          <w:rFonts w:cs="Cambria" w:ascii="Cambria" w:hAnsi="Cambria"/>
          <w:b/>
          <w:sz w:val="22"/>
          <w:szCs w:val="22"/>
        </w:rPr>
        <w:t>NOME DA EMPRESA: __________________________________________</w:t>
        <w:softHyphen/>
        <w:softHyphen/>
        <w:softHyphen/>
        <w:softHyphen/>
        <w:softHyphen/>
        <w:t xml:space="preserve"> </w:t>
      </w:r>
    </w:p>
    <w:p>
      <w:pPr>
        <w:pStyle w:val="Normal"/>
        <w:spacing w:lineRule="auto" w:line="360"/>
        <w:ind w:right="139"/>
        <w:rPr>
          <w:rFonts w:ascii="Cambria" w:hAnsi="Cambria" w:cs="Cambria"/>
          <w:b/>
          <w:sz w:val="22"/>
          <w:szCs w:val="22"/>
        </w:rPr>
      </w:pPr>
      <w:r>
        <w:rPr>
          <w:rFonts w:cs="Cambria" w:ascii="Cambria" w:hAnsi="Cambria"/>
          <w:b/>
          <w:sz w:val="22"/>
          <w:szCs w:val="22"/>
        </w:rPr>
      </w:r>
    </w:p>
    <w:p>
      <w:pPr>
        <w:pStyle w:val="Normal"/>
        <w:spacing w:lineRule="auto" w:line="360"/>
        <w:ind w:right="139"/>
        <w:rPr/>
      </w:pPr>
      <w:r>
        <w:rPr>
          <w:rFonts w:cs="Cambria" w:ascii="Cambria" w:hAnsi="Cambria"/>
          <w:b/>
          <w:sz w:val="22"/>
          <w:szCs w:val="22"/>
        </w:rPr>
        <w:t>DATA: _______/_______/_____</w:t>
      </w:r>
    </w:p>
    <w:p>
      <w:pPr>
        <w:pStyle w:val="Normal"/>
        <w:spacing w:lineRule="auto" w:line="360"/>
        <w:ind w:right="139"/>
        <w:rPr>
          <w:rFonts w:ascii="Cambria" w:hAnsi="Cambria" w:eastAsia="Arial" w:cs="Cambria"/>
          <w:b/>
          <w:color w:val="000000"/>
          <w:sz w:val="22"/>
          <w:szCs w:val="22"/>
          <w:lang w:eastAsia="pt-BR"/>
        </w:rPr>
      </w:pPr>
      <w:r>
        <w:rPr>
          <w:rFonts w:eastAsia="Arial" w:cs="Cambria" w:ascii="Cambria" w:hAnsi="Cambria"/>
          <w:b/>
          <w:color w:val="000000"/>
          <w:sz w:val="22"/>
          <w:szCs w:val="22"/>
          <w:lang w:eastAsia="pt-BR"/>
        </w:rPr>
      </w:r>
    </w:p>
    <w:p>
      <w:pPr>
        <w:pStyle w:val="Normal"/>
        <w:spacing w:lineRule="auto" w:line="360"/>
        <w:ind w:right="139"/>
        <w:rPr/>
      </w:pPr>
      <w:r>
        <w:rPr>
          <w:rFonts w:eastAsia="Arial" w:cs="Cambria" w:ascii="Cambria" w:hAnsi="Cambria"/>
          <w:b w:val="false"/>
          <w:bCs w:val="false"/>
          <w:color w:val="000000"/>
          <w:sz w:val="22"/>
          <w:szCs w:val="22"/>
          <w:lang w:eastAsia="pt-BR"/>
        </w:rPr>
        <w:t xml:space="preserve">1. </w:t>
      </w:r>
      <w:r>
        <w:rPr>
          <w:rFonts w:eastAsia="Arial" w:cs="Arial" w:ascii="Arial" w:hAnsi="Arial"/>
          <w:color w:val="000000"/>
          <w:sz w:val="20"/>
          <w:szCs w:val="20"/>
          <w:lang w:eastAsia="pt-BR"/>
        </w:rPr>
        <w:t>Contratação de empresa especializada para emissão de Certificados Digitais, e tokens criptográficos para pessoa jurídica, E-CPF, ICP- BRASIL, com garantia e suporte técnico, nas condições, quantidades e exigências estabelecidas neste termo de referência</w:t>
      </w:r>
      <w:r>
        <w:rPr>
          <w:rFonts w:eastAsia="Times New Roman" w:cs="Arial" w:ascii="Arial" w:hAnsi="Arial"/>
          <w:color w:val="000000"/>
          <w:sz w:val="20"/>
          <w:szCs w:val="20"/>
          <w:lang w:eastAsia="pt-BR" w:bidi="ar-SA"/>
        </w:rPr>
        <w:t>.</w:t>
      </w:r>
    </w:p>
    <w:p>
      <w:pPr>
        <w:pStyle w:val="Normal"/>
        <w:spacing w:lineRule="auto" w:line="360"/>
        <w:ind w:right="139"/>
        <w:jc w:val="both"/>
        <w:rPr>
          <w:rFonts w:ascii="Cambria" w:hAnsi="Cambria" w:cs="Cambria"/>
          <w:sz w:val="22"/>
          <w:szCs w:val="22"/>
        </w:rPr>
      </w:pPr>
      <w:r>
        <w:rPr>
          <w:rFonts w:cs="Cambria" w:ascii="Cambria" w:hAnsi="Cambria"/>
          <w:sz w:val="22"/>
          <w:szCs w:val="22"/>
        </w:rPr>
      </w:r>
    </w:p>
    <w:tbl>
      <w:tblPr>
        <w:tblW w:w="9102" w:type="dxa"/>
        <w:jc w:val="left"/>
        <w:tblInd w:w="15" w:type="dxa"/>
        <w:tblLayout w:type="fixed"/>
        <w:tblCellMar>
          <w:top w:w="0" w:type="dxa"/>
          <w:left w:w="10" w:type="dxa"/>
          <w:bottom w:w="0" w:type="dxa"/>
          <w:right w:w="10" w:type="dxa"/>
        </w:tblCellMar>
        <w:tblLook w:firstRow="1" w:noVBand="1" w:lastRow="0" w:firstColumn="1" w:lastColumn="0" w:noHBand="0" w:val="04a0"/>
      </w:tblPr>
      <w:tblGrid>
        <w:gridCol w:w="636"/>
        <w:gridCol w:w="3518"/>
        <w:gridCol w:w="955"/>
        <w:gridCol w:w="1701"/>
        <w:gridCol w:w="2292"/>
      </w:tblGrid>
      <w:tr>
        <w:trPr>
          <w:trHeight w:val="1064" w:hRule="atLeast"/>
        </w:trPr>
        <w:tc>
          <w:tcPr>
            <w:tcW w:w="636" w:type="dxa"/>
            <w:tcBorders>
              <w:top w:val="single" w:sz="4" w:space="0" w:color="000000"/>
              <w:left w:val="single" w:sz="4" w:space="0" w:color="000000"/>
              <w:bottom w:val="single" w:sz="4" w:space="0" w:color="000000"/>
              <w:right w:val="single" w:sz="4" w:space="0" w:color="000000"/>
            </w:tcBorders>
          </w:tcPr>
          <w:p>
            <w:pPr>
              <w:pStyle w:val="Normal11"/>
              <w:jc w:val="center"/>
              <w:rPr>
                <w:rFonts w:ascii="Calibri" w:hAnsi="Calibri"/>
                <w:sz w:val="20"/>
                <w:szCs w:val="20"/>
              </w:rPr>
            </w:pPr>
            <w:r>
              <w:rPr>
                <w:rFonts w:cs="Arial" w:ascii="Calibri" w:hAnsi="Calibri"/>
                <w:b/>
                <w:bCs/>
                <w:color w:val="000000"/>
                <w:sz w:val="20"/>
                <w:szCs w:val="20"/>
              </w:rPr>
              <w:t>ITEM</w:t>
            </w:r>
          </w:p>
        </w:tc>
        <w:tc>
          <w:tcPr>
            <w:tcW w:w="351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pPr>
              <w:pStyle w:val="Normal11"/>
              <w:jc w:val="center"/>
              <w:rPr>
                <w:rFonts w:ascii="Calibri" w:hAnsi="Calibri"/>
                <w:sz w:val="20"/>
                <w:szCs w:val="20"/>
              </w:rPr>
            </w:pPr>
            <w:r>
              <w:rPr>
                <w:rFonts w:cs="Arial" w:ascii="Calibri" w:hAnsi="Calibri"/>
                <w:b/>
                <w:bCs/>
                <w:color w:val="000000"/>
                <w:sz w:val="20"/>
                <w:szCs w:val="20"/>
              </w:rPr>
              <w:t>Especificação</w:t>
            </w:r>
          </w:p>
        </w:tc>
        <w:tc>
          <w:tcPr>
            <w:tcW w:w="95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pPr>
              <w:pStyle w:val="Normal11"/>
              <w:jc w:val="center"/>
              <w:rPr>
                <w:rFonts w:ascii="Calibri" w:hAnsi="Calibri"/>
                <w:sz w:val="20"/>
                <w:szCs w:val="20"/>
              </w:rPr>
            </w:pPr>
            <w:r>
              <w:rPr>
                <w:rFonts w:cs="Arial" w:ascii="Calibri" w:hAnsi="Calibri"/>
                <w:b/>
                <w:bCs/>
                <w:color w:val="000000"/>
                <w:sz w:val="20"/>
                <w:szCs w:val="20"/>
              </w:rPr>
              <w:t>Quant.</w:t>
            </w:r>
          </w:p>
        </w:tc>
        <w:tc>
          <w:tcPr>
            <w:tcW w:w="170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pPr>
              <w:pStyle w:val="Normal11"/>
              <w:jc w:val="center"/>
              <w:rPr>
                <w:rFonts w:ascii="Calibri" w:hAnsi="Calibri"/>
                <w:sz w:val="20"/>
                <w:szCs w:val="20"/>
              </w:rPr>
            </w:pPr>
            <w:r>
              <w:rPr>
                <w:rFonts w:cs="Arial" w:ascii="Calibri" w:hAnsi="Calibri"/>
                <w:b/>
                <w:bCs/>
                <w:color w:val="000000"/>
                <w:sz w:val="20"/>
                <w:szCs w:val="20"/>
              </w:rPr>
              <w:t>Valor Unit. Estimado</w:t>
            </w:r>
          </w:p>
        </w:tc>
        <w:tc>
          <w:tcPr>
            <w:tcW w:w="2292"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pPr>
              <w:pStyle w:val="Normal11"/>
              <w:jc w:val="center"/>
              <w:rPr>
                <w:rFonts w:ascii="Calibri" w:hAnsi="Calibri"/>
                <w:sz w:val="20"/>
                <w:szCs w:val="20"/>
              </w:rPr>
            </w:pPr>
            <w:r>
              <w:rPr>
                <w:rFonts w:cs="Arial" w:ascii="Calibri" w:hAnsi="Calibri"/>
                <w:b/>
                <w:bCs/>
                <w:color w:val="000000"/>
                <w:sz w:val="20"/>
                <w:szCs w:val="20"/>
              </w:rPr>
              <w:t>Valor Total Estimado</w:t>
            </w:r>
          </w:p>
        </w:tc>
      </w:tr>
      <w:tr>
        <w:trPr>
          <w:trHeight w:val="1025" w:hRule="atLeast"/>
        </w:trPr>
        <w:tc>
          <w:tcPr>
            <w:tcW w:w="636" w:type="dxa"/>
            <w:tcBorders>
              <w:left w:val="single" w:sz="2" w:space="0" w:color="000000"/>
              <w:bottom w:val="single" w:sz="2" w:space="0" w:color="000000"/>
              <w:right w:val="single" w:sz="4" w:space="0" w:color="000000"/>
            </w:tcBorders>
          </w:tcPr>
          <w:p>
            <w:pPr>
              <w:pStyle w:val="Normal11"/>
              <w:jc w:val="center"/>
              <w:rPr/>
            </w:pPr>
            <w:r>
              <w:rPr>
                <w:rFonts w:cs="Arial" w:ascii="Calibri" w:hAnsi="Calibri"/>
                <w:sz w:val="20"/>
                <w:szCs w:val="20"/>
              </w:rPr>
              <w:t xml:space="preserve"> </w:t>
            </w:r>
            <w:r>
              <w:rPr>
                <w:rFonts w:cs="Arial" w:ascii="Calibri" w:hAnsi="Calibri"/>
                <w:sz w:val="20"/>
                <w:szCs w:val="20"/>
              </w:rPr>
              <w:t>01</w:t>
            </w:r>
          </w:p>
        </w:tc>
        <w:tc>
          <w:tcPr>
            <w:tcW w:w="3518" w:type="dxa"/>
            <w:tcBorders>
              <w:left w:val="single" w:sz="2" w:space="0" w:color="000000"/>
              <w:bottom w:val="single" w:sz="2" w:space="0" w:color="000000"/>
              <w:right w:val="single" w:sz="4" w:space="0" w:color="000000"/>
            </w:tcBorders>
            <w:tcMar>
              <w:top w:w="55" w:type="dxa"/>
              <w:left w:w="55" w:type="dxa"/>
              <w:bottom w:w="55" w:type="dxa"/>
              <w:right w:w="55" w:type="dxa"/>
            </w:tcMar>
          </w:tcPr>
          <w:p>
            <w:pPr>
              <w:pStyle w:val="Normal11"/>
              <w:jc w:val="both"/>
              <w:rPr>
                <w:rFonts w:ascii="Calibri" w:hAnsi="Calibri"/>
                <w:sz w:val="20"/>
                <w:szCs w:val="20"/>
              </w:rPr>
            </w:pPr>
            <w:r>
              <w:rPr>
                <w:rFonts w:cs="Arial" w:ascii="Calibri" w:hAnsi="Calibri"/>
                <w:sz w:val="20"/>
                <w:szCs w:val="20"/>
              </w:rPr>
              <w:t>Emissão de Certificado Digital do tipo E-CPF, padrão ICP-Brasil Pessoa Física, com fornecimento de token criptográfico para armazenamento do Certificado, com validade mínima de 2 anos.</w:t>
            </w:r>
          </w:p>
        </w:tc>
        <w:tc>
          <w:tcPr>
            <w:tcW w:w="955" w:type="dxa"/>
            <w:tcBorders>
              <w:left w:val="single" w:sz="4" w:space="0" w:color="000000"/>
              <w:bottom w:val="single" w:sz="2" w:space="0" w:color="000000"/>
            </w:tcBorders>
            <w:tcMar>
              <w:top w:w="55" w:type="dxa"/>
              <w:left w:w="55" w:type="dxa"/>
              <w:bottom w:w="55" w:type="dxa"/>
              <w:right w:w="55" w:type="dxa"/>
            </w:tcMar>
            <w:vAlign w:val="center"/>
          </w:tcPr>
          <w:p>
            <w:pPr>
              <w:pStyle w:val="Normal11"/>
              <w:jc w:val="center"/>
              <w:rPr>
                <w:rFonts w:ascii="Calibri" w:hAnsi="Calibri"/>
                <w:sz w:val="20"/>
                <w:szCs w:val="20"/>
              </w:rPr>
            </w:pPr>
            <w:r>
              <w:rPr>
                <w:rFonts w:cs="Arial" w:ascii="Calibri" w:hAnsi="Calibri"/>
                <w:color w:val="000000"/>
                <w:sz w:val="20"/>
                <w:szCs w:val="20"/>
              </w:rPr>
              <w:t>01</w:t>
            </w:r>
          </w:p>
        </w:tc>
        <w:tc>
          <w:tcPr>
            <w:tcW w:w="1701" w:type="dxa"/>
            <w:tcBorders>
              <w:left w:val="single" w:sz="2" w:space="0" w:color="000000"/>
              <w:bottom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c>
          <w:tcPr>
            <w:tcW w:w="229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r>
      <w:tr>
        <w:trPr>
          <w:trHeight w:val="1025" w:hRule="atLeast"/>
        </w:trPr>
        <w:tc>
          <w:tcPr>
            <w:tcW w:w="636" w:type="dxa"/>
            <w:tcBorders>
              <w:left w:val="single" w:sz="2" w:space="0" w:color="000000"/>
              <w:bottom w:val="single" w:sz="2" w:space="0" w:color="000000"/>
              <w:right w:val="single" w:sz="4" w:space="0" w:color="000000"/>
            </w:tcBorders>
          </w:tcPr>
          <w:p>
            <w:pPr>
              <w:pStyle w:val="Normal11"/>
              <w:jc w:val="center"/>
              <w:rPr/>
            </w:pPr>
            <w:r>
              <w:rPr>
                <w:rFonts w:cs="Arial" w:ascii="Calibri" w:hAnsi="Calibri"/>
                <w:sz w:val="20"/>
                <w:szCs w:val="20"/>
              </w:rPr>
              <w:t xml:space="preserve">   </w:t>
            </w:r>
            <w:r>
              <w:rPr>
                <w:rFonts w:cs="Arial" w:ascii="Calibri" w:hAnsi="Calibri"/>
                <w:sz w:val="20"/>
                <w:szCs w:val="20"/>
              </w:rPr>
              <w:t>02</w:t>
            </w:r>
          </w:p>
        </w:tc>
        <w:tc>
          <w:tcPr>
            <w:tcW w:w="3518" w:type="dxa"/>
            <w:tcBorders>
              <w:left w:val="single" w:sz="2" w:space="0" w:color="000000"/>
              <w:bottom w:val="single" w:sz="2" w:space="0" w:color="000000"/>
              <w:right w:val="single" w:sz="4" w:space="0" w:color="000000"/>
            </w:tcBorders>
            <w:tcMar>
              <w:top w:w="55" w:type="dxa"/>
              <w:left w:w="55" w:type="dxa"/>
              <w:bottom w:w="55" w:type="dxa"/>
              <w:right w:w="55" w:type="dxa"/>
            </w:tcMar>
          </w:tcPr>
          <w:p>
            <w:pPr>
              <w:pStyle w:val="Normal11"/>
              <w:jc w:val="both"/>
              <w:rPr>
                <w:rFonts w:ascii="Calibri" w:hAnsi="Calibri"/>
                <w:sz w:val="20"/>
                <w:szCs w:val="20"/>
              </w:rPr>
            </w:pPr>
            <w:r>
              <w:rPr>
                <w:rFonts w:ascii="Calibri" w:hAnsi="Calibri"/>
                <w:sz w:val="20"/>
                <w:szCs w:val="20"/>
              </w:rPr>
              <w:t>Renovação de Certificado Digital do tipo A1, padrão ICP-Brasil para Pessoa Jurídica, do tipo para e – CNPJ , com validade mínima de 1 ano.</w:t>
            </w:r>
          </w:p>
        </w:tc>
        <w:tc>
          <w:tcPr>
            <w:tcW w:w="955" w:type="dxa"/>
            <w:tcBorders>
              <w:left w:val="single" w:sz="4" w:space="0" w:color="000000"/>
              <w:bottom w:val="single" w:sz="2" w:space="0" w:color="000000"/>
            </w:tcBorders>
            <w:tcMar>
              <w:top w:w="55" w:type="dxa"/>
              <w:left w:w="55" w:type="dxa"/>
              <w:bottom w:w="55" w:type="dxa"/>
              <w:right w:w="55" w:type="dxa"/>
            </w:tcMar>
            <w:vAlign w:val="center"/>
          </w:tcPr>
          <w:p>
            <w:pPr>
              <w:pStyle w:val="Normal11"/>
              <w:jc w:val="center"/>
              <w:rPr>
                <w:rFonts w:ascii="Calibri" w:hAnsi="Calibri" w:cs="Arial"/>
                <w:color w:val="000000"/>
                <w:sz w:val="20"/>
                <w:szCs w:val="20"/>
              </w:rPr>
            </w:pPr>
            <w:r>
              <w:rPr>
                <w:rFonts w:cs="Arial" w:ascii="Calibri" w:hAnsi="Calibri"/>
                <w:color w:val="000000"/>
                <w:sz w:val="20"/>
                <w:szCs w:val="20"/>
              </w:rPr>
              <w:t>01</w:t>
            </w:r>
          </w:p>
        </w:tc>
        <w:tc>
          <w:tcPr>
            <w:tcW w:w="1701" w:type="dxa"/>
            <w:tcBorders>
              <w:left w:val="single" w:sz="2" w:space="0" w:color="000000"/>
              <w:bottom w:val="single" w:sz="2" w:space="0" w:color="000000"/>
            </w:tcBorders>
            <w:tcMar>
              <w:top w:w="55" w:type="dxa"/>
              <w:left w:w="55" w:type="dxa"/>
              <w:bottom w:w="55" w:type="dxa"/>
              <w:right w:w="55" w:type="dxa"/>
            </w:tcMar>
            <w:vAlign w:val="center"/>
          </w:tcPr>
          <w:p>
            <w:pPr>
              <w:pStyle w:val="Standard"/>
              <w:keepNext w:val="true"/>
              <w:jc w:val="center"/>
              <w:rPr>
                <w:rFonts w:ascii="Calibri" w:hAnsi="Calibri" w:cs="Arial"/>
                <w:color w:val="000000"/>
                <w:sz w:val="20"/>
                <w:szCs w:val="20"/>
              </w:rPr>
            </w:pPr>
            <w:r>
              <w:rPr>
                <w:rFonts w:cs="Arial" w:ascii="Calibri" w:hAnsi="Calibri"/>
                <w:color w:val="000000"/>
                <w:sz w:val="20"/>
                <w:szCs w:val="20"/>
              </w:rPr>
              <w:t>R$</w:t>
            </w:r>
          </w:p>
        </w:tc>
        <w:tc>
          <w:tcPr>
            <w:tcW w:w="229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Standard"/>
              <w:keepNext w:val="true"/>
              <w:jc w:val="center"/>
              <w:rPr>
                <w:rFonts w:ascii="Calibri" w:hAnsi="Calibri" w:cs="Arial"/>
                <w:color w:val="000000"/>
                <w:sz w:val="20"/>
                <w:szCs w:val="20"/>
              </w:rPr>
            </w:pPr>
            <w:r>
              <w:rPr>
                <w:rFonts w:cs="Arial" w:ascii="Calibri" w:hAnsi="Calibri"/>
                <w:color w:val="000000"/>
                <w:sz w:val="20"/>
                <w:szCs w:val="20"/>
              </w:rPr>
              <w:t>R$</w:t>
            </w:r>
          </w:p>
        </w:tc>
      </w:tr>
      <w:tr>
        <w:trPr>
          <w:trHeight w:val="1025" w:hRule="atLeast"/>
        </w:trPr>
        <w:tc>
          <w:tcPr>
            <w:tcW w:w="636" w:type="dxa"/>
            <w:tcBorders>
              <w:left w:val="single" w:sz="2" w:space="0" w:color="000000"/>
              <w:bottom w:val="single" w:sz="2" w:space="0" w:color="000000"/>
              <w:right w:val="single" w:sz="4" w:space="0" w:color="000000"/>
            </w:tcBorders>
          </w:tcPr>
          <w:p>
            <w:pPr>
              <w:pStyle w:val="Normal11"/>
              <w:jc w:val="center"/>
              <w:rPr/>
            </w:pPr>
            <w:r>
              <w:rPr>
                <w:rFonts w:cs="Arial" w:ascii="Calibri" w:hAnsi="Calibri"/>
                <w:sz w:val="20"/>
                <w:szCs w:val="20"/>
              </w:rPr>
              <w:t xml:space="preserve">    </w:t>
            </w:r>
            <w:r>
              <w:rPr>
                <w:rFonts w:cs="Arial" w:ascii="Calibri" w:hAnsi="Calibri"/>
                <w:sz w:val="20"/>
                <w:szCs w:val="20"/>
              </w:rPr>
              <w:t>03</w:t>
            </w:r>
          </w:p>
        </w:tc>
        <w:tc>
          <w:tcPr>
            <w:tcW w:w="3518" w:type="dxa"/>
            <w:tcBorders>
              <w:left w:val="single" w:sz="2" w:space="0" w:color="000000"/>
              <w:bottom w:val="single" w:sz="2" w:space="0" w:color="000000"/>
              <w:right w:val="single" w:sz="4" w:space="0" w:color="000000"/>
            </w:tcBorders>
            <w:tcMar>
              <w:top w:w="55" w:type="dxa"/>
              <w:left w:w="55" w:type="dxa"/>
              <w:bottom w:w="55" w:type="dxa"/>
              <w:right w:w="55" w:type="dxa"/>
            </w:tcMar>
          </w:tcPr>
          <w:p>
            <w:pPr>
              <w:pStyle w:val="Normal11"/>
              <w:jc w:val="both"/>
              <w:rPr>
                <w:rFonts w:ascii="Calibri" w:hAnsi="Calibri"/>
                <w:sz w:val="20"/>
                <w:szCs w:val="20"/>
              </w:rPr>
            </w:pPr>
            <w:r>
              <w:rPr>
                <w:rFonts w:cs="Arial" w:ascii="Calibri" w:hAnsi="Calibri"/>
                <w:sz w:val="20"/>
                <w:szCs w:val="20"/>
              </w:rPr>
              <w:t>Emissão de Certificado Digital do tipo A1, padrão ICP-Brasil para Pessoa Jurídica, do tipo para e – CNPJ , com validade mínima de 01 ano .</w:t>
            </w:r>
          </w:p>
        </w:tc>
        <w:tc>
          <w:tcPr>
            <w:tcW w:w="955" w:type="dxa"/>
            <w:tcBorders>
              <w:left w:val="single" w:sz="4" w:space="0" w:color="000000"/>
              <w:bottom w:val="single" w:sz="2" w:space="0" w:color="000000"/>
            </w:tcBorders>
            <w:tcMar>
              <w:top w:w="55" w:type="dxa"/>
              <w:left w:w="55" w:type="dxa"/>
              <w:bottom w:w="55" w:type="dxa"/>
              <w:right w:w="55" w:type="dxa"/>
            </w:tcMar>
            <w:vAlign w:val="center"/>
          </w:tcPr>
          <w:p>
            <w:pPr>
              <w:pStyle w:val="Normal11"/>
              <w:jc w:val="center"/>
              <w:rPr>
                <w:rFonts w:ascii="Calibri" w:hAnsi="Calibri"/>
                <w:sz w:val="20"/>
                <w:szCs w:val="20"/>
              </w:rPr>
            </w:pPr>
            <w:r>
              <w:rPr>
                <w:rFonts w:cs="Arial" w:ascii="Calibri" w:hAnsi="Calibri"/>
                <w:color w:val="000000"/>
                <w:sz w:val="20"/>
                <w:szCs w:val="20"/>
              </w:rPr>
              <w:t>02</w:t>
            </w:r>
          </w:p>
        </w:tc>
        <w:tc>
          <w:tcPr>
            <w:tcW w:w="1701" w:type="dxa"/>
            <w:tcBorders>
              <w:left w:val="single" w:sz="2" w:space="0" w:color="000000"/>
              <w:bottom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c>
          <w:tcPr>
            <w:tcW w:w="229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r>
      <w:tr>
        <w:trPr>
          <w:trHeight w:val="1025" w:hRule="atLeast"/>
        </w:trPr>
        <w:tc>
          <w:tcPr>
            <w:tcW w:w="636" w:type="dxa"/>
            <w:tcBorders>
              <w:left w:val="single" w:sz="2" w:space="0" w:color="000000"/>
              <w:bottom w:val="single" w:sz="2" w:space="0" w:color="000000"/>
              <w:right w:val="single" w:sz="4" w:space="0" w:color="000000"/>
            </w:tcBorders>
          </w:tcPr>
          <w:p>
            <w:pPr>
              <w:pStyle w:val="Normal11"/>
              <w:rPr>
                <w:rFonts w:ascii="Calibri" w:hAnsi="Calibri" w:cs="Arial"/>
                <w:sz w:val="20"/>
                <w:szCs w:val="20"/>
              </w:rPr>
            </w:pPr>
            <w:r>
              <w:rPr>
                <w:rFonts w:cs="Arial" w:ascii="Calibri" w:hAnsi="Calibri"/>
                <w:sz w:val="20"/>
                <w:szCs w:val="20"/>
              </w:rPr>
              <w:t xml:space="preserve">     </w:t>
            </w:r>
            <w:r>
              <w:rPr>
                <w:rFonts w:cs="Arial" w:ascii="Calibri" w:hAnsi="Calibri"/>
                <w:sz w:val="20"/>
                <w:szCs w:val="20"/>
              </w:rPr>
              <w:t>04</w:t>
            </w:r>
          </w:p>
        </w:tc>
        <w:tc>
          <w:tcPr>
            <w:tcW w:w="3518" w:type="dxa"/>
            <w:tcBorders>
              <w:left w:val="single" w:sz="2" w:space="0" w:color="000000"/>
              <w:bottom w:val="single" w:sz="2" w:space="0" w:color="000000"/>
              <w:right w:val="single" w:sz="4" w:space="0" w:color="000000"/>
            </w:tcBorders>
            <w:tcMar>
              <w:top w:w="55" w:type="dxa"/>
              <w:left w:w="55" w:type="dxa"/>
              <w:bottom w:w="55" w:type="dxa"/>
              <w:right w:w="55" w:type="dxa"/>
            </w:tcMar>
          </w:tcPr>
          <w:p>
            <w:pPr>
              <w:pStyle w:val="Normal11"/>
              <w:jc w:val="both"/>
              <w:rPr/>
            </w:pPr>
            <w:r>
              <w:rPr>
                <w:rFonts w:cs="Arial"/>
                <w:sz w:val="20"/>
                <w:szCs w:val="20"/>
              </w:rPr>
              <w:t xml:space="preserve">Emissão de Certificado Digital do tipo A3, padrão ICP-Brasil para Pessoa Jurídica, do tipo para </w:t>
            </w:r>
            <w:r>
              <w:rPr>
                <w:rFonts w:cs="Arial" w:ascii="Calibri" w:hAnsi="Calibri"/>
                <w:b w:val="false"/>
                <w:i w:val="false"/>
                <w:caps w:val="false"/>
                <w:smallCaps w:val="false"/>
                <w:color w:val="000000"/>
                <w:spacing w:val="0"/>
                <w:sz w:val="20"/>
                <w:szCs w:val="20"/>
              </w:rPr>
              <w:t>e-Jurídico</w:t>
            </w:r>
            <w:r>
              <w:rPr>
                <w:rFonts w:cs="Arial" w:ascii="Calibri" w:hAnsi="Calibri"/>
                <w:color w:val="000000"/>
                <w:sz w:val="20"/>
                <w:szCs w:val="20"/>
              </w:rPr>
              <w:t xml:space="preserve"> </w:t>
            </w:r>
            <w:r>
              <w:rPr>
                <w:rFonts w:cs="Arial"/>
                <w:sz w:val="20"/>
                <w:szCs w:val="20"/>
              </w:rPr>
              <w:t>, com validade mínima de 36 meses .</w:t>
            </w:r>
          </w:p>
        </w:tc>
        <w:tc>
          <w:tcPr>
            <w:tcW w:w="955" w:type="dxa"/>
            <w:tcBorders>
              <w:left w:val="single" w:sz="4" w:space="0" w:color="000000"/>
              <w:bottom w:val="single" w:sz="2" w:space="0" w:color="000000"/>
            </w:tcBorders>
            <w:tcMar>
              <w:top w:w="55" w:type="dxa"/>
              <w:left w:w="55" w:type="dxa"/>
              <w:bottom w:w="55" w:type="dxa"/>
              <w:right w:w="55" w:type="dxa"/>
            </w:tcMar>
            <w:vAlign w:val="center"/>
          </w:tcPr>
          <w:p>
            <w:pPr>
              <w:pStyle w:val="Normal11"/>
              <w:jc w:val="center"/>
              <w:rPr>
                <w:rFonts w:ascii="Calibri" w:hAnsi="Calibri"/>
                <w:sz w:val="20"/>
                <w:szCs w:val="20"/>
              </w:rPr>
            </w:pPr>
            <w:r>
              <w:rPr>
                <w:rFonts w:ascii="Calibri" w:hAnsi="Calibri"/>
                <w:sz w:val="20"/>
                <w:szCs w:val="20"/>
              </w:rPr>
              <w:t>01</w:t>
            </w:r>
          </w:p>
        </w:tc>
        <w:tc>
          <w:tcPr>
            <w:tcW w:w="1701" w:type="dxa"/>
            <w:tcBorders>
              <w:left w:val="single" w:sz="2" w:space="0" w:color="000000"/>
              <w:bottom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ascii="Calibri" w:hAnsi="Calibri"/>
                <w:sz w:val="20"/>
                <w:szCs w:val="20"/>
              </w:rPr>
              <w:t>R$</w:t>
            </w:r>
          </w:p>
        </w:tc>
        <w:tc>
          <w:tcPr>
            <w:tcW w:w="229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ascii="Calibri" w:hAnsi="Calibri"/>
                <w:sz w:val="20"/>
                <w:szCs w:val="20"/>
              </w:rPr>
              <w:t>R$</w:t>
            </w:r>
          </w:p>
        </w:tc>
      </w:tr>
      <w:tr>
        <w:trPr>
          <w:trHeight w:val="517" w:hRule="atLeast"/>
        </w:trPr>
        <w:tc>
          <w:tcPr>
            <w:tcW w:w="636" w:type="dxa"/>
            <w:tcBorders>
              <w:left w:val="single" w:sz="2" w:space="0" w:color="000000"/>
              <w:bottom w:val="single" w:sz="2" w:space="0" w:color="000000"/>
              <w:right w:val="single" w:sz="4" w:space="0" w:color="000000"/>
            </w:tcBorders>
          </w:tcPr>
          <w:p>
            <w:pPr>
              <w:pStyle w:val="Normal11"/>
              <w:jc w:val="both"/>
              <w:rPr>
                <w:rFonts w:ascii="Calibri" w:hAnsi="Calibri" w:cs="Arial"/>
                <w:sz w:val="20"/>
                <w:szCs w:val="20"/>
              </w:rPr>
            </w:pPr>
            <w:r>
              <w:rPr>
                <w:rFonts w:cs="Arial" w:ascii="Calibri" w:hAnsi="Calibri"/>
                <w:sz w:val="20"/>
                <w:szCs w:val="20"/>
              </w:rPr>
            </w:r>
          </w:p>
        </w:tc>
        <w:tc>
          <w:tcPr>
            <w:tcW w:w="3518" w:type="dxa"/>
            <w:tcBorders>
              <w:left w:val="single" w:sz="2" w:space="0" w:color="000000"/>
              <w:bottom w:val="single" w:sz="2" w:space="0" w:color="000000"/>
              <w:right w:val="single" w:sz="4" w:space="0" w:color="000000"/>
            </w:tcBorders>
            <w:tcMar>
              <w:top w:w="55" w:type="dxa"/>
              <w:left w:w="55" w:type="dxa"/>
              <w:bottom w:w="55" w:type="dxa"/>
              <w:right w:w="55" w:type="dxa"/>
            </w:tcMar>
            <w:vAlign w:val="center"/>
          </w:tcPr>
          <w:p>
            <w:pPr>
              <w:pStyle w:val="Normal11"/>
              <w:jc w:val="both"/>
              <w:rPr>
                <w:rFonts w:ascii="Calibri" w:hAnsi="Calibri"/>
                <w:sz w:val="20"/>
                <w:szCs w:val="20"/>
              </w:rPr>
            </w:pPr>
            <w:r>
              <w:rPr>
                <w:rFonts w:cs="Arial" w:ascii="Calibri" w:hAnsi="Calibri"/>
                <w:sz w:val="20"/>
                <w:szCs w:val="20"/>
              </w:rPr>
              <w:t>TOTAL</w:t>
            </w:r>
          </w:p>
        </w:tc>
        <w:tc>
          <w:tcPr>
            <w:tcW w:w="955" w:type="dxa"/>
            <w:tcBorders>
              <w:left w:val="single" w:sz="4" w:space="0" w:color="000000"/>
              <w:bottom w:val="single" w:sz="2" w:space="0" w:color="000000"/>
            </w:tcBorders>
            <w:tcMar>
              <w:top w:w="55" w:type="dxa"/>
              <w:left w:w="55" w:type="dxa"/>
              <w:bottom w:w="55" w:type="dxa"/>
              <w:right w:w="55" w:type="dxa"/>
            </w:tcMar>
            <w:vAlign w:val="center"/>
          </w:tcPr>
          <w:p>
            <w:pPr>
              <w:pStyle w:val="Normal11"/>
              <w:jc w:val="center"/>
              <w:rPr>
                <w:rFonts w:ascii="Calibri" w:hAnsi="Calibri"/>
                <w:sz w:val="20"/>
                <w:szCs w:val="20"/>
              </w:rPr>
            </w:pPr>
            <w:r>
              <w:rPr>
                <w:rFonts w:cs="Arial" w:ascii="Calibri" w:hAnsi="Calibri"/>
                <w:color w:val="000000"/>
                <w:sz w:val="20"/>
                <w:szCs w:val="20"/>
              </w:rPr>
              <w:t>05</w:t>
            </w:r>
          </w:p>
        </w:tc>
        <w:tc>
          <w:tcPr>
            <w:tcW w:w="1701" w:type="dxa"/>
            <w:tcBorders>
              <w:left w:val="single" w:sz="2" w:space="0" w:color="000000"/>
              <w:bottom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c>
          <w:tcPr>
            <w:tcW w:w="229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Standard"/>
              <w:keepNext w:val="true"/>
              <w:jc w:val="center"/>
              <w:rPr>
                <w:rFonts w:ascii="Calibri" w:hAnsi="Calibri"/>
                <w:sz w:val="20"/>
                <w:szCs w:val="20"/>
              </w:rPr>
            </w:pPr>
            <w:r>
              <w:rPr>
                <w:rFonts w:cs="Arial" w:ascii="Calibri" w:hAnsi="Calibri"/>
                <w:color w:val="000000"/>
                <w:sz w:val="20"/>
                <w:szCs w:val="20"/>
              </w:rPr>
              <w:t>R$</w:t>
            </w:r>
          </w:p>
        </w:tc>
      </w:tr>
    </w:tbl>
    <w:p>
      <w:pPr>
        <w:pStyle w:val="Normal"/>
        <w:spacing w:lineRule="auto" w:line="360"/>
        <w:ind w:right="139"/>
        <w:jc w:val="both"/>
        <w:rPr>
          <w:rFonts w:ascii="Cambria" w:hAnsi="Cambria" w:cs="Cambria"/>
          <w:b/>
          <w:bCs/>
          <w:sz w:val="22"/>
          <w:szCs w:val="22"/>
          <w:u w:val="single"/>
        </w:rPr>
      </w:pPr>
      <w:r>
        <w:rPr>
          <w:rFonts w:cs="Cambria" w:ascii="Cambria" w:hAnsi="Cambria"/>
          <w:b/>
          <w:bCs/>
          <w:sz w:val="22"/>
          <w:szCs w:val="22"/>
          <w:u w:val="single"/>
        </w:rPr>
      </w:r>
    </w:p>
    <w:p>
      <w:pPr>
        <w:pStyle w:val="Normal"/>
        <w:spacing w:lineRule="auto" w:line="360"/>
        <w:ind w:right="139"/>
        <w:jc w:val="both"/>
        <w:rPr>
          <w:rFonts w:ascii="Cambria" w:hAnsi="Cambria" w:cs="Cambria"/>
          <w:b/>
          <w:bCs/>
          <w:sz w:val="22"/>
          <w:szCs w:val="22"/>
          <w:u w:val="single"/>
        </w:rPr>
      </w:pPr>
      <w:r>
        <w:rPr>
          <w:rFonts w:cs="Cambria" w:ascii="Cambria" w:hAnsi="Cambria"/>
          <w:b/>
          <w:bCs/>
          <w:sz w:val="22"/>
          <w:szCs w:val="22"/>
          <w:u w:val="single"/>
        </w:rPr>
      </w:r>
    </w:p>
    <w:p>
      <w:pPr>
        <w:pStyle w:val="Normal"/>
        <w:spacing w:lineRule="auto" w:line="360"/>
        <w:ind w:right="139"/>
        <w:jc w:val="both"/>
        <w:rPr/>
      </w:pPr>
      <w:r>
        <w:rPr>
          <w:rFonts w:eastAsia="Cambria" w:cs="Cambria" w:ascii="Cambria" w:hAnsi="Cambria"/>
          <w:sz w:val="22"/>
          <w:szCs w:val="22"/>
        </w:rPr>
        <w:t xml:space="preserve"> </w:t>
      </w:r>
      <w:r>
        <w:rPr>
          <w:rFonts w:cs="Cambria" w:ascii="Calibri" w:hAnsi="Calibri"/>
          <w:sz w:val="20"/>
          <w:szCs w:val="20"/>
        </w:rPr>
        <w:t xml:space="preserve">3. Declaro que nos preços cotados e que vigorarão no contrato incluem todos os custos diretos e indiretos necessários à execução dos serviços, o fornecimento da mão-de-obra, materiais, peças, ferramentas, equipamentos, utensílios, treinamento e demais atividades correlatas necessárias para a perfeita execução do objeto solicitado inclusive os referentes às despesas trabalhistas, previdenciárias, impostos, taxas, emolumentos e quaisquer outras despesas e encargos, constituindo, a qualquer título, a única e completa remuneração pela adequada e perfeita prestação e entrega dos serviços, de modo que nenhuma outra remuneração será devida, a qualquer título, descartada qualquer hipótese de responsabilidade solidária pelo pagamento de toda e qualquer despesa, direta ou indiretamente relacionada com a prestação dos serviços.     </w:t>
      </w:r>
    </w:p>
    <w:p>
      <w:pPr>
        <w:pStyle w:val="Normal"/>
        <w:spacing w:lineRule="auto" w:line="360"/>
        <w:ind w:right="139"/>
        <w:jc w:val="both"/>
        <w:rPr>
          <w:rFonts w:ascii="Calibri" w:hAnsi="Calibri"/>
          <w:sz w:val="20"/>
          <w:szCs w:val="20"/>
        </w:rPr>
      </w:pPr>
      <w:r>
        <w:rPr>
          <w:rFonts w:cs="Cambria" w:ascii="Calibri" w:hAnsi="Calibri"/>
          <w:sz w:val="20"/>
          <w:szCs w:val="20"/>
        </w:rPr>
        <w:t>4. Valor Total Da Proposta: R$</w:t>
      </w:r>
      <w:r>
        <w:rPr>
          <w:rFonts w:cs="Cambria" w:ascii="Calibri" w:hAnsi="Calibri"/>
          <w:b/>
          <w:sz w:val="20"/>
          <w:szCs w:val="20"/>
        </w:rPr>
        <w:t>_____________________________________</w:t>
      </w:r>
    </w:p>
    <w:p>
      <w:pPr>
        <w:pStyle w:val="Normal"/>
        <w:spacing w:lineRule="auto" w:line="360"/>
        <w:ind w:right="139"/>
        <w:jc w:val="both"/>
        <w:rPr>
          <w:rFonts w:ascii="Calibri" w:hAnsi="Calibri"/>
          <w:sz w:val="20"/>
          <w:szCs w:val="20"/>
        </w:rPr>
      </w:pPr>
      <w:r>
        <w:rPr>
          <w:rFonts w:cs="Cambria" w:ascii="Calibri" w:hAnsi="Calibri"/>
          <w:sz w:val="20"/>
          <w:szCs w:val="20"/>
        </w:rPr>
        <w:t>5</w:t>
      </w:r>
      <w:r>
        <w:rPr>
          <w:rFonts w:cs="Cambria" w:ascii="Calibri" w:hAnsi="Calibri"/>
          <w:b/>
          <w:sz w:val="20"/>
          <w:szCs w:val="20"/>
        </w:rPr>
        <w:t xml:space="preserve">. </w:t>
      </w:r>
      <w:r>
        <w:rPr>
          <w:rFonts w:cs="Cambria" w:ascii="Calibri" w:hAnsi="Calibri"/>
          <w:sz w:val="20"/>
          <w:szCs w:val="20"/>
        </w:rPr>
        <w:t xml:space="preserve">Validade Da Proposta (mínimo sessenta dias) ______/________/_______ </w:t>
      </w:r>
    </w:p>
    <w:p>
      <w:pPr>
        <w:pStyle w:val="Normal"/>
        <w:spacing w:lineRule="auto" w:line="360"/>
        <w:ind w:right="139"/>
        <w:jc w:val="both"/>
        <w:rPr>
          <w:rFonts w:ascii="Calibri" w:hAnsi="Calibri"/>
          <w:sz w:val="20"/>
          <w:szCs w:val="20"/>
        </w:rPr>
      </w:pPr>
      <w:r>
        <w:rPr>
          <w:rFonts w:cs="Cambria" w:ascii="Calibri" w:hAnsi="Calibri"/>
          <w:sz w:val="20"/>
          <w:szCs w:val="20"/>
        </w:rPr>
        <w:t>6. Caso sejamos a proposta vencedora e transcorridos todos os trâmites legais desta dispensa, comprometemo-nos a assinar o Contrato no prazo determinado no documento de convocação e, para esse fim, fornecemos os seguintes dados:</w:t>
      </w:r>
    </w:p>
    <w:p>
      <w:pPr>
        <w:pStyle w:val="Normal"/>
        <w:spacing w:lineRule="auto" w:line="360"/>
        <w:ind w:right="139"/>
        <w:jc w:val="both"/>
        <w:rPr>
          <w:rFonts w:ascii="Calibri" w:hAnsi="Calibri"/>
          <w:sz w:val="20"/>
          <w:szCs w:val="20"/>
        </w:rPr>
      </w:pPr>
      <w:r>
        <w:rPr>
          <w:rFonts w:cs="Cambria" w:ascii="Calibri" w:hAnsi="Calibri"/>
          <w:sz w:val="20"/>
          <w:szCs w:val="20"/>
        </w:rPr>
        <w:t>Razão Social ___________________________________________________________ CNPJ:_____________________ I.E. ____________________ I.M. _______________ Endereço eletrônico (e-mail):_______________________________________________ Tel/Fax:_________________CEP:_______Cidade:________________UF:____Banco:________Agência: ____________C/C: _________________________________</w:t>
      </w:r>
    </w:p>
    <w:p>
      <w:pPr>
        <w:pStyle w:val="Normal"/>
        <w:spacing w:lineRule="auto" w:line="360"/>
        <w:ind w:right="139"/>
        <w:rPr>
          <w:rFonts w:ascii="Calibri" w:hAnsi="Calibri"/>
          <w:sz w:val="20"/>
          <w:szCs w:val="20"/>
        </w:rPr>
      </w:pPr>
      <w:r>
        <w:rPr>
          <w:rFonts w:cs="Cambria" w:ascii="Calibri" w:hAnsi="Calibri"/>
          <w:sz w:val="20"/>
          <w:szCs w:val="20"/>
        </w:rPr>
        <w:t xml:space="preserve">7. Dados do Representante Legal da Empresa para assinatura do Contrato: Nome:_________________________________________________________________________________________________________ Endereço:____________________________________________________________________________ CEP:___________________ Cidade:________________________UF:_______________ CPF: ________________________________________________________ Cargo/Função:_________________________________________________________________________________________________ </w:t>
      </w:r>
    </w:p>
    <w:p>
      <w:pPr>
        <w:pStyle w:val="Normal"/>
        <w:spacing w:lineRule="auto" w:line="360"/>
        <w:ind w:right="139"/>
        <w:jc w:val="both"/>
        <w:rPr>
          <w:rFonts w:ascii="Calibri" w:hAnsi="Calibri" w:cs="Cambria"/>
          <w:sz w:val="20"/>
          <w:szCs w:val="20"/>
        </w:rPr>
      </w:pPr>
      <w:r>
        <w:rPr>
          <w:rFonts w:cs="Cambria" w:ascii="Calibri" w:hAnsi="Calibri"/>
          <w:sz w:val="20"/>
          <w:szCs w:val="20"/>
        </w:rPr>
      </w:r>
    </w:p>
    <w:p>
      <w:pPr>
        <w:pStyle w:val="Normal"/>
        <w:ind w:right="139"/>
        <w:jc w:val="center"/>
        <w:rPr>
          <w:rFonts w:ascii="Calibri" w:hAnsi="Calibri"/>
          <w:sz w:val="20"/>
          <w:szCs w:val="20"/>
        </w:rPr>
      </w:pPr>
      <w:r>
        <w:rPr>
          <w:rFonts w:cs="Cambria" w:ascii="Calibri" w:hAnsi="Calibri"/>
          <w:sz w:val="20"/>
          <w:szCs w:val="20"/>
        </w:rPr>
        <w:t>__________________________________________________</w:t>
        <w:softHyphen/>
        <w:softHyphen/>
        <w:softHyphen/>
        <w:softHyphen/>
        <w:t>___________________</w:t>
      </w:r>
    </w:p>
    <w:p>
      <w:pPr>
        <w:pStyle w:val="Normal"/>
        <w:ind w:right="139"/>
        <w:jc w:val="center"/>
        <w:rPr>
          <w:rFonts w:ascii="Calibri" w:hAnsi="Calibri"/>
          <w:sz w:val="20"/>
          <w:szCs w:val="20"/>
        </w:rPr>
      </w:pPr>
      <w:r>
        <w:rPr>
          <w:rFonts w:cs="Cambria" w:ascii="Calibri" w:hAnsi="Calibri"/>
          <w:sz w:val="20"/>
          <w:szCs w:val="20"/>
        </w:rPr>
        <w:t>Assinatura</w:t>
      </w:r>
    </w:p>
    <w:p>
      <w:pPr>
        <w:pStyle w:val="Normal"/>
        <w:spacing w:lineRule="auto" w:line="360"/>
        <w:ind w:right="139"/>
        <w:jc w:val="both"/>
        <w:rPr>
          <w:rStyle w:val="Emphasis"/>
          <w:rFonts w:ascii="Cambria" w:hAnsi="Cambria" w:eastAsia="Arial" w:cs="Cambria"/>
          <w:b/>
          <w:bCs/>
          <w:sz w:val="22"/>
          <w:szCs w:val="22"/>
        </w:rPr>
      </w:pPr>
      <w:r>
        <w:rPr>
          <w:rFonts w:eastAsia="Arial" w:cs="Cambria" w:ascii="Cambria" w:hAnsi="Cambria"/>
          <w:b/>
          <w:bCs/>
          <w:sz w:val="22"/>
          <w:szCs w:val="22"/>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134" w:right="1134"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OpenSymbol">
    <w:altName w:val="Arial Unicode MS"/>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Liberation Sans">
    <w:altName w:val="Arial"/>
    <w:charset w:val="00"/>
    <w:family w:val="roman"/>
    <w:pitch w:val="variable"/>
  </w:font>
  <w:font w:name="Cambria">
    <w:charset w:val="00"/>
    <w:family w:val="roman"/>
    <w:pitch w:val="variable"/>
  </w:font>
  <w:font w:name="Rawline">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color w:themeColor="text2" w:themeTint="99" w:val="548DD4"/>
            <w:spacing w:val="60"/>
            <w:sz w:val="16"/>
            <w:szCs w:val="16"/>
          </w:rPr>
        </w:pPr>
        <w:r>
          <w:rPr>
            <w:color w:themeColor="text2" w:themeTint="99" w:val="548DD4"/>
            <w:spacing w:val="60"/>
            <w:sz w:val="16"/>
            <w:szCs w:val="16"/>
          </w:rPr>
        </w:r>
      </w:p>
      <w:p>
        <w:pPr>
          <w:pStyle w:val="Footer"/>
          <w:rPr>
            <w:color w:themeColor="text2" w:themeTint="99" w:val="548DD4"/>
            <w:spacing w:val="60"/>
            <w:sz w:val="16"/>
            <w:szCs w:val="16"/>
          </w:rPr>
        </w:pPr>
        <w:r>
          <w:rPr>
            <w:color w:themeColor="text2" w:themeTint="99" w:val="548DD4"/>
            <w:spacing w:val="60"/>
            <w:sz w:val="16"/>
            <w:szCs w:val="16"/>
          </w:rPr>
        </w:r>
      </w:p>
      <w:p>
        <w:pPr>
          <w:pStyle w:val="Footer"/>
          <w:rPr>
            <w:color w:themeColor="text2" w:themeTint="99" w:val="548DD4"/>
            <w:spacing w:val="60"/>
            <w:sz w:val="16"/>
            <w:szCs w:val="16"/>
          </w:rPr>
        </w:pPr>
        <w:r>
          <w:rPr>
            <w:color w:themeColor="text2" w:themeTint="99" w:val="548DD4"/>
            <w:spacing w:val="60"/>
            <w:sz w:val="22"/>
            <w:szCs w:val="22"/>
          </w:rPr>
          <w:tab/>
          <w:tab/>
        </w:r>
      </w:p>
      <w:p>
        <w:pPr>
          <w:pStyle w:val="Footer"/>
          <w:rPr>
            <w:rFonts w:ascii="Arial" w:hAnsi="Arial" w:cs="Arial"/>
            <w:color w:themeColor="text1" w:themeTint="80" w:val="7F7F7F"/>
            <w:sz w:val="12"/>
          </w:rPr>
        </w:pPr>
        <w:r>
          <w:rPr>
            <w:color w:themeColor="text1" w:themeTint="80" w:val="7F7F7F"/>
            <w:spacing w:val="60"/>
            <w:sz w:val="22"/>
            <w:szCs w:val="22"/>
          </w:rPr>
          <w:tab/>
          <w:tab/>
        </w:r>
        <w:r>
          <w:rPr>
            <w:color w:themeColor="text1" w:themeTint="a6" w:val="595959"/>
            <w:spacing w:val="60"/>
            <w:sz w:val="22"/>
            <w:szCs w:val="22"/>
          </w:rPr>
          <w:t>Página</w:t>
        </w:r>
        <w:r>
          <w:rPr>
            <w:color w:themeColor="text1" w:themeTint="a6" w:val="595959"/>
            <w:sz w:val="22"/>
            <w:szCs w:val="22"/>
          </w:rPr>
          <w:t xml:space="preserve"> </w:t>
        </w:r>
        <w:r>
          <w:rPr>
            <w:color w:themeColor="text1" w:themeTint="a6" w:val="595959"/>
            <w:sz w:val="22"/>
            <w:szCs w:val="22"/>
            <w:shd w:fill="E6E6E6" w:val="clear"/>
          </w:rPr>
          <w:fldChar w:fldCharType="begin"/>
        </w:r>
        <w:r>
          <w:rPr>
            <w:sz w:val="22"/>
            <w:shd w:fill="E6E6E6" w:val="clear"/>
            <w:szCs w:val="22"/>
            <w:color w:themeColor="text1" w:themeTint="a6" w:val="595959"/>
          </w:rPr>
          <w:instrText xml:space="preserve"> NUMPAGES </w:instrText>
        </w:r>
        <w:r>
          <w:rPr>
            <w:sz w:val="22"/>
            <w:shd w:fill="E6E6E6" w:val="clear"/>
            <w:szCs w:val="22"/>
            <w:color w:themeColor="text1" w:themeTint="a6" w:val="595959"/>
          </w:rPr>
          <w:fldChar w:fldCharType="separate"/>
        </w:r>
        <w:r>
          <w:rPr>
            <w:sz w:val="22"/>
            <w:shd w:fill="E6E6E6" w:val="clear"/>
            <w:szCs w:val="22"/>
            <w:color w:themeColor="text1" w:themeTint="a6" w:val="595959"/>
          </w:rPr>
          <w:t>16</w:t>
        </w:r>
        <w:r>
          <w:rPr>
            <w:sz w:val="22"/>
            <w:shd w:fill="E6E6E6" w:val="clear"/>
            <w:szCs w:val="22"/>
            <w:color w:themeColor="text1" w:themeTint="a6" w:val="595959"/>
          </w:rPr>
          <w:fldChar w:fldCharType="end"/>
        </w:r>
      </w:p>
      <w:p>
        <w:pPr>
          <w:pStyle w:val="Footer"/>
          <w:rPr>
            <w:rFonts w:ascii="Rawline" w:hAnsi="Rawline" w:cs="Arial"/>
            <w:sz w:val="12"/>
          </w:rPr>
        </w:pPr>
        <w:r>
          <w:rPr>
            <w:rFonts w:cs="Arial" w:ascii="Rawline" w:hAnsi="Rawline"/>
            <w:sz w:val="12"/>
          </w:rPr>
          <w:t>Câmara Nacional de Modelos de Licitações e Contratos da Consultoria-Geral da União</w:t>
        </w:r>
      </w:p>
      <w:p>
        <w:pPr>
          <w:pStyle w:val="Footer"/>
          <w:rPr>
            <w:rFonts w:ascii="Rawline" w:hAnsi="Rawline" w:cs="Arial"/>
            <w:sz w:val="12"/>
          </w:rPr>
        </w:pPr>
        <w:r>
          <w:rPr>
            <w:rFonts w:cs="Arial" w:ascii="Rawline" w:hAnsi="Rawline"/>
            <w:sz w:val="12"/>
          </w:rPr>
          <w:t>Atualização: Dezembro/2023</w:t>
        </w:r>
      </w:p>
      <w:p>
        <w:pPr>
          <w:pStyle w:val="Footer"/>
          <w:rPr>
            <w:rFonts w:ascii="Rawline" w:hAnsi="Rawline"/>
            <w:color w:themeColor="text2" w:themeShade="80" w:val="0F243E"/>
            <w:sz w:val="22"/>
            <w:szCs w:val="22"/>
          </w:rPr>
        </w:pPr>
        <w:r>
          <w:rPr>
            <w:rFonts w:cs="Arial" w:ascii="Rawline" w:hAnsi="Rawline"/>
            <w:sz w:val="12"/>
            <w:szCs w:val="12"/>
          </w:rPr>
          <w:t>Termo de Referência Aquisições – Contratação Direta</w:t>
          <w:tab/>
          <w:tab/>
        </w:r>
      </w:p>
      <w:p>
        <w:pPr>
          <w:pStyle w:val="Footer"/>
          <w:rPr>
            <w:rFonts w:ascii="Rawline" w:hAnsi="Rawline"/>
            <w:sz w:val="12"/>
            <w:szCs w:val="12"/>
          </w:rPr>
        </w:pPr>
        <w:r>
          <w:rPr>
            <w:rFonts w:ascii="Rawline" w:hAnsi="Rawline"/>
            <w:sz w:val="12"/>
            <w:szCs w:val="12"/>
          </w:rPr>
          <w:t>Aprovado pela Secretaria de Gestão.</w:t>
        </w:r>
      </w:p>
      <w:p>
        <w:pPr>
          <w:pStyle w:val="Footer"/>
          <w:rPr>
            <w:rFonts w:ascii="Rawline" w:hAnsi="Rawline"/>
          </w:rPr>
        </w:pPr>
        <w:r>
          <w:rPr>
            <w:rFonts w:ascii="Rawline" w:hAnsi="Rawline"/>
            <w:sz w:val="12"/>
            <w:szCs w:val="12"/>
          </w:rPr>
          <w:t>Identidade visual pela Secretaria de Gestão</w:t>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color w:themeColor="text2" w:themeTint="99" w:val="548DD4"/>
            <w:spacing w:val="60"/>
            <w:sz w:val="16"/>
            <w:szCs w:val="16"/>
          </w:rPr>
        </w:pPr>
        <w:r>
          <w:rPr>
            <w:color w:themeColor="text2" w:themeTint="99" w:val="548DD4"/>
            <w:spacing w:val="60"/>
            <w:sz w:val="16"/>
            <w:szCs w:val="16"/>
          </w:rPr>
        </w:r>
      </w:p>
      <w:p>
        <w:pPr>
          <w:pStyle w:val="Footer"/>
          <w:rPr>
            <w:color w:themeColor="text2" w:themeTint="99" w:val="548DD4"/>
            <w:spacing w:val="60"/>
            <w:sz w:val="16"/>
            <w:szCs w:val="16"/>
          </w:rPr>
        </w:pPr>
        <w:r>
          <w:rPr>
            <w:color w:themeColor="text2" w:themeTint="99" w:val="548DD4"/>
            <w:spacing w:val="60"/>
            <w:sz w:val="16"/>
            <w:szCs w:val="16"/>
          </w:rPr>
        </w:r>
      </w:p>
      <w:p>
        <w:pPr>
          <w:pStyle w:val="Footer"/>
          <w:rPr>
            <w:color w:themeColor="text2" w:themeTint="99" w:val="548DD4"/>
            <w:spacing w:val="60"/>
            <w:sz w:val="16"/>
            <w:szCs w:val="16"/>
          </w:rPr>
        </w:pPr>
        <w:r>
          <w:rPr>
            <w:color w:themeColor="text2" w:themeTint="99" w:val="548DD4"/>
            <w:spacing w:val="60"/>
            <w:sz w:val="22"/>
            <w:szCs w:val="22"/>
          </w:rPr>
          <w:tab/>
          <w:tab/>
        </w:r>
      </w:p>
      <w:p>
        <w:pPr>
          <w:pStyle w:val="Footer"/>
          <w:rPr>
            <w:rFonts w:ascii="Arial" w:hAnsi="Arial" w:cs="Arial"/>
            <w:color w:themeColor="text1" w:themeTint="80" w:val="7F7F7F"/>
            <w:sz w:val="12"/>
          </w:rPr>
        </w:pPr>
        <w:r>
          <w:rPr>
            <w:color w:themeColor="text1" w:themeTint="80" w:val="7F7F7F"/>
            <w:spacing w:val="60"/>
            <w:sz w:val="22"/>
            <w:szCs w:val="22"/>
          </w:rPr>
          <w:tab/>
          <w:tab/>
        </w:r>
        <w:r>
          <w:rPr>
            <w:color w:themeColor="text1" w:themeTint="a6" w:val="595959"/>
            <w:spacing w:val="60"/>
            <w:sz w:val="22"/>
            <w:szCs w:val="22"/>
          </w:rPr>
          <w:t>Página</w:t>
        </w:r>
        <w:r>
          <w:rPr>
            <w:color w:themeColor="text1" w:themeTint="a6" w:val="595959"/>
            <w:sz w:val="22"/>
            <w:szCs w:val="22"/>
          </w:rPr>
          <w:t xml:space="preserve"> </w:t>
        </w:r>
        <w:r>
          <w:rPr>
            <w:color w:themeColor="text1" w:themeTint="a6" w:val="595959"/>
            <w:sz w:val="22"/>
            <w:szCs w:val="22"/>
            <w:shd w:fill="E6E6E6" w:val="clear"/>
          </w:rPr>
          <w:fldChar w:fldCharType="begin"/>
        </w:r>
        <w:r>
          <w:rPr>
            <w:sz w:val="22"/>
            <w:shd w:fill="E6E6E6" w:val="clear"/>
            <w:szCs w:val="22"/>
            <w:color w:themeColor="text1" w:themeTint="a6" w:val="595959"/>
          </w:rPr>
          <w:instrText xml:space="preserve"> NUMPAGES </w:instrText>
        </w:r>
        <w:r>
          <w:rPr>
            <w:sz w:val="22"/>
            <w:shd w:fill="E6E6E6" w:val="clear"/>
            <w:szCs w:val="22"/>
            <w:color w:themeColor="text1" w:themeTint="a6" w:val="595959"/>
          </w:rPr>
          <w:fldChar w:fldCharType="separate"/>
        </w:r>
        <w:r>
          <w:rPr>
            <w:sz w:val="22"/>
            <w:shd w:fill="E6E6E6" w:val="clear"/>
            <w:szCs w:val="22"/>
            <w:color w:themeColor="text1" w:themeTint="a6" w:val="595959"/>
          </w:rPr>
          <w:t>16</w:t>
        </w:r>
        <w:r>
          <w:rPr>
            <w:sz w:val="22"/>
            <w:shd w:fill="E6E6E6" w:val="clear"/>
            <w:szCs w:val="22"/>
            <w:color w:themeColor="text1" w:themeTint="a6" w:val="595959"/>
          </w:rPr>
          <w:fldChar w:fldCharType="end"/>
        </w:r>
      </w:p>
      <w:p>
        <w:pPr>
          <w:pStyle w:val="Footer"/>
          <w:rPr>
            <w:rFonts w:ascii="Rawline" w:hAnsi="Rawline" w:cs="Arial"/>
            <w:sz w:val="12"/>
          </w:rPr>
        </w:pPr>
        <w:r>
          <w:rPr>
            <w:rFonts w:cs="Arial" w:ascii="Rawline" w:hAnsi="Rawline"/>
            <w:sz w:val="12"/>
          </w:rPr>
          <w:t>Câmara Nacional de Modelos de Licitações e Contratos da Consultoria-Geral da União</w:t>
        </w:r>
      </w:p>
      <w:p>
        <w:pPr>
          <w:pStyle w:val="Footer"/>
          <w:rPr>
            <w:rFonts w:ascii="Rawline" w:hAnsi="Rawline" w:cs="Arial"/>
            <w:sz w:val="12"/>
          </w:rPr>
        </w:pPr>
        <w:r>
          <w:rPr>
            <w:rFonts w:cs="Arial" w:ascii="Rawline" w:hAnsi="Rawline"/>
            <w:sz w:val="12"/>
          </w:rPr>
          <w:t>Atualização: Dezembro/2023</w:t>
        </w:r>
      </w:p>
      <w:p>
        <w:pPr>
          <w:pStyle w:val="Footer"/>
          <w:rPr>
            <w:rFonts w:ascii="Rawline" w:hAnsi="Rawline"/>
            <w:color w:themeColor="text2" w:themeShade="80" w:val="0F243E"/>
            <w:sz w:val="22"/>
            <w:szCs w:val="22"/>
          </w:rPr>
        </w:pPr>
        <w:r>
          <w:rPr>
            <w:rFonts w:cs="Arial" w:ascii="Rawline" w:hAnsi="Rawline"/>
            <w:sz w:val="12"/>
            <w:szCs w:val="12"/>
          </w:rPr>
          <w:t>Termo de Referência Aquisições – Contratação Direta</w:t>
          <w:tab/>
          <w:tab/>
        </w:r>
      </w:p>
      <w:p>
        <w:pPr>
          <w:pStyle w:val="Footer"/>
          <w:rPr>
            <w:rFonts w:ascii="Rawline" w:hAnsi="Rawline"/>
            <w:sz w:val="12"/>
            <w:szCs w:val="12"/>
          </w:rPr>
        </w:pPr>
        <w:r>
          <w:rPr>
            <w:rFonts w:ascii="Rawline" w:hAnsi="Rawline"/>
            <w:sz w:val="12"/>
            <w:szCs w:val="12"/>
          </w:rPr>
          <w:t>Aprovado pela Secretaria de Gestão.</w:t>
        </w:r>
      </w:p>
      <w:p>
        <w:pPr>
          <w:pStyle w:val="Footer"/>
          <w:rPr>
            <w:rFonts w:ascii="Rawline" w:hAnsi="Rawline"/>
          </w:rPr>
        </w:pPr>
        <w:r>
          <w:rPr>
            <w:rFonts w:ascii="Rawline" w:hAnsi="Rawline"/>
            <w:sz w:val="12"/>
            <w:szCs w:val="12"/>
          </w:rPr>
          <w:t>Identidade visual pela Secretaria de Gestão</w:t>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sz w:val="20"/>
        <w:szCs w:val="20"/>
      </w:rPr>
    </w:pPr>
    <w:r>
      <w:rPr>
        <w:rFonts w:cs="Arial" w:ascii="Arial" w:hAnsi="Arial"/>
        <w:sz w:val="20"/>
        <w:szCs w:val="20"/>
      </w:rPr>
      <w:t>TERMO DE REFERÊNCIA Nº 01/2025 – AQUISIÇÕES –</w:t>
    </w:r>
    <w:r>
      <w:rPr>
        <w:rFonts w:cs="Arial" w:ascii="Arial" w:hAnsi="Arial"/>
        <w:sz w:val="20"/>
        <w:szCs w:val="20"/>
        <w:shd w:fill="FFFFFF" w:val="clear"/>
      </w:rPr>
      <w:t xml:space="preserve"> CONTRATAÇÃO DIRETA</w:t>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drawing>
        <wp:inline distT="0" distB="0" distL="0" distR="0">
          <wp:extent cx="3829685" cy="673735"/>
          <wp:effectExtent l="0" t="0" r="0" b="0"/>
          <wp:docPr id="1" name="Imagem 15" descr="Logo_coren_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5" descr="Logo_coren_rn"/>
                  <pic:cNvPicPr>
                    <a:picLocks noChangeAspect="1" noChangeArrowheads="1"/>
                  </pic:cNvPicPr>
                </pic:nvPicPr>
                <pic:blipFill>
                  <a:blip r:embed="rId1"/>
                  <a:stretch>
                    <a:fillRect/>
                  </a:stretch>
                </pic:blipFill>
                <pic:spPr bwMode="auto">
                  <a:xfrm>
                    <a:off x="0" y="0"/>
                    <a:ext cx="3829685" cy="673735"/>
                  </a:xfrm>
                  <a:prstGeom prst="rect">
                    <a:avLst/>
                  </a:prstGeom>
                </pic:spPr>
              </pic:pic>
            </a:graphicData>
          </a:graphic>
        </wp:inline>
      </w:drawing>
    </w:r>
  </w:p>
  <w:p>
    <w:pPr>
      <w:pStyle w:val="Header"/>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sz w:val="20"/>
        <w:szCs w:val="20"/>
      </w:rPr>
    </w:pPr>
    <w:r>
      <w:rPr>
        <w:rFonts w:cs="Arial" w:ascii="Arial" w:hAnsi="Arial"/>
        <w:sz w:val="20"/>
        <w:szCs w:val="20"/>
      </w:rPr>
      <w:t>TERMO DE REFERÊNCIA Nº 01/2025 – AQUISIÇÕES –</w:t>
    </w:r>
    <w:r>
      <w:rPr>
        <w:rFonts w:cs="Arial" w:ascii="Arial" w:hAnsi="Arial"/>
        <w:sz w:val="20"/>
        <w:szCs w:val="20"/>
        <w:shd w:fill="FFFFFF" w:val="clear"/>
      </w:rPr>
      <w:t xml:space="preserve"> CONTRATAÇÃO DIRETA</w:t>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drawing>
        <wp:inline distT="0" distB="0" distL="0" distR="0">
          <wp:extent cx="3829685" cy="673735"/>
          <wp:effectExtent l="0" t="0" r="0" b="0"/>
          <wp:docPr id="2" name="Imagem 15" descr="Logo_coren_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5" descr="Logo_coren_rn"/>
                  <pic:cNvPicPr>
                    <a:picLocks noChangeAspect="1" noChangeArrowheads="1"/>
                  </pic:cNvPicPr>
                </pic:nvPicPr>
                <pic:blipFill>
                  <a:blip r:embed="rId1"/>
                  <a:stretch>
                    <a:fillRect/>
                  </a:stretch>
                </pic:blipFill>
                <pic:spPr bwMode="auto">
                  <a:xfrm>
                    <a:off x="0" y="0"/>
                    <a:ext cx="3829685" cy="673735"/>
                  </a:xfrm>
                  <a:prstGeom prst="rect">
                    <a:avLst/>
                  </a:prstGeom>
                </pic:spPr>
              </pic:pic>
            </a:graphicData>
          </a:graphic>
        </wp:inline>
      </w:drawing>
    </w:r>
  </w:p>
  <w:p>
    <w:pPr>
      <w:pStyle w:val="Header"/>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4"/>
  </w:num>
  <w:num w:numId="114">
    <w:abstractNumId w:val="4"/>
  </w:num>
  <w:num w:numId="115">
    <w:abstractNumId w:val="4"/>
  </w:num>
  <w:num w:numId="116">
    <w:abstractNumId w:val="4"/>
  </w:num>
  <w:num w:numId="117">
    <w:abstractNumId w:val="4"/>
  </w:num>
  <w:num w:numId="118">
    <w:abstractNumId w:val="4"/>
  </w:num>
  <w:num w:numId="119">
    <w:abstractNumId w:val="4"/>
  </w:num>
  <w:num w:numId="120">
    <w:abstractNumId w:val="4"/>
  </w:num>
  <w:num w:numId="121">
    <w:abstractNumId w:val="4"/>
  </w:num>
  <w:num w:numId="122">
    <w:abstractNumId w:val="4"/>
  </w:num>
  <w:num w:numId="123">
    <w:abstractNumId w:val="4"/>
  </w:num>
  <w:num w:numId="124">
    <w:abstractNumId w:val="4"/>
  </w:num>
  <w:num w:numId="125">
    <w:abstractNumId w:val="4"/>
  </w:num>
  <w:num w:numId="126">
    <w:abstractNumId w:val="4"/>
  </w:num>
  <w:num w:numId="127">
    <w:abstractNumId w:val="4"/>
  </w:num>
  <w:num w:numId="128">
    <w:abstractNumId w:val="4"/>
  </w:num>
  <w:num w:numId="129">
    <w:abstractNumId w:val="4"/>
  </w:num>
  <w:num w:numId="130">
    <w:abstractNumId w:val="4"/>
  </w:num>
  <w:num w:numId="131">
    <w:abstractNumId w:val="4"/>
  </w:num>
  <w:num w:numId="132">
    <w:abstractNumId w:val="4"/>
  </w:num>
  <w:num w:numId="133">
    <w:abstractNumId w:val="4"/>
  </w:num>
  <w:num w:numId="134">
    <w:abstractNumId w:val="4"/>
  </w:num>
  <w:num w:numId="135">
    <w:abstractNumId w:val="4"/>
  </w:num>
  <w:num w:numId="136">
    <w:abstractNumId w:val="4"/>
  </w:num>
  <w:num w:numId="137">
    <w:abstractNumId w:val="4"/>
  </w:num>
  <w:num w:numId="138">
    <w:abstractNumId w:val="4"/>
  </w:num>
  <w:num w:numId="139">
    <w:abstractNumId w:val="4"/>
  </w:num>
  <w:num w:numId="140">
    <w:abstractNumId w:val="4"/>
  </w:num>
  <w:num w:numId="141">
    <w:abstractNumId w:val="4"/>
  </w:num>
  <w:num w:numId="142">
    <w:abstractNumId w:val="4"/>
  </w:num>
  <w:num w:numId="143">
    <w:abstractNumId w:val="4"/>
  </w:num>
  <w:num w:numId="144">
    <w:abstractNumId w:val="4"/>
  </w:num>
  <w:num w:numId="145">
    <w:abstractNumId w:val="4"/>
  </w:num>
  <w:num w:numId="146">
    <w:abstractNumId w:val="4"/>
  </w:num>
  <w:num w:numId="147">
    <w:abstractNumId w:val="4"/>
  </w:num>
  <w:num w:numId="148">
    <w:abstractNumId w:val="4"/>
  </w:num>
  <w:num w:numId="149">
    <w:abstractNumId w:val="4"/>
  </w:num>
  <w:num w:numId="150">
    <w:abstractNumId w:val="4"/>
  </w:num>
  <w:num w:numId="151">
    <w:abstractNumId w:val="4"/>
  </w:num>
  <w:num w:numId="152">
    <w:abstractNumId w:val="4"/>
  </w:num>
  <w:num w:numId="153">
    <w:abstractNumId w:val="4"/>
  </w:num>
  <w:num w:numId="154">
    <w:abstractNumId w:val="4"/>
  </w:num>
  <w:num w:numId="155">
    <w:abstractNumId w:val="4"/>
  </w:num>
  <w:num w:numId="156">
    <w:abstractNumId w:val="4"/>
  </w:num>
  <w:num w:numId="157">
    <w:abstractNumId w:val="4"/>
  </w:num>
  <w:num w:numId="158">
    <w:abstractNumId w:val="4"/>
  </w:num>
  <w:num w:numId="159">
    <w:abstractNumId w:val="4"/>
  </w:num>
  <w:num w:numId="160">
    <w:abstractNumId w:val="4"/>
  </w:num>
  <w:num w:numId="161">
    <w:abstractNumId w:val="4"/>
  </w:num>
  <w:num w:numId="162">
    <w:abstractNumId w:val="4"/>
  </w:num>
  <w:num w:numId="163">
    <w:abstractNumId w:val="4"/>
  </w:num>
  <w:num w:numId="164">
    <w:abstractNumId w:val="4"/>
  </w:num>
  <w:num w:numId="165">
    <w:abstractNumId w:val="4"/>
  </w:num>
  <w:num w:numId="166">
    <w:abstractNumId w:val="4"/>
  </w:num>
  <w:num w:numId="167">
    <w:abstractNumId w:val="4"/>
  </w:num>
  <w:num w:numId="168">
    <w:abstractNumId w:val="4"/>
  </w:num>
  <w:num w:numId="169">
    <w:abstractNumId w:val="4"/>
  </w:num>
  <w:num w:numId="170">
    <w:abstractNumId w:val="4"/>
  </w:num>
  <w:num w:numId="171">
    <w:abstractNumId w:val="4"/>
  </w:num>
  <w:num w:numId="172">
    <w:abstractNumId w:val="4"/>
  </w:num>
  <w:num w:numId="173">
    <w:abstractNumId w:val="4"/>
  </w:num>
  <w:num w:numId="174">
    <w:abstractNumId w:val="4"/>
  </w:num>
  <w:num w:numId="175">
    <w:abstractNumId w:val="4"/>
  </w:num>
  <w:num w:numId="176">
    <w:abstractNumId w:val="4"/>
  </w:num>
  <w:num w:numId="177">
    <w:abstractNumId w:val="4"/>
  </w:num>
  <w:num w:numId="178">
    <w:abstractNumId w:val="4"/>
  </w:num>
  <w:num w:numId="179">
    <w:abstractNumId w:val="4"/>
  </w:num>
  <w:num w:numId="180">
    <w:abstractNumId w:val="4"/>
  </w:num>
  <w:num w:numId="181">
    <w:abstractNumId w:val="4"/>
  </w:num>
  <w:num w:numId="182">
    <w:abstractNumId w:val="4"/>
  </w:num>
  <w:num w:numId="183">
    <w:abstractNumId w:val="4"/>
  </w:num>
  <w:num w:numId="184">
    <w:abstractNumId w:val="4"/>
  </w:num>
  <w:num w:numId="185">
    <w:abstractNumId w:val="4"/>
  </w:num>
  <w:num w:numId="186">
    <w:abstractNumId w:val="4"/>
  </w:num>
  <w:num w:numId="187">
    <w:abstractNumId w:val="4"/>
  </w:num>
  <w:num w:numId="188">
    <w:abstractNumId w:val="4"/>
  </w:num>
  <w:num w:numId="189">
    <w:abstractNumId w:val="4"/>
  </w:num>
  <w:num w:numId="190">
    <w:abstractNumId w:val="4"/>
  </w:num>
  <w:num w:numId="191">
    <w:abstractNumId w:val="4"/>
  </w:num>
  <w:num w:numId="192">
    <w:abstractNumId w:val="4"/>
  </w:num>
  <w:num w:numId="193">
    <w:abstractNumId w:val="4"/>
  </w:num>
  <w:num w:numId="194">
    <w:abstractNumId w:val="4"/>
  </w:num>
  <w:num w:numId="195">
    <w:abstractNumId w:val="4"/>
  </w:num>
  <w:num w:numId="196">
    <w:abstractNumId w:val="4"/>
  </w:num>
  <w:num w:numId="197">
    <w:abstractNumId w:val="4"/>
  </w:num>
  <w:num w:numId="198">
    <w:abstractNumId w:val="4"/>
  </w:num>
  <w:num w:numId="199">
    <w:abstractNumId w:val="4"/>
  </w:num>
  <w:num w:numId="200">
    <w:abstractNumId w:val="4"/>
  </w:num>
  <w:num w:numId="201">
    <w:abstractNumId w:val="4"/>
  </w:num>
  <w:num w:numId="202">
    <w:abstractNumId w:val="4"/>
  </w:num>
  <w:num w:numId="203">
    <w:abstractNumId w:val="4"/>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bering>
</file>

<file path=word/settings.xml><?xml version="1.0" encoding="utf-8"?>
<w:settings xmlns:w="http://schemas.openxmlformats.org/wordprocessingml/2006/main">
  <w:zoom w:percent="100"/>
  <w:mirrorMargins/>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uiPriority="1"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uiPriority w:val="9"/>
    <w:qFormat/>
    <w:rsid w:val="007f77ad"/>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InternetLink">
    <w:name w:val="Internet Link"/>
    <w:qFormat/>
    <w:rsid w:val="00bf1a7f"/>
    <w:rPr>
      <w:color w:val="000080"/>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881f44"/>
    <w:rPr>
      <w:rFonts w:ascii="Arial" w:hAnsi="Arial" w:eastAsia="" w:cs="Arial" w:eastAsiaTheme="majorEastAsia"/>
      <w:b/>
      <w:bCs/>
      <w:color w:themeColor="text2" w:themeShade="bf" w:val="17365D"/>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 w:cs=""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themeColor="accent1" w:themeShade="bf" w:val="000000"/>
      <w:sz w:val="28"/>
      <w:szCs w:val="28"/>
      <w:lang w:eastAsia="pt-BR"/>
    </w:rPr>
  </w:style>
  <w:style w:type="character" w:styleId="Nivel4Char" w:customStyle="1">
    <w:name w:val="Nivel 4 Char"/>
    <w:basedOn w:val="DefaultParagraphFont"/>
    <w:link w:val="Nivel4"/>
    <w:qFormat/>
    <w:rsid w:val="00da3ef1"/>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iPriority w:val="99"/>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84242c"/>
    <w:rPr>
      <w:rFonts w:ascii="Arial" w:hAnsi="Arial" w:eastAsia="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f93d80"/>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da3ef1"/>
    <w:rPr>
      <w:rFonts w:ascii="Arial" w:hAnsi="Arial" w:eastAsia="Arial" w:cs="Arial"/>
      <w:i/>
      <w:iCs/>
      <w:color w:val="FF0000"/>
      <w:lang w:eastAsia="pt-BR"/>
    </w:rPr>
  </w:style>
  <w:style w:type="character" w:styleId="Nivel3Char" w:customStyle="1">
    <w:name w:val="Nivel 3 Char"/>
    <w:basedOn w:val="DefaultParagraphFont"/>
    <w:link w:val="Nivel3"/>
    <w:qFormat/>
    <w:rsid w:val="005d30b6"/>
    <w:rPr>
      <w:rFonts w:ascii="Arial" w:hAnsi="Arial" w:cs="Arial"/>
      <w:color w:val="000000"/>
      <w:lang w:eastAsia="pt-BR"/>
    </w:rPr>
  </w:style>
  <w:style w:type="character" w:styleId="Nvel3-RChar" w:customStyle="1">
    <w:name w:val="Nível 3-R Char"/>
    <w:basedOn w:val="Nivel3Char"/>
    <w:link w:val="Nvel3-R"/>
    <w:qFormat/>
    <w:rsid w:val="00ad6848"/>
    <w:rPr>
      <w:rFonts w:ascii="Arial" w:hAnsi="Arial" w:cs="Arial"/>
      <w:i/>
      <w:iCs/>
      <w:color w:val="FF0000"/>
      <w:lang w:eastAsia="pt-BR"/>
    </w:rPr>
  </w:style>
  <w:style w:type="character" w:styleId="Nvel4-RChar" w:customStyle="1">
    <w:name w:val="Nível 4-R Char"/>
    <w:basedOn w:val="Nivel4Char"/>
    <w:link w:val="Nvel4-R"/>
    <w:qFormat/>
    <w:rsid w:val="00da3ef1"/>
    <w:rPr>
      <w:rFonts w:ascii="Arial" w:hAnsi="Arial" w:cs="Arial"/>
      <w:i/>
      <w:iCs/>
      <w:color w:val="FF0000"/>
      <w:lang w:eastAsia="pt-BR"/>
    </w:rPr>
  </w:style>
  <w:style w:type="character" w:styleId="InternetLink1" w:customStyle="1">
    <w:name w:val="Internet Link1"/>
    <w:basedOn w:val="DefaultParagraphFont"/>
    <w:uiPriority w:val="99"/>
    <w:unhideWhenUsed/>
    <w:qFormat/>
    <w:rsid w:val="00dc41dd"/>
    <w:rPr>
      <w:color w:themeColor="hyperlink" w:val="0000FF"/>
      <w:u w:val="single"/>
    </w:rPr>
  </w:style>
  <w:style w:type="character" w:styleId="Nvel1-SemNumChar" w:customStyle="1">
    <w:name w:val="Nível 1-Sem Num Char"/>
    <w:basedOn w:val="Nivel01Char"/>
    <w:link w:val="Nvel1-SemNum"/>
    <w:qFormat/>
    <w:rsid w:val="00881f44"/>
    <w:rPr>
      <w:rFonts w:ascii="Arial" w:hAnsi="Arial" w:eastAsia="" w:cs="Arial" w:eastAsiaTheme="majorEastAsia"/>
      <w:b/>
      <w:bCs/>
      <w:color w:themeColor="text2" w:themeShade="bf"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tionnonrsolue1" w:customStyle="1">
    <w:name w:val="Mention non résolue1"/>
    <w:basedOn w:val="DefaultParagraphFont"/>
    <w:uiPriority w:val="99"/>
    <w:semiHidden/>
    <w:unhideWhenUsed/>
    <w:qFormat/>
    <w:rsid w:val="008d252d"/>
    <w:rPr>
      <w:color w:val="605E5C"/>
      <w:shd w:fill="E1DFDD" w:val="clear"/>
    </w:rPr>
  </w:style>
  <w:style w:type="character" w:styleId="findhit" w:customStyle="1">
    <w:name w:val="findhit"/>
    <w:basedOn w:val="DefaultParagraphFont"/>
    <w:qFormat/>
    <w:rsid w:val="00e66cc3"/>
    <w:rPr/>
  </w:style>
  <w:style w:type="character" w:styleId="Nivel3-erroChar" w:customStyle="1">
    <w:name w:val="Nivel 3-erro Char"/>
    <w:basedOn w:val="DefaultParagraphFont"/>
    <w:link w:val="Nivel3-erro"/>
    <w:qFormat/>
    <w:rsid w:val="005b0afb"/>
    <w:rPr>
      <w:rFonts w:ascii="Arial" w:hAnsi="Arial" w:cs="Tahoma"/>
      <w:szCs w:val="24"/>
      <w:lang w:eastAsia="pt-BR"/>
    </w:rPr>
  </w:style>
  <w:style w:type="character" w:styleId="AlteraesChar" w:customStyle="1">
    <w:name w:val="Alterações Char"/>
    <w:basedOn w:val="DefaultParagraphFont"/>
    <w:link w:val="Alteraes"/>
    <w:uiPriority w:val="1"/>
    <w:qFormat/>
    <w:rsid w:val="1414b7f7"/>
    <w:rPr>
      <w:rFonts w:ascii="Arial" w:hAnsi="Arial" w:cs="Arial"/>
      <w:i/>
      <w:iCs/>
      <w:color w:val="0000FF"/>
      <w:lang w:eastAsia="pt-BR"/>
    </w:rPr>
  </w:style>
  <w:style w:type="character" w:styleId="Meno1" w:customStyle="1">
    <w:name w:val="Menção1"/>
    <w:basedOn w:val="DefaultParagraphFont"/>
    <w:uiPriority w:val="99"/>
    <w:unhideWhenUsed/>
    <w:qFormat/>
    <w:rsid w:val="002804a7"/>
    <w:rPr>
      <w:color w:val="2B579A"/>
      <w:shd w:fill="E6E6E6" w:val="clear"/>
    </w:rPr>
  </w:style>
  <w:style w:type="character" w:styleId="MenoPendente5" w:customStyle="1">
    <w:name w:val="Menção Pendente5"/>
    <w:basedOn w:val="DefaultParagraphFont"/>
    <w:uiPriority w:val="99"/>
    <w:semiHidden/>
    <w:unhideWhenUsed/>
    <w:qFormat/>
    <w:rsid w:val="00921a92"/>
    <w:rPr>
      <w:color w:val="605E5C"/>
      <w:shd w:fill="E1DFDD" w:val="clear"/>
    </w:rPr>
  </w:style>
  <w:style w:type="character" w:styleId="Nvel1-SemNumPretoChar" w:customStyle="1">
    <w:name w:val="Nível 1-Sem Num Preto Char"/>
    <w:basedOn w:val="Nvel1-SemNumChar"/>
    <w:link w:val="Nvel1-SemNumPreto"/>
    <w:qFormat/>
    <w:rsid w:val="00036ad7"/>
    <w:rPr>
      <w:rFonts w:ascii="Arial" w:hAnsi="Arial" w:eastAsia="" w:cs="Arial" w:eastAsiaTheme="majorEastAsia"/>
      <w:b/>
      <w:bCs/>
      <w:color w:themeColor="text2" w:themeShade="bf" w:val="FF0000"/>
      <w:spacing w:val="5"/>
      <w:kern w:val="2"/>
      <w:sz w:val="52"/>
      <w:szCs w:val="52"/>
      <w:lang w:eastAsia="zh-CN" w:bidi="hi-IN"/>
    </w:rPr>
  </w:style>
  <w:style w:type="character" w:styleId="Smbolosdenumerao">
    <w:name w:val="Símbolos de numeração"/>
    <w:qFormat/>
    <w:rPr/>
  </w:style>
  <w:style w:type="character" w:styleId="Marcadores">
    <w:name w:val="Marcadores"/>
    <w:qFormat/>
    <w:rPr>
      <w:rFonts w:ascii="OpenSymbol" w:hAnsi="OpenSymbol" w:eastAsia="OpenSymbol" w:cs="OpenSymbol"/>
    </w:rPr>
  </w:style>
  <w:style w:type="character" w:styleId="InternetLink2">
    <w:name w:val="Internet Link2"/>
    <w:qFormat/>
    <w:rPr>
      <w:color w:val="000080"/>
      <w:u w:val="single"/>
    </w:rPr>
  </w:style>
  <w:style w:type="character" w:styleId="InternetLink3">
    <w:name w:val="Internet Link3"/>
    <w:qFormat/>
    <w:rPr>
      <w:color w:val="000080"/>
      <w:u w:val="single"/>
    </w:rPr>
  </w:style>
  <w:style w:type="character" w:styleId="InternetLink4">
    <w:name w:val="Internet Link4"/>
    <w:qFormat/>
    <w:rPr>
      <w:color w:val="000080"/>
      <w:u w:val="single"/>
    </w:rPr>
  </w:style>
  <w:style w:type="character" w:styleId="WW8Num19z0">
    <w:name w:val="WW8Num19z0"/>
    <w:qFormat/>
    <w:rPr/>
  </w:style>
  <w:style w:type="character" w:styleId="WW8Num12z0">
    <w:name w:val="WW8Num12z0"/>
    <w:qFormat/>
    <w:rPr>
      <w:rFonts w:ascii="Symbol" w:hAnsi="Symbol" w:cs="Symbol"/>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InternetLink5">
    <w:name w:val="Internet Link5"/>
    <w:qFormat/>
    <w:rPr>
      <w:color w:val="000080"/>
      <w:u w:val="single"/>
    </w:rPr>
  </w:style>
  <w:style w:type="character" w:styleId="InternetLink6">
    <w:name w:val="Internet Link6"/>
    <w:qFormat/>
    <w:rPr>
      <w:color w:val="000080"/>
      <w:u w:val="single"/>
    </w:rPr>
  </w:style>
  <w:style w:type="character" w:styleId="InternetLink7">
    <w:name w:val="Internet Link7"/>
    <w:qFormat/>
    <w:rPr>
      <w:color w:val="000080"/>
      <w:u w:val="single"/>
    </w:rPr>
  </w:style>
  <w:style w:type="character" w:styleId="InternetLink8">
    <w:name w:val="Internet Link8"/>
    <w:qFormat/>
    <w:rPr>
      <w:color w:val="000080"/>
      <w:u w:val="single"/>
    </w:rPr>
  </w:style>
  <w:style w:type="character" w:styleId="InternetLink9">
    <w:name w:val="Internet Link9"/>
    <w:qFormat/>
    <w:rPr>
      <w:color w:val="000080"/>
      <w:u w:val="single"/>
    </w:rPr>
  </w:style>
  <w:style w:type="character" w:styleId="InternetLink10">
    <w:name w:val="Internet Link10"/>
    <w:qFormat/>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link w:val="PargrafodaListaChar"/>
    <w:uiPriority w:val="34"/>
    <w:qFormat/>
    <w:rsid w:val="004773fc"/>
    <w:pPr>
      <w:spacing w:before="0" w:after="0"/>
      <w:ind w:left="72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1a3a05"/>
    <w:pPr>
      <w:numPr>
        <w:ilvl w:val="0"/>
        <w:numId w:val="3"/>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Header">
    <w:name w:val="Header"/>
    <w:basedOn w:val="Normal"/>
    <w:link w:val="CabealhoChar"/>
    <w:uiPriority w:val="99"/>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iPriority w:val="99"/>
    <w:unhideWhenUsed/>
    <w:rsid w:val="00d30a43"/>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0fdb"/>
    <w:pPr/>
    <w:rPr>
      <w:b/>
      <w:bCs/>
    </w:rPr>
  </w:style>
  <w:style w:type="paragraph" w:styleId="Nivel01" w:customStyle="1">
    <w:name w:val="Nivel 01"/>
    <w:basedOn w:val="Heading1"/>
    <w:next w:val="Normal"/>
    <w:link w:val="Nivel01Char"/>
    <w:autoRedefine/>
    <w:qFormat/>
    <w:rsid w:val="00881f44"/>
    <w:pPr>
      <w:numPr>
        <w:ilvl w:val="0"/>
        <w:numId w:val="4"/>
      </w:numPr>
      <w:tabs>
        <w:tab w:val="clear" w:pos="708"/>
        <w:tab w:val="left" w:pos="567" w:leader="none"/>
      </w:tabs>
      <w:spacing w:lineRule="auto" w:line="276" w:before="240" w:after="120"/>
      <w:ind w:hanging="0" w:left="0"/>
      <w:jc w:val="both"/>
    </w:pPr>
    <w:rPr>
      <w:rFonts w:ascii="Calibri" w:hAnsi="Calibri" w:cs="Arial"/>
      <w:b/>
      <w:bCs/>
      <w:color w:themeColor="accent1" w:themeShade="bf" w:val="000000"/>
      <w:sz w:val="24"/>
      <w:szCs w:val="24"/>
    </w:rPr>
  </w:style>
  <w:style w:type="paragraph" w:styleId="Nivel01Titulo" w:customStyle="1">
    <w:name w:val="Nivel_01_Titulo"/>
    <w:basedOn w:val="Nivel01"/>
    <w:link w:val="Nivel01TituloChar"/>
    <w:qFormat/>
    <w:rsid w:val="00e967ea"/>
    <w:pPr>
      <w:jc w:val="left"/>
    </w:pPr>
    <w:rPr>
      <w:rFonts w:cs=""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themeColor="accent1"/>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left="357"/>
      <w:jc w:val="both"/>
    </w:pPr>
    <w:rPr>
      <w:rFonts w:ascii="Arial" w:hAnsi="Arial" w:cs="Arial"/>
      <w:bCs w:val="false"/>
      <w:color w:themeColor="accent1" w:themeShade="bf" w:val="000000"/>
    </w:rPr>
  </w:style>
  <w:style w:type="paragraph" w:styleId="PargrafodaLista1" w:customStyle="1">
    <w:name w:val="Parágrafo da Lista1"/>
    <w:basedOn w:val="Normal"/>
    <w:qFormat/>
    <w:rsid w:val="00d30a43"/>
    <w:pPr>
      <w:ind w:left="720"/>
    </w:pPr>
    <w:rPr>
      <w:rFonts w:eastAsia="Times New Roman" w:cs="Ecofont_Spranq_eco_Sans"/>
    </w:rPr>
  </w:style>
  <w:style w:type="paragraph" w:styleId="Nivel2" w:customStyle="1">
    <w:name w:val="Nivel 2"/>
    <w:basedOn w:val="Normal"/>
    <w:link w:val="Nivel2Char"/>
    <w:autoRedefine/>
    <w:qFormat/>
    <w:rsid w:val="0084242c"/>
    <w:pPr>
      <w:numPr>
        <w:ilvl w:val="1"/>
        <w:numId w:val="2"/>
      </w:numPr>
      <w:spacing w:lineRule="auto" w:line="276" w:before="120" w:after="120"/>
      <w:ind w:hanging="0" w:left="0" w:right="0"/>
      <w:jc w:val="both"/>
    </w:pPr>
    <w:rPr>
      <w:rFonts w:ascii="Arial" w:hAnsi="Arial" w:eastAsia="Arial" w:cs="Arial"/>
      <w:color w:val="000000"/>
      <w:sz w:val="20"/>
      <w:szCs w:val="20"/>
    </w:rPr>
  </w:style>
  <w:style w:type="paragraph" w:styleId="Nivel11" w:customStyle="1">
    <w:name w:val="Nivel 1"/>
    <w:basedOn w:val="Nivel2"/>
    <w:next w:val="Nivel2"/>
    <w:qFormat/>
    <w:rsid w:val="003629e4"/>
    <w:pPr>
      <w:numPr>
        <w:ilvl w:val="0"/>
        <w:numId w:val="0"/>
      </w:numPr>
      <w:ind w:hanging="360" w:left="360"/>
    </w:pPr>
    <w:rPr>
      <w:b/>
    </w:rPr>
  </w:style>
  <w:style w:type="paragraph" w:styleId="Nivel3" w:customStyle="1">
    <w:name w:val="Nivel 3"/>
    <w:basedOn w:val="Normal"/>
    <w:link w:val="Nivel3Char"/>
    <w:autoRedefine/>
    <w:qFormat/>
    <w:rsid w:val="005d30b6"/>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autoRedefine/>
    <w:qFormat/>
    <w:rsid w:val="00da3ef1"/>
    <w:pPr>
      <w:ind w:hanging="0" w:left="567"/>
    </w:pPr>
    <w:rPr>
      <w:color w:val="auto"/>
    </w:rPr>
  </w:style>
  <w:style w:type="paragraph" w:styleId="Nivel5" w:customStyle="1">
    <w:name w:val="Nivel 5"/>
    <w:basedOn w:val="Nivel4"/>
    <w:autoRedefine/>
    <w:qFormat/>
    <w:rsid w:val="00da3ef1"/>
    <w:pPr>
      <w:ind w:hanging="0" w:left="851"/>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f93d80"/>
    <w:pPr>
      <w:spacing w:lineRule="auto" w:line="259" w:before="60" w:after="60"/>
      <w:ind w:left="0"/>
      <w:contextualSpacing w:val="false"/>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da3ef1"/>
    <w:pPr/>
    <w:rPr>
      <w:i/>
      <w:iCs/>
      <w:color w:val="FF0000"/>
    </w:rPr>
  </w:style>
  <w:style w:type="paragraph" w:styleId="Nvel3-R" w:customStyle="1">
    <w:name w:val="Nível 3-R"/>
    <w:basedOn w:val="Nivel3"/>
    <w:link w:val="Nvel3-RChar"/>
    <w:autoRedefine/>
    <w:qFormat/>
    <w:rsid w:val="00ad6848"/>
    <w:pPr/>
    <w:rPr>
      <w:i/>
      <w:iCs/>
      <w:color w:val="FF0000"/>
      <w:lang w:eastAsia="en-US"/>
    </w:rPr>
  </w:style>
  <w:style w:type="paragraph" w:styleId="Nvel4-R" w:customStyle="1">
    <w:name w:val="Nível 4-R"/>
    <w:basedOn w:val="Nivel4"/>
    <w:link w:val="Nvel4-RChar"/>
    <w:autoRedefine/>
    <w:qFormat/>
    <w:rsid w:val="00da3ef1"/>
    <w:pPr/>
    <w:rPr>
      <w:i/>
      <w:iCs/>
      <w:color w:val="FF0000"/>
    </w:rPr>
  </w:style>
  <w:style w:type="paragraph" w:styleId="Nvel1-SemNum" w:customStyle="1">
    <w:name w:val="Nível 1-Sem Num"/>
    <w:basedOn w:val="Nivel01"/>
    <w:link w:val="Nvel1-SemNumChar"/>
    <w:autoRedefine/>
    <w:qFormat/>
    <w:rsid w:val="00881f44"/>
    <w:pPr>
      <w:numPr>
        <w:ilvl w:val="0"/>
        <w:numId w:val="0"/>
      </w:numPr>
      <w:ind w:hanging="0" w:left="0"/>
      <w:outlineLvl w:val="1"/>
    </w:pPr>
    <w:rPr>
      <w:color w:themeColor="accent1" w:themeShade="bf" w:val="1C1C1C"/>
    </w:rPr>
  </w:style>
  <w:style w:type="paragraph" w:styleId="citao2" w:customStyle="1">
    <w:name w:val="citação 2"/>
    <w:basedOn w:val="Quote"/>
    <w:qFormat/>
    <w:rsid w:val="00dc41dd"/>
    <w:pPr>
      <w:overflowPunct w:val="true"/>
    </w:pPr>
    <w:rPr>
      <w:szCs w:val="20"/>
    </w:rPr>
  </w:style>
  <w:style w:type="paragraph" w:styleId="Prembulo" w:customStyle="1">
    <w:name w:val="Preâmbulo"/>
    <w:basedOn w:val="Normal"/>
    <w:link w:val="PrembuloChar"/>
    <w:qFormat/>
    <w:rsid w:val="00bb19e4"/>
    <w:pPr>
      <w:spacing w:lineRule="auto" w:line="360" w:before="480" w:after="120"/>
      <w:ind w:left="4253" w:right="-17"/>
      <w:jc w:val="both"/>
    </w:pPr>
    <w:rPr>
      <w:rFonts w:ascii="Arial" w:hAnsi="Arial" w:eastAsia="Arial" w:cs="Arial"/>
      <w:bCs/>
      <w:sz w:val="20"/>
      <w:szCs w:val="20"/>
    </w:rPr>
  </w:style>
  <w:style w:type="paragraph" w:styleId="Nivel3-erro" w:customStyle="1">
    <w:name w:val="Nivel 3-erro"/>
    <w:basedOn w:val="Nivel3"/>
    <w:link w:val="Nivel3-erroChar"/>
    <w:qFormat/>
    <w:rsid w:val="005b0afb"/>
    <w:pPr>
      <w:numPr>
        <w:ilvl w:val="2"/>
        <w:numId w:val="1"/>
      </w:numPr>
      <w:spacing w:lineRule="auto" w:line="240"/>
      <w:ind w:hanging="0" w:left="425"/>
    </w:pPr>
    <w:rPr>
      <w:rFonts w:cs="Tahoma"/>
      <w:color w:val="auto"/>
      <w:szCs w:val="24"/>
    </w:rPr>
  </w:style>
  <w:style w:type="paragraph" w:styleId="Alteraes" w:customStyle="1">
    <w:name w:val="Alterações"/>
    <w:basedOn w:val="Normal"/>
    <w:link w:val="AlteraesChar"/>
    <w:uiPriority w:val="1"/>
    <w:qFormat/>
    <w:rsid w:val="1414b7f7"/>
    <w:pPr>
      <w:spacing w:lineRule="auto" w:line="276" w:before="120" w:after="120"/>
      <w:jc w:val="both"/>
      <w:outlineLvl w:val="1"/>
    </w:pPr>
    <w:rPr>
      <w:rFonts w:ascii="Arial" w:hAnsi="Arial" w:cs="Arial"/>
      <w:i/>
      <w:iCs/>
      <w:color w:val="0000FF"/>
      <w:sz w:val="20"/>
      <w:szCs w:val="20"/>
    </w:rPr>
  </w:style>
  <w:style w:type="paragraph" w:styleId="Nvel1-SemNumPreto" w:customStyle="1">
    <w:name w:val="Nível 1-Sem Num Preto"/>
    <w:basedOn w:val="Nvel1-SemNum"/>
    <w:link w:val="Nvel1-SemNumPretoChar"/>
    <w:qFormat/>
    <w:rsid w:val="00036ad7"/>
    <w:pPr/>
    <w:rPr>
      <w:color w:themeColor="accent1" w:themeShade="bf" w:val="auto"/>
      <w:lang w:eastAsia="zh-CN" w:bidi="hi-IN"/>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Normal11">
    <w:name w:val="Normal1"/>
    <w:qFormat/>
    <w:pPr>
      <w:widowControl/>
      <w:suppressAutoHyphens w:val="true"/>
      <w:bidi w:val="0"/>
      <w:spacing w:before="0" w:after="0"/>
      <w:jc w:val="left"/>
      <w:textAlignment w:val="baseline"/>
    </w:pPr>
    <w:rPr>
      <w:rFonts w:ascii="Times New Roman" w:hAnsi="Times New Roman" w:eastAsia="" w:cs="Times New Roman"/>
      <w:color w:val="00000A"/>
      <w:kern w:val="2"/>
      <w:sz w:val="24"/>
      <w:szCs w:val="24"/>
      <w:lang w:val="pt-BR" w:eastAsia="zh-CN" w:bidi="ar-SA"/>
    </w:rPr>
  </w:style>
  <w:style w:type="numbering" w:styleId="Semlista" w:default="1">
    <w:name w:val="Sem lista"/>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numbering" w:styleId="WW8Num19">
    <w:name w:val="WW8Num19"/>
    <w:qFormat/>
  </w:style>
  <w:style w:type="numbering" w:styleId="WW8Num12">
    <w:name w:val="WW8Num12"/>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in.gov.br/en/web/dou/-/instrucao-normativa-seges/me-n-77-de-4-de-novembro-de-2022-441681061" TargetMode="External"/><Relationship Id="rId3" Type="http://schemas.openxmlformats.org/officeDocument/2006/relationships/hyperlink" Target="https://www.planalto.gov.br/ccivil_03/leis/lcp/lcp123.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s://www.portaltransparencia.gov.br/sancoes/cnep" TargetMode="External"/><Relationship Id="rId6" Type="http://schemas.openxmlformats.org/officeDocument/2006/relationships/hyperlink" Target="https://www.gov.br/empresas-e-negocios/pt-br/empreendedor"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Relationship Id="rId18" Type="http://schemas.openxmlformats.org/officeDocument/2006/relationships/customXml" Target="../customXml/item2.xml"/><Relationship Id="rId19" Type="http://schemas.openxmlformats.org/officeDocument/2006/relationships/customXml" Target="../customXml/item3.xml"/><Relationship Id="rId20"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2.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customXml/itemProps4.xml><?xml version="1.0" encoding="utf-8"?>
<ds:datastoreItem xmlns:ds="http://schemas.openxmlformats.org/officeDocument/2006/customXml" ds:itemID="{B460B4EA-29C1-4B17-9782-58617EF9A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419</TotalTime>
  <Application>LibreOffice/24.2.5.2$Windows_X86_64 LibreOffice_project/bffef4ea93e59bebbeaf7f431bb02b1a39ee8a59</Application>
  <AppVersion>15.0000</AppVersion>
  <Pages>16</Pages>
  <Words>4432</Words>
  <Characters>26101</Characters>
  <CharactersWithSpaces>30419</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2023-12-21T22:48:00Z</dcterms:created>
  <dc:creator/>
  <dc:description/>
  <dc:language>pt-BR</dc:language>
  <cp:lastModifiedBy/>
  <cp:lastPrinted>2025-01-02T13:24:32Z</cp:lastPrinted>
  <dcterms:modified xsi:type="dcterms:W3CDTF">2025-01-09T15:19:42Z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