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38EC7" w14:textId="77777777" w:rsidR="00E35EA0" w:rsidRPr="00E35EA0" w:rsidRDefault="00E35EA0" w:rsidP="00E35EA0">
      <w:pPr>
        <w:jc w:val="center"/>
        <w:rPr>
          <w:rFonts w:ascii="Tahoma" w:hAnsi="Tahoma" w:cs="Tahoma"/>
          <w:b/>
          <w:sz w:val="24"/>
          <w:szCs w:val="24"/>
        </w:rPr>
      </w:pPr>
      <w:r w:rsidRPr="00E35EA0">
        <w:rPr>
          <w:rFonts w:ascii="Tahoma" w:hAnsi="Tahoma" w:cs="Tahoma"/>
          <w:b/>
          <w:sz w:val="24"/>
          <w:szCs w:val="24"/>
        </w:rPr>
        <w:t>ESTUDO TÉCNICO PRELIMINAR – ETP</w:t>
      </w:r>
    </w:p>
    <w:p w14:paraId="47B925CF" w14:textId="77777777" w:rsidR="00E35EA0" w:rsidRPr="00E35EA0" w:rsidRDefault="00E35EA0" w:rsidP="00E35EA0">
      <w:pPr>
        <w:jc w:val="both"/>
        <w:rPr>
          <w:rFonts w:ascii="Tahoma" w:hAnsi="Tahoma" w:cs="Tahoma"/>
          <w:b/>
          <w:sz w:val="24"/>
          <w:szCs w:val="24"/>
        </w:rPr>
      </w:pPr>
    </w:p>
    <w:p w14:paraId="24EC54E9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Contratação de Serviço de Fornecimento de Energia Elétrica</w:t>
      </w:r>
    </w:p>
    <w:p w14:paraId="198238E7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33CDA99F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1. INTRODUÇÃO</w:t>
      </w:r>
    </w:p>
    <w:p w14:paraId="73F0F8F9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7E8C5BD8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1.1. Este documento apresenta o Estudo Técnico Preliminar (ETP) para a contratação de serviço de fornecimento de energia elétrica para a Câmara Municipal de Paraú/RN.</w:t>
      </w:r>
    </w:p>
    <w:p w14:paraId="69AC632E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1565C357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1.2. A presente contratação tem como objetivo garantir o fornecimento contínuo e eficiente de energia elétrica, possibilitando o funcionamento ininterrupto das atividades legislativas e administrativas da Câmara Municipal.</w:t>
      </w:r>
    </w:p>
    <w:p w14:paraId="7C039C18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31884D77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2. DA NECESSIDADE DE CONTRATAÇÃO</w:t>
      </w:r>
    </w:p>
    <w:p w14:paraId="551094BD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7826ED93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2.1. A contratação é essencial para suprir as necessidades energéticas da Câmara Municipal, garantindo o funcionamento adequado de equipamentos eletrônicos, iluminação, climatização e demais sistemas essenciais para as atividades legislativas.</w:t>
      </w:r>
    </w:p>
    <w:p w14:paraId="08751538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0EBBBFB7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2.2. Sem o fornecimento adequado de energia elétrica, há risco de interrupção das atividades institucionais, prejudicando o desempenho da Câmara no cumprimento de suas funções.</w:t>
      </w:r>
    </w:p>
    <w:p w14:paraId="53B69610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1EA7C1B3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2.3. A contratação visa assegurar a segurança e a confiabilidade no fornecimento, reduzindo riscos de quedas de energia e garantindo que os serviços públicos sejam prestados com qualidade e continuidade.</w:t>
      </w:r>
    </w:p>
    <w:p w14:paraId="24BEBA5C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44001617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3. DEMONSTRAÇÃO DA PREVISÃO DA CONTRATAÇÃO NO PLANO DE CONTRATAÇÕES ANUAL E ALINHAMENTO COM O PLANEJAMENTO</w:t>
      </w:r>
    </w:p>
    <w:p w14:paraId="525C52CF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3AE1C2F7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3.1. A presente contratação está prevista na Lei Orçamentária Anual (LOA) e se alinha com os objetivos institucionais da Câmara Municipal.</w:t>
      </w:r>
    </w:p>
    <w:p w14:paraId="02014990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066FC5E6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3.2. O fornecimento de energia elétrica é um serviço essencial para a manutenção da infraestrutura da Câmara, garantindo o cumprimento das atividades legislativas e administrativas.</w:t>
      </w:r>
    </w:p>
    <w:p w14:paraId="0907BEF5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09358288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4. REQUISITOS A SEREM ATENDIDOS PELO FUTURO CONTRATADO</w:t>
      </w:r>
    </w:p>
    <w:p w14:paraId="64DD5534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1A1A8EDD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4.1. O serviço deverá ser prestado de forma contínua, sem interrupções injustificadas.</w:t>
      </w:r>
    </w:p>
    <w:p w14:paraId="07E77CD2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56AC312C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4.2. A empresa fornecedora deve estar devidamente regulamentada e autorizada pela Agência Nacional de Energia Elétrica (ANEEL).</w:t>
      </w:r>
    </w:p>
    <w:p w14:paraId="26E73742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0F3FA364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4.3. A contratada deverá garantir suporte técnico para eventuais falhas no fornecimento.</w:t>
      </w:r>
    </w:p>
    <w:p w14:paraId="176BE096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2093A93E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4.4. A cobrança dos serviços deverá estar em conformidade com as normas regulatórias e seguir os critérios estabelecidos pelo órgão regulador.</w:t>
      </w:r>
    </w:p>
    <w:p w14:paraId="5BD085B1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69A5ACCB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4.5. O serviço deve atender às normas técnicas de segurança elétrica, prevenindo riscos de curto-circuitos e falhas estruturais.</w:t>
      </w:r>
    </w:p>
    <w:p w14:paraId="13E2CB41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7E9C387A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5. ESTIMATIVA DA QUANTIDADE</w:t>
      </w:r>
    </w:p>
    <w:p w14:paraId="4A2FA58B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20EE9DD7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5.1. O serviço deverá ser prestado pelo período de 12 (doze) meses, podendo ser prorrogado conforme previsto na legislação vigente.</w:t>
      </w:r>
    </w:p>
    <w:p w14:paraId="7D29FA7F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4E7BDF95" w14:textId="5428AFC6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 xml:space="preserve">5.2. A estimativa do custo será baseada </w:t>
      </w:r>
      <w:r>
        <w:rPr>
          <w:rFonts w:ascii="Tahoma" w:hAnsi="Tahoma" w:cs="Tahoma"/>
          <w:bCs/>
          <w:sz w:val="24"/>
          <w:szCs w:val="24"/>
        </w:rPr>
        <w:t>nas taxas establecidas pela ANNEL</w:t>
      </w:r>
      <w:r w:rsidRPr="00E35EA0">
        <w:rPr>
          <w:rFonts w:ascii="Tahoma" w:hAnsi="Tahoma" w:cs="Tahoma"/>
          <w:bCs/>
          <w:sz w:val="24"/>
          <w:szCs w:val="24"/>
        </w:rPr>
        <w:t xml:space="preserve"> e nas tarifas aplicáveis pela concessionária local.</w:t>
      </w:r>
    </w:p>
    <w:p w14:paraId="013D444E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26720A67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6. LEVANTAMENTO DE MERCADO/ESTIMATIVA DE VALOR</w:t>
      </w:r>
    </w:p>
    <w:p w14:paraId="0005CF64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5AAF4773" w14:textId="192D2782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 xml:space="preserve">6.1. </w:t>
      </w:r>
      <w:r>
        <w:rPr>
          <w:rFonts w:ascii="Tahoma" w:hAnsi="Tahoma" w:cs="Tahoma"/>
          <w:bCs/>
          <w:sz w:val="24"/>
          <w:szCs w:val="24"/>
        </w:rPr>
        <w:t xml:space="preserve">Como a concessionária COSERN tem exclusividade no fornecimento de energia elétrica no Estado do Rio Grande do Norte, </w:t>
      </w:r>
      <w:r w:rsidRPr="00E35EA0">
        <w:rPr>
          <w:rFonts w:ascii="Tahoma" w:hAnsi="Tahoma" w:cs="Tahoma"/>
          <w:bCs/>
          <w:sz w:val="24"/>
          <w:szCs w:val="24"/>
        </w:rPr>
        <w:t xml:space="preserve">o valor estimado da contratação será </w:t>
      </w:r>
      <w:r>
        <w:rPr>
          <w:rFonts w:ascii="Tahoma" w:hAnsi="Tahoma" w:cs="Tahoma"/>
          <w:bCs/>
          <w:sz w:val="24"/>
          <w:szCs w:val="24"/>
        </w:rPr>
        <w:t>apurado com base  nas t</w:t>
      </w:r>
      <w:r w:rsidRPr="00E35EA0">
        <w:rPr>
          <w:rFonts w:ascii="Tahoma" w:hAnsi="Tahoma" w:cs="Tahoma"/>
          <w:bCs/>
          <w:sz w:val="24"/>
          <w:szCs w:val="24"/>
        </w:rPr>
        <w:t>arifas reguladas pela ANEEL</w:t>
      </w:r>
      <w:r>
        <w:rPr>
          <w:rFonts w:ascii="Tahoma" w:hAnsi="Tahoma" w:cs="Tahoma"/>
          <w:bCs/>
          <w:sz w:val="24"/>
          <w:szCs w:val="24"/>
        </w:rPr>
        <w:t>.</w:t>
      </w:r>
    </w:p>
    <w:p w14:paraId="1154DDC6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0937270F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7. DESCRITIVO DA SOLUÇÃO</w:t>
      </w:r>
    </w:p>
    <w:p w14:paraId="23E2298A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36606ABA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7.1. A solução proposta consiste na contratação do serviço de fornecimento de energia elétrica pela empresa concessionária oficial da região, garantindo a regularidade do serviço e o cumprimento das normas regulatórias.</w:t>
      </w:r>
    </w:p>
    <w:p w14:paraId="2BEB2203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768488A8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7.2. O fornecimento de energia elétrica será realizado com base no consumo da Câmara Municipal, seguindo as tarifas e regulamentações vigentes.</w:t>
      </w:r>
    </w:p>
    <w:p w14:paraId="557B7E61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7DAC380F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7.3. O serviço contratado deve atender todas as instalações da Câmara, incluindo plenário, salas administrativas e demais dependências.</w:t>
      </w:r>
    </w:p>
    <w:p w14:paraId="52EF9C12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4D434BDC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8. DA IMPOSSIBILIDADE DE PARCELAMENTO DA SOLUÇÃO</w:t>
      </w:r>
    </w:p>
    <w:p w14:paraId="29C21149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151DF99C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8.1. O serviço de fornecimento de energia elétrica é indivisível, pois deve atender toda a estrutura da Câmara Municipal de forma contínua e sem possibilidade de fracionamento.</w:t>
      </w:r>
    </w:p>
    <w:p w14:paraId="39FD9237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4FDF18D4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8.2. A contratação será realizada diretamente com a concessionária responsável, seguindo os padrões regulatórios do setor elétrico.</w:t>
      </w:r>
    </w:p>
    <w:p w14:paraId="3CC8567B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6CAA81E0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9. RESULTADOS A SEREM ALCANÇADOS</w:t>
      </w:r>
    </w:p>
    <w:p w14:paraId="64455C5E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53F574DD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9.1. Fornecimento Contínuo e Estável</w:t>
      </w:r>
    </w:p>
    <w:p w14:paraId="0A911FA6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ab/>
        <w:t>•</w:t>
      </w:r>
      <w:r w:rsidRPr="00E35EA0">
        <w:rPr>
          <w:rFonts w:ascii="Tahoma" w:hAnsi="Tahoma" w:cs="Tahoma"/>
          <w:bCs/>
          <w:sz w:val="24"/>
          <w:szCs w:val="24"/>
        </w:rPr>
        <w:tab/>
        <w:t>Garantia de energia elétrica sem interrupções, permitindo a realização das atividades legislativas e administrativas.</w:t>
      </w:r>
    </w:p>
    <w:p w14:paraId="7C77E337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1E54B2DD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9.2. Atendimento às Demandas Energéticas</w:t>
      </w:r>
    </w:p>
    <w:p w14:paraId="325E81C2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ab/>
        <w:t>•</w:t>
      </w:r>
      <w:r w:rsidRPr="00E35EA0">
        <w:rPr>
          <w:rFonts w:ascii="Tahoma" w:hAnsi="Tahoma" w:cs="Tahoma"/>
          <w:bCs/>
          <w:sz w:val="24"/>
          <w:szCs w:val="24"/>
        </w:rPr>
        <w:tab/>
        <w:t>Suprimento adequado para o funcionamento dos equipamentos da Câmara, incluindo iluminação, computadores, ar-condicionado e demais dispositivos essenciais.</w:t>
      </w:r>
    </w:p>
    <w:p w14:paraId="6EA4AF2A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3EE0C73C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9.3. Conformidade com Normas Técnicas e Regulamentares</w:t>
      </w:r>
    </w:p>
    <w:p w14:paraId="50480EB4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ab/>
        <w:t>•</w:t>
      </w:r>
      <w:r w:rsidRPr="00E35EA0">
        <w:rPr>
          <w:rFonts w:ascii="Tahoma" w:hAnsi="Tahoma" w:cs="Tahoma"/>
          <w:bCs/>
          <w:sz w:val="24"/>
          <w:szCs w:val="24"/>
        </w:rPr>
        <w:tab/>
        <w:t>Atendimento às exigências da ANEEL e demais órgãos reguladores, evitando sanções ou penalidades.</w:t>
      </w:r>
    </w:p>
    <w:p w14:paraId="7768FB49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117D0EF1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9.4. Eficiência Energética</w:t>
      </w:r>
    </w:p>
    <w:p w14:paraId="05B2EAED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ab/>
        <w:t>•</w:t>
      </w:r>
      <w:r w:rsidRPr="00E35EA0">
        <w:rPr>
          <w:rFonts w:ascii="Tahoma" w:hAnsi="Tahoma" w:cs="Tahoma"/>
          <w:bCs/>
          <w:sz w:val="24"/>
          <w:szCs w:val="24"/>
        </w:rPr>
        <w:tab/>
        <w:t>Uso racional da energia, promovendo medidas para reduzir custos e desperdícios.</w:t>
      </w:r>
    </w:p>
    <w:p w14:paraId="3BEB427E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4B629EAF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9.5. Segurança na Infraestrutura Elétrica</w:t>
      </w:r>
    </w:p>
    <w:p w14:paraId="216E8148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ab/>
        <w:t>•</w:t>
      </w:r>
      <w:r w:rsidRPr="00E35EA0">
        <w:rPr>
          <w:rFonts w:ascii="Tahoma" w:hAnsi="Tahoma" w:cs="Tahoma"/>
          <w:bCs/>
          <w:sz w:val="24"/>
          <w:szCs w:val="24"/>
        </w:rPr>
        <w:tab/>
        <w:t>Redução de riscos de falhas elétricas, sobrecargas e curto-circuitos, garantindo a proteção dos servidores e usuários da Câmara.</w:t>
      </w:r>
    </w:p>
    <w:p w14:paraId="27627B9A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082C91A0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9.6. Transparência e Prestação de Contas</w:t>
      </w:r>
    </w:p>
    <w:p w14:paraId="30DB4FF6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ab/>
        <w:t>•</w:t>
      </w:r>
      <w:r w:rsidRPr="00E35EA0">
        <w:rPr>
          <w:rFonts w:ascii="Tahoma" w:hAnsi="Tahoma" w:cs="Tahoma"/>
          <w:bCs/>
          <w:sz w:val="24"/>
          <w:szCs w:val="24"/>
        </w:rPr>
        <w:tab/>
        <w:t>Controle e monitoramento do consumo energético, garantindo a adequada prestação de contas à população e aos órgãos de fiscalização.</w:t>
      </w:r>
    </w:p>
    <w:p w14:paraId="689769FB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13C9A551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10. CONTRATAÇÕES CORRELATAS E/OU INTERDEPENDENTES</w:t>
      </w:r>
    </w:p>
    <w:p w14:paraId="39D7D3D1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27E5C607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10.1. Não há contratações correlatas ou interdependentes identificadas para este objeto.</w:t>
      </w:r>
    </w:p>
    <w:p w14:paraId="34EAD0DD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2F5B6B5A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lastRenderedPageBreak/>
        <w:t>11. IMPACTOS AMBIENTAIS</w:t>
      </w:r>
    </w:p>
    <w:p w14:paraId="613236F5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5E7337FC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11.1. Embora o serviço de fornecimento de energia elétrica possa ter impactos ambientais indiretos, recomenda-se a adoção de práticas de eficiência energética para minimizar o consumo e reduzir o impacto ambiental.</w:t>
      </w:r>
    </w:p>
    <w:p w14:paraId="0537965E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40904321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11.2. Poderão ser estudadas, no futuro, alternativas sustentáveis, como a implementação de sistemas de energia solar para reduzir o consumo de energia da rede convencional.</w:t>
      </w:r>
    </w:p>
    <w:p w14:paraId="796C1E8E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14AB4DCF" w14:textId="0B8A432A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 w:rsidRPr="00E35EA0">
        <w:rPr>
          <w:rFonts w:ascii="Tahoma" w:hAnsi="Tahoma" w:cs="Tahoma"/>
          <w:bCs/>
          <w:sz w:val="24"/>
          <w:szCs w:val="24"/>
        </w:rPr>
        <w:t>12. POSICIONAMENTO CONCLUSIVO</w:t>
      </w:r>
    </w:p>
    <w:p w14:paraId="0AD4BD84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1E773717" w14:textId="631C7AFA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12</w:t>
      </w:r>
      <w:r w:rsidRPr="00E35EA0">
        <w:rPr>
          <w:rFonts w:ascii="Tahoma" w:hAnsi="Tahoma" w:cs="Tahoma"/>
          <w:bCs/>
          <w:sz w:val="24"/>
          <w:szCs w:val="24"/>
        </w:rPr>
        <w:t>.1. Considerando a necessidade de garantir o fornecimento de energia elétrica para o pleno funcionamento da Câmara Municipal de Paraú/RN, a contratação do serviço com a concessionária oficial da região é a solução mais adequada.</w:t>
      </w:r>
    </w:p>
    <w:p w14:paraId="5E89216E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4DD45C04" w14:textId="577B6981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12</w:t>
      </w:r>
      <w:r w:rsidRPr="00E35EA0">
        <w:rPr>
          <w:rFonts w:ascii="Tahoma" w:hAnsi="Tahoma" w:cs="Tahoma"/>
          <w:bCs/>
          <w:sz w:val="24"/>
          <w:szCs w:val="24"/>
        </w:rPr>
        <w:t>.2. A contratação seguirá as normas e regulamentos aplicáveis, garantindo que os serviços sejam prestados com segurança, eficiência e continuidade.</w:t>
      </w:r>
    </w:p>
    <w:p w14:paraId="66DAE43C" w14:textId="77777777" w:rsidR="00E35EA0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</w:p>
    <w:p w14:paraId="480CBF58" w14:textId="1C52CC16" w:rsidR="005C092D" w:rsidRPr="00E35EA0" w:rsidRDefault="00E35EA0" w:rsidP="00E35EA0">
      <w:pPr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12</w:t>
      </w:r>
      <w:r w:rsidRPr="00E35EA0">
        <w:rPr>
          <w:rFonts w:ascii="Tahoma" w:hAnsi="Tahoma" w:cs="Tahoma"/>
          <w:bCs/>
          <w:sz w:val="24"/>
          <w:szCs w:val="24"/>
        </w:rPr>
        <w:t>.3. O fornecimento adequado de energia elétrica permitirá que a Câmara desempenhe suas funções institucionais sem interrupções, assegurando a qualidade dos serviços prestados à população.</w:t>
      </w:r>
    </w:p>
    <w:p w14:paraId="2A23BBB1" w14:textId="77777777" w:rsidR="00E35EA0" w:rsidRDefault="00E35EA0" w:rsidP="00E35EA0">
      <w:pPr>
        <w:pStyle w:val="Corpodetexto"/>
        <w:jc w:val="both"/>
        <w:rPr>
          <w:rFonts w:ascii="Tahoma" w:hAnsi="Tahoma" w:cs="Tahoma"/>
        </w:rPr>
      </w:pPr>
    </w:p>
    <w:p w14:paraId="42644A29" w14:textId="12E1A27D" w:rsidR="00E35EA0" w:rsidRPr="00F05A99" w:rsidRDefault="00E35EA0" w:rsidP="00E35EA0">
      <w:pPr>
        <w:pStyle w:val="Corpodetexto"/>
        <w:jc w:val="both"/>
        <w:rPr>
          <w:rFonts w:ascii="Tahoma" w:hAnsi="Tahoma" w:cs="Tahoma"/>
        </w:rPr>
      </w:pPr>
      <w:r w:rsidRPr="00F05A99">
        <w:rPr>
          <w:rFonts w:ascii="Tahoma" w:hAnsi="Tahoma" w:cs="Tahoma"/>
        </w:rPr>
        <w:t xml:space="preserve">Paraú/RN, </w:t>
      </w:r>
      <w:r>
        <w:rPr>
          <w:rFonts w:ascii="Tahoma" w:hAnsi="Tahoma" w:cs="Tahoma"/>
        </w:rPr>
        <w:t>06</w:t>
      </w:r>
      <w:r w:rsidRPr="00F05A99">
        <w:rPr>
          <w:rFonts w:ascii="Tahoma" w:hAnsi="Tahoma" w:cs="Tahoma"/>
        </w:rPr>
        <w:t xml:space="preserve"> de janeiro de 2025.</w:t>
      </w:r>
    </w:p>
    <w:p w14:paraId="1C7DDD70" w14:textId="77777777" w:rsidR="00E35EA0" w:rsidRDefault="00E35EA0" w:rsidP="00E35EA0">
      <w:pPr>
        <w:pStyle w:val="Corpodetexto"/>
        <w:ind w:firstLine="708"/>
        <w:jc w:val="both"/>
        <w:rPr>
          <w:rFonts w:ascii="Tahoma" w:hAnsi="Tahoma" w:cs="Tahoma"/>
        </w:rPr>
      </w:pPr>
    </w:p>
    <w:p w14:paraId="07BE994C" w14:textId="77777777" w:rsidR="00E35EA0" w:rsidRPr="00F05A99" w:rsidRDefault="00E35EA0" w:rsidP="00E35EA0">
      <w:pPr>
        <w:pStyle w:val="Corpodetexto"/>
        <w:ind w:firstLine="708"/>
        <w:jc w:val="both"/>
        <w:rPr>
          <w:rFonts w:ascii="Tahoma" w:hAnsi="Tahoma" w:cs="Tahoma"/>
        </w:rPr>
      </w:pPr>
    </w:p>
    <w:p w14:paraId="360BB65A" w14:textId="77777777" w:rsidR="00E35EA0" w:rsidRPr="00F05A99" w:rsidRDefault="00E35EA0" w:rsidP="00E35EA0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F05A99">
        <w:rPr>
          <w:rFonts w:ascii="Tahoma" w:hAnsi="Tahoma" w:cs="Tahoma"/>
          <w:b/>
          <w:bCs/>
          <w:sz w:val="24"/>
          <w:szCs w:val="24"/>
        </w:rPr>
        <w:t>Rebeca Medeiros de Oliviera</w:t>
      </w:r>
    </w:p>
    <w:p w14:paraId="650B5A83" w14:textId="7F9C4F11" w:rsidR="00E35EA0" w:rsidRPr="00E35EA0" w:rsidRDefault="00E35EA0" w:rsidP="00E35EA0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F05A99">
        <w:rPr>
          <w:rFonts w:ascii="Tahoma" w:hAnsi="Tahoma" w:cs="Tahoma"/>
          <w:b/>
          <w:bCs/>
          <w:sz w:val="24"/>
          <w:szCs w:val="24"/>
        </w:rPr>
        <w:t>Diretora Administrativa</w:t>
      </w:r>
    </w:p>
    <w:sectPr w:rsidR="00E35EA0" w:rsidRPr="00E35EA0" w:rsidSect="006D6142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199D2" w14:textId="77777777" w:rsidR="00DB0839" w:rsidRDefault="00DB0839" w:rsidP="006D6142">
      <w:r>
        <w:separator/>
      </w:r>
    </w:p>
  </w:endnote>
  <w:endnote w:type="continuationSeparator" w:id="0">
    <w:p w14:paraId="5DFF4B0E" w14:textId="77777777" w:rsidR="00DB0839" w:rsidRDefault="00DB0839" w:rsidP="006D6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03B55" w14:textId="77777777" w:rsidR="00DB0839" w:rsidRDefault="00DB0839" w:rsidP="006D6142">
      <w:r>
        <w:separator/>
      </w:r>
    </w:p>
  </w:footnote>
  <w:footnote w:type="continuationSeparator" w:id="0">
    <w:p w14:paraId="78FFDD58" w14:textId="77777777" w:rsidR="00DB0839" w:rsidRDefault="00DB0839" w:rsidP="006D6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51EF0" w14:textId="77777777" w:rsidR="00861F6A" w:rsidRDefault="00861F6A" w:rsidP="00861F6A">
    <w:pPr>
      <w:pStyle w:val="Ttulo1"/>
      <w:rPr>
        <w:b w:val="0"/>
        <w:bCs/>
        <w:color w:val="000000"/>
        <w:sz w:val="20"/>
      </w:rPr>
    </w:pPr>
    <w:r>
      <w:rPr>
        <w:b w:val="0"/>
        <w:bCs/>
        <w:noProof/>
        <w:color w:val="000000"/>
        <w:sz w:val="20"/>
      </w:rPr>
      <w:drawing>
        <wp:inline distT="0" distB="0" distL="0" distR="0" wp14:anchorId="5307BCED" wp14:editId="6AE7A1C4">
          <wp:extent cx="929640" cy="777240"/>
          <wp:effectExtent l="0" t="0" r="3810" b="3810"/>
          <wp:docPr id="67533396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640" cy="777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30AF62" w14:textId="77777777" w:rsidR="00861F6A" w:rsidRPr="00910590" w:rsidRDefault="00861F6A" w:rsidP="00861F6A">
    <w:pPr>
      <w:pStyle w:val="Ttulo1"/>
      <w:ind w:right="0"/>
      <w:rPr>
        <w:b w:val="0"/>
        <w:bCs/>
        <w:caps/>
        <w:color w:val="000000"/>
      </w:rPr>
    </w:pPr>
    <w:r w:rsidRPr="00910590">
      <w:rPr>
        <w:b w:val="0"/>
        <w:caps/>
        <w:color w:val="000000"/>
      </w:rPr>
      <w:t>Estado do Rio Grande do Norte</w:t>
    </w:r>
  </w:p>
  <w:p w14:paraId="1BC52669" w14:textId="77777777" w:rsidR="00861F6A" w:rsidRDefault="00861F6A" w:rsidP="00861F6A">
    <w:pPr>
      <w:pStyle w:val="Ttulo1"/>
      <w:ind w:right="0"/>
      <w:rPr>
        <w:caps/>
        <w:color w:val="000000"/>
        <w:sz w:val="28"/>
        <w:szCs w:val="28"/>
      </w:rPr>
    </w:pPr>
    <w:r w:rsidRPr="00910590">
      <w:rPr>
        <w:caps/>
        <w:color w:val="000000"/>
        <w:sz w:val="28"/>
        <w:szCs w:val="28"/>
      </w:rPr>
      <w:t>Câmara Municipal de Paraú/RN</w:t>
    </w:r>
  </w:p>
  <w:p w14:paraId="5D45BF6F" w14:textId="38D98FAC" w:rsidR="005C092D" w:rsidRPr="005C092D" w:rsidRDefault="005C092D" w:rsidP="005C092D">
    <w:pPr>
      <w:jc w:val="center"/>
      <w:rPr>
        <w:rFonts w:ascii="Arial" w:hAnsi="Arial" w:cs="Arial"/>
        <w:b/>
        <w:bCs/>
        <w:sz w:val="28"/>
        <w:szCs w:val="28"/>
        <w:lang w:val="pt-BR" w:eastAsia="pt-BR"/>
      </w:rPr>
    </w:pPr>
    <w:r w:rsidRPr="005C092D">
      <w:rPr>
        <w:rFonts w:ascii="Arial" w:hAnsi="Arial" w:cs="Arial"/>
        <w:b/>
        <w:bCs/>
        <w:sz w:val="28"/>
        <w:szCs w:val="28"/>
        <w:lang w:val="pt-BR" w:eastAsia="pt-BR"/>
      </w:rPr>
      <w:t>ASSESSORIA JURÍDICA</w:t>
    </w:r>
  </w:p>
  <w:p w14:paraId="755F3B85" w14:textId="77777777" w:rsidR="00861F6A" w:rsidRPr="00910590" w:rsidRDefault="00861F6A" w:rsidP="00861F6A">
    <w:pPr>
      <w:jc w:val="center"/>
      <w:rPr>
        <w:rFonts w:ascii="Arial" w:hAnsi="Arial" w:cs="Arial"/>
        <w:color w:val="000000"/>
        <w:sz w:val="24"/>
        <w:szCs w:val="24"/>
      </w:rPr>
    </w:pPr>
    <w:r w:rsidRPr="00910590">
      <w:rPr>
        <w:rFonts w:ascii="Arial" w:hAnsi="Arial" w:cs="Arial"/>
        <w:color w:val="000000"/>
        <w:sz w:val="24"/>
        <w:szCs w:val="24"/>
      </w:rPr>
      <w:t>Rua Padre Amaro, 35 – Centro.</w:t>
    </w:r>
  </w:p>
  <w:p w14:paraId="617B520E" w14:textId="77777777" w:rsidR="00861F6A" w:rsidRPr="00910590" w:rsidRDefault="00861F6A" w:rsidP="00861F6A">
    <w:pPr>
      <w:jc w:val="center"/>
      <w:rPr>
        <w:rFonts w:ascii="Arial" w:hAnsi="Arial" w:cs="Arial"/>
        <w:color w:val="000000"/>
        <w:sz w:val="24"/>
        <w:szCs w:val="24"/>
      </w:rPr>
    </w:pPr>
    <w:r w:rsidRPr="00910590">
      <w:rPr>
        <w:rFonts w:ascii="Arial" w:hAnsi="Arial" w:cs="Arial"/>
        <w:color w:val="000000"/>
        <w:sz w:val="24"/>
        <w:szCs w:val="24"/>
      </w:rPr>
      <w:t>CNPJ/MF 08.565.426/0001-02</w:t>
    </w:r>
  </w:p>
  <w:p w14:paraId="7C3F0C7C" w14:textId="77777777" w:rsidR="006D6142" w:rsidRDefault="006D614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92644"/>
    <w:multiLevelType w:val="multilevel"/>
    <w:tmpl w:val="58122F76"/>
    <w:lvl w:ilvl="0">
      <w:start w:val="3"/>
      <w:numFmt w:val="decimal"/>
      <w:lvlText w:val="%1."/>
      <w:lvlJc w:val="left"/>
      <w:pPr>
        <w:ind w:left="528" w:hanging="528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96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72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4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116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184" w:hanging="2520"/>
      </w:pPr>
      <w:rPr>
        <w:rFonts w:hint="default"/>
        <w:b/>
      </w:rPr>
    </w:lvl>
  </w:abstractNum>
  <w:abstractNum w:abstractNumId="1" w15:restartNumberingAfterBreak="0">
    <w:nsid w:val="19FB5B6B"/>
    <w:multiLevelType w:val="hybridMultilevel"/>
    <w:tmpl w:val="AFC23A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874C4"/>
    <w:multiLevelType w:val="multilevel"/>
    <w:tmpl w:val="8A3ED628"/>
    <w:lvl w:ilvl="0">
      <w:start w:val="1"/>
      <w:numFmt w:val="decimal"/>
      <w:lvlText w:val="%1."/>
      <w:lvlJc w:val="left"/>
      <w:pPr>
        <w:ind w:left="371" w:hanging="284"/>
      </w:pPr>
      <w:rPr>
        <w:rFonts w:ascii="Cambria" w:eastAsia="Cambria" w:hAnsi="Cambria" w:cs="Cambria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40" w:hanging="2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00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0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1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1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1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1" w:hanging="284"/>
      </w:pPr>
      <w:rPr>
        <w:rFonts w:hint="default"/>
        <w:lang w:val="pt-PT" w:eastAsia="en-US" w:bidi="ar-SA"/>
      </w:rPr>
    </w:lvl>
  </w:abstractNum>
  <w:abstractNum w:abstractNumId="3" w15:restartNumberingAfterBreak="0">
    <w:nsid w:val="6D761136"/>
    <w:multiLevelType w:val="hybridMultilevel"/>
    <w:tmpl w:val="41B2B4C2"/>
    <w:lvl w:ilvl="0" w:tplc="A4D8635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21F609F"/>
    <w:multiLevelType w:val="multilevel"/>
    <w:tmpl w:val="5DB0BBD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90" w:hanging="108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51" w:hanging="144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2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513" w:hanging="180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874" w:hanging="216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235" w:hanging="252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236" w:hanging="2520"/>
      </w:pPr>
      <w:rPr>
        <w:rFonts w:hint="default"/>
        <w:b w:val="0"/>
      </w:rPr>
    </w:lvl>
  </w:abstractNum>
  <w:num w:numId="1" w16cid:durableId="1963221343">
    <w:abstractNumId w:val="3"/>
  </w:num>
  <w:num w:numId="2" w16cid:durableId="157186465">
    <w:abstractNumId w:val="1"/>
  </w:num>
  <w:num w:numId="3" w16cid:durableId="290865599">
    <w:abstractNumId w:val="0"/>
  </w:num>
  <w:num w:numId="4" w16cid:durableId="1213420114">
    <w:abstractNumId w:val="4"/>
  </w:num>
  <w:num w:numId="5" w16cid:durableId="238028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142"/>
    <w:rsid w:val="00000CE1"/>
    <w:rsid w:val="00007DE6"/>
    <w:rsid w:val="00013A08"/>
    <w:rsid w:val="00032C9D"/>
    <w:rsid w:val="00085ED5"/>
    <w:rsid w:val="000964AE"/>
    <w:rsid w:val="000A65E3"/>
    <w:rsid w:val="00152764"/>
    <w:rsid w:val="00153B6C"/>
    <w:rsid w:val="001D1543"/>
    <w:rsid w:val="001D1A1B"/>
    <w:rsid w:val="00217778"/>
    <w:rsid w:val="002410BD"/>
    <w:rsid w:val="00241228"/>
    <w:rsid w:val="00253466"/>
    <w:rsid w:val="002D3813"/>
    <w:rsid w:val="002E1208"/>
    <w:rsid w:val="003071FD"/>
    <w:rsid w:val="003800E9"/>
    <w:rsid w:val="003A2752"/>
    <w:rsid w:val="003B075E"/>
    <w:rsid w:val="003B11BE"/>
    <w:rsid w:val="003B7A06"/>
    <w:rsid w:val="003C1C3E"/>
    <w:rsid w:val="003D153D"/>
    <w:rsid w:val="003E1FDB"/>
    <w:rsid w:val="00404C84"/>
    <w:rsid w:val="004207C2"/>
    <w:rsid w:val="00450263"/>
    <w:rsid w:val="004708E5"/>
    <w:rsid w:val="0049322F"/>
    <w:rsid w:val="004B40A5"/>
    <w:rsid w:val="004F5025"/>
    <w:rsid w:val="005037FC"/>
    <w:rsid w:val="00517846"/>
    <w:rsid w:val="005C092D"/>
    <w:rsid w:val="005C3EF7"/>
    <w:rsid w:val="005D5DFE"/>
    <w:rsid w:val="00615139"/>
    <w:rsid w:val="0063125F"/>
    <w:rsid w:val="006429ED"/>
    <w:rsid w:val="0065010B"/>
    <w:rsid w:val="006608A0"/>
    <w:rsid w:val="00697306"/>
    <w:rsid w:val="006B6C5B"/>
    <w:rsid w:val="006D6142"/>
    <w:rsid w:val="006D6E7B"/>
    <w:rsid w:val="006E3094"/>
    <w:rsid w:val="00700678"/>
    <w:rsid w:val="007015C1"/>
    <w:rsid w:val="00713C50"/>
    <w:rsid w:val="00724D8C"/>
    <w:rsid w:val="00747EFF"/>
    <w:rsid w:val="0076678A"/>
    <w:rsid w:val="007861F5"/>
    <w:rsid w:val="00786BFF"/>
    <w:rsid w:val="00796E02"/>
    <w:rsid w:val="007A2BF9"/>
    <w:rsid w:val="007C6ACA"/>
    <w:rsid w:val="008164BC"/>
    <w:rsid w:val="00817D8E"/>
    <w:rsid w:val="00821F7E"/>
    <w:rsid w:val="008265E6"/>
    <w:rsid w:val="00847A2C"/>
    <w:rsid w:val="00861F6A"/>
    <w:rsid w:val="00873503"/>
    <w:rsid w:val="00896A14"/>
    <w:rsid w:val="008A087F"/>
    <w:rsid w:val="008D252F"/>
    <w:rsid w:val="008F0F7C"/>
    <w:rsid w:val="009509A7"/>
    <w:rsid w:val="0095429B"/>
    <w:rsid w:val="00966A86"/>
    <w:rsid w:val="00983E12"/>
    <w:rsid w:val="009A7DFE"/>
    <w:rsid w:val="009B296A"/>
    <w:rsid w:val="00A03DFC"/>
    <w:rsid w:val="00A12FB0"/>
    <w:rsid w:val="00A26F3D"/>
    <w:rsid w:val="00A65E91"/>
    <w:rsid w:val="00AA5FE6"/>
    <w:rsid w:val="00AB24CA"/>
    <w:rsid w:val="00AD3C6D"/>
    <w:rsid w:val="00AF4C1A"/>
    <w:rsid w:val="00B31D5E"/>
    <w:rsid w:val="00B375B3"/>
    <w:rsid w:val="00B42FD5"/>
    <w:rsid w:val="00BA552E"/>
    <w:rsid w:val="00BD5304"/>
    <w:rsid w:val="00C151EC"/>
    <w:rsid w:val="00C1679D"/>
    <w:rsid w:val="00C242E3"/>
    <w:rsid w:val="00C34077"/>
    <w:rsid w:val="00C52809"/>
    <w:rsid w:val="00C81DC0"/>
    <w:rsid w:val="00C844F0"/>
    <w:rsid w:val="00C85FFD"/>
    <w:rsid w:val="00CA09D7"/>
    <w:rsid w:val="00CF7D13"/>
    <w:rsid w:val="00D15A68"/>
    <w:rsid w:val="00D26B64"/>
    <w:rsid w:val="00D32F5C"/>
    <w:rsid w:val="00D43FE7"/>
    <w:rsid w:val="00D5454F"/>
    <w:rsid w:val="00D76C65"/>
    <w:rsid w:val="00DB0839"/>
    <w:rsid w:val="00DB0F4C"/>
    <w:rsid w:val="00E35EA0"/>
    <w:rsid w:val="00E40817"/>
    <w:rsid w:val="00E70A94"/>
    <w:rsid w:val="00E955B3"/>
    <w:rsid w:val="00EB7D01"/>
    <w:rsid w:val="00EF4F78"/>
    <w:rsid w:val="00F300F9"/>
    <w:rsid w:val="00F7559C"/>
    <w:rsid w:val="00F774FD"/>
    <w:rsid w:val="00FB6CAC"/>
    <w:rsid w:val="00FE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6C44F"/>
  <w15:chartTrackingRefBased/>
  <w15:docId w15:val="{F13C6A73-81B4-4A31-B015-F920E23EB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D614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861F6A"/>
    <w:pPr>
      <w:keepNext/>
      <w:widowControl/>
      <w:autoSpaceDE/>
      <w:autoSpaceDN/>
      <w:ind w:right="-5"/>
      <w:jc w:val="center"/>
      <w:outlineLvl w:val="0"/>
    </w:pPr>
    <w:rPr>
      <w:rFonts w:ascii="Arial" w:hAnsi="Arial" w:cs="Arial"/>
      <w:b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D6142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D6142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aliases w:val="Cabeçalho superior,Heading 1a,Char"/>
    <w:basedOn w:val="Normal"/>
    <w:link w:val="CabealhoChar"/>
    <w:uiPriority w:val="99"/>
    <w:unhideWhenUsed/>
    <w:rsid w:val="006D61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Char Char"/>
    <w:basedOn w:val="Fontepargpadro"/>
    <w:link w:val="Cabealho"/>
    <w:uiPriority w:val="99"/>
    <w:rsid w:val="006D6142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61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6142"/>
    <w:rPr>
      <w:rFonts w:ascii="Times New Roman" w:eastAsia="Times New Roman" w:hAnsi="Times New Roman" w:cs="Times New Roman"/>
      <w:lang w:val="pt-PT"/>
    </w:rPr>
  </w:style>
  <w:style w:type="paragraph" w:customStyle="1" w:styleId="Default">
    <w:name w:val="Default"/>
    <w:rsid w:val="00A03DFC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customStyle="1" w:styleId="dou-paragraph">
    <w:name w:val="dou-paragraph"/>
    <w:basedOn w:val="Normal"/>
    <w:rsid w:val="0021777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1"/>
    <w:qFormat/>
    <w:rsid w:val="00FE207E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SemEspaamento">
    <w:name w:val="No Spacing"/>
    <w:uiPriority w:val="1"/>
    <w:qFormat/>
    <w:rsid w:val="00861F6A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861F6A"/>
    <w:rPr>
      <w:rFonts w:ascii="Arial" w:eastAsia="Times New Roman" w:hAnsi="Arial" w:cs="Arial"/>
      <w:b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B6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1">
    <w:name w:val="Corpo de texto1"/>
    <w:basedOn w:val="Normal"/>
    <w:rsid w:val="005C092D"/>
    <w:pPr>
      <w:suppressAutoHyphens/>
      <w:autoSpaceDE/>
      <w:spacing w:after="140" w:line="288" w:lineRule="auto"/>
      <w:textAlignment w:val="baseline"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2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926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PMCG</dc:creator>
  <cp:keywords/>
  <dc:description/>
  <cp:lastModifiedBy>Eider Vieira</cp:lastModifiedBy>
  <cp:revision>2</cp:revision>
  <cp:lastPrinted>2025-03-27T14:26:00Z</cp:lastPrinted>
  <dcterms:created xsi:type="dcterms:W3CDTF">2025-03-27T18:27:00Z</dcterms:created>
  <dcterms:modified xsi:type="dcterms:W3CDTF">2025-03-27T18:27:00Z</dcterms:modified>
</cp:coreProperties>
</file>