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suppressAutoHyphens w:val="true"/>
        <w:ind w:right="-1"/>
        <w:jc w:val="center"/>
        <w:rPr>
          <w:rFonts w:ascii="Arial" w:hAnsi="Arial" w:cs="Arial"/>
          <w:b/>
          <w:bCs/>
          <w:color w:val="00B050"/>
          <w:sz w:val="22"/>
          <w:szCs w:val="22"/>
        </w:rPr>
      </w:pPr>
      <w:r>
        <w:rPr>
          <w:rFonts w:cs="Arial" w:ascii="Arial" w:hAnsi="Arial"/>
          <w:b/>
          <w:bCs/>
          <w:color w:val="00B050"/>
          <w:sz w:val="22"/>
          <w:szCs w:val="22"/>
        </w:rPr>
      </w:r>
    </w:p>
    <w:p>
      <w:pPr>
        <w:pStyle w:val="Normal"/>
        <w:widowControl w:val="false"/>
        <w:suppressAutoHyphens w:val="true"/>
        <w:spacing w:before="0" w:after="0"/>
        <w:ind w:right="-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cs="Arial" w:ascii="Arial" w:hAnsi="Arial"/>
          <w:b/>
          <w:bCs/>
          <w:color w:val="000000"/>
          <w:sz w:val="22"/>
          <w:szCs w:val="22"/>
        </w:rPr>
        <w:t>ESTUDO TÉCNICO PRELIMINAR - ETP</w:t>
      </w:r>
    </w:p>
    <w:p>
      <w:pPr>
        <w:pStyle w:val="Normal"/>
        <w:widowControl w:val="false"/>
        <w:suppressAutoHyphens w:val="true"/>
        <w:ind w:right="-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cs="Arial" w:ascii="Arial" w:hAnsi="Arial"/>
          <w:b/>
          <w:bCs/>
          <w:color w:val="000000"/>
          <w:sz w:val="22"/>
          <w:szCs w:val="22"/>
        </w:rPr>
      </w:r>
    </w:p>
    <w:p>
      <w:pPr>
        <w:pStyle w:val="Normal"/>
        <w:widowControl w:val="false"/>
        <w:suppressAutoHyphens w:val="true"/>
        <w:ind w:right="-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cs="Arial" w:ascii="Arial" w:hAnsi="Arial"/>
          <w:b/>
          <w:bCs/>
          <w:color w:val="000000"/>
          <w:sz w:val="22"/>
          <w:szCs w:val="22"/>
        </w:rPr>
      </w:r>
    </w:p>
    <w:p>
      <w:pPr>
        <w:pStyle w:val="BodyTextIndented"/>
        <w:widowControl w:val="false"/>
        <w:numPr>
          <w:ilvl w:val="0"/>
          <w:numId w:val="2"/>
        </w:numPr>
        <w:tabs>
          <w:tab w:val="clear" w:pos="708"/>
          <w:tab w:val="left" w:pos="426" w:leader="none"/>
        </w:tabs>
        <w:ind w:hanging="0" w:left="0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  <w:t>IDENTIFICAÇÃO DO(S) REQUISITANTE(S)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left="0"/>
        <w:contextualSpacing w:val="false"/>
        <w:jc w:val="both"/>
        <w:rPr>
          <w:rFonts w:ascii="Arial" w:hAnsi="Arial" w:cs="Arial"/>
          <w:i/>
          <w:i/>
          <w:color w:val="00B050"/>
        </w:rPr>
      </w:pPr>
      <w:r>
        <w:rPr>
          <w:rFonts w:cs="Arial" w:ascii="Arial" w:hAnsi="Arial"/>
          <w:i/>
          <w:color w:val="00B050"/>
        </w:rPr>
      </w:r>
    </w:p>
    <w:tbl>
      <w:tblPr>
        <w:tblStyle w:val="Tabelacomgrade"/>
        <w:tblW w:w="9067" w:type="dxa"/>
        <w:jc w:val="lef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  <w:tblLook w:firstRow="1" w:noVBand="1" w:lastRow="0" w:firstColumn="1" w:lastColumn="0" w:noHBand="0" w:val="04a0"/>
      </w:tblPr>
      <w:tblGrid>
        <w:gridCol w:w="5523"/>
        <w:gridCol w:w="3543"/>
      </w:tblGrid>
      <w:tr>
        <w:trPr/>
        <w:tc>
          <w:tcPr>
            <w:tcW w:w="552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right="-1"/>
              <w:jc w:val="both"/>
              <w:rPr>
                <w:rFonts w:cs="Times New Roman"/>
                <w:kern w:val="0"/>
                <w:sz w:val="18"/>
                <w:szCs w:val="18"/>
                <w:lang w:bidi="ar-SA"/>
              </w:rPr>
            </w:pPr>
            <w:r>
              <w:rPr>
                <w:rFonts w:cs="Arial" w:ascii="Arial" w:hAnsi="Arial"/>
                <w:bCs/>
                <w:color w:val="000000"/>
                <w:kern w:val="0"/>
                <w:sz w:val="18"/>
                <w:szCs w:val="18"/>
                <w:lang w:bidi="ar-SA"/>
              </w:rPr>
              <w:t>Departamento/Setor/Assessoria requisitante:</w:t>
            </w:r>
          </w:p>
        </w:tc>
        <w:tc>
          <w:tcPr>
            <w:tcW w:w="354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right="-1"/>
              <w:jc w:val="both"/>
              <w:rPr>
                <w:rFonts w:cs="Times New Roman"/>
                <w:color w:val="000000"/>
                <w:kern w:val="0"/>
                <w:sz w:val="18"/>
                <w:szCs w:val="18"/>
                <w:lang w:bidi="ar-SA"/>
              </w:rPr>
            </w:pPr>
            <w:r>
              <w:rPr>
                <w:rFonts w:cs="Arial" w:ascii="Arial" w:hAnsi="Arial"/>
                <w:bCs/>
                <w:color w:val="000000"/>
                <w:kern w:val="0"/>
                <w:sz w:val="18"/>
                <w:szCs w:val="18"/>
                <w:lang w:bidi="ar-SA"/>
              </w:rPr>
              <w:t>Coordenação de TI</w:t>
            </w:r>
          </w:p>
        </w:tc>
      </w:tr>
      <w:tr>
        <w:trPr/>
        <w:tc>
          <w:tcPr>
            <w:tcW w:w="552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right="-1"/>
              <w:jc w:val="both"/>
              <w:rPr>
                <w:rFonts w:cs="Times New Roman"/>
                <w:kern w:val="0"/>
                <w:sz w:val="18"/>
                <w:szCs w:val="18"/>
                <w:lang w:bidi="ar-SA"/>
              </w:rPr>
            </w:pPr>
            <w:r>
              <w:rPr>
                <w:rFonts w:cs="Arial" w:ascii="Arial" w:hAnsi="Arial"/>
                <w:bCs/>
                <w:color w:val="000000"/>
                <w:kern w:val="0"/>
                <w:sz w:val="18"/>
                <w:szCs w:val="18"/>
                <w:lang w:bidi="ar-SA"/>
              </w:rPr>
              <w:t>Servidor(a) responsável pela elaboração do ETP:</w:t>
            </w:r>
          </w:p>
        </w:tc>
        <w:tc>
          <w:tcPr>
            <w:tcW w:w="354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right="-1"/>
              <w:jc w:val="both"/>
              <w:rPr>
                <w:rFonts w:cs="Times New Roman"/>
                <w:b w:val="false"/>
                <w:bCs w:val="false"/>
                <w:kern w:val="0"/>
                <w:sz w:val="18"/>
                <w:szCs w:val="18"/>
                <w:lang w:bidi="ar-SA"/>
              </w:rPr>
            </w:pPr>
            <w:r>
              <w:rPr>
                <w:rFonts w:cs="Arial" w:ascii="Arial" w:hAnsi="Arial"/>
                <w:b w:val="false"/>
                <w:bCs w:val="false"/>
                <w:color w:val="000000"/>
                <w:kern w:val="0"/>
                <w:sz w:val="18"/>
                <w:szCs w:val="18"/>
                <w:lang w:bidi="ar-SA"/>
              </w:rPr>
              <w:t>Gabriel Roubaldo dos Santos</w:t>
            </w:r>
          </w:p>
        </w:tc>
      </w:tr>
      <w:tr>
        <w:trPr/>
        <w:tc>
          <w:tcPr>
            <w:tcW w:w="552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right="-1"/>
              <w:jc w:val="both"/>
              <w:rPr>
                <w:rFonts w:cs="Times New Roman"/>
                <w:kern w:val="0"/>
                <w:sz w:val="18"/>
                <w:szCs w:val="18"/>
                <w:lang w:bidi="ar-SA"/>
              </w:rPr>
            </w:pPr>
            <w:r>
              <w:rPr>
                <w:rFonts w:cs="Arial" w:ascii="Arial" w:hAnsi="Arial"/>
                <w:bCs/>
                <w:color w:val="000000"/>
                <w:kern w:val="0"/>
                <w:sz w:val="18"/>
                <w:szCs w:val="18"/>
                <w:lang w:bidi="ar-SA"/>
              </w:rPr>
              <w:t>Cargo do(a) servidor(a) responsável pela elaboração do ETP:</w:t>
            </w:r>
          </w:p>
        </w:tc>
        <w:tc>
          <w:tcPr>
            <w:tcW w:w="354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right="-1"/>
              <w:jc w:val="both"/>
              <w:rPr>
                <w:rFonts w:cs="Times New Roman"/>
                <w:color w:val="000000"/>
                <w:kern w:val="0"/>
                <w:sz w:val="18"/>
                <w:szCs w:val="18"/>
                <w:lang w:bidi="ar-SA"/>
              </w:rPr>
            </w:pPr>
            <w:r>
              <w:rPr>
                <w:rFonts w:cs="Arial" w:ascii="Arial" w:hAnsi="Arial"/>
                <w:bCs/>
                <w:color w:val="000000"/>
                <w:kern w:val="0"/>
                <w:sz w:val="18"/>
                <w:szCs w:val="18"/>
                <w:lang w:bidi="ar-SA"/>
              </w:rPr>
              <w:t>Supervisor de Suporte</w:t>
            </w:r>
          </w:p>
        </w:tc>
      </w:tr>
      <w:tr>
        <w:trPr/>
        <w:tc>
          <w:tcPr>
            <w:tcW w:w="552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right="-1"/>
              <w:jc w:val="both"/>
              <w:rPr>
                <w:rFonts w:cs="Times New Roman"/>
                <w:kern w:val="0"/>
                <w:sz w:val="18"/>
                <w:szCs w:val="18"/>
                <w:lang w:bidi="ar-SA"/>
              </w:rPr>
            </w:pPr>
            <w:r>
              <w:rPr>
                <w:rFonts w:cs="Arial" w:ascii="Arial" w:hAnsi="Arial"/>
                <w:bCs/>
                <w:color w:val="000000"/>
                <w:kern w:val="0"/>
                <w:sz w:val="18"/>
                <w:szCs w:val="18"/>
                <w:lang w:bidi="ar-SA"/>
              </w:rPr>
              <w:t>Coordenação/Assessoria requisitante:</w:t>
            </w:r>
          </w:p>
        </w:tc>
        <w:tc>
          <w:tcPr>
            <w:tcW w:w="354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right="-1"/>
              <w:jc w:val="both"/>
              <w:rPr>
                <w:rFonts w:cs="Times New Roman"/>
                <w:b w:val="false"/>
                <w:bCs w:val="false"/>
                <w:color w:val="000000"/>
                <w:kern w:val="0"/>
                <w:sz w:val="18"/>
                <w:szCs w:val="18"/>
                <w:lang w:bidi="ar-SA"/>
              </w:rPr>
            </w:pPr>
            <w:r>
              <w:rPr>
                <w:rFonts w:cs="Arial" w:ascii="Arial" w:hAnsi="Arial"/>
                <w:b w:val="false"/>
                <w:bCs w:val="false"/>
                <w:color w:val="000000"/>
                <w:kern w:val="0"/>
                <w:sz w:val="18"/>
                <w:szCs w:val="18"/>
                <w:lang w:bidi="ar-SA"/>
              </w:rPr>
              <w:t>Coordenação de TI</w:t>
            </w:r>
          </w:p>
        </w:tc>
      </w:tr>
      <w:tr>
        <w:trPr/>
        <w:tc>
          <w:tcPr>
            <w:tcW w:w="552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right="-1"/>
              <w:jc w:val="both"/>
              <w:rPr>
                <w:rFonts w:cs="Times New Roman"/>
                <w:kern w:val="0"/>
                <w:sz w:val="18"/>
                <w:szCs w:val="18"/>
                <w:lang w:bidi="ar-SA"/>
              </w:rPr>
            </w:pPr>
            <w:r>
              <w:rPr>
                <w:rFonts w:cs="Arial" w:ascii="Arial" w:hAnsi="Arial"/>
                <w:bCs/>
                <w:color w:val="000000"/>
                <w:kern w:val="0"/>
                <w:sz w:val="18"/>
                <w:szCs w:val="18"/>
                <w:lang w:bidi="ar-SA"/>
              </w:rPr>
              <w:t>Servidor(a) responsável pela Coordenação/Assessoria:</w:t>
            </w:r>
          </w:p>
        </w:tc>
        <w:tc>
          <w:tcPr>
            <w:tcW w:w="354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right="-1"/>
              <w:jc w:val="both"/>
              <w:rPr>
                <w:rFonts w:cs="Times New Roman"/>
                <w:b w:val="false"/>
                <w:bCs w:val="false"/>
                <w:kern w:val="0"/>
                <w:sz w:val="18"/>
                <w:szCs w:val="18"/>
                <w:lang w:bidi="ar-SA"/>
              </w:rPr>
            </w:pPr>
            <w:r>
              <w:rPr>
                <w:rFonts w:cs="Arial" w:ascii="Arial" w:hAnsi="Arial"/>
                <w:b w:val="false"/>
                <w:bCs w:val="false"/>
                <w:color w:val="000000"/>
                <w:kern w:val="0"/>
                <w:sz w:val="18"/>
                <w:szCs w:val="18"/>
                <w:lang w:bidi="ar-SA"/>
              </w:rPr>
              <w:t>André Luis Traesel</w:t>
            </w:r>
          </w:p>
        </w:tc>
      </w:tr>
      <w:tr>
        <w:trPr/>
        <w:tc>
          <w:tcPr>
            <w:tcW w:w="552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right="-1"/>
              <w:jc w:val="both"/>
              <w:rPr>
                <w:rFonts w:cs="Times New Roman"/>
                <w:kern w:val="0"/>
                <w:sz w:val="18"/>
                <w:szCs w:val="18"/>
                <w:lang w:bidi="ar-SA"/>
              </w:rPr>
            </w:pPr>
            <w:r>
              <w:rPr>
                <w:rFonts w:cs="Arial" w:ascii="Arial" w:hAnsi="Arial"/>
                <w:bCs/>
                <w:color w:val="000000"/>
                <w:kern w:val="0"/>
                <w:sz w:val="18"/>
                <w:szCs w:val="18"/>
                <w:lang w:bidi="ar-SA"/>
              </w:rPr>
              <w:t>Diretoria do(a) requisitante:</w:t>
            </w:r>
          </w:p>
        </w:tc>
        <w:tc>
          <w:tcPr>
            <w:tcW w:w="354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right="-1"/>
              <w:jc w:val="both"/>
              <w:rPr>
                <w:rFonts w:cs="Times New Roman"/>
                <w:b w:val="false"/>
                <w:bCs w:val="false"/>
                <w:color w:val="000000"/>
                <w:kern w:val="0"/>
                <w:sz w:val="18"/>
                <w:szCs w:val="18"/>
                <w:lang w:bidi="ar-SA"/>
              </w:rPr>
            </w:pPr>
            <w:r>
              <w:rPr>
                <w:rFonts w:cs="Arial" w:ascii="Arial" w:hAnsi="Arial"/>
                <w:b w:val="false"/>
                <w:bCs w:val="false"/>
                <w:color w:val="000000"/>
                <w:kern w:val="0"/>
                <w:sz w:val="18"/>
                <w:szCs w:val="18"/>
                <w:lang w:bidi="ar-SA"/>
              </w:rPr>
              <w:t>Diretoria de Relacionamento com o Cliente</w:t>
            </w:r>
          </w:p>
        </w:tc>
      </w:tr>
      <w:tr>
        <w:trPr/>
        <w:tc>
          <w:tcPr>
            <w:tcW w:w="552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right="-1"/>
              <w:jc w:val="both"/>
              <w:rPr>
                <w:rFonts w:cs="Times New Roman"/>
                <w:kern w:val="0"/>
                <w:sz w:val="18"/>
                <w:szCs w:val="18"/>
                <w:lang w:bidi="ar-SA"/>
              </w:rPr>
            </w:pPr>
            <w:r>
              <w:rPr>
                <w:rFonts w:cs="Arial" w:ascii="Arial" w:hAnsi="Arial"/>
                <w:bCs/>
                <w:color w:val="000000"/>
                <w:kern w:val="0"/>
                <w:sz w:val="18"/>
                <w:szCs w:val="18"/>
                <w:lang w:bidi="ar-SA"/>
              </w:rPr>
              <w:t>Diretor(a) da área:</w:t>
            </w:r>
          </w:p>
        </w:tc>
        <w:tc>
          <w:tcPr>
            <w:tcW w:w="354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ind w:right="-1"/>
              <w:jc w:val="both"/>
              <w:rPr>
                <w:rFonts w:cs="Times New Roman"/>
                <w:color w:val="000000"/>
                <w:kern w:val="0"/>
                <w:sz w:val="18"/>
                <w:szCs w:val="18"/>
                <w:lang w:bidi="ar-SA"/>
              </w:rPr>
            </w:pPr>
            <w:r>
              <w:rPr>
                <w:rFonts w:cs="Arial" w:ascii="Arial" w:hAnsi="Arial"/>
                <w:bCs/>
                <w:color w:val="000000"/>
                <w:kern w:val="0"/>
                <w:sz w:val="18"/>
                <w:szCs w:val="18"/>
                <w:lang w:bidi="ar-SA"/>
              </w:rPr>
              <w:t>Leticia Pereira</w:t>
            </w:r>
          </w:p>
        </w:tc>
      </w:tr>
    </w:tbl>
    <w:p>
      <w:pPr>
        <w:pStyle w:val="Normal"/>
        <w:widowControl w:val="false"/>
        <w:suppressAutoHyphens w:val="true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widowControl w:val="false"/>
        <w:suppressAutoHyphens w:val="true"/>
        <w:ind w:firstLine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cs="Arial" w:ascii="Arial" w:hAnsi="Arial"/>
          <w:color w:val="FF0000"/>
          <w:sz w:val="22"/>
          <w:szCs w:val="22"/>
        </w:rPr>
      </w:r>
    </w:p>
    <w:p>
      <w:pPr>
        <w:pStyle w:val="BodyTextIndented"/>
        <w:widowControl w:val="false"/>
        <w:numPr>
          <w:ilvl w:val="0"/>
          <w:numId w:val="2"/>
        </w:numPr>
        <w:tabs>
          <w:tab w:val="clear" w:pos="708"/>
          <w:tab w:val="left" w:pos="426" w:leader="none"/>
        </w:tabs>
        <w:ind w:hanging="0" w:left="0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  <w:t>DESCRIÇÃO DA NECESSIDADE DA AQUISIÇÃO/CONTRATAÇÃO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firstLine="567" w:left="0"/>
        <w:contextualSpacing w:val="false"/>
        <w:jc w:val="both"/>
        <w:rPr>
          <w:rFonts w:ascii="Arial" w:hAnsi="Arial" w:cs="Arial"/>
          <w:color w:val="auto"/>
          <w:kern w:val="0"/>
          <w:lang w:val="pt-BR" w:eastAsia="en-US" w:bidi="ar-SA"/>
        </w:rPr>
      </w:pPr>
      <w:r>
        <w:rPr>
          <w:rFonts w:cs="Arial" w:ascii="Arial" w:hAnsi="Arial"/>
          <w:color w:val="auto"/>
          <w:kern w:val="0"/>
          <w:lang w:val="pt-BR" w:eastAsia="en-US" w:bidi="ar-SA"/>
        </w:rPr>
        <w:t>A presente demanda tem por finalidade atender à necessidade de definição e implantação de ambiente tecnológico adequado para a hospedagem e operação do novo sistema de saneamento recentemente contratado pela COMUSA. O sistema demandará recursos computacionais dedicados, com desempenho e estabilidade compatíveis com a criticidade das operações da Autarquia.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firstLine="567" w:left="0"/>
        <w:contextualSpacing w:val="false"/>
        <w:jc w:val="both"/>
        <w:rPr>
          <w:rFonts w:ascii="Arial" w:hAnsi="Arial" w:cs="Arial"/>
          <w:color w:val="auto"/>
          <w:kern w:val="0"/>
          <w:lang w:val="pt-BR" w:eastAsia="en-US" w:bidi="ar-SA"/>
        </w:rPr>
      </w:pPr>
      <w:r>
        <w:rPr>
          <w:rFonts w:cs="Arial" w:ascii="Arial" w:hAnsi="Arial"/>
          <w:color w:val="auto"/>
          <w:kern w:val="0"/>
          <w:lang w:val="pt-BR" w:eastAsia="en-US" w:bidi="ar-SA"/>
        </w:rPr>
        <w:t>Dessa forma, tornou-se necessário avaliar e definir a melhor forma de prover essa infraestrutura, considerando tanto aspectos técnicos quanto econômicos. Foram analisadas diferentes possibilidades de atendimento da necessidade, incluindo a contratação de infraestrutura em nuvem e a aquisição de equipamentos físicos próprios, buscando identificar a alternativa mais vantajosa para a Administração.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firstLine="567" w:left="0"/>
        <w:contextualSpacing w:val="false"/>
        <w:jc w:val="both"/>
        <w:rPr/>
      </w:pPr>
      <w:r>
        <w:rPr>
          <w:rFonts w:cs="Arial" w:ascii="Arial" w:hAnsi="Arial"/>
          <w:color w:val="auto"/>
          <w:kern w:val="0"/>
          <w:lang w:val="pt-BR" w:eastAsia="en-US" w:bidi="ar-SA"/>
        </w:rPr>
        <w:t>A contratação, portanto, visa suprir uma necessidade institucional de caráter estratégico e assegurar ambiente de hospedagem estável, seguro e eficiente para o novo sistema corporativo, prevenindo riscos de desempenho insuficiente e garantindo condições adequadas para a continuidade e modernização dos serviços públicos prestados pela COMUSA.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firstLine="567" w:left="0"/>
        <w:contextualSpacing w:val="false"/>
        <w:jc w:val="both"/>
        <w:rPr>
          <w:rFonts w:ascii="Arial" w:hAnsi="Arial" w:cs="Arial"/>
          <w:color w:val="auto"/>
          <w:kern w:val="0"/>
          <w:lang w:val="pt-BR" w:eastAsia="en-US" w:bidi="ar-SA"/>
        </w:rPr>
      </w:pPr>
      <w:r>
        <w:rPr>
          <w:rFonts w:cs="Arial" w:ascii="Arial" w:hAnsi="Arial"/>
          <w:color w:val="auto"/>
          <w:kern w:val="0"/>
          <w:lang w:val="pt-BR" w:eastAsia="en-US" w:bidi="ar-SA"/>
        </w:rPr>
        <w:t>Destaca-se que não houve licitação anterior do mesmo objeto, de modo que o presente ETP teve como ponto de partida a pesquisa em contratações de outros órgãos públicos e pesquisas de mercado.</w:t>
      </w:r>
    </w:p>
    <w:p>
      <w:pPr>
        <w:pStyle w:val="Normal"/>
        <w:widowControl w:val="false"/>
        <w:suppressAutoHyphens w:val="true"/>
        <w:ind w:firstLine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cs="Arial" w:ascii="Arial" w:hAnsi="Arial"/>
          <w:color w:val="FF0000"/>
          <w:sz w:val="22"/>
          <w:szCs w:val="22"/>
        </w:rPr>
      </w:r>
    </w:p>
    <w:p>
      <w:pPr>
        <w:pStyle w:val="BodyTextIndented"/>
        <w:widowControl w:val="false"/>
        <w:numPr>
          <w:ilvl w:val="0"/>
          <w:numId w:val="2"/>
        </w:numPr>
        <w:tabs>
          <w:tab w:val="clear" w:pos="708"/>
          <w:tab w:val="left" w:pos="426" w:leader="none"/>
        </w:tabs>
        <w:ind w:hanging="0" w:left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  <w:lang w:val="pt-BR"/>
        </w:rPr>
        <w:t xml:space="preserve">REQUISITOS DA CONTRATAÇÃO 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firstLine="567" w:left="0"/>
        <w:contextualSpacing w:val="false"/>
        <w:jc w:val="both"/>
        <w:rPr>
          <w:rFonts w:ascii="Arial" w:hAnsi="Arial" w:cs="Arial"/>
        </w:rPr>
      </w:pPr>
      <w:r>
        <w:rPr>
          <w:rFonts w:cs="Arial" w:ascii="Arial" w:hAnsi="Arial"/>
        </w:rPr>
        <w:t>Os requisitos necessários ao atendimento da necessidade são os descritos abaixo.</w:t>
      </w:r>
    </w:p>
    <w:p>
      <w:pPr>
        <w:pStyle w:val="Normal"/>
        <w:widowControl w:val="false"/>
        <w:suppressAutoHyphens w:val="true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Paragraph"/>
        <w:widowControl w:val="false"/>
        <w:numPr>
          <w:ilvl w:val="1"/>
          <w:numId w:val="2"/>
        </w:numPr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Quais são os padrões mínimos de qualidade relativos ao objeto?</w:t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  <w:b/>
        </w:rPr>
      </w:pPr>
      <w:r>
        <w:rPr>
          <w:rFonts w:cs="Arial" w:ascii="Arial" w:hAnsi="Arial"/>
          <w:b w:val="false"/>
          <w:bCs w:val="false"/>
          <w:color w:val="auto"/>
        </w:rPr>
        <w:t>No que tange os padrões mínimos de qualidade para o objeto, considere os seguintes critérios:</w:t>
      </w:r>
    </w:p>
    <w:p>
      <w:pPr>
        <w:pStyle w:val="ListParagraph"/>
        <w:widowControl w:val="false"/>
        <w:numPr>
          <w:ilvl w:val="2"/>
          <w:numId w:val="2"/>
        </w:numPr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 xml:space="preserve"> </w:t>
      </w:r>
      <w:r>
        <w:rPr>
          <w:rFonts w:cs="Arial" w:ascii="Arial" w:hAnsi="Arial"/>
          <w:b w:val="false"/>
          <w:bCs w:val="false"/>
        </w:rPr>
        <w:t>Servidor Rack:</w:t>
      </w:r>
    </w:p>
    <w:p>
      <w:pPr>
        <w:pStyle w:val="ListParagraph"/>
        <w:widowControl w:val="false"/>
        <w:numPr>
          <w:ilvl w:val="3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567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Processador: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Deve possuir 2 (dois) processadores físicos instalados de arquitetura x86.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Possuir instruções AVX 2.0 e extensões de virtualização;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Cada processador deverá possuir no mínimo 16 (dezesseis) núcleos físicos e 32 (trinta e dois) threads;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Cada processador deverá possuir frequência de no mínimo 2.40GHz;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Cada processador deverá possuir memória cache de no mínimo 24MB;</w:t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widowControl w:val="false"/>
        <w:numPr>
          <w:ilvl w:val="3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567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Memória: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Deve possuir até 16 slots de memória DIMM DDR4, com capacidade máxima total de 1TB.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Possuir instalado 2 (dois) módulos de memórias de 32GB RDIMM, de 3200MT/s, totalizando 64GB de memória instalada.</w:t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567" w:right="0"/>
        <w:contextualSpacing w:val="false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widowControl w:val="false"/>
        <w:numPr>
          <w:ilvl w:val="3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567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Armazenamento: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Deve possuir no mínimo 3 (três) discos SAS de 2.4TB cada, com 10K RPM, 12Gbps, 2.5” polegadas, Hotplug, configurados em RAID 5.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Possuir controladora física de RAID de alta performance e gerenciamento dos discos rígidos com tolerância a falhas. Suportar RAID 0, RAID1, RAID 5, RAID 10, RAID 50 e RAID 60 e possuir 8GB de memória cache.</w:t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widowControl w:val="false"/>
        <w:numPr>
          <w:ilvl w:val="3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567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Placa-mãe: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Configurada com Módulo de Plataforma Confiável (TPM), versão 2.0 ou superior.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Capacidade de analisar o inventário de hardware;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A placa-mãe deve prover suporte às especificações do respectivo equipamento para o processador, memória RAM, interface de vídeo e unidade de armazenamento;</w:t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widowControl w:val="false"/>
        <w:numPr>
          <w:ilvl w:val="3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567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Interfaces: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Possuir, no mínimo: 1 (uma) interface de vídeo analógica (VGA);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Possuir no mínimo 3 (três) portas USB, sendo 1 (uma) frontal;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Possuir no mínimo 1 (uma) interface RJ45 para gerenciamento local do equipamento;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Possuir placa de rede on-board integrada com 2 (duas) portas 1 Gbit;</w:t>
        <w:br/>
      </w:r>
    </w:p>
    <w:p>
      <w:pPr>
        <w:pStyle w:val="ListParagraph"/>
        <w:widowControl w:val="false"/>
        <w:numPr>
          <w:ilvl w:val="3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567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BIOS: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/>
      </w:pPr>
      <w:r>
        <w:rPr>
          <w:rFonts w:cs="Arial" w:ascii="Arial" w:hAnsi="Arial"/>
          <w:b w:val="false"/>
          <w:bCs w:val="false"/>
        </w:rPr>
        <w:t xml:space="preserve">Deve suportar atualizações remotas (via software de gerenciamento) ou atualizações do próprio BIOS </w:t>
      </w:r>
      <w:r>
        <w:rPr>
          <w:rFonts w:cs="Arial" w:ascii="Arial" w:hAnsi="Arial"/>
        </w:rPr>
        <w:t>em modo online (conectado à internet);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Desenvolvida pelo mesmo fabricante do equipamento ou via Copyright.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Modo de boot do BIOS UEFI com partição GPT;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Possuir sistema de diagnóstico de hardware com análise da CPU, memória, HD, USB e Placa Mãe;</w:t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widowControl w:val="false"/>
        <w:numPr>
          <w:ilvl w:val="3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567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Sistema operacional: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Possuir sistema operacional Windows Server 2022 Standard devidamente licenciado para este equipamento.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A respectiva chave de ativação do sistema operacional deve estar gravada na memória flash da BIOS reconhecida automaticamente na instalação do sistema Operacional;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O sistema operacional deve vir instalado de fábrica e licenciado;</w:t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widowControl w:val="false"/>
        <w:numPr>
          <w:ilvl w:val="3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567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Chassis: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Chassis em formato rack 1U;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Suportar até 8 (oito) discos rígidos padrão SAS/SATA (HDD/SSD) de 2.5” de conexão automática;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 xml:space="preserve">Possuir 2 (duas) fontes de alimentação redundantes (1+1) de conexão automática hotswappable. 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Possuir tampa de segurança frontal metálica com trava e com tela LCD integrada;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Possuir trilhos deslizantes com suporte articulado para cabos;</w:t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widowControl w:val="false"/>
        <w:numPr>
          <w:ilvl w:val="3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567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Gerenciamento: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Controlador de acesso remoto integrado para fornecer acesso seguro ao servidor remoto para gerenciamentos comuns com interface dedicada;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Executar tarefas de gerenciamento pela interface Web, incluindo o acesso remoto a teclado/vídeo/mouse (KVM) do sistema operacional do servidor;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Possuir interface de gerenciamento GUI baseada na Web com autenticação por dois fatores e logon único;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Possuir medidor de energia em tempo real e monitoramento de temperatura;</w:t>
      </w:r>
    </w:p>
    <w:p>
      <w:pPr>
        <w:pStyle w:val="ListParagraph"/>
        <w:widowControl w:val="false"/>
        <w:numPr>
          <w:ilvl w:val="4"/>
          <w:numId w:val="2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1134" w:righ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Software responsável por disponibilizar Inventário de configuração total e configuração remota, possuindo ferramentas de diagnóstico incorporado e restauração de configuração do servidor;</w:t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567" w:right="0"/>
        <w:contextualSpacing w:val="false"/>
        <w:jc w:val="both"/>
        <w:rPr>
          <w:rFonts w:ascii="Arial" w:hAnsi="Arial" w:cs="Arial"/>
          <w:i/>
          <w:i/>
          <w:color w:val="00B050"/>
        </w:rPr>
      </w:pPr>
      <w:r>
        <w:rPr>
          <w:rFonts w:cs="Arial" w:ascii="Arial" w:hAnsi="Arial"/>
          <w:i/>
          <w:color w:val="00B050"/>
        </w:rPr>
      </w:r>
    </w:p>
    <w:p>
      <w:pPr>
        <w:pStyle w:val="ListParagraph"/>
        <w:widowControl w:val="false"/>
        <w:numPr>
          <w:ilvl w:val="1"/>
          <w:numId w:val="2"/>
        </w:numPr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A solução deverá ser disponibilizada sem interrupções, implicando em uma possível contratação ou fornecimento continuado?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firstLine="567" w:left="0"/>
        <w:contextualSpacing w:val="false"/>
        <w:jc w:val="both"/>
        <w:rPr>
          <w:color w:val="auto"/>
        </w:rPr>
      </w:pPr>
      <w:r>
        <w:rPr>
          <w:rFonts w:cs="Arial" w:ascii="Arial" w:hAnsi="Arial"/>
          <w:color w:val="auto"/>
        </w:rPr>
        <w:t xml:space="preserve">A aquisição será realizada como uma compra única, sem a necessidade de fornecimento contínuo. A solução não requer um contrato continuado, uma vez que se trata de um fornecimento pontual para atender a uma demanda específica do órgão. A escolha por essa modalidade é adequada para a natureza da aquisição, que é uma compra não recorrente e com uma quantidade definida e fixa de equipamentos. 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firstLine="567" w:left="0"/>
        <w:contextualSpacing w:val="false"/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ListParagraph"/>
        <w:widowControl w:val="false"/>
        <w:numPr>
          <w:ilvl w:val="1"/>
          <w:numId w:val="2"/>
        </w:numPr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Por quanto tempo a solução deverá ficar disponível à COMUSA (informação que influenciará a duração do contrato)?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firstLine="567" w:left="0"/>
        <w:contextualSpacing w:val="false"/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</w:rPr>
        <w:t>O prazo de vigência contratual é de 3</w:t>
      </w:r>
      <w:r>
        <w:rPr>
          <w:rFonts w:cs="Arial" w:ascii="Arial" w:hAnsi="Arial"/>
          <w:color w:val="000000"/>
        </w:rPr>
        <w:t>(três)</w:t>
      </w:r>
      <w:r>
        <w:rPr>
          <w:rFonts w:cs="Arial" w:ascii="Arial" w:hAnsi="Arial"/>
          <w:color w:val="FF0000"/>
        </w:rPr>
        <w:t xml:space="preserve"> </w:t>
      </w:r>
      <w:r>
        <w:rPr>
          <w:rFonts w:cs="Arial" w:ascii="Arial" w:hAnsi="Arial"/>
        </w:rPr>
        <w:t xml:space="preserve">meses, contados da data </w:t>
      </w:r>
      <w:r>
        <w:rPr>
          <w:rFonts w:cs="Arial" w:ascii="Arial" w:hAnsi="Arial"/>
          <w:color w:val="000000"/>
        </w:rPr>
        <w:t>do recebimento do empenho.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firstLine="567" w:left="0"/>
        <w:contextualSpacing w:val="false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firstLine="567" w:left="0"/>
        <w:contextualSpacing w:val="false"/>
        <w:jc w:val="both"/>
        <w:rPr>
          <w:rFonts w:ascii="Arial" w:hAnsi="Arial" w:cs="Arial"/>
        </w:rPr>
      </w:pPr>
      <w:r>
        <w:rPr>
          <w:rFonts w:cs="Arial" w:ascii="Arial" w:hAnsi="Arial"/>
        </w:rPr>
        <w:t>Os prazos de vigência contratual e de entrega poderão ser prorrogados, nos termos e condições do art. 105 da Lei Federal n.° 14.133/2021.</w:t>
      </w:r>
    </w:p>
    <w:p>
      <w:pPr>
        <w:pStyle w:val="Normal"/>
        <w:widowControl w:val="false"/>
        <w:suppressAutoHyphens w:val="true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Paragraph"/>
        <w:widowControl w:val="false"/>
        <w:numPr>
          <w:ilvl w:val="1"/>
          <w:numId w:val="2"/>
        </w:numPr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Garantia da execução do Contrato</w:t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ab/>
      </w:r>
      <w:r>
        <w:rPr>
          <w:rFonts w:cs="Arial" w:ascii="Arial" w:hAnsi="Arial"/>
        </w:rPr>
        <w:t>Não haverá exigência da garantia da contratação/aquisição dos artigos 96 e seguintes da Lei Federal n.º 14.133, de 2021, pois trata-se de uma compra única, com entrega imediata e em lote único. A exigência de garantia de execução é considerada desnecessária, visto que o risco de inadimplência é baixo, a natureza do objeto é simples e o valor do contrato não justifica a imposição de garantias, alinhando-se aos princípios de economicidade e razoabilidade.</w:t>
      </w:r>
    </w:p>
    <w:p>
      <w:pPr>
        <w:pStyle w:val="Normal"/>
        <w:widowControl w:val="false"/>
        <w:suppressAutoHyphens w:val="true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Paragraph"/>
        <w:widowControl w:val="false"/>
        <w:numPr>
          <w:ilvl w:val="1"/>
          <w:numId w:val="2"/>
        </w:numPr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Garantia Contratual e suporte (Conteúdo extraído do TR original da ATA)</w:t>
      </w:r>
    </w:p>
    <w:p>
      <w:pPr>
        <w:pStyle w:val="ListParagraph"/>
        <w:widowControl w:val="false"/>
        <w:numPr>
          <w:ilvl w:val="2"/>
          <w:numId w:val="2"/>
        </w:numPr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 xml:space="preserve"> </w:t>
      </w:r>
      <w:r>
        <w:rPr>
          <w:rFonts w:cs="Arial" w:ascii="Arial" w:hAnsi="Arial"/>
          <w:b w:val="false"/>
          <w:bCs w:val="false"/>
        </w:rPr>
        <w:t>A garantia solicitada deverá ser OBRIGATORIAMENTE do fabricante;</w:t>
      </w:r>
    </w:p>
    <w:p>
      <w:pPr>
        <w:pStyle w:val="ListParagraph"/>
        <w:widowControl w:val="false"/>
        <w:numPr>
          <w:ilvl w:val="2"/>
          <w:numId w:val="2"/>
        </w:numPr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O equipamento, deverá possuir garantia total contra problemas de hardware e ao sistema operacional, incluído seus acessórios, pelo período mínimo de 36 (trinta e seis) meses;</w:t>
      </w:r>
    </w:p>
    <w:p>
      <w:pPr>
        <w:pStyle w:val="ListParagraph"/>
        <w:widowControl w:val="false"/>
        <w:numPr>
          <w:ilvl w:val="2"/>
          <w:numId w:val="2"/>
        </w:numPr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O serviço de reparo/manutenção do hardware do equipamento deverá ser prestado pelo fabricante ou por sua rede de assistência técnica autorizada, com atendimento no local (on-site), 24 horas por dia, 7 dias da semana;</w:t>
      </w:r>
    </w:p>
    <w:p>
      <w:pPr>
        <w:pStyle w:val="ListParagraph"/>
        <w:widowControl w:val="false"/>
        <w:numPr>
          <w:ilvl w:val="2"/>
          <w:numId w:val="2"/>
        </w:numPr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O suporte técnico ao hardware do equipamento, deverá ser OBRIGATORIAMENTE realizado pelo fabricante;</w:t>
      </w:r>
    </w:p>
    <w:p>
      <w:pPr>
        <w:pStyle w:val="ListParagraph"/>
        <w:widowControl w:val="false"/>
        <w:numPr>
          <w:ilvl w:val="2"/>
          <w:numId w:val="2"/>
        </w:numPr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O fabricante deve possuir Central de Atendimento tipo (0800) para abertura dos chamados de garantia, comprometendo-se a manter registros dos mesmos contendo a descrição do problema;</w:t>
      </w:r>
    </w:p>
    <w:p>
      <w:pPr>
        <w:pStyle w:val="ListParagraph"/>
        <w:widowControl w:val="false"/>
        <w:numPr>
          <w:ilvl w:val="2"/>
          <w:numId w:val="2"/>
        </w:numPr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O suporte técnico e a abertura dos chamados de garantia deverão ser realizados em língua portuguesa e no formato 24 horas por dia, 7 dias da semana;</w:t>
      </w:r>
    </w:p>
    <w:p>
      <w:pPr>
        <w:pStyle w:val="ListParagraph"/>
        <w:widowControl w:val="false"/>
        <w:numPr>
          <w:ilvl w:val="2"/>
          <w:numId w:val="2"/>
        </w:numPr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O FABRICANTE deve oferecer os seguintes canais de comunicação e ferramentas adicionais de suporte:</w:t>
      </w:r>
    </w:p>
    <w:p>
      <w:pPr>
        <w:pStyle w:val="ListParagraph"/>
        <w:widowControl w:val="false"/>
        <w:numPr>
          <w:ilvl w:val="2"/>
          <w:numId w:val="2"/>
        </w:numPr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Possuir ferramenta de diagnóstico gratuito capaz de identificar problemas comuns de hardware (problemas com a CPU, memória, disco rígido, unidade ótica e placa gráfica) e software (identificar erros nos arquivos do sistema) sem a necessidade de entrar em contato com o suporte técnico;</w:t>
      </w:r>
    </w:p>
    <w:p>
      <w:pPr>
        <w:pStyle w:val="ListParagraph"/>
        <w:widowControl w:val="false"/>
        <w:numPr>
          <w:ilvl w:val="2"/>
          <w:numId w:val="2"/>
        </w:numPr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Possuir suporte técnico on-line via chat através de sua página na internet;</w:t>
      </w:r>
    </w:p>
    <w:p>
      <w:pPr>
        <w:pStyle w:val="ListParagraph"/>
        <w:widowControl w:val="false"/>
        <w:numPr>
          <w:ilvl w:val="2"/>
          <w:numId w:val="2"/>
        </w:numPr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Possuir página na internet com disponibilidade de atualizações e "hotfixes" de drivers, BIOS e firmware.</w:t>
      </w:r>
    </w:p>
    <w:p>
      <w:pPr>
        <w:pStyle w:val="ListParagraph"/>
        <w:widowControl w:val="false"/>
        <w:numPr>
          <w:ilvl w:val="2"/>
          <w:numId w:val="2"/>
        </w:numPr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</w:rPr>
        <w:t>Disponibilizar em sua página na internet, manuais técnicos do usuário e de referência contendo todas as informações sobre os produtos com as instruções, configuração, operação e administração;</w:t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  <w:i/>
          <w:i/>
          <w:color w:val="FF0000"/>
          <w:sz w:val="22"/>
          <w:szCs w:val="22"/>
        </w:rPr>
      </w:pPr>
      <w:r>
        <w:rPr>
          <w:rFonts w:cs="Arial" w:ascii="Arial" w:hAnsi="Arial"/>
          <w:i/>
          <w:color w:val="FF0000"/>
          <w:sz w:val="22"/>
          <w:szCs w:val="22"/>
        </w:rPr>
      </w:r>
    </w:p>
    <w:p>
      <w:pPr>
        <w:pStyle w:val="Normal"/>
        <w:widowControl w:val="false"/>
        <w:suppressAutoHyphens w:val="true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Indented"/>
        <w:widowControl w:val="false"/>
        <w:numPr>
          <w:ilvl w:val="0"/>
          <w:numId w:val="2"/>
        </w:numPr>
        <w:tabs>
          <w:tab w:val="clear" w:pos="708"/>
          <w:tab w:val="left" w:pos="426" w:leader="none"/>
        </w:tabs>
        <w:ind w:hanging="0" w:left="0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  <w:t>LEVANTAMENTO DE MERCADO: ALTERNATIVAS DISPONÍVEIS</w:t>
      </w:r>
    </w:p>
    <w:p>
      <w:pPr>
        <w:pStyle w:val="BodyTextIndented"/>
        <w:widowControl w:val="false"/>
        <w:tabs>
          <w:tab w:val="clear" w:pos="708"/>
          <w:tab w:val="left" w:pos="426" w:leader="none"/>
        </w:tabs>
        <w:ind w:hanging="0" w:left="0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BodyTextIndented"/>
        <w:widowControl w:val="false"/>
        <w:tabs>
          <w:tab w:val="clear" w:pos="708"/>
          <w:tab w:val="left" w:pos="426" w:leader="none"/>
        </w:tabs>
        <w:ind w:hanging="0" w:left="0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/>
      </w:pPr>
      <w:r>
        <w:rPr>
          <w:rFonts w:cs="Arial" w:ascii="Arial" w:hAnsi="Arial"/>
        </w:rPr>
        <w:tab/>
        <w:t>Conforme pesquisa de mercado, para solução da necessidade administrativa, objeto do presente Estudo Técnico Preliminar, vislumbra-se possível, sob o aspecto técnico e econômico, a adoção de três alternativas: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- </w:t>
      </w:r>
      <w:r>
        <w:rPr>
          <w:rStyle w:val="Strong"/>
          <w:rFonts w:cs="Arial" w:ascii="Arial" w:hAnsi="Arial"/>
        </w:rPr>
        <w:t>Realização de pregão eletrônico próprio</w:t>
      </w:r>
      <w:r>
        <w:rPr>
          <w:rFonts w:cs="Arial" w:ascii="Arial" w:hAnsi="Arial"/>
        </w:rPr>
        <w:t xml:space="preserve"> visando a aquisição de dois servidores físicos de alto desempenho, conforme especificações técnicas usuais de mercado, com elaboração de edital, julgamento de propostas e posterior contratação.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- </w:t>
      </w:r>
      <w:r>
        <w:rPr>
          <w:rStyle w:val="Strong"/>
          <w:rFonts w:cs="Arial" w:ascii="Arial" w:hAnsi="Arial"/>
        </w:rPr>
        <w:t>Contratação de serviços de computação em nuvem</w:t>
      </w:r>
      <w:r>
        <w:rPr>
          <w:rFonts w:cs="Arial" w:ascii="Arial" w:hAnsi="Arial"/>
        </w:rPr>
        <w:t>, em modelo de Infraestrutura como Serviço (IaaS), dimensionados para atender aos requisitos técnicos dos sistemas a serem hospedados.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- </w:t>
      </w:r>
      <w:r>
        <w:rPr>
          <w:rStyle w:val="Strong"/>
          <w:rFonts w:cs="Arial" w:ascii="Arial" w:hAnsi="Arial"/>
        </w:rPr>
        <w:t>Adesão a uma ata de registro de preços vigente</w:t>
      </w:r>
      <w:r>
        <w:rPr>
          <w:rFonts w:cs="Arial" w:ascii="Arial" w:hAnsi="Arial"/>
        </w:rPr>
        <w:t>, na condição de órgão não participante, para aquisição dos servidores de alto desempenho, conforme o artigo 86, §2º, da Lei Federal nº 14.133/2021, aproveitando-se das condições já licitadas por outro ente público.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</w:rPr>
      </w:pPr>
      <w:r>
        <w:rPr>
          <w:rFonts w:cs="Arial" w:ascii="Arial" w:hAnsi="Arial"/>
        </w:rPr>
        <w:br/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Conforme justificativas </w:t>
      </w:r>
      <w:r>
        <w:rPr>
          <w:rFonts w:cs="Arial" w:ascii="Arial" w:hAnsi="Arial"/>
          <w:color w:val="000000"/>
        </w:rPr>
        <w:t>técnicas</w:t>
      </w:r>
      <w:r>
        <w:rPr>
          <w:rFonts w:cs="Arial" w:ascii="Arial" w:hAnsi="Arial"/>
          <w:color w:val="FF0000"/>
        </w:rPr>
        <w:t xml:space="preserve"> </w:t>
      </w:r>
      <w:r>
        <w:rPr>
          <w:rFonts w:cs="Arial" w:ascii="Arial" w:hAnsi="Arial"/>
        </w:rPr>
        <w:t>apresentadas no item 5, amparada em documentos.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</w:rPr>
      </w:pPr>
      <w:r>
        <w:rPr>
          <w:rFonts w:cs="Arial" w:ascii="Arial" w:hAnsi="Arial"/>
        </w:rPr>
        <w:t>Conforme pesquisa,</w:t>
      </w:r>
      <w:r>
        <w:rPr>
          <w:rFonts w:cs="Arial" w:ascii="Arial" w:hAnsi="Arial"/>
          <w:i/>
        </w:rPr>
        <w:t xml:space="preserve"> </w:t>
      </w:r>
      <w:r>
        <w:rPr>
          <w:rFonts w:cs="Arial" w:ascii="Arial" w:hAnsi="Arial"/>
        </w:rPr>
        <w:t xml:space="preserve">segue indicação de potenciais fornecedores: 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suppressAutoHyphens w:val="true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cs="Arial" w:ascii="Arial" w:hAnsi="Arial"/>
          <w:color w:val="FF0000"/>
          <w:sz w:val="22"/>
          <w:szCs w:val="22"/>
        </w:rPr>
        <w:t xml:space="preserve"> </w:t>
      </w:r>
    </w:p>
    <w:tbl>
      <w:tblPr>
        <w:tblW w:w="5000" w:type="pct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814"/>
        <w:gridCol w:w="1814"/>
        <w:gridCol w:w="1810"/>
        <w:gridCol w:w="1816"/>
        <w:gridCol w:w="1817"/>
      </w:tblGrid>
      <w:tr>
        <w:trPr/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>
                <w:sz w:val="18"/>
                <w:szCs w:val="18"/>
              </w:rPr>
              <w:t>Objeto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>
                <w:sz w:val="18"/>
                <w:szCs w:val="18"/>
              </w:rPr>
              <w:t>Fornecedor ou Órgão Detentor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>
                <w:sz w:val="18"/>
                <w:szCs w:val="18"/>
              </w:rPr>
              <w:t>Link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>
                <w:sz w:val="18"/>
                <w:szCs w:val="18"/>
              </w:rPr>
              <w:t>Valor unitário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Valor total</w:t>
            </w:r>
          </w:p>
        </w:tc>
      </w:tr>
      <w:tr>
        <w:trPr>
          <w:trHeight w:val="1245" w:hRule="atLeast"/>
        </w:trPr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>
                <w:sz w:val="18"/>
                <w:szCs w:val="18"/>
              </w:rPr>
              <w:t>Adesão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>
                <w:sz w:val="18"/>
                <w:szCs w:val="18"/>
              </w:rPr>
              <w:t>AMESP – Edital PE 05/2024</w:t>
              <w:br/>
              <w:t>Item 4</w:t>
            </w:r>
          </w:p>
        </w:tc>
        <w:tc>
          <w:tcPr>
            <w:tcW w:w="181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>
                <w:sz w:val="18"/>
                <w:szCs w:val="18"/>
              </w:rPr>
              <w:t xml:space="preserve">Portal: </w:t>
            </w:r>
            <w:hyperlink r:id="rId2">
              <w:r>
                <w:rPr>
                  <w:rStyle w:val="Hyperlink"/>
                  <w:sz w:val="18"/>
                  <w:szCs w:val="18"/>
                </w:rPr>
                <w:t>https://www.licitamesp.com.br/home.jsf?windowId=2cf</w:t>
              </w:r>
            </w:hyperlink>
            <w:r>
              <w:rPr>
                <w:sz w:val="18"/>
                <w:szCs w:val="18"/>
              </w:rPr>
              <w:br/>
              <w:t>PNCP: https://pncp.gov.br/app/editais/20362307000140/2024/7</w:t>
            </w:r>
          </w:p>
        </w:tc>
        <w:tc>
          <w:tcPr>
            <w:tcW w:w="181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suppressAutoHyphens w:val="true"/>
              <w:bidi w:val="0"/>
              <w:spacing w:before="0" w:after="0"/>
              <w:jc w:val="center"/>
              <w:rPr/>
            </w:pPr>
            <w:r>
              <w:rPr>
                <w:rFonts w:eastAsia="Times New Roman" w:cs="Times New Roman" w:ascii="aptos;aptos embeddedfont;aptos msfontservice;calibri;helvetica;sans-serif" w:hAnsi="aptos;aptos embeddedfont;aptos msfontservice;calibri;helvetica;sans-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1"/>
                <w:szCs w:val="18"/>
                <w:lang w:val="pt-BR" w:eastAsia="en-US" w:bidi="ar-SA"/>
              </w:rPr>
              <w:t>Valor original do pregão:</w:t>
            </w:r>
          </w:p>
          <w:p>
            <w:pPr>
              <w:pStyle w:val="Contedodatabela"/>
              <w:suppressAutoHyphens w:val="true"/>
              <w:bidi w:val="0"/>
              <w:spacing w:before="0" w:after="0"/>
              <w:jc w:val="center"/>
              <w:rPr/>
            </w:pPr>
            <w:r>
              <w:rPr>
                <w:rFonts w:eastAsia="Times New Roman" w:cs="Times New Roman" w:ascii="aptos;aptos embeddedfont;aptos msfontservice;calibri;helvetica;sans-serif" w:hAnsi="aptos;aptos embeddedfont;aptos msfontservice;calibri;helvetica;sans-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1"/>
                <w:szCs w:val="18"/>
                <w:lang w:val="pt-BR" w:eastAsia="en-US" w:bidi="ar-SA"/>
              </w:rPr>
              <w:t>R$ 58.250,00</w:t>
            </w:r>
          </w:p>
          <w:p>
            <w:pPr>
              <w:pStyle w:val="Contedodatabela"/>
              <w:suppressAutoHyphens w:val="true"/>
              <w:bidi w:val="0"/>
              <w:spacing w:before="0" w:after="0"/>
              <w:jc w:val="center"/>
              <w:rPr>
                <w:rFonts w:ascii="aptos;aptos embeddedfont;aptos msfontservice;calibri;helvetica;sans-serif" w:hAnsi="aptos;aptos embeddedfont;aptos msfontservice;calibri;helvetica;sans-serif" w:eastAsia="Times New Roman" w:cs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1"/>
                <w:szCs w:val="18"/>
                <w:lang w:val="pt-BR" w:eastAsia="en-US" w:bidi="ar-SA"/>
              </w:rPr>
            </w:pPr>
            <w:r>
              <w:rPr>
                <w:rFonts w:eastAsia="Times New Roman" w:cs="Times New Roman" w:ascii="aptos;aptos embeddedfont;aptos msfontservice;calibri;helvetica;sans-serif" w:hAnsi="aptos;aptos embeddedfont;aptos msfontservice;calibri;helvetica;sans-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1"/>
                <w:szCs w:val="18"/>
                <w:lang w:val="pt-BR" w:eastAsia="en-US" w:bidi="ar-SA"/>
              </w:rPr>
            </w:r>
          </w:p>
          <w:p>
            <w:pPr>
              <w:pStyle w:val="Contedodatabela"/>
              <w:suppressAutoHyphens w:val="true"/>
              <w:bidi w:val="0"/>
              <w:spacing w:before="0" w:after="0"/>
              <w:jc w:val="center"/>
              <w:rPr/>
            </w:pPr>
            <w:r>
              <w:rPr>
                <w:rFonts w:eastAsia="Times New Roman" w:cs="Times New Roman" w:ascii="aptos;aptos embeddedfont;aptos msfontservice;calibri;helvetica;sans-serif" w:hAnsi="aptos;aptos embeddedfont;aptos msfontservice;calibri;helvetica;sans-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1"/>
                <w:szCs w:val="18"/>
                <w:lang w:val="pt-BR" w:eastAsia="en-US" w:bidi="ar-SA"/>
              </w:rPr>
              <w:t>Valor atualizado por reajuste contratual:</w:t>
            </w:r>
          </w:p>
          <w:p>
            <w:pPr>
              <w:pStyle w:val="Contedodatabela"/>
              <w:suppressAutoHyphens w:val="true"/>
              <w:bidi w:val="0"/>
              <w:spacing w:before="0" w:after="0"/>
              <w:jc w:val="center"/>
              <w:rPr/>
            </w:pPr>
            <w:r>
              <w:rPr>
                <w:rFonts w:eastAsia="Times New Roman" w:cs="Times New Roman" w:ascii="aptos;aptos embeddedfont;aptos msfontservice;calibri;helvetica;sans-serif" w:hAnsi="aptos;aptos embeddedfont;aptos msfontservice;calibri;helvetica;sans-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1"/>
                <w:szCs w:val="18"/>
                <w:lang w:val="pt-BR" w:eastAsia="en-US" w:bidi="ar-SA"/>
              </w:rPr>
              <w:t>R$ 61.471,07</w:t>
            </w:r>
          </w:p>
          <w:p>
            <w:pPr>
              <w:pStyle w:val="Contedodatabela"/>
              <w:suppressAutoHyphens w:val="true"/>
              <w:bidi w:val="0"/>
              <w:spacing w:before="0" w:after="0"/>
              <w:jc w:val="center"/>
              <w:rPr>
                <w:rFonts w:ascii="aptos;aptos embeddedfont;aptos msfontservice;calibri;helvetica;sans-serif" w:hAnsi="aptos;aptos embeddedfont;aptos msfontservice;calibri;helvetica;sans-serif" w:eastAsia="Times New Roman" w:cs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1"/>
                <w:szCs w:val="18"/>
                <w:lang w:val="pt-BR" w:eastAsia="en-US" w:bidi="ar-SA"/>
              </w:rPr>
            </w:pPr>
            <w:r>
              <w:rPr>
                <w:rFonts w:eastAsia="Times New Roman" w:cs="Times New Roman" w:ascii="aptos;aptos embeddedfont;aptos msfontservice;calibri;helvetica;sans-serif" w:hAnsi="aptos;aptos embeddedfont;aptos msfontservice;calibri;helvetica;sans-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1"/>
                <w:szCs w:val="18"/>
                <w:lang w:val="pt-BR" w:eastAsia="en-US" w:bidi="ar-SA"/>
              </w:rPr>
            </w:r>
          </w:p>
          <w:p>
            <w:pPr>
              <w:pStyle w:val="Contedodatabela"/>
              <w:suppressAutoHyphens w:val="true"/>
              <w:bidi w:val="0"/>
              <w:spacing w:before="0" w:after="0"/>
              <w:jc w:val="center"/>
              <w:rPr/>
            </w:pPr>
            <w:r>
              <w:rPr>
                <w:rFonts w:eastAsia="Times New Roman" w:cs="Times New Roman" w:ascii="aptos;aptos embeddedfont;aptos msfontservice;calibri;helvetica;sans-serif" w:hAnsi="aptos;aptos embeddedfont;aptos msfontservice;calibri;helvetica;sans-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1"/>
                <w:szCs w:val="18"/>
                <w:lang w:val="pt-BR" w:eastAsia="en-US" w:bidi="ar-SA"/>
              </w:rPr>
              <w:t>Em anexo a este processo se encontra a ata eletrônica referente a licitação, assim como a proposta atualizada com os devidos valores unitários e quantitativos por item.</w:t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suppressAutoHyphens w:val="true"/>
              <w:bidi w:val="0"/>
              <w:spacing w:before="0" w:after="0"/>
              <w:jc w:val="center"/>
              <w:rPr>
                <w:rFonts w:ascii="aptos;aptos embeddedfont;aptos msfontservice;calibri;helvetica;sans-serif" w:hAnsi="aptos;aptos embeddedfont;aptos msfontservice;calibri;helvetica;sans-serif" w:eastAsia="Times New Roman" w:cs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1"/>
                <w:szCs w:val="18"/>
                <w:lang w:val="pt-BR" w:eastAsia="en-US" w:bidi="ar-SA"/>
              </w:rPr>
            </w:pPr>
            <w:r>
              <w:rPr>
                <w:rFonts w:eastAsia="Times New Roman" w:cs="Times New Roman" w:ascii="aptos;aptos embeddedfont;aptos msfontservice;calibri;helvetica;sans-serif" w:hAnsi="aptos;aptos embeddedfont;aptos msfontservice;calibri;helvetica;sans-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1"/>
                <w:szCs w:val="18"/>
                <w:lang w:val="pt-BR" w:eastAsia="en-US" w:bidi="ar-SA"/>
              </w:rPr>
              <w:t>R$ 122.942,14</w:t>
            </w:r>
          </w:p>
        </w:tc>
      </w:tr>
      <w:tr>
        <w:trPr/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>
                <w:sz w:val="18"/>
                <w:szCs w:val="18"/>
              </w:rPr>
              <w:t>Aquisição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>
                <w:sz w:val="18"/>
                <w:szCs w:val="18"/>
              </w:rPr>
              <w:t>CORE MT – Edital PE 90012/2025</w:t>
              <w:br/>
              <w:t>Item 1</w:t>
            </w:r>
          </w:p>
        </w:tc>
        <w:tc>
          <w:tcPr>
            <w:tcW w:w="181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https://cnetmobile.estaleiro.serpro.gov.br/comprasnet-web/public/compras/acompanhamento-compra?compra=92986705900122025</w:t>
            </w:r>
          </w:p>
        </w:tc>
        <w:tc>
          <w:tcPr>
            <w:tcW w:w="181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suppressAutoHyphens w:val="true"/>
              <w:bidi w:val="0"/>
              <w:spacing w:before="0" w:after="0"/>
              <w:jc w:val="center"/>
              <w:rPr/>
            </w:pPr>
            <w:r>
              <w:rPr>
                <w:rFonts w:eastAsia="Times New Roman" w:cs="Times New Roman" w:ascii="aptos;aptos embeddedfont;aptos msfontservice;calibri;helvetica;sans-serif" w:hAnsi="aptos;aptos embeddedfont;aptos msfontservice;calibri;helvetica;sans-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1"/>
                <w:szCs w:val="18"/>
                <w:lang w:val="pt-BR" w:eastAsia="en-US" w:bidi="ar-SA"/>
              </w:rPr>
              <w:t>R$ 68.000,00</w:t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suppressAutoHyphens w:val="true"/>
              <w:bidi w:val="0"/>
              <w:spacing w:before="0" w:after="0"/>
              <w:jc w:val="center"/>
              <w:rPr>
                <w:rFonts w:ascii="aptos;aptos embeddedfont;aptos msfontservice;calibri;helvetica;sans-serif" w:hAnsi="aptos;aptos embeddedfont;aptos msfontservice;calibri;helvetica;sans-serif" w:eastAsia="Times New Roman" w:cs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1"/>
                <w:szCs w:val="18"/>
                <w:lang w:val="pt-BR" w:eastAsia="en-US" w:bidi="ar-SA"/>
              </w:rPr>
            </w:pPr>
            <w:r>
              <w:rPr>
                <w:rFonts w:eastAsia="Times New Roman" w:cs="Times New Roman" w:ascii="aptos;aptos embeddedfont;aptos msfontservice;calibri;helvetica;sans-serif" w:hAnsi="aptos;aptos embeddedfont;aptos msfontservice;calibri;helvetica;sans-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1"/>
                <w:szCs w:val="18"/>
                <w:lang w:val="pt-BR" w:eastAsia="en-US" w:bidi="ar-SA"/>
              </w:rPr>
              <w:t>R$ 136.000,00</w:t>
            </w:r>
          </w:p>
        </w:tc>
      </w:tr>
      <w:tr>
        <w:trPr/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>
                <w:sz w:val="18"/>
                <w:szCs w:val="18"/>
              </w:rPr>
              <w:t>Aquisição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>
                <w:sz w:val="18"/>
                <w:szCs w:val="18"/>
              </w:rPr>
              <w:t>Instituto Federal de Educação do Maranhão / Campus Grajaú – Edital PE 90001/2024</w:t>
              <w:br/>
              <w:t>Item 19</w:t>
            </w:r>
          </w:p>
        </w:tc>
        <w:tc>
          <w:tcPr>
            <w:tcW w:w="181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bidi w:val="0"/>
              <w:spacing w:before="0" w:after="0"/>
              <w:jc w:val="left"/>
              <w:rPr>
                <w:rFonts w:ascii="Arial Unicode MS" w:hAnsi="Arial Unicode MS" w:eastAsia="Times New Roman" w:cs="Arial"/>
                <w:sz w:val="18"/>
                <w:szCs w:val="18"/>
                <w:lang w:val="pt-BR" w:eastAsia="en-US"/>
              </w:rPr>
            </w:pPr>
            <w:r>
              <w:rPr>
                <w:rFonts w:eastAsia="Times New Roman" w:cs="Arial"/>
                <w:sz w:val="18"/>
                <w:szCs w:val="18"/>
                <w:lang w:val="pt-BR" w:eastAsia="en-US"/>
              </w:rPr>
              <w:t>https://cnetmobile.estaleiro.serpro.gov.br/comprasnet-web/public/compras/acompanhamento-compra?compra=15485405900012024</w:t>
            </w:r>
          </w:p>
        </w:tc>
        <w:tc>
          <w:tcPr>
            <w:tcW w:w="181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suppressAutoHyphens w:val="true"/>
              <w:bidi w:val="0"/>
              <w:spacing w:before="0" w:after="0"/>
              <w:jc w:val="center"/>
              <w:rPr/>
            </w:pPr>
            <w:r>
              <w:rPr>
                <w:rFonts w:eastAsia="Times New Roman" w:cs="Times New Roman" w:ascii="aptos;aptos embeddedfont;aptos msfontservice;calibri;helvetica;sans-serif" w:hAnsi="aptos;aptos embeddedfont;aptos msfontservice;calibri;helvetica;sans-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1"/>
                <w:szCs w:val="18"/>
                <w:lang w:val="pt-BR" w:eastAsia="en-US" w:bidi="ar-SA"/>
              </w:rPr>
              <w:t>R$ 82.900,00</w:t>
            </w:r>
            <w:r>
              <w:rPr>
                <w:rFonts w:cs="Arial" w:ascii="Open Sans;sans-serif" w:hAnsi="Open Sans;sans-serif"/>
                <w:b w:val="false"/>
                <w:i w:val="false"/>
                <w:caps w:val="false"/>
                <w:smallCaps w:val="false"/>
                <w:color w:val="000000"/>
                <w:spacing w:val="0"/>
                <w:sz w:val="18"/>
              </w:rPr>
              <w:br/>
            </w:r>
          </w:p>
          <w:p>
            <w:pPr>
              <w:pStyle w:val="Contedodatabela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suppressAutoHyphens w:val="true"/>
              <w:bidi w:val="0"/>
              <w:spacing w:before="0" w:after="0"/>
              <w:jc w:val="center"/>
              <w:rPr>
                <w:rFonts w:ascii="aptos;aptos embeddedfont;aptos msfontservice;calibri;helvetica;sans-serif" w:hAnsi="aptos;aptos embeddedfont;aptos msfontservice;calibri;helvetica;sans-serif" w:eastAsia="Times New Roman" w:cs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1"/>
                <w:szCs w:val="18"/>
                <w:lang w:val="pt-BR" w:eastAsia="en-US" w:bidi="ar-SA"/>
              </w:rPr>
            </w:pPr>
            <w:r>
              <w:rPr>
                <w:rFonts w:eastAsia="Times New Roman" w:cs="Times New Roman" w:ascii="aptos;aptos embeddedfont;aptos msfontservice;calibri;helvetica;sans-serif" w:hAnsi="aptos;aptos embeddedfont;aptos msfontservice;calibri;helvetica;sans-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1"/>
                <w:szCs w:val="18"/>
                <w:lang w:val="pt-BR" w:eastAsia="en-US" w:bidi="ar-SA"/>
              </w:rPr>
              <w:t>R$ 165.800,00</w:t>
            </w:r>
          </w:p>
        </w:tc>
      </w:tr>
      <w:tr>
        <w:trPr/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>
                <w:sz w:val="18"/>
                <w:szCs w:val="18"/>
              </w:rPr>
              <w:t>Aquisição</w:t>
            </w:r>
          </w:p>
        </w:tc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jc w:val="center"/>
              <w:rPr/>
            </w:pPr>
            <w:r>
              <w:rPr>
                <w:sz w:val="18"/>
                <w:szCs w:val="18"/>
              </w:rPr>
              <w:t>Amazon AWS</w:t>
            </w:r>
          </w:p>
        </w:tc>
        <w:tc>
          <w:tcPr>
            <w:tcW w:w="181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https://calculator.aws/</w:t>
            </w:r>
          </w:p>
        </w:tc>
        <w:tc>
          <w:tcPr>
            <w:tcW w:w="181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tedodatabela"/>
              <w:rPr>
                <w:rFonts w:cs="Arial"/>
              </w:rPr>
            </w:pPr>
            <w:r>
              <w:rPr>
                <w:rFonts w:eastAsia="Times New Roman" w:cs="Times New Roman" w:ascii="aptos;aptos embeddedfont;aptos msfontservice;calibri;helvetica;sans-serif" w:hAnsi="aptos;aptos embeddedfont;aptos msfontservice;calibri;helvetica;sans-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1"/>
                <w:szCs w:val="18"/>
                <w:lang w:val="pt-BR" w:eastAsia="en-US" w:bidi="ar-SA"/>
              </w:rPr>
              <w:t>R$ 19.939,55 / mês</w:t>
              <w:br/>
              <w:t>(em conversão direta dólar em 17/09/2025)</w:t>
            </w:r>
            <w:r>
              <w:rPr>
                <w:rFonts w:cs="Arial"/>
              </w:rPr>
              <w:br/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rPr>
                <w:rFonts w:cs="Arial"/>
              </w:rPr>
            </w:pPr>
            <w:r>
              <w:rPr>
                <w:rFonts w:eastAsia="Times New Roman" w:cs="Times New Roman" w:ascii="aptos;aptos embeddedfont;aptos msfontservice;calibri;helvetica;sans-serif" w:hAnsi="aptos;aptos embeddedfont;aptos msfontservice;calibri;helvetica;sans-serif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1"/>
                <w:szCs w:val="18"/>
                <w:lang w:val="pt-BR" w:eastAsia="en-US" w:bidi="ar-SA"/>
              </w:rPr>
              <w:t>R$ 239.306,17 / ano (em conversão direta dólar em 17/09/2025)</w:t>
            </w:r>
          </w:p>
        </w:tc>
      </w:tr>
    </w:tbl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  <w:lang w:val="pt-BR" w:eastAsia="en-US"/>
        </w:rPr>
      </w:pPr>
      <w:r>
        <w:rPr>
          <w:rFonts w:cs="Arial" w:ascii="Arial" w:hAnsi="Arial"/>
          <w:lang w:val="pt-BR" w:eastAsia="en-US"/>
        </w:rPr>
        <w:tab/>
        <w:t>Na mesma pesquisa, identificou-se que não há no mercado pelo menos 3 (três) empresas competitivas como microempresa ou empresa de pequeno porte, localizadas local ou regionalmente capazes de cumprir as exigências, para licitação com participação exclusiva de ME/EPP ou com reserva de cota de até 25%, bem como para exigência de subcontratação de empresas enquadradas como ME/EPP, conforme art. 21-C da Lei Municipal n.º 2.020/2009.</w:t>
      </w:r>
    </w:p>
    <w:p>
      <w:pPr>
        <w:pStyle w:val="BodyTextIndented"/>
        <w:widowControl w:val="false"/>
        <w:tabs>
          <w:tab w:val="clear" w:pos="708"/>
          <w:tab w:val="left" w:pos="426" w:leader="none"/>
        </w:tabs>
        <w:ind w:left="0"/>
        <w:rPr>
          <w:rFonts w:ascii="Arial" w:hAnsi="Arial" w:cs="Arial"/>
          <w:b/>
          <w:color w:val="FF0000"/>
          <w:sz w:val="22"/>
          <w:szCs w:val="22"/>
          <w:lang w:val="pt-BR"/>
        </w:rPr>
      </w:pPr>
      <w:r>
        <w:rPr>
          <w:rFonts w:cs="Arial" w:ascii="Arial" w:hAnsi="Arial"/>
          <w:b/>
          <w:color w:val="FF0000"/>
          <w:sz w:val="22"/>
          <w:szCs w:val="22"/>
          <w:lang w:val="pt-BR"/>
        </w:rPr>
      </w:r>
    </w:p>
    <w:p>
      <w:pPr>
        <w:pStyle w:val="BodyTextIndented"/>
        <w:widowControl w:val="false"/>
        <w:numPr>
          <w:ilvl w:val="0"/>
          <w:numId w:val="2"/>
        </w:numPr>
        <w:tabs>
          <w:tab w:val="clear" w:pos="708"/>
          <w:tab w:val="left" w:pos="426" w:leader="none"/>
        </w:tabs>
        <w:ind w:hanging="0" w:left="0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  <w:t>JUSTIFICATIVAS DA ESCOLHA DO TIPO DE SOLUÇÃO A CONTRATAR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left="0"/>
        <w:contextualSpacing w:val="false"/>
        <w:jc w:val="both"/>
        <w:rPr>
          <w:rFonts w:ascii="Arial" w:hAnsi="Arial" w:cs="Arial"/>
          <w:i/>
          <w:i/>
          <w:color w:val="00B050"/>
        </w:rPr>
      </w:pPr>
      <w:r>
        <w:rPr>
          <w:rFonts w:cs="Arial" w:ascii="Arial" w:hAnsi="Arial"/>
          <w:i/>
          <w:color w:val="00B050"/>
        </w:rPr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left="0"/>
        <w:contextualSpacing w:val="false"/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Style w:val="Tabelacomgrade"/>
        <w:tblW w:w="9345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  <w:tblLook w:firstRow="1" w:noVBand="1" w:lastRow="0" w:firstColumn="1" w:lastColumn="0" w:noHBand="1" w:val="06a0"/>
      </w:tblPr>
      <w:tblGrid>
        <w:gridCol w:w="3115"/>
        <w:gridCol w:w="3115"/>
        <w:gridCol w:w="3115"/>
      </w:tblGrid>
      <w:tr>
        <w:trPr>
          <w:tblHeader w:val="true"/>
        </w:trPr>
        <w:tc>
          <w:tcPr>
            <w:tcW w:w="31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auto"/>
              </w:rPr>
            </w:pPr>
            <w:r>
              <w:rPr>
                <w:rFonts w:cs="Arial" w:ascii="Arial" w:hAnsi="Arial"/>
                <w:b/>
                <w:iCs/>
                <w:color w:val="auto"/>
                <w:kern w:val="0"/>
                <w:sz w:val="20"/>
                <w:szCs w:val="20"/>
                <w:lang w:bidi="ar-SA"/>
              </w:rPr>
              <w:t>Soluções</w:t>
            </w:r>
          </w:p>
        </w:tc>
        <w:tc>
          <w:tcPr>
            <w:tcW w:w="31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auto"/>
              </w:rPr>
            </w:pPr>
            <w:r>
              <w:rPr>
                <w:rFonts w:cs="Arial" w:ascii="Arial" w:hAnsi="Arial"/>
                <w:b/>
                <w:iCs/>
                <w:color w:val="auto"/>
                <w:kern w:val="0"/>
                <w:sz w:val="20"/>
                <w:szCs w:val="20"/>
                <w:lang w:bidi="ar-SA"/>
              </w:rPr>
              <w:t>Vantagens (pontos fortes)</w:t>
            </w:r>
          </w:p>
        </w:tc>
        <w:tc>
          <w:tcPr>
            <w:tcW w:w="31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color w:val="auto"/>
              </w:rPr>
            </w:pPr>
            <w:r>
              <w:rPr>
                <w:rFonts w:cs="Arial" w:ascii="Arial" w:hAnsi="Arial"/>
                <w:b/>
                <w:iCs/>
                <w:color w:val="auto"/>
                <w:kern w:val="0"/>
                <w:sz w:val="20"/>
                <w:szCs w:val="20"/>
                <w:lang w:bidi="ar-SA"/>
              </w:rPr>
              <w:t>Desvantagens (riscos, limitações, problemas)</w:t>
            </w:r>
          </w:p>
        </w:tc>
      </w:tr>
      <w:tr>
        <w:trPr/>
        <w:tc>
          <w:tcPr>
            <w:tcW w:w="31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color w:val="auto"/>
              </w:rPr>
            </w:pPr>
            <w:r>
              <w:rPr>
                <w:rFonts w:cs="Arial" w:ascii="Arial" w:hAnsi="Arial"/>
                <w:iCs/>
                <w:color w:val="auto"/>
                <w:kern w:val="0"/>
                <w:sz w:val="20"/>
                <w:szCs w:val="20"/>
                <w:lang w:bidi="ar-SA"/>
              </w:rPr>
              <w:t>Pregão eletrônico próprio</w:t>
            </w:r>
          </w:p>
        </w:tc>
        <w:tc>
          <w:tcPr>
            <w:tcW w:w="31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rFonts w:ascii="Arial" w:hAnsi="Arial" w:cs="Arial"/>
                <w:iCs/>
                <w:color w:val="auto"/>
                <w:sz w:val="20"/>
                <w:szCs w:val="20"/>
              </w:rPr>
            </w:pPr>
            <w:r>
              <w:rPr>
                <w:rFonts w:cs="Arial" w:ascii="Arial" w:hAnsi="Arial"/>
                <w:iCs/>
                <w:color w:val="auto"/>
                <w:sz w:val="20"/>
                <w:szCs w:val="20"/>
              </w:rPr>
              <w:t>- Processo licitatório controlado internamente.</w:t>
              <w:br/>
              <w:t>- Total autonomia sobre o edital e critérios técnicos.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rFonts w:ascii="Arial" w:hAnsi="Arial" w:cs="Arial"/>
                <w:iCs/>
                <w:color w:val="auto"/>
                <w:sz w:val="20"/>
                <w:szCs w:val="20"/>
              </w:rPr>
            </w:pPr>
            <w:r>
              <w:rPr>
                <w:rFonts w:cs="Arial" w:ascii="Arial" w:hAnsi="Arial"/>
                <w:iCs/>
                <w:color w:val="auto"/>
                <w:sz w:val="20"/>
                <w:szCs w:val="20"/>
              </w:rPr>
              <w:t>- Possibilidade de negociar diretamente com fornecedores.</w:t>
            </w:r>
          </w:p>
        </w:tc>
        <w:tc>
          <w:tcPr>
            <w:tcW w:w="31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rFonts w:ascii="Arial" w:hAnsi="Arial" w:cs="Arial"/>
                <w:iCs/>
                <w:color w:val="auto"/>
                <w:sz w:val="20"/>
                <w:szCs w:val="20"/>
              </w:rPr>
            </w:pPr>
            <w:r>
              <w:rPr>
                <w:rFonts w:cs="Arial" w:ascii="Arial" w:hAnsi="Arial"/>
                <w:iCs/>
                <w:color w:val="auto"/>
                <w:sz w:val="20"/>
                <w:szCs w:val="20"/>
              </w:rPr>
              <w:t>- Demanda tempo significativo para elaboração e execução.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rFonts w:ascii="Arial" w:hAnsi="Arial" w:cs="Arial"/>
                <w:iCs/>
                <w:color w:val="auto"/>
                <w:sz w:val="20"/>
                <w:szCs w:val="20"/>
              </w:rPr>
            </w:pPr>
            <w:r>
              <w:rPr>
                <w:rFonts w:cs="Arial" w:ascii="Arial" w:hAnsi="Arial"/>
                <w:iCs/>
                <w:color w:val="auto"/>
                <w:sz w:val="20"/>
                <w:szCs w:val="20"/>
              </w:rPr>
              <w:t>- Custos administrativos mais altos.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rFonts w:ascii="Arial" w:hAnsi="Arial" w:cs="Arial"/>
                <w:iCs/>
                <w:color w:val="auto"/>
                <w:sz w:val="20"/>
                <w:szCs w:val="20"/>
              </w:rPr>
            </w:pPr>
            <w:r>
              <w:rPr>
                <w:rFonts w:cs="Arial" w:ascii="Arial" w:hAnsi="Arial"/>
                <w:iCs/>
                <w:color w:val="auto"/>
                <w:sz w:val="20"/>
                <w:szCs w:val="20"/>
              </w:rPr>
              <w:t>- Risco de frustração do certame ou propostas inadequadas.</w:t>
            </w:r>
          </w:p>
        </w:tc>
      </w:tr>
      <w:tr>
        <w:trPr/>
        <w:tc>
          <w:tcPr>
            <w:tcW w:w="31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color w:val="auto"/>
              </w:rPr>
            </w:pPr>
            <w:r>
              <w:rPr>
                <w:rFonts w:cs="Arial" w:ascii="Arial" w:hAnsi="Arial"/>
                <w:iCs/>
                <w:color w:val="auto"/>
                <w:kern w:val="0"/>
                <w:sz w:val="20"/>
                <w:szCs w:val="20"/>
                <w:lang w:bidi="ar-SA"/>
              </w:rPr>
              <w:t>Contratação de nuvem pública</w:t>
            </w:r>
          </w:p>
        </w:tc>
        <w:tc>
          <w:tcPr>
            <w:tcW w:w="31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rFonts w:ascii="Arial" w:hAnsi="Arial" w:cs="Arial"/>
                <w:iCs/>
                <w:color w:val="auto"/>
                <w:sz w:val="20"/>
                <w:szCs w:val="20"/>
              </w:rPr>
            </w:pPr>
            <w:r>
              <w:rPr>
                <w:rFonts w:cs="Arial" w:ascii="Arial" w:hAnsi="Arial"/>
                <w:iCs/>
                <w:color w:val="auto"/>
                <w:sz w:val="20"/>
                <w:szCs w:val="20"/>
              </w:rPr>
              <w:t>- Rapidez de implantação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rFonts w:ascii="Arial" w:hAnsi="Arial" w:cs="Arial"/>
                <w:iCs/>
                <w:color w:val="auto"/>
                <w:sz w:val="20"/>
                <w:szCs w:val="20"/>
              </w:rPr>
            </w:pPr>
            <w:r>
              <w:rPr>
                <w:rFonts w:cs="Arial" w:ascii="Arial" w:hAnsi="Arial"/>
                <w:iCs/>
                <w:color w:val="auto"/>
                <w:sz w:val="20"/>
                <w:szCs w:val="20"/>
              </w:rPr>
              <w:t>- Escalabilidade dinâmica conforme demanda.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rFonts w:ascii="Arial" w:hAnsi="Arial" w:cs="Arial"/>
                <w:iCs/>
                <w:color w:val="auto"/>
                <w:sz w:val="20"/>
                <w:szCs w:val="20"/>
              </w:rPr>
            </w:pPr>
            <w:r>
              <w:rPr>
                <w:rFonts w:cs="Arial" w:ascii="Arial" w:hAnsi="Arial"/>
                <w:iCs/>
                <w:color w:val="auto"/>
                <w:sz w:val="20"/>
                <w:szCs w:val="20"/>
              </w:rPr>
              <w:t>- Não exige investimento em hardware físico.</w:t>
            </w:r>
          </w:p>
        </w:tc>
        <w:tc>
          <w:tcPr>
            <w:tcW w:w="3115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rFonts w:ascii="Arial" w:hAnsi="Arial" w:cs="Arial"/>
                <w:iCs/>
                <w:color w:val="auto"/>
                <w:sz w:val="20"/>
                <w:szCs w:val="20"/>
              </w:rPr>
            </w:pPr>
            <w:r>
              <w:rPr>
                <w:rFonts w:cs="Arial" w:ascii="Arial" w:hAnsi="Arial"/>
                <w:iCs/>
                <w:color w:val="auto"/>
                <w:sz w:val="20"/>
                <w:szCs w:val="20"/>
              </w:rPr>
              <w:t>- Custo contínuo elevado comparado à aquisição física.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rFonts w:ascii="Arial" w:hAnsi="Arial" w:cs="Arial"/>
                <w:iCs/>
                <w:color w:val="auto"/>
                <w:sz w:val="20"/>
                <w:szCs w:val="20"/>
              </w:rPr>
            </w:pPr>
            <w:r>
              <w:rPr>
                <w:rFonts w:cs="Arial" w:ascii="Arial" w:hAnsi="Arial"/>
                <w:iCs/>
                <w:color w:val="auto"/>
                <w:sz w:val="20"/>
                <w:szCs w:val="20"/>
              </w:rPr>
              <w:t>- Dependência de fornecedor externo.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rFonts w:ascii="Arial" w:hAnsi="Arial" w:cs="Arial"/>
                <w:iCs/>
                <w:color w:val="auto"/>
                <w:sz w:val="20"/>
                <w:szCs w:val="20"/>
              </w:rPr>
            </w:pPr>
            <w:r>
              <w:rPr>
                <w:rFonts w:cs="Arial" w:ascii="Arial" w:hAnsi="Arial"/>
                <w:iCs/>
                <w:color w:val="auto"/>
                <w:sz w:val="20"/>
                <w:szCs w:val="20"/>
              </w:rPr>
              <w:t>- Necessidade de suporte adicional e licenciamento contínuo.</w:t>
              <w:br/>
              <w:t>- Não atende integralmente aos requisitos de hospedagem.</w:t>
            </w:r>
          </w:p>
        </w:tc>
      </w:tr>
      <w:tr>
        <w:trPr/>
        <w:tc>
          <w:tcPr>
            <w:tcW w:w="3115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rFonts w:ascii="Arial" w:hAnsi="Arial" w:cs="Arial"/>
                <w:iCs/>
                <w:color w:val="auto"/>
                <w:sz w:val="20"/>
                <w:szCs w:val="20"/>
              </w:rPr>
            </w:pPr>
            <w:r>
              <w:rPr>
                <w:rFonts w:cs="Arial" w:ascii="Arial" w:hAnsi="Arial"/>
                <w:iCs/>
                <w:color w:val="auto"/>
                <w:sz w:val="20"/>
                <w:szCs w:val="20"/>
              </w:rPr>
              <w:t>Adesão à Ata de Registro de Preços (ARP)</w:t>
            </w:r>
          </w:p>
        </w:tc>
        <w:tc>
          <w:tcPr>
            <w:tcW w:w="3115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rFonts w:ascii="Arial" w:hAnsi="Arial" w:cs="Arial"/>
                <w:iCs/>
                <w:color w:val="auto"/>
                <w:sz w:val="20"/>
                <w:szCs w:val="20"/>
              </w:rPr>
            </w:pPr>
            <w:r>
              <w:rPr>
                <w:rFonts w:cs="Arial" w:ascii="Arial" w:hAnsi="Arial"/>
                <w:iCs/>
                <w:color w:val="auto"/>
                <w:sz w:val="20"/>
                <w:szCs w:val="20"/>
              </w:rPr>
              <w:t>- Custos competitivos e previamente homologados.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rFonts w:ascii="Arial" w:hAnsi="Arial" w:cs="Arial"/>
                <w:iCs/>
                <w:color w:val="auto"/>
                <w:sz w:val="20"/>
                <w:szCs w:val="20"/>
              </w:rPr>
            </w:pPr>
            <w:r>
              <w:rPr>
                <w:rFonts w:cs="Arial" w:ascii="Arial" w:hAnsi="Arial"/>
                <w:iCs/>
                <w:color w:val="auto"/>
                <w:sz w:val="20"/>
                <w:szCs w:val="20"/>
              </w:rPr>
              <w:t>- Processo mais rápido, sem necessidade de nova licitação.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rFonts w:ascii="Arial" w:hAnsi="Arial" w:cs="Arial"/>
                <w:iCs/>
                <w:color w:val="auto"/>
                <w:sz w:val="20"/>
                <w:szCs w:val="20"/>
              </w:rPr>
            </w:pPr>
            <w:r>
              <w:rPr>
                <w:rFonts w:cs="Arial" w:ascii="Arial" w:hAnsi="Arial"/>
                <w:iCs/>
                <w:color w:val="auto"/>
                <w:sz w:val="20"/>
                <w:szCs w:val="20"/>
              </w:rPr>
              <w:t>- Garantia de conformidade técnica e contratual.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rFonts w:ascii="Arial" w:hAnsi="Arial" w:cs="Arial"/>
                <w:iCs/>
                <w:color w:val="auto"/>
                <w:sz w:val="20"/>
                <w:szCs w:val="20"/>
              </w:rPr>
            </w:pPr>
            <w:r>
              <w:rPr>
                <w:rFonts w:cs="Arial" w:ascii="Arial" w:hAnsi="Arial"/>
                <w:iCs/>
                <w:color w:val="auto"/>
                <w:sz w:val="20"/>
                <w:szCs w:val="20"/>
              </w:rPr>
              <w:t>- Redução de riscos administrativos .</w:t>
            </w:r>
          </w:p>
        </w:tc>
        <w:tc>
          <w:tcPr>
            <w:tcW w:w="3115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rFonts w:ascii="Arial" w:hAnsi="Arial" w:cs="Arial"/>
                <w:iCs/>
                <w:color w:val="auto"/>
                <w:sz w:val="20"/>
                <w:szCs w:val="20"/>
              </w:rPr>
            </w:pPr>
            <w:r>
              <w:rPr>
                <w:rFonts w:cs="Arial" w:ascii="Arial" w:hAnsi="Arial"/>
                <w:iCs/>
                <w:color w:val="auto"/>
                <w:sz w:val="20"/>
                <w:szCs w:val="20"/>
              </w:rPr>
              <w:t>- Limitação à disponibilidade de itens registrados na ata.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both"/>
              <w:rPr>
                <w:rFonts w:ascii="Arial" w:hAnsi="Arial" w:cs="Arial"/>
                <w:iCs/>
                <w:color w:val="auto"/>
                <w:sz w:val="20"/>
                <w:szCs w:val="20"/>
              </w:rPr>
            </w:pPr>
            <w:r>
              <w:rPr>
                <w:rFonts w:cs="Arial" w:ascii="Arial" w:hAnsi="Arial"/>
                <w:iCs/>
                <w:color w:val="auto"/>
                <w:sz w:val="20"/>
                <w:szCs w:val="20"/>
              </w:rPr>
              <w:t>- Menor flexibilidade em negociação de condições específicas do fornecedor.</w:t>
            </w:r>
          </w:p>
        </w:tc>
      </w:tr>
    </w:tbl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left="0"/>
        <w:contextualSpacing w:val="false"/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left="0"/>
        <w:contextualSpacing w:val="false"/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i/>
          <w:color w:val="00B050"/>
          <w:sz w:val="22"/>
          <w:szCs w:val="22"/>
        </w:rPr>
        <w:tab/>
      </w:r>
      <w:r>
        <w:rPr>
          <w:rFonts w:eastAsia="Calibri" w:cs="Arial" w:ascii="Arial" w:hAnsi="Arial"/>
          <w:color w:val="auto"/>
          <w:kern w:val="0"/>
          <w:sz w:val="22"/>
          <w:szCs w:val="22"/>
          <w:lang w:val="pt-BR" w:eastAsia="en-US" w:bidi="ar-SA"/>
        </w:rPr>
        <w:t>Conforme pesquisa de mercado realizada e após análise comparativa, para solução da necessidade administrativa, objeto do presente Estudo Técnico Preliminar, vislumbra-se possível, sob o aspecto técnico e econômico, a aquisição de dois servidores de alto desempenho, destinados à hospedagem e operação do sistema de saneamento por meio de adesão a uma ata de registro de preços na condição de órgão não participante, nos termos do artigo 86, §2º da Lei Federal n.º 14.133/2021, pois esta alternativa se demonstrou mais vantajosa frente as demais modalidades avaliadas.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left="0"/>
        <w:contextualSpacing w:val="false"/>
        <w:jc w:val="both"/>
        <w:rPr>
          <w:rFonts w:ascii="Arial" w:hAnsi="Arial" w:cs="Arial"/>
          <w:color w:val="FF0000"/>
        </w:rPr>
      </w:pPr>
      <w:r>
        <w:rPr>
          <w:rFonts w:eastAsia="Calibri" w:cs="Arial" w:ascii="Arial" w:hAnsi="Arial"/>
          <w:color w:val="auto"/>
          <w:kern w:val="0"/>
          <w:sz w:val="22"/>
          <w:szCs w:val="22"/>
          <w:lang w:val="pt-BR" w:eastAsia="en-US" w:bidi="ar-SA"/>
        </w:rPr>
        <w:tab/>
        <w:t>Inicialmente, a alternativa de realização de pregão eletrônico próprio, em ampla concorrência, embora juridicamente viável, demandaria tempo significativo para elaboração do edital, análise de propostas e julgamento, além de recursos humanos dedicados ao processo, implicando custos indiretos administrativos.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left="0"/>
        <w:contextualSpacing w:val="false"/>
        <w:jc w:val="both"/>
        <w:rPr>
          <w:rFonts w:ascii="Arial" w:hAnsi="Arial" w:cs="Arial"/>
          <w:color w:val="FF0000"/>
        </w:rPr>
      </w:pPr>
      <w:r>
        <w:rPr>
          <w:rFonts w:eastAsia="Calibri" w:cs="Arial" w:ascii="Arial" w:hAnsi="Arial"/>
          <w:color w:val="auto"/>
          <w:kern w:val="0"/>
          <w:sz w:val="22"/>
          <w:szCs w:val="22"/>
          <w:lang w:val="pt-BR" w:eastAsia="en-US" w:bidi="ar-SA"/>
        </w:rPr>
        <w:tab/>
        <w:t>A segunda alternativa considerada foi a contratação de infraestrutura em nuvem pública, com base em simulação realizada no AWS Pricing Calculator, tomando como referência configuração equivalente ao servidor Dell PowerEdge R450, com 2 processadores Intel Xeon Silver 4314, 64 GB de memória e sistema operacional Windows Server 2022 Standard. O custo mensal estimado em modalidade sob demanda, aplicável ao setor público, revelou-se significativamente superior ao valor obtido na pesquisa de mercado para aquisição física dos equipamentos, especialmente quando projetado para o horizonte temporal de três anos, prazo este equivalente à garantia e suporte fornecidos pelo fabricante. Ademais, a solução em nuvem traria a dependência tecnológica de provedor externo, fator que ampliaria a onerosidade em relação à aquisição direta de servidores.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left="0"/>
        <w:contextualSpacing w:val="false"/>
        <w:jc w:val="both"/>
        <w:rPr>
          <w:rFonts w:ascii="Arial" w:hAnsi="Arial" w:cs="Arial"/>
          <w:color w:val="FF0000"/>
        </w:rPr>
      </w:pPr>
      <w:r>
        <w:rPr>
          <w:rFonts w:eastAsia="Calibri" w:cs="Arial" w:ascii="Arial" w:hAnsi="Arial"/>
          <w:color w:val="auto"/>
          <w:kern w:val="0"/>
          <w:sz w:val="22"/>
          <w:szCs w:val="22"/>
          <w:lang w:val="pt-BR" w:eastAsia="en-US" w:bidi="ar-SA"/>
        </w:rPr>
        <w:tab/>
        <w:t>Já a adesão à Ata de Registro de Preços mostrou-se a alternativa mais vantajosa, tanto sob o ponto de vista técnico quanto econômico. A pesquisa de mercado evidenciou que os valores registrados na ata, fruto de processo licitatório prévio com ampla competitividade, situam-se em patamar inferior ao observado nas demais modalidades, especialmente quando comparados com a contratação de infraestrutura em nuvem. Soma-se a isso a economia processual gerada pela dispensa de novo certame, uma vez que a ata já contempla todas as exigências de qualificação técnica, condições contratuais e garantias necessárias, reduzindo substancialmente o tempo e os custos administrativos da contratação.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left="0"/>
        <w:contextualSpacing w:val="false"/>
        <w:jc w:val="both"/>
        <w:rPr>
          <w:rFonts w:ascii="Arial" w:hAnsi="Arial" w:cs="Arial"/>
          <w:color w:val="FF0000"/>
        </w:rPr>
      </w:pPr>
      <w:r>
        <w:rPr>
          <w:rFonts w:eastAsia="Calibri" w:cs="Arial" w:ascii="Arial" w:hAnsi="Arial"/>
          <w:color w:val="auto"/>
          <w:kern w:val="0"/>
          <w:sz w:val="22"/>
          <w:szCs w:val="22"/>
          <w:lang w:val="pt-BR" w:eastAsia="en-US" w:bidi="ar-SA"/>
        </w:rPr>
        <w:tab/>
        <w:t>Por fim, cabe ressaltar que a aquisição dos servidores atende de forma direta ao requisito descrito no item 2.7.1.1 do edital do Pregão Eletrônico nº 8/2025, referente à contratação de empresa especializada para a prestação de serviços de solução informatizada para fornecimento de software estruturante de Sistema Integrado de Gestão de Saneamento para a COMUSA – Serviços de Água e Esgoto de Novo Hamburgo, o qual estabelece que a solução contratada deverá ser hospedada dentro das dependências da COMUSA. Assim, a aquisição dos equipamentos não apenas cumpre a exigência editalícia, mas também garante maior autonomia operacional, segurança da informação e aderência às necessidades institucionais.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left="0"/>
        <w:contextualSpacing w:val="false"/>
        <w:jc w:val="both"/>
        <w:rPr>
          <w:rFonts w:ascii="Arial" w:hAnsi="Arial" w:cs="Arial"/>
          <w:color w:val="FF0000"/>
        </w:rPr>
      </w:pPr>
      <w:r>
        <w:rPr>
          <w:rFonts w:eastAsia="Calibri" w:cs="Arial" w:ascii="Arial" w:hAnsi="Arial"/>
          <w:color w:val="auto"/>
          <w:kern w:val="0"/>
          <w:sz w:val="22"/>
          <w:szCs w:val="22"/>
          <w:lang w:val="pt-BR" w:eastAsia="en-US" w:bidi="ar-SA"/>
        </w:rPr>
        <w:br/>
        <w:tab/>
        <w:t>Dessa forma, a adesão à Ata de Registro de Preços configura-se como a solução mais vantajosa sob os aspectos técnico, econômico e jurídico, proporcionando maior eficiência na alocação de recursos públicos e mitigando riscos de atraso na implantação do sistema de saneamento.</w:t>
      </w:r>
    </w:p>
    <w:p>
      <w:pPr>
        <w:pStyle w:val="Normal"/>
        <w:widowControl w:val="false"/>
        <w:suppressAutoHyphens w:val="true"/>
        <w:ind w:firstLine="567"/>
        <w:jc w:val="both"/>
        <w:rPr>
          <w:rFonts w:ascii="Arial" w:hAnsi="Arial" w:eastAsia="Calibri" w:cs="Arial"/>
          <w:i/>
          <w:i/>
          <w:color w:val="00B050"/>
          <w:sz w:val="22"/>
          <w:szCs w:val="22"/>
        </w:rPr>
      </w:pPr>
      <w:r>
        <w:rPr>
          <w:rFonts w:eastAsia="Calibri" w:cs="Arial" w:ascii="Arial" w:hAnsi="Arial"/>
          <w:i/>
          <w:color w:val="00B050"/>
          <w:sz w:val="22"/>
          <w:szCs w:val="22"/>
        </w:rPr>
      </w:r>
    </w:p>
    <w:p>
      <w:pPr>
        <w:pStyle w:val="BodyTextIndented"/>
        <w:widowControl w:val="false"/>
        <w:numPr>
          <w:ilvl w:val="0"/>
          <w:numId w:val="2"/>
        </w:numPr>
        <w:tabs>
          <w:tab w:val="clear" w:pos="708"/>
          <w:tab w:val="left" w:pos="426" w:leader="none"/>
        </w:tabs>
        <w:ind w:hanging="0" w:left="0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  <w:t>INFORMAÇÕES BÁSICAS SOBRE A SOLUÇÃO ESCOLHIDA, A DEFINIÇÃO DE SUA NATUREZA E MODALIDADE DE CONTRATAÇÃO</w:t>
      </w:r>
    </w:p>
    <w:p>
      <w:pPr>
        <w:pStyle w:val="Normal"/>
        <w:widowControl w:val="false"/>
        <w:suppressAutoHyphens w:val="true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Paragraph"/>
        <w:widowControl w:val="false"/>
        <w:numPr>
          <w:ilvl w:val="1"/>
          <w:numId w:val="2"/>
        </w:numPr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Descrição</w:t>
      </w:r>
    </w:p>
    <w:p>
      <w:pPr>
        <w:pStyle w:val="Normal"/>
        <w:widowControl w:val="false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 presente contratação tem por objetivo a aquisição de dois servidores de alto desempenho, destinados à hospedagem e operação do sistema de saneamento recentemente contratado pela Administração. Os equipamentos deverão possuir capacidade de processamento, memória e armazenamento compatíveis com aplicações críticas, assegurando disponibilidade contínua, segurança da informação e escalabilidade futura.</w:t>
      </w:r>
    </w:p>
    <w:p>
      <w:pPr>
        <w:pStyle w:val="Normal"/>
        <w:widowControl w:val="false"/>
        <w:suppressAutoHyphens w:val="true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ListParagraph"/>
        <w:widowControl w:val="false"/>
        <w:numPr>
          <w:ilvl w:val="1"/>
          <w:numId w:val="2"/>
        </w:numPr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Natureza</w:t>
      </w:r>
    </w:p>
    <w:p>
      <w:pPr>
        <w:pStyle w:val="Normal"/>
        <w:widowControl w:val="false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Os servidores possuem a natureza de bem comum, cujos padrões de desempenho e qualidade podem ser objetivamente definidos no Termo de Referência, por meio de especificações técnicas disponíveis no mercado.</w:t>
      </w:r>
    </w:p>
    <w:p>
      <w:pPr>
        <w:pStyle w:val="Normal"/>
        <w:widowControl w:val="false"/>
        <w:suppressAutoHyphens w:val="true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</w:r>
    </w:p>
    <w:p>
      <w:pPr>
        <w:pStyle w:val="ListParagraph"/>
        <w:widowControl w:val="false"/>
        <w:numPr>
          <w:ilvl w:val="1"/>
          <w:numId w:val="2"/>
        </w:numPr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Modalidade da contratação</w:t>
      </w:r>
    </w:p>
    <w:p>
      <w:pPr>
        <w:pStyle w:val="Normal"/>
        <w:widowControl w:val="false"/>
        <w:ind w:firstLine="567"/>
        <w:jc w:val="both"/>
        <w:rPr/>
      </w:pPr>
      <w:r>
        <w:rPr>
          <w:rFonts w:cs="Arial" w:ascii="Arial" w:hAnsi="Arial"/>
          <w:sz w:val="22"/>
          <w:szCs w:val="22"/>
        </w:rPr>
        <w:t>A contratação será realizada por meio de adesão a uma ata de registro de preços na condição de órgão não participante, nos termos do artigo 86, §2º da Lei Federal n.º 14.133/2021.</w:t>
      </w:r>
    </w:p>
    <w:p>
      <w:pPr>
        <w:pStyle w:val="Normal"/>
        <w:widowControl w:val="false"/>
        <w:suppressAutoHyphens w:val="true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Indented"/>
        <w:widowControl w:val="false"/>
        <w:numPr>
          <w:ilvl w:val="0"/>
          <w:numId w:val="2"/>
        </w:numPr>
        <w:tabs>
          <w:tab w:val="clear" w:pos="708"/>
          <w:tab w:val="left" w:pos="426" w:leader="none"/>
        </w:tabs>
        <w:ind w:hanging="0" w:left="0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  <w:t>DESCRIÇÃO DA SOLUÇÃO COMO UM TODO CONSIDERANDO O CICLO DE VIDA DO OBJETO</w:t>
      </w:r>
    </w:p>
    <w:p>
      <w:pPr>
        <w:pStyle w:val="BodyTextIndented"/>
        <w:widowControl w:val="false"/>
        <w:tabs>
          <w:tab w:val="clear" w:pos="708"/>
          <w:tab w:val="left" w:pos="426" w:leader="none"/>
        </w:tabs>
        <w:ind w:hanging="0" w:left="0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  <w:tab/>
      </w:r>
      <w:r>
        <w:rPr>
          <w:rFonts w:eastAsia="Times New Roman" w:cs="Arial" w:ascii="Arial" w:hAnsi="Arial"/>
          <w:color w:val="auto"/>
          <w:kern w:val="0"/>
          <w:sz w:val="22"/>
          <w:szCs w:val="22"/>
          <w:lang w:val="pt-BR" w:eastAsia="en-US" w:bidi="ar-SA"/>
        </w:rPr>
        <w:t>A solução proposta consiste na aquisição de dois servidores de alto desempenho, devidamente dimensionados para hospedar e operar o Sistema Integrado de Gestão de Saneamento da COMUSA, atendendo ao requisito contratual que determina a hospedagem da solução dentro das dependências da autarquia. Trata-se, portanto, de aquisição de bens permanentes, não de serviços, sendo os equipamentos entregues com garantia de funcionamento e suporte técnico do fabricante por um período de três anos, cobrindo peças e mão de obra, o que assegura a continuidade operacional sem necessidade de contratações adicionais para manutenção corretiva no período.</w:t>
      </w:r>
    </w:p>
    <w:p>
      <w:pPr>
        <w:pStyle w:val="BodyTextIndented"/>
        <w:widowControl w:val="false"/>
        <w:tabs>
          <w:tab w:val="clear" w:pos="708"/>
          <w:tab w:val="left" w:pos="426" w:leader="none"/>
        </w:tabs>
        <w:ind w:hanging="0" w:left="0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eastAsia="Times New Roman" w:cs="Arial" w:ascii="Arial" w:hAnsi="Arial"/>
          <w:color w:val="auto"/>
          <w:kern w:val="0"/>
          <w:sz w:val="22"/>
          <w:szCs w:val="22"/>
          <w:lang w:val="pt-BR" w:eastAsia="en-US" w:bidi="ar-SA"/>
        </w:rPr>
        <w:tab/>
        <w:t>Os servidores adquiridos compreendem todos os elementos necessários à solução: chassis com capacidade de expansão, processadores de última geração, memória, discos rígidos de alto desempenho, redundância de fonte de alimentação, controladoras de armazenamento, sistema operacional Windows Server 2022 Standard licenciado e recursos de gerenciamento remoto (iDRAC9). Essa composição garante robustez, alta disponibilidade e condições adequadas de desempenho e segurança para suportar aplicações críticas.</w:t>
      </w:r>
    </w:p>
    <w:p>
      <w:pPr>
        <w:pStyle w:val="BodyTextIndented"/>
        <w:widowControl w:val="false"/>
        <w:tabs>
          <w:tab w:val="clear" w:pos="708"/>
          <w:tab w:val="left" w:pos="426" w:leader="none"/>
        </w:tabs>
        <w:ind w:hanging="0" w:left="0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eastAsia="Times New Roman" w:cs="Arial" w:ascii="Arial" w:hAnsi="Arial"/>
          <w:color w:val="auto"/>
          <w:kern w:val="0"/>
          <w:sz w:val="22"/>
          <w:szCs w:val="22"/>
          <w:lang w:val="pt-BR" w:eastAsia="en-US" w:bidi="ar-SA"/>
        </w:rPr>
        <w:tab/>
        <w:t>Do ponto de vista do ciclo de vida, os equipamentos são classificados como bens duráveis, com vida útil estimada superior a garantia ofertada pelo fabricante, considerando práticas adequadas de manutenção preventiva e eventual substituição ou expansão de componentes, como discos e módulos de memória. O prazo de três anos de suporte do fabricante cobre o período inicial mais crítico, reduzindo riscos de indisponibilidade e garantindo a reposição imediata de peças defeituosas. Após o término da garantia, os equipamentos poderão continuar em operação mediante contratação de suporte estendido ou uso de componentes de reposição, mantendo sua utilidade até o fim de sua vida útil.</w:t>
      </w:r>
    </w:p>
    <w:p>
      <w:pPr>
        <w:pStyle w:val="BodyTextIndented"/>
        <w:widowControl w:val="false"/>
        <w:tabs>
          <w:tab w:val="clear" w:pos="708"/>
          <w:tab w:val="left" w:pos="426" w:leader="none"/>
        </w:tabs>
        <w:ind w:hanging="0" w:left="0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eastAsia="Times New Roman" w:cs="Arial" w:ascii="Arial" w:hAnsi="Arial"/>
          <w:color w:val="auto"/>
          <w:kern w:val="0"/>
          <w:sz w:val="22"/>
          <w:szCs w:val="22"/>
          <w:lang w:val="pt-BR" w:eastAsia="en-US" w:bidi="ar-SA"/>
        </w:rPr>
        <w:tab/>
        <w:t>A aquisição contempla, ainda, elementos de infraestrutura física que asseguram a correta instalação no datacenter da COMUSA, como trilhos deslizantes compatíveis com racks padrão, bem como interfaces de rede para integração à rede corporativa existente. Não se trata, portanto, de contratação parcelada ou dependente de outras aquisições, mas de uma solução única e completa, suficiente para atender à necessidade identificada.</w:t>
        <w:br/>
        <w:t xml:space="preserve"> Em relação à depreciação, os servidores seguirão as normas de contabilização de bens permanentes, sendo alocados ao ativo imobilizado e depreciados conforme a vida útil definida em regulamento interno e normativos da contabilidade pública. Quanto ao destino final, após o esgotamento de sua vida útil técnica e econômica, os equipamentos serão objeto de baixa patrimonial, seguindo os trâmites de avaliação de sucata, eventual reaproveitamento de peças ou alienação nos termos da legislação aplicável, assegurando-se a destinação ambientalmente adequada.</w:t>
      </w:r>
    </w:p>
    <w:p>
      <w:pPr>
        <w:pStyle w:val="BodyTextIndented"/>
        <w:widowControl w:val="false"/>
        <w:tabs>
          <w:tab w:val="clear" w:pos="708"/>
          <w:tab w:val="left" w:pos="426" w:leader="none"/>
        </w:tabs>
        <w:ind w:hanging="0" w:left="0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eastAsia="Times New Roman" w:cs="Arial" w:ascii="Arial" w:hAnsi="Arial"/>
          <w:color w:val="auto"/>
          <w:kern w:val="0"/>
          <w:sz w:val="22"/>
          <w:szCs w:val="22"/>
          <w:lang w:val="pt-BR" w:eastAsia="en-US" w:bidi="ar-SA"/>
        </w:rPr>
        <w:tab/>
        <w:t>Assim, a solução ora descrita contempla todos os elementos técnicos, operacionais e legais necessários para assegurar que a aquisição produza os resultados esperados, oferecendo viabilidade técnica, econômica e operacional, em alinhamento às necessidades institucionais da COMUSA e às exigências do processo licitatório correlato.</w:t>
      </w:r>
    </w:p>
    <w:p>
      <w:pPr>
        <w:pStyle w:val="BodyTextIndented"/>
        <w:widowControl w:val="false"/>
        <w:tabs>
          <w:tab w:val="clear" w:pos="708"/>
          <w:tab w:val="left" w:pos="426" w:leader="none"/>
        </w:tabs>
        <w:ind w:hanging="0" w:left="0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eastAsia="Times New Roman" w:cs="Arial" w:ascii="Arial" w:hAnsi="Arial"/>
          <w:b/>
          <w:color w:val="auto"/>
          <w:kern w:val="0"/>
          <w:sz w:val="22"/>
          <w:szCs w:val="22"/>
          <w:lang w:val="pt-BR" w:eastAsia="en-US" w:bidi="ar-SA"/>
        </w:rPr>
        <w:tab/>
      </w:r>
    </w:p>
    <w:p>
      <w:pPr>
        <w:pStyle w:val="BodyTextIndented"/>
        <w:widowControl w:val="false"/>
        <w:tabs>
          <w:tab w:val="clear" w:pos="708"/>
          <w:tab w:val="left" w:pos="426" w:leader="none"/>
        </w:tabs>
        <w:ind w:hanging="0" w:left="0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eastAsia="Times New Roman" w:cs="Arial" w:ascii="Arial" w:hAnsi="Arial"/>
          <w:b/>
          <w:color w:val="auto"/>
          <w:kern w:val="0"/>
          <w:sz w:val="22"/>
          <w:szCs w:val="22"/>
          <w:lang w:val="pt-BR" w:eastAsia="en-US" w:bidi="ar-SA"/>
        </w:rPr>
        <w:tab/>
      </w:r>
      <w:r>
        <w:rPr>
          <w:rFonts w:eastAsia="Times New Roman" w:cs="Arial" w:ascii="Arial" w:hAnsi="Arial"/>
          <w:color w:val="auto"/>
          <w:kern w:val="0"/>
          <w:sz w:val="22"/>
          <w:szCs w:val="22"/>
          <w:lang w:val="pt-BR" w:eastAsia="en-US" w:bidi="ar-SA"/>
        </w:rPr>
        <w:t>A especificação do objeto será realizada com base no Termo de Referência que instruiu a Ata de Registro de Preços à qual se pretende aderir, em razão de já contemplar todos os requisitos técnicos, quantitativos e condições de fornecimento estabelecidos pelo órgão gerenciador. Dessa forma, fica dispensada a elaboração de Termo de Referência próprio, utilizando-se o documento originário como base legal e técnica para a adesão, em conformidade com a Lei nº 14.133/2021.</w:t>
      </w:r>
    </w:p>
    <w:p>
      <w:pPr>
        <w:pStyle w:val="Normal"/>
        <w:widowControl w:val="false"/>
        <w:suppressAutoHyphens w:val="true"/>
        <w:ind w:firstLine="708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cs="Arial" w:ascii="Arial" w:hAnsi="Arial"/>
          <w:color w:val="FF0000"/>
          <w:sz w:val="22"/>
          <w:szCs w:val="22"/>
        </w:rPr>
      </w:r>
    </w:p>
    <w:p>
      <w:pPr>
        <w:pStyle w:val="BodyTextIndented"/>
        <w:widowControl w:val="false"/>
        <w:numPr>
          <w:ilvl w:val="0"/>
          <w:numId w:val="2"/>
        </w:numPr>
        <w:tabs>
          <w:tab w:val="clear" w:pos="708"/>
          <w:tab w:val="left" w:pos="426" w:leader="none"/>
        </w:tabs>
        <w:ind w:hanging="0" w:left="0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  <w:t>RELAÇÃO ENTRE A DEMANDA PREVISTA E A QUANTIDADE DE CADA ITEM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firstLine="567" w:left="0"/>
        <w:contextualSpacing w:val="false"/>
        <w:jc w:val="both"/>
        <w:rPr>
          <w:rFonts w:ascii="Arial" w:hAnsi="Arial" w:cs="Arial"/>
          <w:color w:val="auto"/>
          <w:kern w:val="0"/>
          <w:lang w:val="pt-BR" w:eastAsia="en-US" w:bidi="ar-SA"/>
        </w:rPr>
      </w:pPr>
      <w:r>
        <w:rPr>
          <w:rFonts w:cs="Arial" w:ascii="Arial" w:hAnsi="Arial"/>
          <w:color w:val="auto"/>
          <w:kern w:val="0"/>
          <w:lang w:val="pt-BR" w:eastAsia="en-US" w:bidi="ar-SA"/>
        </w:rPr>
        <w:t>A demanda prevista está diretamente relacionada à necessidade de assegurar a disponibilidade e a confiabilidade do sistema de saneamento, considerado estratégico para a operação da COMUSA. Para atender a esse requisito, definiu-se a aquisição de dois servidores de alto desempenho, cuja utilização será estruturada em modelo de redundância.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firstLine="567" w:left="0"/>
        <w:contextualSpacing w:val="false"/>
        <w:jc w:val="both"/>
        <w:rPr>
          <w:rFonts w:ascii="Arial" w:hAnsi="Arial" w:cs="Arial"/>
          <w:color w:val="auto"/>
          <w:kern w:val="0"/>
          <w:lang w:val="pt-BR" w:eastAsia="en-US" w:bidi="ar-SA"/>
        </w:rPr>
      </w:pPr>
      <w:r>
        <w:rPr>
          <w:rFonts w:cs="Arial" w:ascii="Arial" w:hAnsi="Arial"/>
          <w:color w:val="auto"/>
          <w:kern w:val="0"/>
          <w:lang w:val="pt-BR" w:eastAsia="en-US" w:bidi="ar-SA"/>
        </w:rPr>
        <w:t>Nessa configuração, um dos servidores será destinado prioritariamente ao ambiente de produção, enquanto o segundo atuará de forma dual: como redundância para garantir continuidade em caso de falhas ou indisponibilidades do servidor principal e, adicionalmente, como ambiente de homologação para validação de atualizações, ajustes e testes de segurança antes de sua aplicação no ambiente produtivo.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firstLine="567" w:left="0"/>
        <w:contextualSpacing w:val="false"/>
        <w:jc w:val="both"/>
        <w:rPr>
          <w:rFonts w:ascii="Arial" w:hAnsi="Arial" w:cs="Arial"/>
          <w:color w:val="auto"/>
        </w:rPr>
      </w:pPr>
      <w:r>
        <w:rPr>
          <w:rFonts w:cs="Arial" w:ascii="Arial" w:hAnsi="Arial"/>
          <w:color w:val="auto"/>
          <w:kern w:val="0"/>
          <w:lang w:val="pt-BR" w:eastAsia="en-US" w:bidi="ar-SA"/>
        </w:rPr>
        <w:t>Essa solução reduz significativamente os riscos de interrupções não planejadas, possibilita maior previsibilidade na manutenção e atualizações do sistema, além de otimizar o investimento, uma vez que o equipamento secundário não permanecerá ocioso, mas terá função ativa no ciclo de vida da aplicação. Dessa forma, a quantidade de dois servidores mostra-se tecnicamente adequada e economicamente justificada para atender à demanda prevista.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firstLine="567" w:left="0"/>
        <w:contextualSpacing w:val="false"/>
        <w:jc w:val="both"/>
        <w:rPr>
          <w:kern w:val="0"/>
          <w:lang w:val="pt-BR" w:eastAsia="en-US" w:bidi="ar-SA"/>
        </w:rPr>
      </w:pPr>
      <w:r>
        <w:rPr>
          <w:kern w:val="0"/>
          <w:lang w:val="pt-BR" w:eastAsia="en-US" w:bidi="ar-SA"/>
        </w:rPr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firstLine="567" w:left="0"/>
        <w:contextualSpacing w:val="false"/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</w:rPr>
        <w:t>A COMUSA comp</w:t>
      </w:r>
      <w:r>
        <w:rPr>
          <w:rFonts w:cs="Arial" w:ascii="Arial" w:hAnsi="Arial"/>
          <w:color w:val="auto"/>
        </w:rPr>
        <w:t>rará</w:t>
      </w:r>
      <w:r>
        <w:rPr>
          <w:rFonts w:cs="Arial" w:ascii="Arial" w:hAnsi="Arial"/>
          <w:color w:val="FF0000"/>
        </w:rPr>
        <w:t xml:space="preserve"> </w:t>
      </w:r>
      <w:r>
        <w:rPr>
          <w:rFonts w:cs="Arial" w:ascii="Arial" w:hAnsi="Arial"/>
        </w:rPr>
        <w:t>pela primeira vez esse objeto, não tendo como parâmetro contratações anteriores com o mesmo objeto.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left="0"/>
        <w:contextualSpacing w:val="false"/>
        <w:jc w:val="center"/>
        <w:rPr>
          <w:rFonts w:ascii="Arial" w:hAnsi="Arial" w:cs="Arial"/>
          <w:b/>
          <w:color w:val="00B050"/>
          <w:u w:val="single"/>
        </w:rPr>
      </w:pPr>
      <w:r>
        <w:rPr>
          <w:rFonts w:cs="Arial" w:ascii="Arial" w:hAnsi="Arial"/>
          <w:b/>
          <w:color w:val="00B050"/>
          <w:u w:val="single"/>
        </w:rPr>
      </w:r>
    </w:p>
    <w:p>
      <w:pPr>
        <w:pStyle w:val="BodyTextIndented"/>
        <w:widowControl w:val="false"/>
        <w:numPr>
          <w:ilvl w:val="0"/>
          <w:numId w:val="2"/>
        </w:numPr>
        <w:tabs>
          <w:tab w:val="clear" w:pos="708"/>
          <w:tab w:val="left" w:pos="426" w:leader="none"/>
        </w:tabs>
        <w:ind w:hanging="0" w:left="0"/>
        <w:rPr>
          <w:rFonts w:ascii="Arial" w:hAnsi="Arial" w:cs="Arial"/>
          <w:b/>
          <w:strike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  <w:t>ESTIMATIVAS PRELIMINARES DO VALOR DA CONTRATAÇÃO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firstLine="567" w:left="0"/>
        <w:contextualSpacing w:val="false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Sendo a adesão à Ata de Registro de Preços a alternativa mais vantajosa identificada no presente Estudo Técnico Preliminar, a definição do valor da contratação deixa de ser apenas uma estimativa de mercado, uma vez que já existe previsão expressa e formalizada no instrumento convocatório ao qual se pretende aderir. 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firstLine="567" w:left="0"/>
        <w:contextualSpacing w:val="false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Para fins comparativos, foram consideradas as seguintes referências de pesquisa de mercado: 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– </w:t>
      </w:r>
      <w:r>
        <w:rPr>
          <w:rStyle w:val="Strong"/>
          <w:rFonts w:cs="Arial" w:ascii="Arial" w:hAnsi="Arial"/>
        </w:rPr>
        <w:t>Edital da CORE MT – Pregão Eletrônico nº 90012/2025</w:t>
      </w:r>
      <w:r>
        <w:rPr>
          <w:rFonts w:cs="Arial" w:ascii="Arial" w:hAnsi="Arial"/>
        </w:rPr>
        <w:t xml:space="preserve">, item 1 – </w:t>
      </w:r>
      <w:r>
        <w:rPr>
          <w:rStyle w:val="Strong"/>
          <w:rFonts w:cs="Arial" w:ascii="Arial" w:hAnsi="Arial"/>
        </w:rPr>
        <w:t>R$ 136.000,00.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– </w:t>
      </w:r>
      <w:r>
        <w:rPr>
          <w:rStyle w:val="Strong"/>
          <w:rFonts w:cs="Arial" w:ascii="Arial" w:hAnsi="Arial"/>
        </w:rPr>
        <w:t>Edital do Instituto Federal do Maranhão / Campus Grajaú – Pregão Eletrônico nº 90001/2024</w:t>
      </w:r>
      <w:r>
        <w:rPr>
          <w:rFonts w:cs="Arial" w:ascii="Arial" w:hAnsi="Arial"/>
        </w:rPr>
        <w:t xml:space="preserve">, item 19 – </w:t>
      </w:r>
      <w:r>
        <w:rPr>
          <w:rStyle w:val="Strong"/>
          <w:rFonts w:cs="Arial" w:ascii="Arial" w:hAnsi="Arial"/>
        </w:rPr>
        <w:t>R$ 165.800,00.</w:t>
      </w:r>
      <w:r>
        <w:rPr>
          <w:rFonts w:cs="Arial" w:ascii="Arial" w:hAnsi="Arial"/>
        </w:rPr>
        <w:t xml:space="preserve"> 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– </w:t>
      </w:r>
      <w:r>
        <w:rPr>
          <w:rStyle w:val="Strong"/>
          <w:rFonts w:cs="Arial" w:ascii="Arial" w:hAnsi="Arial"/>
        </w:rPr>
        <w:t>Solução em nuvem (AWS Calculator)</w:t>
      </w:r>
      <w:r>
        <w:rPr>
          <w:rFonts w:cs="Arial" w:ascii="Arial" w:hAnsi="Arial"/>
        </w:rPr>
        <w:t xml:space="preserve"> – estimativa anual de </w:t>
      </w:r>
      <w:r>
        <w:rPr>
          <w:rStyle w:val="Strong"/>
          <w:rFonts w:cs="Arial" w:ascii="Arial" w:hAnsi="Arial"/>
        </w:rPr>
        <w:t>R$ 239.306,17</w:t>
      </w:r>
      <w:r>
        <w:rPr>
          <w:rFonts w:cs="Arial" w:ascii="Arial" w:hAnsi="Arial"/>
        </w:rPr>
        <w:t>, considerando conversão direta do dólar em 17/09/2025.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– </w:t>
      </w:r>
      <w:r>
        <w:rPr>
          <w:rStyle w:val="Strong"/>
          <w:rFonts w:cs="Arial" w:ascii="Arial" w:hAnsi="Arial"/>
        </w:rPr>
        <w:t>Adesão à Ata de Registro de Preços da AMESP</w:t>
      </w:r>
      <w:r>
        <w:rPr>
          <w:rFonts w:cs="Arial" w:ascii="Arial" w:hAnsi="Arial"/>
        </w:rPr>
        <w:t xml:space="preserve"> – </w:t>
      </w:r>
      <w:r>
        <w:rPr>
          <w:rStyle w:val="Strong"/>
          <w:rFonts w:cs="Arial" w:ascii="Arial" w:hAnsi="Arial"/>
        </w:rPr>
        <w:t>R$ 122.942,14</w:t>
      </w:r>
      <w:r>
        <w:rPr>
          <w:rFonts w:cs="Arial" w:ascii="Arial" w:hAnsi="Arial"/>
        </w:rPr>
        <w:t>.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firstLine="567" w:left="0"/>
        <w:contextualSpacing w:val="false"/>
        <w:jc w:val="both"/>
        <w:rPr>
          <w:rFonts w:ascii="Arial" w:hAnsi="Arial" w:cs="Arial"/>
          <w:color w:val="auto"/>
          <w:kern w:val="0"/>
          <w:lang w:val="pt-BR" w:eastAsia="en-US" w:bidi="ar-SA"/>
        </w:rPr>
      </w:pPr>
      <w:r>
        <w:rPr>
          <w:rFonts w:cs="Arial" w:ascii="Arial" w:hAnsi="Arial"/>
          <w:color w:val="auto"/>
          <w:kern w:val="0"/>
          <w:lang w:val="pt-BR" w:eastAsia="en-US" w:bidi="ar-SA"/>
        </w:rPr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firstLine="567" w:left="0"/>
        <w:contextualSpacing w:val="false"/>
        <w:jc w:val="both"/>
        <w:rPr/>
      </w:pPr>
      <w:r>
        <w:rPr>
          <w:rFonts w:cs="Arial" w:ascii="Arial" w:hAnsi="Arial"/>
          <w:color w:val="auto"/>
          <w:kern w:val="0"/>
          <w:lang w:val="pt-BR" w:eastAsia="en-US" w:bidi="ar-SA"/>
        </w:rPr>
        <w:t xml:space="preserve">A média simples entre as quatro alternativas resulta em um valor de referência de </w:t>
      </w:r>
      <w:r>
        <w:rPr>
          <w:rStyle w:val="Strong"/>
          <w:rFonts w:cs="Arial" w:ascii="Arial" w:hAnsi="Arial"/>
          <w:color w:val="auto"/>
          <w:kern w:val="0"/>
          <w:lang w:val="pt-BR" w:eastAsia="en-US" w:bidi="ar-SA"/>
        </w:rPr>
        <w:t>R$ 166.512,08</w:t>
      </w:r>
      <w:r>
        <w:rPr>
          <w:rFonts w:cs="Arial" w:ascii="Arial" w:hAnsi="Arial"/>
          <w:color w:val="auto"/>
          <w:kern w:val="0"/>
          <w:lang w:val="pt-BR" w:eastAsia="en-US" w:bidi="ar-SA"/>
        </w:rPr>
        <w:t xml:space="preserve">. 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firstLine="567" w:left="0"/>
        <w:contextualSpacing w:val="false"/>
        <w:jc w:val="both"/>
        <w:rPr>
          <w:rFonts w:ascii="Arial" w:hAnsi="Arial" w:cs="Arial"/>
          <w:color w:val="auto"/>
          <w:kern w:val="0"/>
          <w:lang w:val="pt-BR" w:eastAsia="en-US" w:bidi="ar-SA"/>
        </w:rPr>
      </w:pPr>
      <w:r>
        <w:rPr>
          <w:rFonts w:cs="Arial" w:ascii="Arial" w:hAnsi="Arial"/>
          <w:color w:val="auto"/>
          <w:kern w:val="0"/>
          <w:lang w:val="pt-BR" w:eastAsia="en-US" w:bidi="ar-SA"/>
        </w:rPr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firstLine="567" w:left="0"/>
        <w:contextualSpacing w:val="false"/>
        <w:jc w:val="both"/>
        <w:rPr/>
      </w:pPr>
      <w:r>
        <w:rPr>
          <w:rFonts w:cs="Arial" w:ascii="Arial" w:hAnsi="Arial"/>
          <w:color w:val="auto"/>
          <w:kern w:val="0"/>
          <w:lang w:val="pt-BR" w:eastAsia="en-US" w:bidi="ar-SA"/>
        </w:rPr>
        <w:t xml:space="preserve">Dessa forma, o valor previsto na adesão à Ata de Registro de Preços de </w:t>
      </w:r>
      <w:r>
        <w:rPr>
          <w:rStyle w:val="Strong"/>
          <w:rFonts w:cs="Arial" w:ascii="Arial" w:hAnsi="Arial"/>
          <w:color w:val="auto"/>
          <w:kern w:val="0"/>
          <w:lang w:val="pt-BR" w:eastAsia="en-US" w:bidi="ar-SA"/>
        </w:rPr>
        <w:t>R$ 122.942,14 (cento e vinte e dois mil, novecentos e quarenta e dois reais e quatorze centavos)</w:t>
      </w:r>
      <w:r>
        <w:rPr>
          <w:rFonts w:cs="Arial" w:ascii="Arial" w:hAnsi="Arial"/>
          <w:color w:val="auto"/>
          <w:kern w:val="0"/>
          <w:lang w:val="pt-BR" w:eastAsia="en-US" w:bidi="ar-SA"/>
        </w:rPr>
        <w:t xml:space="preserve"> representa uma economia aproximada de </w:t>
      </w:r>
      <w:r>
        <w:rPr>
          <w:rStyle w:val="Strong"/>
          <w:rFonts w:cs="Arial" w:ascii="Arial" w:hAnsi="Arial"/>
          <w:color w:val="auto"/>
          <w:kern w:val="0"/>
          <w:lang w:val="pt-BR" w:eastAsia="en-US" w:bidi="ar-SA"/>
        </w:rPr>
        <w:t>26,2%</w:t>
      </w:r>
      <w:r>
        <w:rPr>
          <w:rFonts w:cs="Arial" w:ascii="Arial" w:hAnsi="Arial"/>
          <w:color w:val="auto"/>
          <w:kern w:val="0"/>
          <w:lang w:val="pt-BR" w:eastAsia="en-US" w:bidi="ar-SA"/>
        </w:rPr>
        <w:t xml:space="preserve"> em relação à média de mercado apurada, demonstrando objetivamente a vantajosidade econômica da contratação.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firstLine="567" w:left="0"/>
        <w:contextualSpacing w:val="false"/>
        <w:jc w:val="both"/>
        <w:rPr/>
      </w:pPr>
      <w:r>
        <w:rPr>
          <w:rFonts w:cs="Arial" w:ascii="Arial" w:hAnsi="Arial"/>
          <w:color w:val="auto"/>
          <w:kern w:val="0"/>
          <w:lang w:val="pt-BR" w:eastAsia="en-US" w:bidi="ar-SA"/>
        </w:rPr>
        <w:t xml:space="preserve">O valor global corresponde à aquisição de </w:t>
      </w:r>
      <w:r>
        <w:rPr>
          <w:rStyle w:val="Strong"/>
          <w:rFonts w:cs="Arial" w:ascii="Arial" w:hAnsi="Arial"/>
          <w:color w:val="auto"/>
          <w:kern w:val="0"/>
          <w:lang w:val="pt-BR" w:eastAsia="en-US" w:bidi="ar-SA"/>
        </w:rPr>
        <w:t>duas unidades de servidores de alto desempenho</w:t>
      </w:r>
      <w:r>
        <w:rPr>
          <w:rFonts w:cs="Arial" w:ascii="Arial" w:hAnsi="Arial"/>
          <w:color w:val="auto"/>
          <w:kern w:val="0"/>
          <w:lang w:val="pt-BR" w:eastAsia="en-US" w:bidi="ar-SA"/>
        </w:rPr>
        <w:t xml:space="preserve">, cada qual no valor de </w:t>
      </w:r>
      <w:r>
        <w:rPr>
          <w:rStyle w:val="Strong"/>
          <w:rFonts w:cs="Arial" w:ascii="Arial" w:hAnsi="Arial"/>
          <w:color w:val="auto"/>
          <w:kern w:val="0"/>
          <w:lang w:val="pt-BR" w:eastAsia="en-US" w:bidi="ar-SA"/>
        </w:rPr>
        <w:t>R$ 61.471,07 (sessenta e um mil, quatrocentos e setenta e um reais e sete centavos)</w:t>
      </w:r>
      <w:r>
        <w:rPr>
          <w:rFonts w:cs="Arial" w:ascii="Arial" w:hAnsi="Arial"/>
          <w:color w:val="auto"/>
          <w:kern w:val="0"/>
          <w:lang w:val="pt-BR" w:eastAsia="en-US" w:bidi="ar-SA"/>
        </w:rPr>
        <w:t>, conforme especificações constantes na Ata de Registro de Preços.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BodyTextIndented"/>
        <w:widowControl w:val="false"/>
        <w:numPr>
          <w:ilvl w:val="0"/>
          <w:numId w:val="2"/>
        </w:numPr>
        <w:tabs>
          <w:tab w:val="clear" w:pos="708"/>
          <w:tab w:val="left" w:pos="426" w:leader="none"/>
        </w:tabs>
        <w:ind w:hanging="0" w:left="0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  <w:t>JUSTIFICATIVAS PARA O PARCELAMENTO OU NÃO DA SOLUÇÃO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firstLine="567" w:left="0"/>
        <w:contextualSpacing w:val="false"/>
        <w:jc w:val="both"/>
        <w:rPr>
          <w:rFonts w:ascii="Arial" w:hAnsi="Arial" w:cs="Arial"/>
        </w:rPr>
      </w:pPr>
      <w:r>
        <w:rPr>
          <w:rFonts w:cs="Arial" w:ascii="Arial" w:hAnsi="Arial"/>
          <w:color w:val="auto"/>
          <w:kern w:val="0"/>
          <w:lang w:val="pt-BR" w:eastAsia="en-US" w:bidi="ar-SA"/>
        </w:rPr>
        <w:t>O princípio do parcelamento não será aplicado nesta contratação, pois trata-se de um único objeto composto por dois servidores de alto desempenho, cuja aquisição deve ocorrer de forma conjunta para garantir a padronização, a compatibilidade e a redundância do ambiente de hospedagem do sistema de saneamento.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firstLine="567" w:left="0"/>
        <w:contextualSpacing w:val="false"/>
        <w:jc w:val="both"/>
        <w:rPr>
          <w:rFonts w:ascii="Arial" w:hAnsi="Arial" w:cs="Arial"/>
        </w:rPr>
      </w:pPr>
      <w:r>
        <w:rPr>
          <w:rFonts w:cs="Arial" w:ascii="Arial" w:hAnsi="Arial"/>
          <w:color w:val="auto"/>
          <w:kern w:val="0"/>
          <w:lang w:val="pt-BR" w:eastAsia="en-US" w:bidi="ar-SA"/>
        </w:rPr>
        <w:t>Além disso, o parcelamento não se aplica a esta aquisição, uma vez que a modalidade adotada é a adesão a uma Ata de Registro de Preços, na condição de órgão não participante, conforme dispõe o artigo 86, §2º, da Lei Federal n.º 14.133/2021.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bidi w:val="0"/>
        <w:spacing w:lineRule="auto" w:line="240" w:before="0" w:after="0"/>
        <w:ind w:firstLine="567" w:left="0"/>
        <w:contextualSpacing w:val="false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left="0"/>
        <w:contextualSpacing w:val="false"/>
        <w:jc w:val="both"/>
        <w:rPr>
          <w:rFonts w:ascii="Arial" w:hAnsi="Arial" w:cs="Arial"/>
          <w:i/>
          <w:i/>
          <w:color w:val="00B050"/>
        </w:rPr>
      </w:pPr>
      <w:r>
        <w:rPr>
          <w:rFonts w:cs="Arial" w:ascii="Arial" w:hAnsi="Arial"/>
          <w:i/>
          <w:color w:val="00B050"/>
        </w:rPr>
      </w:r>
    </w:p>
    <w:p>
      <w:pPr>
        <w:pStyle w:val="ListParagraph"/>
        <w:widowControl w:val="false"/>
        <w:numPr>
          <w:ilvl w:val="1"/>
          <w:numId w:val="5"/>
        </w:numPr>
        <w:tabs>
          <w:tab w:val="clear" w:pos="708"/>
          <w:tab w:val="left" w:pos="709" w:leader="none"/>
        </w:tabs>
        <w:suppressAutoHyphens w:val="true"/>
        <w:jc w:val="both"/>
        <w:rPr>
          <w:rFonts w:ascii="Arial" w:hAnsi="Arial" w:cs="Arial"/>
        </w:rPr>
      </w:pPr>
      <w:r>
        <w:rPr>
          <w:rFonts w:cs="Arial" w:ascii="Arial" w:hAnsi="Arial"/>
        </w:rPr>
        <w:t>ADJUDICAÇÃO</w:t>
      </w:r>
    </w:p>
    <w:p>
      <w:pPr>
        <w:pStyle w:val="Normal"/>
        <w:widowControl w:val="false"/>
        <w:suppressAutoHyphens w:val="true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 adjudicação da aquisição será realizada pelo critério de "Menor Valor Global", conforme estabelecido no edital da ata de registro de preços à qual se pretende aderir. Este critério assegura que a contratação será feita pelo menor preço total disponível, garantindo a conformidade com os termos da ata.</w:t>
      </w:r>
    </w:p>
    <w:p>
      <w:pPr>
        <w:pStyle w:val="Normal"/>
        <w:widowControl w:val="false"/>
        <w:suppressAutoHyphens w:val="true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Indented"/>
        <w:widowControl w:val="false"/>
        <w:numPr>
          <w:ilvl w:val="0"/>
          <w:numId w:val="2"/>
        </w:numPr>
        <w:tabs>
          <w:tab w:val="clear" w:pos="708"/>
          <w:tab w:val="left" w:pos="426" w:leader="none"/>
        </w:tabs>
        <w:ind w:hanging="0" w:left="0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  <w:t>ALINHAMENTO COM O PLANEJAMENTO DA COMUSA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left="0"/>
        <w:contextualSpacing w:val="false"/>
        <w:jc w:val="both"/>
        <w:rPr>
          <w:rFonts w:ascii="Arial" w:hAnsi="Arial" w:cs="Arial"/>
          <w:i/>
          <w:i/>
          <w:color w:val="00B050"/>
        </w:rPr>
      </w:pPr>
      <w:r>
        <w:rPr>
          <w:rFonts w:cs="Arial" w:ascii="Arial" w:hAnsi="Arial"/>
          <w:i/>
          <w:color w:val="00B050"/>
        </w:rPr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firstLine="567" w:left="0"/>
        <w:contextualSpacing w:val="false"/>
        <w:jc w:val="both"/>
        <w:rPr>
          <w:rFonts w:ascii="Arial" w:hAnsi="Arial" w:cs="Arial"/>
          <w:i/>
          <w:i/>
          <w:color w:val="00B050"/>
        </w:rPr>
      </w:pPr>
      <w:r>
        <w:rPr>
          <w:rFonts w:cs="Arial" w:ascii="Arial" w:hAnsi="Arial"/>
        </w:rPr>
        <w:t>O objeto está previsto no Plano de Contratações Anual (PCA) do exercício d</w:t>
      </w:r>
      <w:r>
        <w:rPr>
          <w:rFonts w:eastAsia="Calibri" w:cs="Arial" w:ascii="Arial" w:hAnsi="Arial"/>
          <w:color w:val="auto"/>
          <w:kern w:val="0"/>
          <w:sz w:val="22"/>
          <w:szCs w:val="22"/>
          <w:lang w:val="pt-BR" w:eastAsia="en-US" w:bidi="ar-SA"/>
        </w:rPr>
        <w:t>e 2025,</w:t>
      </w:r>
      <w:r>
        <w:rPr>
          <w:rFonts w:cs="Arial" w:ascii="Arial" w:hAnsi="Arial"/>
        </w:rPr>
        <w:t xml:space="preserve"> conforme detalhamento a seguir:</w:t>
      </w:r>
    </w:p>
    <w:p>
      <w:pPr>
        <w:pStyle w:val="ListParagraph"/>
        <w:widowControl w:val="false"/>
        <w:numPr>
          <w:ilvl w:val="0"/>
          <w:numId w:val="4"/>
        </w:numPr>
        <w:tabs>
          <w:tab w:val="clear" w:pos="708"/>
          <w:tab w:val="left" w:pos="284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  <w:i/>
          <w:i/>
          <w:color w:val="00B050"/>
        </w:rPr>
      </w:pPr>
      <w:r>
        <w:rPr>
          <w:rFonts w:cs="Arial" w:ascii="Arial" w:hAnsi="Arial"/>
        </w:rPr>
        <w:t>Id do PCA no Portal Nacional de Compras Públicas (P</w:t>
      </w:r>
      <w:r>
        <w:rPr>
          <w:rFonts w:eastAsia="Calibri" w:cs="Arial" w:ascii="Arial" w:hAnsi="Arial"/>
          <w:color w:val="auto"/>
          <w:kern w:val="0"/>
          <w:sz w:val="22"/>
          <w:szCs w:val="22"/>
          <w:lang w:val="pt-BR" w:eastAsia="en-US" w:bidi="ar-SA"/>
        </w:rPr>
        <w:t>NCP): 09509569000151-0-000003/2025;</w:t>
      </w:r>
    </w:p>
    <w:p>
      <w:pPr>
        <w:pStyle w:val="ListParagraph"/>
        <w:widowControl w:val="false"/>
        <w:numPr>
          <w:ilvl w:val="0"/>
          <w:numId w:val="4"/>
        </w:numPr>
        <w:tabs>
          <w:tab w:val="clear" w:pos="708"/>
          <w:tab w:val="left" w:pos="284" w:leader="none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  <w:i/>
          <w:i/>
          <w:color w:val="00B050"/>
        </w:rPr>
      </w:pPr>
      <w:r>
        <w:rPr>
          <w:rFonts w:cs="Arial" w:ascii="Arial" w:hAnsi="Arial"/>
        </w:rPr>
        <w:t>Data de Publicação no PN</w:t>
      </w:r>
      <w:r>
        <w:rPr>
          <w:rFonts w:eastAsia="Calibri" w:cs="Arial" w:ascii="Arial" w:hAnsi="Arial"/>
          <w:color w:val="auto"/>
          <w:kern w:val="0"/>
          <w:sz w:val="22"/>
          <w:szCs w:val="22"/>
          <w:lang w:val="pt-BR" w:eastAsia="en-US" w:bidi="ar-SA"/>
        </w:rPr>
        <w:t>CP: 29/10/2024;</w:t>
      </w:r>
    </w:p>
    <w:p>
      <w:pPr>
        <w:pStyle w:val="ListParagraph"/>
        <w:widowControl w:val="false"/>
        <w:numPr>
          <w:ilvl w:val="0"/>
          <w:numId w:val="4"/>
        </w:numPr>
        <w:tabs>
          <w:tab w:val="clear" w:pos="708"/>
          <w:tab w:val="left" w:pos="284" w:leader="none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  <w:i/>
          <w:i/>
          <w:color w:val="00B050"/>
        </w:rPr>
      </w:pPr>
      <w:r>
        <w:rPr>
          <w:rFonts w:cs="Arial" w:ascii="Arial" w:hAnsi="Arial"/>
        </w:rPr>
        <w:t>Id do item no PCA:</w:t>
      </w:r>
      <w:r>
        <w:rPr>
          <w:rFonts w:eastAsia="Calibri" w:cs="Arial" w:ascii="Arial" w:hAnsi="Arial"/>
          <w:color w:val="auto"/>
          <w:kern w:val="0"/>
          <w:sz w:val="22"/>
          <w:szCs w:val="22"/>
          <w:lang w:val="pt-BR" w:eastAsia="en-US" w:bidi="ar-SA"/>
        </w:rPr>
        <w:t xml:space="preserve"> 1570.</w:t>
      </w:r>
    </w:p>
    <w:p>
      <w:pPr>
        <w:pStyle w:val="Normal"/>
        <w:widowControl w:val="false"/>
        <w:suppressAutoHyphens w:val="true"/>
        <w:jc w:val="center"/>
        <w:rPr>
          <w:rFonts w:ascii="Arial" w:hAnsi="Arial" w:cs="Arial"/>
          <w:b/>
          <w:color w:val="00B050"/>
          <w:sz w:val="22"/>
          <w:szCs w:val="22"/>
          <w:u w:val="single"/>
        </w:rPr>
      </w:pPr>
      <w:r>
        <w:rPr>
          <w:rFonts w:cs="Arial" w:ascii="Arial" w:hAnsi="Arial"/>
          <w:b/>
          <w:color w:val="00B050"/>
          <w:sz w:val="22"/>
          <w:szCs w:val="22"/>
          <w:u w:val="single"/>
        </w:rPr>
      </w:r>
    </w:p>
    <w:p>
      <w:pPr>
        <w:pStyle w:val="BodyTextIndented"/>
        <w:widowControl w:val="false"/>
        <w:numPr>
          <w:ilvl w:val="0"/>
          <w:numId w:val="2"/>
        </w:numPr>
        <w:tabs>
          <w:tab w:val="clear" w:pos="708"/>
          <w:tab w:val="left" w:pos="426" w:leader="none"/>
        </w:tabs>
        <w:ind w:hanging="0" w:left="0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  <w:t xml:space="preserve">RESULTADOS PRETENDIDOS </w:t>
      </w:r>
    </w:p>
    <w:p>
      <w:pPr>
        <w:pStyle w:val="Normal"/>
        <w:widowControl w:val="false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 aquisição dos servidores tem como objetivo principal garantir a plena operacionalidade, segurança e eficiência do Sistema Integrado de Gestão de Saneamento recentemente contratado pela COMUSA. Os equipamentos serão destinados à hospedagem do sistema em ambiente próprio, atendendo ao requisito de infraestrutura local previsto no edital de pregão eletrônico nº 08/2025, proporcionando maior controle e confiabilidade sobre os dados e processos da Autarquia.</w:t>
      </w:r>
    </w:p>
    <w:p>
      <w:pPr>
        <w:pStyle w:val="Normal"/>
        <w:widowControl w:val="false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Com servidores de alto desempenho, será possível assegurar maior estabilidade, disponibilidade e rapidez no processamento das informações, reduzindo o risco de indisponibilidades que possam comprometer a continuidade dos serviços. O segundo servidor, além de compor a redundância necessária, possibilitará a implantação de um ambiente de homologação, o que permitirá testes, atualizações e ajustes sem impacto no ambiente de produção, garantindo mais segurança e qualidade na gestão tecnológica.</w:t>
      </w:r>
    </w:p>
    <w:p>
      <w:pPr>
        <w:pStyle w:val="Normal"/>
        <w:widowControl w:val="false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 aquisição representa também uma decisão economicamente vantajosa em comparação às alternativas de contratação em nuvem ou locação, pois garante propriedade integral dos equipamentos, elimina custos recorrentes de assinatura e proporciona economia de longo prazo, assegurada ainda pela cobertura de 3 anos de garantia e suporte técnico do fabricante.</w:t>
      </w:r>
    </w:p>
    <w:p>
      <w:pPr>
        <w:pStyle w:val="Normal"/>
        <w:widowControl w:val="false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Outro resultado esperado é a eficiência no uso dos recursos humanos e materiais, pois a solução permitirá que a equipe de TI da COMUSA administre os equipamentos em alinhamento às suas práticas consolidadas, sem necessidade de dependência de terceiros.</w:t>
      </w:r>
    </w:p>
    <w:p>
      <w:pPr>
        <w:pStyle w:val="Normal"/>
        <w:widowControl w:val="false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Em termos de sustentabilidade, destaca-se que os servidores adquiridos possuem certificações de eficiência energética e permitem melhor aproveitamento da capacidade instalada, otimizando consumo e reduzindo impactos ambientais.</w:t>
      </w:r>
    </w:p>
    <w:p>
      <w:pPr>
        <w:pStyle w:val="Normal"/>
        <w:widowControl w:val="false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Por fim, mediante a adesão à Ata de Registro de Preços, busca-se assegurar a contratação mais vantajosa para a COMUSA, conciliando qualidade técnica, economicidade e a conformidade legal prevista na Lei Federal nº 14.133/2021.</w:t>
      </w:r>
    </w:p>
    <w:p>
      <w:pPr>
        <w:pStyle w:val="Normal"/>
        <w:widowControl w:val="false"/>
        <w:suppressAutoHyphens w:val="true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cs="Arial" w:ascii="Arial" w:hAnsi="Arial"/>
          <w:color w:val="FF0000"/>
          <w:sz w:val="22"/>
          <w:szCs w:val="22"/>
        </w:rPr>
      </w:r>
    </w:p>
    <w:p>
      <w:pPr>
        <w:pStyle w:val="BodyTextIndented"/>
        <w:widowControl w:val="false"/>
        <w:numPr>
          <w:ilvl w:val="0"/>
          <w:numId w:val="2"/>
        </w:numPr>
        <w:tabs>
          <w:tab w:val="clear" w:pos="708"/>
          <w:tab w:val="left" w:pos="426" w:leader="none"/>
        </w:tabs>
        <w:ind w:hanging="0" w:left="0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  <w:t>PROVIDÊNCIAS PRÉVIAS DA COMUSA AO CONTRATO</w:t>
      </w:r>
    </w:p>
    <w:p>
      <w:pPr>
        <w:pStyle w:val="BodyTextIndented"/>
        <w:widowControl w:val="false"/>
        <w:tabs>
          <w:tab w:val="clear" w:pos="708"/>
          <w:tab w:val="left" w:pos="426" w:leader="none"/>
        </w:tabs>
        <w:ind w:left="0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</w:r>
    </w:p>
    <w:p>
      <w:pPr>
        <w:pStyle w:val="ListParagraph"/>
        <w:widowControl w:val="false"/>
        <w:numPr>
          <w:ilvl w:val="1"/>
          <w:numId w:val="2"/>
        </w:numPr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Há necessidade de adequação do ambiente?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ab/>
      </w:r>
      <w:r>
        <w:rPr>
          <w:rFonts w:cs="Arial" w:ascii="Arial" w:hAnsi="Arial"/>
          <w:sz w:val="22"/>
          <w:szCs w:val="22"/>
        </w:rPr>
        <w:t>No presente caso, não se faz necessária a realização de adequações significativas no ambiente físico para a instalação dos servidores, tendo em vista que a COMUSA já dispõe de infraestrutura adequada para suportar os equipamentos. A sala de servidores conta com dois sistemas de ar-condicionado dedicados, garantindo o controle de temperatura e a climatização adequada; um nobreak de grande porte de 6 kVA com banco de baterias, assegurando autonomia em caso de quedas de energia; e chave de transferência eletrônica, que permite maior confiabilidade no fornecimento elétrico.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  <w:b/>
        </w:rPr>
      </w:pPr>
      <w:r>
        <w:rPr>
          <w:rFonts w:cs="Arial" w:ascii="Arial" w:hAnsi="Arial"/>
          <w:sz w:val="22"/>
          <w:szCs w:val="22"/>
        </w:rPr>
        <w:tab/>
        <w:t>Assim, a aquisição poderá ser incorporada imediatamente à estrutura tecnológica existente, bastando a instalação física e a configuração lógica dos equipamentos, sem necessidade de investimentos adicionais em infraestrutura predial ou elétrica.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left="0"/>
        <w:contextualSpacing w:val="false"/>
        <w:jc w:val="both"/>
        <w:rPr>
          <w:rFonts w:ascii="Arial" w:hAnsi="Arial" w:cs="Arial"/>
          <w:i/>
          <w:i/>
          <w:color w:val="00B050"/>
        </w:rPr>
      </w:pPr>
      <w:r>
        <w:rPr>
          <w:rFonts w:cs="Arial" w:ascii="Arial" w:hAnsi="Arial"/>
          <w:i/>
          <w:color w:val="00B050"/>
        </w:rPr>
      </w:r>
    </w:p>
    <w:p>
      <w:pPr>
        <w:pStyle w:val="ListParagraph"/>
        <w:widowControl w:val="false"/>
        <w:numPr>
          <w:ilvl w:val="1"/>
          <w:numId w:val="2"/>
        </w:numPr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hanging="0" w:left="0"/>
        <w:contextualSpacing w:val="false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Há necessidade de contratações/aquisições correlatas e/ou interdependentes?</w:t>
      </w:r>
    </w:p>
    <w:p>
      <w:pPr>
        <w:pStyle w:val="Normal"/>
        <w:widowControl w:val="false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Este estudo não identificou a necessidade de realizar contratações acessórias para a perfeita execução do objeto, uma vez que todos os meios necessários para aquisição podem ser supridos apenas com a contratação ora proposta.</w:t>
      </w:r>
    </w:p>
    <w:p>
      <w:pPr>
        <w:pStyle w:val="Normal"/>
        <w:widowControl w:val="false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Os bens que se pretende, portanto, são autônomos e dispensam de contratações correlatas ou interdependentes.</w:t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left="0"/>
        <w:contextualSpacing w:val="false"/>
        <w:jc w:val="both"/>
        <w:rPr>
          <w:rFonts w:ascii="Arial" w:hAnsi="Arial" w:cs="Arial"/>
          <w:i/>
          <w:i/>
          <w:color w:val="00B050"/>
        </w:rPr>
      </w:pPr>
      <w:r>
        <w:rPr>
          <w:rFonts w:cs="Arial" w:ascii="Arial" w:hAnsi="Arial"/>
          <w:i/>
          <w:color w:val="00B050"/>
        </w:rPr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left="0"/>
        <w:contextualSpacing w:val="false"/>
        <w:jc w:val="both"/>
        <w:rPr>
          <w:rFonts w:ascii="Arial" w:hAnsi="Arial" w:cs="Arial"/>
          <w:i/>
          <w:i/>
          <w:color w:val="00B050"/>
        </w:rPr>
      </w:pPr>
      <w:r>
        <w:rPr>
          <w:rFonts w:cs="Arial" w:ascii="Arial" w:hAnsi="Arial"/>
          <w:i/>
          <w:color w:val="00B050"/>
        </w:rPr>
      </w:r>
    </w:p>
    <w:p>
      <w:pPr>
        <w:pStyle w:val="BodyTextIndented"/>
        <w:widowControl w:val="false"/>
        <w:numPr>
          <w:ilvl w:val="0"/>
          <w:numId w:val="2"/>
        </w:numPr>
        <w:tabs>
          <w:tab w:val="clear" w:pos="708"/>
          <w:tab w:val="left" w:pos="426" w:leader="none"/>
        </w:tabs>
        <w:ind w:hanging="0" w:left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b/>
          <w:sz w:val="22"/>
          <w:szCs w:val="22"/>
          <w:lang w:val="pt-BR"/>
        </w:rPr>
        <w:t>ANÁLISE DE RISCOS</w:t>
      </w:r>
    </w:p>
    <w:tbl>
      <w:tblPr>
        <w:tblStyle w:val="Tabelacomgrade"/>
        <w:tblW w:w="9062" w:type="dxa"/>
        <w:jc w:val="lef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  <w:tblLook w:firstRow="1" w:noVBand="1" w:lastRow="0" w:firstColumn="1" w:lastColumn="0" w:noHBand="0" w:val="04a0"/>
      </w:tblPr>
      <w:tblGrid>
        <w:gridCol w:w="1185"/>
        <w:gridCol w:w="1288"/>
        <w:gridCol w:w="1637"/>
        <w:gridCol w:w="1425"/>
        <w:gridCol w:w="900"/>
        <w:gridCol w:w="1081"/>
        <w:gridCol w:w="1545"/>
      </w:tblGrid>
      <w:tr>
        <w:trPr>
          <w:tblHeader w:val="true"/>
        </w:trPr>
        <w:tc>
          <w:tcPr>
            <w:tcW w:w="9061" w:type="dxa"/>
            <w:gridSpan w:val="7"/>
            <w:tcBorders/>
            <w:shd w:color="auto" w:fill="BFBFBF" w:themeFill="background1" w:themeFillShade="bf" w:val="clear"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567" w:leader="none"/>
              </w:tabs>
              <w:suppressAutoHyphens w:val="true"/>
              <w:spacing w:lineRule="auto" w:line="240" w:before="0" w:after="0"/>
              <w:ind w:left="0"/>
              <w:contextualSpacing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bidi="ar-SA"/>
              </w:rPr>
              <w:t>IDENTIFICAÇÃO E TRATAMENTO DOS PRINCIPAIS RISCOS ASSOCIADOS AO OBJETO</w:t>
            </w:r>
          </w:p>
        </w:tc>
      </w:tr>
      <w:tr>
        <w:trPr>
          <w:tblHeader w:val="true"/>
        </w:trPr>
        <w:tc>
          <w:tcPr>
            <w:tcW w:w="1185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567" w:leader="none"/>
              </w:tabs>
              <w:suppressAutoHyphens w:val="true"/>
              <w:spacing w:lineRule="auto" w:line="240" w:before="0" w:after="0"/>
              <w:ind w:left="0"/>
              <w:contextualSpacing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bidi="ar-SA"/>
              </w:rPr>
              <w:t>Se (causa)</w:t>
            </w:r>
          </w:p>
        </w:tc>
        <w:tc>
          <w:tcPr>
            <w:tcW w:w="1288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567" w:leader="none"/>
              </w:tabs>
              <w:suppressAutoHyphens w:val="true"/>
              <w:spacing w:lineRule="auto" w:line="240" w:before="0" w:after="0"/>
              <w:ind w:left="0"/>
              <w:contextualSpacing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bidi="ar-SA"/>
              </w:rPr>
              <w:t>Riscos identificados</w:t>
            </w:r>
          </w:p>
        </w:tc>
        <w:tc>
          <w:tcPr>
            <w:tcW w:w="1637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567" w:leader="none"/>
              </w:tabs>
              <w:suppressAutoHyphens w:val="true"/>
              <w:spacing w:lineRule="auto" w:line="240" w:before="0" w:after="0"/>
              <w:ind w:left="0"/>
              <w:contextualSpacing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bidi="ar-SA"/>
              </w:rPr>
              <w:t>Então (consequência)</w:t>
            </w:r>
          </w:p>
        </w:tc>
        <w:tc>
          <w:tcPr>
            <w:tcW w:w="1425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567" w:leader="none"/>
              </w:tabs>
              <w:suppressAutoHyphens w:val="true"/>
              <w:spacing w:lineRule="auto" w:line="240" w:before="0" w:after="0"/>
              <w:ind w:left="0"/>
              <w:contextualSpacing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bidi="ar-SA"/>
              </w:rPr>
              <w:t>Probabilidade</w:t>
            </w:r>
          </w:p>
        </w:tc>
        <w:tc>
          <w:tcPr>
            <w:tcW w:w="900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567" w:leader="none"/>
              </w:tabs>
              <w:suppressAutoHyphens w:val="true"/>
              <w:spacing w:lineRule="auto" w:line="240" w:before="0" w:after="0"/>
              <w:ind w:left="0"/>
              <w:contextualSpacing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bidi="ar-SA"/>
              </w:rPr>
              <w:t>Impacto</w:t>
            </w:r>
          </w:p>
        </w:tc>
        <w:tc>
          <w:tcPr>
            <w:tcW w:w="1081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567" w:leader="none"/>
              </w:tabs>
              <w:suppressAutoHyphens w:val="true"/>
              <w:spacing w:lineRule="auto" w:line="240" w:before="0" w:after="0"/>
              <w:ind w:left="0"/>
              <w:contextualSpacing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bidi="ar-SA"/>
              </w:rPr>
              <w:t>Medida do risco</w:t>
            </w:r>
          </w:p>
        </w:tc>
        <w:tc>
          <w:tcPr>
            <w:tcW w:w="1545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567" w:leader="none"/>
              </w:tabs>
              <w:suppressAutoHyphens w:val="true"/>
              <w:spacing w:lineRule="auto" w:line="240" w:before="0" w:after="0"/>
              <w:ind w:left="0"/>
              <w:contextualSpacing w:val="fals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bidi="ar-SA"/>
              </w:rPr>
              <w:t>Controle do risco</w:t>
            </w:r>
          </w:p>
        </w:tc>
      </w:tr>
      <w:tr>
        <w:trPr/>
        <w:tc>
          <w:tcPr>
            <w:tcW w:w="1185" w:type="dxa"/>
            <w:tcBorders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567" w:leader="none"/>
              </w:tabs>
              <w:suppressAutoHyphens w:val="true"/>
              <w:spacing w:lineRule="auto" w:line="240" w:before="0" w:after="0"/>
              <w:ind w:left="0"/>
              <w:contextualSpacing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Frustração do processo de adesão</w:t>
            </w:r>
          </w:p>
        </w:tc>
        <w:tc>
          <w:tcPr>
            <w:tcW w:w="1288" w:type="dxa"/>
            <w:tcBorders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567" w:leader="none"/>
              </w:tabs>
              <w:suppressAutoHyphens w:val="true"/>
              <w:spacing w:lineRule="auto" w:line="240" w:before="0" w:after="0"/>
              <w:ind w:left="0"/>
              <w:contextualSpacing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Atraso no cronograma de implantação do sistema.</w:t>
            </w:r>
          </w:p>
        </w:tc>
        <w:tc>
          <w:tcPr>
            <w:tcW w:w="1637" w:type="dxa"/>
            <w:tcBorders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567" w:leader="none"/>
              </w:tabs>
              <w:suppressAutoHyphens w:val="true"/>
              <w:spacing w:lineRule="auto" w:line="240" w:before="0" w:after="0"/>
              <w:ind w:left="0"/>
              <w:contextualSpacing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Necessidade da busca de outra ata vigente que se enquadre as necessidades técnicas da COMUSA</w:t>
            </w:r>
          </w:p>
        </w:tc>
        <w:tc>
          <w:tcPr>
            <w:tcW w:w="1425" w:type="dxa"/>
            <w:tcBorders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567" w:leader="none"/>
              </w:tabs>
              <w:suppressAutoHyphens w:val="true"/>
              <w:spacing w:lineRule="auto" w:line="240" w:before="0" w:after="0"/>
              <w:ind w:left="0"/>
              <w:contextualSpacing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Baixa</w:t>
            </w:r>
          </w:p>
        </w:tc>
        <w:tc>
          <w:tcPr>
            <w:tcW w:w="900" w:type="dxa"/>
            <w:tcBorders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567" w:leader="none"/>
              </w:tabs>
              <w:suppressAutoHyphens w:val="true"/>
              <w:spacing w:lineRule="auto" w:line="240" w:before="0" w:after="0"/>
              <w:ind w:left="0"/>
              <w:contextualSpacing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Alto</w:t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567" w:leader="none"/>
              </w:tabs>
              <w:suppressAutoHyphens w:val="true"/>
              <w:spacing w:lineRule="auto" w:line="240" w:before="0" w:after="0"/>
              <w:ind w:left="0"/>
              <w:contextualSpacing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Médio risco</w:t>
            </w:r>
          </w:p>
        </w:tc>
        <w:tc>
          <w:tcPr>
            <w:tcW w:w="1545" w:type="dxa"/>
            <w:tcBorders/>
            <w:vAlign w:val="center"/>
          </w:tcPr>
          <w:p>
            <w:pPr>
              <w:pStyle w:val="ListParagraph"/>
              <w:widowControl w:val="false"/>
              <w:tabs>
                <w:tab w:val="clear" w:pos="708"/>
                <w:tab w:val="left" w:pos="567" w:leader="none"/>
              </w:tabs>
              <w:suppressAutoHyphens w:val="true"/>
              <w:spacing w:lineRule="auto" w:line="240" w:before="0" w:after="0"/>
              <w:ind w:left="0"/>
              <w:contextualSpacing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Reprogramação do cronograma de implantação do sistema.</w:t>
            </w:r>
          </w:p>
        </w:tc>
      </w:tr>
    </w:tbl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left="0"/>
        <w:contextualSpacing w:val="false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ListParagraph"/>
        <w:widowControl w:val="false"/>
        <w:tabs>
          <w:tab w:val="clear" w:pos="708"/>
          <w:tab w:val="left" w:pos="567" w:leader="none"/>
        </w:tabs>
        <w:suppressAutoHyphens w:val="true"/>
        <w:spacing w:lineRule="auto" w:line="240" w:before="0" w:after="0"/>
        <w:ind w:left="0"/>
        <w:contextualSpacing w:val="false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LEGENDA:</w:t>
      </w:r>
    </w:p>
    <w:tbl>
      <w:tblPr>
        <w:tblStyle w:val="Tabelacomgrade"/>
        <w:tblW w:w="9062" w:type="dxa"/>
        <w:jc w:val="lef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  <w:tblLook w:firstRow="1" w:noVBand="1" w:lastRow="0" w:firstColumn="1" w:lastColumn="0" w:noHBand="0" w:val="04a0"/>
      </w:tblPr>
      <w:tblGrid>
        <w:gridCol w:w="1696"/>
        <w:gridCol w:w="7365"/>
      </w:tblGrid>
      <w:tr>
        <w:trPr>
          <w:tblHeader w:val="true"/>
        </w:trPr>
        <w:tc>
          <w:tcPr>
            <w:tcW w:w="1696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bidi="ar-SA"/>
              </w:rPr>
              <w:t>ITEM</w:t>
            </w:r>
          </w:p>
        </w:tc>
        <w:tc>
          <w:tcPr>
            <w:tcW w:w="7365" w:type="dxa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kern w:val="0"/>
                <w:sz w:val="20"/>
                <w:szCs w:val="20"/>
                <w:lang w:bidi="ar-SA"/>
              </w:rPr>
              <w:t>DESCRIÇÃO</w:t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bidi="ar-SA"/>
              </w:rPr>
              <w:t>Probabilidade</w:t>
            </w:r>
          </w:p>
        </w:tc>
        <w:tc>
          <w:tcPr>
            <w:tcW w:w="736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bidi="ar-SA"/>
              </w:rPr>
              <w:t>Probabilidade do evento de risco ocorrer. Preencher com: 1 (Baixa); 2 (Média); 3 (Alta); (4) Muito Alta.</w:t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bidi="ar-SA"/>
              </w:rPr>
              <w:t>Impacto</w:t>
            </w:r>
          </w:p>
        </w:tc>
        <w:tc>
          <w:tcPr>
            <w:tcW w:w="736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bidi="ar-SA"/>
              </w:rPr>
              <w:t>Impacto causado no resultado pretendido, caso o evento de risco ocorra (se materialize). Preencher com: 1 (Baixo); 2 (Médio); 3 (Alto); (4) Muito Alto.</w:t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bidi="ar-SA"/>
              </w:rPr>
              <w:t>Medida do risco</w:t>
            </w:r>
          </w:p>
        </w:tc>
        <w:tc>
          <w:tcPr>
            <w:tcW w:w="736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bidi="ar-SA"/>
              </w:rPr>
              <w:t>Resultado da multiplicação entre o impacto e a probabilidade de ocorrência do risco.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bidi="ar-SA"/>
              </w:rPr>
              <w:t>Preencher com: resultado de 1 a 3 – baixo risco; resultado de 4 a 5 – médio risco; resultado de 6 a 9 – alto risco; resultado de 10 a 16 – muito alto risco.</w:t>
            </w:r>
          </w:p>
        </w:tc>
      </w:tr>
      <w:tr>
        <w:trPr/>
        <w:tc>
          <w:tcPr>
            <w:tcW w:w="169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bidi="ar-SA"/>
              </w:rPr>
              <w:t>Controle do risco</w:t>
            </w:r>
          </w:p>
        </w:tc>
        <w:tc>
          <w:tcPr>
            <w:tcW w:w="736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bidi="ar-SA"/>
              </w:rPr>
              <w:t>Descrever o tratamento (a ação) usado(a) para mitigar/eliminar/evitar o risco identificado.</w:t>
            </w:r>
          </w:p>
        </w:tc>
      </w:tr>
    </w:tbl>
    <w:p>
      <w:pPr>
        <w:pStyle w:val="Normal"/>
        <w:widowControl w:val="false"/>
        <w:suppressAutoHyphens w:val="true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Indented"/>
        <w:widowControl w:val="false"/>
        <w:numPr>
          <w:ilvl w:val="0"/>
          <w:numId w:val="2"/>
        </w:numPr>
        <w:tabs>
          <w:tab w:val="clear" w:pos="708"/>
          <w:tab w:val="left" w:pos="426" w:leader="none"/>
        </w:tabs>
        <w:ind w:hanging="0" w:left="0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  <w:t>POSSÍVEIS IMPACTOS AMBIENTAIS</w:t>
      </w:r>
    </w:p>
    <w:p>
      <w:pPr>
        <w:pStyle w:val="Normal"/>
        <w:widowControl w:val="false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Não se vislumbram impactos ambientais significativos decorrentes desta contratação, uma vez que a COMUSA já adota práticas sustentáveis para a gestão de seus ativos tecnológicos. A aquisição dos servidores considera sua durabilidade e robustez, com suporte de fabricante por três anos e possibilidade de manutenção preventiva e corretiva, o que prolongará sua vida útil e reduzirá a necessidade de substituições frequentes.</w:t>
      </w:r>
    </w:p>
    <w:p>
      <w:pPr>
        <w:pStyle w:val="Normal"/>
        <w:widowControl w:val="false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Adicionalmente, os equipamentos poderão receber upgrades de memória e armazenamento ao longo do tempo, o que permitirá ampliar sua capacidade sem a necessidade de novos investimentos em hardware, evitando a geração de resíduos eletrônicos desnecessários.</w:t>
      </w:r>
    </w:p>
    <w:p>
      <w:pPr>
        <w:pStyle w:val="Normal"/>
        <w:widowControl w:val="false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Ao final do ciclo de vida útil, está prevista a destinação ambientalmente adequada dos equipamentos. Caso não sejam mais necessários às operações da Autarquia, os servidores poderão ser doados a instituições que possam reaproveitá-los, contribuindo para a inclusão digital e o uso racional dos recursos públicos.</w:t>
      </w:r>
    </w:p>
    <w:p>
      <w:pPr>
        <w:pStyle w:val="Normal"/>
        <w:widowControl w:val="false"/>
        <w:ind w:firstLine="567"/>
        <w:jc w:val="both"/>
        <w:rPr/>
      </w:pPr>
      <w:r>
        <w:rPr>
          <w:rFonts w:cs="Arial" w:ascii="Arial" w:hAnsi="Arial"/>
          <w:sz w:val="22"/>
          <w:szCs w:val="22"/>
        </w:rPr>
        <w:t xml:space="preserve">Quando o reaproveitamento não for possível, os equipamentos poderão ser alienados por meio de leilão público </w:t>
      </w:r>
      <w:r>
        <w:rPr>
          <w:rStyle w:val="Strong"/>
          <w:rFonts w:cs="Arial" w:ascii="Arial" w:hAnsi="Arial"/>
          <w:sz w:val="22"/>
          <w:szCs w:val="22"/>
        </w:rPr>
        <w:t>na forma de sucata</w:t>
      </w:r>
      <w:r>
        <w:rPr>
          <w:rFonts w:cs="Arial" w:ascii="Arial" w:hAnsi="Arial"/>
          <w:sz w:val="22"/>
          <w:szCs w:val="22"/>
        </w:rPr>
        <w:t xml:space="preserve">, ou encaminhados a empresas </w:t>
      </w:r>
      <w:r>
        <w:rPr>
          <w:rStyle w:val="Strong"/>
          <w:rFonts w:cs="Arial" w:ascii="Arial" w:hAnsi="Arial"/>
          <w:sz w:val="22"/>
          <w:szCs w:val="22"/>
        </w:rPr>
        <w:t>devidamente credenciadas para o tratamento e reciclagem de resíduos eletrônicos</w:t>
      </w:r>
      <w:r>
        <w:rPr>
          <w:rFonts w:cs="Arial" w:ascii="Arial" w:hAnsi="Arial"/>
          <w:sz w:val="22"/>
          <w:szCs w:val="22"/>
        </w:rPr>
        <w:t>, garantindo o cumprimento das normas ambientais vigentes e a destinação final adequada dos materiais.</w:t>
      </w:r>
    </w:p>
    <w:p>
      <w:pPr>
        <w:pStyle w:val="Normal"/>
        <w:widowControl w:val="false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Essas medidas asseguram que a contratação seja realizada de forma ambientalmente responsável, minimizando impactos e promovendo a sustentabilidade em todas as fases do ciclo de vida dos equipamentos.</w:t>
      </w:r>
    </w:p>
    <w:p>
      <w:pPr>
        <w:pStyle w:val="Normal"/>
        <w:widowControl w:val="false"/>
        <w:suppressAutoHyphens w:val="true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Indented"/>
        <w:widowControl w:val="false"/>
        <w:numPr>
          <w:ilvl w:val="0"/>
          <w:numId w:val="2"/>
        </w:numPr>
        <w:tabs>
          <w:tab w:val="clear" w:pos="708"/>
          <w:tab w:val="left" w:pos="426" w:leader="none"/>
        </w:tabs>
        <w:ind w:hanging="0" w:left="0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cs="Arial" w:ascii="Arial" w:hAnsi="Arial"/>
          <w:b/>
          <w:sz w:val="22"/>
          <w:szCs w:val="22"/>
          <w:lang w:val="pt-BR"/>
        </w:rPr>
        <w:t>DECLARAÇÃO DE VIABILIDADE (OU NÃO) DA CONTRATAÇÃO/AQUISIÇÃO</w:t>
      </w:r>
    </w:p>
    <w:p>
      <w:pPr>
        <w:pStyle w:val="Normal"/>
        <w:widowControl w:val="false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Declaro VIÁVEL a aquisição dos dois servidores de alto desempenho com base neste Estudo Técnico Preliminar, pois a compra atende plenamente às necessidades operacionais da COMUSA, oferecendo uma solução econômica, segura e eficiente para a hospedagem e operação do Sistema Integrado de Gestão de Saneamento.</w:t>
      </w:r>
    </w:p>
    <w:p>
      <w:pPr>
        <w:pStyle w:val="Normal"/>
        <w:widowControl w:val="false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 análise comparativa com outras alternativas, como a contratação de infraestrutura em nuvem ou a realização de pregão eletrônico próprio, demonstrou que a adesão à Ata de Registro de Preços proporciona a melhor relação custo-benefício, reduzindo custos administrativos e garantindo valores competitivos previamente homologados.</w:t>
      </w:r>
    </w:p>
    <w:p>
      <w:pPr>
        <w:pStyle w:val="Normal"/>
        <w:widowControl w:val="false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Além disso, a aquisição assegura a redundância necessária para continuidade do serviço, possibilitando a utilização do segundo servidor como ambiente de homologação e failover, garantindo maior confiabilidade operacional. A solução também favorece a proteção e privacidade dos dados institucionais, e a COMUSA seguirá práticas sustentáveis na manutenção, upgrade e destinação final dos equipamentos, minimizando impactos ambientais e reforçando a responsabilidade social e ambiental da instituição.</w:t>
      </w:r>
    </w:p>
    <w:p>
      <w:pPr>
        <w:pStyle w:val="Normal"/>
        <w:widowControl w:val="false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widowControl w:val="false"/>
        <w:ind w:hanging="0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Novo Hamburgo/RS, 1</w:t>
      </w:r>
      <w:r>
        <w:rPr>
          <w:rFonts w:cs="Arial" w:ascii="Arial" w:hAnsi="Arial"/>
          <w:sz w:val="22"/>
          <w:szCs w:val="22"/>
        </w:rPr>
        <w:t>3</w:t>
      </w:r>
      <w:r>
        <w:rPr>
          <w:rFonts w:cs="Arial" w:ascii="Arial" w:hAnsi="Arial"/>
          <w:sz w:val="22"/>
          <w:szCs w:val="22"/>
        </w:rPr>
        <w:t xml:space="preserve"> de </w:t>
      </w:r>
      <w:r>
        <w:rPr>
          <w:rFonts w:cs="Arial" w:ascii="Arial" w:hAnsi="Arial"/>
          <w:sz w:val="22"/>
          <w:szCs w:val="22"/>
        </w:rPr>
        <w:t>outubro</w:t>
      </w:r>
      <w:r>
        <w:rPr>
          <w:rFonts w:cs="Arial" w:ascii="Arial" w:hAnsi="Arial"/>
          <w:sz w:val="22"/>
          <w:szCs w:val="22"/>
        </w:rPr>
        <w:t xml:space="preserve"> de 2025.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suppressAutoHyphens w:val="true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widowControl w:val="false"/>
        <w:ind w:firstLine="567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Gabriel Roubaldo dos Santos, Supervisor de Suporte, matrícula n.º 202.</w:t>
      </w:r>
    </w:p>
    <w:p>
      <w:pPr>
        <w:pStyle w:val="Normal"/>
        <w:widowControl w:val="false"/>
        <w:ind w:firstLine="567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Responsável pela elaboração deste Estudo Técnico Preliminar</w:t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701" w:right="1134" w:gutter="0" w:header="425" w:top="1701" w:footer="726" w:bottom="1134"/>
      <w:pgNumType w:fmt="decimal"/>
      <w:formProt w:val="false"/>
      <w:textDirection w:val="lrTb"/>
      <w:docGrid w:type="default" w:linePitch="354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Unicode MS">
    <w:charset w:val="00"/>
    <w:family w:val="roman"/>
    <w:pitch w:val="variable"/>
  </w:font>
  <w:font w:name="Calibri Light"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Century Gothic">
    <w:charset w:val="00"/>
    <w:family w:val="roman"/>
    <w:pitch w:val="variable"/>
  </w:font>
  <w:font w:name="Tahoma">
    <w:charset w:val="00"/>
    <w:family w:val="roman"/>
    <w:pitch w:val="variable"/>
  </w:font>
  <w:font w:name="Courier New">
    <w:charset w:val="00"/>
    <w:family w:val="roman"/>
    <w:pitch w:val="variable"/>
  </w:font>
  <w:font w:name="Arial Negrito">
    <w:charset w:val="00"/>
    <w:family w:val="roman"/>
    <w:pitch w:val="variable"/>
  </w:font>
  <w:font w:name="Ecofont_Spranq_eco_Sans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 Narrow">
    <w:charset w:val="00"/>
    <w:family w:val="roman"/>
    <w:pitch w:val="variable"/>
  </w:font>
  <w:font w:name="aptos">
    <w:altName w:val="aptos embeddedfont"/>
    <w:charset w:val="00"/>
    <w:family w:val="roman"/>
    <w:pitch w:val="variable"/>
  </w:font>
  <w:font w:name="Open Sans">
    <w:altName w:val="sans-serif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>
        <w:rFonts w:ascii="Arial" w:hAnsi="Arial" w:cs="Arial"/>
        <w:sz w:val="18"/>
        <w:szCs w:val="18"/>
      </w:rPr>
    </w:pPr>
    <w:r>
      <w:rPr>
        <w:rFonts w:cs="Arial" w:ascii="Arial" w:hAnsi="Arial"/>
        <w:sz w:val="18"/>
        <w:szCs w:val="18"/>
      </w:rPr>
      <w:fldChar w:fldCharType="begin"/>
    </w:r>
    <w:r>
      <w:rPr>
        <w:sz w:val="18"/>
        <w:szCs w:val="18"/>
        <w:rFonts w:cs="Arial" w:ascii="Arial" w:hAnsi="Arial"/>
      </w:rPr>
      <w:instrText xml:space="preserve"> PAGE </w:instrText>
    </w:r>
    <w:r>
      <w:rPr>
        <w:sz w:val="18"/>
        <w:szCs w:val="18"/>
        <w:rFonts w:cs="Arial" w:ascii="Arial" w:hAnsi="Arial"/>
      </w:rPr>
      <w:fldChar w:fldCharType="separate"/>
    </w:r>
    <w:r>
      <w:rPr>
        <w:sz w:val="18"/>
        <w:szCs w:val="18"/>
        <w:rFonts w:cs="Arial" w:ascii="Arial" w:hAnsi="Arial"/>
      </w:rPr>
      <w:t>11</w:t>
    </w:r>
    <w:r>
      <w:rPr>
        <w:sz w:val="18"/>
        <w:szCs w:val="18"/>
        <w:rFonts w:cs="Arial" w:ascii="Arial" w:hAnsi="Arial"/>
      </w:rPr>
      <w:fldChar w:fldCharType="end"/>
    </w:r>
  </w:p>
  <w:p>
    <w:pPr>
      <w:pStyle w:val="Footer"/>
      <w:jc w:val="center"/>
      <w:rPr>
        <w:rFonts w:ascii="Arial" w:hAnsi="Arial" w:cs="Arial"/>
        <w:color w:val="3366FF"/>
        <w:sz w:val="14"/>
        <w:szCs w:val="14"/>
      </w:rPr>
    </w:pPr>
    <w:r>
      <w:rPr>
        <w:rFonts w:cs="Arial" w:ascii="Arial" w:hAnsi="Arial"/>
        <w:color w:val="3366FF"/>
        <w:sz w:val="14"/>
        <w:szCs w:val="14"/>
      </w:rPr>
      <w:t>COMUSA - SERVIÇOS DE ÁGUA E ESGOTO DE NOVO HAMBURGO</w:t>
    </w:r>
  </w:p>
  <w:p>
    <w:pPr>
      <w:pStyle w:val="Footer"/>
      <w:jc w:val="right"/>
      <w:rPr>
        <w:rFonts w:ascii="Arial" w:hAnsi="Arial" w:cs="Arial"/>
        <w:sz w:val="18"/>
        <w:szCs w:val="18"/>
        <w:lang w:val="pt-BR"/>
      </w:rPr>
    </w:pPr>
    <w:r>
      <w:rPr>
        <w:rFonts w:cs="Arial" w:ascii="Arial" w:hAnsi="Arial"/>
        <w:color w:val="3366FF"/>
        <w:sz w:val="14"/>
        <w:szCs w:val="14"/>
      </w:rPr>
      <w:t>Av. Coronel Travassos, n.º 287, Bairro Rondônia, CEP: 93415-000, Novo Hamburgo/RS – Telefone: (51) 3036-1121 - www.comusa.rs.gov.br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>
        <w:rFonts w:ascii="Arial" w:hAnsi="Arial" w:cs="Arial"/>
        <w:sz w:val="18"/>
        <w:szCs w:val="18"/>
      </w:rPr>
    </w:pPr>
    <w:r>
      <w:rPr>
        <w:rFonts w:cs="Arial" w:ascii="Arial" w:hAnsi="Arial"/>
        <w:sz w:val="18"/>
        <w:szCs w:val="18"/>
      </w:rPr>
      <w:fldChar w:fldCharType="begin"/>
    </w:r>
    <w:r>
      <w:rPr>
        <w:sz w:val="18"/>
        <w:szCs w:val="18"/>
        <w:rFonts w:cs="Arial" w:ascii="Arial" w:hAnsi="Arial"/>
      </w:rPr>
      <w:instrText xml:space="preserve"> PAGE </w:instrText>
    </w:r>
    <w:r>
      <w:rPr>
        <w:sz w:val="18"/>
        <w:szCs w:val="18"/>
        <w:rFonts w:cs="Arial" w:ascii="Arial" w:hAnsi="Arial"/>
      </w:rPr>
      <w:fldChar w:fldCharType="separate"/>
    </w:r>
    <w:r>
      <w:rPr>
        <w:sz w:val="18"/>
        <w:szCs w:val="18"/>
        <w:rFonts w:cs="Arial" w:ascii="Arial" w:hAnsi="Arial"/>
      </w:rPr>
      <w:t>11</w:t>
    </w:r>
    <w:r>
      <w:rPr>
        <w:sz w:val="18"/>
        <w:szCs w:val="18"/>
        <w:rFonts w:cs="Arial" w:ascii="Arial" w:hAnsi="Arial"/>
      </w:rPr>
      <w:fldChar w:fldCharType="end"/>
    </w:r>
  </w:p>
  <w:p>
    <w:pPr>
      <w:pStyle w:val="Footer"/>
      <w:jc w:val="center"/>
      <w:rPr>
        <w:rFonts w:ascii="Arial" w:hAnsi="Arial" w:cs="Arial"/>
        <w:color w:val="3366FF"/>
        <w:sz w:val="14"/>
        <w:szCs w:val="14"/>
      </w:rPr>
    </w:pPr>
    <w:r>
      <w:rPr>
        <w:rFonts w:cs="Arial" w:ascii="Arial" w:hAnsi="Arial"/>
        <w:color w:val="3366FF"/>
        <w:sz w:val="14"/>
        <w:szCs w:val="14"/>
      </w:rPr>
      <w:t>COMUSA - SERVIÇOS DE ÁGUA E ESGOTO DE NOVO HAMBURGO</w:t>
    </w:r>
  </w:p>
  <w:p>
    <w:pPr>
      <w:pStyle w:val="Footer"/>
      <w:jc w:val="right"/>
      <w:rPr>
        <w:rFonts w:ascii="Arial" w:hAnsi="Arial" w:cs="Arial"/>
        <w:sz w:val="18"/>
        <w:szCs w:val="18"/>
        <w:lang w:val="pt-BR"/>
      </w:rPr>
    </w:pPr>
    <w:r>
      <w:rPr>
        <w:rFonts w:cs="Arial" w:ascii="Arial" w:hAnsi="Arial"/>
        <w:color w:val="3366FF"/>
        <w:sz w:val="14"/>
        <w:szCs w:val="14"/>
      </w:rPr>
      <w:t>Av. Coronel Travassos, n.º 287, Bairro Rondônia, CEP: 93415-000, Novo Hamburgo/RS – Telefone: (51) 3036-1121 - www.comusa.rs.gov.br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Arial" w:hAnsi="Arial" w:cs="Arial"/>
        <w:b/>
        <w:sz w:val="18"/>
        <w:szCs w:val="18"/>
        <w:u w:val="single"/>
        <w:lang w:val="pt-BR"/>
      </w:rPr>
    </w:pPr>
    <w:r>
      <w:rPr/>
      <w:drawing>
        <wp:inline distT="0" distB="0" distL="0" distR="0">
          <wp:extent cx="2160270" cy="676910"/>
          <wp:effectExtent l="0" t="0" r="0" b="0"/>
          <wp:docPr id="1" name="Imagem 5" descr="Comusa nov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5" descr="Comusa nov log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60270" cy="6769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"/>
      <w:rPr>
        <w:rFonts w:ascii="Arial" w:hAnsi="Arial" w:cs="Arial"/>
        <w:b/>
        <w:sz w:val="18"/>
        <w:szCs w:val="18"/>
        <w:u w:val="single"/>
        <w:lang w:val="pt-BR"/>
      </w:rPr>
    </w:pPr>
    <w:r>
      <w:rPr>
        <w:rFonts w:cs="Arial" w:ascii="Arial" w:hAnsi="Arial"/>
        <w:b/>
        <w:sz w:val="18"/>
        <w:szCs w:val="18"/>
        <w:u w:val="single"/>
        <w:lang w:val="pt-BR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Arial" w:hAnsi="Arial" w:cs="Arial"/>
        <w:b/>
        <w:sz w:val="18"/>
        <w:szCs w:val="18"/>
        <w:u w:val="single"/>
        <w:lang w:val="pt-BR"/>
      </w:rPr>
    </w:pPr>
    <w:r>
      <w:rPr/>
      <w:drawing>
        <wp:inline distT="0" distB="0" distL="0" distR="0">
          <wp:extent cx="2160270" cy="676910"/>
          <wp:effectExtent l="0" t="0" r="0" b="0"/>
          <wp:docPr id="2" name="Imagem 5" descr="Comusa nov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5" descr="Comusa nov log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60270" cy="6769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"/>
      <w:rPr>
        <w:rFonts w:ascii="Arial" w:hAnsi="Arial" w:cs="Arial"/>
        <w:b/>
        <w:sz w:val="18"/>
        <w:szCs w:val="18"/>
        <w:u w:val="single"/>
        <w:lang w:val="pt-BR"/>
      </w:rPr>
    </w:pPr>
    <w:r>
      <w:rPr>
        <w:rFonts w:cs="Arial" w:ascii="Arial" w:hAnsi="Arial"/>
        <w:b/>
        <w:sz w:val="18"/>
        <w:szCs w:val="18"/>
        <w:u w:val="single"/>
        <w:lang w:val="pt-BR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dstrike w:val="false"/>
        <w:strike w:val="false"/>
        <w:b/>
      </w:rPr>
    </w:lvl>
    <w:lvl w:ilvl="1">
      <w:start w:val="1"/>
      <w:isLgl/>
      <w:numFmt w:val="decimal"/>
      <w:lvlText w:val="%1.%2."/>
      <w:lvlJc w:val="left"/>
      <w:pPr>
        <w:tabs>
          <w:tab w:val="num" w:pos="0"/>
        </w:tabs>
        <w:ind w:left="1080" w:hanging="720"/>
      </w:pPr>
      <w:rPr>
        <w:i w:val="false"/>
        <w:b/>
        <w:color w:val="auto"/>
      </w:rPr>
    </w:lvl>
    <w:lvl w:ilvl="2">
      <w:start w:val="1"/>
      <w:isLgl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i w:val="false"/>
        <w:b w:val="false"/>
        <w:color w:val="auto"/>
      </w:rPr>
    </w:lvl>
    <w:lvl w:ilvl="3">
      <w:start w:val="1"/>
      <w:isLgl/>
      <w:numFmt w:val="decimal"/>
      <w:lvlText w:val="%1.%2.%3.%4."/>
      <w:lvlJc w:val="left"/>
      <w:pPr>
        <w:tabs>
          <w:tab w:val="num" w:pos="0"/>
        </w:tabs>
        <w:ind w:left="1440" w:hanging="1080"/>
      </w:pPr>
      <w:rPr/>
    </w:lvl>
    <w:lvl w:ilvl="4">
      <w:start w:val="1"/>
      <w:isLgl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isLgl/>
      <w:numFmt w:val="decimal"/>
      <w:lvlText w:val="%1.%2.%3.%4.%5.%6."/>
      <w:lvlJc w:val="left"/>
      <w:pPr>
        <w:tabs>
          <w:tab w:val="num" w:pos="0"/>
        </w:tabs>
        <w:ind w:left="1800" w:hanging="1440"/>
      </w:pPr>
      <w:rPr/>
    </w:lvl>
    <w:lvl w:ilvl="6">
      <w:start w:val="1"/>
      <w:isLgl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isLgl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/>
    </w:lvl>
    <w:lvl w:ilvl="8">
      <w:start w:val="1"/>
      <w:isLgl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i w:val="false"/>
        <w:color w:val="auto"/>
        <w:lang w:val="x-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22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i w:val="fals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485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930" w:hanging="360"/>
      </w:pPr>
      <w:rPr>
        <w:i w:val="false"/>
        <w:b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5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37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09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1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53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25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97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690" w:hanging="180"/>
      </w:pPr>
      <w:rPr/>
    </w:lvl>
  </w:abstractNum>
  <w:abstractNum w:abstractNumId="5">
    <w:lvl w:ilvl="0">
      <w:start w:val="10"/>
      <w:numFmt w:val="decimal"/>
      <w:lvlText w:val="%1"/>
      <w:lvlJc w:val="left"/>
      <w:pPr>
        <w:tabs>
          <w:tab w:val="num" w:pos="0"/>
        </w:tabs>
        <w:ind w:left="465" w:hanging="465"/>
      </w:pPr>
      <w:rPr/>
    </w:lvl>
    <w:lvl w:ilvl="1">
      <w:start w:val="1"/>
      <w:numFmt w:val="decimal"/>
      <w:lvlText w:val="%1.%2"/>
      <w:lvlJc w:val="left"/>
      <w:pPr>
        <w:tabs>
          <w:tab w:val="num" w:pos="0"/>
        </w:tabs>
        <w:ind w:left="825" w:hanging="465"/>
      </w:pPr>
      <w:rPr/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/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1080"/>
      </w:pPr>
      <w:rPr/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/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440"/>
      </w:pPr>
      <w:rPr/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80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/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umentProtection w:edit="readOnly" w:cryptProviderType="rsaAES" w:cryptAlgorithmClass="hash" w:cryptAlgorithmType="typeAny" w:cryptAlgorithmSid="" w:cryptSpinCount="0" w:hash="" w:salt=""/>
  <w:themeFontLang w:val="pt-P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PT" w:eastAsia="pt-P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0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 w:qFormat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uiPriority="0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485fd0"/>
    <w:pPr>
      <w:widowControl/>
      <w:suppressAutoHyphens w:val="true"/>
      <w:bidi w:val="0"/>
      <w:spacing w:before="0" w:after="0"/>
      <w:jc w:val="left"/>
    </w:pPr>
    <w:rPr>
      <w:rFonts w:ascii="Arial Unicode MS" w:hAnsi="Arial Unicode MS" w:eastAsia="Times New Roman" w:cs="Times New Roman"/>
      <w:color w:val="auto"/>
      <w:kern w:val="0"/>
      <w:sz w:val="24"/>
      <w:szCs w:val="24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5d6cf8"/>
    <w:pPr>
      <w:keepNext w:val="true"/>
      <w:spacing w:before="240" w:after="60"/>
      <w:outlineLvl w:val="0"/>
    </w:pPr>
    <w:rPr>
      <w:rFonts w:ascii="Calibri Light" w:hAnsi="Calibri Light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link w:val="Ttulo2Char"/>
    <w:qFormat/>
    <w:rsid w:val="00db7573"/>
    <w:pPr>
      <w:keepNext w:val="true"/>
      <w:outlineLvl w:val="1"/>
    </w:pPr>
    <w:rPr>
      <w:rFonts w:ascii="Arial" w:hAnsi="Arial"/>
      <w:b/>
      <w:bCs/>
      <w:sz w:val="20"/>
      <w:lang w:val="x-none" w:eastAsia="x-none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372439"/>
    <w:pPr>
      <w:keepNext w:val="true"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2Char" w:customStyle="1">
    <w:name w:val="Corpo de texto 2 Char"/>
    <w:link w:val="BodyText2"/>
    <w:qFormat/>
    <w:rsid w:val="00485fd0"/>
    <w:rPr>
      <w:rFonts w:ascii="Century Gothic" w:hAnsi="Century Gothic" w:eastAsia="Arial Unicode MS" w:cs="Arial Narrow"/>
      <w:sz w:val="28"/>
      <w:szCs w:val="24"/>
    </w:rPr>
  </w:style>
  <w:style w:type="character" w:styleId="RecuodecorpodetextoChar" w:customStyle="1">
    <w:name w:val="Recuo de corpo de texto Char"/>
    <w:link w:val="BodyTextIndented"/>
    <w:qFormat/>
    <w:rsid w:val="00485fd0"/>
    <w:rPr>
      <w:rFonts w:ascii="Tahoma" w:hAnsi="Tahoma" w:eastAsia="Times New Roman" w:cs="Times New Roman"/>
      <w:szCs w:val="20"/>
    </w:rPr>
  </w:style>
  <w:style w:type="character" w:styleId="Corpodetexto3Char" w:customStyle="1">
    <w:name w:val="Corpo de texto 3 Char"/>
    <w:link w:val="BodyText3"/>
    <w:uiPriority w:val="99"/>
    <w:qFormat/>
    <w:rsid w:val="00485fd0"/>
    <w:rPr>
      <w:rFonts w:ascii="Arial" w:hAnsi="Arial" w:eastAsia="Arial Unicode MS" w:cs="Arial"/>
      <w:sz w:val="20"/>
      <w:szCs w:val="24"/>
    </w:rPr>
  </w:style>
  <w:style w:type="character" w:styleId="PageNumber">
    <w:name w:val="Page Number"/>
    <w:basedOn w:val="DefaultParagraphFont"/>
    <w:rsid w:val="00485fd0"/>
    <w:rPr/>
  </w:style>
  <w:style w:type="character" w:styleId="RodapChar" w:customStyle="1">
    <w:name w:val="Rodapé Char"/>
    <w:qFormat/>
    <w:rsid w:val="00485fd0"/>
    <w:rPr>
      <w:rFonts w:ascii="Arial Unicode MS" w:hAnsi="Arial Unicode MS" w:eastAsia="Times New Roman" w:cs="Arial Narrow"/>
      <w:sz w:val="26"/>
      <w:szCs w:val="24"/>
    </w:rPr>
  </w:style>
  <w:style w:type="character" w:styleId="InternetLink">
    <w:name w:val="Internet Link"/>
    <w:qFormat/>
    <w:rsid w:val="00485fd0"/>
    <w:rPr>
      <w:color w:val="0000FF"/>
      <w:u w:val="single"/>
    </w:rPr>
  </w:style>
  <w:style w:type="character" w:styleId="Recuodecorpodetexto2Char" w:customStyle="1">
    <w:name w:val="Recuo de corpo de texto 2 Char"/>
    <w:link w:val="BodyTextIndent2"/>
    <w:qFormat/>
    <w:rsid w:val="00485fd0"/>
    <w:rPr>
      <w:rFonts w:ascii="Courier New" w:hAnsi="Courier New" w:eastAsia="Times New Roman" w:cs="Times New Roman"/>
      <w:color w:val="000000"/>
      <w:sz w:val="20"/>
      <w:szCs w:val="24"/>
    </w:rPr>
  </w:style>
  <w:style w:type="character" w:styleId="CabealhoChar" w:customStyle="1">
    <w:name w:val="Cabeçalho Char"/>
    <w:uiPriority w:val="99"/>
    <w:qFormat/>
    <w:rsid w:val="00485fd0"/>
    <w:rPr>
      <w:rFonts w:ascii="Arial Unicode MS" w:hAnsi="Arial Unicode MS" w:eastAsia="Times New Roman" w:cs="Times New Roman"/>
      <w:sz w:val="24"/>
      <w:szCs w:val="24"/>
    </w:rPr>
  </w:style>
  <w:style w:type="character" w:styleId="CorpodetextoChar" w:customStyle="1">
    <w:name w:val="Corpo de texto Char"/>
    <w:uiPriority w:val="99"/>
    <w:qFormat/>
    <w:rsid w:val="00db7573"/>
    <w:rPr>
      <w:rFonts w:ascii="Arial Unicode MS" w:hAnsi="Arial Unicode MS" w:eastAsia="Times New Roman" w:cs="Times New Roman"/>
      <w:sz w:val="24"/>
      <w:szCs w:val="24"/>
    </w:rPr>
  </w:style>
  <w:style w:type="character" w:styleId="TextosemFormataoChar" w:customStyle="1">
    <w:name w:val="Texto sem Formatação Char"/>
    <w:link w:val="PlainText"/>
    <w:qFormat/>
    <w:rsid w:val="00db7573"/>
    <w:rPr>
      <w:rFonts w:ascii="Courier New" w:hAnsi="Courier New" w:eastAsia="Times New Roman" w:cs="Times New Roman"/>
      <w:sz w:val="20"/>
      <w:szCs w:val="24"/>
    </w:rPr>
  </w:style>
  <w:style w:type="character" w:styleId="Ttulo2Char" w:customStyle="1">
    <w:name w:val="Título 2 Char"/>
    <w:qFormat/>
    <w:rsid w:val="00db7573"/>
    <w:rPr>
      <w:rFonts w:ascii="Arial" w:hAnsi="Arial" w:eastAsia="Times New Roman" w:cs="Arial"/>
      <w:b/>
      <w:bCs/>
      <w:szCs w:val="24"/>
    </w:rPr>
  </w:style>
  <w:style w:type="character" w:styleId="TextodebaloChar" w:customStyle="1">
    <w:name w:val="Texto de balão Char"/>
    <w:link w:val="BalloonText"/>
    <w:uiPriority w:val="99"/>
    <w:semiHidden/>
    <w:qFormat/>
    <w:rsid w:val="00a603a5"/>
    <w:rPr>
      <w:rFonts w:ascii="Tahoma" w:hAnsi="Tahoma" w:eastAsia="Times New Roman" w:cs="Tahoma"/>
      <w:sz w:val="16"/>
      <w:szCs w:val="16"/>
      <w:lang w:eastAsia="en-US"/>
    </w:rPr>
  </w:style>
  <w:style w:type="character" w:styleId="Ttulo3Char" w:customStyle="1">
    <w:name w:val="Título 3 Char"/>
    <w:uiPriority w:val="9"/>
    <w:semiHidden/>
    <w:qFormat/>
    <w:rsid w:val="00372439"/>
    <w:rPr>
      <w:rFonts w:ascii="Cambria" w:hAnsi="Cambria" w:eastAsia="Times New Roman" w:cs="Times New Roman"/>
      <w:b/>
      <w:bCs/>
      <w:sz w:val="26"/>
      <w:szCs w:val="26"/>
      <w:lang w:eastAsia="en-US"/>
    </w:rPr>
  </w:style>
  <w:style w:type="character" w:styleId="Strong">
    <w:name w:val="Strong"/>
    <w:uiPriority w:val="22"/>
    <w:qFormat/>
    <w:rsid w:val="00831760"/>
    <w:rPr>
      <w:b/>
      <w:bCs/>
    </w:rPr>
  </w:style>
  <w:style w:type="character" w:styleId="Emphasis">
    <w:name w:val="Emphasis"/>
    <w:uiPriority w:val="20"/>
    <w:qFormat/>
    <w:rsid w:val="00831760"/>
    <w:rPr>
      <w:i/>
      <w:iCs/>
    </w:rPr>
  </w:style>
  <w:style w:type="character" w:styleId="object" w:customStyle="1">
    <w:name w:val="object"/>
    <w:basedOn w:val="DefaultParagraphFont"/>
    <w:qFormat/>
    <w:rsid w:val="00831760"/>
    <w:rPr/>
  </w:style>
  <w:style w:type="character" w:styleId="PargrafodaListaChar" w:customStyle="1">
    <w:name w:val="Parágrafo da Lista Char"/>
    <w:link w:val="ListParagraph"/>
    <w:uiPriority w:val="34"/>
    <w:qFormat/>
    <w:rsid w:val="0028600e"/>
    <w:rPr>
      <w:sz w:val="22"/>
      <w:szCs w:val="22"/>
      <w:lang w:eastAsia="en-US"/>
    </w:rPr>
  </w:style>
  <w:style w:type="character" w:styleId="TextodenotaderodapChar" w:customStyle="1">
    <w:name w:val="Texto de nota de rodapé Char"/>
    <w:semiHidden/>
    <w:qFormat/>
    <w:rsid w:val="008650c2"/>
    <w:rPr>
      <w:rFonts w:ascii="Times New Roman" w:hAnsi="Times New Roman" w:eastAsia="Times New Roman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FootnoteCharacters1">
    <w:name w:val="Footnote Characters1"/>
    <w:qFormat/>
    <w:rPr>
      <w:vertAlign w:val="superscript"/>
    </w:rPr>
  </w:style>
  <w:style w:type="character" w:styleId="FootnoteCharacters11">
    <w:name w:val="Footnote Characters11"/>
    <w:qFormat/>
    <w:rPr>
      <w:vertAlign w:val="superscript"/>
    </w:rPr>
  </w:style>
  <w:style w:type="character" w:styleId="FootnoteCharacters111">
    <w:name w:val="Footnote Characters111"/>
    <w:qFormat/>
    <w:rPr>
      <w:vertAlign w:val="superscript"/>
    </w:rPr>
  </w:style>
  <w:style w:type="character" w:styleId="FootnoteCharacters1111">
    <w:name w:val="Footnote Characters1111"/>
    <w:semiHidden/>
    <w:qFormat/>
    <w:rsid w:val="008650c2"/>
    <w:rPr>
      <w:vertAlign w:val="superscript"/>
    </w:rPr>
  </w:style>
  <w:style w:type="character" w:styleId="HTMLCite">
    <w:name w:val="HTML Cite"/>
    <w:uiPriority w:val="99"/>
    <w:semiHidden/>
    <w:unhideWhenUsed/>
    <w:qFormat/>
    <w:rsid w:val="008650c2"/>
    <w:rPr>
      <w:i w:val="false"/>
      <w:iCs w:val="false"/>
      <w:color w:val="006D21"/>
    </w:rPr>
  </w:style>
  <w:style w:type="character" w:styleId="Ttulo1Char" w:customStyle="1">
    <w:name w:val="Título 1 Char"/>
    <w:uiPriority w:val="9"/>
    <w:qFormat/>
    <w:rsid w:val="005d6cf8"/>
    <w:rPr>
      <w:rFonts w:ascii="Calibri Light" w:hAnsi="Calibri Light" w:eastAsia="Times New Roman" w:cs="Times New Roman"/>
      <w:b/>
      <w:bCs/>
      <w:kern w:val="2"/>
      <w:sz w:val="32"/>
      <w:szCs w:val="32"/>
      <w:lang w:eastAsia="en-US"/>
    </w:rPr>
  </w:style>
  <w:style w:type="character" w:styleId="2TtuloChar" w:customStyle="1">
    <w:name w:val="2 Título Char"/>
    <w:link w:val="2Ttulo"/>
    <w:qFormat/>
    <w:rsid w:val="00fe73e1"/>
    <w:rPr>
      <w:rFonts w:ascii="Arial Negrito" w:hAnsi="Arial Negrito" w:eastAsia="Times New Roman" w:cs="Arial"/>
      <w:b/>
      <w:bCs/>
      <w:color w:val="000000"/>
      <w:sz w:val="22"/>
      <w:szCs w:val="24"/>
      <w:lang w:val="x-none" w:eastAsia="x-none"/>
    </w:rPr>
  </w:style>
  <w:style w:type="character" w:styleId="1TtuloChar" w:customStyle="1">
    <w:name w:val="1 Título Char"/>
    <w:link w:val="1Ttulo"/>
    <w:qFormat/>
    <w:rsid w:val="007c4578"/>
    <w:rPr>
      <w:rFonts w:ascii="Arial" w:hAnsi="Arial" w:eastAsia="Times New Roman" w:cs="Arial"/>
      <w:b/>
      <w:bCs/>
      <w:sz w:val="22"/>
      <w:szCs w:val="22"/>
      <w:lang w:val="pt-BR" w:eastAsia="pt-BR"/>
    </w:rPr>
  </w:style>
  <w:style w:type="character" w:styleId="Nvel3-RChar" w:customStyle="1">
    <w:name w:val="Nível 3-R Char"/>
    <w:basedOn w:val="DefaultParagraphFont"/>
    <w:link w:val="Nvel3-R"/>
    <w:qFormat/>
    <w:rsid w:val="00f9641a"/>
    <w:rPr>
      <w:rFonts w:ascii="Arial" w:hAnsi="Arial" w:eastAsia="" w:cs="Arial" w:eastAsiaTheme="minorEastAsia"/>
      <w:i/>
      <w:iCs/>
      <w:color w:val="FF0000"/>
      <w:lang w:val="pt-BR" w:eastAsia="pt-BR"/>
    </w:rPr>
  </w:style>
  <w:style w:type="character" w:styleId="FollowedHyperlink">
    <w:name w:val="FollowedHyperlink"/>
    <w:basedOn w:val="DefaultParagraphFont"/>
    <w:uiPriority w:val="99"/>
    <w:semiHidden/>
    <w:unhideWhenUsed/>
    <w:rsid w:val="006418c9"/>
    <w:rPr>
      <w:color w:themeColor="followedHyperlink" w:val="954F72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97796f"/>
    <w:rPr>
      <w:color w:val="605E5C"/>
      <w:shd w:fill="E1DFDD" w:val="clear"/>
    </w:rPr>
  </w:style>
  <w:style w:type="character" w:styleId="TextodecomentrioChar" w:customStyle="1">
    <w:name w:val="Texto de comentário Char"/>
    <w:basedOn w:val="DefaultParagraphFont"/>
    <w:uiPriority w:val="99"/>
    <w:qFormat/>
    <w:rsid w:val="00115464"/>
    <w:rPr>
      <w:rFonts w:ascii="Ecofont_Spranq_eco_Sans" w:hAnsi="Ecofont_Spranq_eco_Sans" w:eastAsia="" w:cs="Tahoma" w:eastAsiaTheme="minorEastAsia"/>
      <w:lang w:val="pt-BR" w:eastAsia="pt-BR"/>
    </w:rPr>
  </w:style>
  <w:style w:type="character" w:styleId="Nivel01Char" w:customStyle="1">
    <w:name w:val="Nivel 01 Char"/>
    <w:basedOn w:val="DefaultParagraphFont"/>
    <w:link w:val="Nivel01"/>
    <w:qFormat/>
    <w:rsid w:val="00af72b0"/>
    <w:rPr>
      <w:rFonts w:ascii="Arial" w:hAnsi="Arial" w:eastAsia="" w:cs="Arial" w:eastAsiaTheme="majorEastAsia"/>
      <w:b/>
      <w:bCs/>
      <w:lang w:val="pt-BR" w:eastAsia="pt-BR"/>
    </w:rPr>
  </w:style>
  <w:style w:type="character" w:styleId="Nivel2Char" w:customStyle="1">
    <w:name w:val="Nivel 2 Char"/>
    <w:basedOn w:val="DefaultParagraphFont"/>
    <w:link w:val="Nivel2"/>
    <w:qFormat/>
    <w:locked/>
    <w:rsid w:val="00af72b0"/>
    <w:rPr>
      <w:rFonts w:ascii="Arial" w:hAnsi="Arial" w:eastAsia="" w:cs="Arial" w:eastAsiaTheme="minorEastAsia"/>
      <w:color w:val="000000"/>
      <w:lang w:val="pt-BR" w:eastAsia="pt-BR"/>
    </w:rPr>
  </w:style>
  <w:style w:type="character" w:styleId="Nvel2-RedChar" w:customStyle="1">
    <w:name w:val="Nível 2 -Red Char"/>
    <w:basedOn w:val="Nivel2Char"/>
    <w:link w:val="Nvel2-Red"/>
    <w:qFormat/>
    <w:rsid w:val="00af72b0"/>
    <w:rPr>
      <w:rFonts w:ascii="Arial" w:hAnsi="Arial" w:eastAsia="" w:cs="Arial" w:eastAsiaTheme="minorEastAsia"/>
      <w:i/>
      <w:iCs/>
      <w:color w:val="FF0000"/>
      <w:lang w:val="pt-BR" w:eastAsia="pt-BR"/>
    </w:rPr>
  </w:style>
  <w:style w:type="character" w:styleId="Nivel3Char" w:customStyle="1">
    <w:name w:val="Nivel 3 Char"/>
    <w:basedOn w:val="DefaultParagraphFont"/>
    <w:link w:val="Nivel3"/>
    <w:qFormat/>
    <w:rsid w:val="00a55b66"/>
    <w:rPr>
      <w:rFonts w:ascii="Arial" w:hAnsi="Arial" w:eastAsia="" w:cs="Arial" w:eastAsiaTheme="minorEastAsia"/>
      <w:color w:val="000000"/>
      <w:lang w:val="pt-BR" w:eastAsia="pt-BR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f0c6b"/>
    <w:rPr>
      <w:sz w:val="16"/>
      <w:szCs w:val="16"/>
    </w:rPr>
  </w:style>
  <w:style w:type="character" w:styleId="ouChar" w:customStyle="1">
    <w:name w:val="ou Char"/>
    <w:basedOn w:val="PargrafodaListaChar"/>
    <w:link w:val="ou"/>
    <w:qFormat/>
    <w:rsid w:val="00411c46"/>
    <w:rPr>
      <w:rFonts w:ascii="Arial" w:hAnsi="Arial" w:eastAsia="Calibri" w:cs="Arial" w:eastAsiaTheme="minorHAnsi"/>
      <w:b/>
      <w:bCs/>
      <w:i/>
      <w:iCs/>
      <w:color w:val="FF0000"/>
      <w:sz w:val="24"/>
      <w:szCs w:val="24"/>
      <w:u w:val="single"/>
      <w:lang w:val="pt-BR" w:eastAsia="pt-BR"/>
    </w:rPr>
  </w:style>
  <w:style w:type="character" w:styleId="text-sm" w:customStyle="1">
    <w:name w:val="text-sm"/>
    <w:basedOn w:val="DefaultParagraphFont"/>
    <w:qFormat/>
    <w:rsid w:val="00e73f56"/>
    <w:rPr/>
  </w:style>
  <w:style w:type="character" w:styleId="pspdfkit-6fq5ysqkmc2gc1fek9b659qfh8" w:customStyle="1">
    <w:name w:val="pspdfkit-6fq5ysqkmc2gc1fek9b659qfh8"/>
    <w:basedOn w:val="DefaultParagraphFont"/>
    <w:qFormat/>
    <w:rsid w:val="003a6a2c"/>
    <w:rPr/>
  </w:style>
  <w:style w:type="character" w:styleId="InternetLink1">
    <w:name w:val="Internet Link1"/>
    <w:qFormat/>
    <w:rPr>
      <w:color w:val="000080"/>
      <w:u w:val="single"/>
    </w:rPr>
  </w:style>
  <w:style w:type="character" w:styleId="InternetLink2">
    <w:name w:val="Internet Link2"/>
    <w:qFormat/>
    <w:rPr>
      <w:color w:val="000080"/>
      <w:u w:val="single"/>
    </w:rPr>
  </w:style>
  <w:style w:type="character" w:styleId="InternetLink3">
    <w:name w:val="Internet Link3"/>
    <w:qFormat/>
    <w:rPr>
      <w:color w:val="000080"/>
      <w:u w:val="single"/>
    </w:rPr>
  </w:style>
  <w:style w:type="character" w:styleId="InternetLink4">
    <w:name w:val="Internet Link4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CorpodetextoChar"/>
    <w:uiPriority w:val="99"/>
    <w:unhideWhenUsed/>
    <w:rsid w:val="00db7573"/>
    <w:pPr>
      <w:spacing w:before="0" w:after="120"/>
    </w:pPr>
    <w:rPr>
      <w:lang w:val="x-none" w:eastAsia="x-none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WW-Corpodetexto3" w:customStyle="1">
    <w:name w:val="WW-Corpo de texto 3"/>
    <w:basedOn w:val="Normal"/>
    <w:qFormat/>
    <w:rsid w:val="00485fd0"/>
    <w:pPr>
      <w:suppressAutoHyphens w:val="true"/>
      <w:jc w:val="both"/>
    </w:pPr>
    <w:rPr>
      <w:rFonts w:ascii="Tahoma" w:hAnsi="Tahoma"/>
      <w:b/>
      <w:sz w:val="22"/>
      <w:szCs w:val="20"/>
    </w:rPr>
  </w:style>
  <w:style w:type="paragraph" w:styleId="BodyText2">
    <w:name w:val="Body Text 2"/>
    <w:basedOn w:val="Normal"/>
    <w:link w:val="Corpodetexto2Char"/>
    <w:qFormat/>
    <w:rsid w:val="00485fd0"/>
    <w:pPr>
      <w:jc w:val="both"/>
    </w:pPr>
    <w:rPr>
      <w:rFonts w:ascii="Century Gothic" w:hAnsi="Century Gothic" w:eastAsia="Arial Unicode MS"/>
      <w:sz w:val="28"/>
      <w:lang w:val="x-none" w:eastAsia="x-none"/>
    </w:rPr>
  </w:style>
  <w:style w:type="paragraph" w:styleId="BodyTextIndented">
    <w:name w:val="Body Text, Indented"/>
    <w:basedOn w:val="Normal"/>
    <w:link w:val="RecuodecorpodetextoChar"/>
    <w:qFormat/>
    <w:rsid w:val="00485fd0"/>
    <w:pPr>
      <w:suppressAutoHyphens w:val="true"/>
      <w:ind w:left="284"/>
      <w:jc w:val="both"/>
    </w:pPr>
    <w:rPr>
      <w:rFonts w:ascii="Tahoma" w:hAnsi="Tahoma"/>
      <w:sz w:val="20"/>
      <w:szCs w:val="20"/>
      <w:lang w:val="x-none"/>
    </w:rPr>
  </w:style>
  <w:style w:type="paragraph" w:styleId="BodyText3">
    <w:name w:val="Body Text 3"/>
    <w:basedOn w:val="Normal"/>
    <w:link w:val="Corpodetexto3Char"/>
    <w:uiPriority w:val="99"/>
    <w:qFormat/>
    <w:rsid w:val="00485fd0"/>
    <w:pPr>
      <w:jc w:val="both"/>
    </w:pPr>
    <w:rPr>
      <w:rFonts w:ascii="Arial" w:hAnsi="Arial" w:eastAsia="Arial Unicode MS"/>
      <w:sz w:val="20"/>
      <w:lang w:val="x-none" w:eastAsia="x-none"/>
    </w:rPr>
  </w:style>
  <w:style w:type="paragraph" w:styleId="Cabealhoerodap">
    <w:name w:val="Cabeçalho e rodapé"/>
    <w:basedOn w:val="Normal"/>
    <w:qFormat/>
    <w:pPr/>
    <w:rPr/>
  </w:style>
  <w:style w:type="paragraph" w:styleId="Footer">
    <w:name w:val="Footer"/>
    <w:basedOn w:val="Normal"/>
    <w:link w:val="RodapChar"/>
    <w:rsid w:val="00485fd0"/>
    <w:pPr>
      <w:tabs>
        <w:tab w:val="clear" w:pos="708"/>
        <w:tab w:val="center" w:pos="4419" w:leader="none"/>
        <w:tab w:val="right" w:pos="8838" w:leader="none"/>
      </w:tabs>
    </w:pPr>
    <w:rPr>
      <w:sz w:val="26"/>
      <w:lang w:val="x-none" w:eastAsia="x-none"/>
    </w:rPr>
  </w:style>
  <w:style w:type="paragraph" w:styleId="BodyTextIndent2">
    <w:name w:val="Body Text Indent 2"/>
    <w:basedOn w:val="Normal"/>
    <w:link w:val="Recuodecorpodetexto2Char"/>
    <w:qFormat/>
    <w:rsid w:val="00485fd0"/>
    <w:pPr>
      <w:widowControl w:val="false"/>
      <w:suppressAutoHyphens w:val="true"/>
      <w:ind w:firstLine="851"/>
      <w:jc w:val="both"/>
    </w:pPr>
    <w:rPr>
      <w:rFonts w:ascii="Courier New" w:hAnsi="Courier New"/>
      <w:color w:val="000000"/>
      <w:sz w:val="20"/>
      <w:lang w:val="x-none"/>
    </w:rPr>
  </w:style>
  <w:style w:type="paragraph" w:styleId="WW-Corpodetexto2" w:customStyle="1">
    <w:name w:val="WW-Corpo de texto 2"/>
    <w:basedOn w:val="Normal"/>
    <w:qFormat/>
    <w:rsid w:val="00485fd0"/>
    <w:pPr>
      <w:suppressAutoHyphens w:val="true"/>
      <w:overflowPunct w:val="true"/>
      <w:spacing w:before="240" w:after="0"/>
      <w:jc w:val="both"/>
      <w:textAlignment w:val="baseline"/>
    </w:pPr>
    <w:rPr>
      <w:rFonts w:ascii="Verdana" w:hAnsi="Verdana"/>
    </w:rPr>
  </w:style>
  <w:style w:type="paragraph" w:styleId="Corpodetexto31" w:customStyle="1">
    <w:name w:val="Corpo de texto 31"/>
    <w:basedOn w:val="Normal"/>
    <w:qFormat/>
    <w:rsid w:val="00485fd0"/>
    <w:pPr>
      <w:widowControl w:val="false"/>
      <w:suppressAutoHyphens w:val="true"/>
      <w:jc w:val="both"/>
    </w:pPr>
    <w:rPr>
      <w:rFonts w:ascii="Courier New" w:hAnsi="Courier New"/>
      <w:sz w:val="20"/>
      <w:szCs w:val="20"/>
    </w:rPr>
  </w:style>
  <w:style w:type="paragraph" w:styleId="Header">
    <w:name w:val="Header"/>
    <w:basedOn w:val="Normal"/>
    <w:link w:val="CabealhoChar"/>
    <w:uiPriority w:val="99"/>
    <w:unhideWhenUsed/>
    <w:rsid w:val="00485fd0"/>
    <w:pPr>
      <w:tabs>
        <w:tab w:val="clear" w:pos="708"/>
        <w:tab w:val="center" w:pos="4252" w:leader="none"/>
        <w:tab w:val="right" w:pos="8504" w:leader="none"/>
      </w:tabs>
    </w:pPr>
    <w:rPr>
      <w:lang w:val="x-none" w:eastAsia="x-none"/>
    </w:rPr>
  </w:style>
  <w:style w:type="paragraph" w:styleId="ListParagraph">
    <w:name w:val="List Paragraph"/>
    <w:basedOn w:val="Normal"/>
    <w:link w:val="PargrafodaListaChar"/>
    <w:uiPriority w:val="34"/>
    <w:qFormat/>
    <w:rsid w:val="00db7573"/>
    <w:pPr>
      <w:spacing w:lineRule="auto" w:line="276" w:before="0" w:after="200"/>
      <w:ind w:left="720"/>
      <w:contextualSpacing/>
    </w:pPr>
    <w:rPr>
      <w:rFonts w:ascii="Calibri" w:hAnsi="Calibri" w:eastAsia="Calibri"/>
      <w:sz w:val="22"/>
      <w:szCs w:val="22"/>
    </w:rPr>
  </w:style>
  <w:style w:type="paragraph" w:styleId="semanegrito" w:customStyle="1">
    <w:name w:val="semanegrito"/>
    <w:basedOn w:val="Normal"/>
    <w:qFormat/>
    <w:rsid w:val="00db7573"/>
    <w:pPr>
      <w:spacing w:beforeAutospacing="1" w:afterAutospacing="1"/>
    </w:pPr>
    <w:rPr>
      <w:rFonts w:ascii="Times New Roman" w:hAnsi="Times New Roman"/>
      <w:lang w:eastAsia="pt-BR"/>
    </w:rPr>
  </w:style>
  <w:style w:type="paragraph" w:styleId="PlainText">
    <w:name w:val="Plain Text"/>
    <w:basedOn w:val="Normal"/>
    <w:link w:val="TextosemFormataoChar"/>
    <w:qFormat/>
    <w:rsid w:val="00db7573"/>
    <w:pPr/>
    <w:rPr>
      <w:rFonts w:ascii="Courier New" w:hAnsi="Courier New"/>
      <w:sz w:val="20"/>
      <w:lang w:val="x-none" w:eastAsia="x-none"/>
    </w:rPr>
  </w:style>
  <w:style w:type="paragraph" w:styleId="caixa" w:customStyle="1">
    <w:name w:val="caixa"/>
    <w:basedOn w:val="Normal"/>
    <w:qFormat/>
    <w:rsid w:val="00db7573"/>
    <w:pPr>
      <w:keepNext w:val="true"/>
      <w:keepLines/>
      <w:suppressAutoHyphens w:val="true"/>
      <w:spacing w:before="0" w:after="120"/>
      <w:jc w:val="both"/>
    </w:pPr>
    <w:rPr>
      <w:rFonts w:ascii="Arial Narrow" w:hAnsi="Arial Narrow"/>
      <w:smallCaps/>
      <w:szCs w:val="20"/>
    </w:rPr>
  </w:style>
  <w:style w:type="paragraph" w:styleId="NormalWeb">
    <w:name w:val="Normal (Web)"/>
    <w:basedOn w:val="Normal"/>
    <w:uiPriority w:val="99"/>
    <w:unhideWhenUsed/>
    <w:qFormat/>
    <w:rsid w:val="002c172a"/>
    <w:pPr>
      <w:spacing w:beforeAutospacing="1" w:afterAutospacing="1"/>
    </w:pPr>
    <w:rPr>
      <w:rFonts w:ascii="Times New Roman" w:hAnsi="Times New Roman"/>
      <w:lang w:eastAsia="pt-BR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a603a5"/>
    <w:pPr/>
    <w:rPr>
      <w:rFonts w:ascii="Tahoma" w:hAnsi="Tahoma"/>
      <w:sz w:val="16"/>
      <w:szCs w:val="16"/>
      <w:lang w:val="x-none"/>
    </w:rPr>
  </w:style>
  <w:style w:type="paragraph" w:styleId="Default" w:customStyle="1">
    <w:name w:val="Default"/>
    <w:qFormat/>
    <w:rsid w:val="00926dc1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pt-BR" w:eastAsia="pt-BR" w:bidi="ar-SA"/>
    </w:rPr>
  </w:style>
  <w:style w:type="paragraph" w:styleId="ListBullet">
    <w:name w:val="List Bullet"/>
    <w:basedOn w:val="Normal"/>
    <w:uiPriority w:val="99"/>
    <w:unhideWhenUsed/>
    <w:rsid w:val="00e73a33"/>
    <w:pPr>
      <w:tabs>
        <w:tab w:val="clear" w:pos="708"/>
        <w:tab w:val="left" w:pos="360" w:leader="none"/>
      </w:tabs>
      <w:spacing w:before="0" w:after="0"/>
      <w:ind w:hanging="360" w:left="360"/>
      <w:contextualSpacing/>
    </w:pPr>
    <w:rPr>
      <w:rFonts w:eastAsia="Arial Unicode MS"/>
    </w:rPr>
  </w:style>
  <w:style w:type="paragraph" w:styleId="Corpodetexto32" w:customStyle="1">
    <w:name w:val="Corpo de texto 32"/>
    <w:basedOn w:val="Normal"/>
    <w:qFormat/>
    <w:rsid w:val="0053665c"/>
    <w:pPr>
      <w:suppressAutoHyphens w:val="true"/>
      <w:jc w:val="both"/>
    </w:pPr>
    <w:rPr>
      <w:rFonts w:ascii="Arial" w:hAnsi="Arial" w:eastAsia="Arial Unicode MS" w:cs="Arial"/>
      <w:sz w:val="20"/>
      <w:lang w:eastAsia="zh-CN"/>
    </w:rPr>
  </w:style>
  <w:style w:type="paragraph" w:styleId="FootnoteText">
    <w:name w:val="Footnote Text"/>
    <w:basedOn w:val="Normal"/>
    <w:link w:val="TextodenotaderodapChar"/>
    <w:semiHidden/>
    <w:rsid w:val="008650c2"/>
    <w:pPr/>
    <w:rPr>
      <w:rFonts w:ascii="Times New Roman" w:hAnsi="Times New Roman"/>
      <w:sz w:val="20"/>
      <w:szCs w:val="20"/>
      <w:lang w:eastAsia="pt-BR"/>
    </w:rPr>
  </w:style>
  <w:style w:type="paragraph" w:styleId="enter-3pt" w:customStyle="1">
    <w:name w:val="enter-3pt"/>
    <w:basedOn w:val="Normal"/>
    <w:qFormat/>
    <w:rsid w:val="008650c2"/>
    <w:pPr>
      <w:spacing w:lineRule="atLeast" w:line="60"/>
      <w:jc w:val="both"/>
    </w:pPr>
    <w:rPr>
      <w:rFonts w:ascii="Times New Roman" w:hAnsi="Times New Roman"/>
      <w:sz w:val="8"/>
      <w:szCs w:val="8"/>
      <w:lang w:eastAsia="pt-BR"/>
    </w:rPr>
  </w:style>
  <w:style w:type="paragraph" w:styleId="Nivel1" w:customStyle="1">
    <w:name w:val="Nivel1"/>
    <w:basedOn w:val="Heading1"/>
    <w:qFormat/>
    <w:rsid w:val="005d6cf8"/>
    <w:pPr>
      <w:keepLines/>
      <w:numPr>
        <w:ilvl w:val="0"/>
        <w:numId w:val="3"/>
      </w:numPr>
      <w:tabs>
        <w:tab w:val="clear" w:pos="708"/>
        <w:tab w:val="left" w:pos="360" w:leader="none"/>
      </w:tabs>
      <w:spacing w:lineRule="auto" w:line="276" w:before="480" w:after="0"/>
      <w:ind w:hanging="0" w:left="0"/>
      <w:jc w:val="both"/>
    </w:pPr>
    <w:rPr>
      <w:rFonts w:ascii="Arial" w:hAnsi="Arial"/>
      <w:bCs w:val="false"/>
      <w:color w:val="000000"/>
      <w:kern w:val="0"/>
      <w:sz w:val="20"/>
      <w:szCs w:val="20"/>
      <w:lang w:eastAsia="pt-BR"/>
    </w:rPr>
  </w:style>
  <w:style w:type="paragraph" w:styleId="2Ttulo" w:customStyle="1">
    <w:name w:val="2 Título"/>
    <w:basedOn w:val="Heading2"/>
    <w:next w:val="Heading2"/>
    <w:link w:val="2TtuloChar"/>
    <w:qFormat/>
    <w:rsid w:val="00fe73e1"/>
    <w:pPr>
      <w:keepNext w:val="false"/>
      <w:widowControl w:val="false"/>
      <w:tabs>
        <w:tab w:val="clear" w:pos="708"/>
        <w:tab w:val="left" w:pos="567" w:leader="none"/>
      </w:tabs>
      <w:suppressAutoHyphens w:val="true"/>
      <w:ind w:hanging="720" w:left="1080"/>
      <w:jc w:val="both"/>
    </w:pPr>
    <w:rPr>
      <w:rFonts w:ascii="Arial Negrito" w:hAnsi="Arial Negrito" w:cs="Arial"/>
      <w:color w:val="000000"/>
      <w:sz w:val="22"/>
    </w:rPr>
  </w:style>
  <w:style w:type="paragraph" w:styleId="1Ttulo" w:customStyle="1">
    <w:name w:val="1 Título"/>
    <w:basedOn w:val="Heading1"/>
    <w:next w:val="Heading1"/>
    <w:link w:val="1TtuloChar"/>
    <w:qFormat/>
    <w:rsid w:val="007c4578"/>
    <w:pPr>
      <w:keepNext w:val="false"/>
      <w:widowControl w:val="false"/>
      <w:tabs>
        <w:tab w:val="clear" w:pos="708"/>
        <w:tab w:val="left" w:pos="426" w:leader="none"/>
      </w:tabs>
      <w:suppressAutoHyphens w:val="true"/>
      <w:overflowPunct w:val="true"/>
      <w:spacing w:before="0" w:after="0"/>
      <w:ind w:hanging="360" w:left="720"/>
      <w:jc w:val="both"/>
      <w:textAlignment w:val="baseline"/>
    </w:pPr>
    <w:rPr>
      <w:rFonts w:ascii="Arial" w:hAnsi="Arial" w:cs="Arial"/>
      <w:kern w:val="0"/>
      <w:sz w:val="22"/>
      <w:szCs w:val="22"/>
      <w:lang w:eastAsia="pt-BR"/>
    </w:rPr>
  </w:style>
  <w:style w:type="paragraph" w:styleId="Nivel01" w:customStyle="1">
    <w:name w:val="Nivel 01"/>
    <w:basedOn w:val="Heading1"/>
    <w:next w:val="Normal"/>
    <w:link w:val="Nivel01Char"/>
    <w:qFormat/>
    <w:rsid w:val="00f9641a"/>
    <w:pPr>
      <w:keepLines/>
      <w:tabs>
        <w:tab w:val="clear" w:pos="708"/>
        <w:tab w:val="left" w:pos="567" w:leader="none"/>
      </w:tabs>
      <w:spacing w:before="240" w:after="0"/>
      <w:ind w:hanging="360" w:left="360"/>
      <w:jc w:val="both"/>
    </w:pPr>
    <w:rPr>
      <w:rFonts w:ascii="Arial" w:hAnsi="Arial" w:eastAsia="" w:cs="Arial" w:eastAsiaTheme="majorEastAsia"/>
      <w:kern w:val="0"/>
      <w:sz w:val="20"/>
      <w:szCs w:val="20"/>
      <w:lang w:eastAsia="pt-BR"/>
    </w:rPr>
  </w:style>
  <w:style w:type="paragraph" w:styleId="Nivel2" w:customStyle="1">
    <w:name w:val="Nivel 2"/>
    <w:basedOn w:val="Normal"/>
    <w:link w:val="Nivel2Char"/>
    <w:qFormat/>
    <w:rsid w:val="00f9641a"/>
    <w:pPr>
      <w:spacing w:lineRule="auto" w:line="276" w:before="120" w:after="120"/>
      <w:ind w:hanging="432" w:left="999"/>
      <w:jc w:val="both"/>
    </w:pPr>
    <w:rPr>
      <w:rFonts w:ascii="Arial" w:hAnsi="Arial" w:eastAsia="" w:cs="Arial" w:eastAsiaTheme="minorEastAsia"/>
      <w:color w:val="000000"/>
      <w:sz w:val="20"/>
      <w:szCs w:val="20"/>
      <w:lang w:eastAsia="pt-BR"/>
    </w:rPr>
  </w:style>
  <w:style w:type="paragraph" w:styleId="Nivel3" w:customStyle="1">
    <w:name w:val="Nivel 3"/>
    <w:basedOn w:val="Normal"/>
    <w:link w:val="Nivel3Char"/>
    <w:qFormat/>
    <w:rsid w:val="00f9641a"/>
    <w:pPr>
      <w:spacing w:lineRule="auto" w:line="276" w:before="120" w:after="120"/>
      <w:ind w:hanging="504" w:left="3198"/>
      <w:jc w:val="both"/>
    </w:pPr>
    <w:rPr>
      <w:rFonts w:ascii="Arial" w:hAnsi="Arial" w:eastAsia="" w:cs="Arial" w:eastAsiaTheme="minorEastAsia"/>
      <w:color w:val="000000"/>
      <w:sz w:val="20"/>
      <w:szCs w:val="20"/>
      <w:lang w:eastAsia="pt-BR"/>
    </w:rPr>
  </w:style>
  <w:style w:type="paragraph" w:styleId="Nivel4" w:customStyle="1">
    <w:name w:val="Nivel 4"/>
    <w:basedOn w:val="Nivel3"/>
    <w:qFormat/>
    <w:rsid w:val="00f9641a"/>
    <w:pPr>
      <w:ind w:hanging="0" w:left="851"/>
    </w:pPr>
    <w:rPr>
      <w:color w:val="auto"/>
    </w:rPr>
  </w:style>
  <w:style w:type="paragraph" w:styleId="Nivel5" w:customStyle="1">
    <w:name w:val="Nivel 5"/>
    <w:basedOn w:val="Nivel4"/>
    <w:qFormat/>
    <w:rsid w:val="00f9641a"/>
    <w:pPr>
      <w:ind w:left="1276"/>
    </w:pPr>
    <w:rPr/>
  </w:style>
  <w:style w:type="paragraph" w:styleId="Nvel3-R" w:customStyle="1">
    <w:name w:val="Nível 3-R"/>
    <w:basedOn w:val="Nivel3"/>
    <w:link w:val="Nvel3-RChar"/>
    <w:qFormat/>
    <w:rsid w:val="00f9641a"/>
    <w:pPr/>
    <w:rPr>
      <w:i/>
      <w:iCs/>
      <w:color w:val="FF0000"/>
    </w:rPr>
  </w:style>
  <w:style w:type="paragraph" w:styleId="AnnotationText">
    <w:name w:val="Annotation Text"/>
    <w:basedOn w:val="Normal"/>
    <w:link w:val="TextodecomentrioChar"/>
    <w:uiPriority w:val="99"/>
    <w:unhideWhenUsed/>
    <w:qFormat/>
    <w:rsid w:val="00115464"/>
    <w:pPr/>
    <w:rPr>
      <w:rFonts w:ascii="Ecofont_Spranq_eco_Sans" w:hAnsi="Ecofont_Spranq_eco_Sans" w:eastAsia="" w:cs="Tahoma" w:eastAsiaTheme="minorEastAsia"/>
      <w:sz w:val="20"/>
      <w:szCs w:val="20"/>
      <w:lang w:eastAsia="pt-BR"/>
    </w:rPr>
  </w:style>
  <w:style w:type="paragraph" w:styleId="Standard" w:customStyle="1">
    <w:name w:val="Standard"/>
    <w:qFormat/>
    <w:rsid w:val="00723746"/>
    <w:pPr>
      <w:widowControl/>
      <w:suppressAutoHyphens w:val="true"/>
      <w:bidi w:val="0"/>
      <w:spacing w:lineRule="auto" w:line="252" w:before="0" w:after="160"/>
      <w:jc w:val="left"/>
      <w:textAlignment w:val="baseline"/>
    </w:pPr>
    <w:rPr>
      <w:rFonts w:ascii="Calibri" w:hAnsi="Calibri" w:eastAsia="Calibri" w:cs="Tahoma"/>
      <w:color w:val="auto"/>
      <w:kern w:val="0"/>
      <w:sz w:val="22"/>
      <w:szCs w:val="22"/>
      <w:lang w:val="pt-BR" w:eastAsia="en-US" w:bidi="ar-SA"/>
    </w:rPr>
  </w:style>
  <w:style w:type="paragraph" w:styleId="Nvel2-Red" w:customStyle="1">
    <w:name w:val="Nível 2 -Red"/>
    <w:basedOn w:val="Nivel2"/>
    <w:link w:val="Nvel2-RedChar"/>
    <w:qFormat/>
    <w:rsid w:val="00af72b0"/>
    <w:pPr>
      <w:numPr>
        <w:ilvl w:val="1"/>
        <w:numId w:val="1"/>
      </w:numPr>
    </w:pPr>
    <w:rPr>
      <w:i/>
      <w:iCs/>
      <w:color w:val="FF0000"/>
    </w:rPr>
  </w:style>
  <w:style w:type="paragraph" w:styleId="western" w:customStyle="1">
    <w:name w:val="western"/>
    <w:basedOn w:val="Standard"/>
    <w:qFormat/>
    <w:rsid w:val="003b2745"/>
    <w:pPr>
      <w:spacing w:lineRule="auto" w:line="240" w:before="280" w:after="119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ou" w:customStyle="1">
    <w:name w:val="ou"/>
    <w:basedOn w:val="ListParagraph"/>
    <w:link w:val="ouChar"/>
    <w:qFormat/>
    <w:rsid w:val="00411c46"/>
    <w:pPr>
      <w:spacing w:lineRule="auto" w:line="259" w:before="60" w:after="60"/>
      <w:ind w:left="0"/>
      <w:contextualSpacing w:val="false"/>
      <w:jc w:val="center"/>
    </w:pPr>
    <w:rPr>
      <w:rFonts w:ascii="Arial" w:hAnsi="Arial" w:eastAsia="Calibri" w:cs="Arial" w:eastAsiaTheme="minorHAnsi"/>
      <w:b/>
      <w:bCs/>
      <w:i/>
      <w:iCs/>
      <w:color w:val="FF0000"/>
      <w:sz w:val="24"/>
      <w:szCs w:val="24"/>
      <w:u w:val="single"/>
      <w:lang w:eastAsia="pt-BR"/>
    </w:rPr>
  </w:style>
  <w:style w:type="paragraph" w:styleId="Corpodetexto22" w:customStyle="1">
    <w:name w:val="Corpo de texto 22"/>
    <w:basedOn w:val="Normal"/>
    <w:qFormat/>
    <w:rsid w:val="000528ba"/>
    <w:pPr>
      <w:suppressAutoHyphens w:val="true"/>
      <w:jc w:val="both"/>
    </w:pPr>
    <w:rPr>
      <w:rFonts w:ascii="Century Gothic" w:hAnsi="Century Gothic" w:eastAsia="Arial Unicode MS" w:cs="Century Gothic"/>
      <w:sz w:val="28"/>
      <w:lang w:eastAsia="zh-CN"/>
    </w:rPr>
  </w:style>
  <w:style w:type="paragraph" w:styleId="dou-paragraph" w:customStyle="1">
    <w:name w:val="dou-paragraph"/>
    <w:basedOn w:val="Normal"/>
    <w:qFormat/>
    <w:rsid w:val="008364a1"/>
    <w:pPr>
      <w:spacing w:beforeAutospacing="1" w:afterAutospacing="1"/>
    </w:pPr>
    <w:rPr>
      <w:rFonts w:ascii="Times New Roman" w:hAnsi="Times New Roman"/>
      <w:lang w:eastAsia="pt-BR"/>
    </w:rPr>
  </w:style>
  <w:style w:type="paragraph" w:styleId="pspdfkit-8ayy4hjz5h5sb5mqfjxzpc42zw" w:customStyle="1">
    <w:name w:val="pspdfkit-8ayy4hjz5h5sb5mqfjxzpc42zw"/>
    <w:basedOn w:val="Normal"/>
    <w:qFormat/>
    <w:rsid w:val="003a6a2c"/>
    <w:pPr>
      <w:spacing w:beforeAutospacing="1" w:afterAutospacing="1"/>
    </w:pPr>
    <w:rPr>
      <w:rFonts w:ascii="Times New Roman" w:hAnsi="Times New Roman"/>
      <w:lang w:eastAsia="pt-BR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a0483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licitamesp.com.br/home.jsf?windowId=2cf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0804AB-1034-4F57-9FCA-69570D228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10150</TotalTime>
  <Application>LibreOffice/24.2.5.2$Windows_X86_64 LibreOffice_project/bffef4ea93e59bebbeaf7f431bb02b1a39ee8a59</Application>
  <AppVersion>15.0000</AppVersion>
  <Pages>11</Pages>
  <Words>4678</Words>
  <Characters>28138</Characters>
  <CharactersWithSpaces>32535</CharactersWithSpaces>
  <Paragraphs>259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2024-12-18T17:41:00Z</dcterms:created>
  <dc:creator>Leticia Pereira Chagas</dc:creator>
  <dc:description/>
  <dc:language>pt-BR</dc:language>
  <cp:lastModifiedBy/>
  <cp:lastPrinted>2019-05-08T19:04:00Z</cp:lastPrinted>
  <dcterms:modified xsi:type="dcterms:W3CDTF">2025-10-13T10:28:48Z</dcterms:modified>
  <cp:revision>129</cp:revision>
  <dc:subject/>
  <dc:title>EDITAL DE PREGÃO ELETRÔNICO Nº 031/2013 – COMUSA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