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CD09A4">
      <w:pPr>
        <w:pStyle w:val="12"/>
        <w:ind w:right="-933" w:rightChars="-424"/>
        <w:jc w:val="both"/>
        <w:rPr>
          <w:rFonts w:hint="default" w:ascii="Arial" w:hAnsi="Arial" w:cs="Arial"/>
          <w:sz w:val="24"/>
          <w:szCs w:val="24"/>
        </w:rPr>
      </w:pPr>
    </w:p>
    <w:p w14:paraId="10EF1A0E">
      <w:pPr>
        <w:jc w:val="center"/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t>DOCUMENTO DE FORMALIZAÇÃO DE DEMANDA</w:t>
      </w:r>
    </w:p>
    <w:p w14:paraId="206D70FB">
      <w:pPr>
        <w:jc w:val="center"/>
        <w:rPr>
          <w:rFonts w:ascii="Bookman Old Style" w:hAnsi="Bookman Old Style"/>
          <w:b/>
          <w:bCs/>
          <w:sz w:val="24"/>
          <w:szCs w:val="24"/>
        </w:rPr>
      </w:pPr>
    </w:p>
    <w:p w14:paraId="1C38B1FF">
      <w:pPr>
        <w:rPr>
          <w:rFonts w:hint="default" w:ascii="Bookman Old Style" w:hAnsi="Bookman Old Style"/>
          <w:b/>
          <w:bCs/>
          <w:sz w:val="24"/>
          <w:szCs w:val="24"/>
          <w:lang w:val="pt-BR"/>
        </w:rPr>
      </w:pPr>
      <w:r>
        <w:rPr>
          <w:rFonts w:ascii="Bookman Old Style" w:hAnsi="Bookman Old Style"/>
          <w:sz w:val="24"/>
          <w:szCs w:val="24"/>
        </w:rPr>
        <w:t xml:space="preserve">Setor Demandante: </w:t>
      </w:r>
      <w:r>
        <w:rPr>
          <w:rFonts w:hint="default" w:ascii="Bookman Old Style" w:hAnsi="Bookman Old Style"/>
          <w:b/>
          <w:bCs/>
          <w:sz w:val="24"/>
          <w:szCs w:val="24"/>
          <w:lang w:val="pt-BR"/>
        </w:rPr>
        <w:t>Secretaria Municipal de Educação</w:t>
      </w:r>
    </w:p>
    <w:p w14:paraId="6DED7E93">
      <w:pPr>
        <w:rPr>
          <w:rFonts w:hint="default" w:ascii="Bookman Old Style" w:hAnsi="Bookman Old Style"/>
          <w:b/>
          <w:bCs/>
          <w:sz w:val="24"/>
          <w:szCs w:val="24"/>
          <w:lang w:val="pt-BR"/>
        </w:rPr>
      </w:pPr>
    </w:p>
    <w:p w14:paraId="2718A6BA">
      <w:pPr>
        <w:pStyle w:val="10"/>
        <w:numPr>
          <w:ilvl w:val="0"/>
          <w:numId w:val="1"/>
        </w:numPr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t>DEFINAÇÃO DO OBJETO</w:t>
      </w:r>
    </w:p>
    <w:p w14:paraId="0C89DD9F">
      <w:pPr>
        <w:numPr>
          <w:ilvl w:val="1"/>
          <w:numId w:val="1"/>
        </w:numPr>
        <w:ind w:left="1080" w:leftChars="0" w:hanging="720" w:firstLineChars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-</w:t>
      </w:r>
      <w:r>
        <w:rPr>
          <w:rFonts w:hint="default" w:ascii="Bookman Old Style" w:hAnsi="Bookman Old Style"/>
          <w:sz w:val="24"/>
          <w:szCs w:val="24"/>
          <w:lang w:val="pt-BR"/>
        </w:rPr>
        <w:t>Credenciamento para a</w:t>
      </w:r>
      <w:r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aquisição de gêneros alimentícios da Agricultura Familiar e do Empreendedor Familiar Rural, destinado ao atendimento ao Programa Nacional de Alimentação Escolar, durante o período de </w:t>
      </w:r>
      <w:r>
        <w:rPr>
          <w:rFonts w:hint="default" w:ascii="Arial" w:hAnsi="Arial" w:cs="Arial"/>
          <w:sz w:val="22"/>
          <w:szCs w:val="22"/>
          <w:lang w:val="pt-BR"/>
        </w:rPr>
        <w:t>Abril</w:t>
      </w:r>
      <w:r>
        <w:rPr>
          <w:rFonts w:ascii="Arial" w:hAnsi="Arial" w:cs="Arial"/>
          <w:sz w:val="22"/>
          <w:szCs w:val="22"/>
        </w:rPr>
        <w:t xml:space="preserve"> a dezembro de 202</w:t>
      </w:r>
      <w:r>
        <w:rPr>
          <w:rFonts w:hint="default" w:ascii="Arial" w:hAnsi="Arial" w:cs="Arial"/>
          <w:sz w:val="22"/>
          <w:szCs w:val="22"/>
          <w:lang w:val="pt-BR"/>
        </w:rPr>
        <w:t>4</w:t>
      </w:r>
      <w:r>
        <w:rPr>
          <w:rFonts w:ascii="Bookman Old Style" w:hAnsi="Bookman Old Style"/>
          <w:sz w:val="24"/>
          <w:szCs w:val="24"/>
        </w:rPr>
        <w:t xml:space="preserve"> conforme condições e especificações contidas no termo de referência</w:t>
      </w:r>
    </w:p>
    <w:p w14:paraId="10F3B3BE">
      <w:pPr>
        <w:numPr>
          <w:ilvl w:val="0"/>
          <w:numId w:val="0"/>
        </w:numPr>
        <w:ind w:left="360" w:leftChars="0" w:right="0" w:rightChars="0"/>
        <w:jc w:val="both"/>
        <w:rPr>
          <w:rFonts w:ascii="Bookman Old Style" w:hAnsi="Bookman Old Style"/>
          <w:sz w:val="24"/>
          <w:szCs w:val="24"/>
        </w:rPr>
      </w:pPr>
    </w:p>
    <w:p w14:paraId="6075424D">
      <w:pPr>
        <w:pStyle w:val="10"/>
        <w:numPr>
          <w:ilvl w:val="0"/>
          <w:numId w:val="1"/>
        </w:numPr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t>JUSTIFICATIVA DA NECESSIDADE CONTRATANTE</w:t>
      </w:r>
    </w:p>
    <w:p w14:paraId="71AC0C22">
      <w:pPr>
        <w:pStyle w:val="10"/>
        <w:numPr>
          <w:ilvl w:val="0"/>
          <w:numId w:val="0"/>
        </w:numPr>
        <w:ind w:left="360" w:leftChars="0" w:right="0" w:rightChars="0"/>
        <w:rPr>
          <w:rFonts w:ascii="Bookman Old Style" w:hAnsi="Bookman Old Style"/>
          <w:b/>
          <w:bCs/>
          <w:sz w:val="24"/>
          <w:szCs w:val="24"/>
        </w:rPr>
      </w:pPr>
    </w:p>
    <w:p w14:paraId="4AE8FFBF">
      <w:pPr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 xml:space="preserve">2.1 </w:t>
      </w:r>
      <w:r>
        <w:rPr>
          <w:rFonts w:hint="default" w:ascii="Arial" w:hAnsi="Arial" w:eastAsia="SimSun" w:cs="Arial"/>
          <w:sz w:val="24"/>
          <w:szCs w:val="24"/>
        </w:rPr>
        <w:t>Tendo em vista a necessidade da Secretaria Municipal de Educação, que tem com demanda a contratação de organizações fornecedoras que se enquadrem nos requisitos estabelecidos n</w:t>
      </w:r>
      <w:r>
        <w:rPr>
          <w:rFonts w:hint="default" w:ascii="Arial" w:hAnsi="Arial" w:eastAsia="SimSun" w:cs="Arial"/>
          <w:sz w:val="24"/>
          <w:szCs w:val="24"/>
          <w:lang w:val="pt-BR"/>
        </w:rPr>
        <w:t>a</w:t>
      </w:r>
      <w:r>
        <w:rPr>
          <w:rFonts w:hint="default" w:ascii="Arial" w:hAnsi="Arial" w:eastAsia="SimSun" w:cs="Arial"/>
          <w:sz w:val="24"/>
          <w:szCs w:val="24"/>
        </w:rPr>
        <w:t xml:space="preserve"> Lei nº 11.</w:t>
      </w:r>
      <w:r>
        <w:rPr>
          <w:rFonts w:hint="default" w:ascii="Arial" w:hAnsi="Arial" w:eastAsia="SimSun" w:cs="Arial"/>
          <w:sz w:val="24"/>
          <w:szCs w:val="24"/>
          <w:lang w:val="pt-BR"/>
        </w:rPr>
        <w:t>947</w:t>
      </w:r>
      <w:r>
        <w:rPr>
          <w:rFonts w:hint="default" w:ascii="Arial" w:hAnsi="Arial" w:eastAsia="SimSun" w:cs="Arial"/>
          <w:sz w:val="24"/>
          <w:szCs w:val="24"/>
        </w:rPr>
        <w:t>/200</w:t>
      </w:r>
      <w:r>
        <w:rPr>
          <w:rFonts w:hint="default" w:ascii="Arial" w:hAnsi="Arial" w:eastAsia="SimSun" w:cs="Arial"/>
          <w:sz w:val="24"/>
          <w:szCs w:val="24"/>
          <w:lang w:val="pt-BR"/>
        </w:rPr>
        <w:t>9 e CD/FNDE n° 06/2020</w:t>
      </w:r>
      <w:r>
        <w:rPr>
          <w:rFonts w:hint="default" w:ascii="Arial" w:hAnsi="Arial" w:eastAsia="SimSun" w:cs="Arial"/>
          <w:sz w:val="24"/>
          <w:szCs w:val="24"/>
        </w:rPr>
        <w:t xml:space="preserve"> que estabelece as diretrizes para a formulação da Política Nacional da Agricultura Familiar e Empreendimentos Familiares Rurais, aptas a promover a prestação de serviço de fornecimento de gêneros perecíveis e não perecíveis para o abastecimento, incluindo o aprovisionamento de gêneros, logística e distribuição nas Escolas da Rede Municipal de Ensino  de </w:t>
      </w:r>
      <w:r>
        <w:rPr>
          <w:rFonts w:hint="default" w:ascii="Arial" w:hAnsi="Arial" w:eastAsia="SimSun" w:cs="Arial"/>
          <w:sz w:val="24"/>
          <w:szCs w:val="24"/>
          <w:lang w:val="pt-BR"/>
        </w:rPr>
        <w:t>Itaquitinga - PE</w:t>
      </w:r>
      <w:r>
        <w:rPr>
          <w:rFonts w:hint="default" w:ascii="Arial" w:hAnsi="Arial" w:cs="Arial"/>
          <w:sz w:val="24"/>
          <w:szCs w:val="24"/>
        </w:rPr>
        <w:t>.</w:t>
      </w:r>
    </w:p>
    <w:p w14:paraId="1C4A943C">
      <w:pPr>
        <w:rPr>
          <w:rFonts w:hint="default" w:ascii="Arial" w:hAnsi="Arial" w:cs="Arial"/>
          <w:sz w:val="24"/>
          <w:szCs w:val="24"/>
        </w:rPr>
      </w:pPr>
    </w:p>
    <w:p w14:paraId="6B82919B">
      <w:pPr>
        <w:pStyle w:val="10"/>
        <w:numPr>
          <w:ilvl w:val="0"/>
          <w:numId w:val="1"/>
        </w:numPr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t>QUANTIDADE A SER CONTRATADA</w:t>
      </w:r>
    </w:p>
    <w:p w14:paraId="317C0A1F">
      <w:pPr>
        <w:pStyle w:val="10"/>
        <w:numPr>
          <w:ilvl w:val="1"/>
          <w:numId w:val="1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Conforme Tabela Abaixo:</w:t>
      </w:r>
    </w:p>
    <w:tbl>
      <w:tblPr>
        <w:tblStyle w:val="4"/>
        <w:tblW w:w="10463" w:type="dxa"/>
        <w:tblInd w:w="-45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8"/>
        <w:gridCol w:w="3360"/>
        <w:gridCol w:w="1875"/>
        <w:gridCol w:w="1350"/>
        <w:gridCol w:w="1080"/>
        <w:gridCol w:w="375"/>
        <w:gridCol w:w="1594"/>
        <w:gridCol w:w="41"/>
      </w:tblGrid>
      <w:tr w14:paraId="3AA063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300" w:hRule="atLeast"/>
        </w:trPr>
        <w:tc>
          <w:tcPr>
            <w:tcW w:w="7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51D665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Item</w:t>
            </w:r>
          </w:p>
        </w:tc>
        <w:tc>
          <w:tcPr>
            <w:tcW w:w="3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DE9066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Nome</w:t>
            </w:r>
          </w:p>
        </w:tc>
        <w:tc>
          <w:tcPr>
            <w:tcW w:w="18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5EC3CC7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Preço Estimado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29B6C15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Quantidade</w:t>
            </w:r>
          </w:p>
        </w:tc>
        <w:tc>
          <w:tcPr>
            <w:tcW w:w="145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4CE6D49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Unidade</w:t>
            </w:r>
          </w:p>
        </w:tc>
        <w:tc>
          <w:tcPr>
            <w:tcW w:w="163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3CE585F">
            <w:pPr>
              <w:keepNext w:val="0"/>
              <w:keepLines w:val="0"/>
              <w:widowControl/>
              <w:suppressLineNumbers w:val="0"/>
              <w:ind w:right="988" w:rightChars="449"/>
              <w:jc w:val="both"/>
              <w:textAlignment w:val="bottom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Total</w:t>
            </w:r>
          </w:p>
        </w:tc>
      </w:tr>
      <w:tr w14:paraId="660DE7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300" w:hRule="atLeast"/>
        </w:trPr>
        <w:tc>
          <w:tcPr>
            <w:tcW w:w="7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vAlign w:val="bottom"/>
          </w:tcPr>
          <w:p w14:paraId="20CA79C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vAlign w:val="bottom"/>
          </w:tcPr>
          <w:p w14:paraId="4782092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ABACAXI - com coroa de primeira, tamanho e coloração uniforme, devendo ser bem desenvolvido e maduro, com polpa firme e intacta, pesando aproximadamente 1 a 1.5 kg/unidade.</w:t>
            </w:r>
          </w:p>
        </w:tc>
        <w:tc>
          <w:tcPr>
            <w:tcW w:w="18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00AD356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R$ 7,41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6D7BAF6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4.936</w:t>
            </w:r>
          </w:p>
        </w:tc>
        <w:tc>
          <w:tcPr>
            <w:tcW w:w="145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1F0356F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Quilogramas</w:t>
            </w:r>
          </w:p>
        </w:tc>
        <w:tc>
          <w:tcPr>
            <w:tcW w:w="163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5CE4140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R$ 36.575,76 </w:t>
            </w:r>
          </w:p>
        </w:tc>
      </w:tr>
      <w:tr w14:paraId="163E6A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300" w:hRule="atLeast"/>
        </w:trPr>
        <w:tc>
          <w:tcPr>
            <w:tcW w:w="7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vAlign w:val="bottom"/>
          </w:tcPr>
          <w:p w14:paraId="36E8FF8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  <w:bookmarkStart w:id="0" w:name="_GoBack"/>
            <w:bookmarkEnd w:id="0"/>
          </w:p>
        </w:tc>
        <w:tc>
          <w:tcPr>
            <w:tcW w:w="3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vAlign w:val="bottom"/>
          </w:tcPr>
          <w:p w14:paraId="1164E68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BANANA COMPRIDA - de primeira qualidade, in natura, com ausência de sujidades, parasitas e larvas, apresentando grau de maturação que permita sua manipulação, transporte e conservação em condições adequadas para consumo.</w:t>
            </w:r>
          </w:p>
        </w:tc>
        <w:tc>
          <w:tcPr>
            <w:tcW w:w="18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69986D2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R$ 6,26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361AEBE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2.841</w:t>
            </w:r>
          </w:p>
        </w:tc>
        <w:tc>
          <w:tcPr>
            <w:tcW w:w="145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1F65128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Quilogramas</w:t>
            </w:r>
          </w:p>
        </w:tc>
        <w:tc>
          <w:tcPr>
            <w:tcW w:w="163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227A40F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R$ 17.784,66 </w:t>
            </w:r>
          </w:p>
        </w:tc>
      </w:tr>
      <w:tr w14:paraId="52F96E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300" w:hRule="atLeast"/>
        </w:trPr>
        <w:tc>
          <w:tcPr>
            <w:tcW w:w="7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vAlign w:val="bottom"/>
          </w:tcPr>
          <w:p w14:paraId="3094733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vAlign w:val="bottom"/>
          </w:tcPr>
          <w:p w14:paraId="3C5A004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BANANA PACOVÃ</w:t>
            </w:r>
          </w:p>
        </w:tc>
        <w:tc>
          <w:tcPr>
            <w:tcW w:w="18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4784D94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R$ 5,97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4A44E3F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11.869</w:t>
            </w:r>
          </w:p>
        </w:tc>
        <w:tc>
          <w:tcPr>
            <w:tcW w:w="145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039351A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Quilogramas</w:t>
            </w:r>
          </w:p>
        </w:tc>
        <w:tc>
          <w:tcPr>
            <w:tcW w:w="163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0D2EA30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R$ 70.857,93 </w:t>
            </w:r>
          </w:p>
        </w:tc>
      </w:tr>
      <w:tr w14:paraId="10B8D1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300" w:hRule="atLeast"/>
        </w:trPr>
        <w:tc>
          <w:tcPr>
            <w:tcW w:w="7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vAlign w:val="bottom"/>
          </w:tcPr>
          <w:p w14:paraId="6A511DC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vAlign w:val="bottom"/>
          </w:tcPr>
          <w:p w14:paraId="1F0CDE5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LARANJA- laranja, apresentação: natural, fresca, de primeira, livre de resíduos de fertilizantes sujidades, parasitas e larvas, tamanhos e coloração uniformes, devendo ser bem desenvolvida e madura, com polpa firme e intacta</w:t>
            </w:r>
          </w:p>
        </w:tc>
        <w:tc>
          <w:tcPr>
            <w:tcW w:w="18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69C07A8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R$ 6,64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6462244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3.120</w:t>
            </w:r>
          </w:p>
        </w:tc>
        <w:tc>
          <w:tcPr>
            <w:tcW w:w="145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785D3D6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Quilogramas</w:t>
            </w:r>
          </w:p>
        </w:tc>
        <w:tc>
          <w:tcPr>
            <w:tcW w:w="163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2EB455A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R$ 20.716,80 </w:t>
            </w:r>
          </w:p>
        </w:tc>
      </w:tr>
      <w:tr w14:paraId="71D5EB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300" w:hRule="atLeast"/>
        </w:trPr>
        <w:tc>
          <w:tcPr>
            <w:tcW w:w="7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vAlign w:val="bottom"/>
          </w:tcPr>
          <w:p w14:paraId="44A136E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vAlign w:val="bottom"/>
          </w:tcPr>
          <w:p w14:paraId="62C8B0D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MELANCIA - melancia vermelha, apresentação: natural. De primeira qualidade. Tamanho médio a grande. Casca íntegra, sem fungos, consistência firme.</w:t>
            </w:r>
          </w:p>
        </w:tc>
        <w:tc>
          <w:tcPr>
            <w:tcW w:w="18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6A1B69E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R$ 7,70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13EC215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4.680</w:t>
            </w:r>
          </w:p>
        </w:tc>
        <w:tc>
          <w:tcPr>
            <w:tcW w:w="145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57A5105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Quilogramas</w:t>
            </w:r>
          </w:p>
        </w:tc>
        <w:tc>
          <w:tcPr>
            <w:tcW w:w="163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576E395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R$ 36.036,00 </w:t>
            </w:r>
          </w:p>
        </w:tc>
      </w:tr>
      <w:tr w14:paraId="0DFA1E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300" w:hRule="atLeast"/>
        </w:trPr>
        <w:tc>
          <w:tcPr>
            <w:tcW w:w="7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vAlign w:val="bottom"/>
          </w:tcPr>
          <w:p w14:paraId="4158D43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vAlign w:val="bottom"/>
          </w:tcPr>
          <w:p w14:paraId="454DBB0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MAMÃO FORMOSA - mamão formosa, natural. De primeira qualidade. Tamanho médio a grande. Casca íntegra, sem fungos, consistência firme.</w:t>
            </w:r>
          </w:p>
        </w:tc>
        <w:tc>
          <w:tcPr>
            <w:tcW w:w="18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08FBDA3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R$ 8,53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1D286B8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5.634</w:t>
            </w:r>
          </w:p>
        </w:tc>
        <w:tc>
          <w:tcPr>
            <w:tcW w:w="145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12B807B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Quilogramas</w:t>
            </w:r>
          </w:p>
        </w:tc>
        <w:tc>
          <w:tcPr>
            <w:tcW w:w="163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5151F06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R$ 48.058,02 </w:t>
            </w:r>
          </w:p>
        </w:tc>
      </w:tr>
      <w:tr w14:paraId="2C6A4D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300" w:hRule="atLeast"/>
        </w:trPr>
        <w:tc>
          <w:tcPr>
            <w:tcW w:w="7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vAlign w:val="bottom"/>
          </w:tcPr>
          <w:p w14:paraId="20789CE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vAlign w:val="bottom"/>
          </w:tcPr>
          <w:p w14:paraId="51016BE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MARACUJÁ - Graúdos e selecionados de primeira, tamanho e coloração uniformes, devendo ser bem desenvolvido, verdoso com polpa intacta firme, livres de resíduos de fertilizantes, sem danos físicos e mecânicos oriundos do manuseio e transporte.</w:t>
            </w:r>
          </w:p>
        </w:tc>
        <w:tc>
          <w:tcPr>
            <w:tcW w:w="18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78BF049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R$ 8,58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42EA9F3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2.054</w:t>
            </w:r>
          </w:p>
        </w:tc>
        <w:tc>
          <w:tcPr>
            <w:tcW w:w="145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7C26577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Quilogramas</w:t>
            </w:r>
          </w:p>
        </w:tc>
        <w:tc>
          <w:tcPr>
            <w:tcW w:w="163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3AA02FD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R$ 17.623,32 </w:t>
            </w:r>
          </w:p>
        </w:tc>
      </w:tr>
      <w:tr w14:paraId="4AF6E3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300" w:hRule="atLeast"/>
        </w:trPr>
        <w:tc>
          <w:tcPr>
            <w:tcW w:w="7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vAlign w:val="bottom"/>
          </w:tcPr>
          <w:p w14:paraId="467FE83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vAlign w:val="bottom"/>
          </w:tcPr>
          <w:p w14:paraId="1933936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OVOS DE GALINHA - origem: galinha,  grupo: branco, classe: tipo: jumbo.  Isento de sujidades, fungos e  substâncias tóxicas, acondicionados  em bandejas apropriadas com 30  unidades, com inspeção do SIF</w:t>
            </w:r>
          </w:p>
        </w:tc>
        <w:tc>
          <w:tcPr>
            <w:tcW w:w="18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091D96D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R$ 28,78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7102692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8.523</w:t>
            </w:r>
          </w:p>
        </w:tc>
        <w:tc>
          <w:tcPr>
            <w:tcW w:w="145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56E070E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Bandejas</w:t>
            </w:r>
          </w:p>
        </w:tc>
        <w:tc>
          <w:tcPr>
            <w:tcW w:w="163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381E49A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R$ 245.291,94 </w:t>
            </w:r>
          </w:p>
        </w:tc>
      </w:tr>
      <w:tr w14:paraId="698828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300" w:hRule="atLeast"/>
        </w:trPr>
        <w:tc>
          <w:tcPr>
            <w:tcW w:w="7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vAlign w:val="bottom"/>
          </w:tcPr>
          <w:p w14:paraId="64CAFA2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vAlign w:val="bottom"/>
          </w:tcPr>
          <w:p w14:paraId="12D2C77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JERIMUM - boa qualidade (1ª  qualidade), coloração uniforme, isenta  de enfermidades, material terroso e  umidade externa anormal; sem dado físicos e mecânicos oriundos do  manuseio e transporte.</w:t>
            </w:r>
          </w:p>
        </w:tc>
        <w:tc>
          <w:tcPr>
            <w:tcW w:w="18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741220B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R$ 6,30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6F18CE2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2.840</w:t>
            </w:r>
          </w:p>
        </w:tc>
        <w:tc>
          <w:tcPr>
            <w:tcW w:w="145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6534FBD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Quilogramas</w:t>
            </w:r>
          </w:p>
        </w:tc>
        <w:tc>
          <w:tcPr>
            <w:tcW w:w="163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1D97934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R$ 17.892,00 </w:t>
            </w:r>
          </w:p>
        </w:tc>
      </w:tr>
      <w:tr w14:paraId="00C0C6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300" w:hRule="atLeast"/>
        </w:trPr>
        <w:tc>
          <w:tcPr>
            <w:tcW w:w="7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vAlign w:val="bottom"/>
          </w:tcPr>
          <w:p w14:paraId="32D20C3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vAlign w:val="bottom"/>
          </w:tcPr>
          <w:p w14:paraId="211791D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POLPA DE FRUTA - embalagem de 1kg, na embalagem  deve conter as informações  nutricionais, prazo de validade.</w:t>
            </w:r>
          </w:p>
        </w:tc>
        <w:tc>
          <w:tcPr>
            <w:tcW w:w="18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2C259DB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R$ 22,04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412AF58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10.248</w:t>
            </w:r>
          </w:p>
        </w:tc>
        <w:tc>
          <w:tcPr>
            <w:tcW w:w="145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7E7B5CB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Quilogramas</w:t>
            </w:r>
          </w:p>
        </w:tc>
        <w:tc>
          <w:tcPr>
            <w:tcW w:w="163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1CF3EF8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R$ 225.865,92 </w:t>
            </w:r>
          </w:p>
        </w:tc>
      </w:tr>
      <w:tr w14:paraId="1195F7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300" w:hRule="atLeast"/>
        </w:trPr>
        <w:tc>
          <w:tcPr>
            <w:tcW w:w="7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vAlign w:val="bottom"/>
          </w:tcPr>
          <w:p w14:paraId="7534269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vAlign w:val="bottom"/>
          </w:tcPr>
          <w:p w14:paraId="6C35C93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BATATA DOCE- produto fresco de 1ª  qualidade, </w:t>
            </w:r>
          </w:p>
        </w:tc>
        <w:tc>
          <w:tcPr>
            <w:tcW w:w="18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7591D33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R$ 7,43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4D6DD87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6.948</w:t>
            </w:r>
          </w:p>
        </w:tc>
        <w:tc>
          <w:tcPr>
            <w:tcW w:w="145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717AD7D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Quilogramas</w:t>
            </w:r>
          </w:p>
        </w:tc>
        <w:tc>
          <w:tcPr>
            <w:tcW w:w="163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30C667C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R$ 51.623,64 </w:t>
            </w:r>
          </w:p>
        </w:tc>
      </w:tr>
      <w:tr w14:paraId="67454C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300" w:hRule="atLeast"/>
        </w:trPr>
        <w:tc>
          <w:tcPr>
            <w:tcW w:w="7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vAlign w:val="bottom"/>
          </w:tcPr>
          <w:p w14:paraId="425A958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vAlign w:val="bottom"/>
          </w:tcPr>
          <w:p w14:paraId="57681E5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INHAME- de primeira qualidade</w:t>
            </w:r>
          </w:p>
        </w:tc>
        <w:tc>
          <w:tcPr>
            <w:tcW w:w="18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74ADB57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R$ 9,23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51B5B10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4.246</w:t>
            </w:r>
          </w:p>
        </w:tc>
        <w:tc>
          <w:tcPr>
            <w:tcW w:w="145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67BF7EE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Quilogramas</w:t>
            </w:r>
          </w:p>
        </w:tc>
        <w:tc>
          <w:tcPr>
            <w:tcW w:w="163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720CDBA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R$ 39.190,58 </w:t>
            </w:r>
          </w:p>
        </w:tc>
      </w:tr>
      <w:tr w14:paraId="4D830F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300" w:hRule="atLeast"/>
        </w:trPr>
        <w:tc>
          <w:tcPr>
            <w:tcW w:w="7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vAlign w:val="bottom"/>
          </w:tcPr>
          <w:p w14:paraId="744D3CD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vAlign w:val="bottom"/>
          </w:tcPr>
          <w:p w14:paraId="0CCF137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MACAXEIRA</w:t>
            </w:r>
          </w:p>
        </w:tc>
        <w:tc>
          <w:tcPr>
            <w:tcW w:w="18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7C9D2B8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R$ 5,69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3F0F098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4.180</w:t>
            </w:r>
          </w:p>
        </w:tc>
        <w:tc>
          <w:tcPr>
            <w:tcW w:w="145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162C960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Quilogramas</w:t>
            </w:r>
          </w:p>
        </w:tc>
        <w:tc>
          <w:tcPr>
            <w:tcW w:w="163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5FD8968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R$ 23.784,20 </w:t>
            </w:r>
          </w:p>
        </w:tc>
      </w:tr>
      <w:tr w14:paraId="781D31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300" w:hRule="atLeast"/>
        </w:trPr>
        <w:tc>
          <w:tcPr>
            <w:tcW w:w="7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vAlign w:val="bottom"/>
          </w:tcPr>
          <w:p w14:paraId="5CE8A40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vAlign w:val="bottom"/>
          </w:tcPr>
          <w:p w14:paraId="396E988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CEBOLINHA - in natura, uso culinário,  tipo branca, firme, sem manchas ou  partes amolecidas. (quilograma).</w:t>
            </w:r>
          </w:p>
        </w:tc>
        <w:tc>
          <w:tcPr>
            <w:tcW w:w="18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6434EC2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R$ 4,74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0B096BF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13.345</w:t>
            </w:r>
          </w:p>
        </w:tc>
        <w:tc>
          <w:tcPr>
            <w:tcW w:w="145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38B8233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Quilogramas</w:t>
            </w:r>
          </w:p>
        </w:tc>
        <w:tc>
          <w:tcPr>
            <w:tcW w:w="163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22B64EF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R$ 63.255,30 </w:t>
            </w:r>
          </w:p>
        </w:tc>
      </w:tr>
      <w:tr w14:paraId="2B2809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300" w:hRule="atLeast"/>
        </w:trPr>
        <w:tc>
          <w:tcPr>
            <w:tcW w:w="7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vAlign w:val="bottom"/>
          </w:tcPr>
          <w:p w14:paraId="5E2AFE4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vAlign w:val="bottom"/>
          </w:tcPr>
          <w:p w14:paraId="3EBD734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COENTRO- produto fresco e com grau  de maturação intermediaria. deverá  apresentar odor agradável,  consistência firme, não deverá  apresentar perfurações, machucados,  coloração não característica. em  molhos com 150g.</w:t>
            </w:r>
          </w:p>
        </w:tc>
        <w:tc>
          <w:tcPr>
            <w:tcW w:w="18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05E851A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R$ 5,58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0B68C65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21.102</w:t>
            </w:r>
          </w:p>
        </w:tc>
        <w:tc>
          <w:tcPr>
            <w:tcW w:w="145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7925BF6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Quilogramas</w:t>
            </w:r>
          </w:p>
        </w:tc>
        <w:tc>
          <w:tcPr>
            <w:tcW w:w="163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00568BF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R$ 117.749,16 </w:t>
            </w:r>
          </w:p>
        </w:tc>
      </w:tr>
      <w:tr w14:paraId="1D9BBF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300" w:hRule="atLeast"/>
        </w:trPr>
        <w:tc>
          <w:tcPr>
            <w:tcW w:w="7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vAlign w:val="bottom"/>
          </w:tcPr>
          <w:p w14:paraId="7CCDEFF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vAlign w:val="bottom"/>
          </w:tcPr>
          <w:p w14:paraId="3439BD4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MILHO VERDE- in natura - tamanho  grande, de primeira qualidade, sem cascas, sem manchas,  com coloração uniforme e brilho, sem lesões de  origem físicas ou mecânicas, rachaduras e cortes. isenta  de sujidades, parasitas e larvas.</w:t>
            </w:r>
          </w:p>
        </w:tc>
        <w:tc>
          <w:tcPr>
            <w:tcW w:w="18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2D7A336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R$ 2,61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74FFA58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2.405</w:t>
            </w:r>
          </w:p>
        </w:tc>
        <w:tc>
          <w:tcPr>
            <w:tcW w:w="145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690BDC6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Quilogramas</w:t>
            </w:r>
          </w:p>
        </w:tc>
        <w:tc>
          <w:tcPr>
            <w:tcW w:w="163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127EDCB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R$ 6.277,05 </w:t>
            </w:r>
          </w:p>
        </w:tc>
      </w:tr>
      <w:tr w14:paraId="4B52DA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300" w:hRule="atLeast"/>
        </w:trPr>
        <w:tc>
          <w:tcPr>
            <w:tcW w:w="7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vAlign w:val="bottom"/>
          </w:tcPr>
          <w:p w14:paraId="67D8ECD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3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vAlign w:val="bottom"/>
          </w:tcPr>
          <w:p w14:paraId="3B70A64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MEL DE ABELHA- aspecto, cor,  cheiro e sabor característicos.  </w:t>
            </w:r>
          </w:p>
        </w:tc>
        <w:tc>
          <w:tcPr>
            <w:tcW w:w="18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0060C3C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R$ 95,46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1FC842D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145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1866F9E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Quilogramas</w:t>
            </w:r>
          </w:p>
        </w:tc>
        <w:tc>
          <w:tcPr>
            <w:tcW w:w="163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21EE6CB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R$ 8.591,40 </w:t>
            </w:r>
          </w:p>
        </w:tc>
      </w:tr>
      <w:tr w14:paraId="72080A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300" w:hRule="atLeast"/>
        </w:trPr>
        <w:tc>
          <w:tcPr>
            <w:tcW w:w="7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vAlign w:val="bottom"/>
          </w:tcPr>
          <w:p w14:paraId="0E6D71C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3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vAlign w:val="bottom"/>
          </w:tcPr>
          <w:p w14:paraId="1DB5E27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FRANGO INTEIRO- inteiro com  aspecto com cheiro e sabor próprio,  acondicionado em embalagem saco  plástico, pesando entre 2 e 3 kg.  (embalagem secundária com 20 kg).</w:t>
            </w:r>
          </w:p>
        </w:tc>
        <w:tc>
          <w:tcPr>
            <w:tcW w:w="18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1A8EE8A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R$ 25,93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0C2920A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5.300</w:t>
            </w:r>
          </w:p>
        </w:tc>
        <w:tc>
          <w:tcPr>
            <w:tcW w:w="145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4850C39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Quilogramas</w:t>
            </w:r>
          </w:p>
        </w:tc>
        <w:tc>
          <w:tcPr>
            <w:tcW w:w="163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noWrap/>
            <w:vAlign w:val="bottom"/>
          </w:tcPr>
          <w:p w14:paraId="1091ACC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333333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R$ 137.429,00 </w:t>
            </w:r>
          </w:p>
        </w:tc>
      </w:tr>
      <w:tr w14:paraId="40A618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Before w:w="0" w:type="auto"/>
          <w:wAfter w:w="41" w:type="dxa"/>
          <w:trHeight w:val="300" w:hRule="atLeast"/>
        </w:trPr>
        <w:tc>
          <w:tcPr>
            <w:tcW w:w="8453" w:type="dxa"/>
            <w:gridSpan w:val="5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646464"/>
            <w:noWrap/>
            <w:vAlign w:val="bottom"/>
          </w:tcPr>
          <w:p w14:paraId="4F13284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b/>
                <w:bCs/>
                <w:i w:val="0"/>
                <w:iCs w:val="0"/>
                <w:color w:val="FFFFFF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FFFFFF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Valor Global: </w:t>
            </w:r>
          </w:p>
        </w:tc>
        <w:tc>
          <w:tcPr>
            <w:tcW w:w="1969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646464"/>
            <w:noWrap/>
            <w:vAlign w:val="bottom"/>
          </w:tcPr>
          <w:p w14:paraId="7577A19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b/>
                <w:bCs/>
                <w:i w:val="0"/>
                <w:iCs w:val="0"/>
                <w:color w:val="FFFFFF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FFFFFF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R$ 1.184.602,68 </w:t>
            </w:r>
          </w:p>
        </w:tc>
      </w:tr>
    </w:tbl>
    <w:p w14:paraId="146FF2C5">
      <w:pPr>
        <w:pStyle w:val="6"/>
        <w:spacing w:before="2"/>
        <w:rPr>
          <w:b/>
          <w:sz w:val="13"/>
        </w:rPr>
      </w:pPr>
    </w:p>
    <w:p w14:paraId="5593AEC7">
      <w:pPr>
        <w:pStyle w:val="10"/>
        <w:ind w:left="1080"/>
        <w:rPr>
          <w:rFonts w:hint="default" w:ascii="Arial" w:hAnsi="Arial" w:cs="Arial"/>
          <w:sz w:val="22"/>
        </w:rPr>
      </w:pPr>
      <w:r>
        <w:rPr>
          <w:rFonts w:hint="default" w:ascii="Arial" w:hAnsi="Arial" w:cs="Arial"/>
          <w:sz w:val="22"/>
        </w:rPr>
        <w:t>Conforme</w:t>
      </w:r>
      <w:r>
        <w:rPr>
          <w:rFonts w:hint="default" w:ascii="Arial" w:hAnsi="Arial" w:cs="Arial"/>
          <w:spacing w:val="-6"/>
          <w:sz w:val="22"/>
        </w:rPr>
        <w:t xml:space="preserve"> </w:t>
      </w:r>
      <w:r>
        <w:rPr>
          <w:rFonts w:hint="default" w:ascii="Arial" w:hAnsi="Arial" w:cs="Arial"/>
          <w:sz w:val="22"/>
        </w:rPr>
        <w:t>art.</w:t>
      </w:r>
      <w:r>
        <w:rPr>
          <w:rFonts w:hint="default" w:ascii="Arial" w:hAnsi="Arial" w:cs="Arial"/>
          <w:spacing w:val="-7"/>
          <w:sz w:val="22"/>
        </w:rPr>
        <w:t xml:space="preserve"> </w:t>
      </w:r>
      <w:r>
        <w:rPr>
          <w:rFonts w:hint="default" w:ascii="Arial" w:hAnsi="Arial" w:cs="Arial"/>
          <w:sz w:val="22"/>
        </w:rPr>
        <w:t>6°,</w:t>
      </w:r>
      <w:r>
        <w:rPr>
          <w:rFonts w:hint="default" w:ascii="Arial" w:hAnsi="Arial" w:cs="Arial"/>
          <w:spacing w:val="-7"/>
          <w:sz w:val="22"/>
        </w:rPr>
        <w:t xml:space="preserve"> </w:t>
      </w:r>
      <w:r>
        <w:rPr>
          <w:rFonts w:hint="default" w:ascii="Arial" w:hAnsi="Arial" w:cs="Arial"/>
          <w:sz w:val="22"/>
        </w:rPr>
        <w:t>inciso</w:t>
      </w:r>
      <w:r>
        <w:rPr>
          <w:rFonts w:hint="default" w:ascii="Arial" w:hAnsi="Arial" w:cs="Arial"/>
          <w:spacing w:val="-6"/>
          <w:sz w:val="22"/>
        </w:rPr>
        <w:t xml:space="preserve"> </w:t>
      </w:r>
      <w:r>
        <w:rPr>
          <w:rFonts w:hint="default" w:ascii="Arial" w:hAnsi="Arial" w:cs="Arial"/>
          <w:sz w:val="22"/>
        </w:rPr>
        <w:t>XLIII,</w:t>
      </w:r>
      <w:r>
        <w:rPr>
          <w:rFonts w:hint="default" w:ascii="Arial" w:hAnsi="Arial" w:cs="Arial"/>
          <w:spacing w:val="-7"/>
          <w:sz w:val="22"/>
        </w:rPr>
        <w:t xml:space="preserve"> </w:t>
      </w:r>
      <w:r>
        <w:rPr>
          <w:rFonts w:hint="default" w:ascii="Arial" w:hAnsi="Arial" w:cs="Arial"/>
          <w:sz w:val="22"/>
        </w:rPr>
        <w:t>da</w:t>
      </w:r>
      <w:r>
        <w:rPr>
          <w:rFonts w:hint="default" w:ascii="Arial" w:hAnsi="Arial" w:cs="Arial"/>
          <w:spacing w:val="-6"/>
          <w:sz w:val="22"/>
        </w:rPr>
        <w:t xml:space="preserve"> </w:t>
      </w:r>
      <w:r>
        <w:rPr>
          <w:rFonts w:hint="default" w:ascii="Arial" w:hAnsi="Arial" w:cs="Arial"/>
          <w:sz w:val="22"/>
        </w:rPr>
        <w:t>Lei</w:t>
      </w:r>
      <w:r>
        <w:rPr>
          <w:rFonts w:hint="default" w:ascii="Arial" w:hAnsi="Arial" w:cs="Arial"/>
          <w:spacing w:val="-6"/>
          <w:sz w:val="22"/>
        </w:rPr>
        <w:t xml:space="preserve"> </w:t>
      </w:r>
      <w:r>
        <w:rPr>
          <w:rFonts w:hint="default" w:ascii="Arial" w:hAnsi="Arial" w:cs="Arial"/>
          <w:sz w:val="22"/>
        </w:rPr>
        <w:t>nº</w:t>
      </w:r>
      <w:r>
        <w:rPr>
          <w:rFonts w:hint="default" w:ascii="Arial" w:hAnsi="Arial" w:cs="Arial"/>
          <w:spacing w:val="-4"/>
          <w:sz w:val="22"/>
        </w:rPr>
        <w:t xml:space="preserve"> </w:t>
      </w:r>
      <w:r>
        <w:rPr>
          <w:rFonts w:hint="default" w:ascii="Arial" w:hAnsi="Arial" w:cs="Arial"/>
          <w:sz w:val="22"/>
        </w:rPr>
        <w:t>14.133,</w:t>
      </w:r>
      <w:r>
        <w:rPr>
          <w:rFonts w:hint="default" w:ascii="Arial" w:hAnsi="Arial" w:cs="Arial"/>
          <w:spacing w:val="-7"/>
          <w:sz w:val="22"/>
        </w:rPr>
        <w:t xml:space="preserve"> </w:t>
      </w:r>
      <w:r>
        <w:rPr>
          <w:rFonts w:hint="default" w:ascii="Arial" w:hAnsi="Arial" w:cs="Arial"/>
          <w:sz w:val="22"/>
        </w:rPr>
        <w:t>de</w:t>
      </w:r>
      <w:r>
        <w:rPr>
          <w:rFonts w:hint="default" w:ascii="Arial" w:hAnsi="Arial" w:cs="Arial"/>
          <w:spacing w:val="-5"/>
          <w:sz w:val="22"/>
        </w:rPr>
        <w:t xml:space="preserve"> </w:t>
      </w:r>
      <w:r>
        <w:rPr>
          <w:rFonts w:hint="default" w:ascii="Arial" w:hAnsi="Arial" w:cs="Arial"/>
          <w:sz w:val="22"/>
        </w:rPr>
        <w:t>2021,</w:t>
      </w:r>
      <w:r>
        <w:rPr>
          <w:rFonts w:hint="default" w:ascii="Arial" w:hAnsi="Arial" w:cs="Arial"/>
          <w:spacing w:val="-7"/>
          <w:sz w:val="22"/>
        </w:rPr>
        <w:t xml:space="preserve"> </w:t>
      </w:r>
      <w:r>
        <w:rPr>
          <w:rFonts w:hint="default" w:ascii="Arial" w:hAnsi="Arial" w:cs="Arial"/>
          <w:sz w:val="22"/>
        </w:rPr>
        <w:t>define-se</w:t>
      </w:r>
      <w:r>
        <w:rPr>
          <w:rFonts w:hint="default" w:ascii="Arial" w:hAnsi="Arial" w:cs="Arial"/>
          <w:spacing w:val="-5"/>
          <w:sz w:val="22"/>
        </w:rPr>
        <w:t xml:space="preserve"> </w:t>
      </w:r>
      <w:r>
        <w:rPr>
          <w:rFonts w:hint="default" w:ascii="Arial" w:hAnsi="Arial" w:cs="Arial"/>
          <w:sz w:val="22"/>
        </w:rPr>
        <w:t>credenciamento</w:t>
      </w:r>
      <w:r>
        <w:rPr>
          <w:rFonts w:hint="default" w:ascii="Arial" w:hAnsi="Arial" w:cs="Arial"/>
          <w:spacing w:val="-7"/>
          <w:sz w:val="22"/>
        </w:rPr>
        <w:t xml:space="preserve"> </w:t>
      </w:r>
      <w:r>
        <w:rPr>
          <w:rFonts w:hint="default" w:ascii="Arial" w:hAnsi="Arial" w:cs="Arial"/>
          <w:sz w:val="22"/>
        </w:rPr>
        <w:t>como</w:t>
      </w:r>
      <w:r>
        <w:rPr>
          <w:rFonts w:hint="default" w:ascii="Arial" w:hAnsi="Arial" w:cs="Arial"/>
          <w:spacing w:val="-46"/>
          <w:sz w:val="22"/>
        </w:rPr>
        <w:t xml:space="preserve"> </w:t>
      </w:r>
      <w:r>
        <w:rPr>
          <w:rFonts w:hint="default" w:ascii="Arial" w:hAnsi="Arial" w:cs="Arial"/>
          <w:sz w:val="22"/>
        </w:rPr>
        <w:t>o</w:t>
      </w:r>
      <w:r>
        <w:rPr>
          <w:rFonts w:hint="default" w:ascii="Arial" w:hAnsi="Arial" w:cs="Arial"/>
          <w:spacing w:val="1"/>
          <w:sz w:val="22"/>
        </w:rPr>
        <w:t xml:space="preserve"> </w:t>
      </w:r>
      <w:r>
        <w:rPr>
          <w:rFonts w:hint="default" w:ascii="Arial" w:hAnsi="Arial" w:cs="Arial"/>
          <w:sz w:val="22"/>
        </w:rPr>
        <w:t>processo</w:t>
      </w:r>
      <w:r>
        <w:rPr>
          <w:rFonts w:hint="default" w:ascii="Arial" w:hAnsi="Arial" w:cs="Arial"/>
          <w:spacing w:val="1"/>
          <w:sz w:val="22"/>
        </w:rPr>
        <w:t xml:space="preserve"> </w:t>
      </w:r>
      <w:r>
        <w:rPr>
          <w:rFonts w:hint="default" w:ascii="Arial" w:hAnsi="Arial" w:cs="Arial"/>
          <w:sz w:val="22"/>
        </w:rPr>
        <w:t>administrativo</w:t>
      </w:r>
      <w:r>
        <w:rPr>
          <w:rFonts w:hint="default" w:ascii="Arial" w:hAnsi="Arial" w:cs="Arial"/>
          <w:spacing w:val="1"/>
          <w:sz w:val="22"/>
        </w:rPr>
        <w:t xml:space="preserve"> </w:t>
      </w:r>
      <w:r>
        <w:rPr>
          <w:rFonts w:hint="default" w:ascii="Arial" w:hAnsi="Arial" w:cs="Arial"/>
          <w:sz w:val="22"/>
        </w:rPr>
        <w:t>de</w:t>
      </w:r>
      <w:r>
        <w:rPr>
          <w:rFonts w:hint="default" w:ascii="Arial" w:hAnsi="Arial" w:cs="Arial"/>
          <w:spacing w:val="1"/>
          <w:sz w:val="22"/>
        </w:rPr>
        <w:t xml:space="preserve"> </w:t>
      </w:r>
      <w:r>
        <w:rPr>
          <w:rFonts w:hint="default" w:ascii="Arial" w:hAnsi="Arial" w:cs="Arial"/>
          <w:sz w:val="22"/>
        </w:rPr>
        <w:t>chamamento</w:t>
      </w:r>
      <w:r>
        <w:rPr>
          <w:rFonts w:hint="default" w:ascii="Arial" w:hAnsi="Arial" w:cs="Arial"/>
          <w:spacing w:val="1"/>
          <w:sz w:val="22"/>
        </w:rPr>
        <w:t xml:space="preserve"> </w:t>
      </w:r>
      <w:r>
        <w:rPr>
          <w:rFonts w:hint="default" w:ascii="Arial" w:hAnsi="Arial" w:cs="Arial"/>
          <w:sz w:val="22"/>
        </w:rPr>
        <w:t>público</w:t>
      </w:r>
      <w:r>
        <w:rPr>
          <w:rFonts w:hint="default" w:ascii="Arial" w:hAnsi="Arial" w:cs="Arial"/>
          <w:spacing w:val="1"/>
          <w:sz w:val="22"/>
        </w:rPr>
        <w:t xml:space="preserve"> </w:t>
      </w:r>
      <w:r>
        <w:rPr>
          <w:rFonts w:hint="default" w:ascii="Arial" w:hAnsi="Arial" w:cs="Arial"/>
          <w:sz w:val="22"/>
        </w:rPr>
        <w:t>em</w:t>
      </w:r>
      <w:r>
        <w:rPr>
          <w:rFonts w:hint="default" w:ascii="Arial" w:hAnsi="Arial" w:cs="Arial"/>
          <w:spacing w:val="1"/>
          <w:sz w:val="22"/>
        </w:rPr>
        <w:t xml:space="preserve"> </w:t>
      </w:r>
      <w:r>
        <w:rPr>
          <w:rFonts w:hint="default" w:ascii="Arial" w:hAnsi="Arial" w:cs="Arial"/>
          <w:sz w:val="22"/>
        </w:rPr>
        <w:t>que</w:t>
      </w:r>
      <w:r>
        <w:rPr>
          <w:rFonts w:hint="default" w:ascii="Arial" w:hAnsi="Arial" w:cs="Arial"/>
          <w:spacing w:val="1"/>
          <w:sz w:val="22"/>
        </w:rPr>
        <w:t xml:space="preserve"> </w:t>
      </w:r>
      <w:r>
        <w:rPr>
          <w:rFonts w:hint="default" w:ascii="Arial" w:hAnsi="Arial" w:cs="Arial"/>
          <w:sz w:val="22"/>
        </w:rPr>
        <w:t>a</w:t>
      </w:r>
      <w:r>
        <w:rPr>
          <w:rFonts w:hint="default" w:ascii="Arial" w:hAnsi="Arial" w:cs="Arial"/>
          <w:spacing w:val="1"/>
          <w:sz w:val="22"/>
        </w:rPr>
        <w:t xml:space="preserve"> </w:t>
      </w:r>
      <w:r>
        <w:rPr>
          <w:rFonts w:hint="default" w:ascii="Arial" w:hAnsi="Arial" w:cs="Arial"/>
          <w:sz w:val="22"/>
        </w:rPr>
        <w:t>Administração</w:t>
      </w:r>
      <w:r>
        <w:rPr>
          <w:rFonts w:hint="default" w:ascii="Arial" w:hAnsi="Arial" w:cs="Arial"/>
          <w:spacing w:val="1"/>
          <w:sz w:val="22"/>
        </w:rPr>
        <w:t xml:space="preserve"> </w:t>
      </w:r>
      <w:r>
        <w:rPr>
          <w:rFonts w:hint="default" w:ascii="Arial" w:hAnsi="Arial" w:cs="Arial"/>
          <w:sz w:val="22"/>
        </w:rPr>
        <w:t>Pública</w:t>
      </w:r>
      <w:r>
        <w:rPr>
          <w:rFonts w:hint="default" w:ascii="Arial" w:hAnsi="Arial" w:cs="Arial"/>
          <w:spacing w:val="1"/>
          <w:sz w:val="22"/>
        </w:rPr>
        <w:t xml:space="preserve"> </w:t>
      </w:r>
      <w:r>
        <w:rPr>
          <w:rFonts w:hint="default" w:ascii="Arial" w:hAnsi="Arial" w:cs="Arial"/>
          <w:sz w:val="22"/>
        </w:rPr>
        <w:t>convoca</w:t>
      </w:r>
      <w:r>
        <w:rPr>
          <w:rFonts w:hint="default" w:ascii="Arial" w:hAnsi="Arial" w:cs="Arial"/>
          <w:spacing w:val="1"/>
          <w:sz w:val="22"/>
        </w:rPr>
        <w:t xml:space="preserve"> </w:t>
      </w:r>
      <w:r>
        <w:rPr>
          <w:rFonts w:hint="default" w:ascii="Arial" w:hAnsi="Arial" w:cs="Arial"/>
          <w:sz w:val="22"/>
        </w:rPr>
        <w:t>interessados</w:t>
      </w:r>
      <w:r>
        <w:rPr>
          <w:rFonts w:hint="default" w:ascii="Arial" w:hAnsi="Arial" w:cs="Arial"/>
          <w:spacing w:val="-3"/>
          <w:sz w:val="22"/>
        </w:rPr>
        <w:t xml:space="preserve"> </w:t>
      </w:r>
      <w:r>
        <w:rPr>
          <w:rFonts w:hint="default" w:ascii="Arial" w:hAnsi="Arial" w:cs="Arial"/>
          <w:sz w:val="22"/>
        </w:rPr>
        <w:t>em</w:t>
      </w:r>
      <w:r>
        <w:rPr>
          <w:rFonts w:hint="default" w:ascii="Arial" w:hAnsi="Arial" w:cs="Arial"/>
          <w:spacing w:val="-4"/>
          <w:sz w:val="22"/>
        </w:rPr>
        <w:t xml:space="preserve"> </w:t>
      </w:r>
      <w:r>
        <w:rPr>
          <w:rFonts w:hint="default" w:ascii="Arial" w:hAnsi="Arial" w:cs="Arial"/>
          <w:sz w:val="22"/>
        </w:rPr>
        <w:t>prestar</w:t>
      </w:r>
      <w:r>
        <w:rPr>
          <w:rFonts w:hint="default" w:ascii="Arial" w:hAnsi="Arial" w:cs="Arial"/>
          <w:spacing w:val="-2"/>
          <w:sz w:val="22"/>
        </w:rPr>
        <w:t xml:space="preserve"> </w:t>
      </w:r>
      <w:r>
        <w:rPr>
          <w:rFonts w:hint="default" w:ascii="Arial" w:hAnsi="Arial" w:cs="Arial"/>
          <w:sz w:val="22"/>
        </w:rPr>
        <w:t>serviços</w:t>
      </w:r>
      <w:r>
        <w:rPr>
          <w:rFonts w:hint="default" w:ascii="Arial" w:hAnsi="Arial" w:cs="Arial"/>
          <w:spacing w:val="-3"/>
          <w:sz w:val="22"/>
        </w:rPr>
        <w:t xml:space="preserve"> </w:t>
      </w:r>
      <w:r>
        <w:rPr>
          <w:rFonts w:hint="default" w:ascii="Arial" w:hAnsi="Arial" w:cs="Arial"/>
          <w:sz w:val="22"/>
        </w:rPr>
        <w:t>ou</w:t>
      </w:r>
      <w:r>
        <w:rPr>
          <w:rFonts w:hint="default" w:ascii="Arial" w:hAnsi="Arial" w:cs="Arial"/>
          <w:spacing w:val="-5"/>
          <w:sz w:val="22"/>
        </w:rPr>
        <w:t xml:space="preserve"> </w:t>
      </w:r>
      <w:r>
        <w:rPr>
          <w:rFonts w:hint="default" w:ascii="Arial" w:hAnsi="Arial" w:cs="Arial"/>
          <w:sz w:val="22"/>
        </w:rPr>
        <w:t>fornecer</w:t>
      </w:r>
      <w:r>
        <w:rPr>
          <w:rFonts w:hint="default" w:ascii="Arial" w:hAnsi="Arial" w:cs="Arial"/>
          <w:spacing w:val="-3"/>
          <w:sz w:val="22"/>
        </w:rPr>
        <w:t xml:space="preserve"> </w:t>
      </w:r>
      <w:r>
        <w:rPr>
          <w:rFonts w:hint="default" w:ascii="Arial" w:hAnsi="Arial" w:cs="Arial"/>
          <w:sz w:val="22"/>
        </w:rPr>
        <w:t>bens</w:t>
      </w:r>
      <w:r>
        <w:rPr>
          <w:rFonts w:hint="default" w:ascii="Arial" w:hAnsi="Arial" w:cs="Arial"/>
          <w:spacing w:val="-7"/>
          <w:sz w:val="22"/>
        </w:rPr>
        <w:t xml:space="preserve"> </w:t>
      </w:r>
      <w:r>
        <w:rPr>
          <w:rFonts w:hint="default" w:ascii="Arial" w:hAnsi="Arial" w:cs="Arial"/>
          <w:sz w:val="22"/>
        </w:rPr>
        <w:t>para</w:t>
      </w:r>
      <w:r>
        <w:rPr>
          <w:rFonts w:hint="default" w:ascii="Arial" w:hAnsi="Arial" w:cs="Arial"/>
          <w:spacing w:val="-5"/>
          <w:sz w:val="22"/>
        </w:rPr>
        <w:t xml:space="preserve"> </w:t>
      </w:r>
      <w:r>
        <w:rPr>
          <w:rFonts w:hint="default" w:ascii="Arial" w:hAnsi="Arial" w:cs="Arial"/>
          <w:sz w:val="22"/>
        </w:rPr>
        <w:t>que,</w:t>
      </w:r>
      <w:r>
        <w:rPr>
          <w:rFonts w:hint="default" w:ascii="Arial" w:hAnsi="Arial" w:cs="Arial"/>
          <w:spacing w:val="-4"/>
          <w:sz w:val="22"/>
        </w:rPr>
        <w:t xml:space="preserve"> </w:t>
      </w:r>
      <w:r>
        <w:rPr>
          <w:rFonts w:hint="default" w:ascii="Arial" w:hAnsi="Arial" w:cs="Arial"/>
          <w:sz w:val="22"/>
        </w:rPr>
        <w:t>preenchidos</w:t>
      </w:r>
      <w:r>
        <w:rPr>
          <w:rFonts w:hint="default" w:ascii="Arial" w:hAnsi="Arial" w:cs="Arial"/>
          <w:spacing w:val="-3"/>
          <w:sz w:val="22"/>
        </w:rPr>
        <w:t xml:space="preserve"> </w:t>
      </w:r>
      <w:r>
        <w:rPr>
          <w:rFonts w:hint="default" w:ascii="Arial" w:hAnsi="Arial" w:cs="Arial"/>
          <w:sz w:val="22"/>
        </w:rPr>
        <w:t>os</w:t>
      </w:r>
      <w:r>
        <w:rPr>
          <w:rFonts w:hint="default" w:ascii="Arial" w:hAnsi="Arial" w:cs="Arial"/>
          <w:spacing w:val="-3"/>
          <w:sz w:val="22"/>
        </w:rPr>
        <w:t xml:space="preserve"> </w:t>
      </w:r>
      <w:r>
        <w:rPr>
          <w:rFonts w:hint="default" w:ascii="Arial" w:hAnsi="Arial" w:cs="Arial"/>
          <w:sz w:val="22"/>
        </w:rPr>
        <w:t>requisitos</w:t>
      </w:r>
      <w:r>
        <w:rPr>
          <w:rFonts w:hint="default" w:ascii="Arial" w:hAnsi="Arial" w:cs="Arial"/>
          <w:spacing w:val="-6"/>
          <w:sz w:val="22"/>
        </w:rPr>
        <w:t xml:space="preserve"> </w:t>
      </w:r>
      <w:r>
        <w:rPr>
          <w:rFonts w:hint="default" w:ascii="Arial" w:hAnsi="Arial" w:cs="Arial"/>
          <w:sz w:val="22"/>
        </w:rPr>
        <w:t>necessários,</w:t>
      </w:r>
      <w:r>
        <w:rPr>
          <w:rFonts w:hint="default" w:ascii="Arial" w:hAnsi="Arial" w:cs="Arial"/>
          <w:spacing w:val="-46"/>
          <w:sz w:val="22"/>
        </w:rPr>
        <w:t xml:space="preserve"> </w:t>
      </w:r>
      <w:r>
        <w:rPr>
          <w:rFonts w:hint="default" w:ascii="Arial" w:hAnsi="Arial" w:cs="Arial"/>
          <w:sz w:val="22"/>
        </w:rPr>
        <w:t>se</w:t>
      </w:r>
      <w:r>
        <w:rPr>
          <w:rFonts w:hint="default" w:ascii="Arial" w:hAnsi="Arial" w:cs="Arial"/>
          <w:spacing w:val="-1"/>
          <w:sz w:val="22"/>
        </w:rPr>
        <w:t xml:space="preserve"> </w:t>
      </w:r>
      <w:r>
        <w:rPr>
          <w:rFonts w:hint="default" w:ascii="Arial" w:hAnsi="Arial" w:cs="Arial"/>
          <w:sz w:val="22"/>
        </w:rPr>
        <w:t>credenciem no</w:t>
      </w:r>
      <w:r>
        <w:rPr>
          <w:rFonts w:hint="default" w:ascii="Arial" w:hAnsi="Arial" w:cs="Arial"/>
          <w:spacing w:val="-1"/>
          <w:sz w:val="22"/>
        </w:rPr>
        <w:t xml:space="preserve"> </w:t>
      </w:r>
      <w:r>
        <w:rPr>
          <w:rFonts w:hint="default" w:ascii="Arial" w:hAnsi="Arial" w:cs="Arial"/>
          <w:sz w:val="22"/>
        </w:rPr>
        <w:t>órgão</w:t>
      </w:r>
      <w:r>
        <w:rPr>
          <w:rFonts w:hint="default" w:ascii="Arial" w:hAnsi="Arial" w:cs="Arial"/>
          <w:spacing w:val="-2"/>
          <w:sz w:val="22"/>
        </w:rPr>
        <w:t xml:space="preserve"> </w:t>
      </w:r>
      <w:r>
        <w:rPr>
          <w:rFonts w:hint="default" w:ascii="Arial" w:hAnsi="Arial" w:cs="Arial"/>
          <w:sz w:val="22"/>
        </w:rPr>
        <w:t>ou</w:t>
      </w:r>
      <w:r>
        <w:rPr>
          <w:rFonts w:hint="default" w:ascii="Arial" w:hAnsi="Arial" w:cs="Arial"/>
          <w:spacing w:val="-2"/>
          <w:sz w:val="22"/>
        </w:rPr>
        <w:t xml:space="preserve"> </w:t>
      </w:r>
      <w:r>
        <w:rPr>
          <w:rFonts w:hint="default" w:ascii="Arial" w:hAnsi="Arial" w:cs="Arial"/>
          <w:sz w:val="22"/>
        </w:rPr>
        <w:t>na</w:t>
      </w:r>
      <w:r>
        <w:rPr>
          <w:rFonts w:hint="default" w:ascii="Arial" w:hAnsi="Arial" w:cs="Arial"/>
          <w:spacing w:val="-2"/>
          <w:sz w:val="22"/>
        </w:rPr>
        <w:t xml:space="preserve"> </w:t>
      </w:r>
      <w:r>
        <w:rPr>
          <w:rFonts w:hint="default" w:ascii="Arial" w:hAnsi="Arial" w:cs="Arial"/>
          <w:sz w:val="22"/>
        </w:rPr>
        <w:t>entidade</w:t>
      </w:r>
      <w:r>
        <w:rPr>
          <w:rFonts w:hint="default" w:ascii="Arial" w:hAnsi="Arial" w:cs="Arial"/>
          <w:spacing w:val="-1"/>
          <w:sz w:val="22"/>
        </w:rPr>
        <w:t xml:space="preserve"> </w:t>
      </w:r>
      <w:r>
        <w:rPr>
          <w:rFonts w:hint="default" w:ascii="Arial" w:hAnsi="Arial" w:cs="Arial"/>
          <w:sz w:val="22"/>
        </w:rPr>
        <w:t>para</w:t>
      </w:r>
      <w:r>
        <w:rPr>
          <w:rFonts w:hint="default" w:ascii="Arial" w:hAnsi="Arial" w:cs="Arial"/>
          <w:spacing w:val="-1"/>
          <w:sz w:val="22"/>
        </w:rPr>
        <w:t xml:space="preserve"> </w:t>
      </w:r>
      <w:r>
        <w:rPr>
          <w:rFonts w:hint="default" w:ascii="Arial" w:hAnsi="Arial" w:cs="Arial"/>
          <w:sz w:val="22"/>
        </w:rPr>
        <w:t>executar o</w:t>
      </w:r>
      <w:r>
        <w:rPr>
          <w:rFonts w:hint="default" w:ascii="Arial" w:hAnsi="Arial" w:cs="Arial"/>
          <w:spacing w:val="-2"/>
          <w:sz w:val="22"/>
        </w:rPr>
        <w:t xml:space="preserve"> </w:t>
      </w:r>
      <w:r>
        <w:rPr>
          <w:rFonts w:hint="default" w:ascii="Arial" w:hAnsi="Arial" w:cs="Arial"/>
          <w:sz w:val="22"/>
        </w:rPr>
        <w:t>objeto</w:t>
      </w:r>
      <w:r>
        <w:rPr>
          <w:rFonts w:hint="default" w:ascii="Arial" w:hAnsi="Arial" w:cs="Arial"/>
          <w:spacing w:val="-2"/>
          <w:sz w:val="22"/>
        </w:rPr>
        <w:t xml:space="preserve"> </w:t>
      </w:r>
      <w:r>
        <w:rPr>
          <w:rFonts w:hint="default" w:ascii="Arial" w:hAnsi="Arial" w:cs="Arial"/>
          <w:sz w:val="22"/>
        </w:rPr>
        <w:t>quando</w:t>
      </w:r>
      <w:r>
        <w:rPr>
          <w:rFonts w:hint="default" w:ascii="Arial" w:hAnsi="Arial" w:cs="Arial"/>
          <w:spacing w:val="-1"/>
          <w:sz w:val="22"/>
        </w:rPr>
        <w:t xml:space="preserve"> </w:t>
      </w:r>
      <w:r>
        <w:rPr>
          <w:rFonts w:hint="default" w:ascii="Arial" w:hAnsi="Arial" w:cs="Arial"/>
          <w:sz w:val="22"/>
        </w:rPr>
        <w:t>convocados.</w:t>
      </w:r>
    </w:p>
    <w:p w14:paraId="712DDBAE">
      <w:pPr>
        <w:pStyle w:val="10"/>
        <w:ind w:left="1080"/>
        <w:rPr>
          <w:rFonts w:hint="default" w:ascii="Arial" w:hAnsi="Arial" w:cs="Arial"/>
          <w:sz w:val="22"/>
        </w:rPr>
      </w:pPr>
    </w:p>
    <w:p w14:paraId="053CCB99">
      <w:pPr>
        <w:pStyle w:val="10"/>
        <w:numPr>
          <w:ilvl w:val="0"/>
          <w:numId w:val="1"/>
        </w:numPr>
        <w:rPr>
          <w:rFonts w:hint="default" w:ascii="Arial" w:hAnsi="Arial" w:cs="Arial"/>
          <w:b/>
          <w:bCs/>
          <w:sz w:val="24"/>
          <w:szCs w:val="24"/>
        </w:rPr>
      </w:pPr>
      <w:r>
        <w:rPr>
          <w:rFonts w:hint="default" w:ascii="Arial" w:hAnsi="Arial" w:cs="Arial"/>
          <w:b/>
          <w:bCs/>
          <w:sz w:val="24"/>
          <w:szCs w:val="24"/>
        </w:rPr>
        <w:t>PREVISÃO DA DATA EM QUE DEVE SER INICIADA A CONTRATAÇÃO</w:t>
      </w:r>
    </w:p>
    <w:p w14:paraId="73C155A4">
      <w:pPr>
        <w:pStyle w:val="10"/>
        <w:numPr>
          <w:ilvl w:val="1"/>
          <w:numId w:val="1"/>
        </w:numPr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 xml:space="preserve">- O objeto necessita ser contratado </w:t>
      </w:r>
      <w:r>
        <w:rPr>
          <w:rFonts w:hint="default" w:ascii="Arial" w:hAnsi="Arial" w:cs="Arial"/>
          <w:sz w:val="24"/>
          <w:szCs w:val="24"/>
          <w:lang w:val="pt-BR"/>
        </w:rPr>
        <w:t xml:space="preserve">a partir de </w:t>
      </w:r>
      <w:r>
        <w:rPr>
          <w:rFonts w:hint="default" w:ascii="Arial" w:hAnsi="Arial" w:cs="Arial"/>
          <w:sz w:val="24"/>
          <w:szCs w:val="24"/>
        </w:rPr>
        <w:t xml:space="preserve"> 01/05/2024.</w:t>
      </w:r>
    </w:p>
    <w:p w14:paraId="38F52F10">
      <w:pPr>
        <w:pStyle w:val="10"/>
        <w:ind w:left="1080"/>
        <w:rPr>
          <w:rFonts w:hint="default" w:ascii="Arial" w:hAnsi="Arial" w:cs="Arial"/>
          <w:b/>
          <w:bCs/>
          <w:sz w:val="24"/>
          <w:szCs w:val="24"/>
        </w:rPr>
      </w:pPr>
    </w:p>
    <w:p w14:paraId="6E17CB89">
      <w:pPr>
        <w:pStyle w:val="10"/>
        <w:numPr>
          <w:ilvl w:val="0"/>
          <w:numId w:val="1"/>
        </w:numPr>
        <w:rPr>
          <w:rFonts w:hint="default" w:ascii="Arial" w:hAnsi="Arial" w:cs="Arial"/>
          <w:b/>
          <w:bCs/>
          <w:sz w:val="24"/>
          <w:szCs w:val="24"/>
        </w:rPr>
      </w:pPr>
      <w:r>
        <w:rPr>
          <w:rFonts w:hint="default" w:ascii="Arial" w:hAnsi="Arial" w:cs="Arial"/>
          <w:b/>
          <w:bCs/>
          <w:sz w:val="24"/>
          <w:szCs w:val="24"/>
        </w:rPr>
        <w:t>INDICAÇÃO DOS INTEGRANTES RESPONSÁVEIS PELO PLANEJAMENTO DA CONTRATAÇÃO</w:t>
      </w:r>
    </w:p>
    <w:p w14:paraId="4974D1FC">
      <w:pPr>
        <w:pStyle w:val="10"/>
        <w:numPr>
          <w:ilvl w:val="1"/>
          <w:numId w:val="1"/>
        </w:numPr>
        <w:jc w:val="both"/>
        <w:rPr>
          <w:rFonts w:hint="default" w:ascii="Arial" w:hAnsi="Arial" w:cs="Arial"/>
          <w:b/>
          <w:bCs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 xml:space="preserve">Dada a baixa complexidade da contratação o(s) próprio(s) titular(es) do(s) setor(es) demandante(s) ficará(ão) responsável(is) pela elaboração do TR/PB - quando necessários. </w:t>
      </w:r>
    </w:p>
    <w:p w14:paraId="224960CD">
      <w:pPr>
        <w:pStyle w:val="10"/>
        <w:numPr>
          <w:ilvl w:val="0"/>
          <w:numId w:val="1"/>
        </w:numPr>
        <w:rPr>
          <w:rFonts w:hint="default" w:ascii="Arial" w:hAnsi="Arial" w:cs="Arial"/>
          <w:b/>
          <w:bCs/>
          <w:sz w:val="24"/>
          <w:szCs w:val="24"/>
        </w:rPr>
      </w:pPr>
      <w:r>
        <w:rPr>
          <w:rFonts w:hint="default" w:ascii="Arial" w:hAnsi="Arial" w:cs="Arial"/>
          <w:b/>
          <w:bCs/>
          <w:sz w:val="24"/>
          <w:szCs w:val="24"/>
        </w:rPr>
        <w:t>DESIGNAÇÃO DOS RESPONSÁVEIS PELA GESTÃO E FISCALIZAÇÃO DA CONTRATAÇÃO</w:t>
      </w:r>
    </w:p>
    <w:p w14:paraId="4586D1FF">
      <w:pPr>
        <w:pStyle w:val="10"/>
        <w:numPr>
          <w:ilvl w:val="0"/>
          <w:numId w:val="0"/>
        </w:numPr>
        <w:ind w:left="360" w:leftChars="0" w:right="0" w:rightChars="0"/>
        <w:rPr>
          <w:rFonts w:hint="default" w:ascii="Arial" w:hAnsi="Arial" w:cs="Arial"/>
          <w:b/>
          <w:bCs/>
          <w:sz w:val="24"/>
          <w:szCs w:val="24"/>
        </w:rPr>
      </w:pPr>
    </w:p>
    <w:p w14:paraId="3BF35F45">
      <w:pPr>
        <w:pStyle w:val="10"/>
        <w:numPr>
          <w:ilvl w:val="0"/>
          <w:numId w:val="0"/>
        </w:numPr>
        <w:tabs>
          <w:tab w:val="left" w:pos="1672"/>
          <w:tab w:val="left" w:pos="1673"/>
        </w:tabs>
        <w:spacing w:before="0" w:after="0" w:line="240" w:lineRule="auto"/>
        <w:ind w:left="612" w:leftChars="0" w:right="248" w:rightChars="0"/>
        <w:jc w:val="both"/>
        <w:rPr>
          <w:rFonts w:hint="default" w:ascii="Arial" w:hAnsi="Arial" w:cs="Arial"/>
          <w:b/>
          <w:sz w:val="24"/>
        </w:rPr>
      </w:pPr>
      <w:r>
        <w:rPr>
          <w:rFonts w:hint="default" w:ascii="Arial" w:hAnsi="Arial" w:cs="Arial"/>
          <w:b/>
          <w:color w:val="000000"/>
          <w:sz w:val="24"/>
          <w:shd w:val="clear" w:color="auto" w:fill="FFFFFF"/>
          <w:lang w:val="pt-BR"/>
        </w:rPr>
        <w:t xml:space="preserve">6.1 </w:t>
      </w:r>
      <w:r>
        <w:rPr>
          <w:rFonts w:hint="default" w:ascii="Arial" w:hAnsi="Arial" w:cs="Arial"/>
          <w:b/>
          <w:color w:val="000000"/>
          <w:sz w:val="24"/>
          <w:shd w:val="clear" w:color="auto" w:fill="FFFFFF"/>
        </w:rPr>
        <w:t>Wevelly Minervino da Silva  CRN6-40251P</w:t>
      </w:r>
      <w:r>
        <w:rPr>
          <w:rFonts w:hint="default" w:ascii="Arial" w:hAnsi="Arial" w:cs="Arial"/>
          <w:b/>
          <w:color w:val="000000"/>
          <w:sz w:val="24"/>
          <w:shd w:val="clear" w:color="auto" w:fill="FFFFFF"/>
          <w:lang w:val="pt-BR"/>
        </w:rPr>
        <w:t>, nutricionista.</w:t>
      </w:r>
    </w:p>
    <w:p w14:paraId="1C9B48C0">
      <w:pPr>
        <w:pStyle w:val="10"/>
        <w:numPr>
          <w:ilvl w:val="0"/>
          <w:numId w:val="0"/>
        </w:numPr>
        <w:ind w:left="360" w:leftChars="0" w:right="0" w:rightChars="0"/>
        <w:rPr>
          <w:rFonts w:hint="default" w:ascii="Arial" w:hAnsi="Arial" w:cs="Arial"/>
          <w:b/>
          <w:bCs/>
          <w:sz w:val="24"/>
          <w:szCs w:val="24"/>
        </w:rPr>
      </w:pPr>
    </w:p>
    <w:p w14:paraId="4E530541">
      <w:pPr>
        <w:pStyle w:val="10"/>
        <w:numPr>
          <w:ilvl w:val="0"/>
          <w:numId w:val="1"/>
        </w:numPr>
        <w:rPr>
          <w:rFonts w:hint="default" w:ascii="Arial" w:hAnsi="Arial" w:cs="Arial"/>
          <w:b/>
          <w:bCs/>
          <w:sz w:val="24"/>
          <w:szCs w:val="24"/>
        </w:rPr>
      </w:pPr>
      <w:r>
        <w:rPr>
          <w:rFonts w:hint="default" w:ascii="Arial" w:hAnsi="Arial" w:cs="Arial"/>
          <w:b/>
          <w:bCs/>
          <w:sz w:val="24"/>
          <w:szCs w:val="24"/>
        </w:rPr>
        <w:t xml:space="preserve">CONSIDERAÇÃO FINAIS </w:t>
      </w:r>
    </w:p>
    <w:p w14:paraId="06EDFEF5">
      <w:pPr>
        <w:numPr>
          <w:ilvl w:val="1"/>
          <w:numId w:val="1"/>
        </w:numPr>
        <w:ind w:left="1080" w:leftChars="0" w:hanging="720" w:firstLineChars="0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- Declaro que os agentes públicos indicados para o planejamento e a fiscalização da contratação, foram comunicados e estão cientes de suas atribuições.</w:t>
      </w:r>
    </w:p>
    <w:p w14:paraId="7C8E681F">
      <w:pPr>
        <w:numPr>
          <w:ilvl w:val="0"/>
          <w:numId w:val="0"/>
        </w:numPr>
        <w:ind w:left="360" w:leftChars="0" w:right="0" w:rightChars="0"/>
        <w:rPr>
          <w:rFonts w:hint="default" w:ascii="Arial" w:hAnsi="Arial" w:cs="Arial"/>
          <w:sz w:val="24"/>
          <w:szCs w:val="24"/>
        </w:rPr>
      </w:pPr>
    </w:p>
    <w:p w14:paraId="09501ADA">
      <w:pPr>
        <w:ind w:firstLine="3240" w:firstLineChars="1350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Itaquitinga, 2</w:t>
      </w:r>
      <w:r>
        <w:rPr>
          <w:rFonts w:hint="default" w:ascii="Arial" w:hAnsi="Arial" w:cs="Arial"/>
          <w:sz w:val="24"/>
          <w:szCs w:val="24"/>
          <w:lang w:val="pt-BR"/>
        </w:rPr>
        <w:t>9</w:t>
      </w:r>
      <w:r>
        <w:rPr>
          <w:rFonts w:hint="default" w:ascii="Arial" w:hAnsi="Arial" w:cs="Arial"/>
          <w:sz w:val="24"/>
          <w:szCs w:val="24"/>
        </w:rPr>
        <w:t xml:space="preserve"> de abril de 2024.</w:t>
      </w:r>
    </w:p>
    <w:p w14:paraId="4202AA3D">
      <w:pPr>
        <w:rPr>
          <w:rFonts w:hint="default" w:ascii="Arial" w:hAnsi="Arial" w:cs="Arial"/>
          <w:sz w:val="24"/>
          <w:szCs w:val="24"/>
        </w:rPr>
      </w:pPr>
    </w:p>
    <w:p w14:paraId="3AF07930">
      <w:pPr>
        <w:jc w:val="center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sz w:val="24"/>
          <w:szCs w:val="24"/>
          <w:lang w:val="pt-BR"/>
        </w:rPr>
        <w:t>Elielson José do Nascimento</w:t>
      </w:r>
    </w:p>
    <w:p w14:paraId="5C345A46">
      <w:pPr>
        <w:jc w:val="center"/>
        <w:rPr>
          <w:rFonts w:hint="default" w:ascii="Arial" w:hAnsi="Arial" w:cs="Arial"/>
          <w:sz w:val="24"/>
          <w:szCs w:val="24"/>
        </w:rPr>
      </w:pPr>
      <w:r>
        <w:rPr>
          <w:rFonts w:hint="default" w:ascii="Bookman Old Style" w:hAnsi="Bookman Old Style"/>
          <w:sz w:val="24"/>
          <w:szCs w:val="24"/>
          <w:lang w:val="pt-BR"/>
        </w:rPr>
        <w:t>Secretário de Educação</w:t>
      </w:r>
    </w:p>
    <w:sectPr>
      <w:headerReference r:id="rId5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Cambria">
    <w:panose1 w:val="02040503050406030204"/>
    <w:charset w:val="01"/>
    <w:family w:val="roman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C682DF">
    <w:pPr>
      <w:pStyle w:val="7"/>
    </w:pPr>
    <w:r>
      <w:rPr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0</wp:posOffset>
          </wp:positionH>
          <wp:positionV relativeFrom="page">
            <wp:posOffset>42545</wp:posOffset>
          </wp:positionV>
          <wp:extent cx="2009775" cy="857250"/>
          <wp:effectExtent l="0" t="0" r="0" b="0"/>
          <wp:wrapSquare wrapText="bothSides"/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0977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7B33F3"/>
    <w:multiLevelType w:val="multilevel"/>
    <w:tmpl w:val="3E7B33F3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 w:tentative="0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 w:tentative="0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 w:tentative="0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635B02"/>
    <w:rsid w:val="44B86F12"/>
    <w:rsid w:val="4F77287D"/>
    <w:rsid w:val="53635B02"/>
    <w:rsid w:val="55BD35AF"/>
    <w:rsid w:val="5B83524D"/>
    <w:rsid w:val="67CA6347"/>
    <w:rsid w:val="67E14443"/>
    <w:rsid w:val="7B0D304E"/>
    <w:rsid w:val="7E577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1" w:semiHidden="0" w:name="No Spacing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1"/>
    <w:basedOn w:val="1"/>
    <w:next w:val="1"/>
    <w:qFormat/>
    <w:uiPriority w:val="9"/>
    <w:pPr>
      <w:keepNext/>
      <w:spacing w:before="240" w:after="60"/>
      <w:outlineLvl w:val="0"/>
    </w:pPr>
    <w:rPr>
      <w:rFonts w:ascii="Arial" w:hAnsi="Arial"/>
      <w:b/>
      <w:kern w:val="32"/>
      <w:sz w:val="32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Emphasis"/>
    <w:qFormat/>
    <w:uiPriority w:val="0"/>
    <w:rPr>
      <w:i/>
      <w:iCs/>
    </w:rPr>
  </w:style>
  <w:style w:type="paragraph" w:styleId="6">
    <w:name w:val="Body Text"/>
    <w:basedOn w:val="1"/>
    <w:qFormat/>
    <w:uiPriority w:val="1"/>
    <w:rPr>
      <w:rFonts w:ascii="Cambria" w:hAnsi="Cambria" w:eastAsia="Cambria" w:cs="Cambria"/>
      <w:sz w:val="22"/>
      <w:szCs w:val="22"/>
      <w:lang w:val="pt-PT" w:eastAsia="en-US" w:bidi="ar-SA"/>
    </w:rPr>
  </w:style>
  <w:style w:type="paragraph" w:styleId="7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8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9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0">
    <w:name w:val="List Paragraph"/>
    <w:basedOn w:val="1"/>
    <w:autoRedefine/>
    <w:qFormat/>
    <w:uiPriority w:val="1"/>
    <w:pPr>
      <w:ind w:left="720"/>
      <w:contextualSpacing/>
    </w:pPr>
  </w:style>
  <w:style w:type="table" w:customStyle="1" w:styleId="11">
    <w:name w:val="TableGrid"/>
    <w:autoRedefine/>
    <w:qFormat/>
    <w:uiPriority w:val="0"/>
    <w:rPr>
      <w:rFonts w:asciiTheme="minorHAnsi" w:hAnsiTheme="minorHAnsi" w:eastAsiaTheme="minorEastAsia" w:cstheme="minorBidi"/>
      <w:kern w:val="2"/>
      <w:sz w:val="22"/>
      <w:szCs w:val="22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No Spacing"/>
    <w:autoRedefine/>
    <w:qFormat/>
    <w:uiPriority w:val="1"/>
    <w:pPr>
      <w:widowControl w:val="0"/>
      <w:autoSpaceDE w:val="0"/>
      <w:autoSpaceDN w:val="0"/>
      <w:adjustRightInd w:val="0"/>
    </w:pPr>
    <w:rPr>
      <w:rFonts w:ascii="Times New Roman" w:hAnsi="Times New Roman" w:eastAsia="Times New Roman" w:cs="Times New Roman"/>
      <w:lang w:val="pt-BR" w:eastAsia="pt-BR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2024-08-19T16:35:00Z</dcterms:created>
  <dc:creator>prefeitura itaquitinga</dc:creator>
  <cp:lastModifiedBy>prefeitura itaquitinga</cp:lastModifiedBy>
  <dcterms:modified xsi:type="dcterms:W3CDTF">2024-08-20T18:08:49Z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1046-12.2.0.17562</vt:lpwstr>
  </property>
  <property fmtid="{D5CDD505-2E9C-101B-9397-08002B2CF9AE}" pid="3" name="ICV">
    <vt:lpwstr>E99F43CB8F324CFD95018E5141BBA289_11</vt:lpwstr>
  </property>
</Properties>
</file>