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878" w:rsidRPr="00527878" w:rsidRDefault="00527878" w:rsidP="00527878">
      <w:pPr>
        <w:rPr>
          <w:rFonts w:ascii="Calibri" w:eastAsia="Times New Roman" w:hAnsi="Calibri" w:cs="Calibri"/>
          <w:b/>
          <w:bCs/>
          <w:kern w:val="36"/>
          <w:sz w:val="28"/>
          <w:u w:val="single"/>
          <w:lang w:eastAsia="pt-BR"/>
        </w:rPr>
      </w:pPr>
      <w:r w:rsidRPr="00527878">
        <w:rPr>
          <w:rFonts w:ascii="Calibri" w:eastAsia="Times New Roman" w:hAnsi="Calibri" w:cs="Calibri"/>
          <w:b/>
          <w:bCs/>
          <w:kern w:val="36"/>
          <w:sz w:val="28"/>
          <w:u w:val="single"/>
          <w:lang w:eastAsia="pt-BR"/>
        </w:rPr>
        <w:t>Parecer Técnico</w:t>
      </w:r>
    </w:p>
    <w:p w:rsidR="00527878" w:rsidRPr="00527878" w:rsidRDefault="00527878" w:rsidP="00527878">
      <w:pPr>
        <w:rPr>
          <w:rFonts w:ascii="Calibri" w:eastAsia="Times New Roman" w:hAnsi="Calibri" w:cs="Calibri"/>
          <w:b/>
          <w:bCs/>
          <w:kern w:val="36"/>
          <w:sz w:val="28"/>
          <w:u w:val="single"/>
          <w:lang w:eastAsia="pt-BR"/>
        </w:rPr>
      </w:pPr>
    </w:p>
    <w:p w:rsidR="00527878" w:rsidRPr="00527878" w:rsidRDefault="00527878" w:rsidP="00527878">
      <w:pPr>
        <w:rPr>
          <w:rFonts w:ascii="Calibri" w:eastAsia="Times New Roman" w:hAnsi="Calibri" w:cs="Calibri"/>
          <w:bCs/>
          <w:kern w:val="36"/>
          <w:sz w:val="24"/>
          <w:szCs w:val="24"/>
          <w:lang w:eastAsia="pt-BR"/>
        </w:rPr>
      </w:pPr>
      <w:r w:rsidRPr="00527878">
        <w:rPr>
          <w:rFonts w:ascii="Calibri" w:eastAsia="Times New Roman" w:hAnsi="Calibri" w:cs="Calibri"/>
          <w:b/>
          <w:bCs/>
          <w:kern w:val="36"/>
          <w:sz w:val="24"/>
          <w:szCs w:val="24"/>
          <w:lang w:eastAsia="pt-BR"/>
        </w:rPr>
        <w:t xml:space="preserve">Assunto: </w:t>
      </w:r>
      <w:r w:rsidRPr="00527878">
        <w:rPr>
          <w:rFonts w:ascii="Calibri" w:eastAsia="Times New Roman" w:hAnsi="Calibri" w:cs="Calibri"/>
          <w:bCs/>
          <w:kern w:val="36"/>
          <w:sz w:val="24"/>
          <w:szCs w:val="24"/>
          <w:lang w:eastAsia="pt-BR"/>
        </w:rPr>
        <w:t xml:space="preserve">Análise da </w:t>
      </w:r>
      <w:r w:rsidR="00F51599">
        <w:rPr>
          <w:rFonts w:ascii="Calibri" w:eastAsia="Times New Roman" w:hAnsi="Calibri" w:cs="Calibri"/>
          <w:bCs/>
          <w:kern w:val="36"/>
          <w:sz w:val="24"/>
          <w:szCs w:val="24"/>
          <w:lang w:eastAsia="pt-BR"/>
        </w:rPr>
        <w:t>Habilitação Técnica</w:t>
      </w:r>
      <w:r w:rsidR="00AB7A20" w:rsidRPr="00527878">
        <w:rPr>
          <w:rFonts w:ascii="Calibri" w:eastAsia="Times New Roman" w:hAnsi="Calibri" w:cs="Calibri"/>
          <w:bCs/>
          <w:kern w:val="36"/>
          <w:sz w:val="24"/>
          <w:szCs w:val="24"/>
          <w:lang w:eastAsia="pt-BR"/>
        </w:rPr>
        <w:t>da</w:t>
      </w:r>
      <w:r w:rsidR="00AB7A20">
        <w:rPr>
          <w:rFonts w:ascii="Calibri" w:eastAsia="Times New Roman" w:hAnsi="Calibri" w:cs="Calibri"/>
          <w:bCs/>
          <w:kern w:val="36"/>
          <w:sz w:val="24"/>
          <w:szCs w:val="24"/>
          <w:lang w:eastAsia="pt-BR"/>
        </w:rPr>
        <w:t>s</w:t>
      </w:r>
      <w:r w:rsidR="00AB7A20" w:rsidRPr="00527878">
        <w:rPr>
          <w:rFonts w:ascii="Calibri" w:eastAsia="Times New Roman" w:hAnsi="Calibri" w:cs="Calibri"/>
          <w:bCs/>
          <w:kern w:val="36"/>
          <w:sz w:val="24"/>
          <w:szCs w:val="24"/>
          <w:lang w:eastAsia="pt-BR"/>
        </w:rPr>
        <w:t xml:space="preserve"> empresas</w:t>
      </w:r>
      <w:r w:rsidR="001F749D">
        <w:rPr>
          <w:rFonts w:ascii="Calibri" w:eastAsia="Times New Roman" w:hAnsi="Calibri" w:cs="Calibri"/>
          <w:bCs/>
          <w:kern w:val="36"/>
          <w:sz w:val="24"/>
          <w:szCs w:val="24"/>
          <w:lang w:eastAsia="pt-BR"/>
        </w:rPr>
        <w:t>do</w:t>
      </w:r>
      <w:r w:rsidRPr="00527878">
        <w:rPr>
          <w:rFonts w:ascii="Calibri" w:eastAsia="Times New Roman" w:hAnsi="Calibri" w:cs="Calibri"/>
          <w:bCs/>
          <w:kern w:val="36"/>
          <w:sz w:val="24"/>
          <w:szCs w:val="24"/>
          <w:lang w:eastAsia="pt-BR"/>
        </w:rPr>
        <w:t xml:space="preserve"> processo licitatório</w:t>
      </w:r>
    </w:p>
    <w:p w:rsidR="00527878" w:rsidRPr="00527878" w:rsidRDefault="00527878" w:rsidP="00527878">
      <w:pPr>
        <w:rPr>
          <w:rFonts w:ascii="Calibri" w:eastAsia="Times New Roman" w:hAnsi="Calibri" w:cs="Calibri"/>
          <w:b/>
          <w:kern w:val="36"/>
          <w:sz w:val="24"/>
          <w:szCs w:val="24"/>
          <w:lang w:eastAsia="pt-BR"/>
        </w:rPr>
      </w:pPr>
      <w:r w:rsidRPr="00527878">
        <w:rPr>
          <w:rFonts w:ascii="Calibri" w:eastAsia="Times New Roman" w:hAnsi="Calibri" w:cs="Calibri"/>
          <w:b/>
          <w:kern w:val="36"/>
          <w:sz w:val="24"/>
          <w:szCs w:val="24"/>
          <w:lang w:eastAsia="pt-BR"/>
        </w:rPr>
        <w:t xml:space="preserve">Processo Licitatório Nº </w:t>
      </w:r>
      <w:r w:rsidR="00C6176F">
        <w:rPr>
          <w:rFonts w:ascii="Calibri" w:eastAsia="Times New Roman" w:hAnsi="Calibri" w:cs="Calibri"/>
          <w:b/>
          <w:kern w:val="36"/>
          <w:sz w:val="24"/>
          <w:szCs w:val="24"/>
          <w:lang w:eastAsia="pt-BR"/>
        </w:rPr>
        <w:t>127/2024</w:t>
      </w:r>
    </w:p>
    <w:p w:rsidR="00527878" w:rsidRPr="00527878" w:rsidRDefault="00527878" w:rsidP="00527878">
      <w:pPr>
        <w:rPr>
          <w:rFonts w:ascii="Calibri" w:eastAsia="Times New Roman" w:hAnsi="Calibri" w:cs="Calibri"/>
          <w:b/>
          <w:bCs/>
          <w:kern w:val="36"/>
          <w:sz w:val="24"/>
          <w:szCs w:val="24"/>
          <w:lang w:eastAsia="pt-BR"/>
        </w:rPr>
      </w:pPr>
      <w:r w:rsidRPr="00527878">
        <w:rPr>
          <w:rFonts w:ascii="Calibri" w:eastAsia="Times New Roman" w:hAnsi="Calibri" w:cs="Calibri"/>
          <w:b/>
          <w:bCs/>
          <w:kern w:val="36"/>
          <w:sz w:val="24"/>
          <w:szCs w:val="24"/>
          <w:lang w:eastAsia="pt-BR"/>
        </w:rPr>
        <w:t xml:space="preserve">Concorrência Nº: </w:t>
      </w:r>
      <w:r w:rsidR="00C6176F">
        <w:rPr>
          <w:rFonts w:ascii="Calibri" w:eastAsia="Times New Roman" w:hAnsi="Calibri" w:cs="Calibri"/>
          <w:b/>
          <w:bCs/>
          <w:kern w:val="36"/>
          <w:sz w:val="24"/>
          <w:szCs w:val="24"/>
          <w:lang w:eastAsia="pt-BR"/>
        </w:rPr>
        <w:t>007/2024</w:t>
      </w:r>
    </w:p>
    <w:p w:rsidR="00527878" w:rsidRPr="00527878" w:rsidRDefault="00527878" w:rsidP="00527878">
      <w:pPr>
        <w:jc w:val="both"/>
        <w:rPr>
          <w:rFonts w:ascii="Calibri" w:eastAsia="Times New Roman" w:hAnsi="Calibri" w:cs="Calibri"/>
          <w:bCs/>
          <w:kern w:val="36"/>
          <w:sz w:val="36"/>
          <w:szCs w:val="36"/>
          <w:lang w:eastAsia="pt-BR"/>
        </w:rPr>
      </w:pPr>
      <w:r w:rsidRPr="00527878">
        <w:rPr>
          <w:rFonts w:ascii="Calibri" w:eastAsia="Times New Roman" w:hAnsi="Calibri" w:cs="Calibri"/>
          <w:b/>
          <w:bCs/>
          <w:kern w:val="36"/>
          <w:sz w:val="24"/>
          <w:szCs w:val="24"/>
          <w:lang w:eastAsia="pt-BR"/>
        </w:rPr>
        <w:t xml:space="preserve">Objeto: </w:t>
      </w:r>
      <w:r w:rsidR="00FF09E5">
        <w:rPr>
          <w:rFonts w:ascii="Calibri" w:hAnsi="Calibri" w:cs="Calibri"/>
          <w:bCs/>
          <w:sz w:val="24"/>
          <w:szCs w:val="24"/>
        </w:rPr>
        <w:t>CONSTRUÇÃO DE CRECHE E ESCOLA DE EDUCAÇÃO INFANTIL NO MUNICÍPIO DE AFRÂNIO-PE – FNDE – CRECHE TIPO 1</w:t>
      </w:r>
      <w:r w:rsidRPr="00527878">
        <w:rPr>
          <w:rFonts w:ascii="Calibri" w:hAnsi="Calibri" w:cs="Calibri"/>
          <w:bCs/>
          <w:sz w:val="24"/>
          <w:szCs w:val="24"/>
        </w:rPr>
        <w:t>.</w:t>
      </w:r>
    </w:p>
    <w:p w:rsidR="00527878" w:rsidRPr="00527878" w:rsidRDefault="00527878" w:rsidP="00527878">
      <w:pPr>
        <w:spacing w:after="240"/>
        <w:jc w:val="right"/>
        <w:rPr>
          <w:rFonts w:ascii="Calibri" w:eastAsia="Times New Roman" w:hAnsi="Calibri" w:cs="Calibri"/>
          <w:b/>
          <w:bCs/>
          <w:kern w:val="36"/>
          <w:sz w:val="24"/>
          <w:szCs w:val="24"/>
          <w:lang w:eastAsia="pt-BR"/>
        </w:rPr>
      </w:pPr>
      <w:r w:rsidRPr="00527878">
        <w:rPr>
          <w:rFonts w:ascii="Calibri" w:eastAsia="Times New Roman" w:hAnsi="Calibri" w:cs="Calibri"/>
          <w:b/>
          <w:bCs/>
          <w:kern w:val="36"/>
          <w:sz w:val="24"/>
          <w:szCs w:val="24"/>
          <w:lang w:eastAsia="pt-BR"/>
        </w:rPr>
        <w:t xml:space="preserve">Afrânio, </w:t>
      </w:r>
      <w:r w:rsidR="0068544E">
        <w:rPr>
          <w:rFonts w:ascii="Calibri" w:eastAsia="Times New Roman" w:hAnsi="Calibri" w:cs="Calibri"/>
          <w:b/>
          <w:bCs/>
          <w:kern w:val="36"/>
          <w:sz w:val="24"/>
          <w:szCs w:val="24"/>
          <w:lang w:eastAsia="pt-BR"/>
        </w:rPr>
        <w:t>1</w:t>
      </w:r>
      <w:r w:rsidR="00A90427">
        <w:rPr>
          <w:rFonts w:ascii="Calibri" w:eastAsia="Times New Roman" w:hAnsi="Calibri" w:cs="Calibri"/>
          <w:b/>
          <w:bCs/>
          <w:kern w:val="36"/>
          <w:sz w:val="24"/>
          <w:szCs w:val="24"/>
          <w:lang w:eastAsia="pt-BR"/>
        </w:rPr>
        <w:t>2</w:t>
      </w:r>
      <w:r w:rsidRPr="00527878">
        <w:rPr>
          <w:rFonts w:ascii="Calibri" w:eastAsia="Times New Roman" w:hAnsi="Calibri" w:cs="Calibri"/>
          <w:b/>
          <w:bCs/>
          <w:kern w:val="36"/>
          <w:sz w:val="24"/>
          <w:szCs w:val="24"/>
          <w:lang w:eastAsia="pt-BR"/>
        </w:rPr>
        <w:t xml:space="preserve"> de </w:t>
      </w:r>
      <w:r w:rsidR="00122FDE">
        <w:rPr>
          <w:rFonts w:ascii="Calibri" w:eastAsia="Times New Roman" w:hAnsi="Calibri" w:cs="Calibri"/>
          <w:b/>
          <w:bCs/>
          <w:kern w:val="36"/>
          <w:sz w:val="24"/>
          <w:szCs w:val="24"/>
          <w:lang w:eastAsia="pt-BR"/>
        </w:rPr>
        <w:t>novembro</w:t>
      </w:r>
      <w:r w:rsidRPr="00527878">
        <w:rPr>
          <w:rFonts w:ascii="Calibri" w:eastAsia="Times New Roman" w:hAnsi="Calibri" w:cs="Calibri"/>
          <w:b/>
          <w:bCs/>
          <w:kern w:val="36"/>
          <w:sz w:val="24"/>
          <w:szCs w:val="24"/>
          <w:lang w:eastAsia="pt-BR"/>
        </w:rPr>
        <w:t xml:space="preserve"> de 2024</w:t>
      </w:r>
    </w:p>
    <w:p w:rsidR="00527878" w:rsidRPr="00527878" w:rsidRDefault="00527878" w:rsidP="00527878">
      <w:pPr>
        <w:pStyle w:val="Ttulo1"/>
        <w:numPr>
          <w:ilvl w:val="0"/>
          <w:numId w:val="2"/>
        </w:numPr>
      </w:pPr>
      <w:r w:rsidRPr="00527878">
        <w:t>PREÂMBULO</w:t>
      </w:r>
    </w:p>
    <w:p w:rsidR="00527878" w:rsidRPr="00527878" w:rsidRDefault="00527878" w:rsidP="00527878">
      <w:pPr>
        <w:spacing w:after="0"/>
        <w:ind w:firstLine="708"/>
        <w:jc w:val="both"/>
        <w:rPr>
          <w:rFonts w:ascii="Calibri" w:hAnsi="Calibri" w:cs="Calibri"/>
          <w:sz w:val="24"/>
          <w:szCs w:val="24"/>
        </w:rPr>
      </w:pPr>
      <w:r w:rsidRPr="00527878">
        <w:rPr>
          <w:rFonts w:ascii="Calibri" w:hAnsi="Calibri" w:cs="Calibri"/>
          <w:sz w:val="24"/>
          <w:szCs w:val="24"/>
        </w:rPr>
        <w:t>O presente parecer técnico trata da análise técnica d</w:t>
      </w:r>
      <w:r w:rsidR="006A030C">
        <w:rPr>
          <w:rFonts w:ascii="Calibri" w:hAnsi="Calibri" w:cs="Calibri"/>
          <w:sz w:val="24"/>
          <w:szCs w:val="24"/>
        </w:rPr>
        <w:t>osacervos técnicos</w:t>
      </w:r>
      <w:r w:rsidRPr="00527878">
        <w:rPr>
          <w:rFonts w:ascii="Calibri" w:hAnsi="Calibri" w:cs="Calibri"/>
          <w:sz w:val="24"/>
          <w:szCs w:val="24"/>
        </w:rPr>
        <w:t xml:space="preserve"> apresentad</w:t>
      </w:r>
      <w:r w:rsidR="006A030C">
        <w:rPr>
          <w:rFonts w:ascii="Calibri" w:hAnsi="Calibri" w:cs="Calibri"/>
          <w:sz w:val="24"/>
          <w:szCs w:val="24"/>
        </w:rPr>
        <w:t>os</w:t>
      </w:r>
      <w:r w:rsidRPr="00527878">
        <w:rPr>
          <w:rFonts w:ascii="Calibri" w:hAnsi="Calibri" w:cs="Calibri"/>
          <w:sz w:val="24"/>
          <w:szCs w:val="24"/>
        </w:rPr>
        <w:t xml:space="preserve"> pela</w:t>
      </w:r>
      <w:r w:rsidR="004C5D11">
        <w:rPr>
          <w:rFonts w:ascii="Calibri" w:hAnsi="Calibri" w:cs="Calibri"/>
          <w:sz w:val="24"/>
          <w:szCs w:val="24"/>
        </w:rPr>
        <w:t>s empresas participantes</w:t>
      </w:r>
      <w:r w:rsidRPr="00527878">
        <w:rPr>
          <w:rFonts w:ascii="Calibri" w:hAnsi="Calibri" w:cs="Calibri"/>
          <w:sz w:val="24"/>
          <w:szCs w:val="24"/>
        </w:rPr>
        <w:t xml:space="preserve"> do Processo Licitatório nº </w:t>
      </w:r>
      <w:r w:rsidR="00C6176F">
        <w:rPr>
          <w:rFonts w:ascii="Calibri" w:hAnsi="Calibri" w:cs="Calibri"/>
          <w:sz w:val="24"/>
          <w:szCs w:val="24"/>
        </w:rPr>
        <w:t>127/2024</w:t>
      </w:r>
      <w:r w:rsidRPr="00527878">
        <w:rPr>
          <w:rFonts w:ascii="Calibri" w:hAnsi="Calibri" w:cs="Calibri"/>
          <w:sz w:val="24"/>
          <w:szCs w:val="24"/>
        </w:rPr>
        <w:t xml:space="preserve">, Concorrência nº </w:t>
      </w:r>
      <w:r w:rsidR="00C6176F">
        <w:rPr>
          <w:rFonts w:ascii="Calibri" w:hAnsi="Calibri" w:cs="Calibri"/>
          <w:sz w:val="24"/>
          <w:szCs w:val="24"/>
        </w:rPr>
        <w:t>007/2024</w:t>
      </w:r>
      <w:r w:rsidRPr="00527878">
        <w:rPr>
          <w:rFonts w:ascii="Calibri" w:hAnsi="Calibri" w:cs="Calibri"/>
          <w:sz w:val="24"/>
          <w:szCs w:val="24"/>
        </w:rPr>
        <w:t xml:space="preserve"> promovida pela Prefeitura Municipal de Afrânio, através da Comissão Permanente de Licitação, e que tem por objeto a </w:t>
      </w:r>
      <w:r w:rsidR="00FF09E5">
        <w:rPr>
          <w:rFonts w:ascii="Calibri" w:hAnsi="Calibri" w:cs="Calibri"/>
          <w:bCs/>
          <w:sz w:val="24"/>
          <w:szCs w:val="24"/>
        </w:rPr>
        <w:t>CONSTRUÇÃO DE CRECHE E ESCOLA DE EDUCAÇÃO INFANTIL NO MUNICÍPIO DE AFRÂNIO-PE – FNDE – CRECHE TIPO 1</w:t>
      </w:r>
      <w:r w:rsidRPr="00527878">
        <w:rPr>
          <w:rFonts w:ascii="Calibri" w:hAnsi="Calibri" w:cs="Calibri"/>
          <w:sz w:val="24"/>
          <w:szCs w:val="24"/>
        </w:rPr>
        <w:t>.</w:t>
      </w:r>
    </w:p>
    <w:p w:rsidR="00527878" w:rsidRPr="00527878" w:rsidRDefault="00527878" w:rsidP="00527878">
      <w:pPr>
        <w:pStyle w:val="Ttulo1"/>
        <w:numPr>
          <w:ilvl w:val="0"/>
          <w:numId w:val="2"/>
        </w:numPr>
      </w:pPr>
      <w:r>
        <w:t>CONSIDERAÇÕES INICIAIS</w:t>
      </w:r>
    </w:p>
    <w:p w:rsidR="00527878" w:rsidRDefault="00527878" w:rsidP="00527878">
      <w:pPr>
        <w:spacing w:after="0"/>
        <w:ind w:firstLine="708"/>
        <w:jc w:val="both"/>
        <w:rPr>
          <w:rFonts w:ascii="Calibri" w:hAnsi="Calibri" w:cs="Calibri"/>
          <w:sz w:val="24"/>
          <w:szCs w:val="24"/>
        </w:rPr>
      </w:pPr>
      <w:r w:rsidRPr="00527878">
        <w:rPr>
          <w:rFonts w:ascii="Calibri" w:hAnsi="Calibri" w:cs="Calibri"/>
          <w:sz w:val="24"/>
          <w:szCs w:val="24"/>
        </w:rPr>
        <w:t>O processo licitatório em epígrafe está sendo regido pela Lei Federal nº 14.133, de 01 de abril de 2021, Lei Complementar 123/06, alterada pelas Leis Complementares 128/2008, 147/2014 e 155/2016 e Decreto Federal nº 8.538/2015.</w:t>
      </w:r>
    </w:p>
    <w:p w:rsidR="00BC0B57" w:rsidRDefault="00284F9C" w:rsidP="00527878">
      <w:pPr>
        <w:spacing w:after="0"/>
        <w:ind w:firstLine="708"/>
        <w:jc w:val="both"/>
        <w:rPr>
          <w:rFonts w:ascii="Calibri" w:hAnsi="Calibri" w:cs="Calibri"/>
          <w:sz w:val="24"/>
          <w:szCs w:val="24"/>
        </w:rPr>
      </w:pPr>
      <w:r w:rsidRPr="00284F9C">
        <w:rPr>
          <w:rFonts w:ascii="Calibri" w:hAnsi="Calibri" w:cs="Calibri"/>
          <w:sz w:val="24"/>
          <w:szCs w:val="24"/>
        </w:rPr>
        <w:t xml:space="preserve">O processo licitatório em epígrafe, conforme apresentado no Item </w:t>
      </w:r>
      <w:r w:rsidR="00A27C3A">
        <w:rPr>
          <w:rFonts w:ascii="Calibri" w:hAnsi="Calibri" w:cs="Calibri"/>
          <w:sz w:val="24"/>
          <w:szCs w:val="24"/>
        </w:rPr>
        <w:t>8.1.4</w:t>
      </w:r>
      <w:r w:rsidRPr="00284F9C">
        <w:rPr>
          <w:rFonts w:ascii="Calibri" w:hAnsi="Calibri" w:cs="Calibri"/>
          <w:sz w:val="24"/>
          <w:szCs w:val="24"/>
        </w:rPr>
        <w:t xml:space="preserve"> do seu edital, exige a termo de habilitação técnica a existência de profissional de nível superior, com formação em engenharia civil, em seu quadro técnico permanente que já tenha participado de execução de objetos que, em seu escopo, apresente os itens com parcela de maior relevância do objeto licitado, não sendo solicitado quantitativo mínimo.</w:t>
      </w:r>
    </w:p>
    <w:p w:rsidR="00882683" w:rsidRDefault="00130169" w:rsidP="00527878">
      <w:pPr>
        <w:spacing w:after="0"/>
        <w:ind w:firstLine="708"/>
        <w:jc w:val="both"/>
        <w:rPr>
          <w:rFonts w:ascii="Calibri" w:hAnsi="Calibri" w:cs="Calibri"/>
          <w:sz w:val="24"/>
          <w:szCs w:val="24"/>
        </w:rPr>
      </w:pPr>
      <w:r w:rsidRPr="00130169">
        <w:rPr>
          <w:rFonts w:ascii="Calibri" w:hAnsi="Calibri" w:cs="Calibri"/>
          <w:sz w:val="24"/>
          <w:szCs w:val="24"/>
        </w:rPr>
        <w:t>Os itens solicitados como parcela de maior relevânciasão:</w:t>
      </w:r>
    </w:p>
    <w:p w:rsidR="003962E9" w:rsidRPr="003962E9" w:rsidRDefault="003962E9" w:rsidP="003962E9">
      <w:pPr>
        <w:spacing w:after="0"/>
        <w:ind w:firstLine="360"/>
        <w:jc w:val="both"/>
        <w:rPr>
          <w:rFonts w:ascii="Calibri" w:hAnsi="Calibri" w:cs="Calibri"/>
          <w:sz w:val="24"/>
          <w:szCs w:val="24"/>
        </w:rPr>
      </w:pPr>
    </w:p>
    <w:p w:rsidR="00FF09E5" w:rsidRPr="00FF09E5" w:rsidRDefault="00FF09E5" w:rsidP="00FF09E5">
      <w:pPr>
        <w:spacing w:after="0"/>
        <w:ind w:firstLine="360"/>
        <w:jc w:val="both"/>
        <w:rPr>
          <w:rFonts w:ascii="Calibri" w:hAnsi="Calibri" w:cs="Calibri"/>
          <w:sz w:val="24"/>
          <w:szCs w:val="24"/>
        </w:rPr>
      </w:pPr>
      <w:r w:rsidRPr="00FF09E5">
        <w:rPr>
          <w:rFonts w:ascii="Calibri" w:hAnsi="Calibri" w:cs="Calibri"/>
          <w:sz w:val="24"/>
          <w:szCs w:val="24"/>
        </w:rPr>
        <w:t>•</w:t>
      </w:r>
      <w:r w:rsidRPr="00FF09E5">
        <w:rPr>
          <w:rFonts w:ascii="Calibri" w:hAnsi="Calibri" w:cs="Calibri"/>
          <w:sz w:val="24"/>
          <w:szCs w:val="24"/>
        </w:rPr>
        <w:tab/>
        <w:t>TELHA TERMOISOLANTE REVESTIDA EM AÇO GALVALUME;</w:t>
      </w:r>
    </w:p>
    <w:p w:rsidR="005C16E0" w:rsidRDefault="00FF09E5" w:rsidP="00FF09E5">
      <w:pPr>
        <w:spacing w:after="0"/>
        <w:ind w:firstLine="360"/>
        <w:jc w:val="both"/>
        <w:rPr>
          <w:rFonts w:ascii="Calibri" w:hAnsi="Calibri" w:cs="Calibri"/>
          <w:sz w:val="24"/>
          <w:szCs w:val="24"/>
        </w:rPr>
      </w:pPr>
      <w:r w:rsidRPr="00FF09E5">
        <w:rPr>
          <w:rFonts w:ascii="Calibri" w:hAnsi="Calibri" w:cs="Calibri"/>
          <w:sz w:val="24"/>
          <w:szCs w:val="24"/>
        </w:rPr>
        <w:t>•</w:t>
      </w:r>
      <w:r w:rsidRPr="00FF09E5">
        <w:rPr>
          <w:rFonts w:ascii="Calibri" w:hAnsi="Calibri" w:cs="Calibri"/>
          <w:sz w:val="24"/>
          <w:szCs w:val="24"/>
        </w:rPr>
        <w:tab/>
        <w:t>ESTRUTURA METÁLICA TRELIÇADA PARA COBERTURA.</w:t>
      </w:r>
    </w:p>
    <w:p w:rsidR="003962E9" w:rsidRDefault="003962E9" w:rsidP="003962E9">
      <w:pPr>
        <w:spacing w:after="0"/>
        <w:ind w:firstLine="360"/>
        <w:jc w:val="both"/>
        <w:rPr>
          <w:rFonts w:ascii="Calibri" w:hAnsi="Calibri" w:cs="Calibri"/>
          <w:sz w:val="24"/>
          <w:szCs w:val="24"/>
        </w:rPr>
      </w:pPr>
    </w:p>
    <w:p w:rsidR="00A66FAB" w:rsidRDefault="00A66FAB" w:rsidP="00A66FAB">
      <w:pPr>
        <w:spacing w:after="0"/>
        <w:ind w:firstLine="360"/>
        <w:jc w:val="both"/>
        <w:rPr>
          <w:rFonts w:ascii="Calibri" w:hAnsi="Calibri" w:cs="Calibri"/>
          <w:sz w:val="24"/>
          <w:szCs w:val="24"/>
        </w:rPr>
      </w:pPr>
      <w:r w:rsidRPr="00A66FAB">
        <w:rPr>
          <w:rFonts w:ascii="Calibri" w:hAnsi="Calibri" w:cs="Calibri"/>
          <w:sz w:val="24"/>
          <w:szCs w:val="24"/>
        </w:rPr>
        <w:t>Já no que tange a comprovação de capacidade técnico operacional, conforme apresentado no Item 8.6.5 do referido edital, os quantitativos mínimos exigidos são os seguintes:</w:t>
      </w:r>
    </w:p>
    <w:p w:rsidR="003F291A" w:rsidRDefault="003F291A" w:rsidP="00A66FAB">
      <w:pPr>
        <w:spacing w:after="0"/>
        <w:ind w:firstLine="360"/>
        <w:jc w:val="both"/>
        <w:rPr>
          <w:rFonts w:ascii="Calibri" w:hAnsi="Calibri" w:cs="Calibri"/>
          <w:sz w:val="24"/>
          <w:szCs w:val="24"/>
        </w:rPr>
      </w:pPr>
    </w:p>
    <w:p w:rsidR="00E153A6" w:rsidRPr="00E153A6" w:rsidRDefault="003F291A" w:rsidP="00E153A6">
      <w:pPr>
        <w:spacing w:after="0"/>
        <w:ind w:firstLine="360"/>
        <w:jc w:val="both"/>
        <w:rPr>
          <w:rFonts w:ascii="Calibri" w:hAnsi="Calibri" w:cs="Calibri"/>
          <w:sz w:val="24"/>
          <w:szCs w:val="24"/>
        </w:rPr>
      </w:pPr>
      <w:r w:rsidRPr="003F291A">
        <w:rPr>
          <w:rFonts w:ascii="Calibri" w:hAnsi="Calibri" w:cs="Calibri"/>
          <w:sz w:val="24"/>
          <w:szCs w:val="24"/>
        </w:rPr>
        <w:t>•</w:t>
      </w:r>
      <w:r w:rsidR="00E153A6" w:rsidRPr="00E153A6">
        <w:rPr>
          <w:rFonts w:ascii="Calibri" w:hAnsi="Calibri" w:cs="Calibri"/>
          <w:sz w:val="24"/>
          <w:szCs w:val="24"/>
        </w:rPr>
        <w:tab/>
        <w:t>TELHA TERMOISOLANTE REVESTIDA EM AÇO GALVALUME – 500,00 m2;</w:t>
      </w:r>
    </w:p>
    <w:p w:rsidR="005C16E0" w:rsidRDefault="00E153A6" w:rsidP="00E153A6">
      <w:pPr>
        <w:spacing w:after="0"/>
        <w:ind w:firstLine="360"/>
        <w:jc w:val="both"/>
        <w:rPr>
          <w:rFonts w:ascii="Calibri" w:hAnsi="Calibri" w:cs="Calibri"/>
          <w:sz w:val="24"/>
          <w:szCs w:val="24"/>
        </w:rPr>
      </w:pPr>
      <w:r w:rsidRPr="00E153A6">
        <w:rPr>
          <w:rFonts w:ascii="Calibri" w:hAnsi="Calibri" w:cs="Calibri"/>
          <w:sz w:val="24"/>
          <w:szCs w:val="24"/>
        </w:rPr>
        <w:t>•</w:t>
      </w:r>
      <w:r w:rsidRPr="00E153A6">
        <w:rPr>
          <w:rFonts w:ascii="Calibri" w:hAnsi="Calibri" w:cs="Calibri"/>
          <w:sz w:val="24"/>
          <w:szCs w:val="24"/>
        </w:rPr>
        <w:tab/>
      </w:r>
      <w:bookmarkStart w:id="0" w:name="_Hlk182849330"/>
      <w:r w:rsidRPr="00E153A6">
        <w:rPr>
          <w:rFonts w:ascii="Calibri" w:hAnsi="Calibri" w:cs="Calibri"/>
          <w:sz w:val="24"/>
          <w:szCs w:val="24"/>
        </w:rPr>
        <w:t xml:space="preserve">ESTRUTURA METÁLICA TRELIÇADA PARA COBERTURA </w:t>
      </w:r>
      <w:bookmarkEnd w:id="0"/>
      <w:r w:rsidRPr="00E153A6">
        <w:rPr>
          <w:rFonts w:ascii="Calibri" w:hAnsi="Calibri" w:cs="Calibri"/>
          <w:sz w:val="24"/>
          <w:szCs w:val="24"/>
        </w:rPr>
        <w:t xml:space="preserve">– 8.000,00 Kg. </w:t>
      </w:r>
    </w:p>
    <w:p w:rsidR="003725CB" w:rsidRDefault="003725CB" w:rsidP="003F291A">
      <w:pPr>
        <w:spacing w:after="0"/>
        <w:ind w:firstLine="360"/>
        <w:jc w:val="both"/>
        <w:rPr>
          <w:rFonts w:ascii="Calibri" w:hAnsi="Calibri" w:cs="Calibri"/>
          <w:sz w:val="24"/>
          <w:szCs w:val="24"/>
        </w:rPr>
      </w:pPr>
    </w:p>
    <w:p w:rsidR="00131CDC" w:rsidRPr="00131CDC" w:rsidRDefault="00131CDC" w:rsidP="00131CDC">
      <w:pPr>
        <w:spacing w:after="0"/>
        <w:ind w:firstLine="360"/>
        <w:jc w:val="both"/>
        <w:rPr>
          <w:rFonts w:ascii="Calibri" w:hAnsi="Calibri" w:cs="Calibri"/>
          <w:sz w:val="24"/>
          <w:szCs w:val="24"/>
        </w:rPr>
      </w:pPr>
      <w:r w:rsidRPr="00131CDC">
        <w:rPr>
          <w:rFonts w:ascii="Calibri" w:hAnsi="Calibri" w:cs="Calibri"/>
          <w:sz w:val="24"/>
          <w:szCs w:val="24"/>
        </w:rPr>
        <w:lastRenderedPageBreak/>
        <w:t xml:space="preserve">A análise de habilitação de </w:t>
      </w:r>
      <w:r w:rsidRPr="00131CDC">
        <w:rPr>
          <w:rFonts w:ascii="Calibri" w:hAnsi="Calibri" w:cs="Calibri"/>
          <w:b/>
          <w:bCs/>
          <w:sz w:val="24"/>
          <w:szCs w:val="24"/>
        </w:rPr>
        <w:t>capacidade técnico-profissional</w:t>
      </w:r>
      <w:r w:rsidRPr="00131CDC">
        <w:rPr>
          <w:rFonts w:ascii="Calibri" w:hAnsi="Calibri" w:cs="Calibri"/>
          <w:sz w:val="24"/>
          <w:szCs w:val="24"/>
        </w:rPr>
        <w:t xml:space="preserve"> (Item </w:t>
      </w:r>
      <w:r w:rsidR="00A27C3A">
        <w:rPr>
          <w:rFonts w:ascii="Calibri" w:hAnsi="Calibri" w:cs="Calibri"/>
          <w:sz w:val="24"/>
          <w:szCs w:val="24"/>
        </w:rPr>
        <w:t>8.1.4</w:t>
      </w:r>
      <w:r w:rsidRPr="00131CDC">
        <w:rPr>
          <w:rFonts w:ascii="Calibri" w:hAnsi="Calibri" w:cs="Calibri"/>
          <w:sz w:val="24"/>
          <w:szCs w:val="24"/>
        </w:rPr>
        <w:t xml:space="preserve"> do edital) consiste em averiguar a existência de Certidões de Acervo Técnico (CAT) devidamente registrados no Conselho Regional de Engenharia e Agronomia (CREA) que comprovem a participação na execução dos itens elencados acima.</w:t>
      </w:r>
    </w:p>
    <w:p w:rsidR="0004213F" w:rsidRDefault="00131CDC" w:rsidP="00BD179E">
      <w:pPr>
        <w:spacing w:after="0"/>
        <w:jc w:val="both"/>
        <w:rPr>
          <w:rFonts w:ascii="Calibri" w:hAnsi="Calibri" w:cs="Calibri"/>
          <w:sz w:val="24"/>
          <w:szCs w:val="24"/>
        </w:rPr>
      </w:pPr>
      <w:r w:rsidRPr="00131CDC">
        <w:rPr>
          <w:rFonts w:ascii="Calibri" w:hAnsi="Calibri" w:cs="Calibri"/>
          <w:sz w:val="24"/>
          <w:szCs w:val="24"/>
        </w:rPr>
        <w:tab/>
        <w:t xml:space="preserve">Diferentemente da análise de habilitação técnico-profissional (Item </w:t>
      </w:r>
      <w:r w:rsidR="00A27C3A">
        <w:rPr>
          <w:rFonts w:ascii="Calibri" w:hAnsi="Calibri" w:cs="Calibri"/>
          <w:sz w:val="24"/>
          <w:szCs w:val="24"/>
        </w:rPr>
        <w:t>8.1.4</w:t>
      </w:r>
      <w:r w:rsidRPr="00131CDC">
        <w:rPr>
          <w:rFonts w:ascii="Calibri" w:hAnsi="Calibri" w:cs="Calibri"/>
          <w:sz w:val="24"/>
          <w:szCs w:val="24"/>
        </w:rPr>
        <w:t xml:space="preserve"> do edital), a habilitação de </w:t>
      </w:r>
      <w:r w:rsidRPr="00BD179E">
        <w:rPr>
          <w:rFonts w:ascii="Calibri" w:hAnsi="Calibri" w:cs="Calibri"/>
          <w:b/>
          <w:bCs/>
          <w:sz w:val="24"/>
          <w:szCs w:val="24"/>
        </w:rPr>
        <w:t>capacidade técnico-operacional</w:t>
      </w:r>
      <w:r w:rsidRPr="00131CDC">
        <w:rPr>
          <w:rFonts w:ascii="Calibri" w:hAnsi="Calibri" w:cs="Calibri"/>
          <w:sz w:val="24"/>
          <w:szCs w:val="24"/>
        </w:rPr>
        <w:t xml:space="preserve"> (Item 8.6.5 do edital) consiste em averiguar não apenas a participação na execução dos serviços exigidos como parcelas de maior relevância na execução do objeto licitado, mas também na averiguação de quantitativos existentes em atestados fornecidos por pessoas físicas e/ou jurídicas de direito público e/ou privado em nome da empresa participante.</w:t>
      </w:r>
    </w:p>
    <w:p w:rsidR="00720E96" w:rsidRDefault="00720E96" w:rsidP="00720E96">
      <w:pPr>
        <w:pStyle w:val="Ttulo1"/>
        <w:numPr>
          <w:ilvl w:val="0"/>
          <w:numId w:val="2"/>
        </w:numPr>
      </w:pPr>
      <w:r>
        <w:t>ANÁLISE DO</w:t>
      </w:r>
      <w:r w:rsidR="00697FD2">
        <w:t>SSERVIÇOS DE MAIOR RELEVÂNCIA</w:t>
      </w:r>
    </w:p>
    <w:p w:rsidR="00A25C9A" w:rsidRPr="00A25C9A" w:rsidRDefault="00A25C9A" w:rsidP="00A25C9A">
      <w:pPr>
        <w:spacing w:after="0"/>
        <w:ind w:firstLine="709"/>
        <w:jc w:val="both"/>
        <w:rPr>
          <w:rFonts w:ascii="Calibri" w:hAnsi="Calibri" w:cs="Calibri"/>
          <w:sz w:val="24"/>
          <w:szCs w:val="24"/>
        </w:rPr>
      </w:pPr>
      <w:r w:rsidRPr="00A25C9A">
        <w:rPr>
          <w:rFonts w:ascii="Calibri" w:hAnsi="Calibri" w:cs="Calibri"/>
          <w:sz w:val="24"/>
          <w:szCs w:val="24"/>
        </w:rPr>
        <w:t xml:space="preserve">A análise das CATs e dos atestados de capacidade técnica apresentados seguiu o preconizado na Lei nº </w:t>
      </w:r>
      <w:r>
        <w:rPr>
          <w:rFonts w:ascii="Calibri" w:hAnsi="Calibri" w:cs="Calibri"/>
          <w:sz w:val="24"/>
          <w:szCs w:val="24"/>
        </w:rPr>
        <w:t>14.133</w:t>
      </w:r>
      <w:r w:rsidRPr="00A25C9A">
        <w:rPr>
          <w:rFonts w:ascii="Calibri" w:hAnsi="Calibri" w:cs="Calibri"/>
          <w:sz w:val="24"/>
          <w:szCs w:val="24"/>
        </w:rPr>
        <w:t>/</w:t>
      </w:r>
      <w:r>
        <w:rPr>
          <w:rFonts w:ascii="Calibri" w:hAnsi="Calibri" w:cs="Calibri"/>
          <w:sz w:val="24"/>
          <w:szCs w:val="24"/>
        </w:rPr>
        <w:t>21</w:t>
      </w:r>
      <w:r w:rsidRPr="00A25C9A">
        <w:rPr>
          <w:rFonts w:ascii="Calibri" w:hAnsi="Calibri" w:cs="Calibri"/>
          <w:sz w:val="24"/>
          <w:szCs w:val="24"/>
        </w:rPr>
        <w:t>. Dito isso, cabe salientar que, em seu Art.</w:t>
      </w:r>
      <w:r w:rsidR="006709F7">
        <w:rPr>
          <w:rFonts w:ascii="Calibri" w:hAnsi="Calibri" w:cs="Calibri"/>
          <w:sz w:val="24"/>
          <w:szCs w:val="24"/>
        </w:rPr>
        <w:t>67</w:t>
      </w:r>
      <w:r w:rsidRPr="00A25C9A">
        <w:rPr>
          <w:rFonts w:ascii="Calibri" w:hAnsi="Calibri" w:cs="Calibri"/>
          <w:sz w:val="24"/>
          <w:szCs w:val="24"/>
        </w:rPr>
        <w:t xml:space="preserve">, </w:t>
      </w:r>
      <w:r w:rsidR="00F15BFB">
        <w:rPr>
          <w:rFonts w:ascii="Calibri" w:hAnsi="Calibri" w:cs="Calibri"/>
          <w:sz w:val="24"/>
          <w:szCs w:val="24"/>
        </w:rPr>
        <w:t>inciso II</w:t>
      </w:r>
      <w:r w:rsidRPr="00A25C9A">
        <w:rPr>
          <w:rFonts w:ascii="Calibri" w:hAnsi="Calibri" w:cs="Calibri"/>
          <w:sz w:val="24"/>
          <w:szCs w:val="24"/>
        </w:rPr>
        <w:t>, cita-se a admissão de aptidão técnica a partir da apresentação de atestados de obras ou serviços similares:</w:t>
      </w:r>
    </w:p>
    <w:p w:rsidR="00A25C9A" w:rsidRPr="00A25C9A" w:rsidRDefault="00A25C9A" w:rsidP="00A25C9A">
      <w:pPr>
        <w:spacing w:after="0"/>
        <w:ind w:firstLine="709"/>
        <w:jc w:val="both"/>
        <w:rPr>
          <w:rFonts w:ascii="Calibri" w:hAnsi="Calibri" w:cs="Calibri"/>
          <w:sz w:val="24"/>
          <w:szCs w:val="24"/>
        </w:rPr>
      </w:pPr>
    </w:p>
    <w:p w:rsidR="00A25C9A" w:rsidRPr="00A25C9A" w:rsidRDefault="00A25C9A" w:rsidP="00A25C9A">
      <w:pPr>
        <w:spacing w:after="0"/>
        <w:ind w:left="4111" w:hanging="142"/>
        <w:jc w:val="both"/>
        <w:rPr>
          <w:rFonts w:ascii="Calibri" w:hAnsi="Calibri" w:cs="Calibri"/>
          <w:i/>
          <w:iCs/>
          <w:sz w:val="24"/>
          <w:szCs w:val="24"/>
        </w:rPr>
      </w:pPr>
      <w:r w:rsidRPr="00A25C9A">
        <w:rPr>
          <w:rFonts w:ascii="Calibri" w:hAnsi="Calibri" w:cs="Calibri"/>
          <w:i/>
          <w:iCs/>
          <w:sz w:val="24"/>
          <w:szCs w:val="24"/>
        </w:rPr>
        <w:t>“</w:t>
      </w:r>
      <w:r w:rsidR="00B11C2D" w:rsidRPr="00B11C2D">
        <w:rPr>
          <w:rFonts w:ascii="Calibri" w:hAnsi="Calibri" w:cs="Calibri"/>
          <w:i/>
          <w:iCs/>
          <w:sz w:val="24"/>
          <w:szCs w:val="24"/>
        </w:rPr>
        <w:t xml:space="preserve">II - </w:t>
      </w:r>
      <w:r w:rsidR="00AB7A20">
        <w:rPr>
          <w:rFonts w:ascii="Calibri" w:hAnsi="Calibri" w:cs="Calibri"/>
          <w:i/>
          <w:iCs/>
          <w:sz w:val="24"/>
          <w:szCs w:val="24"/>
        </w:rPr>
        <w:t>c</w:t>
      </w:r>
      <w:r w:rsidR="00AB7A20" w:rsidRPr="00B11C2D">
        <w:rPr>
          <w:rFonts w:ascii="Calibri" w:hAnsi="Calibri" w:cs="Calibri"/>
          <w:i/>
          <w:iCs/>
          <w:sz w:val="24"/>
          <w:szCs w:val="24"/>
        </w:rPr>
        <w:t>ertidões ou atestados</w:t>
      </w:r>
      <w:r w:rsidR="00B11C2D" w:rsidRPr="00B11C2D">
        <w:rPr>
          <w:rFonts w:ascii="Calibri" w:hAnsi="Calibri" w:cs="Calibri"/>
          <w:i/>
          <w:iCs/>
          <w:sz w:val="24"/>
          <w:szCs w:val="24"/>
        </w:rPr>
        <w:t>,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w:t>
      </w:r>
      <w:r w:rsidRPr="00A25C9A">
        <w:rPr>
          <w:rFonts w:ascii="Calibri" w:hAnsi="Calibri" w:cs="Calibri"/>
          <w:i/>
          <w:iCs/>
          <w:sz w:val="24"/>
          <w:szCs w:val="24"/>
        </w:rPr>
        <w:t>”</w:t>
      </w:r>
    </w:p>
    <w:p w:rsidR="00A25C9A" w:rsidRPr="00A25C9A" w:rsidRDefault="00A25C9A" w:rsidP="00A25C9A">
      <w:pPr>
        <w:spacing w:after="0"/>
        <w:jc w:val="both"/>
        <w:rPr>
          <w:rFonts w:ascii="Calibri" w:hAnsi="Calibri" w:cs="Calibri"/>
          <w:sz w:val="24"/>
          <w:szCs w:val="24"/>
        </w:rPr>
      </w:pPr>
      <w:r w:rsidRPr="00A25C9A">
        <w:rPr>
          <w:rFonts w:ascii="Calibri" w:hAnsi="Calibri" w:cs="Calibri"/>
          <w:sz w:val="24"/>
          <w:szCs w:val="24"/>
        </w:rPr>
        <w:tab/>
        <w:t>Nesse sentido, considerando os itens apontados no edital como parcelas de maior relevância técnica e financeira, a análise de similaridade de itens apresentados seguirá o seguinte escopo:</w:t>
      </w:r>
    </w:p>
    <w:p w:rsidR="00A25C9A" w:rsidRPr="00A25C9A" w:rsidRDefault="00A25C9A" w:rsidP="00A25C9A">
      <w:pPr>
        <w:spacing w:after="0"/>
        <w:jc w:val="both"/>
        <w:rPr>
          <w:rFonts w:ascii="Calibri" w:hAnsi="Calibri" w:cs="Calibri"/>
          <w:sz w:val="24"/>
          <w:szCs w:val="24"/>
        </w:rPr>
      </w:pPr>
    </w:p>
    <w:p w:rsidR="00A25C9A" w:rsidRDefault="00A25C9A" w:rsidP="00A25C9A">
      <w:pPr>
        <w:spacing w:after="0"/>
        <w:ind w:right="-285"/>
        <w:jc w:val="both"/>
        <w:rPr>
          <w:rFonts w:ascii="Times New Roman" w:hAnsi="Times New Roman" w:cs="Times New Roman"/>
          <w:sz w:val="24"/>
          <w:szCs w:val="24"/>
        </w:rPr>
      </w:pPr>
      <w:r>
        <w:rPr>
          <w:rFonts w:ascii="Times New Roman" w:hAnsi="Times New Roman" w:cs="Times New Roman"/>
          <w:noProof/>
          <w:sz w:val="24"/>
          <w:szCs w:val="24"/>
          <w:lang w:eastAsia="pt-BR"/>
        </w:rPr>
        <w:drawing>
          <wp:inline distT="0" distB="0" distL="0" distR="0">
            <wp:extent cx="5638165" cy="2085975"/>
            <wp:effectExtent l="19050" t="0" r="19685"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13849" w:rsidRDefault="00013849" w:rsidP="00013849">
      <w:pPr>
        <w:spacing w:after="0"/>
        <w:jc w:val="both"/>
        <w:rPr>
          <w:rFonts w:ascii="Calibri" w:hAnsi="Calibri" w:cs="Calibri"/>
          <w:sz w:val="24"/>
          <w:szCs w:val="24"/>
        </w:rPr>
      </w:pPr>
    </w:p>
    <w:p w:rsidR="00013849" w:rsidRDefault="00013849" w:rsidP="00013849">
      <w:pPr>
        <w:keepNext/>
        <w:spacing w:after="0"/>
        <w:jc w:val="center"/>
      </w:pPr>
    </w:p>
    <w:p w:rsidR="003B122E" w:rsidRDefault="00ED2DC3" w:rsidP="003B122E">
      <w:pPr>
        <w:pStyle w:val="Ttulo1"/>
        <w:numPr>
          <w:ilvl w:val="0"/>
          <w:numId w:val="2"/>
        </w:numPr>
      </w:pPr>
      <w:r>
        <w:t>SI</w:t>
      </w:r>
      <w:r w:rsidR="00B73FFE">
        <w:t>MILARIDADE DOS SERVIÇOS</w:t>
      </w:r>
      <w:r w:rsidR="00C40016">
        <w:t>/PARCELAS DE MAIOR RELEVÂNCIA</w:t>
      </w:r>
      <w:r w:rsidR="003B122E">
        <w:t>.</w:t>
      </w:r>
    </w:p>
    <w:p w:rsidR="00A7547B" w:rsidRPr="00A7547B" w:rsidRDefault="00A7547B" w:rsidP="00A7547B">
      <w:pPr>
        <w:spacing w:after="0"/>
        <w:ind w:firstLine="708"/>
        <w:jc w:val="both"/>
        <w:rPr>
          <w:rFonts w:ascii="Calibri" w:hAnsi="Calibri" w:cs="Calibri"/>
          <w:sz w:val="24"/>
          <w:szCs w:val="24"/>
        </w:rPr>
      </w:pPr>
      <w:r w:rsidRPr="00A7547B">
        <w:rPr>
          <w:rFonts w:ascii="Calibri" w:hAnsi="Calibri" w:cs="Calibri"/>
          <w:sz w:val="24"/>
          <w:szCs w:val="24"/>
        </w:rPr>
        <w:t>Para execução do escopo acima exposto, servimo-nos do seguinte resumo para análise de similaridade dos serviços exigidos como parcelas de maior relevância:</w:t>
      </w:r>
    </w:p>
    <w:p w:rsidR="00A7547B" w:rsidRPr="00A7547B" w:rsidRDefault="00A7547B" w:rsidP="00A7547B">
      <w:pPr>
        <w:spacing w:after="0"/>
        <w:ind w:firstLine="708"/>
        <w:jc w:val="both"/>
        <w:rPr>
          <w:rFonts w:ascii="Calibri" w:hAnsi="Calibri" w:cs="Calibri"/>
          <w:sz w:val="24"/>
          <w:szCs w:val="24"/>
        </w:rPr>
      </w:pPr>
    </w:p>
    <w:p w:rsidR="005C16E0" w:rsidRPr="005C16E0" w:rsidRDefault="005C16E0" w:rsidP="005C16E0">
      <w:pPr>
        <w:pStyle w:val="PargrafodaLista"/>
        <w:spacing w:after="0"/>
        <w:ind w:left="360"/>
        <w:jc w:val="both"/>
        <w:rPr>
          <w:rFonts w:ascii="Calibri" w:hAnsi="Calibri" w:cs="Calibri"/>
          <w:b/>
          <w:bCs/>
          <w:sz w:val="24"/>
          <w:szCs w:val="24"/>
        </w:rPr>
      </w:pPr>
      <w:r w:rsidRPr="005C16E0">
        <w:rPr>
          <w:rFonts w:ascii="Calibri" w:hAnsi="Calibri" w:cs="Calibri"/>
          <w:b/>
          <w:bCs/>
          <w:sz w:val="24"/>
          <w:szCs w:val="24"/>
        </w:rPr>
        <w:t>•</w:t>
      </w:r>
      <w:r w:rsidRPr="005C16E0">
        <w:rPr>
          <w:rFonts w:ascii="Calibri" w:hAnsi="Calibri" w:cs="Calibri"/>
          <w:b/>
          <w:bCs/>
          <w:sz w:val="24"/>
          <w:szCs w:val="24"/>
        </w:rPr>
        <w:tab/>
      </w:r>
      <w:r w:rsidR="00E153A6" w:rsidRPr="00E153A6">
        <w:rPr>
          <w:rFonts w:ascii="Calibri" w:hAnsi="Calibri" w:cs="Calibri"/>
          <w:b/>
          <w:bCs/>
          <w:sz w:val="24"/>
          <w:szCs w:val="24"/>
        </w:rPr>
        <w:t>TELHA TERMOISOLANTE REVESTIDA EM AÇO GALVALUME</w:t>
      </w:r>
    </w:p>
    <w:p w:rsidR="00A7547B" w:rsidRPr="00CB2FEA" w:rsidRDefault="00A7547B" w:rsidP="00A7547B">
      <w:pPr>
        <w:pStyle w:val="PargrafodaLista"/>
        <w:numPr>
          <w:ilvl w:val="1"/>
          <w:numId w:val="6"/>
        </w:numPr>
        <w:spacing w:after="0"/>
        <w:jc w:val="both"/>
        <w:rPr>
          <w:rFonts w:ascii="Calibri" w:hAnsi="Calibri" w:cs="Calibri"/>
          <w:b/>
          <w:bCs/>
          <w:sz w:val="24"/>
          <w:szCs w:val="24"/>
        </w:rPr>
      </w:pPr>
      <w:r w:rsidRPr="00A7547B">
        <w:rPr>
          <w:rFonts w:ascii="Calibri" w:hAnsi="Calibri" w:cs="Calibri"/>
          <w:sz w:val="24"/>
          <w:szCs w:val="24"/>
        </w:rPr>
        <w:t>A execução de tod</w:t>
      </w:r>
      <w:r w:rsidR="00E153A6">
        <w:rPr>
          <w:rFonts w:ascii="Calibri" w:hAnsi="Calibri" w:cs="Calibri"/>
          <w:sz w:val="24"/>
          <w:szCs w:val="24"/>
        </w:rPr>
        <w:t>o</w:t>
      </w:r>
      <w:r w:rsidRPr="00A7547B">
        <w:rPr>
          <w:rFonts w:ascii="Calibri" w:hAnsi="Calibri" w:cs="Calibri"/>
          <w:sz w:val="24"/>
          <w:szCs w:val="24"/>
        </w:rPr>
        <w:t xml:space="preserve"> e qualquer</w:t>
      </w:r>
      <w:r w:rsidR="00CB1AB4">
        <w:rPr>
          <w:rFonts w:ascii="Calibri" w:hAnsi="Calibri" w:cs="Calibri"/>
          <w:sz w:val="24"/>
          <w:szCs w:val="24"/>
        </w:rPr>
        <w:t>telhamento metálico</w:t>
      </w:r>
      <w:r w:rsidR="00E153A6">
        <w:rPr>
          <w:rFonts w:ascii="Calibri" w:hAnsi="Calibri" w:cs="Calibri"/>
          <w:sz w:val="24"/>
          <w:szCs w:val="24"/>
        </w:rPr>
        <w:t>termoisolante</w:t>
      </w:r>
      <w:r w:rsidR="00CB1AB4">
        <w:rPr>
          <w:rFonts w:ascii="Calibri" w:hAnsi="Calibri" w:cs="Calibri"/>
          <w:sz w:val="24"/>
          <w:szCs w:val="24"/>
        </w:rPr>
        <w:t>, seja qual for o tipo e dimensões das telhas</w:t>
      </w:r>
      <w:r w:rsidRPr="00A7547B">
        <w:rPr>
          <w:rFonts w:ascii="Calibri" w:hAnsi="Calibri" w:cs="Calibri"/>
          <w:sz w:val="24"/>
          <w:szCs w:val="24"/>
        </w:rPr>
        <w:t>. A operacionalização do serviço também será considerada similar.</w:t>
      </w:r>
    </w:p>
    <w:p w:rsidR="005C16E0" w:rsidRPr="00A7547B" w:rsidRDefault="005C16E0" w:rsidP="005C16E0">
      <w:pPr>
        <w:spacing w:after="0"/>
        <w:ind w:firstLine="708"/>
        <w:jc w:val="both"/>
        <w:rPr>
          <w:rFonts w:ascii="Calibri" w:hAnsi="Calibri" w:cs="Calibri"/>
          <w:sz w:val="24"/>
          <w:szCs w:val="24"/>
        </w:rPr>
      </w:pPr>
    </w:p>
    <w:p w:rsidR="005C16E0" w:rsidRPr="005C16E0" w:rsidRDefault="005C16E0" w:rsidP="005C16E0">
      <w:pPr>
        <w:pStyle w:val="PargrafodaLista"/>
        <w:spacing w:after="0"/>
        <w:ind w:left="360"/>
        <w:jc w:val="both"/>
        <w:rPr>
          <w:rFonts w:ascii="Calibri" w:hAnsi="Calibri" w:cs="Calibri"/>
          <w:b/>
          <w:bCs/>
          <w:sz w:val="24"/>
          <w:szCs w:val="24"/>
        </w:rPr>
      </w:pPr>
      <w:r w:rsidRPr="005C16E0">
        <w:rPr>
          <w:rFonts w:ascii="Calibri" w:hAnsi="Calibri" w:cs="Calibri"/>
          <w:b/>
          <w:bCs/>
          <w:sz w:val="24"/>
          <w:szCs w:val="24"/>
        </w:rPr>
        <w:t>•</w:t>
      </w:r>
      <w:r w:rsidRPr="005C16E0">
        <w:rPr>
          <w:rFonts w:ascii="Calibri" w:hAnsi="Calibri" w:cs="Calibri"/>
          <w:b/>
          <w:bCs/>
          <w:sz w:val="24"/>
          <w:szCs w:val="24"/>
        </w:rPr>
        <w:tab/>
      </w:r>
      <w:r w:rsidR="00E153A6" w:rsidRPr="00E153A6">
        <w:rPr>
          <w:rFonts w:ascii="Calibri" w:hAnsi="Calibri" w:cs="Calibri"/>
          <w:b/>
          <w:bCs/>
          <w:sz w:val="24"/>
          <w:szCs w:val="24"/>
        </w:rPr>
        <w:t>ESTRUTURA METÁLICA TRELIÇADA PARA COBERTURA</w:t>
      </w:r>
    </w:p>
    <w:p w:rsidR="005C16E0" w:rsidRPr="00F61BBC" w:rsidRDefault="005C16E0" w:rsidP="005C16E0">
      <w:pPr>
        <w:pStyle w:val="PargrafodaLista"/>
        <w:numPr>
          <w:ilvl w:val="1"/>
          <w:numId w:val="6"/>
        </w:numPr>
        <w:spacing w:after="0"/>
        <w:jc w:val="both"/>
        <w:rPr>
          <w:rFonts w:ascii="Calibri" w:hAnsi="Calibri" w:cs="Calibri"/>
          <w:b/>
          <w:bCs/>
          <w:sz w:val="24"/>
          <w:szCs w:val="24"/>
        </w:rPr>
      </w:pPr>
      <w:r w:rsidRPr="00A7547B">
        <w:rPr>
          <w:rFonts w:ascii="Calibri" w:hAnsi="Calibri" w:cs="Calibri"/>
          <w:sz w:val="24"/>
          <w:szCs w:val="24"/>
        </w:rPr>
        <w:t>A execução de todo e qualquer</w:t>
      </w:r>
      <w:r w:rsidR="00351B12">
        <w:rPr>
          <w:rFonts w:ascii="Calibri" w:hAnsi="Calibri" w:cs="Calibri"/>
          <w:sz w:val="24"/>
          <w:szCs w:val="24"/>
        </w:rPr>
        <w:t xml:space="preserve"> serviço de </w:t>
      </w:r>
      <w:r w:rsidR="00F61BBC">
        <w:rPr>
          <w:rFonts w:ascii="Calibri" w:hAnsi="Calibri" w:cs="Calibri"/>
          <w:sz w:val="24"/>
          <w:szCs w:val="24"/>
        </w:rPr>
        <w:t>estrutura metálica treliçada</w:t>
      </w:r>
      <w:r w:rsidR="00351B12">
        <w:rPr>
          <w:rFonts w:ascii="Calibri" w:hAnsi="Calibri" w:cs="Calibri"/>
          <w:sz w:val="24"/>
          <w:szCs w:val="24"/>
        </w:rPr>
        <w:t xml:space="preserve">, seja qual for </w:t>
      </w:r>
      <w:r w:rsidR="00F61BBC">
        <w:rPr>
          <w:rFonts w:ascii="Calibri" w:hAnsi="Calibri" w:cs="Calibri"/>
          <w:sz w:val="24"/>
          <w:szCs w:val="24"/>
        </w:rPr>
        <w:t>as dimensões das peças e ou espessura das chapas</w:t>
      </w:r>
      <w:r w:rsidRPr="00A7547B">
        <w:rPr>
          <w:rFonts w:ascii="Calibri" w:hAnsi="Calibri" w:cs="Calibri"/>
          <w:sz w:val="24"/>
          <w:szCs w:val="24"/>
        </w:rPr>
        <w:t>. A operacionalização do serviço também será considerada similar.</w:t>
      </w:r>
    </w:p>
    <w:p w:rsidR="00CB2FEA" w:rsidRDefault="00CB2FEA" w:rsidP="00CB2FEA">
      <w:pPr>
        <w:spacing w:after="0"/>
        <w:jc w:val="both"/>
        <w:rPr>
          <w:rFonts w:ascii="Calibri" w:hAnsi="Calibri" w:cs="Calibri"/>
          <w:b/>
          <w:bCs/>
          <w:sz w:val="24"/>
          <w:szCs w:val="24"/>
        </w:rPr>
      </w:pPr>
    </w:p>
    <w:p w:rsidR="00CB2FEA" w:rsidRDefault="006357C8" w:rsidP="00CB2FEA">
      <w:pPr>
        <w:pStyle w:val="Ttulo1"/>
        <w:numPr>
          <w:ilvl w:val="0"/>
          <w:numId w:val="2"/>
        </w:numPr>
      </w:pPr>
      <w:r>
        <w:t>RESULTADO DA ANÁLISE DA HABILITAÇÃO TÉCNICA</w:t>
      </w:r>
    </w:p>
    <w:p w:rsidR="006357C8" w:rsidRDefault="007D7946" w:rsidP="007D7946">
      <w:pPr>
        <w:ind w:firstLine="360"/>
        <w:jc w:val="both"/>
        <w:rPr>
          <w:rFonts w:ascii="Calibri" w:hAnsi="Calibri" w:cs="Calibri"/>
          <w:sz w:val="24"/>
          <w:szCs w:val="24"/>
        </w:rPr>
      </w:pPr>
      <w:r w:rsidRPr="007D7946">
        <w:rPr>
          <w:rFonts w:ascii="Calibri" w:hAnsi="Calibri" w:cs="Calibri"/>
          <w:sz w:val="24"/>
          <w:szCs w:val="24"/>
        </w:rPr>
        <w:t>Utilizando-se da metodologia indicada no</w:t>
      </w:r>
      <w:r w:rsidR="00132D4E">
        <w:rPr>
          <w:rFonts w:ascii="Calibri" w:hAnsi="Calibri" w:cs="Calibri"/>
          <w:sz w:val="24"/>
          <w:szCs w:val="24"/>
        </w:rPr>
        <w:t>s</w:t>
      </w:r>
      <w:r w:rsidRPr="007D7946">
        <w:rPr>
          <w:rFonts w:ascii="Calibri" w:hAnsi="Calibri" w:cs="Calibri"/>
          <w:sz w:val="24"/>
          <w:szCs w:val="24"/>
        </w:rPr>
        <w:t xml:space="preserve"> Ite</w:t>
      </w:r>
      <w:r w:rsidR="00132D4E">
        <w:rPr>
          <w:rFonts w:ascii="Calibri" w:hAnsi="Calibri" w:cs="Calibri"/>
          <w:sz w:val="24"/>
          <w:szCs w:val="24"/>
        </w:rPr>
        <w:t>ns</w:t>
      </w:r>
      <w:r w:rsidRPr="007D7946">
        <w:rPr>
          <w:rFonts w:ascii="Calibri" w:hAnsi="Calibri" w:cs="Calibri"/>
          <w:sz w:val="24"/>
          <w:szCs w:val="24"/>
        </w:rPr>
        <w:t xml:space="preserve"> 3</w:t>
      </w:r>
      <w:r w:rsidR="00132D4E">
        <w:rPr>
          <w:rFonts w:ascii="Calibri" w:hAnsi="Calibri" w:cs="Calibri"/>
          <w:sz w:val="24"/>
          <w:szCs w:val="24"/>
        </w:rPr>
        <w:t xml:space="preserve"> e 4</w:t>
      </w:r>
      <w:r w:rsidRPr="007D7946">
        <w:rPr>
          <w:rFonts w:ascii="Calibri" w:hAnsi="Calibri" w:cs="Calibri"/>
          <w:sz w:val="24"/>
          <w:szCs w:val="24"/>
        </w:rPr>
        <w:t xml:space="preserve"> deste parecer</w:t>
      </w:r>
      <w:r w:rsidR="00132D4E">
        <w:rPr>
          <w:rFonts w:ascii="Calibri" w:hAnsi="Calibri" w:cs="Calibri"/>
          <w:sz w:val="24"/>
          <w:szCs w:val="24"/>
        </w:rPr>
        <w:t xml:space="preserve">, </w:t>
      </w:r>
      <w:r w:rsidR="004168F5">
        <w:rPr>
          <w:rFonts w:ascii="Calibri" w:hAnsi="Calibri" w:cs="Calibri"/>
          <w:sz w:val="24"/>
          <w:szCs w:val="24"/>
        </w:rPr>
        <w:t>no Edital do Processo Licitatório em questão,</w:t>
      </w:r>
      <w:r w:rsidRPr="007D7946">
        <w:rPr>
          <w:rFonts w:ascii="Calibri" w:hAnsi="Calibri" w:cs="Calibri"/>
          <w:sz w:val="24"/>
          <w:szCs w:val="24"/>
        </w:rPr>
        <w:t xml:space="preserve">assim como preconizado na Lei nº </w:t>
      </w:r>
      <w:r w:rsidR="00132D4E">
        <w:rPr>
          <w:rFonts w:ascii="Calibri" w:hAnsi="Calibri" w:cs="Calibri"/>
          <w:sz w:val="24"/>
          <w:szCs w:val="24"/>
        </w:rPr>
        <w:t>14</w:t>
      </w:r>
      <w:r w:rsidRPr="007D7946">
        <w:rPr>
          <w:rFonts w:ascii="Calibri" w:hAnsi="Calibri" w:cs="Calibri"/>
          <w:sz w:val="24"/>
          <w:szCs w:val="24"/>
        </w:rPr>
        <w:t>.</w:t>
      </w:r>
      <w:r w:rsidR="00132D4E">
        <w:rPr>
          <w:rFonts w:ascii="Calibri" w:hAnsi="Calibri" w:cs="Calibri"/>
          <w:sz w:val="24"/>
          <w:szCs w:val="24"/>
        </w:rPr>
        <w:t>133</w:t>
      </w:r>
      <w:r w:rsidRPr="007D7946">
        <w:rPr>
          <w:rFonts w:ascii="Calibri" w:hAnsi="Calibri" w:cs="Calibri"/>
          <w:sz w:val="24"/>
          <w:szCs w:val="24"/>
        </w:rPr>
        <w:t>/</w:t>
      </w:r>
      <w:r w:rsidR="00132D4E">
        <w:rPr>
          <w:rFonts w:ascii="Calibri" w:hAnsi="Calibri" w:cs="Calibri"/>
          <w:sz w:val="24"/>
          <w:szCs w:val="24"/>
        </w:rPr>
        <w:t>21</w:t>
      </w:r>
      <w:r w:rsidRPr="007D7946">
        <w:rPr>
          <w:rFonts w:ascii="Calibri" w:hAnsi="Calibri" w:cs="Calibri"/>
          <w:sz w:val="24"/>
          <w:szCs w:val="24"/>
        </w:rPr>
        <w:t xml:space="preserve">, </w:t>
      </w:r>
      <w:r w:rsidR="004E39D7">
        <w:rPr>
          <w:rFonts w:ascii="Calibri" w:hAnsi="Calibri" w:cs="Calibri"/>
          <w:sz w:val="24"/>
          <w:szCs w:val="24"/>
        </w:rPr>
        <w:t>chegamos na seguinte conclusão.</w:t>
      </w:r>
    </w:p>
    <w:p w:rsidR="004E39D7" w:rsidRPr="004E39D7" w:rsidRDefault="004E39D7" w:rsidP="004E39D7">
      <w:pPr>
        <w:pStyle w:val="PargrafodaLista"/>
        <w:numPr>
          <w:ilvl w:val="0"/>
          <w:numId w:val="7"/>
        </w:numPr>
        <w:jc w:val="both"/>
        <w:rPr>
          <w:rFonts w:ascii="Calibri" w:hAnsi="Calibri" w:cs="Calibri"/>
          <w:b/>
          <w:bCs/>
          <w:sz w:val="24"/>
          <w:szCs w:val="24"/>
          <w:u w:val="single"/>
        </w:rPr>
      </w:pPr>
      <w:r w:rsidRPr="004E39D7">
        <w:rPr>
          <w:rFonts w:ascii="Calibri" w:hAnsi="Calibri" w:cs="Calibri"/>
          <w:b/>
          <w:bCs/>
          <w:sz w:val="24"/>
          <w:szCs w:val="24"/>
          <w:u w:val="single"/>
        </w:rPr>
        <w:t>Empresas Habilitadas:</w:t>
      </w:r>
    </w:p>
    <w:p w:rsidR="00F26C45" w:rsidRDefault="00F26C45" w:rsidP="00FB3A86">
      <w:pPr>
        <w:pStyle w:val="PargrafodaLista"/>
        <w:numPr>
          <w:ilvl w:val="0"/>
          <w:numId w:val="9"/>
        </w:numPr>
        <w:spacing w:after="0"/>
        <w:jc w:val="both"/>
        <w:rPr>
          <w:rFonts w:ascii="Calibri" w:hAnsi="Calibri" w:cs="Calibri"/>
          <w:sz w:val="24"/>
          <w:szCs w:val="24"/>
        </w:rPr>
      </w:pPr>
      <w:r w:rsidRPr="00F26C45">
        <w:rPr>
          <w:rFonts w:ascii="Calibri" w:hAnsi="Calibri" w:cs="Calibri"/>
          <w:sz w:val="24"/>
          <w:szCs w:val="24"/>
        </w:rPr>
        <w:t xml:space="preserve">CAVALCANTI, ANDRADE E ALCANTARA CONSTRUTORA LTDA </w:t>
      </w:r>
    </w:p>
    <w:p w:rsidR="00F26C45" w:rsidRDefault="00F26C45" w:rsidP="00FB3A86">
      <w:pPr>
        <w:pStyle w:val="PargrafodaLista"/>
        <w:numPr>
          <w:ilvl w:val="0"/>
          <w:numId w:val="9"/>
        </w:numPr>
        <w:spacing w:after="0"/>
        <w:jc w:val="both"/>
        <w:rPr>
          <w:rFonts w:ascii="Calibri" w:hAnsi="Calibri" w:cs="Calibri"/>
          <w:sz w:val="24"/>
          <w:szCs w:val="24"/>
        </w:rPr>
      </w:pPr>
      <w:r w:rsidRPr="00F26C45">
        <w:rPr>
          <w:rFonts w:ascii="Calibri" w:hAnsi="Calibri" w:cs="Calibri"/>
          <w:sz w:val="24"/>
          <w:szCs w:val="24"/>
        </w:rPr>
        <w:t xml:space="preserve">TORI ENGENHARIA SERVICOS E LOCACOES LTDA </w:t>
      </w:r>
    </w:p>
    <w:p w:rsidR="007125EB" w:rsidRDefault="007125EB" w:rsidP="00FB3A86">
      <w:pPr>
        <w:pStyle w:val="PargrafodaLista"/>
        <w:numPr>
          <w:ilvl w:val="0"/>
          <w:numId w:val="9"/>
        </w:numPr>
        <w:spacing w:after="0"/>
        <w:jc w:val="both"/>
        <w:rPr>
          <w:rFonts w:ascii="Calibri" w:hAnsi="Calibri" w:cs="Calibri"/>
          <w:sz w:val="24"/>
          <w:szCs w:val="24"/>
        </w:rPr>
      </w:pPr>
      <w:r>
        <w:rPr>
          <w:rFonts w:ascii="Calibri" w:hAnsi="Calibri" w:cs="Calibri"/>
          <w:sz w:val="24"/>
          <w:szCs w:val="24"/>
        </w:rPr>
        <w:t>GEODAVE ALBUQUERQUE DE SOUSA EIRELLE ME</w:t>
      </w:r>
    </w:p>
    <w:p w:rsidR="00F26C45" w:rsidRDefault="00BD1A7E" w:rsidP="00FB3A86">
      <w:pPr>
        <w:pStyle w:val="PargrafodaLista"/>
        <w:numPr>
          <w:ilvl w:val="0"/>
          <w:numId w:val="9"/>
        </w:numPr>
        <w:spacing w:after="0"/>
        <w:jc w:val="both"/>
        <w:rPr>
          <w:rFonts w:ascii="Calibri" w:hAnsi="Calibri" w:cs="Calibri"/>
          <w:sz w:val="24"/>
          <w:szCs w:val="24"/>
        </w:rPr>
      </w:pPr>
      <w:r>
        <w:rPr>
          <w:rFonts w:ascii="Calibri" w:hAnsi="Calibri" w:cs="Calibri"/>
          <w:sz w:val="24"/>
          <w:szCs w:val="24"/>
        </w:rPr>
        <w:t>FIT SERVIÇOS DE ENGENHARIA LTDA</w:t>
      </w:r>
    </w:p>
    <w:p w:rsidR="001E4FD7" w:rsidRDefault="00BD1A7E" w:rsidP="00FB3A86">
      <w:pPr>
        <w:pStyle w:val="PargrafodaLista"/>
        <w:numPr>
          <w:ilvl w:val="0"/>
          <w:numId w:val="9"/>
        </w:numPr>
        <w:spacing w:after="0"/>
        <w:jc w:val="both"/>
        <w:rPr>
          <w:rFonts w:ascii="Calibri" w:hAnsi="Calibri" w:cs="Calibri"/>
          <w:sz w:val="24"/>
          <w:szCs w:val="24"/>
        </w:rPr>
      </w:pPr>
      <w:r>
        <w:rPr>
          <w:rFonts w:ascii="Calibri" w:hAnsi="Calibri" w:cs="Calibri"/>
          <w:sz w:val="24"/>
          <w:szCs w:val="24"/>
        </w:rPr>
        <w:t>OCTA</w:t>
      </w:r>
      <w:r w:rsidR="00B37655">
        <w:rPr>
          <w:rFonts w:ascii="Calibri" w:hAnsi="Calibri" w:cs="Calibri"/>
          <w:sz w:val="24"/>
          <w:szCs w:val="24"/>
        </w:rPr>
        <w:t>GON EMPREENDIMENTOS LTDA</w:t>
      </w:r>
    </w:p>
    <w:p w:rsidR="006616A7" w:rsidRDefault="00BA6CBB" w:rsidP="00FB3A86">
      <w:pPr>
        <w:pStyle w:val="PargrafodaLista"/>
        <w:numPr>
          <w:ilvl w:val="0"/>
          <w:numId w:val="9"/>
        </w:numPr>
        <w:spacing w:after="0"/>
        <w:jc w:val="both"/>
        <w:rPr>
          <w:rFonts w:ascii="Calibri" w:hAnsi="Calibri" w:cs="Calibri"/>
          <w:sz w:val="24"/>
          <w:szCs w:val="24"/>
        </w:rPr>
      </w:pPr>
      <w:r w:rsidRPr="00BA6CBB">
        <w:rPr>
          <w:rFonts w:ascii="Calibri" w:hAnsi="Calibri" w:cs="Calibri"/>
          <w:sz w:val="24"/>
          <w:szCs w:val="24"/>
        </w:rPr>
        <w:t>M &amp; W SERVICOS DE CONSTRUCAO E REFORMA LTDA</w:t>
      </w:r>
    </w:p>
    <w:p w:rsidR="00B37655" w:rsidRDefault="007B5B7A" w:rsidP="00FB3A86">
      <w:pPr>
        <w:pStyle w:val="PargrafodaLista"/>
        <w:numPr>
          <w:ilvl w:val="0"/>
          <w:numId w:val="9"/>
        </w:numPr>
        <w:spacing w:after="0"/>
        <w:jc w:val="both"/>
        <w:rPr>
          <w:rFonts w:ascii="Calibri" w:hAnsi="Calibri" w:cs="Calibri"/>
          <w:sz w:val="24"/>
          <w:szCs w:val="24"/>
        </w:rPr>
      </w:pPr>
      <w:r>
        <w:rPr>
          <w:rFonts w:ascii="Calibri" w:hAnsi="Calibri" w:cs="Calibri"/>
          <w:sz w:val="24"/>
          <w:szCs w:val="24"/>
        </w:rPr>
        <w:t>IFC ENGENHARIA LTDA</w:t>
      </w:r>
    </w:p>
    <w:p w:rsidR="007B5B7A" w:rsidRDefault="00747C41" w:rsidP="00FB3A86">
      <w:pPr>
        <w:pStyle w:val="PargrafodaLista"/>
        <w:numPr>
          <w:ilvl w:val="0"/>
          <w:numId w:val="9"/>
        </w:numPr>
        <w:spacing w:after="0"/>
        <w:jc w:val="both"/>
        <w:rPr>
          <w:rFonts w:ascii="Calibri" w:hAnsi="Calibri" w:cs="Calibri"/>
          <w:sz w:val="24"/>
          <w:szCs w:val="24"/>
        </w:rPr>
      </w:pPr>
      <w:r>
        <w:rPr>
          <w:rFonts w:ascii="Calibri" w:hAnsi="Calibri" w:cs="Calibri"/>
          <w:sz w:val="24"/>
          <w:szCs w:val="24"/>
        </w:rPr>
        <w:t>RIBEIRO E ANJOS EMPREENDIMENTOS E ENGENHARIA LTDA</w:t>
      </w:r>
    </w:p>
    <w:p w:rsidR="00747C41" w:rsidRDefault="00787C54" w:rsidP="00FB3A86">
      <w:pPr>
        <w:pStyle w:val="PargrafodaLista"/>
        <w:numPr>
          <w:ilvl w:val="0"/>
          <w:numId w:val="9"/>
        </w:numPr>
        <w:spacing w:after="0"/>
        <w:jc w:val="both"/>
        <w:rPr>
          <w:rFonts w:ascii="Calibri" w:hAnsi="Calibri" w:cs="Calibri"/>
          <w:sz w:val="24"/>
          <w:szCs w:val="24"/>
        </w:rPr>
      </w:pPr>
      <w:r>
        <w:rPr>
          <w:rFonts w:ascii="Calibri" w:hAnsi="Calibri" w:cs="Calibri"/>
          <w:sz w:val="24"/>
          <w:szCs w:val="24"/>
        </w:rPr>
        <w:t>SOLUSTER SERVIÇOS E TERCEIRIZAÇÕES LTDA</w:t>
      </w:r>
    </w:p>
    <w:p w:rsidR="000827CD" w:rsidRDefault="000827CD" w:rsidP="000827CD">
      <w:pPr>
        <w:spacing w:after="0"/>
        <w:jc w:val="both"/>
        <w:rPr>
          <w:rFonts w:ascii="Calibri" w:hAnsi="Calibri" w:cs="Calibri"/>
          <w:sz w:val="24"/>
          <w:szCs w:val="24"/>
        </w:rPr>
      </w:pPr>
    </w:p>
    <w:p w:rsidR="000827CD" w:rsidRDefault="000827CD" w:rsidP="000827CD">
      <w:pPr>
        <w:pStyle w:val="PargrafodaLista"/>
        <w:numPr>
          <w:ilvl w:val="0"/>
          <w:numId w:val="7"/>
        </w:numPr>
        <w:spacing w:after="0"/>
        <w:jc w:val="both"/>
        <w:rPr>
          <w:rFonts w:ascii="Calibri" w:hAnsi="Calibri" w:cs="Calibri"/>
          <w:b/>
          <w:bCs/>
          <w:sz w:val="24"/>
          <w:szCs w:val="24"/>
          <w:u w:val="single"/>
        </w:rPr>
      </w:pPr>
      <w:r w:rsidRPr="000827CD">
        <w:rPr>
          <w:rFonts w:ascii="Calibri" w:hAnsi="Calibri" w:cs="Calibri"/>
          <w:b/>
          <w:bCs/>
          <w:sz w:val="24"/>
          <w:szCs w:val="24"/>
          <w:u w:val="single"/>
        </w:rPr>
        <w:t>Empresas Inabilitadas:</w:t>
      </w:r>
    </w:p>
    <w:p w:rsidR="00813A9D" w:rsidRDefault="00A90427" w:rsidP="00095C90">
      <w:pPr>
        <w:pStyle w:val="PargrafodaLista"/>
        <w:spacing w:after="0"/>
        <w:ind w:left="1080"/>
        <w:jc w:val="both"/>
        <w:rPr>
          <w:rFonts w:ascii="Calibri" w:hAnsi="Calibri" w:cs="Calibri"/>
          <w:sz w:val="24"/>
          <w:szCs w:val="24"/>
        </w:rPr>
      </w:pPr>
      <w:r>
        <w:rPr>
          <w:rFonts w:ascii="Calibri" w:hAnsi="Calibri" w:cs="Calibri"/>
          <w:sz w:val="24"/>
          <w:szCs w:val="24"/>
        </w:rPr>
        <w:t>Todas as empresas foram tecnicamente habilitadas.</w:t>
      </w:r>
    </w:p>
    <w:p w:rsidR="0029756D" w:rsidRDefault="0029756D" w:rsidP="00095C90">
      <w:pPr>
        <w:pStyle w:val="PargrafodaLista"/>
        <w:spacing w:after="0"/>
        <w:ind w:left="1080"/>
        <w:jc w:val="both"/>
        <w:rPr>
          <w:rFonts w:ascii="Calibri" w:hAnsi="Calibri" w:cs="Calibri"/>
          <w:sz w:val="24"/>
          <w:szCs w:val="24"/>
        </w:rPr>
      </w:pPr>
    </w:p>
    <w:p w:rsidR="00B018CE" w:rsidRPr="00B018CE" w:rsidRDefault="001C5DF1" w:rsidP="00B018CE">
      <w:pPr>
        <w:jc w:val="both"/>
        <w:rPr>
          <w:rFonts w:ascii="Calibri" w:hAnsi="Calibri" w:cs="Calibri"/>
          <w:sz w:val="24"/>
          <w:szCs w:val="24"/>
        </w:rPr>
      </w:pPr>
      <w:r>
        <w:rPr>
          <w:rFonts w:ascii="Calibri" w:hAnsi="Calibri" w:cs="Calibri"/>
          <w:noProof/>
          <w:sz w:val="24"/>
          <w:szCs w:val="24"/>
        </w:rPr>
        <w:pict>
          <v:shapetype id="_x0000_t202" coordsize="21600,21600" o:spt="202" path="m,l,21600r21600,l21600,xe">
            <v:stroke joinstyle="miter"/>
            <v:path gradientshapeok="t" o:connecttype="rect"/>
          </v:shapetype>
          <v:shape id="Caixa de Texto 2" o:spid="_x0000_s2050" type="#_x0000_t202" style="position:absolute;left:0;text-align:left;margin-left:89.55pt;margin-top:21.3pt;width:262.8pt;height:76.2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" filled="f" stroked="f">
            <v:textbox style="mso-fit-shape-to-text:t">
              <w:txbxContent>
                <w:p w:rsidR="00B018CE" w:rsidRDefault="00B018CE" w:rsidP="00B018CE">
                  <w:pPr>
                    <w:pBdr>
                      <w:bottom w:val="single" w:sz="12" w:space="1" w:color="auto"/>
                    </w:pBdr>
                    <w:spacing w:after="0"/>
                  </w:pPr>
                </w:p>
                <w:p w:rsidR="00B018CE" w:rsidRDefault="0018570B" w:rsidP="00B018CE">
                  <w:pPr>
                    <w:spacing w:after="0"/>
                    <w:jc w:val="center"/>
                    <w:rPr>
                      <w:rFonts w:ascii="Times New Roman" w:hAnsi="Times New Roman" w:cs="Times New Roman"/>
                      <w:b/>
                      <w:bCs/>
                      <w:sz w:val="24"/>
                      <w:szCs w:val="24"/>
                    </w:rPr>
                  </w:pPr>
                  <w:r>
                    <w:rPr>
                      <w:rFonts w:ascii="Times New Roman" w:hAnsi="Times New Roman" w:cs="Times New Roman"/>
                      <w:b/>
                      <w:bCs/>
                      <w:sz w:val="24"/>
                      <w:szCs w:val="24"/>
                    </w:rPr>
                    <w:t>Thalles Henrique Oliveira Ramos Cavalcanti</w:t>
                  </w:r>
                </w:p>
                <w:p w:rsidR="00B018CE" w:rsidRPr="005A2C40" w:rsidRDefault="00B018CE" w:rsidP="00B018CE">
                  <w:pPr>
                    <w:spacing w:after="0"/>
                    <w:jc w:val="center"/>
                    <w:rPr>
                      <w:rFonts w:ascii="Times New Roman" w:hAnsi="Times New Roman" w:cs="Times New Roman"/>
                    </w:rPr>
                  </w:pPr>
                  <w:r>
                    <w:rPr>
                      <w:rFonts w:ascii="Times New Roman" w:hAnsi="Times New Roman" w:cs="Times New Roman"/>
                    </w:rPr>
                    <w:t>Engenheiro Civil CREA/PE 181</w:t>
                  </w:r>
                  <w:r w:rsidR="0018570B">
                    <w:rPr>
                      <w:rFonts w:ascii="Times New Roman" w:hAnsi="Times New Roman" w:cs="Times New Roman"/>
                    </w:rPr>
                    <w:t>591437</w:t>
                  </w:r>
                  <w:r>
                    <w:rPr>
                      <w:rFonts w:ascii="Times New Roman" w:hAnsi="Times New Roman" w:cs="Times New Roman"/>
                    </w:rPr>
                    <w:t>-</w:t>
                  </w:r>
                  <w:r w:rsidR="0018570B">
                    <w:rPr>
                      <w:rFonts w:ascii="Times New Roman" w:hAnsi="Times New Roman" w:cs="Times New Roman"/>
                    </w:rPr>
                    <w:t>8</w:t>
                  </w:r>
                </w:p>
              </w:txbxContent>
            </v:textbox>
            <w10:wrap type="square"/>
          </v:shape>
        </w:pict>
      </w:r>
    </w:p>
    <w:p w:rsidR="00B018CE" w:rsidRPr="00B018CE" w:rsidRDefault="00B018CE" w:rsidP="00B018CE">
      <w:pPr>
        <w:spacing w:after="0"/>
        <w:jc w:val="center"/>
        <w:rPr>
          <w:rFonts w:ascii="Calibri" w:hAnsi="Calibri" w:cs="Calibri"/>
          <w:sz w:val="24"/>
          <w:szCs w:val="24"/>
        </w:rPr>
      </w:pPr>
    </w:p>
    <w:p w:rsidR="00B018CE" w:rsidRPr="00B018CE" w:rsidRDefault="00B018CE" w:rsidP="00B018CE">
      <w:pPr>
        <w:spacing w:after="0"/>
        <w:jc w:val="center"/>
        <w:rPr>
          <w:rFonts w:ascii="Calibri" w:hAnsi="Calibri" w:cs="Calibri"/>
          <w:sz w:val="24"/>
          <w:szCs w:val="24"/>
        </w:rPr>
      </w:pPr>
    </w:p>
    <w:p w:rsidR="00B018CE" w:rsidRPr="00B018CE" w:rsidRDefault="00B018CE" w:rsidP="00B018CE">
      <w:pPr>
        <w:spacing w:after="0"/>
        <w:jc w:val="center"/>
        <w:rPr>
          <w:rFonts w:ascii="Calibri" w:hAnsi="Calibri" w:cs="Calibri"/>
          <w:sz w:val="24"/>
          <w:szCs w:val="24"/>
        </w:rPr>
      </w:pPr>
    </w:p>
    <w:p w:rsidR="007613AB" w:rsidRPr="00527878" w:rsidRDefault="007613AB">
      <w:pPr>
        <w:rPr>
          <w:rFonts w:ascii="Calibri" w:hAnsi="Calibri" w:cs="Calibri"/>
        </w:rPr>
      </w:pPr>
    </w:p>
    <w:sectPr w:rsidR="007613AB" w:rsidRPr="00527878" w:rsidSect="00823090">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7C85" w:rsidRDefault="007A7C85" w:rsidP="00527878">
      <w:pPr>
        <w:spacing w:after="0" w:line="240" w:lineRule="auto"/>
      </w:pPr>
      <w:r>
        <w:separator/>
      </w:r>
    </w:p>
  </w:endnote>
  <w:endnote w:type="continuationSeparator" w:id="1">
    <w:p w:rsidR="007A7C85" w:rsidRDefault="007A7C85" w:rsidP="005278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697" w:rsidRDefault="008F7C74" w:rsidP="00247C89">
    <w:pPr>
      <w:pStyle w:val="Rodap"/>
      <w:jc w:val="center"/>
      <w:rPr>
        <w:color w:val="156082" w:themeColor="accent1"/>
        <w:sz w:val="20"/>
        <w:szCs w:val="20"/>
      </w:rPr>
    </w:pPr>
    <w:r w:rsidRPr="008F7C74">
      <w:rPr>
        <w:color w:val="156082" w:themeColor="accent1"/>
        <w:sz w:val="20"/>
        <w:szCs w:val="20"/>
      </w:rPr>
      <w:t>Rua Afonso Arinos de Melo Franco n° 101 – Izabel Gomes – Afrânio –PE</w:t>
    </w:r>
  </w:p>
  <w:p w:rsidR="00B83697" w:rsidRDefault="008F7C74" w:rsidP="00247C89">
    <w:pPr>
      <w:pStyle w:val="Rodap"/>
      <w:jc w:val="center"/>
      <w:rPr>
        <w:color w:val="156082" w:themeColor="accent1"/>
        <w:sz w:val="20"/>
        <w:szCs w:val="20"/>
      </w:rPr>
    </w:pPr>
    <w:r w:rsidRPr="008F7C74">
      <w:rPr>
        <w:color w:val="156082" w:themeColor="accent1"/>
        <w:sz w:val="20"/>
        <w:szCs w:val="20"/>
      </w:rPr>
      <w:t>CNPJ: 10.358.174/0001-84</w:t>
    </w:r>
  </w:p>
  <w:p w:rsidR="00527878" w:rsidRDefault="008F7C74" w:rsidP="00247C89">
    <w:pPr>
      <w:pStyle w:val="Rodap"/>
      <w:jc w:val="center"/>
    </w:pPr>
    <w:r w:rsidRPr="008F7C74">
      <w:rPr>
        <w:color w:val="156082" w:themeColor="accent1"/>
        <w:sz w:val="20"/>
        <w:szCs w:val="20"/>
      </w:rPr>
      <w:t>Fone: (87) 3868-1054 / 3868-1038</w:t>
    </w:r>
    <w:r w:rsidRPr="008F7C74">
      <w:rPr>
        <w:color w:val="156082" w:themeColor="accent1"/>
        <w:sz w:val="20"/>
        <w:szCs w:val="20"/>
      </w:rPr>
      <w:ptab w:relativeTo="margin" w:alignment="right" w:leader="none"/>
    </w:r>
    <w:r w:rsidR="001C5DF1" w:rsidRPr="008F7C74">
      <w:rPr>
        <w:color w:val="156082" w:themeColor="accent1"/>
        <w:sz w:val="20"/>
        <w:szCs w:val="20"/>
      </w:rPr>
      <w:fldChar w:fldCharType="begin"/>
    </w:r>
    <w:r w:rsidRPr="008F7C74">
      <w:rPr>
        <w:color w:val="156082" w:themeColor="accent1"/>
        <w:sz w:val="20"/>
        <w:szCs w:val="20"/>
      </w:rPr>
      <w:instrText>PAGE   \* MERGEFORMAT</w:instrText>
    </w:r>
    <w:r w:rsidR="001C5DF1" w:rsidRPr="008F7C74">
      <w:rPr>
        <w:color w:val="156082" w:themeColor="accent1"/>
        <w:sz w:val="20"/>
        <w:szCs w:val="20"/>
      </w:rPr>
      <w:fldChar w:fldCharType="separate"/>
    </w:r>
    <w:r w:rsidR="00C132DC">
      <w:rPr>
        <w:noProof/>
        <w:color w:val="156082" w:themeColor="accent1"/>
        <w:sz w:val="20"/>
        <w:szCs w:val="20"/>
      </w:rPr>
      <w:t>4</w:t>
    </w:r>
    <w:r w:rsidR="001C5DF1" w:rsidRPr="008F7C74">
      <w:rPr>
        <w:color w:val="156082" w:themeColor="accent1"/>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7C85" w:rsidRDefault="007A7C85" w:rsidP="00527878">
      <w:pPr>
        <w:spacing w:after="0" w:line="240" w:lineRule="auto"/>
      </w:pPr>
      <w:r>
        <w:separator/>
      </w:r>
    </w:p>
  </w:footnote>
  <w:footnote w:type="continuationSeparator" w:id="1">
    <w:p w:rsidR="007A7C85" w:rsidRDefault="007A7C85" w:rsidP="005278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878" w:rsidRDefault="00527878" w:rsidP="00527878">
    <w:pPr>
      <w:pStyle w:val="Cabealho"/>
      <w:jc w:val="center"/>
    </w:pPr>
    <w:r>
      <w:rPr>
        <w:noProof/>
        <w:lang w:eastAsia="pt-BR"/>
      </w:rPr>
      <w:drawing>
        <wp:inline distT="0" distB="0" distL="0" distR="0">
          <wp:extent cx="1429576" cy="1043940"/>
          <wp:effectExtent l="0" t="0" r="0" b="3810"/>
          <wp:docPr id="403921653"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21653" name="Imagem 1" descr="Logotipo, nome da empresa&#10;&#10;Descrição gerada automaticament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34314" cy="104740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3217"/>
    <w:multiLevelType w:val="hybridMultilevel"/>
    <w:tmpl w:val="8D047518"/>
    <w:lvl w:ilvl="0" w:tplc="0416000F">
      <w:start w:val="1"/>
      <w:numFmt w:val="decimal"/>
      <w:lvlText w:val="%1."/>
      <w:lvlJc w:val="left"/>
      <w:pPr>
        <w:ind w:left="3261" w:hanging="360"/>
      </w:pPr>
      <w:rPr>
        <w:rFonts w:hint="default"/>
      </w:rPr>
    </w:lvl>
    <w:lvl w:ilvl="1" w:tplc="04160019" w:tentative="1">
      <w:start w:val="1"/>
      <w:numFmt w:val="lowerLetter"/>
      <w:lvlText w:val="%2."/>
      <w:lvlJc w:val="left"/>
      <w:pPr>
        <w:ind w:left="3981" w:hanging="360"/>
      </w:pPr>
    </w:lvl>
    <w:lvl w:ilvl="2" w:tplc="0416001B" w:tentative="1">
      <w:start w:val="1"/>
      <w:numFmt w:val="lowerRoman"/>
      <w:lvlText w:val="%3."/>
      <w:lvlJc w:val="right"/>
      <w:pPr>
        <w:ind w:left="4701" w:hanging="180"/>
      </w:pPr>
    </w:lvl>
    <w:lvl w:ilvl="3" w:tplc="0416000F" w:tentative="1">
      <w:start w:val="1"/>
      <w:numFmt w:val="decimal"/>
      <w:lvlText w:val="%4."/>
      <w:lvlJc w:val="left"/>
      <w:pPr>
        <w:ind w:left="5421" w:hanging="360"/>
      </w:pPr>
    </w:lvl>
    <w:lvl w:ilvl="4" w:tplc="04160019" w:tentative="1">
      <w:start w:val="1"/>
      <w:numFmt w:val="lowerLetter"/>
      <w:lvlText w:val="%5."/>
      <w:lvlJc w:val="left"/>
      <w:pPr>
        <w:ind w:left="6141" w:hanging="360"/>
      </w:pPr>
    </w:lvl>
    <w:lvl w:ilvl="5" w:tplc="0416001B" w:tentative="1">
      <w:start w:val="1"/>
      <w:numFmt w:val="lowerRoman"/>
      <w:lvlText w:val="%6."/>
      <w:lvlJc w:val="right"/>
      <w:pPr>
        <w:ind w:left="6861" w:hanging="180"/>
      </w:pPr>
    </w:lvl>
    <w:lvl w:ilvl="6" w:tplc="0416000F" w:tentative="1">
      <w:start w:val="1"/>
      <w:numFmt w:val="decimal"/>
      <w:lvlText w:val="%7."/>
      <w:lvlJc w:val="left"/>
      <w:pPr>
        <w:ind w:left="7581" w:hanging="360"/>
      </w:pPr>
    </w:lvl>
    <w:lvl w:ilvl="7" w:tplc="04160019" w:tentative="1">
      <w:start w:val="1"/>
      <w:numFmt w:val="lowerLetter"/>
      <w:lvlText w:val="%8."/>
      <w:lvlJc w:val="left"/>
      <w:pPr>
        <w:ind w:left="8301" w:hanging="360"/>
      </w:pPr>
    </w:lvl>
    <w:lvl w:ilvl="8" w:tplc="0416001B" w:tentative="1">
      <w:start w:val="1"/>
      <w:numFmt w:val="lowerRoman"/>
      <w:lvlText w:val="%9."/>
      <w:lvlJc w:val="right"/>
      <w:pPr>
        <w:ind w:left="9021" w:hanging="180"/>
      </w:pPr>
    </w:lvl>
  </w:abstractNum>
  <w:abstractNum w:abstractNumId="1">
    <w:nsid w:val="26D74609"/>
    <w:multiLevelType w:val="hybridMultilevel"/>
    <w:tmpl w:val="8116C830"/>
    <w:lvl w:ilvl="0" w:tplc="4EBA8D1E">
      <w:start w:val="1"/>
      <w:numFmt w:val="bullet"/>
      <w:lvlText w:val=""/>
      <w:lvlJc w:val="left"/>
      <w:pPr>
        <w:ind w:left="360" w:hanging="360"/>
      </w:pPr>
      <w:rPr>
        <w:rFonts w:ascii="Symbol" w:hAnsi="Symbol" w:hint="default"/>
        <w:sz w:val="24"/>
        <w:szCs w:val="24"/>
      </w:rPr>
    </w:lvl>
    <w:lvl w:ilvl="1" w:tplc="CF0EEC06">
      <w:start w:val="1"/>
      <w:numFmt w:val="bullet"/>
      <w:lvlText w:val="o"/>
      <w:lvlJc w:val="left"/>
      <w:pPr>
        <w:ind w:left="1080" w:hanging="360"/>
      </w:pPr>
      <w:rPr>
        <w:rFonts w:ascii="Courier New" w:hAnsi="Courier New" w:cs="Courier New" w:hint="default"/>
        <w:sz w:val="24"/>
        <w:szCs w:val="24"/>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29D2262A"/>
    <w:multiLevelType w:val="hybridMultilevel"/>
    <w:tmpl w:val="896682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C334B27"/>
    <w:multiLevelType w:val="hybridMultilevel"/>
    <w:tmpl w:val="57A6D3E4"/>
    <w:lvl w:ilvl="0" w:tplc="076E7A54">
      <w:numFmt w:val="bullet"/>
      <w:lvlText w:val=""/>
      <w:lvlJc w:val="left"/>
      <w:pPr>
        <w:ind w:left="720" w:hanging="360"/>
      </w:pPr>
      <w:rPr>
        <w:rFonts w:ascii="Symbol" w:eastAsiaTheme="minorHAnsi"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2C279FC"/>
    <w:multiLevelType w:val="hybridMultilevel"/>
    <w:tmpl w:val="B4582336"/>
    <w:lvl w:ilvl="0" w:tplc="8E5A845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B355A85"/>
    <w:multiLevelType w:val="hybridMultilevel"/>
    <w:tmpl w:val="896682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5BD42303"/>
    <w:multiLevelType w:val="hybridMultilevel"/>
    <w:tmpl w:val="994EA990"/>
    <w:lvl w:ilvl="0" w:tplc="A6EC5C3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F645ABA"/>
    <w:multiLevelType w:val="hybridMultilevel"/>
    <w:tmpl w:val="3F5AB0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0765321"/>
    <w:multiLevelType w:val="hybridMultilevel"/>
    <w:tmpl w:val="C304FA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24B30DD"/>
    <w:multiLevelType w:val="hybridMultilevel"/>
    <w:tmpl w:val="896682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7A946186"/>
    <w:multiLevelType w:val="hybridMultilevel"/>
    <w:tmpl w:val="47BE9D28"/>
    <w:lvl w:ilvl="0" w:tplc="A3AA388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9"/>
  </w:num>
  <w:num w:numId="4">
    <w:abstractNumId w:val="5"/>
  </w:num>
  <w:num w:numId="5">
    <w:abstractNumId w:val="3"/>
  </w:num>
  <w:num w:numId="6">
    <w:abstractNumId w:val="1"/>
  </w:num>
  <w:num w:numId="7">
    <w:abstractNumId w:val="7"/>
  </w:num>
  <w:num w:numId="8">
    <w:abstractNumId w:val="8"/>
  </w:num>
  <w:num w:numId="9">
    <w:abstractNumId w:val="10"/>
  </w:num>
  <w:num w:numId="10">
    <w:abstractNumId w:val="6"/>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2"/>
  </w:hdrShapeDefaults>
  <w:footnotePr>
    <w:footnote w:id="0"/>
    <w:footnote w:id="1"/>
  </w:footnotePr>
  <w:endnotePr>
    <w:endnote w:id="0"/>
    <w:endnote w:id="1"/>
  </w:endnotePr>
  <w:compat/>
  <w:rsids>
    <w:rsidRoot w:val="00527878"/>
    <w:rsid w:val="000002E8"/>
    <w:rsid w:val="0000133F"/>
    <w:rsid w:val="000038F4"/>
    <w:rsid w:val="000045E4"/>
    <w:rsid w:val="00013849"/>
    <w:rsid w:val="00023E81"/>
    <w:rsid w:val="00035759"/>
    <w:rsid w:val="0004213F"/>
    <w:rsid w:val="0005316E"/>
    <w:rsid w:val="00076D10"/>
    <w:rsid w:val="000827CD"/>
    <w:rsid w:val="00095C90"/>
    <w:rsid w:val="000A1068"/>
    <w:rsid w:val="000B382C"/>
    <w:rsid w:val="000B7F61"/>
    <w:rsid w:val="001002DD"/>
    <w:rsid w:val="0011483E"/>
    <w:rsid w:val="00122FDE"/>
    <w:rsid w:val="00123BED"/>
    <w:rsid w:val="00130169"/>
    <w:rsid w:val="00131CDC"/>
    <w:rsid w:val="00132D4E"/>
    <w:rsid w:val="00135B76"/>
    <w:rsid w:val="00137ADD"/>
    <w:rsid w:val="001409A7"/>
    <w:rsid w:val="00156EA1"/>
    <w:rsid w:val="001629C8"/>
    <w:rsid w:val="00166CC6"/>
    <w:rsid w:val="0016764E"/>
    <w:rsid w:val="00176DCD"/>
    <w:rsid w:val="0018570B"/>
    <w:rsid w:val="001A2A67"/>
    <w:rsid w:val="001A69CC"/>
    <w:rsid w:val="001C5DF1"/>
    <w:rsid w:val="001D3387"/>
    <w:rsid w:val="001D4202"/>
    <w:rsid w:val="001D6AA6"/>
    <w:rsid w:val="001E284F"/>
    <w:rsid w:val="001E3E0A"/>
    <w:rsid w:val="001E4FD7"/>
    <w:rsid w:val="001F749D"/>
    <w:rsid w:val="00211D3C"/>
    <w:rsid w:val="00216861"/>
    <w:rsid w:val="00217060"/>
    <w:rsid w:val="00220FF6"/>
    <w:rsid w:val="0022345C"/>
    <w:rsid w:val="00225D26"/>
    <w:rsid w:val="002360BF"/>
    <w:rsid w:val="002403B7"/>
    <w:rsid w:val="00244427"/>
    <w:rsid w:val="00247C89"/>
    <w:rsid w:val="00254A7E"/>
    <w:rsid w:val="00261C97"/>
    <w:rsid w:val="0026230C"/>
    <w:rsid w:val="00270D2B"/>
    <w:rsid w:val="00280298"/>
    <w:rsid w:val="00284F9C"/>
    <w:rsid w:val="00290A67"/>
    <w:rsid w:val="00290B9D"/>
    <w:rsid w:val="0029482A"/>
    <w:rsid w:val="0029756D"/>
    <w:rsid w:val="002E574C"/>
    <w:rsid w:val="00303D90"/>
    <w:rsid w:val="00307449"/>
    <w:rsid w:val="00316785"/>
    <w:rsid w:val="00333ACD"/>
    <w:rsid w:val="00351B12"/>
    <w:rsid w:val="00367B32"/>
    <w:rsid w:val="003725CB"/>
    <w:rsid w:val="0038742F"/>
    <w:rsid w:val="003962E9"/>
    <w:rsid w:val="003B122E"/>
    <w:rsid w:val="003F17F9"/>
    <w:rsid w:val="003F291A"/>
    <w:rsid w:val="004168F5"/>
    <w:rsid w:val="00422E92"/>
    <w:rsid w:val="00443938"/>
    <w:rsid w:val="00450E89"/>
    <w:rsid w:val="004611B7"/>
    <w:rsid w:val="00474CD7"/>
    <w:rsid w:val="00477D00"/>
    <w:rsid w:val="00493095"/>
    <w:rsid w:val="004B3CA3"/>
    <w:rsid w:val="004C1101"/>
    <w:rsid w:val="004C5D11"/>
    <w:rsid w:val="004E39D7"/>
    <w:rsid w:val="004E5A12"/>
    <w:rsid w:val="004F66B3"/>
    <w:rsid w:val="00500037"/>
    <w:rsid w:val="00500BAD"/>
    <w:rsid w:val="00527878"/>
    <w:rsid w:val="00530F7A"/>
    <w:rsid w:val="005415E8"/>
    <w:rsid w:val="0055190D"/>
    <w:rsid w:val="00564B77"/>
    <w:rsid w:val="00586252"/>
    <w:rsid w:val="00591F88"/>
    <w:rsid w:val="0059738E"/>
    <w:rsid w:val="005C16E0"/>
    <w:rsid w:val="005E7DF1"/>
    <w:rsid w:val="005F5990"/>
    <w:rsid w:val="0060760E"/>
    <w:rsid w:val="00623657"/>
    <w:rsid w:val="00631751"/>
    <w:rsid w:val="006357C8"/>
    <w:rsid w:val="00640097"/>
    <w:rsid w:val="0064286D"/>
    <w:rsid w:val="00645622"/>
    <w:rsid w:val="00651F36"/>
    <w:rsid w:val="006524D6"/>
    <w:rsid w:val="006616A7"/>
    <w:rsid w:val="006709F7"/>
    <w:rsid w:val="00671192"/>
    <w:rsid w:val="00680D84"/>
    <w:rsid w:val="0068544E"/>
    <w:rsid w:val="006861F2"/>
    <w:rsid w:val="00697FD2"/>
    <w:rsid w:val="006A030C"/>
    <w:rsid w:val="006D312C"/>
    <w:rsid w:val="006E21B2"/>
    <w:rsid w:val="006F1241"/>
    <w:rsid w:val="006F32FC"/>
    <w:rsid w:val="006F40A5"/>
    <w:rsid w:val="006F5AA7"/>
    <w:rsid w:val="006F5F11"/>
    <w:rsid w:val="007125EB"/>
    <w:rsid w:val="00720E96"/>
    <w:rsid w:val="0072495B"/>
    <w:rsid w:val="00745F00"/>
    <w:rsid w:val="00747C41"/>
    <w:rsid w:val="007613AB"/>
    <w:rsid w:val="00765AE4"/>
    <w:rsid w:val="00767A20"/>
    <w:rsid w:val="00771514"/>
    <w:rsid w:val="00783A88"/>
    <w:rsid w:val="00784BDE"/>
    <w:rsid w:val="00787C54"/>
    <w:rsid w:val="00792182"/>
    <w:rsid w:val="007A7BBA"/>
    <w:rsid w:val="007A7C85"/>
    <w:rsid w:val="007B0CCD"/>
    <w:rsid w:val="007B43E7"/>
    <w:rsid w:val="007B5B7A"/>
    <w:rsid w:val="007B6A9A"/>
    <w:rsid w:val="007C4F2F"/>
    <w:rsid w:val="007C745A"/>
    <w:rsid w:val="007D1089"/>
    <w:rsid w:val="007D7946"/>
    <w:rsid w:val="007F10A1"/>
    <w:rsid w:val="00807D28"/>
    <w:rsid w:val="008121D8"/>
    <w:rsid w:val="00812D28"/>
    <w:rsid w:val="00813A9D"/>
    <w:rsid w:val="0082031C"/>
    <w:rsid w:val="00823090"/>
    <w:rsid w:val="008341FC"/>
    <w:rsid w:val="00857D17"/>
    <w:rsid w:val="008623C5"/>
    <w:rsid w:val="00862AF1"/>
    <w:rsid w:val="0087236B"/>
    <w:rsid w:val="00882683"/>
    <w:rsid w:val="008974B7"/>
    <w:rsid w:val="008976F8"/>
    <w:rsid w:val="008A306C"/>
    <w:rsid w:val="008C5D6D"/>
    <w:rsid w:val="008D2908"/>
    <w:rsid w:val="008D3F62"/>
    <w:rsid w:val="008F38CD"/>
    <w:rsid w:val="008F4560"/>
    <w:rsid w:val="008F7C74"/>
    <w:rsid w:val="00906861"/>
    <w:rsid w:val="00914237"/>
    <w:rsid w:val="00921338"/>
    <w:rsid w:val="00922661"/>
    <w:rsid w:val="009304D9"/>
    <w:rsid w:val="00940752"/>
    <w:rsid w:val="00940819"/>
    <w:rsid w:val="00965889"/>
    <w:rsid w:val="009731F5"/>
    <w:rsid w:val="0097511B"/>
    <w:rsid w:val="00977C05"/>
    <w:rsid w:val="0098098D"/>
    <w:rsid w:val="00987A8D"/>
    <w:rsid w:val="00996A34"/>
    <w:rsid w:val="009A2B8D"/>
    <w:rsid w:val="009A6468"/>
    <w:rsid w:val="009B0B42"/>
    <w:rsid w:val="009E62A4"/>
    <w:rsid w:val="00A04F37"/>
    <w:rsid w:val="00A25C9A"/>
    <w:rsid w:val="00A27C3A"/>
    <w:rsid w:val="00A66FAB"/>
    <w:rsid w:val="00A7547B"/>
    <w:rsid w:val="00A75D9A"/>
    <w:rsid w:val="00A90427"/>
    <w:rsid w:val="00A96318"/>
    <w:rsid w:val="00AA2321"/>
    <w:rsid w:val="00AA6C3D"/>
    <w:rsid w:val="00AB7A20"/>
    <w:rsid w:val="00AD2454"/>
    <w:rsid w:val="00AF42DD"/>
    <w:rsid w:val="00AF7B23"/>
    <w:rsid w:val="00B0071B"/>
    <w:rsid w:val="00B018CE"/>
    <w:rsid w:val="00B018D7"/>
    <w:rsid w:val="00B11C2D"/>
    <w:rsid w:val="00B17E56"/>
    <w:rsid w:val="00B22E05"/>
    <w:rsid w:val="00B32EB2"/>
    <w:rsid w:val="00B37655"/>
    <w:rsid w:val="00B444DC"/>
    <w:rsid w:val="00B514B3"/>
    <w:rsid w:val="00B73FFE"/>
    <w:rsid w:val="00B83697"/>
    <w:rsid w:val="00B90BDA"/>
    <w:rsid w:val="00BA6CBB"/>
    <w:rsid w:val="00BB4578"/>
    <w:rsid w:val="00BC0B57"/>
    <w:rsid w:val="00BD179E"/>
    <w:rsid w:val="00BD1A7E"/>
    <w:rsid w:val="00BE61ED"/>
    <w:rsid w:val="00BF0A10"/>
    <w:rsid w:val="00BF2EE5"/>
    <w:rsid w:val="00C132DC"/>
    <w:rsid w:val="00C146A6"/>
    <w:rsid w:val="00C16B89"/>
    <w:rsid w:val="00C348CB"/>
    <w:rsid w:val="00C40016"/>
    <w:rsid w:val="00C41F57"/>
    <w:rsid w:val="00C6176F"/>
    <w:rsid w:val="00C853F5"/>
    <w:rsid w:val="00CB1AB4"/>
    <w:rsid w:val="00CB2FEA"/>
    <w:rsid w:val="00CB65BB"/>
    <w:rsid w:val="00CC7E2D"/>
    <w:rsid w:val="00CF0671"/>
    <w:rsid w:val="00D11A98"/>
    <w:rsid w:val="00D27359"/>
    <w:rsid w:val="00D33FD9"/>
    <w:rsid w:val="00D434FB"/>
    <w:rsid w:val="00D44C8F"/>
    <w:rsid w:val="00D74F5D"/>
    <w:rsid w:val="00D81F52"/>
    <w:rsid w:val="00D93A4D"/>
    <w:rsid w:val="00DB0C6E"/>
    <w:rsid w:val="00DD2A80"/>
    <w:rsid w:val="00DF40B3"/>
    <w:rsid w:val="00E11AA7"/>
    <w:rsid w:val="00E13F35"/>
    <w:rsid w:val="00E153A6"/>
    <w:rsid w:val="00E218FC"/>
    <w:rsid w:val="00E34B43"/>
    <w:rsid w:val="00E355A8"/>
    <w:rsid w:val="00E37F7C"/>
    <w:rsid w:val="00E67DDB"/>
    <w:rsid w:val="00E80E35"/>
    <w:rsid w:val="00EC5B7E"/>
    <w:rsid w:val="00EC773D"/>
    <w:rsid w:val="00ED2DC3"/>
    <w:rsid w:val="00EF0CB0"/>
    <w:rsid w:val="00EF569A"/>
    <w:rsid w:val="00F02ED6"/>
    <w:rsid w:val="00F127E7"/>
    <w:rsid w:val="00F15BFB"/>
    <w:rsid w:val="00F17381"/>
    <w:rsid w:val="00F26C45"/>
    <w:rsid w:val="00F33E19"/>
    <w:rsid w:val="00F370CB"/>
    <w:rsid w:val="00F47909"/>
    <w:rsid w:val="00F51599"/>
    <w:rsid w:val="00F61BBC"/>
    <w:rsid w:val="00F6789E"/>
    <w:rsid w:val="00F6792C"/>
    <w:rsid w:val="00F72830"/>
    <w:rsid w:val="00F72DC8"/>
    <w:rsid w:val="00F751FF"/>
    <w:rsid w:val="00F87380"/>
    <w:rsid w:val="00F93418"/>
    <w:rsid w:val="00FB3A86"/>
    <w:rsid w:val="00FF09E5"/>
    <w:rsid w:val="00FF2E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6E0"/>
    <w:rPr>
      <w:kern w:val="0"/>
    </w:rPr>
  </w:style>
  <w:style w:type="paragraph" w:styleId="Ttulo1">
    <w:name w:val="heading 1"/>
    <w:basedOn w:val="Normal"/>
    <w:next w:val="Normal"/>
    <w:link w:val="Ttulo1Char"/>
    <w:uiPriority w:val="9"/>
    <w:qFormat/>
    <w:rsid w:val="00527878"/>
    <w:pPr>
      <w:keepNext/>
      <w:keepLines/>
      <w:spacing w:before="360" w:after="80"/>
      <w:outlineLvl w:val="0"/>
    </w:pPr>
    <w:rPr>
      <w:rFonts w:ascii="Calibri" w:eastAsiaTheme="majorEastAsia" w:hAnsi="Calibri" w:cstheme="majorBidi"/>
      <w:b/>
      <w:color w:val="0F4761" w:themeColor="accent1" w:themeShade="BF"/>
      <w:sz w:val="28"/>
      <w:szCs w:val="40"/>
    </w:rPr>
  </w:style>
  <w:style w:type="paragraph" w:styleId="Ttulo2">
    <w:name w:val="heading 2"/>
    <w:basedOn w:val="Normal"/>
    <w:next w:val="Normal"/>
    <w:link w:val="Ttulo2Char"/>
    <w:uiPriority w:val="9"/>
    <w:semiHidden/>
    <w:unhideWhenUsed/>
    <w:qFormat/>
    <w:rsid w:val="005278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2787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2787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2787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2787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2787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2787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2787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7878"/>
    <w:rPr>
      <w:rFonts w:ascii="Calibri" w:eastAsiaTheme="majorEastAsia" w:hAnsi="Calibri" w:cstheme="majorBidi"/>
      <w:b/>
      <w:color w:val="0F4761" w:themeColor="accent1" w:themeShade="BF"/>
      <w:kern w:val="0"/>
      <w:sz w:val="28"/>
      <w:szCs w:val="40"/>
    </w:rPr>
  </w:style>
  <w:style w:type="character" w:customStyle="1" w:styleId="Ttulo2Char">
    <w:name w:val="Título 2 Char"/>
    <w:basedOn w:val="Fontepargpadro"/>
    <w:link w:val="Ttulo2"/>
    <w:uiPriority w:val="9"/>
    <w:semiHidden/>
    <w:rsid w:val="0052787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2787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2787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2787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2787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2787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2787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27878"/>
    <w:rPr>
      <w:rFonts w:eastAsiaTheme="majorEastAsia" w:cstheme="majorBidi"/>
      <w:color w:val="272727" w:themeColor="text1" w:themeTint="D8"/>
    </w:rPr>
  </w:style>
  <w:style w:type="paragraph" w:styleId="Ttulo">
    <w:name w:val="Title"/>
    <w:basedOn w:val="Normal"/>
    <w:next w:val="Normal"/>
    <w:link w:val="TtuloChar"/>
    <w:uiPriority w:val="10"/>
    <w:qFormat/>
    <w:rsid w:val="005278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278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2787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2787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27878"/>
    <w:pPr>
      <w:spacing w:before="160"/>
      <w:jc w:val="center"/>
    </w:pPr>
    <w:rPr>
      <w:i/>
      <w:iCs/>
      <w:color w:val="404040" w:themeColor="text1" w:themeTint="BF"/>
    </w:rPr>
  </w:style>
  <w:style w:type="character" w:customStyle="1" w:styleId="CitaoChar">
    <w:name w:val="Citação Char"/>
    <w:basedOn w:val="Fontepargpadro"/>
    <w:link w:val="Citao"/>
    <w:uiPriority w:val="29"/>
    <w:rsid w:val="00527878"/>
    <w:rPr>
      <w:i/>
      <w:iCs/>
      <w:color w:val="404040" w:themeColor="text1" w:themeTint="BF"/>
    </w:rPr>
  </w:style>
  <w:style w:type="paragraph" w:styleId="PargrafodaLista">
    <w:name w:val="List Paragraph"/>
    <w:basedOn w:val="Normal"/>
    <w:link w:val="PargrafodaListaChar"/>
    <w:uiPriority w:val="34"/>
    <w:qFormat/>
    <w:rsid w:val="00527878"/>
    <w:pPr>
      <w:ind w:left="720"/>
      <w:contextualSpacing/>
    </w:pPr>
  </w:style>
  <w:style w:type="character" w:styleId="nfaseIntensa">
    <w:name w:val="Intense Emphasis"/>
    <w:basedOn w:val="Fontepargpadro"/>
    <w:uiPriority w:val="21"/>
    <w:qFormat/>
    <w:rsid w:val="00527878"/>
    <w:rPr>
      <w:i/>
      <w:iCs/>
      <w:color w:val="0F4761" w:themeColor="accent1" w:themeShade="BF"/>
    </w:rPr>
  </w:style>
  <w:style w:type="paragraph" w:styleId="CitaoIntensa">
    <w:name w:val="Intense Quote"/>
    <w:basedOn w:val="Normal"/>
    <w:next w:val="Normal"/>
    <w:link w:val="CitaoIntensaChar"/>
    <w:uiPriority w:val="30"/>
    <w:qFormat/>
    <w:rsid w:val="005278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27878"/>
    <w:rPr>
      <w:i/>
      <w:iCs/>
      <w:color w:val="0F4761" w:themeColor="accent1" w:themeShade="BF"/>
    </w:rPr>
  </w:style>
  <w:style w:type="character" w:styleId="RefernciaIntensa">
    <w:name w:val="Intense Reference"/>
    <w:basedOn w:val="Fontepargpadro"/>
    <w:uiPriority w:val="32"/>
    <w:qFormat/>
    <w:rsid w:val="00527878"/>
    <w:rPr>
      <w:b/>
      <w:bCs/>
      <w:smallCaps/>
      <w:color w:val="0F4761" w:themeColor="accent1" w:themeShade="BF"/>
      <w:spacing w:val="5"/>
    </w:rPr>
  </w:style>
  <w:style w:type="paragraph" w:styleId="Cabealho">
    <w:name w:val="header"/>
    <w:basedOn w:val="Normal"/>
    <w:link w:val="CabealhoChar"/>
    <w:uiPriority w:val="99"/>
    <w:unhideWhenUsed/>
    <w:rsid w:val="0052787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27878"/>
  </w:style>
  <w:style w:type="paragraph" w:styleId="Rodap">
    <w:name w:val="footer"/>
    <w:basedOn w:val="Normal"/>
    <w:link w:val="RodapChar"/>
    <w:uiPriority w:val="99"/>
    <w:unhideWhenUsed/>
    <w:rsid w:val="00527878"/>
    <w:pPr>
      <w:tabs>
        <w:tab w:val="center" w:pos="4252"/>
        <w:tab w:val="right" w:pos="8504"/>
      </w:tabs>
      <w:spacing w:after="0" w:line="240" w:lineRule="auto"/>
    </w:pPr>
  </w:style>
  <w:style w:type="character" w:customStyle="1" w:styleId="RodapChar">
    <w:name w:val="Rodapé Char"/>
    <w:basedOn w:val="Fontepargpadro"/>
    <w:link w:val="Rodap"/>
    <w:uiPriority w:val="99"/>
    <w:rsid w:val="00527878"/>
  </w:style>
  <w:style w:type="character" w:customStyle="1" w:styleId="PargrafodaListaChar">
    <w:name w:val="Parágrafo da Lista Char"/>
    <w:link w:val="PargrafodaLista"/>
    <w:uiPriority w:val="34"/>
    <w:locked/>
    <w:rsid w:val="00527878"/>
  </w:style>
  <w:style w:type="paragraph" w:styleId="Legenda">
    <w:name w:val="caption"/>
    <w:basedOn w:val="Normal"/>
    <w:next w:val="Normal"/>
    <w:uiPriority w:val="35"/>
    <w:unhideWhenUsed/>
    <w:qFormat/>
    <w:rsid w:val="00013849"/>
    <w:pPr>
      <w:spacing w:after="200" w:line="240" w:lineRule="auto"/>
    </w:pPr>
    <w:rPr>
      <w:i/>
      <w:iCs/>
      <w:color w:val="0E2841" w:themeColor="text2"/>
      <w:sz w:val="18"/>
      <w:szCs w:val="18"/>
    </w:rPr>
  </w:style>
  <w:style w:type="paragraph" w:styleId="Textodebalo">
    <w:name w:val="Balloon Text"/>
    <w:basedOn w:val="Normal"/>
    <w:link w:val="TextodebaloChar"/>
    <w:uiPriority w:val="99"/>
    <w:semiHidden/>
    <w:unhideWhenUsed/>
    <w:rsid w:val="00C132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32DC"/>
    <w:rPr>
      <w:rFonts w:ascii="Tahoma" w:hAnsi="Tahoma" w:cs="Tahoma"/>
      <w:kern w:val="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68577E-875B-42B8-9A99-6549CB0B6958}" type="doc">
      <dgm:prSet loTypeId="urn:microsoft.com/office/officeart/2005/8/layout/process1" loCatId="process" qsTypeId="urn:microsoft.com/office/officeart/2005/8/quickstyle/simple1" qsCatId="simple" csTypeId="urn:microsoft.com/office/officeart/2005/8/colors/accent1_2" csCatId="accent1" phldr="1"/>
      <dgm:spPr/>
    </dgm:pt>
    <dgm:pt modelId="{B47B4C54-156B-4D22-99C9-E6BEE0D4A0F6}">
      <dgm:prSet phldrT="[Texto]"/>
      <dgm:spPr/>
      <dgm:t>
        <a:bodyPr/>
        <a:lstStyle/>
        <a:p>
          <a:pPr algn="ctr"/>
          <a:r>
            <a:rPr lang="pt-BR"/>
            <a:t>Determinação de itens considerados similares de complexidade equivalente ou superior ao serviços de relevância técnica</a:t>
          </a:r>
        </a:p>
      </dgm:t>
    </dgm:pt>
    <dgm:pt modelId="{F002C8BB-8D0A-4C17-8FC1-1DAC782DD370}" type="parTrans" cxnId="{A17FB7C5-CED5-45FB-9A43-B4D6602D6FC5}">
      <dgm:prSet/>
      <dgm:spPr/>
      <dgm:t>
        <a:bodyPr/>
        <a:lstStyle/>
        <a:p>
          <a:pPr algn="ctr"/>
          <a:endParaRPr lang="pt-BR"/>
        </a:p>
      </dgm:t>
    </dgm:pt>
    <dgm:pt modelId="{0D592E26-6349-4C4F-B6A6-DEDF2F079105}" type="sibTrans" cxnId="{A17FB7C5-CED5-45FB-9A43-B4D6602D6FC5}">
      <dgm:prSet/>
      <dgm:spPr/>
      <dgm:t>
        <a:bodyPr/>
        <a:lstStyle/>
        <a:p>
          <a:pPr algn="ctr"/>
          <a:endParaRPr lang="pt-BR"/>
        </a:p>
      </dgm:t>
    </dgm:pt>
    <dgm:pt modelId="{95047A67-B35C-49BA-AB10-E042CC86060E}">
      <dgm:prSet phldrT="[Texto]"/>
      <dgm:spPr/>
      <dgm:t>
        <a:bodyPr/>
        <a:lstStyle/>
        <a:p>
          <a:pPr algn="ctr"/>
          <a:r>
            <a:rPr lang="pt-BR"/>
            <a:t>Averiguação de participação na execução dos serviços exigidos (Capacidade técnico profissional)</a:t>
          </a:r>
        </a:p>
      </dgm:t>
    </dgm:pt>
    <dgm:pt modelId="{DB8B2EB3-24B1-4DB6-825F-CF4AEA521978}" type="parTrans" cxnId="{54018626-E530-4A31-92C1-A32830710860}">
      <dgm:prSet/>
      <dgm:spPr/>
      <dgm:t>
        <a:bodyPr/>
        <a:lstStyle/>
        <a:p>
          <a:pPr algn="ctr"/>
          <a:endParaRPr lang="pt-BR"/>
        </a:p>
      </dgm:t>
    </dgm:pt>
    <dgm:pt modelId="{F09D1F9B-93A8-49A5-B8E6-06299124443E}" type="sibTrans" cxnId="{54018626-E530-4A31-92C1-A32830710860}">
      <dgm:prSet/>
      <dgm:spPr/>
      <dgm:t>
        <a:bodyPr/>
        <a:lstStyle/>
        <a:p>
          <a:pPr algn="ctr"/>
          <a:endParaRPr lang="pt-BR"/>
        </a:p>
      </dgm:t>
    </dgm:pt>
    <dgm:pt modelId="{2C72B4E7-2E7E-4C84-8245-4E2CFEA27CE2}">
      <dgm:prSet/>
      <dgm:spPr/>
      <dgm:t>
        <a:bodyPr/>
        <a:lstStyle/>
        <a:p>
          <a:pPr algn="ctr"/>
          <a:r>
            <a:rPr lang="pt-BR"/>
            <a:t>Averiguação de quantitativos apresentados em atestados de capacidade técnica acerca da participação na execução dos serviços exigidos (Capacidade técnico operacional)</a:t>
          </a:r>
        </a:p>
      </dgm:t>
    </dgm:pt>
    <dgm:pt modelId="{0FF03834-E035-414F-A726-ECFA0C0A138A}" type="parTrans" cxnId="{2FFE0E6E-D426-43DB-BB61-870A3DA1A3FB}">
      <dgm:prSet/>
      <dgm:spPr/>
      <dgm:t>
        <a:bodyPr/>
        <a:lstStyle/>
        <a:p>
          <a:pPr algn="ctr"/>
          <a:endParaRPr lang="pt-BR"/>
        </a:p>
      </dgm:t>
    </dgm:pt>
    <dgm:pt modelId="{C0C7D1C1-A83F-476F-B0C7-8A546EA15C51}" type="sibTrans" cxnId="{2FFE0E6E-D426-43DB-BB61-870A3DA1A3FB}">
      <dgm:prSet/>
      <dgm:spPr/>
      <dgm:t>
        <a:bodyPr/>
        <a:lstStyle/>
        <a:p>
          <a:pPr algn="ctr"/>
          <a:endParaRPr lang="pt-BR"/>
        </a:p>
      </dgm:t>
    </dgm:pt>
    <dgm:pt modelId="{B663FC9C-335A-462C-88B2-6C4CE61D96C5}" type="pres">
      <dgm:prSet presAssocID="{FC68577E-875B-42B8-9A99-6549CB0B6958}" presName="Name0" presStyleCnt="0">
        <dgm:presLayoutVars>
          <dgm:dir/>
          <dgm:resizeHandles val="exact"/>
        </dgm:presLayoutVars>
      </dgm:prSet>
      <dgm:spPr/>
    </dgm:pt>
    <dgm:pt modelId="{FA202A4C-BCC8-47D1-8337-1B88602B4257}" type="pres">
      <dgm:prSet presAssocID="{B47B4C54-156B-4D22-99C9-E6BEE0D4A0F6}" presName="node" presStyleLbl="node1" presStyleIdx="0" presStyleCnt="3">
        <dgm:presLayoutVars>
          <dgm:bulletEnabled val="1"/>
        </dgm:presLayoutVars>
      </dgm:prSet>
      <dgm:spPr/>
      <dgm:t>
        <a:bodyPr/>
        <a:lstStyle/>
        <a:p>
          <a:endParaRPr lang="pt-BR"/>
        </a:p>
      </dgm:t>
    </dgm:pt>
    <dgm:pt modelId="{C47CCC9E-5172-4AC7-955C-13B9F116D5AC}" type="pres">
      <dgm:prSet presAssocID="{0D592E26-6349-4C4F-B6A6-DEDF2F079105}" presName="sibTrans" presStyleLbl="sibTrans2D1" presStyleIdx="0" presStyleCnt="2"/>
      <dgm:spPr/>
      <dgm:t>
        <a:bodyPr/>
        <a:lstStyle/>
        <a:p>
          <a:endParaRPr lang="pt-BR"/>
        </a:p>
      </dgm:t>
    </dgm:pt>
    <dgm:pt modelId="{C8A9CE43-36F1-4E5F-920B-0A8B6CAE3825}" type="pres">
      <dgm:prSet presAssocID="{0D592E26-6349-4C4F-B6A6-DEDF2F079105}" presName="connectorText" presStyleLbl="sibTrans2D1" presStyleIdx="0" presStyleCnt="2"/>
      <dgm:spPr/>
      <dgm:t>
        <a:bodyPr/>
        <a:lstStyle/>
        <a:p>
          <a:endParaRPr lang="pt-BR"/>
        </a:p>
      </dgm:t>
    </dgm:pt>
    <dgm:pt modelId="{F761350B-90E8-4A52-8D5A-7F9F61D74B26}" type="pres">
      <dgm:prSet presAssocID="{95047A67-B35C-49BA-AB10-E042CC86060E}" presName="node" presStyleLbl="node1" presStyleIdx="1" presStyleCnt="3">
        <dgm:presLayoutVars>
          <dgm:bulletEnabled val="1"/>
        </dgm:presLayoutVars>
      </dgm:prSet>
      <dgm:spPr/>
      <dgm:t>
        <a:bodyPr/>
        <a:lstStyle/>
        <a:p>
          <a:endParaRPr lang="pt-BR"/>
        </a:p>
      </dgm:t>
    </dgm:pt>
    <dgm:pt modelId="{1DCA7797-13AC-480E-BC81-1409B1541B16}" type="pres">
      <dgm:prSet presAssocID="{F09D1F9B-93A8-49A5-B8E6-06299124443E}" presName="sibTrans" presStyleLbl="sibTrans2D1" presStyleIdx="1" presStyleCnt="2"/>
      <dgm:spPr/>
      <dgm:t>
        <a:bodyPr/>
        <a:lstStyle/>
        <a:p>
          <a:endParaRPr lang="pt-BR"/>
        </a:p>
      </dgm:t>
    </dgm:pt>
    <dgm:pt modelId="{6D0833F3-CC97-4B1C-90E5-031CE2879634}" type="pres">
      <dgm:prSet presAssocID="{F09D1F9B-93A8-49A5-B8E6-06299124443E}" presName="connectorText" presStyleLbl="sibTrans2D1" presStyleIdx="1" presStyleCnt="2"/>
      <dgm:spPr/>
      <dgm:t>
        <a:bodyPr/>
        <a:lstStyle/>
        <a:p>
          <a:endParaRPr lang="pt-BR"/>
        </a:p>
      </dgm:t>
    </dgm:pt>
    <dgm:pt modelId="{F19491CA-F81F-4D55-B114-6D27BAE008E3}" type="pres">
      <dgm:prSet presAssocID="{2C72B4E7-2E7E-4C84-8245-4E2CFEA27CE2}" presName="node" presStyleLbl="node1" presStyleIdx="2" presStyleCnt="3">
        <dgm:presLayoutVars>
          <dgm:bulletEnabled val="1"/>
        </dgm:presLayoutVars>
      </dgm:prSet>
      <dgm:spPr/>
      <dgm:t>
        <a:bodyPr/>
        <a:lstStyle/>
        <a:p>
          <a:endParaRPr lang="pt-BR"/>
        </a:p>
      </dgm:t>
    </dgm:pt>
  </dgm:ptLst>
  <dgm:cxnLst>
    <dgm:cxn modelId="{54018626-E530-4A31-92C1-A32830710860}" srcId="{FC68577E-875B-42B8-9A99-6549CB0B6958}" destId="{95047A67-B35C-49BA-AB10-E042CC86060E}" srcOrd="1" destOrd="0" parTransId="{DB8B2EB3-24B1-4DB6-825F-CF4AEA521978}" sibTransId="{F09D1F9B-93A8-49A5-B8E6-06299124443E}"/>
    <dgm:cxn modelId="{A17FB7C5-CED5-45FB-9A43-B4D6602D6FC5}" srcId="{FC68577E-875B-42B8-9A99-6549CB0B6958}" destId="{B47B4C54-156B-4D22-99C9-E6BEE0D4A0F6}" srcOrd="0" destOrd="0" parTransId="{F002C8BB-8D0A-4C17-8FC1-1DAC782DD370}" sibTransId="{0D592E26-6349-4C4F-B6A6-DEDF2F079105}"/>
    <dgm:cxn modelId="{2FFE0E6E-D426-43DB-BB61-870A3DA1A3FB}" srcId="{FC68577E-875B-42B8-9A99-6549CB0B6958}" destId="{2C72B4E7-2E7E-4C84-8245-4E2CFEA27CE2}" srcOrd="2" destOrd="0" parTransId="{0FF03834-E035-414F-A726-ECFA0C0A138A}" sibTransId="{C0C7D1C1-A83F-476F-B0C7-8A546EA15C51}"/>
    <dgm:cxn modelId="{7857A489-D2A6-471C-B9EA-DBC2E8775398}" type="presOf" srcId="{B47B4C54-156B-4D22-99C9-E6BEE0D4A0F6}" destId="{FA202A4C-BCC8-47D1-8337-1B88602B4257}" srcOrd="0" destOrd="0" presId="urn:microsoft.com/office/officeart/2005/8/layout/process1"/>
    <dgm:cxn modelId="{77B87FBA-EA74-4B99-822D-0C3097AE7357}" type="presOf" srcId="{2C72B4E7-2E7E-4C84-8245-4E2CFEA27CE2}" destId="{F19491CA-F81F-4D55-B114-6D27BAE008E3}" srcOrd="0" destOrd="0" presId="urn:microsoft.com/office/officeart/2005/8/layout/process1"/>
    <dgm:cxn modelId="{3DB79A75-29A7-436C-8403-863238E0C070}" type="presOf" srcId="{F09D1F9B-93A8-49A5-B8E6-06299124443E}" destId="{1DCA7797-13AC-480E-BC81-1409B1541B16}" srcOrd="0" destOrd="0" presId="urn:microsoft.com/office/officeart/2005/8/layout/process1"/>
    <dgm:cxn modelId="{86549136-2494-4B2B-9D34-7C217156DE51}" type="presOf" srcId="{FC68577E-875B-42B8-9A99-6549CB0B6958}" destId="{B663FC9C-335A-462C-88B2-6C4CE61D96C5}" srcOrd="0" destOrd="0" presId="urn:microsoft.com/office/officeart/2005/8/layout/process1"/>
    <dgm:cxn modelId="{A152F452-A6EA-4AA7-B2B5-DEE01273C013}" type="presOf" srcId="{0D592E26-6349-4C4F-B6A6-DEDF2F079105}" destId="{C47CCC9E-5172-4AC7-955C-13B9F116D5AC}" srcOrd="0" destOrd="0" presId="urn:microsoft.com/office/officeart/2005/8/layout/process1"/>
    <dgm:cxn modelId="{843351BA-E184-4B73-A4D8-B9BE452DC740}" type="presOf" srcId="{0D592E26-6349-4C4F-B6A6-DEDF2F079105}" destId="{C8A9CE43-36F1-4E5F-920B-0A8B6CAE3825}" srcOrd="1" destOrd="0" presId="urn:microsoft.com/office/officeart/2005/8/layout/process1"/>
    <dgm:cxn modelId="{EFBD1CC7-F03B-40A0-8870-1562263CCEC2}" type="presOf" srcId="{F09D1F9B-93A8-49A5-B8E6-06299124443E}" destId="{6D0833F3-CC97-4B1C-90E5-031CE2879634}" srcOrd="1" destOrd="0" presId="urn:microsoft.com/office/officeart/2005/8/layout/process1"/>
    <dgm:cxn modelId="{9B6FFDF2-F275-4D65-AEA4-8DE18CA99832}" type="presOf" srcId="{95047A67-B35C-49BA-AB10-E042CC86060E}" destId="{F761350B-90E8-4A52-8D5A-7F9F61D74B26}" srcOrd="0" destOrd="0" presId="urn:microsoft.com/office/officeart/2005/8/layout/process1"/>
    <dgm:cxn modelId="{AE095404-66EB-4630-B753-C41E3DF45629}" type="presParOf" srcId="{B663FC9C-335A-462C-88B2-6C4CE61D96C5}" destId="{FA202A4C-BCC8-47D1-8337-1B88602B4257}" srcOrd="0" destOrd="0" presId="urn:microsoft.com/office/officeart/2005/8/layout/process1"/>
    <dgm:cxn modelId="{26A4B919-6DEF-4EAD-8EA8-67EC73AEA171}" type="presParOf" srcId="{B663FC9C-335A-462C-88B2-6C4CE61D96C5}" destId="{C47CCC9E-5172-4AC7-955C-13B9F116D5AC}" srcOrd="1" destOrd="0" presId="urn:microsoft.com/office/officeart/2005/8/layout/process1"/>
    <dgm:cxn modelId="{2173AB4A-62B1-4A53-948E-7DE45A4D33DD}" type="presParOf" srcId="{C47CCC9E-5172-4AC7-955C-13B9F116D5AC}" destId="{C8A9CE43-36F1-4E5F-920B-0A8B6CAE3825}" srcOrd="0" destOrd="0" presId="urn:microsoft.com/office/officeart/2005/8/layout/process1"/>
    <dgm:cxn modelId="{59C0988A-2691-4B40-8E9E-B68F1D518C64}" type="presParOf" srcId="{B663FC9C-335A-462C-88B2-6C4CE61D96C5}" destId="{F761350B-90E8-4A52-8D5A-7F9F61D74B26}" srcOrd="2" destOrd="0" presId="urn:microsoft.com/office/officeart/2005/8/layout/process1"/>
    <dgm:cxn modelId="{245576D5-8F34-434C-9C9A-A3015A769D8C}" type="presParOf" srcId="{B663FC9C-335A-462C-88B2-6C4CE61D96C5}" destId="{1DCA7797-13AC-480E-BC81-1409B1541B16}" srcOrd="3" destOrd="0" presId="urn:microsoft.com/office/officeart/2005/8/layout/process1"/>
    <dgm:cxn modelId="{8770CD91-9488-42A2-836F-EBCD81EBA837}" type="presParOf" srcId="{1DCA7797-13AC-480E-BC81-1409B1541B16}" destId="{6D0833F3-CC97-4B1C-90E5-031CE2879634}" srcOrd="0" destOrd="0" presId="urn:microsoft.com/office/officeart/2005/8/layout/process1"/>
    <dgm:cxn modelId="{C8A00EAC-2EE2-4810-80DE-4EDC205A191B}" type="presParOf" srcId="{B663FC9C-335A-462C-88B2-6C4CE61D96C5}" destId="{F19491CA-F81F-4D55-B114-6D27BAE008E3}" srcOrd="4" destOrd="0" presId="urn:microsoft.com/office/officeart/2005/8/layout/process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202A4C-BCC8-47D1-8337-1B88602B4257}">
      <dsp:nvSpPr>
        <dsp:cNvPr id="0" name=""/>
        <dsp:cNvSpPr/>
      </dsp:nvSpPr>
      <dsp:spPr>
        <a:xfrm>
          <a:off x="4955" y="111791"/>
          <a:ext cx="1481119" cy="186239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t-BR" sz="1100" kern="1200"/>
            <a:t>Determinação de itens considerados similares de complexidade equivalente ou superior ao serviços de relevância técnica</a:t>
          </a:r>
        </a:p>
      </dsp:txBody>
      <dsp:txXfrm>
        <a:off x="48335" y="155171"/>
        <a:ext cx="1394359" cy="1775632"/>
      </dsp:txXfrm>
    </dsp:sp>
    <dsp:sp modelId="{C47CCC9E-5172-4AC7-955C-13B9F116D5AC}">
      <dsp:nvSpPr>
        <dsp:cNvPr id="0" name=""/>
        <dsp:cNvSpPr/>
      </dsp:nvSpPr>
      <dsp:spPr>
        <a:xfrm>
          <a:off x="1634186" y="859328"/>
          <a:ext cx="313997" cy="3673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pt-BR" sz="900" kern="1200"/>
        </a:p>
      </dsp:txBody>
      <dsp:txXfrm>
        <a:off x="1634186" y="932791"/>
        <a:ext cx="219798" cy="220391"/>
      </dsp:txXfrm>
    </dsp:sp>
    <dsp:sp modelId="{F761350B-90E8-4A52-8D5A-7F9F61D74B26}">
      <dsp:nvSpPr>
        <dsp:cNvPr id="0" name=""/>
        <dsp:cNvSpPr/>
      </dsp:nvSpPr>
      <dsp:spPr>
        <a:xfrm>
          <a:off x="2078522" y="111791"/>
          <a:ext cx="1481119" cy="186239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t-BR" sz="1100" kern="1200"/>
            <a:t>Averiguação de participação na execução dos serviços exigidos (Capacidade técnico profissional)</a:t>
          </a:r>
        </a:p>
      </dsp:txBody>
      <dsp:txXfrm>
        <a:off x="2121902" y="155171"/>
        <a:ext cx="1394359" cy="1775632"/>
      </dsp:txXfrm>
    </dsp:sp>
    <dsp:sp modelId="{1DCA7797-13AC-480E-BC81-1409B1541B16}">
      <dsp:nvSpPr>
        <dsp:cNvPr id="0" name=""/>
        <dsp:cNvSpPr/>
      </dsp:nvSpPr>
      <dsp:spPr>
        <a:xfrm>
          <a:off x="3707754" y="859328"/>
          <a:ext cx="313997" cy="3673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pt-BR" sz="900" kern="1200"/>
        </a:p>
      </dsp:txBody>
      <dsp:txXfrm>
        <a:off x="3707754" y="932791"/>
        <a:ext cx="219798" cy="220391"/>
      </dsp:txXfrm>
    </dsp:sp>
    <dsp:sp modelId="{F19491CA-F81F-4D55-B114-6D27BAE008E3}">
      <dsp:nvSpPr>
        <dsp:cNvPr id="0" name=""/>
        <dsp:cNvSpPr/>
      </dsp:nvSpPr>
      <dsp:spPr>
        <a:xfrm>
          <a:off x="4152090" y="111791"/>
          <a:ext cx="1481119" cy="186239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t-BR" sz="1100" kern="1200"/>
            <a:t>Averiguação de quantitativos apresentados em atestados de capacidade técnica acerca da participação na execução dos serviços exigidos (Capacidade técnico operacional)</a:t>
          </a:r>
        </a:p>
      </dsp:txBody>
      <dsp:txXfrm>
        <a:off x="4195470" y="155171"/>
        <a:ext cx="1394359" cy="177563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A537B-0DF7-4C59-AFC3-954A23A1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752</Words>
  <Characters>4065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Thalles Cavalcanti</dc:creator>
  <cp:lastModifiedBy>Licitação Afrânio</cp:lastModifiedBy>
  <cp:revision>2</cp:revision>
  <dcterms:created xsi:type="dcterms:W3CDTF">2024-11-25T14:25:00Z</dcterms:created>
  <dcterms:modified xsi:type="dcterms:W3CDTF">2024-11-25T14:25:00Z</dcterms:modified>
</cp:coreProperties>
</file>