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rPr>
          <w:rFonts w:ascii="Arial" w:hAnsi="Arial"/>
          <w:sz w:val="21"/>
          <w:szCs w:val="21"/>
        </w:rPr>
      </w:pPr>
      <w:r>
        <w:rPr>
          <w:rFonts w:ascii="Arial" w:hAnsi="Arial"/>
          <w:b/>
          <w:sz w:val="21"/>
          <w:szCs w:val="21"/>
          <w:shd w:fill="auto" w:val="clear"/>
        </w:rPr>
        <w:t>PROCESSO LICITATÓRIO Nº 05/2026 FMS</w:t>
      </w:r>
    </w:p>
    <w:p>
      <w:pPr>
        <w:pStyle w:val="Normal"/>
        <w:spacing w:lineRule="auto" w:line="276" w:before="0" w:after="0"/>
        <w:rPr>
          <w:rFonts w:ascii="Arial" w:hAnsi="Arial"/>
          <w:sz w:val="21"/>
          <w:szCs w:val="21"/>
        </w:rPr>
      </w:pPr>
      <w:r>
        <w:rPr>
          <w:rFonts w:ascii="Arial" w:hAnsi="Arial"/>
          <w:b/>
          <w:sz w:val="21"/>
          <w:szCs w:val="21"/>
          <w:shd w:fill="auto" w:val="clear"/>
        </w:rPr>
        <w:t>DISPENSA DE LICITAÇÃO Nº 05/2026 FMS</w:t>
      </w:r>
    </w:p>
    <w:p>
      <w:pPr>
        <w:pStyle w:val="BodyText"/>
        <w:spacing w:lineRule="auto" w:line="360" w:before="0" w:after="0"/>
        <w:jc w:val="center"/>
        <w:rPr>
          <w:rFonts w:ascii="Arial" w:hAnsi="Arial"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BodyText"/>
        <w:spacing w:lineRule="auto" w:line="360" w:before="0" w:after="0"/>
        <w:jc w:val="center"/>
        <w:rPr>
          <w:rFonts w:ascii="Arial" w:hAnsi="Arial"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BodyText"/>
        <w:spacing w:lineRule="auto" w:line="360" w:before="0" w:after="0"/>
        <w:jc w:val="center"/>
        <w:rPr>
          <w:rFonts w:ascii="Arial" w:hAnsi="Arial"/>
          <w:sz w:val="21"/>
          <w:szCs w:val="21"/>
        </w:rPr>
      </w:pPr>
      <w:r>
        <w:rPr>
          <w:b/>
          <w:sz w:val="21"/>
          <w:szCs w:val="21"/>
        </w:rPr>
        <w:t>DIVULGAÇÃO DE DISPENSA DE LICITAÇÃO</w:t>
      </w:r>
    </w:p>
    <w:p>
      <w:pPr>
        <w:pStyle w:val="Normal"/>
        <w:spacing w:lineRule="auto" w:line="360" w:before="0" w:after="0"/>
        <w:jc w:val="both"/>
        <w:rPr>
          <w:rFonts w:ascii="Arial" w:hAnsi="Arial"/>
          <w:bCs/>
          <w:iCs/>
          <w:sz w:val="21"/>
          <w:szCs w:val="21"/>
        </w:rPr>
      </w:pPr>
      <w:r>
        <w:rPr>
          <w:rFonts w:ascii="Arial" w:hAnsi="Arial"/>
          <w:bCs/>
          <w:iCs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/>
        </w:rPr>
      </w:pPr>
      <w:r>
        <w:rPr>
          <w:rFonts w:eastAsia="Times New Roman" w:cs="Arial" w:ascii="Arial" w:hAnsi="Arial"/>
          <w:bCs/>
          <w:iCs/>
          <w:sz w:val="21"/>
          <w:szCs w:val="21"/>
          <w:lang w:eastAsia="pt-BR"/>
        </w:rPr>
        <w:t xml:space="preserve">O Fundo Municipal de Saúde de Lindóia do Sul, Estado de Santa Catarina, inscrito no CNPJ nº 10.429.180/0001-85, </w:t>
      </w:r>
      <w:r>
        <w:rPr>
          <w:rFonts w:ascii="Arial" w:hAnsi="Arial"/>
          <w:iCs/>
          <w:sz w:val="21"/>
          <w:szCs w:val="21"/>
        </w:rPr>
        <w:t xml:space="preserve">torna público para conhecimento de todos os </w:t>
      </w:r>
      <w:r>
        <w:rPr>
          <w:rFonts w:ascii="Arial" w:hAnsi="Arial"/>
          <w:sz w:val="21"/>
          <w:szCs w:val="21"/>
        </w:rPr>
        <w:t xml:space="preserve">interessados que realizará processo de dispensa de licitação conforme objeto abaixo, nos termos do art. 75, inciso II, da Lei Federal n. 14.133/2021 e conforme previsto pelo Decreto n. 4.072/2024 do </w:t>
      </w:r>
      <w:r>
        <w:rPr>
          <w:rFonts w:eastAsia="Times New Roman" w:cs="Arial" w:ascii="Arial" w:hAnsi="Arial"/>
          <w:bCs/>
          <w:iCs/>
          <w:sz w:val="21"/>
          <w:szCs w:val="21"/>
          <w:lang w:eastAsia="pt-BR"/>
        </w:rPr>
        <w:t>Município de Lindoia do Sul/SC</w:t>
      </w:r>
      <w:r>
        <w:rPr>
          <w:rFonts w:ascii="Arial" w:hAnsi="Arial"/>
          <w:sz w:val="21"/>
          <w:szCs w:val="21"/>
        </w:rPr>
        <w:t>.</w:t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center"/>
        <w:rPr>
          <w:rFonts w:ascii="Arial" w:hAnsi="Arial"/>
          <w:sz w:val="21"/>
          <w:szCs w:val="21"/>
        </w:rPr>
      </w:pPr>
      <w:r>
        <w:rPr>
          <w:rFonts w:ascii="Arial" w:hAnsi="Arial"/>
          <w:b/>
          <w:sz w:val="21"/>
          <w:szCs w:val="21"/>
        </w:rPr>
        <w:t>I – DO OBJETO</w:t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  <w:shd w:fill="auto" w:val="clear"/>
        </w:rPr>
        <w:t xml:space="preserve">1.1. </w:t>
      </w:r>
      <w:r>
        <w:rPr>
          <w:rFonts w:ascii="Arial" w:hAnsi="Arial"/>
          <w:bCs/>
          <w:sz w:val="21"/>
          <w:szCs w:val="21"/>
          <w:shd w:fill="auto" w:val="clear"/>
        </w:rPr>
        <w:t>Contratação direta, por dispensa de licitação, de empresa para confecção e entrega de bolsas maternidade padronizadas, destinadas as gestantes do programa “Gestar Vidas, Viver Mudanças”, da Secretaria Municipal de Saúde, conforme especificações constantes no Termo de Referência.</w:t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1"/>
          <w:szCs w:val="21"/>
          <w:highlight w:val="none"/>
          <w:shd w:fill="auto" w:val="clear"/>
        </w:rPr>
      </w:pPr>
      <w:r>
        <w:rPr>
          <w:rFonts w:ascii="Arial" w:hAnsi="Arial"/>
          <w:sz w:val="21"/>
          <w:szCs w:val="21"/>
          <w:shd w:fill="auto" w:val="clear"/>
        </w:rPr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1.2. Segue a descrição do objeto que se prete</w:t>
      </w:r>
      <w:r>
        <w:rPr>
          <w:rFonts w:ascii="Arial" w:hAnsi="Arial"/>
          <w:sz w:val="21"/>
          <w:szCs w:val="21"/>
          <w:shd w:fill="auto" w:val="clear"/>
        </w:rPr>
        <w:t>nde contratar, com valor estimado de referência: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tbl>
      <w:tblPr>
        <w:tblStyle w:val="1040"/>
        <w:tblW w:w="9930" w:type="dxa"/>
        <w:jc w:val="left"/>
        <w:tblInd w:w="-46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80"/>
        <w:gridCol w:w="795"/>
        <w:gridCol w:w="915"/>
        <w:gridCol w:w="4335"/>
        <w:gridCol w:w="1560"/>
        <w:gridCol w:w="1545"/>
      </w:tblGrid>
      <w:tr>
        <w:trPr/>
        <w:tc>
          <w:tcPr>
            <w:tcW w:w="780" w:type="dxa"/>
            <w:tcBorders/>
          </w:tcPr>
          <w:p>
            <w:pPr>
              <w:pStyle w:val="NormalWeb"/>
              <w:widowControl/>
              <w:spacing w:before="0" w:after="0"/>
              <w:jc w:val="center"/>
              <w:rPr>
                <w:rFonts w:ascii="Arial" w:hAnsi="Arial" w:cs="Times New Roman"/>
                <w:kern w:val="0"/>
                <w:sz w:val="21"/>
                <w:szCs w:val="21"/>
                <w:lang w:val="pt-BR" w:eastAsia="en-US" w:bidi="ar-SA"/>
              </w:rPr>
            </w:pPr>
            <w:r>
              <w:rPr>
                <w:rFonts w:cs="Times New Roman" w:ascii="Arial" w:hAnsi="Arial"/>
                <w:b/>
                <w:bCs/>
                <w:kern w:val="0"/>
                <w:sz w:val="21"/>
                <w:szCs w:val="21"/>
                <w:lang w:val="pt-BR" w:eastAsia="en-US" w:bidi="ar-SA"/>
              </w:rPr>
              <w:t>ITEM</w:t>
            </w:r>
          </w:p>
        </w:tc>
        <w:tc>
          <w:tcPr>
            <w:tcW w:w="795" w:type="dxa"/>
            <w:tcBorders/>
          </w:tcPr>
          <w:p>
            <w:pPr>
              <w:pStyle w:val="NormalWeb"/>
              <w:widowControl/>
              <w:spacing w:before="0" w:after="0"/>
              <w:jc w:val="center"/>
              <w:rPr>
                <w:rFonts w:ascii="Arial" w:hAnsi="Arial" w:cs="Times New Roman"/>
                <w:kern w:val="0"/>
                <w:sz w:val="21"/>
                <w:szCs w:val="21"/>
                <w:lang w:val="pt-BR" w:eastAsia="en-US" w:bidi="ar-SA"/>
              </w:rPr>
            </w:pPr>
            <w:r>
              <w:rPr>
                <w:rFonts w:cs="Times New Roman" w:ascii="Arial" w:hAnsi="Arial"/>
                <w:b/>
                <w:bCs/>
                <w:kern w:val="0"/>
                <w:sz w:val="21"/>
                <w:szCs w:val="21"/>
                <w:lang w:val="pt-BR" w:eastAsia="en-US" w:bidi="ar-SA"/>
              </w:rPr>
              <w:t>QTD</w:t>
            </w:r>
          </w:p>
        </w:tc>
        <w:tc>
          <w:tcPr>
            <w:tcW w:w="915" w:type="dxa"/>
            <w:tcBorders/>
          </w:tcPr>
          <w:p>
            <w:pPr>
              <w:pStyle w:val="NormalWeb"/>
              <w:widowControl/>
              <w:spacing w:before="0" w:after="0"/>
              <w:jc w:val="center"/>
              <w:rPr>
                <w:rFonts w:ascii="Arial" w:hAnsi="Arial" w:cs="Times New Roman"/>
                <w:kern w:val="0"/>
                <w:sz w:val="21"/>
                <w:szCs w:val="21"/>
                <w:lang w:val="pt-BR" w:eastAsia="en-US" w:bidi="ar-SA"/>
              </w:rPr>
            </w:pPr>
            <w:r>
              <w:rPr>
                <w:rFonts w:cs="Times New Roman" w:ascii="Arial" w:hAnsi="Arial"/>
                <w:b/>
                <w:bCs/>
                <w:kern w:val="0"/>
                <w:sz w:val="21"/>
                <w:szCs w:val="21"/>
                <w:lang w:val="pt-BR" w:eastAsia="en-US" w:bidi="ar-SA"/>
              </w:rPr>
              <w:t>UNID</w:t>
            </w:r>
          </w:p>
        </w:tc>
        <w:tc>
          <w:tcPr>
            <w:tcW w:w="4335" w:type="dxa"/>
            <w:tcBorders/>
          </w:tcPr>
          <w:p>
            <w:pPr>
              <w:pStyle w:val="NormalWeb"/>
              <w:widowControl/>
              <w:spacing w:before="0" w:after="0"/>
              <w:jc w:val="center"/>
              <w:rPr>
                <w:rFonts w:ascii="Arial" w:hAnsi="Arial" w:cs="Times New Roman"/>
                <w:kern w:val="0"/>
                <w:sz w:val="21"/>
                <w:szCs w:val="21"/>
                <w:lang w:val="pt-BR" w:eastAsia="en-US" w:bidi="ar-SA"/>
              </w:rPr>
            </w:pPr>
            <w:r>
              <w:rPr>
                <w:rFonts w:cs="Times New Roman" w:ascii="Arial" w:hAnsi="Arial"/>
                <w:b/>
                <w:bCs/>
                <w:kern w:val="0"/>
                <w:sz w:val="21"/>
                <w:szCs w:val="21"/>
                <w:lang w:val="pt-BR" w:eastAsia="en-US" w:bidi="ar-SA"/>
              </w:rPr>
              <w:t>DESCRIÇÃO</w:t>
            </w:r>
          </w:p>
        </w:tc>
        <w:tc>
          <w:tcPr>
            <w:tcW w:w="1560" w:type="dxa"/>
            <w:tcBorders/>
          </w:tcPr>
          <w:p>
            <w:pPr>
              <w:pStyle w:val="NormalWeb"/>
              <w:widowControl/>
              <w:spacing w:before="0" w:after="0"/>
              <w:jc w:val="center"/>
              <w:rPr>
                <w:rFonts w:ascii="Arial" w:hAnsi="Arial" w:cs="Times New Roman"/>
                <w:kern w:val="0"/>
                <w:sz w:val="21"/>
                <w:szCs w:val="21"/>
                <w:lang w:val="pt-BR" w:eastAsia="en-US" w:bidi="ar-SA"/>
              </w:rPr>
            </w:pPr>
            <w:r>
              <w:rPr>
                <w:rFonts w:cs="Times New Roman" w:ascii="Arial" w:hAnsi="Arial"/>
                <w:b/>
                <w:bCs/>
                <w:kern w:val="0"/>
                <w:sz w:val="21"/>
                <w:szCs w:val="21"/>
                <w:lang w:val="pt-BR" w:eastAsia="en-US" w:bidi="ar-SA"/>
              </w:rPr>
              <w:t>PREÇO ESTIMADO UNITÁRIO</w:t>
            </w:r>
          </w:p>
        </w:tc>
        <w:tc>
          <w:tcPr>
            <w:tcW w:w="1545" w:type="dxa"/>
            <w:tcBorders/>
          </w:tcPr>
          <w:p>
            <w:pPr>
              <w:pStyle w:val="NormalWeb"/>
              <w:widowControl/>
              <w:spacing w:before="0" w:after="0"/>
              <w:jc w:val="center"/>
              <w:rPr>
                <w:rFonts w:ascii="Arial" w:hAnsi="Arial" w:cs="Times New Roman"/>
                <w:kern w:val="0"/>
                <w:sz w:val="21"/>
                <w:szCs w:val="21"/>
                <w:lang w:val="pt-BR" w:eastAsia="en-US" w:bidi="ar-SA"/>
              </w:rPr>
            </w:pPr>
            <w:r>
              <w:rPr>
                <w:rFonts w:cs="Times New Roman" w:ascii="Arial" w:hAnsi="Arial"/>
                <w:b/>
                <w:bCs/>
                <w:kern w:val="0"/>
                <w:sz w:val="21"/>
                <w:szCs w:val="21"/>
                <w:lang w:val="pt-BR" w:eastAsia="en-US" w:bidi="ar-SA"/>
              </w:rPr>
              <w:t>PREÇO ESTIMADO TOTAL</w:t>
            </w:r>
          </w:p>
        </w:tc>
      </w:tr>
      <w:tr>
        <w:trPr/>
        <w:tc>
          <w:tcPr>
            <w:tcW w:w="780" w:type="dxa"/>
            <w:tcBorders/>
          </w:tcPr>
          <w:p>
            <w:pPr>
              <w:pStyle w:val="Nivel2"/>
              <w:widowControl/>
              <w:spacing w:before="120" w:after="120"/>
              <w:jc w:val="center"/>
              <w:rPr>
                <w:rFonts w:ascii="Arial" w:hAnsi="Arial" w:cs="Times New Roman"/>
                <w:kern w:val="0"/>
                <w:sz w:val="21"/>
                <w:szCs w:val="21"/>
                <w:highlight w:val="none"/>
                <w:lang w:bidi="ar-SA"/>
              </w:rPr>
            </w:pPr>
            <w:r>
              <w:rPr>
                <w:rFonts w:cs="Times New Roman" w:ascii="Arial" w:hAnsi="Arial"/>
                <w:kern w:val="0"/>
                <w:sz w:val="21"/>
                <w:szCs w:val="21"/>
                <w:lang w:bidi="ar-SA"/>
              </w:rPr>
            </w:r>
          </w:p>
          <w:p>
            <w:pPr>
              <w:pStyle w:val="Nivel2"/>
              <w:widowControl/>
              <w:jc w:val="center"/>
              <w:rPr>
                <w:rFonts w:ascii="Arial" w:hAnsi="Arial" w:eastAsia="Times New Roman" w:cs="Times New Roman"/>
                <w:kern w:val="0"/>
                <w:sz w:val="21"/>
                <w:szCs w:val="21"/>
                <w:highlight w:val="none"/>
                <w:lang w:val="pt-BR" w:bidi="pt-BR"/>
              </w:rPr>
            </w:pPr>
            <w:r>
              <w:rPr>
                <w:rFonts w:eastAsia="Times New Roman" w:cs="Times New Roman" w:ascii="Arial" w:hAnsi="Arial"/>
                <w:kern w:val="0"/>
                <w:sz w:val="21"/>
                <w:szCs w:val="21"/>
                <w:lang w:val="pt-BR" w:bidi="pt-BR"/>
              </w:rPr>
            </w:r>
          </w:p>
          <w:p>
            <w:pPr>
              <w:pStyle w:val="Nivel2"/>
              <w:widowControl/>
              <w:spacing w:before="120" w:after="120"/>
              <w:jc w:val="center"/>
              <w:rPr>
                <w:rFonts w:ascii="Arial" w:hAnsi="Arial" w:cs="Times New Roman"/>
                <w:kern w:val="0"/>
                <w:sz w:val="21"/>
                <w:szCs w:val="21"/>
                <w:lang w:bidi="ar-SA"/>
              </w:rPr>
            </w:pPr>
            <w:r>
              <w:rPr>
                <w:rFonts w:eastAsia="Times New Roman" w:cs="Times New Roman" w:ascii="Arial" w:hAnsi="Arial"/>
                <w:kern w:val="0"/>
                <w:sz w:val="21"/>
                <w:szCs w:val="21"/>
                <w:lang w:val="pt-BR" w:bidi="pt-BR"/>
              </w:rPr>
              <w:t>01</w:t>
            </w:r>
          </w:p>
        </w:tc>
        <w:tc>
          <w:tcPr>
            <w:tcW w:w="795" w:type="dxa"/>
            <w:tcBorders/>
          </w:tcPr>
          <w:p>
            <w:pPr>
              <w:pStyle w:val="Nivel2"/>
              <w:widowControl/>
              <w:spacing w:before="120" w:after="120"/>
              <w:jc w:val="center"/>
              <w:rPr>
                <w:rFonts w:ascii="Arial" w:hAnsi="Arial" w:cs="Times New Roman"/>
                <w:kern w:val="0"/>
                <w:sz w:val="21"/>
                <w:szCs w:val="21"/>
                <w:highlight w:val="none"/>
                <w:lang w:bidi="ar-SA"/>
              </w:rPr>
            </w:pPr>
            <w:r>
              <w:rPr>
                <w:rFonts w:cs="Times New Roman" w:ascii="Arial" w:hAnsi="Arial"/>
                <w:kern w:val="0"/>
                <w:sz w:val="21"/>
                <w:szCs w:val="21"/>
                <w:lang w:bidi="ar-SA"/>
              </w:rPr>
            </w:r>
          </w:p>
          <w:p>
            <w:pPr>
              <w:pStyle w:val="Nivel2"/>
              <w:widowControl/>
              <w:jc w:val="center"/>
              <w:rPr>
                <w:rFonts w:ascii="Arial" w:hAnsi="Arial" w:eastAsia="Times New Roman" w:cs="Times New Roman"/>
                <w:kern w:val="0"/>
                <w:sz w:val="21"/>
                <w:szCs w:val="21"/>
                <w:highlight w:val="none"/>
                <w:lang w:val="pt-BR" w:bidi="pt-BR"/>
              </w:rPr>
            </w:pPr>
            <w:r>
              <w:rPr>
                <w:rFonts w:eastAsia="Times New Roman" w:cs="Times New Roman" w:ascii="Arial" w:hAnsi="Arial"/>
                <w:kern w:val="0"/>
                <w:sz w:val="21"/>
                <w:szCs w:val="21"/>
                <w:lang w:val="pt-BR" w:bidi="pt-BR"/>
              </w:rPr>
            </w:r>
          </w:p>
          <w:p>
            <w:pPr>
              <w:pStyle w:val="Nivel2"/>
              <w:widowControl/>
              <w:spacing w:before="120" w:after="120"/>
              <w:jc w:val="center"/>
              <w:rPr>
                <w:rFonts w:ascii="Arial" w:hAnsi="Arial" w:cs="Times New Roman"/>
                <w:kern w:val="0"/>
                <w:sz w:val="21"/>
                <w:szCs w:val="21"/>
                <w:lang w:bidi="ar-SA"/>
              </w:rPr>
            </w:pPr>
            <w:r>
              <w:rPr>
                <w:rFonts w:eastAsia="Times New Roman" w:cs="Times New Roman" w:ascii="Arial" w:hAnsi="Arial"/>
                <w:kern w:val="0"/>
                <w:sz w:val="21"/>
                <w:szCs w:val="21"/>
                <w:lang w:val="pt-BR" w:bidi="pt-BR"/>
              </w:rPr>
              <w:t>120</w:t>
            </w:r>
          </w:p>
        </w:tc>
        <w:tc>
          <w:tcPr>
            <w:tcW w:w="915" w:type="dxa"/>
            <w:tcBorders/>
          </w:tcPr>
          <w:p>
            <w:pPr>
              <w:pStyle w:val="Nivel2"/>
              <w:widowControl/>
              <w:spacing w:before="120" w:after="120"/>
              <w:jc w:val="center"/>
              <w:rPr>
                <w:rFonts w:ascii="Arial" w:hAnsi="Arial" w:cs="Times New Roman"/>
                <w:kern w:val="0"/>
                <w:sz w:val="21"/>
                <w:szCs w:val="21"/>
                <w:highlight w:val="none"/>
                <w:lang w:bidi="ar-SA"/>
              </w:rPr>
            </w:pPr>
            <w:r>
              <w:rPr>
                <w:rFonts w:cs="Times New Roman" w:ascii="Arial" w:hAnsi="Arial"/>
                <w:kern w:val="0"/>
                <w:sz w:val="21"/>
                <w:szCs w:val="21"/>
                <w:lang w:bidi="ar-SA"/>
              </w:rPr>
            </w:r>
          </w:p>
          <w:p>
            <w:pPr>
              <w:pStyle w:val="Nivel2"/>
              <w:widowControl/>
              <w:jc w:val="center"/>
              <w:rPr>
                <w:rFonts w:ascii="Arial" w:hAnsi="Arial" w:eastAsia="Times New Roman" w:cs="Times New Roman"/>
                <w:kern w:val="0"/>
                <w:sz w:val="21"/>
                <w:szCs w:val="21"/>
                <w:highlight w:val="none"/>
                <w:lang w:val="pt-BR" w:bidi="pt-BR"/>
              </w:rPr>
            </w:pPr>
            <w:r>
              <w:rPr>
                <w:rFonts w:eastAsia="Times New Roman" w:cs="Times New Roman" w:ascii="Arial" w:hAnsi="Arial"/>
                <w:kern w:val="0"/>
                <w:sz w:val="21"/>
                <w:szCs w:val="21"/>
                <w:lang w:val="pt-BR" w:bidi="pt-BR"/>
              </w:rPr>
            </w:r>
          </w:p>
          <w:p>
            <w:pPr>
              <w:pStyle w:val="Nivel2"/>
              <w:widowControl/>
              <w:spacing w:before="120" w:after="120"/>
              <w:jc w:val="center"/>
              <w:rPr>
                <w:rFonts w:ascii="Arial" w:hAnsi="Arial" w:cs="Times New Roman"/>
                <w:kern w:val="0"/>
                <w:sz w:val="21"/>
                <w:szCs w:val="21"/>
                <w:lang w:bidi="ar-SA"/>
              </w:rPr>
            </w:pPr>
            <w:r>
              <w:rPr>
                <w:rFonts w:eastAsia="Times New Roman" w:cs="Times New Roman" w:ascii="Arial" w:hAnsi="Arial"/>
                <w:kern w:val="0"/>
                <w:sz w:val="21"/>
                <w:szCs w:val="21"/>
                <w:lang w:val="pt-BR" w:bidi="pt-BR"/>
              </w:rPr>
              <w:t>Peça</w:t>
            </w:r>
          </w:p>
        </w:tc>
        <w:tc>
          <w:tcPr>
            <w:tcW w:w="4335" w:type="dxa"/>
            <w:tcBorders/>
          </w:tcPr>
          <w:p>
            <w:pPr>
              <w:pStyle w:val="BodyTextIndent"/>
              <w:widowControl/>
              <w:spacing w:lineRule="auto" w:line="360" w:before="0" w:after="0"/>
              <w:ind w:left="0"/>
              <w:jc w:val="both"/>
              <w:rPr>
                <w:rFonts w:ascii="Arial" w:hAnsi="Arial" w:cs="Times New Roman"/>
                <w:kern w:val="0"/>
                <w:sz w:val="21"/>
                <w:szCs w:val="21"/>
                <w:lang w:val="pt-BR"/>
              </w:rPr>
            </w:pPr>
            <w:r>
              <w:rPr>
                <w:rFonts w:eastAsia="Times New Roman" w:cs="Times New Roman" w:ascii="Arial" w:hAnsi="Arial"/>
                <w:kern w:val="0"/>
                <w:sz w:val="21"/>
                <w:szCs w:val="21"/>
                <w:lang w:val="pt-BR"/>
              </w:rPr>
              <w:t>Bolsa maternidade tamanho 40x32cm 16 cm profundidade material sintético com forro impermeável, com zíper, cor verde/clara bege bebê, contendo bolso externo com zíper, modelo personalizado, com alça fixa e alça regulável.</w:t>
            </w:r>
          </w:p>
        </w:tc>
        <w:tc>
          <w:tcPr>
            <w:tcW w:w="1560" w:type="dxa"/>
            <w:tcBorders/>
          </w:tcPr>
          <w:p>
            <w:pPr>
              <w:pStyle w:val="Nivel2"/>
              <w:widowControl/>
              <w:spacing w:before="120" w:after="120"/>
              <w:jc w:val="right"/>
              <w:rPr>
                <w:rFonts w:ascii="Arial" w:hAnsi="Arial" w:cs="Times New Roman"/>
                <w:b/>
                <w:bCs/>
                <w:kern w:val="0"/>
                <w:sz w:val="21"/>
                <w:szCs w:val="21"/>
                <w:highlight w:val="none"/>
                <w:lang w:bidi="ar-SA"/>
              </w:rPr>
            </w:pPr>
            <w:r>
              <w:rPr>
                <w:rFonts w:cs="Times New Roman" w:ascii="Arial" w:hAnsi="Arial"/>
                <w:b/>
                <w:bCs/>
                <w:kern w:val="0"/>
                <w:sz w:val="21"/>
                <w:szCs w:val="21"/>
                <w:lang w:bidi="ar-SA"/>
              </w:rPr>
            </w:r>
          </w:p>
          <w:p>
            <w:pPr>
              <w:pStyle w:val="Nivel2"/>
              <w:widowControl/>
              <w:jc w:val="right"/>
              <w:rPr>
                <w:rFonts w:ascii="Arial" w:hAnsi="Arial" w:eastAsia="Times New Roman" w:cs="Times New Roman"/>
                <w:b/>
                <w:bCs/>
                <w:kern w:val="0"/>
                <w:sz w:val="21"/>
                <w:szCs w:val="21"/>
                <w:highlight w:val="none"/>
                <w:lang w:val="pt-BR" w:bidi="pt-BR"/>
              </w:rPr>
            </w:pPr>
            <w:r>
              <w:rPr>
                <w:rFonts w:eastAsia="Times New Roman" w:cs="Times New Roman" w:ascii="Arial" w:hAnsi="Arial"/>
                <w:b/>
                <w:bCs/>
                <w:kern w:val="0"/>
                <w:sz w:val="21"/>
                <w:szCs w:val="21"/>
                <w:lang w:val="pt-BR" w:bidi="pt-BR"/>
              </w:rPr>
            </w:r>
          </w:p>
          <w:p>
            <w:pPr>
              <w:pStyle w:val="Nivel2"/>
              <w:widowControl/>
              <w:spacing w:before="120" w:after="120"/>
              <w:jc w:val="right"/>
              <w:rPr>
                <w:rFonts w:ascii="Arial" w:hAnsi="Arial" w:cs="Times New Roman"/>
                <w:kern w:val="0"/>
                <w:sz w:val="21"/>
                <w:szCs w:val="21"/>
                <w:lang w:bidi="ar-SA"/>
              </w:rPr>
            </w:pPr>
            <w:r>
              <w:rPr>
                <w:rFonts w:eastAsia="Times New Roman" w:cs="Times New Roman" w:ascii="Arial" w:hAnsi="Arial"/>
                <w:b/>
                <w:bCs/>
                <w:kern w:val="0"/>
                <w:sz w:val="21"/>
                <w:szCs w:val="21"/>
                <w:lang w:val="pt-BR" w:bidi="pt-BR"/>
              </w:rPr>
              <w:t>R$ 139,00</w:t>
            </w:r>
          </w:p>
        </w:tc>
        <w:tc>
          <w:tcPr>
            <w:tcW w:w="1545" w:type="dxa"/>
            <w:tcBorders/>
          </w:tcPr>
          <w:p>
            <w:pPr>
              <w:pStyle w:val="Nivel2"/>
              <w:widowControl/>
              <w:spacing w:before="120" w:after="120"/>
              <w:jc w:val="right"/>
              <w:rPr>
                <w:rFonts w:ascii="Arial" w:hAnsi="Arial" w:cs="Times New Roman"/>
                <w:b/>
                <w:bCs/>
                <w:kern w:val="0"/>
                <w:sz w:val="21"/>
                <w:szCs w:val="21"/>
                <w:highlight w:val="none"/>
                <w:lang w:bidi="ar-SA"/>
              </w:rPr>
            </w:pPr>
            <w:r>
              <w:rPr>
                <w:rFonts w:cs="Times New Roman" w:ascii="Arial" w:hAnsi="Arial"/>
                <w:b/>
                <w:bCs/>
                <w:kern w:val="0"/>
                <w:sz w:val="21"/>
                <w:szCs w:val="21"/>
                <w:lang w:bidi="ar-SA"/>
              </w:rPr>
            </w:r>
          </w:p>
          <w:p>
            <w:pPr>
              <w:pStyle w:val="Nivel2"/>
              <w:widowControl/>
              <w:jc w:val="right"/>
              <w:rPr>
                <w:rFonts w:ascii="Arial" w:hAnsi="Arial" w:eastAsia="Times New Roman" w:cs="Times New Roman"/>
                <w:b/>
                <w:bCs/>
                <w:kern w:val="0"/>
                <w:sz w:val="21"/>
                <w:szCs w:val="21"/>
                <w:highlight w:val="none"/>
                <w:lang w:val="pt-BR" w:bidi="pt-BR"/>
              </w:rPr>
            </w:pPr>
            <w:r>
              <w:rPr>
                <w:rFonts w:eastAsia="Times New Roman" w:cs="Times New Roman" w:ascii="Arial" w:hAnsi="Arial"/>
                <w:b/>
                <w:bCs/>
                <w:kern w:val="0"/>
                <w:sz w:val="21"/>
                <w:szCs w:val="21"/>
                <w:lang w:val="pt-BR" w:bidi="pt-BR"/>
              </w:rPr>
            </w:r>
          </w:p>
          <w:p>
            <w:pPr>
              <w:pStyle w:val="Nivel2"/>
              <w:widowControl/>
              <w:spacing w:before="120" w:after="120"/>
              <w:jc w:val="right"/>
              <w:rPr>
                <w:rFonts w:ascii="Arial" w:hAnsi="Arial" w:cs="Times New Roman"/>
                <w:kern w:val="0"/>
                <w:sz w:val="21"/>
                <w:szCs w:val="21"/>
                <w:lang w:bidi="ar-SA"/>
              </w:rPr>
            </w:pPr>
            <w:r>
              <w:rPr>
                <w:rFonts w:eastAsia="Times New Roman" w:cs="Times New Roman" w:ascii="Arial" w:hAnsi="Arial"/>
                <w:b/>
                <w:bCs/>
                <w:kern w:val="0"/>
                <w:sz w:val="21"/>
                <w:szCs w:val="21"/>
                <w:lang w:val="pt-BR" w:bidi="pt-BR"/>
              </w:rPr>
              <w:t>R$ 16.680,00</w:t>
            </w:r>
          </w:p>
        </w:tc>
      </w:tr>
      <w:tr>
        <w:trPr>
          <w:trHeight w:val="84" w:hRule="atLeast"/>
        </w:trPr>
        <w:tc>
          <w:tcPr>
            <w:tcW w:w="8385" w:type="dxa"/>
            <w:gridSpan w:val="5"/>
            <w:tcBorders/>
          </w:tcPr>
          <w:p>
            <w:pPr>
              <w:pStyle w:val="Nivel2"/>
              <w:widowControl/>
              <w:spacing w:before="120" w:after="120"/>
              <w:jc w:val="center"/>
              <w:rPr>
                <w:rFonts w:ascii="Arial" w:hAnsi="Arial" w:cs="Times New Roman"/>
                <w:kern w:val="0"/>
                <w:sz w:val="21"/>
                <w:szCs w:val="21"/>
                <w:lang w:bidi="ar-SA"/>
              </w:rPr>
            </w:pPr>
            <w:r>
              <w:rPr>
                <w:rFonts w:cs="Times New Roman" w:ascii="Arial" w:hAnsi="Arial"/>
                <w:b/>
                <w:bCs/>
                <w:kern w:val="0"/>
                <w:sz w:val="21"/>
                <w:szCs w:val="21"/>
                <w:lang w:val="pt-BR" w:bidi="pt-BR"/>
              </w:rPr>
              <w:t>TOTAL GERAL</w:t>
            </w:r>
          </w:p>
        </w:tc>
        <w:tc>
          <w:tcPr>
            <w:tcW w:w="1545" w:type="dxa"/>
            <w:tcBorders/>
          </w:tcPr>
          <w:p>
            <w:pPr>
              <w:pStyle w:val="Nivel2"/>
              <w:widowControl/>
              <w:spacing w:before="120" w:after="120"/>
              <w:rPr>
                <w:rFonts w:ascii="Arial" w:hAnsi="Arial" w:cs="Times New Roman"/>
                <w:kern w:val="0"/>
                <w:sz w:val="21"/>
                <w:szCs w:val="21"/>
                <w:lang w:bidi="ar-SA"/>
              </w:rPr>
            </w:pPr>
            <w:r>
              <w:rPr>
                <w:rFonts w:cs="Times New Roman" w:ascii="Arial" w:hAnsi="Arial"/>
                <w:b/>
                <w:bCs/>
                <w:kern w:val="0"/>
                <w:sz w:val="21"/>
                <w:szCs w:val="21"/>
                <w:lang w:val="pt-BR" w:bidi="pt-BR"/>
              </w:rPr>
              <w:t>R$ 16.680,00</w:t>
            </w:r>
          </w:p>
        </w:tc>
      </w:tr>
    </w:tbl>
    <w:p>
      <w:pPr>
        <w:pStyle w:val="Normal"/>
        <w:tabs>
          <w:tab w:val="clear" w:pos="709"/>
          <w:tab w:val="left" w:pos="2340" w:leader="none"/>
          <w:tab w:val="left" w:pos="4464" w:leader="none"/>
        </w:tabs>
        <w:spacing w:lineRule="auto" w:line="360" w:before="0" w:after="0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center"/>
        <w:rPr>
          <w:rFonts w:ascii="Arial" w:hAnsi="Arial"/>
          <w:sz w:val="21"/>
          <w:szCs w:val="21"/>
        </w:rPr>
      </w:pPr>
      <w:r>
        <w:rPr>
          <w:rFonts w:ascii="Arial" w:hAnsi="Arial"/>
          <w:b/>
          <w:sz w:val="21"/>
          <w:szCs w:val="21"/>
        </w:rPr>
        <w:t>II – DO PRAZO DA DIVULGAÇÃO</w:t>
      </w:r>
    </w:p>
    <w:p>
      <w:pPr>
        <w:pStyle w:val="Normal"/>
        <w:spacing w:lineRule="auto" w:line="360" w:before="0" w:after="0"/>
        <w:jc w:val="both"/>
        <w:rPr>
          <w:rFonts w:ascii="Arial" w:hAnsi="Arial"/>
          <w:bCs/>
          <w:sz w:val="21"/>
          <w:szCs w:val="21"/>
        </w:rPr>
      </w:pPr>
      <w:r>
        <w:rPr>
          <w:rFonts w:ascii="Arial" w:hAnsi="Arial"/>
          <w:bCs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 xml:space="preserve">2.1. O prazo para apresentação de propostas adicionais pelos eventuais interessados inicia em </w:t>
      </w:r>
      <w:r>
        <w:rPr>
          <w:rFonts w:ascii="Arial" w:hAnsi="Arial"/>
          <w:b/>
          <w:bCs/>
          <w:sz w:val="21"/>
          <w:szCs w:val="21"/>
        </w:rPr>
        <w:t>20</w:t>
      </w:r>
      <w:r>
        <w:rPr>
          <w:rFonts w:ascii="Arial" w:hAnsi="Arial"/>
          <w:b/>
          <w:bCs/>
          <w:sz w:val="21"/>
          <w:szCs w:val="21"/>
        </w:rPr>
        <w:t xml:space="preserve"> de </w:t>
      </w:r>
      <w:r>
        <w:rPr>
          <w:rFonts w:ascii="Arial" w:hAnsi="Arial"/>
          <w:b/>
          <w:bCs/>
          <w:sz w:val="21"/>
          <w:szCs w:val="21"/>
        </w:rPr>
        <w:t>Março</w:t>
      </w:r>
      <w:r>
        <w:rPr>
          <w:rFonts w:ascii="Arial" w:hAnsi="Arial"/>
          <w:b/>
          <w:bCs/>
          <w:sz w:val="21"/>
          <w:szCs w:val="21"/>
        </w:rPr>
        <w:t xml:space="preserve"> </w:t>
      </w:r>
      <w:r>
        <w:rPr>
          <w:rFonts w:ascii="Arial" w:hAnsi="Arial"/>
          <w:b/>
          <w:bCs/>
          <w:color w:val="000000"/>
          <w:sz w:val="21"/>
          <w:szCs w:val="21"/>
        </w:rPr>
        <w:t>de 202</w:t>
      </w:r>
      <w:r>
        <w:rPr>
          <w:rFonts w:ascii="Arial" w:hAnsi="Arial"/>
          <w:b/>
          <w:bCs/>
          <w:color w:val="000000"/>
          <w:sz w:val="21"/>
          <w:szCs w:val="21"/>
        </w:rPr>
        <w:t>6</w:t>
      </w:r>
      <w:r>
        <w:rPr>
          <w:rFonts w:ascii="Arial" w:hAnsi="Arial"/>
          <w:b/>
          <w:bCs/>
          <w:color w:val="000000"/>
          <w:sz w:val="21"/>
          <w:szCs w:val="21"/>
        </w:rPr>
        <w:t xml:space="preserve"> às 00h00min, e encerra em </w:t>
      </w:r>
      <w:r>
        <w:rPr>
          <w:rFonts w:ascii="Arial" w:hAnsi="Arial"/>
          <w:b/>
          <w:bCs/>
          <w:color w:val="000000"/>
          <w:sz w:val="21"/>
          <w:szCs w:val="21"/>
        </w:rPr>
        <w:t>24</w:t>
      </w:r>
      <w:r>
        <w:rPr>
          <w:rFonts w:ascii="Arial" w:hAnsi="Arial"/>
          <w:b/>
          <w:bCs/>
          <w:color w:val="000000"/>
          <w:sz w:val="21"/>
          <w:szCs w:val="21"/>
        </w:rPr>
        <w:t xml:space="preserve"> de </w:t>
      </w:r>
      <w:r>
        <w:rPr>
          <w:rFonts w:ascii="Arial" w:hAnsi="Arial"/>
          <w:b/>
          <w:bCs/>
          <w:color w:val="000000"/>
          <w:sz w:val="21"/>
          <w:szCs w:val="21"/>
        </w:rPr>
        <w:t>Março</w:t>
      </w:r>
      <w:r>
        <w:rPr>
          <w:rFonts w:ascii="Arial" w:hAnsi="Arial"/>
          <w:b/>
          <w:bCs/>
          <w:color w:val="000000"/>
          <w:sz w:val="21"/>
          <w:szCs w:val="21"/>
        </w:rPr>
        <w:t xml:space="preserve"> de 202</w:t>
      </w:r>
      <w:r>
        <w:rPr>
          <w:rFonts w:ascii="Arial" w:hAnsi="Arial"/>
          <w:b/>
          <w:bCs/>
          <w:color w:val="000000"/>
          <w:sz w:val="21"/>
          <w:szCs w:val="21"/>
        </w:rPr>
        <w:t>6</w:t>
      </w:r>
      <w:r>
        <w:rPr>
          <w:rFonts w:ascii="Arial" w:hAnsi="Arial"/>
          <w:b/>
          <w:bCs/>
          <w:color w:val="000000"/>
          <w:sz w:val="21"/>
          <w:szCs w:val="21"/>
        </w:rPr>
        <w:t xml:space="preserve"> às 23h59min.</w:t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center"/>
        <w:rPr>
          <w:rFonts w:ascii="Arial" w:hAnsi="Arial"/>
          <w:sz w:val="21"/>
          <w:szCs w:val="21"/>
        </w:rPr>
      </w:pPr>
      <w:r>
        <w:rPr>
          <w:rFonts w:ascii="Arial" w:hAnsi="Arial"/>
          <w:b/>
          <w:sz w:val="21"/>
          <w:szCs w:val="21"/>
        </w:rPr>
        <w:t>III – DO PROCEDIMENTO</w:t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ascii="Arial" w:hAnsi="Arial"/>
          <w:sz w:val="21"/>
          <w:szCs w:val="21"/>
        </w:rPr>
        <w:t xml:space="preserve">3.1. Os eventuais interessados deverão encaminhar suas propostas para o endereço eletrônico </w:t>
      </w:r>
      <w:r>
        <w:rPr>
          <w:rStyle w:val="Hyperlink"/>
          <w:rFonts w:ascii="Arial" w:hAnsi="Arial"/>
          <w:sz w:val="21"/>
          <w:szCs w:val="21"/>
        </w:rPr>
        <w:t>licita@lindoiadosul.sc.gov.br</w:t>
      </w:r>
      <w:r>
        <w:rPr>
          <w:rFonts w:ascii="Arial" w:hAnsi="Arial"/>
          <w:sz w:val="21"/>
          <w:szCs w:val="21"/>
        </w:rPr>
        <w:t xml:space="preserve"> no prazo supracitado, as quais observarão o disposto a seguir:</w:t>
      </w:r>
    </w:p>
    <w:p>
      <w:pPr>
        <w:pStyle w:val="Normal"/>
        <w:spacing w:lineRule="auto" w:line="360" w:before="0" w:after="0"/>
        <w:ind w:hanging="0" w:left="567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a) conter o nome do proponente, endereço, identificação (individual ou social), o nº do CNPJ e da Inscrição Estadual, número de telefone, e e-mail;</w:t>
      </w:r>
    </w:p>
    <w:p>
      <w:pPr>
        <w:pStyle w:val="Normal"/>
        <w:spacing w:lineRule="auto" w:line="360" w:before="0" w:after="0"/>
        <w:ind w:hanging="0" w:left="567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ind w:hanging="0" w:left="567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 xml:space="preserve">b) suas folhas devem estar datadas, assinadas e rubricadas pelo seu representante legal, podendo ser de forma digital, desde que atendidos os requisitos legais; </w:t>
      </w:r>
    </w:p>
    <w:p>
      <w:pPr>
        <w:pStyle w:val="Normal"/>
        <w:spacing w:lineRule="auto" w:line="360" w:before="0" w:after="0"/>
        <w:ind w:hanging="0" w:left="567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ind w:hanging="0" w:left="567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c) nos preços propostos deverão estar incluídos todos os custos diretos e indiretos necessários à perfeita execução do objeto, entregas, encargos sociais e inclusive as despesas com materiais e/ou equipamentos fornecidos, mão de obra especializada ou não, fretes, seguros em geral, equipamentos auxiliares, ferramentas, encargos da Legislação Tributária, Social, Trabalhista e Previdenciária, da infortunística do trabalho e responsabilidade civil por quaisquer danos causados a terceiros ou dispêndios resultantes de impostos, taxas, regulamentos e posturas municipais, estaduais e federais, enfim, tudo o que for necessário para a execução total e completa do objeto desta licitação;</w:t>
      </w:r>
    </w:p>
    <w:p>
      <w:pPr>
        <w:pStyle w:val="Normal"/>
        <w:spacing w:lineRule="auto" w:line="360" w:before="0" w:after="0"/>
        <w:ind w:hanging="0" w:left="567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ind w:hanging="0" w:left="567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d) o prazo de validade da proposta de preços que não poderá ser inferior a 60 (sessenta) dias, contados da abertura do prazo para envio;</w:t>
      </w:r>
    </w:p>
    <w:p>
      <w:pPr>
        <w:pStyle w:val="Normal"/>
        <w:spacing w:lineRule="auto" w:line="360" w:before="0" w:after="0"/>
        <w:ind w:hanging="0" w:left="567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ind w:hanging="0" w:left="567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 xml:space="preserve">e) conter valor unitário e valor total com a quantidade estimada, o valor total deverá constar também por extenso; </w:t>
      </w:r>
    </w:p>
    <w:p>
      <w:pPr>
        <w:pStyle w:val="Normal"/>
        <w:spacing w:lineRule="auto" w:line="360" w:before="0" w:after="0"/>
        <w:ind w:hanging="0" w:left="567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ind w:hanging="0" w:left="567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f) conter discriminados em moeda corrente nacional os preços dos itens limitados a 02 (duas) casas decimais para os centavos; e</w:t>
      </w:r>
    </w:p>
    <w:p>
      <w:pPr>
        <w:pStyle w:val="Normal"/>
        <w:spacing w:lineRule="auto" w:line="360" w:before="0" w:after="0"/>
        <w:ind w:hanging="0" w:left="567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ind w:hanging="0" w:left="567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g) especificação completa do produto oferecido de acordo com as apresentadas na Proposta Eletrônica com informações técnicas que possibilitem a sua completa avaliação, totalmente e estritamente conforme descrito acima.</w:t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3.2. O eventual interessado, ao enviar sua proposta, declara compreender que não está participando de uma licitação, mas fornecendo proposta adicional para a aferição, por parte da Administração, da vantajosidade da escolha a ser contratada em processo de dispensa de licitação.</w:t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 xml:space="preserve">3.3. O prosseguimento do processo de contratação direta já iniciado não é condicionado à apresentação de propostas, podendo ser realizada a contratação mesmo que o prazo transcorra </w:t>
      </w:r>
      <w:r>
        <w:rPr>
          <w:rFonts w:ascii="Arial" w:hAnsi="Arial"/>
          <w:i/>
          <w:iCs/>
          <w:sz w:val="21"/>
          <w:szCs w:val="21"/>
        </w:rPr>
        <w:t>in albis</w:t>
      </w:r>
      <w:r>
        <w:rPr>
          <w:rFonts w:ascii="Arial" w:hAnsi="Arial"/>
          <w:sz w:val="21"/>
          <w:szCs w:val="21"/>
        </w:rPr>
        <w:t>.</w:t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3.4. A seleção da contratada não estará restrita àqueles que encaminharem suas propostas, podendo a Administração selecionar a proposta de terceiro alheio a este procedimento.</w:t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3.5. A divulgação da proposta selecionada como mais vantajosa far-se-á junto ao teor da autorização da autoridade competente, a qual fará a indicação da pessoa a ser contratada, nos termos do art. 72, inciso VIII e parágrafo único, da Lei Federal n. 14.133/2021.</w:t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 xml:space="preserve">3.6. Dúvidas ou esclarecimentos poderão ser solicitadas através do endereço eletrônico supracitado, até o dia </w:t>
      </w:r>
      <w:r>
        <w:rPr>
          <w:rFonts w:ascii="Arial" w:hAnsi="Arial"/>
          <w:sz w:val="21"/>
          <w:szCs w:val="21"/>
        </w:rPr>
        <w:t>24</w:t>
      </w:r>
      <w:r>
        <w:rPr>
          <w:rFonts w:ascii="Arial" w:hAnsi="Arial"/>
          <w:sz w:val="21"/>
          <w:szCs w:val="21"/>
        </w:rPr>
        <w:t xml:space="preserve"> de </w:t>
      </w:r>
      <w:r>
        <w:rPr>
          <w:rFonts w:ascii="Arial" w:hAnsi="Arial"/>
          <w:sz w:val="21"/>
          <w:szCs w:val="21"/>
        </w:rPr>
        <w:t>Março</w:t>
      </w:r>
      <w:r>
        <w:rPr>
          <w:rFonts w:ascii="Arial" w:hAnsi="Arial"/>
          <w:sz w:val="21"/>
          <w:szCs w:val="21"/>
        </w:rPr>
        <w:t xml:space="preserve"> de 202</w:t>
      </w:r>
      <w:r>
        <w:rPr>
          <w:rFonts w:ascii="Arial" w:hAnsi="Arial"/>
          <w:sz w:val="21"/>
          <w:szCs w:val="21"/>
        </w:rPr>
        <w:t>6</w:t>
      </w:r>
      <w:r>
        <w:rPr>
          <w:rFonts w:ascii="Arial" w:hAnsi="Arial"/>
          <w:sz w:val="21"/>
          <w:szCs w:val="21"/>
        </w:rPr>
        <w:t>, às 17h00min.</w:t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center"/>
        <w:rPr>
          <w:rFonts w:ascii="Arial" w:hAnsi="Arial"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>IV – DOS DOCUMENTOS A SEREM APRESENTADOS PELA FUTURA CONTRATADA</w:t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4.1. Após decisão da autoridade competente, a futura contratada deverá apresentar ao Município os seguintes documentos:</w:t>
      </w:r>
    </w:p>
    <w:p>
      <w:pPr>
        <w:pStyle w:val="Normal"/>
        <w:suppressAutoHyphens w:val="false"/>
        <w:spacing w:lineRule="auto" w:line="360" w:before="0" w:after="120"/>
        <w:ind w:hanging="0" w:left="967" w:right="-2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</w:r>
    </w:p>
    <w:p>
      <w:pPr>
        <w:pStyle w:val="Normal"/>
        <w:widowControl/>
        <w:numPr>
          <w:ilvl w:val="0"/>
          <w:numId w:val="2"/>
        </w:numPr>
        <w:shd w:val="clear" w:color="auto" w:fill="FFFFFF"/>
        <w:tabs>
          <w:tab w:val="clear" w:pos="709"/>
          <w:tab w:val="left" w:pos="360" w:leader="none"/>
        </w:tabs>
        <w:suppressAutoHyphens w:val="true"/>
        <w:bidi w:val="0"/>
        <w:spacing w:lineRule="auto" w:line="360" w:before="0" w:after="0"/>
        <w:ind w:hanging="0" w:left="0" w:right="170"/>
        <w:jc w:val="both"/>
        <w:rPr>
          <w:rFonts w:ascii="Arial" w:hAnsi="Arial"/>
          <w:sz w:val="21"/>
          <w:szCs w:val="21"/>
        </w:rPr>
      </w:pPr>
      <w:r>
        <w:rPr>
          <w:rFonts w:eastAsia="Arial" w:ascii="Arial" w:hAnsi="Arial"/>
          <w:sz w:val="21"/>
          <w:szCs w:val="21"/>
          <w:shd w:fill="FFFFFF" w:val="clear"/>
          <w:lang w:eastAsia="zh-CN" w:bidi="ar-SA"/>
        </w:rPr>
        <w:t>Prova de inscrição no Cadastro Nacional de Pessoa Jurídica – CNPJ;</w:t>
      </w:r>
    </w:p>
    <w:p>
      <w:pPr>
        <w:pStyle w:val="Normal"/>
        <w:widowControl/>
        <w:numPr>
          <w:ilvl w:val="0"/>
          <w:numId w:val="2"/>
        </w:numPr>
        <w:shd w:val="clear" w:color="auto" w:fill="FFFFFF"/>
        <w:tabs>
          <w:tab w:val="clear" w:pos="709"/>
          <w:tab w:val="left" w:pos="360" w:leader="none"/>
        </w:tabs>
        <w:suppressAutoHyphens w:val="true"/>
        <w:bidi w:val="0"/>
        <w:spacing w:lineRule="auto" w:line="360" w:before="0" w:after="0"/>
        <w:ind w:hanging="0" w:left="0" w:right="170"/>
        <w:jc w:val="both"/>
        <w:rPr>
          <w:rFonts w:ascii="Arial" w:hAnsi="Arial"/>
          <w:sz w:val="21"/>
          <w:szCs w:val="21"/>
        </w:rPr>
      </w:pPr>
      <w:r>
        <w:rPr>
          <w:rFonts w:eastAsia="Arial" w:ascii="Arial" w:hAnsi="Arial"/>
          <w:sz w:val="21"/>
          <w:szCs w:val="21"/>
          <w:shd w:fill="FFFFFF" w:val="clear"/>
          <w:lang w:eastAsia="zh-CN" w:bidi="ar-SA"/>
        </w:rPr>
        <w:t>Certidão Conjunta Negativa (ou Positiva com Efeitos de Negativa) de Débitos relativos aos Tributos Federais e à Dívida Ativa da União, válida;</w:t>
      </w:r>
    </w:p>
    <w:p>
      <w:pPr>
        <w:pStyle w:val="Normal"/>
        <w:widowControl/>
        <w:numPr>
          <w:ilvl w:val="0"/>
          <w:numId w:val="2"/>
        </w:numPr>
        <w:shd w:val="clear" w:color="auto" w:fill="FFFFFF"/>
        <w:tabs>
          <w:tab w:val="clear" w:pos="709"/>
          <w:tab w:val="left" w:pos="360" w:leader="none"/>
        </w:tabs>
        <w:suppressAutoHyphens w:val="true"/>
        <w:bidi w:val="0"/>
        <w:spacing w:lineRule="auto" w:line="360" w:before="0" w:after="0"/>
        <w:ind w:hanging="0" w:left="0" w:right="170"/>
        <w:jc w:val="both"/>
        <w:rPr>
          <w:rFonts w:ascii="Arial" w:hAnsi="Arial"/>
          <w:sz w:val="21"/>
          <w:szCs w:val="21"/>
        </w:rPr>
      </w:pPr>
      <w:r>
        <w:rPr>
          <w:rFonts w:eastAsia="Arial" w:ascii="Arial" w:hAnsi="Arial"/>
          <w:sz w:val="21"/>
          <w:szCs w:val="21"/>
          <w:lang w:eastAsia="zh-CN" w:bidi="ar-SA"/>
        </w:rPr>
        <w:t>Certidão Negativa (ou Positiva com Efeitos de Negativa) da Fazenda Estadual, válida;</w:t>
      </w:r>
    </w:p>
    <w:p>
      <w:pPr>
        <w:pStyle w:val="Normal"/>
        <w:widowControl/>
        <w:numPr>
          <w:ilvl w:val="0"/>
          <w:numId w:val="2"/>
        </w:numPr>
        <w:shd w:val="clear" w:color="auto" w:fill="FFFFFF"/>
        <w:tabs>
          <w:tab w:val="clear" w:pos="709"/>
          <w:tab w:val="left" w:pos="360" w:leader="none"/>
        </w:tabs>
        <w:suppressAutoHyphens w:val="true"/>
        <w:bidi w:val="0"/>
        <w:spacing w:lineRule="auto" w:line="360" w:before="0" w:after="0"/>
        <w:ind w:hanging="0" w:left="0" w:right="170"/>
        <w:jc w:val="both"/>
        <w:rPr>
          <w:rFonts w:ascii="Arial" w:hAnsi="Arial"/>
          <w:sz w:val="21"/>
          <w:szCs w:val="21"/>
        </w:rPr>
      </w:pPr>
      <w:r>
        <w:rPr>
          <w:rFonts w:eastAsia="Arial" w:ascii="Arial" w:hAnsi="Arial"/>
          <w:sz w:val="21"/>
          <w:szCs w:val="21"/>
          <w:lang w:eastAsia="zh-CN" w:bidi="ar-SA"/>
        </w:rPr>
        <w:t>Certidão Negativa (ou Positiva com Efeitos de Negativa) da Fazenda Municipal do domicílio da proponente, válida;</w:t>
      </w:r>
    </w:p>
    <w:p>
      <w:pPr>
        <w:pStyle w:val="Normal"/>
        <w:widowControl/>
        <w:numPr>
          <w:ilvl w:val="0"/>
          <w:numId w:val="2"/>
        </w:numPr>
        <w:shd w:val="clear" w:color="auto" w:fill="FFFFFF"/>
        <w:tabs>
          <w:tab w:val="clear" w:pos="709"/>
          <w:tab w:val="left" w:pos="360" w:leader="none"/>
        </w:tabs>
        <w:suppressAutoHyphens w:val="true"/>
        <w:bidi w:val="0"/>
        <w:spacing w:lineRule="auto" w:line="360" w:before="0" w:after="0"/>
        <w:ind w:hanging="0" w:left="0" w:right="170"/>
        <w:jc w:val="both"/>
        <w:rPr>
          <w:rFonts w:ascii="Arial" w:hAnsi="Arial"/>
          <w:sz w:val="21"/>
          <w:szCs w:val="21"/>
        </w:rPr>
      </w:pPr>
      <w:r>
        <w:rPr>
          <w:rFonts w:eastAsia="Arial" w:ascii="Arial" w:hAnsi="Arial"/>
          <w:sz w:val="21"/>
          <w:szCs w:val="21"/>
          <w:lang w:eastAsia="zh-CN" w:bidi="ar-SA"/>
        </w:rPr>
        <w:t xml:space="preserve"> </w:t>
      </w:r>
      <w:r>
        <w:rPr>
          <w:rFonts w:eastAsia="Arial" w:ascii="Arial" w:hAnsi="Arial"/>
          <w:sz w:val="21"/>
          <w:szCs w:val="21"/>
          <w:lang w:eastAsia="zh-CN" w:bidi="ar-SA"/>
        </w:rPr>
        <w:t>Certidão de Regularidade com o Fundo de Garantia do Tempo de Serviço – FGTS, válida;</w:t>
      </w:r>
    </w:p>
    <w:p>
      <w:pPr>
        <w:pStyle w:val="Normal"/>
        <w:widowControl/>
        <w:numPr>
          <w:ilvl w:val="0"/>
          <w:numId w:val="2"/>
        </w:numPr>
        <w:shd w:val="clear" w:color="auto" w:fill="FFFFFF"/>
        <w:tabs>
          <w:tab w:val="clear" w:pos="709"/>
          <w:tab w:val="left" w:pos="360" w:leader="none"/>
        </w:tabs>
        <w:suppressAutoHyphens w:val="true"/>
        <w:bidi w:val="0"/>
        <w:spacing w:lineRule="auto" w:line="360" w:before="0" w:after="0"/>
        <w:ind w:hanging="0" w:left="0" w:right="170"/>
        <w:jc w:val="both"/>
        <w:rPr/>
      </w:pPr>
      <w:r>
        <w:rPr>
          <w:rFonts w:eastAsia="Arial" w:cs="Arial" w:ascii="Arial" w:hAnsi="Arial"/>
          <w:b w:val="false"/>
          <w:bCs w:val="false"/>
          <w:color w:val="000000"/>
          <w:sz w:val="21"/>
          <w:szCs w:val="21"/>
          <w:shd w:fill="FFFFFF" w:val="clear"/>
          <w:lang w:val="pt-BR" w:eastAsia="zh-CN" w:bidi="ar-SA"/>
        </w:rPr>
        <w:t>Certidão Negativa (ou Positiva com Efeitos de Negativa) de Débitos Trabalhistas – CNDT, válida.</w:t>
      </w:r>
    </w:p>
    <w:p>
      <w:pPr>
        <w:pStyle w:val="Normal"/>
        <w:spacing w:lineRule="auto" w:line="360" w:before="0" w:after="0"/>
        <w:jc w:val="center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center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center"/>
        <w:rPr>
          <w:rFonts w:ascii="Arial" w:hAnsi="Arial"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Munic</w:t>
      </w:r>
      <w:r>
        <w:rPr>
          <w:rFonts w:cs="Arial" w:ascii="Arial" w:hAnsi="Arial"/>
          <w:b/>
          <w:color w:val="000000"/>
          <w:sz w:val="21"/>
          <w:szCs w:val="21"/>
        </w:rPr>
        <w:t>ípio de Lindóia do Sul,</w:t>
      </w:r>
      <w:r>
        <w:rPr>
          <w:rFonts w:cs="Arial" w:ascii="Arial" w:hAnsi="Arial"/>
          <w:b/>
          <w:color w:val="000000"/>
          <w:sz w:val="21"/>
          <w:szCs w:val="21"/>
          <w:shd w:fill="auto" w:val="clear"/>
        </w:rPr>
        <w:t xml:space="preserve"> </w:t>
      </w:r>
      <w:r>
        <w:rPr>
          <w:rFonts w:cs="Arial" w:ascii="Arial" w:hAnsi="Arial"/>
          <w:b/>
          <w:color w:val="000000"/>
          <w:sz w:val="21"/>
          <w:szCs w:val="21"/>
          <w:shd w:fill="auto" w:val="clear"/>
        </w:rPr>
        <w:t>19</w:t>
      </w:r>
      <w:r>
        <w:rPr>
          <w:rFonts w:cs="Arial" w:ascii="Arial" w:hAnsi="Arial"/>
          <w:b/>
          <w:color w:val="000000"/>
          <w:sz w:val="21"/>
          <w:szCs w:val="21"/>
          <w:shd w:fill="auto" w:val="clear"/>
        </w:rPr>
        <w:t xml:space="preserve"> de </w:t>
      </w:r>
      <w:r>
        <w:rPr>
          <w:rFonts w:cs="Arial" w:ascii="Arial" w:hAnsi="Arial"/>
          <w:b/>
          <w:color w:val="000000"/>
          <w:sz w:val="21"/>
          <w:szCs w:val="21"/>
          <w:shd w:fill="auto" w:val="clear"/>
        </w:rPr>
        <w:t>Março</w:t>
      </w:r>
      <w:r>
        <w:rPr>
          <w:rFonts w:cs="Arial" w:ascii="Arial" w:hAnsi="Arial"/>
          <w:b/>
          <w:color w:val="000000"/>
          <w:sz w:val="21"/>
          <w:szCs w:val="21"/>
          <w:shd w:fill="auto" w:val="clear"/>
        </w:rPr>
        <w:t xml:space="preserve"> de 202</w:t>
      </w:r>
      <w:r>
        <w:rPr>
          <w:rFonts w:cs="Arial" w:ascii="Arial" w:hAnsi="Arial"/>
          <w:b/>
          <w:color w:val="000000"/>
          <w:sz w:val="21"/>
          <w:szCs w:val="21"/>
          <w:shd w:fill="auto" w:val="clear"/>
        </w:rPr>
        <w:t>6</w:t>
      </w:r>
      <w:r>
        <w:rPr>
          <w:rFonts w:cs="Arial" w:ascii="Arial" w:hAnsi="Arial"/>
          <w:b/>
          <w:color w:val="000000"/>
          <w:sz w:val="21"/>
          <w:szCs w:val="21"/>
          <w:shd w:fill="auto" w:val="clear"/>
        </w:rPr>
        <w:t>.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color w:val="000000"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</w:r>
    </w:p>
    <w:p>
      <w:pPr>
        <w:pStyle w:val="Normal"/>
        <w:widowControl w:val="false"/>
        <w:tabs>
          <w:tab w:val="clear" w:pos="709"/>
          <w:tab w:val="left" w:pos="1701" w:leader="none"/>
        </w:tabs>
        <w:spacing w:lineRule="auto" w:line="360" w:before="0" w:after="0"/>
        <w:jc w:val="center"/>
        <w:textAlignment w:val="baseline"/>
        <w:rPr>
          <w:rFonts w:ascii="Arial" w:hAnsi="Arial"/>
          <w:sz w:val="21"/>
          <w:szCs w:val="21"/>
        </w:rPr>
      </w:pPr>
      <w:r>
        <w:rPr>
          <w:rFonts w:eastAsia="Times New Roman" w:cs="Arial" w:ascii="Arial" w:hAnsi="Arial"/>
          <w:b/>
          <w:color w:val="000000"/>
          <w:sz w:val="21"/>
          <w:szCs w:val="21"/>
          <w:lang w:eastAsia="pt-BR"/>
        </w:rPr>
        <w:t>IVANICE ANGELA PECCIN</w:t>
      </w:r>
    </w:p>
    <w:p>
      <w:pPr>
        <w:pStyle w:val="Normal"/>
        <w:widowControl w:val="false"/>
        <w:tabs>
          <w:tab w:val="clear" w:pos="709"/>
          <w:tab w:val="left" w:pos="1701" w:leader="none"/>
        </w:tabs>
        <w:spacing w:lineRule="auto" w:line="360" w:before="0" w:after="0"/>
        <w:jc w:val="center"/>
        <w:textAlignment w:val="baseline"/>
        <w:rPr>
          <w:rFonts w:ascii="Arial" w:hAnsi="Arial"/>
          <w:sz w:val="21"/>
          <w:szCs w:val="21"/>
        </w:rPr>
      </w:pPr>
      <w:r>
        <w:rPr>
          <w:rFonts w:eastAsia="Times New Roman" w:cs="Arial" w:ascii="Arial" w:hAnsi="Arial"/>
          <w:b/>
          <w:color w:val="000000"/>
          <w:sz w:val="21"/>
          <w:szCs w:val="21"/>
          <w:lang w:eastAsia="pt-BR"/>
        </w:rPr>
        <w:t>Secretária Municipal de Saúde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134" w:gutter="0" w:header="709" w:top="1701" w:footer="709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Garamond">
    <w:charset w:val="00"/>
    <w:family w:val="roman"/>
    <w:pitch w:val="variable"/>
  </w:font>
  <w:font w:name="Trebuchet MS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Wingdings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Consolas"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3</w:t>
    </w:r>
    <w:r>
      <w:rPr>
        <w:sz w:val="20"/>
        <w:szCs w:val="20"/>
      </w:rPr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sz w:val="20"/>
        <w:szCs w:val="20"/>
      </w:rPr>
    </w:pPr>
    <w:r>
      <w:rPr>
        <w:sz w:val="20"/>
        <w:szCs w:val="20"/>
      </w:rPr>
      <w:t>Rua Tamandaré, 98 - Centro</w:t>
    </w:r>
  </w:p>
  <w:p>
    <w:pPr>
      <w:pStyle w:val="Footer"/>
      <w:jc w:val="right"/>
      <w:rPr>
        <w:sz w:val="20"/>
        <w:szCs w:val="20"/>
      </w:rPr>
    </w:pPr>
    <w:r>
      <w:rPr>
        <w:sz w:val="20"/>
        <w:szCs w:val="20"/>
      </w:rPr>
      <w:t xml:space="preserve">89735-000 - Lindóia do Sul - SC </w:t>
    </w:r>
  </w:p>
  <w:p>
    <w:pPr>
      <w:pStyle w:val="Footer"/>
      <w:jc w:val="right"/>
      <w:rPr>
        <w:sz w:val="20"/>
        <w:szCs w:val="20"/>
      </w:rPr>
    </w:pPr>
    <w:r>
      <w:rPr>
        <w:sz w:val="20"/>
        <w:szCs w:val="20"/>
      </w:rPr>
      <w:t>(49) 3446-1177 | www.lindoiadosul.sc.gov.br</w:t>
    </w:r>
  </w:p>
  <w:p>
    <w:pPr>
      <w:pStyle w:val="Footer"/>
      <w:jc w:val="right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1</w:t>
    </w:r>
    <w:r>
      <w:rPr>
        <w:sz w:val="20"/>
        <w:szCs w:val="20"/>
      </w:rPr>
      <w:fldChar w:fldCharType="end"/>
    </w:r>
  </w:p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both"/>
      <w:rPr>
        <w:rFonts w:ascii="Arial" w:hAnsi="Arial" w:cs="Arial"/>
        <w:sz w:val="16"/>
      </w:rPr>
    </w:pPr>
    <w:r>
      <w:rPr>
        <w:rFonts w:cs="Arial" w:ascii="Arial" w:hAnsi="Arial"/>
        <w:sz w:val="16"/>
      </w:rPr>
      <w:t xml:space="preserve"> </w:t>
    </w:r>
  </w:p>
  <w:p>
    <w:pPr>
      <w:pStyle w:val="Header"/>
      <w:tabs>
        <w:tab w:val="clear" w:pos="4419"/>
        <w:tab w:val="clear" w:pos="8838"/>
        <w:tab w:val="left" w:pos="2445" w:leader="none"/>
      </w:tabs>
      <w:jc w:val="both"/>
      <w:rPr>
        <w:rFonts w:ascii="Trebuchet MS" w:hAnsi="Trebuchet MS" w:cs="Arial"/>
        <w:b/>
        <w:bCs/>
      </w:rPr>
    </w:pPr>
    <w:r>
      <w:rPr>
        <w:rFonts w:cs="Arial" w:ascii="Trebuchet MS" w:hAnsi="Trebuchet MS"/>
        <w:b/>
        <w:bCs/>
      </w:rPr>
      <w:tab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419"/>
        <w:tab w:val="clear" w:pos="8838"/>
        <w:tab w:val="center" w:pos="4536" w:leader="none"/>
      </w:tabs>
      <w:jc w:val="both"/>
      <w:rPr>
        <w:rFonts w:ascii="Arial" w:hAnsi="Arial" w:cs="Arial"/>
        <w:color w:val="0000FF"/>
        <w:sz w:val="22"/>
        <w:szCs w:val="22"/>
        <w:lang w:val="pt-PT"/>
      </w:rPr>
    </w:pPr>
    <w:r>
      <w:rPr/>
      <mc:AlternateContent>
        <mc:Choice Requires="wps">
          <w:drawing>
            <wp:anchor distT="5715" distB="4445" distL="5715" distR="4445" simplePos="0" relativeHeight="3" behindDoc="1" locked="0" layoutInCell="1" allowOverlap="1" wp14:anchorId="73E48AAF">
              <wp:simplePos x="0" y="0"/>
              <wp:positionH relativeFrom="column">
                <wp:posOffset>1165860</wp:posOffset>
              </wp:positionH>
              <wp:positionV relativeFrom="paragraph">
                <wp:posOffset>238125</wp:posOffset>
              </wp:positionV>
              <wp:extent cx="3162935" cy="556895"/>
              <wp:effectExtent l="5715" t="5715" r="4445" b="4445"/>
              <wp:wrapNone/>
              <wp:docPr id="1" name="Caixa de texto 4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62960" cy="556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>MUNICÍPIO DE LINDÓIA DO SUL</w:t>
                          </w:r>
                        </w:p>
                        <w:p>
                          <w:pPr>
                            <w:pStyle w:val="Contedodoquadrouser"/>
                            <w:jc w:val="center"/>
                            <w:rPr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>ESTADO DE SANTA CATARINA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white" stroked="t" o:allowincell="f" style="position:absolute;margin-left:91.8pt;margin-top:18.75pt;width:249pt;height:43.8pt;mso-wrap-style:square;v-text-anchor:top" wp14:anchorId="73E48AAF">
              <v:fill o:detectmouseclick="t" type="solid" color2="black"/>
              <v:stroke color="white" weight="936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color w:val="000000"/>
                        <w:sz w:val="28"/>
                        <w:szCs w:val="28"/>
                      </w:rPr>
                      <w:t>MUNICÍPIO DE LINDÓIA DO SUL</w:t>
                    </w:r>
                  </w:p>
                  <w:p>
                    <w:pPr>
                      <w:pStyle w:val="Contedodoquadrouser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color w:val="000000"/>
                        <w:sz w:val="28"/>
                        <w:szCs w:val="28"/>
                      </w:rPr>
                      <w:t>ESTADO DE SANTA CATARINA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inline distT="0" distB="0" distL="0" distR="0">
          <wp:extent cx="1169035" cy="9144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69035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tabs>
        <w:tab w:val="clear" w:pos="4419"/>
        <w:tab w:val="clear" w:pos="8838"/>
      </w:tabs>
      <w:jc w:val="righ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708"/>
        </w:tabs>
        <w:ind w:left="993" w:hanging="283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unhideWhenUsed="1"/>
    <w:lsdException w:name="annotation text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0" w:semiHidden="1"/>
    <w:lsdException w:name="Body Text" w:uiPriority="0" w:semiHidden="1"/>
    <w:lsdException w:name="Body Text Indent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Heading1">
    <w:name w:val="heading 1"/>
    <w:basedOn w:val="Normal"/>
    <w:next w:val="Normal"/>
    <w:link w:val="Ttulo1Char"/>
    <w:qFormat/>
    <w:pPr>
      <w:keepNext w:val="true"/>
      <w:jc w:val="both"/>
      <w:outlineLvl w:val="0"/>
    </w:pPr>
    <w:rPr>
      <w:rFonts w:ascii="Garamond" w:hAnsi="Garamond"/>
      <w:b/>
      <w:bCs/>
      <w:spacing w:val="60"/>
      <w:w w:val="150"/>
      <w:sz w:val="28"/>
    </w:rPr>
  </w:style>
  <w:style w:type="paragraph" w:styleId="Heading2">
    <w:name w:val="heading 2"/>
    <w:basedOn w:val="Normal"/>
    <w:next w:val="Normal"/>
    <w:link w:val="Ttulo2Char"/>
    <w:qFormat/>
    <w:pPr>
      <w:keepNext w:val="true"/>
      <w:jc w:val="center"/>
      <w:outlineLvl w:val="1"/>
    </w:pPr>
    <w:rPr>
      <w:rFonts w:ascii="Garamond" w:hAnsi="Garamond"/>
      <w:b/>
      <w:bCs/>
      <w:spacing w:val="60"/>
      <w:w w:val="150"/>
      <w:sz w:val="28"/>
    </w:rPr>
  </w:style>
  <w:style w:type="paragraph" w:styleId="Heading3">
    <w:name w:val="heading 3"/>
    <w:basedOn w:val="Normal"/>
    <w:next w:val="Normal"/>
    <w:link w:val="Ttulo3Char"/>
    <w:qFormat/>
    <w:pPr>
      <w:keepNext w:val="true"/>
      <w:jc w:val="center"/>
      <w:outlineLvl w:val="2"/>
    </w:pPr>
    <w:rPr>
      <w:b/>
      <w:bCs/>
      <w:spacing w:val="60"/>
      <w:w w:val="150"/>
    </w:rPr>
  </w:style>
  <w:style w:type="paragraph" w:styleId="Heading4">
    <w:name w:val="heading 4"/>
    <w:basedOn w:val="Normal"/>
    <w:next w:val="Normal"/>
    <w:link w:val="Ttulo4Char"/>
    <w:qFormat/>
    <w:pPr>
      <w:keepNext w:val="true"/>
      <w:jc w:val="center"/>
      <w:outlineLvl w:val="3"/>
    </w:pPr>
    <w:rPr>
      <w:rFonts w:ascii="Trebuchet MS" w:hAnsi="Trebuchet MS" w:cs="Arial"/>
      <w:b/>
      <w:color w:val="FFFFFF"/>
      <w:sz w:val="18"/>
      <w:szCs w:val="36"/>
    </w:rPr>
  </w:style>
  <w:style w:type="paragraph" w:styleId="Heading5">
    <w:name w:val="heading 5"/>
    <w:basedOn w:val="Normal"/>
    <w:next w:val="Normal"/>
    <w:link w:val="Ttulo5Char"/>
    <w:qFormat/>
    <w:pPr>
      <w:keepNext w:val="true"/>
      <w:jc w:val="center"/>
      <w:outlineLvl w:val="4"/>
    </w:pPr>
    <w:rPr>
      <w:rFonts w:ascii="Trebuchet MS" w:hAnsi="Trebuchet MS" w:cs="Arial"/>
      <w:b/>
      <w:color w:val="808080"/>
      <w:szCs w:val="36"/>
    </w:rPr>
  </w:style>
  <w:style w:type="paragraph" w:styleId="Heading6">
    <w:name w:val="heading 6"/>
    <w:basedOn w:val="Normal"/>
    <w:next w:val="Normal"/>
    <w:link w:val="Ttulo6Char"/>
    <w:qFormat/>
    <w:pPr>
      <w:keepNext w:val="true"/>
      <w:jc w:val="center"/>
      <w:outlineLvl w:val="5"/>
    </w:pPr>
    <w:rPr>
      <w:rFonts w:ascii="Trebuchet MS" w:hAnsi="Trebuchet MS"/>
      <w:color w:val="808080"/>
      <w:spacing w:val="60"/>
      <w:w w:val="200"/>
      <w:sz w:val="52"/>
      <w:szCs w:val="36"/>
    </w:rPr>
  </w:style>
  <w:style w:type="paragraph" w:styleId="Heading7">
    <w:name w:val="heading 7"/>
    <w:basedOn w:val="Normal"/>
    <w:next w:val="Normal"/>
    <w:link w:val="Ttulo7Char"/>
    <w:uiPriority w:val="9"/>
    <w:qFormat/>
    <w:pPr>
      <w:spacing w:before="240" w:after="60"/>
      <w:outlineLvl w:val="6"/>
    </w:pPr>
    <w:rPr>
      <w:rFonts w:ascii="Calibri" w:hAnsi="Calibri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 w:customStyle="1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character" w:styleId="Ttulo1Char" w:customStyle="1">
    <w:name w:val="Título 1 Char"/>
    <w:basedOn w:val="DefaultParagraphFont"/>
    <w:qFormat/>
    <w:rPr>
      <w:rFonts w:ascii="Garamond" w:hAnsi="Garamond"/>
      <w:b/>
      <w:bCs/>
      <w:spacing w:val="60"/>
      <w:w w:val="150"/>
      <w:sz w:val="28"/>
      <w:szCs w:val="24"/>
    </w:rPr>
  </w:style>
  <w:style w:type="character" w:styleId="Ttulo2Char" w:customStyle="1">
    <w:name w:val="Título 2 Char"/>
    <w:basedOn w:val="DefaultParagraphFont"/>
    <w:qFormat/>
    <w:rPr>
      <w:rFonts w:ascii="Garamond" w:hAnsi="Garamond"/>
      <w:b/>
      <w:bCs/>
      <w:spacing w:val="60"/>
      <w:w w:val="150"/>
      <w:sz w:val="28"/>
      <w:szCs w:val="24"/>
    </w:rPr>
  </w:style>
  <w:style w:type="character" w:styleId="Ttulo3Char" w:customStyle="1">
    <w:name w:val="Título 3 Char"/>
    <w:basedOn w:val="DefaultParagraphFont"/>
    <w:qFormat/>
    <w:rPr>
      <w:b/>
      <w:bCs/>
      <w:spacing w:val="60"/>
      <w:w w:val="150"/>
      <w:sz w:val="24"/>
      <w:szCs w:val="24"/>
    </w:rPr>
  </w:style>
  <w:style w:type="character" w:styleId="Ttulo4Char" w:customStyle="1">
    <w:name w:val="Título 4 Char"/>
    <w:basedOn w:val="DefaultParagraphFont"/>
    <w:qFormat/>
    <w:rPr>
      <w:rFonts w:ascii="Trebuchet MS" w:hAnsi="Trebuchet MS" w:cs="Arial"/>
      <w:b/>
      <w:color w:val="FFFFFF"/>
      <w:sz w:val="18"/>
      <w:szCs w:val="36"/>
    </w:rPr>
  </w:style>
  <w:style w:type="character" w:styleId="Ttulo5Char" w:customStyle="1">
    <w:name w:val="Título 5 Char"/>
    <w:basedOn w:val="DefaultParagraphFont"/>
    <w:qFormat/>
    <w:rPr>
      <w:rFonts w:ascii="Trebuchet MS" w:hAnsi="Trebuchet MS" w:cs="Arial"/>
      <w:b/>
      <w:color w:val="808080"/>
      <w:sz w:val="24"/>
      <w:szCs w:val="36"/>
    </w:rPr>
  </w:style>
  <w:style w:type="character" w:styleId="Ttulo6Char" w:customStyle="1">
    <w:name w:val="Título 6 Char"/>
    <w:basedOn w:val="DefaultParagraphFont"/>
    <w:qFormat/>
    <w:rPr>
      <w:rFonts w:ascii="Trebuchet MS" w:hAnsi="Trebuchet MS"/>
      <w:color w:val="808080"/>
      <w:spacing w:val="60"/>
      <w:w w:val="200"/>
      <w:sz w:val="52"/>
      <w:szCs w:val="36"/>
    </w:rPr>
  </w:style>
  <w:style w:type="character" w:styleId="Ttulo7Char" w:customStyle="1">
    <w:name w:val="Título 7 Char"/>
    <w:basedOn w:val="DefaultParagraphFont"/>
    <w:uiPriority w:val="9"/>
    <w:semiHidden/>
    <w:qFormat/>
    <w:rPr>
      <w:rFonts w:ascii="Calibri" w:hAnsi="Calibri" w:eastAsia="Times New Roman" w:cs="Times New Roman"/>
      <w:sz w:val="24"/>
      <w:szCs w:val="24"/>
    </w:rPr>
  </w:style>
  <w:style w:type="character" w:styleId="CorpodetextoChar" w:customStyle="1">
    <w:name w:val="Corpo de texto Char"/>
    <w:basedOn w:val="DefaultParagraphFont"/>
    <w:semiHidden/>
    <w:qFormat/>
    <w:rPr>
      <w:rFonts w:ascii="Arial" w:hAnsi="Arial" w:cs="Arial"/>
      <w:b/>
      <w:bCs/>
      <w:sz w:val="22"/>
      <w:szCs w:val="24"/>
    </w:rPr>
  </w:style>
  <w:style w:type="character" w:styleId="Recuodecorpodetexto2Char" w:customStyle="1">
    <w:name w:val="Recuo de corpo de texto 2 Char"/>
    <w:basedOn w:val="DefaultParagraphFont"/>
    <w:link w:val="BodyTextIndent2"/>
    <w:uiPriority w:val="99"/>
    <w:semiHidden/>
    <w:qFormat/>
    <w:rPr>
      <w:sz w:val="24"/>
      <w:szCs w:val="24"/>
    </w:rPr>
  </w:style>
  <w:style w:type="character" w:styleId="TtuloChar" w:customStyle="1">
    <w:name w:val="Título Char"/>
    <w:basedOn w:val="DefaultParagraphFont"/>
    <w:qFormat/>
    <w:rPr>
      <w:rFonts w:ascii="Garamond" w:hAnsi="Garamond"/>
      <w:b/>
      <w:bCs/>
      <w:spacing w:val="60"/>
      <w:w w:val="150"/>
      <w:sz w:val="36"/>
      <w:szCs w:val="24"/>
    </w:rPr>
  </w:style>
  <w:style w:type="character" w:styleId="CabealhoChar" w:customStyle="1">
    <w:name w:val="Cabeçalho Char"/>
    <w:basedOn w:val="DefaultParagraphFont"/>
    <w:uiPriority w:val="99"/>
    <w:qFormat/>
    <w:rPr>
      <w:sz w:val="24"/>
      <w:szCs w:val="24"/>
    </w:rPr>
  </w:style>
  <w:style w:type="character" w:styleId="RodapChar" w:customStyle="1">
    <w:name w:val="Rodapé Char"/>
    <w:basedOn w:val="DefaultParagraphFont"/>
    <w:uiPriority w:val="99"/>
    <w:qFormat/>
    <w:rPr>
      <w:sz w:val="24"/>
      <w:szCs w:val="24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styleId="SubttuloChar" w:customStyle="1">
    <w:name w:val="Subtítulo Char"/>
    <w:basedOn w:val="DefaultParagraphFont"/>
    <w:qFormat/>
    <w:rPr>
      <w:rFonts w:ascii="Arial" w:hAnsi="Arial" w:cs="Arial"/>
      <w:b/>
      <w:bCs/>
      <w:sz w:val="22"/>
      <w:szCs w:val="24"/>
    </w:rPr>
  </w:style>
  <w:style w:type="character" w:styleId="TextodenotaderodapChar" w:customStyle="1">
    <w:name w:val="Texto de nota de rodapé Char"/>
    <w:basedOn w:val="DefaultParagraphFont"/>
    <w:semiHidden/>
    <w:qFormat/>
    <w:rPr/>
  </w:style>
  <w:style w:type="character" w:styleId="RecuodecorpodetextoChar" w:customStyle="1">
    <w:name w:val="Recuo de corpo de texto Char"/>
    <w:basedOn w:val="DefaultParagraphFont"/>
    <w:qFormat/>
    <w:rPr>
      <w:rFonts w:ascii="Calibri" w:hAnsi="Calibri"/>
      <w:sz w:val="24"/>
      <w:szCs w:val="24"/>
      <w:lang w:eastAsia="en-US" w:bidi="en-US"/>
    </w:rPr>
  </w:style>
  <w:style w:type="character" w:styleId="apple-converted-space" w:customStyle="1">
    <w:name w:val="apple-converted-space"/>
    <w:basedOn w:val="DefaultParagraphFont"/>
    <w:qFormat/>
    <w:rPr/>
  </w:style>
  <w:style w:type="character" w:styleId="url" w:customStyle="1">
    <w:name w:val="url"/>
    <w:basedOn w:val="DefaultParagraphFont"/>
    <w:qFormat/>
    <w:rPr/>
  </w:style>
  <w:style w:type="character" w:styleId="FollowedHyperlink">
    <w:name w:val="FollowedHyperlink"/>
    <w:basedOn w:val="DefaultParagraphFont"/>
    <w:rPr>
      <w:color w:val="954F72"/>
      <w:u w:val="single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character" w:styleId="WW8Num8z0">
    <w:name w:val="WW8Num8z0"/>
    <w:qFormat/>
    <w:rPr>
      <w:rFonts w:ascii="Wingdings" w:hAnsi="Wingdings" w:cs="Wingdings"/>
      <w:sz w:val="11"/>
    </w:rPr>
  </w:style>
  <w:style w:type="character" w:styleId="EndnoteCharacters11111111111">
    <w:name w:val="Endnote Characters11111111111"/>
    <w:qFormat/>
    <w:rPr>
      <w:vertAlign w:val="superscript"/>
    </w:rPr>
  </w:style>
  <w:style w:type="character" w:styleId="EndnoteCharacters1111111111">
    <w:name w:val="Endnote Characters1111111111"/>
    <w:qFormat/>
    <w:rPr>
      <w:vertAlign w:val="superscript"/>
    </w:rPr>
  </w:style>
  <w:style w:type="character" w:styleId="EndnoteCharacters111111111">
    <w:name w:val="Endnote Characters111111111"/>
    <w:qFormat/>
    <w:rPr>
      <w:vertAlign w:val="superscript"/>
    </w:rPr>
  </w:style>
  <w:style w:type="character" w:styleId="EndnoteCharacters11111111">
    <w:name w:val="Endnote Characters11111111"/>
    <w:qFormat/>
    <w:rPr>
      <w:vertAlign w:val="superscript"/>
    </w:rPr>
  </w:style>
  <w:style w:type="character" w:styleId="EndnoteCharacters1111111">
    <w:name w:val="Endnote Characters1111111"/>
    <w:qFormat/>
    <w:rPr>
      <w:vertAlign w:val="superscript"/>
    </w:rPr>
  </w:style>
  <w:style w:type="character" w:styleId="EndnoteCharacters111111">
    <w:name w:val="Endnote Characters111111"/>
    <w:qFormat/>
    <w:rPr>
      <w:vertAlign w:val="superscript"/>
    </w:rPr>
  </w:style>
  <w:style w:type="character" w:styleId="EndnoteCharacters11111">
    <w:name w:val="Endnote Characters11111"/>
    <w:qFormat/>
    <w:rPr>
      <w:vertAlign w:val="superscript"/>
    </w:rPr>
  </w:style>
  <w:style w:type="character" w:styleId="EndnoteCharacters1111">
    <w:name w:val="Endnote Characters1111"/>
    <w:qFormat/>
    <w:rPr>
      <w:vertAlign w:val="superscript"/>
    </w:rPr>
  </w:style>
  <w:style w:type="character" w:styleId="EndnoteCharacters111">
    <w:name w:val="Endnote Characters111"/>
    <w:qFormat/>
    <w:rPr>
      <w:vertAlign w:val="superscript"/>
    </w:rPr>
  </w:style>
  <w:style w:type="character" w:styleId="EndnoteCharacters11">
    <w:name w:val="Endnote Characters11"/>
    <w:qFormat/>
    <w:rPr>
      <w:vertAlign w:val="superscript"/>
    </w:rPr>
  </w:style>
  <w:style w:type="character" w:styleId="EndnoteCharacters1">
    <w:name w:val="Endnote Characters1"/>
    <w:qFormat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WW8Num2z0">
    <w:name w:val="WW8Num2z0"/>
    <w:qFormat/>
    <w:rPr>
      <w:b/>
      <w:bCs/>
    </w:rPr>
  </w:style>
  <w:style w:type="character" w:styleId="FootnoteCharacters111111111111">
    <w:name w:val="Footnote Characters111111111111"/>
    <w:qFormat/>
    <w:rPr>
      <w:rFonts w:ascii="Times New Roman" w:hAnsi="Times New Roman" w:eastAsia="Times New Roman" w:cs="Times New Roman"/>
      <w:color w:val="000000"/>
      <w:sz w:val="24"/>
      <w:szCs w:val="24"/>
      <w:vertAlign w:val="superscript"/>
    </w:rPr>
  </w:style>
  <w:style w:type="character" w:styleId="FootnoteCharacters11111111111">
    <w:name w:val="Footnote Characters11111111111"/>
    <w:qFormat/>
    <w:rPr>
      <w:vertAlign w:val="superscript"/>
    </w:rPr>
  </w:style>
  <w:style w:type="character" w:styleId="FootnoteCharacters1111111111">
    <w:name w:val="Footnote Characters1111111111"/>
    <w:qFormat/>
    <w:rPr>
      <w:vertAlign w:val="superscript"/>
    </w:rPr>
  </w:style>
  <w:style w:type="character" w:styleId="FootnoteCharacters111111111">
    <w:name w:val="Footnote Characters111111111"/>
    <w:qFormat/>
    <w:rPr>
      <w:vertAlign w:val="superscript"/>
    </w:rPr>
  </w:style>
  <w:style w:type="character" w:styleId="FootnoteCharacters11111111">
    <w:name w:val="Footnote Characters11111111"/>
    <w:qFormat/>
    <w:rPr>
      <w:vertAlign w:val="superscript"/>
    </w:rPr>
  </w:style>
  <w:style w:type="character" w:styleId="FootnoteCharacters1111111">
    <w:name w:val="Footnote Characters1111111"/>
    <w:qFormat/>
    <w:rPr>
      <w:vertAlign w:val="superscript"/>
    </w:rPr>
  </w:style>
  <w:style w:type="character" w:styleId="FootnoteCharacters111111">
    <w:name w:val="Footnote Characters111111"/>
    <w:qFormat/>
    <w:rPr>
      <w:vertAlign w:val="superscript"/>
    </w:rPr>
  </w:style>
  <w:style w:type="character" w:styleId="FootnoteCharacters11111">
    <w:name w:val="Footnote Characters11111"/>
    <w:qFormat/>
    <w:rPr>
      <w:vertAlign w:val="superscript"/>
    </w:rPr>
  </w:style>
  <w:style w:type="character" w:styleId="FootnoteCharacters1111">
    <w:name w:val="Footnote Characters1111"/>
    <w:qFormat/>
    <w:rPr>
      <w:vertAlign w:val="superscript"/>
    </w:rPr>
  </w:style>
  <w:style w:type="character" w:styleId="FootnoteCharacters111">
    <w:name w:val="Footnote Characters111"/>
    <w:qFormat/>
    <w:rPr>
      <w:vertAlign w:val="superscript"/>
    </w:rPr>
  </w:style>
  <w:style w:type="character" w:styleId="FootnoteCharacters11">
    <w:name w:val="Footnote Characters11"/>
    <w:qFormat/>
    <w:rPr>
      <w:vertAlign w:val="superscript"/>
    </w:rPr>
  </w:style>
  <w:style w:type="character" w:styleId="FootnoteCharacters1">
    <w:name w:val="Footnote Characters1"/>
    <w:qFormat/>
    <w:rPr>
      <w:vertAlign w:val="superscript"/>
    </w:rPr>
  </w:style>
  <w:style w:type="character" w:styleId="InternetLink">
    <w:name w:val="Internet Link"/>
    <w:qFormat/>
    <w:rPr>
      <w:rFonts w:ascii="Times New Roman" w:hAnsi="Times New Roman" w:eastAsia="Times New Roman" w:cs="Times New Roman"/>
      <w:color w:val="0000FF"/>
      <w:sz w:val="24"/>
      <w:szCs w:val="24"/>
      <w:u w:val="single"/>
    </w:rPr>
  </w:style>
  <w:style w:type="character" w:styleId="font11">
    <w:name w:val="font11"/>
    <w:qFormat/>
    <w:rPr>
      <w:rFonts w:ascii="Arial" w:hAnsi="Arial" w:cs="Arial"/>
      <w:color w:val="000000"/>
      <w:u w:val="none"/>
    </w:rPr>
  </w:style>
  <w:style w:type="character" w:styleId="font61">
    <w:name w:val="font61"/>
    <w:qFormat/>
    <w:rPr>
      <w:rFonts w:ascii="Arial" w:hAnsi="Arial" w:cs="Arial"/>
      <w:i/>
      <w:iCs/>
      <w:color w:val="333333"/>
      <w:u w:val="none"/>
    </w:rPr>
  </w:style>
  <w:style w:type="character" w:styleId="font71">
    <w:name w:val="font71"/>
    <w:qFormat/>
    <w:rPr>
      <w:rFonts w:ascii="Arial" w:hAnsi="Arial" w:cs="Arial"/>
      <w:i/>
      <w:iCs/>
      <w:color w:val="222222"/>
      <w:u w:val="none"/>
    </w:rPr>
  </w:style>
  <w:style w:type="character" w:styleId="font81">
    <w:name w:val="font81"/>
    <w:qFormat/>
    <w:rPr>
      <w:rFonts w:ascii="Arial" w:hAnsi="Arial" w:cs="Arial"/>
      <w:color w:val="222222"/>
      <w:u w:val="none"/>
    </w:rPr>
  </w:style>
  <w:style w:type="character" w:styleId="font91">
    <w:name w:val="font91"/>
    <w:qFormat/>
    <w:rPr>
      <w:rFonts w:ascii="Arial" w:hAnsi="Arial" w:cs="Arial"/>
      <w:i/>
      <w:iCs/>
      <w:color w:val="1F1F1F"/>
      <w:u w:val="none"/>
    </w:rPr>
  </w:style>
  <w:style w:type="character" w:styleId="font31">
    <w:name w:val="font31"/>
    <w:qFormat/>
    <w:rPr>
      <w:rFonts w:ascii="Arial" w:hAnsi="Arial" w:cs="Arial"/>
      <w:color w:val="1F1F1F"/>
      <w:u w:val="none"/>
    </w:rPr>
  </w:style>
  <w:style w:type="character" w:styleId="font101">
    <w:name w:val="font101"/>
    <w:qFormat/>
    <w:rPr>
      <w:rFonts w:ascii="Arial" w:hAnsi="Arial" w:cs="Arial"/>
      <w:i/>
      <w:iCs/>
      <w:color w:val="272626"/>
      <w:u w:val="non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semiHidden/>
    <w:pPr>
      <w:jc w:val="both"/>
    </w:pPr>
    <w:rPr>
      <w:rFonts w:ascii="Arial" w:hAnsi="Arial" w:cs="Arial"/>
      <w:b/>
      <w:bCs/>
      <w:sz w:val="22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Mangal"/>
    </w:rPr>
  </w:style>
  <w:style w:type="paragraph" w:styleId="Title">
    <w:name w:val="Title"/>
    <w:basedOn w:val="Normal"/>
    <w:next w:val="BodyText"/>
    <w:link w:val="TtuloChar"/>
    <w:qFormat/>
    <w:pPr>
      <w:jc w:val="center"/>
    </w:pPr>
    <w:rPr>
      <w:rFonts w:ascii="Garamond" w:hAnsi="Garamond"/>
      <w:b/>
      <w:bCs/>
      <w:spacing w:val="60"/>
      <w:w w:val="150"/>
      <w:sz w:val="36"/>
    </w:rPr>
  </w:style>
  <w:style w:type="paragraph" w:styleId="BodyTextIndent2">
    <w:name w:val="Body Text Indent 2"/>
    <w:basedOn w:val="Normal"/>
    <w:link w:val="Recuodecorpodetexto2Char"/>
    <w:uiPriority w:val="99"/>
    <w:unhideWhenUsed/>
    <w:qFormat/>
    <w:pPr>
      <w:spacing w:lineRule="auto" w:line="480" w:before="0" w:after="120"/>
      <w:ind w:hanging="0" w:left="283"/>
    </w:pPr>
    <w:rPr/>
  </w:style>
  <w:style w:type="paragraph" w:styleId="NormalWeb">
    <w:name w:val="Normal (Web)"/>
    <w:basedOn w:val="Normal"/>
    <w:uiPriority w:val="99"/>
    <w:qFormat/>
    <w:pPr>
      <w:spacing w:beforeAutospacing="1" w:afterAutospacing="1"/>
    </w:pPr>
    <w:rPr/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pPr>
      <w:tabs>
        <w:tab w:val="clear" w:pos="709"/>
        <w:tab w:val="center" w:pos="4419" w:leader="none"/>
        <w:tab w:val="right" w:pos="8838" w:leader="none"/>
      </w:tabs>
    </w:pPr>
    <w:rPr/>
  </w:style>
  <w:style w:type="paragraph" w:styleId="Footer">
    <w:name w:val="footer"/>
    <w:basedOn w:val="Normal"/>
    <w:link w:val="RodapChar"/>
    <w:uiPriority w:val="99"/>
    <w:pPr>
      <w:tabs>
        <w:tab w:val="clear" w:pos="709"/>
        <w:tab w:val="center" w:pos="4419" w:leader="none"/>
        <w:tab w:val="right" w:pos="8838" w:leader="none"/>
      </w:tabs>
    </w:pPr>
    <w:rPr/>
  </w:style>
  <w:style w:type="paragraph" w:styleId="BalloonText">
    <w:name w:val="Balloon Text"/>
    <w:basedOn w:val="Normal"/>
    <w:link w:val="TextodebaloChar"/>
    <w:uiPriority w:val="99"/>
    <w:unhideWhenUsed/>
    <w:qFormat/>
    <w:pPr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link w:val="SubttuloChar"/>
    <w:qFormat/>
    <w:pPr>
      <w:ind w:hanging="0" w:left="2340"/>
      <w:jc w:val="right"/>
    </w:pPr>
    <w:rPr>
      <w:rFonts w:ascii="Arial" w:hAnsi="Arial" w:cs="Arial"/>
      <w:b/>
      <w:bCs/>
      <w:sz w:val="22"/>
    </w:rPr>
  </w:style>
  <w:style w:type="paragraph" w:styleId="FootnoteText">
    <w:name w:val="footnote text"/>
    <w:basedOn w:val="Normal"/>
    <w:link w:val="TextodenotaderodapChar"/>
    <w:unhideWhenUsed/>
    <w:pPr/>
    <w:rPr>
      <w:sz w:val="20"/>
      <w:szCs w:val="20"/>
    </w:rPr>
  </w:style>
  <w:style w:type="paragraph" w:styleId="ListBullet">
    <w:name w:val="List Bullet"/>
    <w:basedOn w:val="Normal"/>
    <w:uiPriority w:val="99"/>
    <w:unhideWhenUsed/>
    <w:qFormat/>
    <w:pPr>
      <w:numPr>
        <w:ilvl w:val="0"/>
        <w:numId w:val="1"/>
      </w:numPr>
      <w:spacing w:before="0" w:after="0"/>
      <w:contextualSpacing/>
    </w:pPr>
    <w:rPr/>
  </w:style>
  <w:style w:type="paragraph" w:styleId="BodyTextIndent">
    <w:name w:val="Body Text Indent"/>
    <w:basedOn w:val="Normal"/>
    <w:link w:val="RecuodecorpodetextoChar"/>
    <w:unhideWhenUsed/>
    <w:pPr>
      <w:spacing w:before="0" w:after="120"/>
      <w:ind w:hanging="0" w:left="283"/>
    </w:pPr>
    <w:rPr>
      <w:rFonts w:ascii="Calibri" w:hAnsi="Calibri"/>
      <w:lang w:eastAsia="en-US" w:bidi="en-US"/>
    </w:rPr>
  </w:style>
  <w:style w:type="paragraph" w:styleId="Recuodecorpodetexto31" w:customStyle="1">
    <w:name w:val="Recuo de corpo de texto 31"/>
    <w:basedOn w:val="Normal"/>
    <w:qFormat/>
    <w:pPr>
      <w:overflowPunct w:val="false"/>
      <w:ind w:firstLine="1678"/>
      <w:jc w:val="both"/>
      <w:textAlignment w:val="baseline"/>
    </w:pPr>
    <w:rPr>
      <w:szCs w:val="20"/>
    </w:rPr>
  </w:style>
  <w:style w:type="paragraph" w:styleId="artigo" w:customStyle="1">
    <w:name w:val="artigo"/>
    <w:basedOn w:val="Normal"/>
    <w:qFormat/>
    <w:pPr>
      <w:spacing w:beforeAutospacing="1" w:afterAutospacing="1"/>
    </w:pPr>
    <w:rPr/>
  </w:style>
  <w:style w:type="paragraph" w:styleId="ListParagraph">
    <w:name w:val="List Paragraph"/>
    <w:basedOn w:val="Normal"/>
    <w:uiPriority w:val="34"/>
    <w:qFormat/>
    <w:pPr>
      <w:spacing w:before="0" w:after="0"/>
      <w:ind w:hanging="0" w:left="720"/>
      <w:contextualSpacing/>
    </w:pPr>
    <w:rPr/>
  </w:style>
  <w:style w:type="paragraph" w:styleId="A260173" w:customStyle="1">
    <w:name w:val="_A260173"/>
    <w:basedOn w:val="Normal"/>
    <w:qFormat/>
    <w:pPr>
      <w:ind w:firstLine="3000" w:right="2400"/>
      <w:jc w:val="both"/>
    </w:pPr>
    <w:rPr>
      <w:sz w:val="20"/>
      <w:szCs w:val="20"/>
    </w:rPr>
  </w:style>
  <w:style w:type="paragraph" w:styleId="Contedodoquadrouser" w:customStyle="1">
    <w:name w:val="Conteúdo do quadro (user)"/>
    <w:basedOn w:val="Normal"/>
    <w:qFormat/>
    <w:pPr/>
    <w:rPr/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val="pt-BR" w:eastAsia="pt-BR" w:bidi="ar-SA"/>
    </w:rPr>
  </w:style>
  <w:style w:type="paragraph" w:styleId="LO-normal1" w:customStyle="1">
    <w:name w:val="LO-normal1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Tahoma" w:hAnsi="Tahoma" w:eastAsia="Calibri" w:cs="Tahoma" w:eastAsiaTheme="minorHAnsi"/>
      <w:color w:val="auto"/>
      <w:kern w:val="0"/>
      <w:sz w:val="22"/>
      <w:szCs w:val="22"/>
      <w:lang w:val="pt-BR" w:eastAsia="en-US" w:bidi="ar-SA"/>
    </w:rPr>
  </w:style>
  <w:style w:type="paragraph" w:styleId="PlainText">
    <w:name w:val="Plain Text"/>
    <w:basedOn w:val="Normal"/>
    <w:qFormat/>
    <w:pPr/>
    <w:rPr>
      <w:rFonts w:ascii="Consolas" w:hAnsi="Consolas" w:cs="Consolas"/>
      <w:sz w:val="21"/>
      <w:szCs w:val="21"/>
    </w:rPr>
  </w:style>
  <w:style w:type="paragraph" w:styleId="Corpodetexto22" w:customStyle="1">
    <w:name w:val="Corpo de texto 22"/>
    <w:basedOn w:val="Normal"/>
    <w:qFormat/>
    <w:pPr>
      <w:jc w:val="both"/>
    </w:pPr>
    <w:rPr>
      <w:rFonts w:ascii="Arial" w:hAnsi="Arial" w:cs="Arial"/>
      <w:szCs w:val="20"/>
      <w:lang w:eastAsia="zh-CN"/>
    </w:rPr>
  </w:style>
  <w:style w:type="paragraph" w:styleId="PargrafodaLista">
    <w:name w:val="Parágrafo da Lista"/>
    <w:basedOn w:val="Normal"/>
    <w:qFormat/>
    <w:pPr>
      <w:spacing w:before="0" w:after="0"/>
      <w:ind w:hanging="0" w:left="720" w:right="0"/>
      <w:contextualSpacing/>
    </w:pPr>
    <w:rPr/>
  </w:style>
  <w:style w:type="paragraph" w:styleId="TableParagraph">
    <w:name w:val="Table Paragraph"/>
    <w:basedOn w:val="Normal"/>
    <w:qFormat/>
    <w:pPr/>
    <w:rPr>
      <w:rFonts w:ascii="Arial" w:hAnsi="Arial" w:eastAsia="Arial" w:cs="Arial"/>
      <w:lang w:val="pt-PT" w:eastAsia="en-US" w:bidi="ar-SA"/>
    </w:rPr>
  </w:style>
  <w:style w:type="paragraph" w:styleId="CimTextoNormal">
    <w:name w:val="Cim_Texto_Normal"/>
    <w:basedOn w:val="Normal"/>
    <w:qFormat/>
    <w:pPr>
      <w:spacing w:lineRule="auto" w:line="360" w:before="120" w:after="240"/>
      <w:ind w:firstLine="709"/>
      <w:contextualSpacing/>
      <w:jc w:val="both"/>
    </w:pPr>
    <w:rPr>
      <w:lang w:eastAsia="zh-CN"/>
    </w:rPr>
  </w:style>
  <w:style w:type="paragraph" w:styleId="Normal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BodyTextIndented">
    <w:name w:val="Body Text;Indented"/>
    <w:basedOn w:val="Normal"/>
    <w:qFormat/>
    <w:pPr>
      <w:spacing w:before="0" w:after="120"/>
      <w:ind w:hanging="0" w:left="283"/>
    </w:pPr>
    <w:rPr>
      <w:rFonts w:ascii="Calibri" w:hAnsi="Calibri"/>
      <w:lang w:eastAsia="en-US" w:bidi="en-US"/>
    </w:rPr>
  </w:style>
  <w:style w:type="paragraph" w:styleId="Cabealhoerodapuser">
    <w:name w:val="Cabeçalho e rodapé (user)"/>
    <w:basedOn w:val="Normal"/>
    <w:qFormat/>
    <w:pPr>
      <w:spacing w:before="0" w:after="0"/>
    </w:pPr>
    <w:rPr/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Contedodoquadro">
    <w:name w:val="Conteúdo do quadro"/>
    <w:basedOn w:val="Normal"/>
    <w:qFormat/>
    <w:pPr/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Nivel2">
    <w:name w:val="Nivel 2"/>
    <w:qFormat/>
    <w:pPr>
      <w:widowControl/>
      <w:bidi w:val="0"/>
      <w:spacing w:lineRule="auto" w:line="276" w:before="120" w:after="120"/>
      <w:jc w:val="both"/>
    </w:pPr>
    <w:rPr>
      <w:rFonts w:eastAsia="Arial" w:ascii="Times New Roman" w:hAnsi="Times New Roman" w:cs="Times New Roman"/>
      <w:color w:val="auto"/>
      <w:kern w:val="0"/>
      <w:sz w:val="24"/>
      <w:szCs w:val="24"/>
      <w:lang w:val="en-US" w:eastAsia="zh-CN" w:bidi="hi-IN"/>
    </w:rPr>
  </w:style>
  <w:style w:type="numbering" w:styleId="Semlista" w:default="1">
    <w:name w:val="Sem lista"/>
    <w:uiPriority w:val="99"/>
    <w:semiHidden/>
    <w:unhideWhenUsed/>
    <w:qFormat/>
  </w:style>
  <w:style w:type="numbering" w:styleId="WW8Num3">
    <w:name w:val="WW8Num3"/>
    <w:qFormat/>
  </w:style>
  <w:style w:type="numbering" w:styleId="WW8Num8">
    <w:name w:val="WW8Num8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Pr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1079</TotalTime>
  <Application>LibreOffice/25.8.5.2$Windows_X86_64 LibreOffice_project/9c8b85f387cc00a89945a79c9e6239f32e450ac2</Application>
  <AppVersion>15.0000</AppVersion>
  <Pages>3</Pages>
  <Words>804</Words>
  <Characters>4536</Characters>
  <CharactersWithSpaces>5292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2009-03-25T23:40:00Z</dcterms:created>
  <dc:creator>Igor Frare Grandi</dc:creator>
  <dc:description/>
  <dc:language>pt-BR</dc:language>
  <cp:lastModifiedBy/>
  <cp:lastPrinted>2025-09-26T15:50:56Z</cp:lastPrinted>
  <dcterms:modified xsi:type="dcterms:W3CDTF">2026-03-19T10:00:29Z</dcterms:modified>
  <cp:revision>344</cp:revision>
  <dc:subject/>
  <dc:title>CONTRATO DE HONORÁRIOS ADVOCATÍCIOS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72D25CF4EA9F4DB28041D449321F0093_13</vt:lpwstr>
  </property>
  <property fmtid="{D5CDD505-2E9C-101B-9397-08002B2CF9AE}" pid="3" name="KSOProductBuildVer">
    <vt:lpwstr>1046-12.2.0.19307</vt:lpwstr>
  </property>
</Properties>
</file>