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104/2026 -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do Trabalho e Assistência Social, neste ato representado pela Senhora MILCA LOPES MESQUITA PIRES, Secretaria do Trabalho e Assistência Social, nos termos do art. 75, inciso II combinado com o seu §3º, da Lei Federal nº 14.133, de 01 de abril de 2021 e do Decreto Municipal, torna público que, tem interesse em realizar a contratação direta para CONTRATAÇÃO DE SERVIÇOS DE DEDETIZAÇÃO DE PRAGAS E INSETOS, DESCUPINIZAÇÃO E DESRATIZAÇÃO, DE INTERESSE DA SECRETARIA DO TRABALHO E ASSISTÊNCIA SOCIAL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SERVIÇOS DE DEDETIZAÇÃO DE PRAGAS E INSETOS, DESCUPINIZAÇÃO E DESRATIZAÇÃO, DE INTERESSE DA SECRETARIA DO TRABALHO E ASSISTÊNCIA SOCIAL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bCs/>
                <w:sz w:val="24"/>
                <w:szCs w:val="24"/>
              </w:rPr>
              <w:t>Secretaria do Trabalho e Assistência Social do Município de Miraíma/CE</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17/03/2026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20/03/2026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20/03/2026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lastRenderedPageBreak/>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lastRenderedPageBreak/>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 contratação de serviços de dedetização de pragas e insetos, descupinização e desratização justifica-se pela necessidade de garantir condições adequadas de higiene, salubridade e segurança nas dependências e equipamentos vinculados à Secretaria do Trabalho e Assistência Social do Município de Miraíma/CE. Esses espaços são utilizados diariamente para o atendimento de usuários dos programas, projetos e serviços socioassistenciais, sendo essencial a manutenção de ambientes livres da presença de pragas urbanas que possam comprometer a saúde e o bem-estar das pessoas que frequentam tais locais.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 xml:space="preserve">A presença de insetos, roedores e cupins pode ocasionar diversos problemas, como a transmissão de doenças, danos à estrutura física dos prédios, deterioração de mobiliários, equipamentos e documentos, além de comprometer as condições adequadas de funcionamento das unidades de atendimento. Dessa forma, torna-se indispensável a </w:t>
      </w:r>
      <w:r>
        <w:rPr>
          <w:rFonts w:ascii="Cambria" w:hAnsi="Cambria" w:cstheme="minorHAnsi"/>
          <w:sz w:val="24"/>
          <w:szCs w:val="24"/>
        </w:rPr>
        <w:lastRenderedPageBreak/>
        <w:t>realização periódica de serviços especializados de controle de pragas, executados por empresa devidamente qualificada e que utilize técnicas e produtos apropriados, em conformidade com as normas sanitárias e ambientais vigentes.</w:t>
      </w:r>
    </w:p>
    <w:p>
      <w:pPr>
        <w:pStyle w:val="PargrafodaLista"/>
        <w:tabs>
          <w:tab w:val="left" w:pos="2001"/>
        </w:tabs>
        <w:spacing w:before="1"/>
        <w:ind w:left="0" w:right="3" w:firstLine="851"/>
        <w:rPr>
          <w:rFonts w:ascii="Cambria" w:hAnsi="Cambria" w:cstheme="minorHAnsi"/>
          <w:sz w:val="24"/>
          <w:szCs w:val="24"/>
        </w:rPr>
      </w:pPr>
      <w:r>
        <w:rPr>
          <w:rFonts w:ascii="Cambria" w:hAnsi="Cambria" w:cstheme="minorHAnsi"/>
          <w:sz w:val="24"/>
          <w:szCs w:val="24"/>
        </w:rPr>
        <w:t>Assim, a contratação desses serviços visa prevenir e combater a proliferação de pragas urbanas, contribuindo para a preservação do patrimônio público e para a oferta de um ambiente seguro e saudável tanto para servidores quanto para os usuários atendidos pelos serviços da assistência social, garantindo maior qualidade no atendimento prestado à população.</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rPr>
              <w:t>CONTRATAÇÃO DE SERVIÇOS DE DEDETIZAÇÃO DE PRAGAS E INSETOS, DESCUPINIZAÇÃO E DESRATIZAÇÃO, DE INTERESSE DA SECRETARIA DO TRABALHO E ASSISTÊNCIA SOCIAL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m²</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9000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0501.08.122.0014.2.015 – Manutenção e Funcionamento da Secretaria d</w:t>
      </w:r>
      <w:r>
        <w:rPr>
          <w:rFonts w:ascii="Cambria" w:hAnsi="Cambria"/>
          <w:bCs/>
        </w:rPr>
        <w:t>o Trabalho e Assistência Social</w:t>
      </w:r>
      <w:r>
        <w:rPr>
          <w:rFonts w:ascii="Cambria" w:hAnsi="Cambria" w:cstheme="minorHAnsi"/>
        </w:rPr>
        <w:t xml:space="preserve"> - Elemento de Despesas: 3.3.90.39.00 – Outros serv. De terc. Pessoa jurídica -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lastRenderedPageBreak/>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 xml:space="preserve">que seja filial, sucursal, agência ou representação, no País, de pessoa jurídica com sede </w:t>
      </w:r>
      <w:r>
        <w:rPr>
          <w:rFonts w:ascii="Cambria" w:hAnsi="Cambria" w:cstheme="minorHAnsi"/>
        </w:rPr>
        <w:lastRenderedPageBreak/>
        <w:t>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Servidor de qualquer órgão ou Entidade vinculada ao órgão promotor da licitação, </w:t>
      </w:r>
      <w:r>
        <w:rPr>
          <w:rFonts w:ascii="Cambria" w:hAnsi="Cambria" w:cstheme="minorHAnsi"/>
        </w:rPr>
        <w:lastRenderedPageBreak/>
        <w:t>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xml:space="preserve">, no caso de sociedades simples - exceto cooperativas - no Cartório de Registro das Pessoas Jurídicas acompanhada de prova da </w:t>
      </w:r>
      <w:r>
        <w:rPr>
          <w:rFonts w:ascii="Cambria" w:hAnsi="Cambria" w:cs="Arial"/>
          <w:sz w:val="24"/>
          <w:szCs w:val="24"/>
        </w:rPr>
        <w:lastRenderedPageBreak/>
        <w:t>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assessoria jurídica</w:t>
      </w:r>
      <w:r>
        <w:rPr>
          <w:rFonts w:ascii="Cambria" w:hAnsi="Cambria"/>
          <w:bCs/>
          <w:sz w:val="24"/>
          <w:szCs w:val="24"/>
        </w:rPr>
        <w:t>.</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rPr>
          <w:rFonts w:ascii="Cambria" w:hAnsi="Cambria" w:cs="Arial"/>
          <w:sz w:val="24"/>
          <w:szCs w:val="24"/>
        </w:rPr>
      </w:pPr>
      <w:r>
        <w:rPr>
          <w:rFonts w:ascii="Cambria" w:hAnsi="Cambria" w:cs="Arial"/>
          <w:sz w:val="24"/>
          <w:szCs w:val="24"/>
        </w:rPr>
        <w:br w:type="page"/>
      </w:r>
    </w:p>
    <w:p>
      <w:pPr>
        <w:jc w:val="both"/>
        <w:rPr>
          <w:rFonts w:ascii="Cambria" w:hAnsi="Cambria" w:cs="Arial"/>
          <w:sz w:val="24"/>
          <w:szCs w:val="24"/>
        </w:rPr>
      </w:pP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center"/>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16</w:t>
      </w:r>
      <w:r>
        <w:rPr>
          <w:rFonts w:ascii="Cambria" w:hAnsi="Cambria" w:cstheme="minorHAnsi"/>
          <w:spacing w:val="-1"/>
        </w:rPr>
        <w:t xml:space="preserve"> </w:t>
      </w:r>
      <w:r>
        <w:rPr>
          <w:rFonts w:ascii="Cambria" w:hAnsi="Cambria" w:cstheme="minorHAnsi"/>
        </w:rPr>
        <w:t>de março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Style w:val="Recuodecorpodetexto3"/>
        <w:shd w:val="clear" w:color="auto" w:fill="F2F2F2"/>
        <w:spacing w:line="276" w:lineRule="auto"/>
        <w:ind w:left="0"/>
        <w:jc w:val="center"/>
        <w:rPr>
          <w:rFonts w:ascii="Cambria" w:hAnsi="Cambria"/>
          <w:b/>
          <w:bCs/>
          <w:sz w:val="24"/>
          <w:szCs w:val="24"/>
          <w:lang w:val="pt-BR" w:eastAsia="ar-SA"/>
        </w:rPr>
      </w:pPr>
      <w:r>
        <w:rPr>
          <w:rFonts w:ascii="Cambria" w:hAnsi="Cambria"/>
          <w:b/>
          <w:bCs/>
          <w:sz w:val="24"/>
          <w:szCs w:val="24"/>
          <w:lang w:val="pt-BR" w:eastAsia="ar-SA"/>
        </w:rPr>
        <w:t>TERMO DE REFERÊNCIA</w:t>
      </w: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SERVIÇOS DE DEDETIZAÇÃO DE PRAGAS E INSETOS, DESCUPINIZAÇÃO E DESRATIZAÇÃO, DE INTERESSE DA SECRETARIA DO TRABALHO E ASSISTÊNCIA SOCIAL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serviços de dedetização de pragas e insetos, descupinização e desratização justifica-se pela necessidade de garantir condições adequadas de higiene, salubridade e segurança nas dependências e equipamentos vinculados à Secretaria do Trabalho e Assistência Social do Município de Miraíma/CE. Esses espaços são utilizados diariamente para o atendimento de usuários dos programas, projetos e serviços socioassistenciais, sendo essencial a manutenção de ambientes livres da presença de pragas urbanas que possam comprometer a saúde e o bem-estar das pessoas que frequentam tais locais.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presença de insetos, roedores e cupins pode ocasionar diversos problemas, como a transmissão de doenças, danos à estrutura física dos prédios, deterioração de mobiliários, equipamentos e documentos, além de comprometer as condições adequadas de funcionamento das unidades de atendimento. Dessa forma, torna-se indispensável a realização periódica de serviços especializados de controle de pragas, executados por empresa devidamente qualificada e que utilize técnicas e produtos apropriados, em conformidade com as normas sanitárias e ambientais vigentes.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contratação desses serviços visa prevenir e combater a proliferação de pragas urbanas, contribuindo para a preservação do patrimônio público e para a oferta de um ambiente seguro e saudável tanto para servidores quanto para os usuários atendidos pelos serviços da assistência social, garantindo maior qualidade no atendimento prestado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1"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sz w:val="24"/>
                <w:szCs w:val="24"/>
              </w:rPr>
            </w:pPr>
            <w:r>
              <w:rPr>
                <w:rFonts w:ascii="Cambria" w:hAnsi="Cambria"/>
                <w:sz w:val="24"/>
                <w:szCs w:val="24"/>
              </w:rPr>
              <w:t xml:space="preserve">CONTRATAÇÃO DE SERVIÇOS DE DEDETIZAÇÃO DE PRAGAS E INSETOS, DESCUPINIZAÇÃO E DESRATIZAÇÃO, DE INTERESSE DA SECRETARIA DO TRABALHO </w:t>
            </w:r>
            <w:r>
              <w:rPr>
                <w:rFonts w:ascii="Cambria" w:hAnsi="Cambria"/>
                <w:sz w:val="24"/>
                <w:szCs w:val="24"/>
              </w:rPr>
              <w:lastRenderedPageBreak/>
              <w:t>E ASSISTÊNCIA SOCIAL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lastRenderedPageBreak/>
              <w:t xml:space="preserve">M² </w:t>
            </w:r>
          </w:p>
        </w:tc>
        <w:tc>
          <w:tcPr>
            <w:tcW w:w="525" w:type="pct"/>
            <w:noWrap/>
            <w:vAlign w:val="center"/>
            <w:hideMark/>
          </w:tcPr>
          <w:p>
            <w:pPr>
              <w:jc w:val="center"/>
              <w:rPr>
                <w:rFonts w:ascii="Cambria" w:hAnsi="Cambria"/>
                <w:sz w:val="24"/>
                <w:szCs w:val="24"/>
              </w:rPr>
            </w:pPr>
            <w:r>
              <w:rPr>
                <w:rFonts w:ascii="Cambria" w:hAnsi="Cambria"/>
                <w:sz w:val="24"/>
                <w:szCs w:val="24"/>
              </w:rPr>
              <w:t>9000</w:t>
            </w:r>
          </w:p>
        </w:tc>
        <w:tc>
          <w:tcPr>
            <w:tcW w:w="774" w:type="pct"/>
            <w:noWrap/>
            <w:vAlign w:val="center"/>
          </w:tcPr>
          <w:p>
            <w:pPr>
              <w:jc w:val="center"/>
              <w:rPr>
                <w:rFonts w:ascii="Cambria" w:hAnsi="Cambria"/>
                <w:sz w:val="24"/>
                <w:szCs w:val="24"/>
                <w:highlight w:val="yellow"/>
              </w:rPr>
            </w:pPr>
            <w:r>
              <w:rPr>
                <w:rFonts w:ascii="Cambria" w:hAnsi="Cambria"/>
                <w:sz w:val="24"/>
                <w:szCs w:val="24"/>
              </w:rPr>
              <w:t>R$ 1,63</w:t>
            </w:r>
          </w:p>
        </w:tc>
        <w:tc>
          <w:tcPr>
            <w:tcW w:w="867" w:type="pct"/>
            <w:noWrap/>
            <w:vAlign w:val="center"/>
          </w:tcPr>
          <w:p>
            <w:pPr>
              <w:jc w:val="center"/>
              <w:rPr>
                <w:rFonts w:ascii="Cambria" w:hAnsi="Cambria"/>
                <w:sz w:val="24"/>
                <w:szCs w:val="24"/>
                <w:highlight w:val="yellow"/>
              </w:rPr>
            </w:pPr>
            <w:r>
              <w:rPr>
                <w:rFonts w:ascii="Cambria" w:hAnsi="Cambria"/>
                <w:sz w:val="24"/>
                <w:szCs w:val="24"/>
              </w:rPr>
              <w:t>R$ 14.670,00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lastRenderedPageBreak/>
              <w:t>VALOR GLOBAL: R$ 14.670,00 (Quatorze Mil, Seiscentos e Setenta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lastRenderedPageBreak/>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lastRenderedPageBreak/>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 xml:space="preserve">O presente Instrumento produzirá seus jurídicos e legais efeitos a partir da data de sua assinatura e vigorará pelo período de 12 (doze) meses, podendo ser prorrogado nos moldes </w:t>
      </w:r>
      <w:r>
        <w:rPr>
          <w:rFonts w:ascii="Cambria" w:hAnsi="Cambria"/>
          <w:bCs/>
          <w:sz w:val="24"/>
          <w:szCs w:val="24"/>
        </w:rPr>
        <w:lastRenderedPageBreak/>
        <w:t>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w:t>
      </w:r>
      <w:r>
        <w:rPr>
          <w:rFonts w:ascii="Cambria" w:hAnsi="Cambria"/>
          <w:sz w:val="24"/>
          <w:szCs w:val="24"/>
        </w:rPr>
        <w:lastRenderedPageBreak/>
        <w:t>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0501.08.122.0014.2.015 – Manutenção e Funcionamento da Secretaria do Trabalho e Assistência Social - Elemento de Despesas: 3.3.90.39.00 – Outros serv. De terc. Pessoa jurídica -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lastRenderedPageBreak/>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w:t>
      </w:r>
      <w:r>
        <w:rPr>
          <w:rFonts w:ascii="Cambria" w:hAnsi="Cambria"/>
          <w:sz w:val="24"/>
          <w:szCs w:val="24"/>
        </w:rPr>
        <w:lastRenderedPageBreak/>
        <w:t>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17. DA ALOCAÇÃO DE RISCOS:</w:t>
      </w:r>
    </w:p>
    <w:p>
      <w:pP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fica dispensada a apresentação da alocação dos riscos, haja vista a baixa complexidade do objeto.</w:t>
      </w: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bookmarkStart w:id="4" w:name="_GoBack"/>
      <w:bookmarkEnd w:id="4"/>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lang w:val="pt-BR" w:eastAsia="pt-BR"/>
      </w:rPr>
      <w:drawing>
        <wp:anchor distT="0" distB="0" distL="114300" distR="114300" simplePos="0" relativeHeight="251667968" behindDoc="0" locked="0" layoutInCell="1" allowOverlap="1">
          <wp:simplePos x="0" y="0"/>
          <wp:positionH relativeFrom="margin">
            <wp:posOffset>2162175</wp:posOffset>
          </wp:positionH>
          <wp:positionV relativeFrom="paragraph">
            <wp:posOffset>-267335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08264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r>
      <w:rPr>
        <w:noProof/>
        <w:szCs w:val="16"/>
        <w:lang w:val="pt-BR" w:eastAsia="pt-BR"/>
      </w:rPr>
      <mc:AlternateContent>
        <mc:Choice Requires="wpg">
          <w:drawing>
            <wp:anchor distT="0" distB="0" distL="114300" distR="114300" simplePos="0" relativeHeight="251668992" behindDoc="0" locked="0" layoutInCell="1" allowOverlap="1">
              <wp:simplePos x="0" y="0"/>
              <wp:positionH relativeFrom="column">
                <wp:posOffset>5669280</wp:posOffset>
              </wp:positionH>
              <wp:positionV relativeFrom="paragraph">
                <wp:posOffset>-648335</wp:posOffset>
              </wp:positionV>
              <wp:extent cx="1000125" cy="1090295"/>
              <wp:effectExtent l="11430" t="8890" r="7620" b="0"/>
              <wp:wrapNone/>
              <wp:docPr id="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090295"/>
                        <a:chOff x="10275" y="240"/>
                        <a:chExt cx="1575" cy="1717"/>
                      </a:xfrm>
                    </wpg:grpSpPr>
                    <wps:wsp>
                      <wps:cNvPr id="3" name="Oval 39"/>
                      <wps:cNvSpPr>
                        <a:spLocks noChangeArrowheads="1"/>
                      </wps:cNvSpPr>
                      <wps:spPr bwMode="auto">
                        <a:xfrm>
                          <a:off x="10275" y="240"/>
                          <a:ext cx="1575" cy="16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WordArt 40"/>
                      <wps:cNvSpPr txBox="1">
                        <a:spLocks noChangeArrowheads="1" noChangeShapeType="1" noTextEdit="1"/>
                      </wps:cNvSpPr>
                      <wps:spPr bwMode="auto">
                        <a:xfrm>
                          <a:off x="10448" y="418"/>
                          <a:ext cx="1245" cy="1197"/>
                        </a:xfrm>
                        <a:prstGeom prst="rect">
                          <a:avLst/>
                        </a:prstGeom>
                        <a:extLst>
                          <a:ext uri="{AF507438-7753-43E0-B8FC-AC1667EBCBE1}">
                            <a14:hiddenEffects xmlns:a14="http://schemas.microsoft.com/office/drawing/2010/main">
                              <a:effectLst/>
                            </a14:hiddenEffects>
                          </a:ext>
                        </a:extLst>
                      </wps:spPr>
                      <wps:txbx>
                        <w:txbxContent>
                          <w:p>
                            <w:pPr>
                              <w:pStyle w:val="NormalWeb"/>
                              <w:spacing w:before="0" w:beforeAutospacing="0" w:after="0" w:afterAutospacing="0"/>
                              <w:jc w:val="center"/>
                            </w:pPr>
                            <w:r>
                              <w:rPr>
                                <w:rFonts w:ascii="Arial Unicode MS" w:hAnsi="Arial Unicode MS"/>
                                <w:color w:val="000000"/>
                                <w:sz w:val="72"/>
                                <w:szCs w:val="72"/>
                                <w14:textOutline w14:w="9525" w14:cap="flat" w14:cmpd="sng" w14:algn="ctr">
                                  <w14:solidFill>
                                    <w14:srgbClr w14:val="000000"/>
                                  </w14:solidFill>
                                  <w14:prstDash w14:val="solid"/>
                                  <w14:round/>
                                </w14:textOutline>
                              </w:rPr>
                              <w:t>SETOR DE LICITAÇÃO</w:t>
                            </w:r>
                          </w:p>
                        </w:txbxContent>
                      </wps:txbx>
                      <wps:bodyPr spcFirstLastPara="1" wrap="square" numCol="1" fromWordArt="1">
                        <a:prstTxWarp prst="textArchUp">
                          <a:avLst>
                            <a:gd name="adj" fmla="val 9177295"/>
                          </a:avLst>
                        </a:prstTxWarp>
                        <a:spAutoFit/>
                      </wps:bodyPr>
                    </wps:wsp>
                    <wps:wsp>
                      <wps:cNvPr id="5" name="Text Box 41"/>
                      <wps:cNvSpPr txBox="1">
                        <a:spLocks noChangeArrowheads="1"/>
                      </wps:cNvSpPr>
                      <wps:spPr bwMode="auto">
                        <a:xfrm>
                          <a:off x="10441" y="1019"/>
                          <a:ext cx="1222"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6" style="position:absolute;margin-left:446.4pt;margin-top:-51.05pt;width:78.75pt;height:85.85pt;z-index:251668992" coordorigin="10275,240" coordsize="1575,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">
              <v:oval id="Oval 39" o:spid="_x0000_s1027" style="position:absolute;left:10275;top:240;width:1575;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G/rcIA&#10;AADaAAAADwAAAGRycy9kb3ducmV2LnhtbESPQWvCQBSE70L/w/IK3szGBkVSV5GKoIceGvX+yD6T&#10;YPZtyL7G9N93hUKPw8x8w6y3o2vVQH1oPBuYJyko4tLbhisDl/NhtgIVBNli65kM/FCA7eZlssbc&#10;+gd/0VBIpSKEQ44GapEu1zqUNTkMie+Io3fzvUOJsq+07fER4a7Vb2m61A4bjgs1dvRRU3kvvp2B&#10;fbUrloPOZJHd9kdZ3K+fp2xuzPR13L2DEhrlP/zXPloDGTyvxBu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b+twgAAANoAAAAPAAAAAAAAAAAAAAAAAJgCAABkcnMvZG93&#10;bnJldi54bWxQSwUGAAAAAAQABAD1AAAAhwMAAAAA&#10;"/>
              <v:shapetype id="_x0000_t202" coordsize="21600,21600" o:spt="202" path="m,l,21600r21600,l21600,xe">
                <v:stroke joinstyle="miter"/>
                <v:path gradientshapeok="t" o:connecttype="rect"/>
              </v:shapetype>
              <v:shape id="WordArt 40" o:spid="_x0000_s1028" type="#_x0000_t202" style="position:absolute;left:10448;top:418;width:1245;height:1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o:lock v:ext="edit" shapetype="t"/>
                <v:textbox style="mso-fit-shape-to-text:t">
                  <w:txbxContent>
                    <w:p>
                      <w:pPr>
                        <w:pStyle w:val="NormalWeb"/>
                        <w:spacing w:before="0" w:beforeAutospacing="0" w:after="0" w:afterAutospacing="0"/>
                        <w:jc w:val="center"/>
                      </w:pPr>
                      <w:r>
                        <w:rPr>
                          <w:rFonts w:ascii="Arial Unicode MS" w:hAnsi="Arial Unicode MS"/>
                          <w:color w:val="000000"/>
                          <w:sz w:val="72"/>
                          <w:szCs w:val="72"/>
                          <w14:textOutline w14:w="9525" w14:cap="flat" w14:cmpd="sng" w14:algn="ctr">
                            <w14:solidFill>
                              <w14:srgbClr w14:val="000000"/>
                            </w14:solidFill>
                            <w14:prstDash w14:val="solid"/>
                            <w14:round/>
                          </w14:textOutline>
                        </w:rPr>
                        <w:t>SETOR DE LICITAÇÃO</w:t>
                      </w:r>
                    </w:p>
                  </w:txbxContent>
                </v:textbox>
              </v:shape>
              <v:shape id="Text Box 41" o:spid="_x0000_s1029" type="#_x0000_t202" style="position:absolute;left:10441;top:1019;width:1222;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mc:Fallback>
      </mc:AlternateContent>
    </w: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10113</Words>
  <Characters>54611</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2</cp:revision>
  <cp:lastPrinted>2024-04-22T17:26:00Z</cp:lastPrinted>
  <dcterms:created xsi:type="dcterms:W3CDTF">2026-03-16T13:49:00Z</dcterms:created>
  <dcterms:modified xsi:type="dcterms:W3CDTF">2026-03-16T13:49:00Z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