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113/2026 -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Educação, neste ato representado pelo Senhor FRANCISCO CICERO ALBUQUERQUE ARAUJO, Secretário de Educação,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INTERNAS, BEM COMO A GERAÇÃO E O GERENCIAMENTO DE INFORMAÇÕES ADEQUADAS E NECESSÁRIAS PARA O ENVIO AOS ÓRGÃOS DE FISCALIZAÇÃO DA GESTÃO PATRIMONIAL E ORÇAMENTÁRIA, JUNTO A SECRETARIA DE EDUCAÇÃO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INTERNAS, BEM COMO A GERAÇÃO E O GERENCIAMENTO DE INFORMAÇÕES ADEQUADAS E NECESSÁRIAS PARA O ENVIO AOS ÓRGÃOS DE FISCALIZAÇÃO DA GESTÃO PATRIMONIAL E ORÇAMENTÁRIA, JUNTO A SECRETARIA DE EDUCAÇÃO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Educação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08/06/2026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11/06/2026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11/06/2026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lastRenderedPageBreak/>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lastRenderedPageBreak/>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tabs>
          <w:tab w:val="left" w:pos="2001"/>
        </w:tabs>
        <w:spacing w:before="1"/>
        <w:ind w:right="6" w:firstLine="851"/>
        <w:jc w:val="both"/>
        <w:rPr>
          <w:rFonts w:ascii="Cambria" w:hAnsi="Cambria" w:cstheme="minorHAnsi"/>
          <w:sz w:val="24"/>
          <w:szCs w:val="24"/>
        </w:rPr>
      </w:pPr>
      <w:r>
        <w:rPr>
          <w:rFonts w:ascii="Cambria" w:hAnsi="Cambria" w:cstheme="minorHAnsi"/>
          <w:sz w:val="24"/>
          <w:szCs w:val="24"/>
        </w:rPr>
        <w:t xml:space="preserve">A contratação de empresa especializada em consultoria e assessoria técnica em controladoria governamental junto à Secretaria Municipal de Educação de Miraíma mostra-se </w:t>
      </w:r>
      <w:r>
        <w:rPr>
          <w:rFonts w:ascii="Cambria" w:hAnsi="Cambria" w:cstheme="minorHAnsi"/>
          <w:sz w:val="24"/>
          <w:szCs w:val="24"/>
        </w:rPr>
        <w:lastRenderedPageBreak/>
        <w:t>necessária e de relevante interesse público, considerando a importância do adequado acompanhamento, gerenciamento e controle das informações administrativas, patrimoniais e orçamentárias no âmbito da gestão pública municipal.</w:t>
      </w:r>
    </w:p>
    <w:p>
      <w:pPr>
        <w:tabs>
          <w:tab w:val="left" w:pos="2001"/>
        </w:tabs>
        <w:spacing w:before="1"/>
        <w:ind w:right="6" w:firstLine="851"/>
        <w:jc w:val="both"/>
        <w:rPr>
          <w:rFonts w:ascii="Cambria" w:hAnsi="Cambria" w:cstheme="minorHAnsi"/>
          <w:sz w:val="24"/>
          <w:szCs w:val="24"/>
        </w:rPr>
      </w:pPr>
      <w:r>
        <w:rPr>
          <w:rFonts w:ascii="Cambria" w:hAnsi="Cambria" w:cstheme="minorHAnsi"/>
          <w:sz w:val="24"/>
          <w:szCs w:val="24"/>
        </w:rPr>
        <w:t>A referida Secretaria é responsável pela execução de diversas ações administrativas e educacionais indispensáveis ao regular funcionamento da rede pública de ensino municipal, demandando constante acompanhamento técnico quanto à organização das informações gerenciais, elaboração de relatórios técnicos, levantamentos internos e atendimento às exigências dos órgãos de fiscalização e controle externo.</w:t>
      </w:r>
    </w:p>
    <w:p>
      <w:pPr>
        <w:tabs>
          <w:tab w:val="left" w:pos="2001"/>
        </w:tabs>
        <w:spacing w:before="1"/>
        <w:ind w:right="6" w:firstLine="851"/>
        <w:jc w:val="both"/>
        <w:rPr>
          <w:rFonts w:ascii="Cambria" w:hAnsi="Cambria" w:cstheme="minorHAnsi"/>
          <w:sz w:val="24"/>
          <w:szCs w:val="24"/>
        </w:rPr>
      </w:pPr>
      <w:r>
        <w:rPr>
          <w:rFonts w:ascii="Cambria" w:hAnsi="Cambria" w:cstheme="minorHAnsi"/>
          <w:sz w:val="24"/>
          <w:szCs w:val="24"/>
        </w:rPr>
        <w:t>O adequado gerenciamento das informações relacionadas à gestão patrimonial e orçamentária constitui instrumento essencial para assegurar maior eficiência administrativa, controle interno, transparência dos atos públicos e conformidade com as normas aplicáveis à Administração Pública, especialmente no que se refere às exigências dos órgãos fiscalizadores e aos princípios estabelecidos pela Lei nº 14.133/2021.</w:t>
      </w:r>
    </w:p>
    <w:p>
      <w:pPr>
        <w:tabs>
          <w:tab w:val="left" w:pos="2001"/>
        </w:tabs>
        <w:spacing w:before="1"/>
        <w:ind w:right="6" w:firstLine="851"/>
        <w:jc w:val="both"/>
        <w:rPr>
          <w:rFonts w:ascii="Cambria" w:hAnsi="Cambria" w:cstheme="minorHAnsi"/>
          <w:sz w:val="24"/>
          <w:szCs w:val="24"/>
        </w:rPr>
      </w:pPr>
      <w:r>
        <w:rPr>
          <w:rFonts w:ascii="Cambria" w:hAnsi="Cambria" w:cstheme="minorHAnsi"/>
          <w:sz w:val="24"/>
          <w:szCs w:val="24"/>
        </w:rPr>
        <w:t>A intervenção pretendida, por meio da contratação de empresa especializada, visa proporcionar suporte técnico contínuo à Secretaria Municipal de Educação, contribuindo para o desenvolvimento de ações gerenciais, análise e apresentação de relatórios técnicos, realização de levantamentos internos, bem como para a geração e gerenciamento de informações adequadas e necessárias ao correto envio de dados aos órgãos de fiscalização da gestão patrimonial e orçamentária.</w:t>
      </w:r>
    </w:p>
    <w:p>
      <w:pPr>
        <w:pStyle w:val="PargrafodaLista"/>
        <w:tabs>
          <w:tab w:val="left" w:pos="2001"/>
        </w:tabs>
        <w:spacing w:before="1"/>
        <w:ind w:left="0" w:right="6" w:firstLine="851"/>
        <w:rPr>
          <w:rFonts w:ascii="Cambria" w:hAnsi="Cambria" w:cstheme="minorHAnsi"/>
          <w:sz w:val="24"/>
          <w:szCs w:val="24"/>
        </w:rPr>
      </w:pPr>
      <w:r>
        <w:rPr>
          <w:rFonts w:ascii="Cambria" w:hAnsi="Cambria" w:cstheme="minorHAnsi"/>
          <w:sz w:val="24"/>
          <w:szCs w:val="24"/>
        </w:rPr>
        <w:t>Nesse contexto, a Secretaria Municipal de Educação de Miraíma/CE entende que a contratação em questão é essencial para assegurar maior eficiência administrativa, fortalecimento dos mecanismos de controle interno, segurança na gestão das informações públicas e continuidade das atividades administrativas, promovendo o atendimento ao interesse público e a observância dos princípios que regem a Administração Pública.</w:t>
      </w:r>
    </w:p>
    <w:p>
      <w:pPr>
        <w:pStyle w:val="PargrafodaLista"/>
        <w:tabs>
          <w:tab w:val="left" w:pos="2001"/>
        </w:tabs>
        <w:spacing w:before="1"/>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rPr>
            </w:pPr>
            <w:r>
              <w:rPr>
                <w:rFonts w:ascii="Cambria" w:hAnsi="Cambria" w:cstheme="minorHAnsi"/>
              </w:rPr>
              <w:t>CONSULTORIA E ASSESSORIA TÉCNICA EM CONTROLADORIA GOVERNAMENTAL - SECRETARIA MUNICIPAL DE EDUCAÇÃO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Municipal de Educação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lastRenderedPageBreak/>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bCs/>
        </w:rPr>
        <w:t>1001.</w:t>
      </w:r>
      <w:r>
        <w:rPr>
          <w:rFonts w:ascii="Cambria" w:eastAsia="Arial" w:hAnsi="Cambria"/>
        </w:rPr>
        <w:t xml:space="preserve">12.122.0014.2.049 – Funcionamento da </w:t>
      </w:r>
      <w:r>
        <w:rPr>
          <w:rFonts w:ascii="Cambria" w:hAnsi="Cambria"/>
        </w:rPr>
        <w:t>Secretaria Municipal de Educação</w:t>
      </w:r>
      <w:r>
        <w:rPr>
          <w:rFonts w:ascii="Cambria" w:hAnsi="Cambria"/>
          <w:lang w:eastAsia="ar-SA"/>
        </w:rPr>
        <w:t>; Elemento de Despesas: 3.3.90.39.00 - Outros Serv. de Terc. Pessoa Jurídica; Fonte de Recursos: 1500100100</w:t>
      </w:r>
      <w:r>
        <w:rPr>
          <w:rFonts w:ascii="Cambria" w:hAnsi="Cambria"/>
          <w:lang w:eastAsia="ar-SA"/>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 xml:space="preserve">DA CONDIÇÃO DE PARTICIPAÇÃO, DOCUMENTOS DE HABILITAÇÃO E </w:t>
      </w:r>
      <w:r>
        <w:rPr>
          <w:rFonts w:ascii="Cambria" w:hAnsi="Cambria" w:cstheme="minorHAnsi"/>
          <w:b/>
          <w:bCs/>
        </w:rPr>
        <w:lastRenderedPageBreak/>
        <w:t>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w:t>
      </w:r>
      <w:r>
        <w:rPr>
          <w:rFonts w:ascii="Cambria" w:hAnsi="Cambria" w:cstheme="minorHAnsi"/>
        </w:rPr>
        <w:lastRenderedPageBreak/>
        <w:t>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É de exclusiva responsabilidade do usuário o sigilo da senha, bem como seu uso em qualquer transação efetuada diretamente ou por seu representante, não cabendo ao Compras.gov (comprasnet) a responsabilidade por eventuais danos decorrentes de uso </w:t>
      </w:r>
      <w:r>
        <w:rPr>
          <w:rFonts w:ascii="Cambria" w:hAnsi="Cambria" w:cstheme="minorHAnsi"/>
        </w:rPr>
        <w:lastRenderedPageBreak/>
        <w:t>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lastRenderedPageBreak/>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r>
        <w:rPr>
          <w:rFonts w:ascii="Cambria" w:hAnsi="Cambria"/>
          <w:szCs w:val="24"/>
        </w:rPr>
        <w:t xml:space="preserve">10.14.2.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lastRenderedPageBreak/>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03</w:t>
      </w:r>
      <w:r>
        <w:rPr>
          <w:rFonts w:ascii="Cambria" w:hAnsi="Cambria" w:cstheme="minorHAnsi"/>
          <w:spacing w:val="-1"/>
        </w:rPr>
        <w:t xml:space="preserve"> </w:t>
      </w:r>
      <w:r>
        <w:rPr>
          <w:rFonts w:ascii="Cambria" w:hAnsi="Cambria" w:cstheme="minorHAnsi"/>
        </w:rPr>
        <w:t>de junho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pStyle w:val="Recuodecorpodetexto3"/>
        <w:shd w:val="clear" w:color="auto" w:fill="F2F2F2"/>
        <w:spacing w:line="276" w:lineRule="auto"/>
        <w:ind w:left="0"/>
        <w:jc w:val="center"/>
        <w:rPr>
          <w:rFonts w:ascii="Cambria" w:hAnsi="Cambria"/>
          <w:b/>
          <w:bCs/>
          <w:sz w:val="24"/>
          <w:szCs w:val="24"/>
          <w:lang w:val="pt-BR" w:eastAsia="ar-SA"/>
        </w:rPr>
      </w:pPr>
      <w:r>
        <w:rPr>
          <w:rFonts w:ascii="Cambria" w:hAnsi="Cambria"/>
          <w:b/>
          <w:bCs/>
          <w:sz w:val="24"/>
          <w:szCs w:val="24"/>
          <w:lang w:val="pt-BR" w:eastAsia="ar-SA"/>
        </w:rPr>
        <w:t>TERMO DE REFERÊNCIA</w:t>
      </w: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INTERNAS, BEM COMO A GERAÇÃO E O GERENCIAMENTO DE INFORMAÇÕES ADEQUADAS E NECESSÁRIAS PARA O ENVIO AOS ÓRGÃOS DE FISCALIZAÇÃO DA GESTÃO PATRIMONIAL E ORÇAMENTÁRIA, JUNTO A SECRETARIA DE EDUCAÇÃO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especializada para prestação de serviços de consultoria e assessoria técnica em controladoria governamental justifica-se pela necessidade de fortalecimento das atividades administrativas relacionadas ao acompanhamento, gerenciamento e controle das informações públicas da Secretaria Municipal de Educação de Miraíma/CE, especialmente diante da crescente necessidade de observância aos princípios da legalidade, eficiência, transparência e controle na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de Educação demanda continuamente suporte técnico especializado para acompanhamento das rotinas administrativas, patrimoniais e orçamentárias, bem como para o desenvolvimento de ações gerenciais, elaboração e análise de relatórios técnicos, realização de levantamentos internos e organização das informações necessárias ao adequado atendimento das exigências dos órgãos de fiscalização e controle.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faz-se necessária a adoção de mecanismos técnicos e administrativos capazes de assegurar maior eficiência na gestão das informações públicas, fortalecimento dos controles internos, padronização dos procedimentos administrativos e adequada organização dos dados relacionados à gestão governamental, contribuindo para maior segurança administrativa e regularidade dos atos praticados pela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suporte técnico especializado poderá comprometer o gerenciamento das informações administrativas, patrimoniais e orçamentárias, dificultando o adequado acompanhamento das atividades administrativas e o cumprimento das obrigações perante os órgãos de controle interno e externo.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Dessa forma, a contratação de empresa especializada mostra-se necessária para prestar suporte técnico continuado à Secretaria Municipal de Educação, contribuindo para o fortalecimento dos mecanismos de controle governamental, melhoria da eficiência administrativa, organização dos fluxos internos e observância aos princípios da administração pública, especialmente os princípios da legalidade, eficiência, planejamento, transparência e </w:t>
      </w:r>
      <w:r>
        <w:rPr>
          <w:rFonts w:ascii="Cambria" w:hAnsi="Cambria" w:cs="Calibri Light"/>
          <w:sz w:val="24"/>
          <w:szCs w:val="24"/>
          <w:lang w:eastAsia="ar-SA"/>
        </w:rPr>
        <w:lastRenderedPageBreak/>
        <w:t>economicidade.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a assessoria técnica especializada proporcionará maior segurança administrativa, suporte operacional e apoio técnico às demandas da Secretaria, auxiliando no adequado gerenciamento das informações públicas e no atendimento às exigências legais e recomendações dos órgãos de fiscalização e controle, promovendo maior eficiência na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assegurar apoio técnico qualificado às atividades relacionadas à controladoria governamental no âmbito da Secretaria Municipal de Educação de Miraíma/CE, contribuindo para o fortalecimento da gestão administrativa, melhoria dos mecanismos de controle interno e continuidade dos serviços públicos prestados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7"/>
        <w:gridCol w:w="3459"/>
        <w:gridCol w:w="1284"/>
        <w:gridCol w:w="1029"/>
        <w:gridCol w:w="1513"/>
        <w:gridCol w:w="1697"/>
      </w:tblGrid>
      <w:tr>
        <w:trPr>
          <w:trHeight w:val="315"/>
        </w:trPr>
        <w:tc>
          <w:tcPr>
            <w:tcW w:w="40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ITEM</w:t>
            </w:r>
          </w:p>
        </w:tc>
        <w:tc>
          <w:tcPr>
            <w:tcW w:w="1771" w:type="pct"/>
            <w:vMerge w:val="restart"/>
            <w:shd w:val="clear" w:color="D8D8D8" w:fill="D8D8D8"/>
            <w:vAlign w:val="center"/>
            <w:hideMark/>
          </w:tcPr>
          <w:p>
            <w:pPr>
              <w:jc w:val="center"/>
              <w:rPr>
                <w:rFonts w:ascii="Cambria" w:hAnsi="Cambria"/>
                <w:b/>
                <w:bCs/>
                <w:sz w:val="20"/>
                <w:szCs w:val="20"/>
              </w:rPr>
            </w:pPr>
            <w:r>
              <w:rPr>
                <w:rFonts w:ascii="Cambria" w:hAnsi="Cambria"/>
                <w:b/>
                <w:bCs/>
                <w:sz w:val="20"/>
                <w:szCs w:val="20"/>
              </w:rPr>
              <w:t>ESPECIFICAÇÃO</w:t>
            </w:r>
          </w:p>
        </w:tc>
        <w:tc>
          <w:tcPr>
            <w:tcW w:w="65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UNIDADE</w:t>
            </w:r>
          </w:p>
        </w:tc>
        <w:tc>
          <w:tcPr>
            <w:tcW w:w="52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QUANT</w:t>
            </w:r>
          </w:p>
        </w:tc>
        <w:tc>
          <w:tcPr>
            <w:tcW w:w="1641" w:type="pct"/>
            <w:gridSpan w:val="2"/>
            <w:shd w:val="clear" w:color="D8D8D8" w:fill="D8D8D8"/>
            <w:noWrap/>
            <w:vAlign w:val="center"/>
            <w:hideMark/>
          </w:tcPr>
          <w:p>
            <w:pPr>
              <w:jc w:val="center"/>
              <w:rPr>
                <w:rFonts w:ascii="Cambria" w:hAnsi="Cambria"/>
                <w:b/>
                <w:bCs/>
                <w:sz w:val="20"/>
                <w:szCs w:val="20"/>
              </w:rPr>
            </w:pPr>
            <w:r>
              <w:rPr>
                <w:rFonts w:ascii="Cambria" w:hAnsi="Cambria"/>
                <w:b/>
                <w:bCs/>
                <w:sz w:val="20"/>
                <w:szCs w:val="20"/>
              </w:rPr>
              <w:t>VALORES</w:t>
            </w:r>
          </w:p>
        </w:tc>
      </w:tr>
      <w:tr>
        <w:trPr>
          <w:trHeight w:val="285"/>
        </w:trPr>
        <w:tc>
          <w:tcPr>
            <w:tcW w:w="406" w:type="pct"/>
            <w:vMerge/>
            <w:vAlign w:val="center"/>
            <w:hideMark/>
          </w:tcPr>
          <w:p>
            <w:pPr>
              <w:rPr>
                <w:rFonts w:ascii="Cambria" w:hAnsi="Cambria"/>
                <w:b/>
                <w:bCs/>
                <w:sz w:val="20"/>
                <w:szCs w:val="20"/>
              </w:rPr>
            </w:pPr>
          </w:p>
        </w:tc>
        <w:tc>
          <w:tcPr>
            <w:tcW w:w="1771" w:type="pct"/>
            <w:vMerge/>
            <w:vAlign w:val="center"/>
            <w:hideMark/>
          </w:tcPr>
          <w:p>
            <w:pPr>
              <w:rPr>
                <w:rFonts w:ascii="Cambria" w:hAnsi="Cambria"/>
                <w:b/>
                <w:bCs/>
                <w:sz w:val="20"/>
                <w:szCs w:val="20"/>
              </w:rPr>
            </w:pPr>
          </w:p>
        </w:tc>
        <w:tc>
          <w:tcPr>
            <w:tcW w:w="656" w:type="pct"/>
            <w:vMerge/>
            <w:vAlign w:val="center"/>
            <w:hideMark/>
          </w:tcPr>
          <w:p>
            <w:pPr>
              <w:rPr>
                <w:rFonts w:ascii="Cambria" w:hAnsi="Cambria"/>
                <w:b/>
                <w:bCs/>
                <w:sz w:val="20"/>
                <w:szCs w:val="20"/>
              </w:rPr>
            </w:pPr>
          </w:p>
        </w:tc>
        <w:tc>
          <w:tcPr>
            <w:tcW w:w="525" w:type="pct"/>
            <w:vMerge/>
            <w:vAlign w:val="center"/>
            <w:hideMark/>
          </w:tcPr>
          <w:p>
            <w:pPr>
              <w:rPr>
                <w:rFonts w:ascii="Cambria" w:hAnsi="Cambria"/>
                <w:b/>
                <w:bCs/>
                <w:sz w:val="20"/>
                <w:szCs w:val="20"/>
              </w:rPr>
            </w:pPr>
          </w:p>
        </w:tc>
        <w:tc>
          <w:tcPr>
            <w:tcW w:w="774"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UNIT.</w:t>
            </w:r>
          </w:p>
        </w:tc>
        <w:tc>
          <w:tcPr>
            <w:tcW w:w="867"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TOTAL</w:t>
            </w:r>
          </w:p>
        </w:tc>
      </w:tr>
      <w:tr>
        <w:trPr>
          <w:trHeight w:val="121"/>
        </w:trPr>
        <w:tc>
          <w:tcPr>
            <w:tcW w:w="406" w:type="pct"/>
            <w:noWrap/>
            <w:vAlign w:val="center"/>
            <w:hideMark/>
          </w:tcPr>
          <w:p>
            <w:pPr>
              <w:jc w:val="center"/>
              <w:rPr>
                <w:rFonts w:ascii="Cambria" w:hAnsi="Cambria"/>
                <w:sz w:val="20"/>
                <w:szCs w:val="20"/>
              </w:rPr>
            </w:pPr>
            <w:r>
              <w:rPr>
                <w:rFonts w:ascii="Cambria" w:hAnsi="Cambria"/>
                <w:sz w:val="20"/>
                <w:szCs w:val="20"/>
              </w:rPr>
              <w:t>1</w:t>
            </w:r>
          </w:p>
        </w:tc>
        <w:tc>
          <w:tcPr>
            <w:tcW w:w="1771" w:type="pct"/>
            <w:vAlign w:val="center"/>
          </w:tcPr>
          <w:p>
            <w:pPr>
              <w:jc w:val="both"/>
              <w:rPr>
                <w:rFonts w:ascii="Cambria" w:hAnsi="Cambria"/>
                <w:sz w:val="20"/>
                <w:szCs w:val="20"/>
              </w:rPr>
            </w:pPr>
            <w:r>
              <w:rPr>
                <w:rFonts w:ascii="Cambria" w:hAnsi="Cambria"/>
                <w:sz w:val="20"/>
                <w:szCs w:val="20"/>
              </w:rPr>
              <w:t>CONSULTORIA E ASSESSORIA TÉCNICA EM CONTROLADORIA GOVERNAMENTAL - SECRETARIA MUNICIPAL DE EDUCAÇÃO Consultoria e Assessoria Técnica em Controladoria Governamental, visando orientações técnicas para o desenvolvimento de ações e informações gerenciais, análise e apresentação de relatórios técnicos, realização de levantamentos</w:t>
            </w:r>
          </w:p>
          <w:p>
            <w:pPr>
              <w:jc w:val="both"/>
              <w:rPr>
                <w:rFonts w:ascii="Cambria" w:hAnsi="Cambria"/>
                <w:sz w:val="20"/>
                <w:szCs w:val="20"/>
              </w:rPr>
            </w:pPr>
            <w:r>
              <w:rPr>
                <w:rFonts w:ascii="Cambria" w:hAnsi="Cambria"/>
                <w:sz w:val="20"/>
                <w:szCs w:val="20"/>
              </w:rPr>
              <w:t>internas, bem como a geração e o gerenciamento de informações adequadas e necessárias para o envio aos órgãos de fiscalização da gestão patrimonial e orçamentária, junto a Secretaria Municipal de Educação do município de Miraíma-CE.</w:t>
            </w:r>
          </w:p>
        </w:tc>
        <w:tc>
          <w:tcPr>
            <w:tcW w:w="656" w:type="pct"/>
            <w:noWrap/>
            <w:vAlign w:val="center"/>
            <w:hideMark/>
          </w:tcPr>
          <w:p>
            <w:pPr>
              <w:jc w:val="center"/>
              <w:rPr>
                <w:rFonts w:ascii="Cambria" w:hAnsi="Cambria"/>
                <w:sz w:val="20"/>
                <w:szCs w:val="20"/>
              </w:rPr>
            </w:pPr>
            <w:r>
              <w:rPr>
                <w:rFonts w:ascii="Cambria" w:hAnsi="Cambria"/>
                <w:sz w:val="20"/>
                <w:szCs w:val="20"/>
              </w:rPr>
              <w:t>MÊS</w:t>
            </w:r>
          </w:p>
        </w:tc>
        <w:tc>
          <w:tcPr>
            <w:tcW w:w="525" w:type="pct"/>
            <w:noWrap/>
            <w:vAlign w:val="center"/>
            <w:hideMark/>
          </w:tcPr>
          <w:p>
            <w:pPr>
              <w:jc w:val="center"/>
              <w:rPr>
                <w:rFonts w:ascii="Cambria" w:hAnsi="Cambria"/>
                <w:sz w:val="20"/>
                <w:szCs w:val="20"/>
              </w:rPr>
            </w:pPr>
            <w:r>
              <w:rPr>
                <w:rFonts w:ascii="Cambria" w:hAnsi="Cambria"/>
                <w:sz w:val="20"/>
                <w:szCs w:val="20"/>
              </w:rPr>
              <w:t>12</w:t>
            </w:r>
          </w:p>
        </w:tc>
        <w:tc>
          <w:tcPr>
            <w:tcW w:w="774" w:type="pct"/>
            <w:noWrap/>
            <w:vAlign w:val="center"/>
          </w:tcPr>
          <w:p>
            <w:pPr>
              <w:jc w:val="center"/>
              <w:rPr>
                <w:rFonts w:ascii="Cambria" w:hAnsi="Cambria"/>
                <w:sz w:val="20"/>
                <w:szCs w:val="20"/>
                <w:highlight w:val="yellow"/>
              </w:rPr>
            </w:pPr>
            <w:r>
              <w:rPr>
                <w:rFonts w:ascii="Cambria" w:hAnsi="Cambria"/>
                <w:sz w:val="20"/>
                <w:szCs w:val="20"/>
              </w:rPr>
              <w:t>R$ 2.123,33</w:t>
            </w:r>
          </w:p>
        </w:tc>
        <w:tc>
          <w:tcPr>
            <w:tcW w:w="867" w:type="pct"/>
            <w:noWrap/>
            <w:vAlign w:val="center"/>
          </w:tcPr>
          <w:p>
            <w:pPr>
              <w:jc w:val="center"/>
              <w:rPr>
                <w:rFonts w:ascii="Cambria" w:hAnsi="Cambria"/>
                <w:sz w:val="20"/>
                <w:szCs w:val="20"/>
                <w:highlight w:val="yellow"/>
              </w:rPr>
            </w:pPr>
            <w:r>
              <w:rPr>
                <w:rFonts w:ascii="Cambria" w:hAnsi="Cambria"/>
                <w:sz w:val="20"/>
                <w:szCs w:val="20"/>
              </w:rPr>
              <w:t>R$ 25.479,96</w:t>
            </w:r>
          </w:p>
        </w:tc>
      </w:tr>
      <w:tr>
        <w:trPr>
          <w:trHeight w:val="225"/>
        </w:trPr>
        <w:tc>
          <w:tcPr>
            <w:tcW w:w="5000" w:type="pct"/>
            <w:gridSpan w:val="6"/>
            <w:shd w:val="clear" w:color="F2F2F2" w:fill="F2F2F2"/>
            <w:noWrap/>
            <w:vAlign w:val="center"/>
            <w:hideMark/>
          </w:tcPr>
          <w:p>
            <w:pPr>
              <w:jc w:val="center"/>
              <w:rPr>
                <w:rFonts w:ascii="Cambria" w:hAnsi="Cambria"/>
                <w:b/>
                <w:bCs/>
                <w:sz w:val="20"/>
                <w:szCs w:val="20"/>
              </w:rPr>
            </w:pPr>
            <w:r>
              <w:rPr>
                <w:rFonts w:ascii="Cambria" w:hAnsi="Cambria"/>
                <w:b/>
                <w:bCs/>
                <w:sz w:val="20"/>
                <w:szCs w:val="20"/>
              </w:rPr>
              <w:t>VALOR GLOBAL: R$ 25.479,96 (vinte e cinco mil, quatrocentos e setenta e nove reais e noventa e seis centavos)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w:t>
      </w:r>
      <w:r>
        <w:rPr>
          <w:rFonts w:ascii="Cambria" w:hAnsi="Cambria"/>
          <w:sz w:val="24"/>
          <w:szCs w:val="24"/>
        </w:rPr>
        <w:lastRenderedPageBreak/>
        <w:t>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lastRenderedPageBreak/>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 xml:space="preserve">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lastRenderedPageBreak/>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10.2.1</w:t>
      </w:r>
      <w:r>
        <w:rPr>
          <w:rFonts w:ascii="Cambria" w:hAnsi="Cambria"/>
          <w:bCs/>
          <w:sz w:val="24"/>
          <w:szCs w:val="24"/>
        </w:rPr>
        <w:t>. Iniciar a execução dos serviços no prazo estabelecido pela Administração, a contar do 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 xml:space="preserve">Disponibilizar equipe técnica qualificada para atendimento das demandas da PREFEITURA MUNICIPAL DE MIRAÍMA, mantendo profissionais com capacidade técnica </w:t>
      </w:r>
      <w:r>
        <w:rPr>
          <w:rFonts w:ascii="Cambria" w:hAnsi="Cambria"/>
          <w:bCs/>
          <w:sz w:val="24"/>
          <w:szCs w:val="24"/>
        </w:rPr>
        <w:lastRenderedPageBreak/>
        <w:t>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10.2.6. </w:t>
      </w:r>
      <w:r>
        <w:rPr>
          <w:rFonts w:ascii="Cambria" w:hAnsi="Cambria"/>
          <w:bCs/>
          <w:sz w:val="24"/>
          <w:szCs w:val="24"/>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10.2.10. </w:t>
      </w:r>
      <w:r>
        <w:rPr>
          <w:rFonts w:ascii="Cambria" w:hAnsi="Cambria"/>
          <w:bCs/>
          <w:sz w:val="24"/>
          <w:szCs w:val="24"/>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lastRenderedPageBreak/>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1001.</w:t>
      </w:r>
      <w:r>
        <w:rPr>
          <w:rFonts w:ascii="Cambria" w:eastAsia="Arial" w:hAnsi="Cambria"/>
          <w:sz w:val="24"/>
          <w:szCs w:val="24"/>
        </w:rPr>
        <w:t xml:space="preserve">12.122.0014.2.049 – Funcionamento da </w:t>
      </w:r>
      <w:r>
        <w:rPr>
          <w:rFonts w:ascii="Cambria" w:hAnsi="Cambria"/>
          <w:sz w:val="24"/>
          <w:szCs w:val="24"/>
        </w:rPr>
        <w:t>Secretaria Municipal de Educação</w:t>
      </w:r>
      <w:r>
        <w:rPr>
          <w:rFonts w:ascii="Cambria" w:hAnsi="Cambria"/>
          <w:sz w:val="24"/>
          <w:szCs w:val="24"/>
          <w:lang w:eastAsia="ar-SA"/>
        </w:rPr>
        <w:t>; Elemento de Despesas: 3.3.90.39.00 - Outros Serv. de Terc. Pessoa Jurídica; Fonte de Recursos: 1500100100.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 xml:space="preserve">Se não for possível o pagamento por meio de desconto, a CONTRATADA ficará obrigada a </w:t>
      </w:r>
      <w:r>
        <w:rPr>
          <w:rFonts w:ascii="Cambria" w:hAnsi="Cambria"/>
          <w:sz w:val="24"/>
          <w:szCs w:val="24"/>
        </w:rPr>
        <w:lastRenderedPageBreak/>
        <w:t>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EXECUÇÃO DOS SERVIÇOS:</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serviços executados ou os produtos técnicos apresentados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jc w:val="center"/>
        <w:rPr>
          <w:rFonts w:ascii="Cambria" w:hAnsi="Cambria"/>
          <w:sz w:val="24"/>
          <w:szCs w:val="24"/>
        </w:rPr>
      </w:pPr>
      <w:bookmarkStart w:id="4" w:name="_GoBack"/>
      <w:bookmarkEnd w:id="4"/>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szCs w:val="16"/>
        <w:lang w:val="pt-BR" w:eastAsia="pt-BR"/>
      </w:rPr>
      <w:drawing>
        <wp:anchor distT="0" distB="0" distL="114300" distR="114300" simplePos="0" relativeHeight="251658752" behindDoc="1" locked="0" layoutInCell="1" allowOverlap="1">
          <wp:simplePos x="0" y="0"/>
          <wp:positionH relativeFrom="column">
            <wp:posOffset>5511165</wp:posOffset>
          </wp:positionH>
          <wp:positionV relativeFrom="paragraph">
            <wp:posOffset>11430</wp:posOffset>
          </wp:positionV>
          <wp:extent cx="950595" cy="1021080"/>
          <wp:effectExtent l="0" t="0" r="0" b="0"/>
          <wp:wrapTight wrapText="bothSides">
            <wp:wrapPolygon edited="0">
              <wp:start x="7359" y="0"/>
              <wp:lineTo x="4329" y="1209"/>
              <wp:lineTo x="0" y="5239"/>
              <wp:lineTo x="0" y="14104"/>
              <wp:lineTo x="3896" y="19343"/>
              <wp:lineTo x="7792" y="21358"/>
              <wp:lineTo x="13419" y="21358"/>
              <wp:lineTo x="17747" y="19343"/>
              <wp:lineTo x="21210" y="14104"/>
              <wp:lineTo x="21210" y="5239"/>
              <wp:lineTo x="16882" y="1209"/>
              <wp:lineTo x="14285" y="0"/>
              <wp:lineTo x="7359"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3667716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333399"/>
        <w:sz w:val="26"/>
        <w:szCs w:val="26"/>
        <w:lang w:val="pt-BR" w:eastAsia="pt-BR"/>
      </w:rPr>
      <w:drawing>
        <wp:anchor distT="0" distB="0" distL="114300" distR="114300" simplePos="0" relativeHeight="251656704" behindDoc="0" locked="0" layoutInCell="1" allowOverlap="1">
          <wp:simplePos x="0" y="0"/>
          <wp:positionH relativeFrom="margin">
            <wp:posOffset>2205990</wp:posOffset>
          </wp:positionH>
          <wp:positionV relativeFrom="paragraph">
            <wp:posOffset>-311150</wp:posOffset>
          </wp:positionV>
          <wp:extent cx="1718310" cy="1692275"/>
          <wp:effectExtent l="0" t="0" r="0" b="0"/>
          <wp:wrapThrough wrapText="bothSides">
            <wp:wrapPolygon edited="0">
              <wp:start x="10058" y="2675"/>
              <wp:lineTo x="7184" y="4620"/>
              <wp:lineTo x="5268" y="6079"/>
              <wp:lineTo x="5268" y="10942"/>
              <wp:lineTo x="2874" y="12887"/>
              <wp:lineTo x="1916" y="13860"/>
              <wp:lineTo x="1916" y="17507"/>
              <wp:lineTo x="19397" y="17507"/>
              <wp:lineTo x="18918" y="14832"/>
              <wp:lineTo x="15565" y="10942"/>
              <wp:lineTo x="16044" y="5836"/>
              <wp:lineTo x="14608" y="4377"/>
              <wp:lineTo x="11255" y="2675"/>
              <wp:lineTo x="10058" y="2675"/>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68438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8310" cy="169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4646</TotalTime>
  <Pages>26</Pages>
  <Words>11185</Words>
  <Characters>60400</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137</cp:revision>
  <cp:lastPrinted>2024-04-22T17:26:00Z</cp:lastPrinted>
  <dcterms:created xsi:type="dcterms:W3CDTF">2024-01-28T19:24:00Z</dcterms:created>
  <dcterms:modified xsi:type="dcterms:W3CDTF">2026-06-03T14:29:00Z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