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114/2026 -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SAÚDE, neste ato representado pela Senhora </w:t>
      </w:r>
      <w:r>
        <w:rPr>
          <w:rFonts w:ascii="Cambria" w:hAnsi="Cambria"/>
        </w:rPr>
        <w:t>Antonia Maria Alves Pinheiro Pinto</w:t>
      </w:r>
      <w:r>
        <w:rPr>
          <w:rFonts w:ascii="Cambria" w:hAnsi="Cambria"/>
          <w:bCs/>
        </w:rPr>
        <w:t xml:space="preserve">, Secretária de Saúde,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DE SAÚDE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DE SAÚDE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08/06/2026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11/06/2026 às 07:59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11/06/2026 das 08:00 às 14:00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lastRenderedPageBreak/>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lastRenderedPageBreak/>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isselectedend"/>
        <w:spacing w:before="0" w:beforeAutospacing="0" w:after="0" w:afterAutospacing="0"/>
        <w:ind w:firstLine="851"/>
        <w:jc w:val="both"/>
        <w:rPr>
          <w:rFonts w:ascii="Cambria" w:hAnsi="Cambria"/>
        </w:rPr>
      </w:pPr>
      <w:r>
        <w:rPr>
          <w:rFonts w:ascii="Cambria" w:hAnsi="Cambria"/>
        </w:rPr>
        <w:t xml:space="preserve">A contratação de empresa especializada em consultoria e assessoria técnica em controladoria governamental junto à Secretaria Municipal de Saúde de Miraíma mostra-se </w:t>
      </w:r>
      <w:r>
        <w:rPr>
          <w:rFonts w:ascii="Cambria" w:hAnsi="Cambria"/>
        </w:rPr>
        <w:lastRenderedPageBreak/>
        <w:t>necessária e de relevante interesse público, considerando a importância do adequado acompanhamento, gerenciamento e controle das informações administrativas, patrimoniais e orçamentárias no âmbito da gestão pública municipal.</w:t>
      </w:r>
    </w:p>
    <w:p>
      <w:pPr>
        <w:pStyle w:val="isselectedend"/>
        <w:spacing w:before="0" w:beforeAutospacing="0" w:after="0" w:afterAutospacing="0"/>
        <w:ind w:firstLine="851"/>
        <w:jc w:val="both"/>
        <w:rPr>
          <w:rFonts w:ascii="Cambria" w:hAnsi="Cambria"/>
        </w:rPr>
      </w:pPr>
      <w:r>
        <w:rPr>
          <w:rFonts w:ascii="Cambria" w:hAnsi="Cambria"/>
        </w:rPr>
        <w:t>A referida Secretaria é responsável pela execução e acompanhamento de ações e serviços públicos de saúde, demandando constante suporte técnico quanto à organização das informações gerenciais, elaboração de relatórios técnicos, realização de levantamentos internos e atendimento às exigências dos órgãos de fiscalização e controle.</w:t>
      </w:r>
    </w:p>
    <w:p>
      <w:pPr>
        <w:pStyle w:val="isselectedend"/>
        <w:spacing w:before="0" w:beforeAutospacing="0" w:after="0" w:afterAutospacing="0"/>
        <w:ind w:firstLine="851"/>
        <w:jc w:val="both"/>
        <w:rPr>
          <w:rFonts w:ascii="Cambria" w:hAnsi="Cambria"/>
        </w:rPr>
      </w:pPr>
      <w:r>
        <w:rPr>
          <w:rFonts w:ascii="Cambria" w:hAnsi="Cambria"/>
        </w:rPr>
        <w:t>O adequado gerenciamento das informações relacionadas à gestão patrimonial e orçamentária constitui instrumento essencial para assegurar maior eficiência administrativa, fortalecimento dos mecanismos de controle interno, transparência dos atos públicos e conformidade com as normas aplicáveis à Administração Pública.</w:t>
      </w:r>
    </w:p>
    <w:p>
      <w:pPr>
        <w:pStyle w:val="isselectedend"/>
        <w:spacing w:before="0" w:beforeAutospacing="0" w:after="0" w:afterAutospacing="0"/>
        <w:ind w:firstLine="851"/>
        <w:jc w:val="both"/>
        <w:rPr>
          <w:rFonts w:ascii="Cambria" w:hAnsi="Cambria"/>
        </w:rPr>
      </w:pPr>
      <w:r>
        <w:rPr>
          <w:rFonts w:ascii="Cambria" w:hAnsi="Cambria"/>
        </w:rPr>
        <w:t>A contratação pretendida visa proporcionar suporte técnico contínuo à Secretaria Municipal de Saúde, contribuindo para o desenvolvimento de ações gerenciais, análise e apresentação de relatórios técnicos, realização de levantamentos internos, bem como para a geração e gerenciamento de informações adequadas e necessárias ao correto envio de dados aos órgãos de fiscalização da gestão patrimonial e orçamentária.</w:t>
      </w:r>
    </w:p>
    <w:p>
      <w:pPr>
        <w:pStyle w:val="NormalWeb"/>
        <w:spacing w:before="0" w:beforeAutospacing="0" w:after="0" w:afterAutospacing="0"/>
        <w:ind w:firstLine="851"/>
        <w:jc w:val="both"/>
        <w:rPr>
          <w:rFonts w:ascii="Cambria" w:hAnsi="Cambria"/>
        </w:rPr>
      </w:pPr>
      <w:r>
        <w:rPr>
          <w:rFonts w:ascii="Cambria" w:hAnsi="Cambria"/>
        </w:rPr>
        <w:t>Nesse contexto, a Secretaria Municipal de Saúde de Miraíma/CE entende que a contratação em questão é essencial para assegurar maior eficiência administrativa, fortalecimento dos mecanismos de controle interno, segurança na gestão das informações públicas e continuidade das atividades administrativas, promovendo o atendimento ao interesse público e a observância dos princípios que regem a Administração Pública.</w:t>
      </w:r>
    </w:p>
    <w:p>
      <w:pPr>
        <w:pStyle w:val="PargrafodaLista"/>
        <w:tabs>
          <w:tab w:val="left" w:pos="2001"/>
        </w:tabs>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rPr>
              <w:t>CONSULTORIA E ASSESSORIA TÉCNICA EM CONTROLADORIA GOVERNAMENTAL - SECRETARIA MUNICIPAL DE SAÚDE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Municipal de Saúde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 xml:space="preserve">5.1. O pagamento será feito na proporção da entrega dos serviços licitados, segundo as ordens de serviço expedidas pela Administração, de conformidade com as notas fiscais/faturas </w:t>
      </w:r>
      <w:r>
        <w:rPr>
          <w:rFonts w:ascii="Cambria" w:hAnsi="Cambria" w:cstheme="minorHAnsi"/>
          <w:sz w:val="24"/>
          <w:szCs w:val="24"/>
        </w:rPr>
        <w:lastRenderedPageBreak/>
        <w:t>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 xml:space="preserve">0401.10.122.0014.2.008 – Recursos Próprios – Secretaria de Saúde. Elemento de Despesa: </w:t>
      </w:r>
      <w:r>
        <w:rPr>
          <w:rFonts w:ascii="Cambria" w:eastAsia="Calibri" w:hAnsi="Cambria"/>
          <w:lang w:eastAsia="zh-CN"/>
        </w:rPr>
        <w:t>3.3.90.39.00 – Outros serv. de terceiro pessoa jurídica. Fonte de Recurso: 1500100200 – Receita de imposto e transf.  – Saúde</w:t>
      </w:r>
      <w:r>
        <w:rPr>
          <w:rFonts w:ascii="Cambria" w:eastAsia="Calibri" w:hAnsi="Cambria"/>
          <w:lang w:eastAsia="zh-CN"/>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lastRenderedPageBreak/>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w:t>
      </w:r>
      <w:r>
        <w:rPr>
          <w:rFonts w:ascii="Cambria" w:hAnsi="Cambria" w:cstheme="minorHAnsi"/>
        </w:rPr>
        <w:lastRenderedPageBreak/>
        <w:t xml:space="preserve">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O credenciamento do fornecedor e de seu representante legal junto ao sistema eletrônico implica a responsabilidade legal pelos atos praticados e a presunção de capacidade </w:t>
      </w:r>
      <w:r>
        <w:rPr>
          <w:rFonts w:ascii="Cambria" w:hAnsi="Cambria" w:cstheme="minorHAnsi"/>
        </w:rPr>
        <w:lastRenderedPageBreak/>
        <w:t>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lastRenderedPageBreak/>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Comprovando a execução de serviços técnicos especializados compatíveis com o objeto da licitação, relacionados ao planejamento das contratações públicas, elaboração de documentos da fase preparatória, assessoria administrativa ou consultoria técnica correlata.</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 xml:space="preserve">10.16.7. Se o licitante for a matriz, todos os documentos deverão estar em nome da matriz, e </w:t>
      </w:r>
      <w:r>
        <w:rPr>
          <w:rFonts w:ascii="Cambria" w:hAnsi="Cambria" w:cs="Arial"/>
          <w:sz w:val="24"/>
          <w:szCs w:val="24"/>
        </w:rPr>
        <w:lastRenderedPageBreak/>
        <w:t>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03</w:t>
      </w:r>
      <w:r>
        <w:rPr>
          <w:rFonts w:ascii="Cambria" w:hAnsi="Cambria" w:cstheme="minorHAnsi"/>
          <w:spacing w:val="-1"/>
        </w:rPr>
        <w:t xml:space="preserve"> </w:t>
      </w:r>
      <w:r>
        <w:rPr>
          <w:rFonts w:ascii="Cambria" w:hAnsi="Cambria" w:cstheme="minorHAnsi"/>
        </w:rPr>
        <w:t>de junho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Style w:val="Recuodecorpodetexto3"/>
        <w:shd w:val="clear" w:color="auto" w:fill="F2F2F2"/>
        <w:spacing w:line="276" w:lineRule="auto"/>
        <w:ind w:left="0"/>
        <w:jc w:val="center"/>
        <w:rPr>
          <w:rFonts w:ascii="Cambria" w:hAnsi="Cambria"/>
          <w:b/>
          <w:bCs/>
          <w:sz w:val="24"/>
          <w:szCs w:val="24"/>
          <w:lang w:val="pt-BR" w:eastAsia="ar-SA"/>
        </w:rPr>
      </w:pPr>
      <w:r>
        <w:rPr>
          <w:rFonts w:ascii="Cambria" w:hAnsi="Cambria"/>
          <w:b/>
          <w:bCs/>
          <w:sz w:val="24"/>
          <w:szCs w:val="24"/>
          <w:lang w:val="pt-BR" w:eastAsia="ar-SA"/>
        </w:rPr>
        <w:t>TERMO DE REFERÊNCIA</w:t>
      </w: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DE SAÚDE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finalidade atender à necessidade da Secretaria Municipal de Saúde de Miraíma/CE de dispor de suporte técnico especializado na área de controladoria governamental, visando ao aperfeiçoamento dos mecanismos de controle, acompanhamento e gerenciamento das informações administrativas, patrimoniais e orçamentárias inerentes à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Administração Pública moderna exige a adoção de procedimentos cada vez mais eficientes, transparentes e alinhados às exigências dos órgãos de controle interno e externo, demandando o tratamento adequado das informações gerenciais que subsidiam o planejamento, a execução e o monitoramento das ações governamentais. Nesse contexto, a Secretaria Municipal de Saúde necessita de apoio técnico especializado para auxiliar na organização dos fluxos administrativos, na análise de informações estratégicas, na elaboração de relatórios técnicos e no acompanhamento das rotinas relacionadas à gestão patrimonial e orçamentária.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permitirá a realização de levantamentos internos, análise de dados administrativos, produção de informações gerenciais e acompanhamento de procedimentos necessários ao fortalecimento dos controles internos, contribuindo para maior segurança na tomada de decisões e para a melhoria contínua dos processos administrativos desenvolvidos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Ressalta-se que a correta geração, consolidação e gerenciamento das informações públicas constituem instrumentos essenciais para o cumprimento das obrigações legais da Administração, especialmente no que se refere ao atendimento das demandas dos órgãos de fiscalização e controle, que exigem informações consistentes, organizadas e compatíveis com os parâmetros legais e normativos aplicáveis à gestão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A ausência de assessoria técnica especializada poderá ocasionar fragilidades nos mecanismos de controle interno, dificuldades na sistematização das informações </w:t>
      </w:r>
      <w:r>
        <w:rPr>
          <w:rFonts w:ascii="Cambria" w:hAnsi="Cambria" w:cs="Calibri Light"/>
          <w:sz w:val="24"/>
          <w:szCs w:val="24"/>
          <w:lang w:eastAsia="ar-SA"/>
        </w:rPr>
        <w:lastRenderedPageBreak/>
        <w:t>administrativas, patrimoniais e orçamentárias, bem como riscos de inconsistências nos dados encaminhados aos órgãos fiscalizadores, comprometendo a eficiência administrativa e a regularidade dos procedimentos de gestão.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pretendida mostra-se necessária e conveniente ao interesse público, uma vez que proporcionará apoio técnico qualificado à Secretaria Municipal de Saúde, contribuindo para o aprimoramento dos processos administrativos, fortalecimento da governança pública, melhoria dos mecanismos de controle interno e atendimento das exigências legais e institucionais aplicáveis à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Por conseguinte, a presente contratação encontra amparo na necessidade de assegurar maior eficiência, transparência, planejamento, controle e responsabilidade na gestão dos recursos públicos, em consonância com os princípios previstos no artigo 37 da Constituição Federal e com as diretrizes estabelecidas pela Lei nº 14.133/2021.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7"/>
        <w:gridCol w:w="3459"/>
        <w:gridCol w:w="1284"/>
        <w:gridCol w:w="1029"/>
        <w:gridCol w:w="1513"/>
        <w:gridCol w:w="1697"/>
      </w:tblGrid>
      <w:tr>
        <w:trPr>
          <w:trHeight w:val="315"/>
        </w:trPr>
        <w:tc>
          <w:tcPr>
            <w:tcW w:w="40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ITEM</w:t>
            </w:r>
          </w:p>
        </w:tc>
        <w:tc>
          <w:tcPr>
            <w:tcW w:w="1771" w:type="pct"/>
            <w:vMerge w:val="restart"/>
            <w:shd w:val="clear" w:color="D8D8D8" w:fill="D8D8D8"/>
            <w:vAlign w:val="center"/>
            <w:hideMark/>
          </w:tcPr>
          <w:p>
            <w:pPr>
              <w:jc w:val="center"/>
              <w:rPr>
                <w:rFonts w:ascii="Cambria" w:hAnsi="Cambria"/>
                <w:b/>
                <w:bCs/>
                <w:sz w:val="20"/>
                <w:szCs w:val="20"/>
              </w:rPr>
            </w:pPr>
            <w:r>
              <w:rPr>
                <w:rFonts w:ascii="Cambria" w:hAnsi="Cambria"/>
                <w:b/>
                <w:bCs/>
                <w:sz w:val="20"/>
                <w:szCs w:val="20"/>
              </w:rPr>
              <w:t>ESPECIFICAÇÃO</w:t>
            </w:r>
          </w:p>
        </w:tc>
        <w:tc>
          <w:tcPr>
            <w:tcW w:w="65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UNIDADE</w:t>
            </w:r>
          </w:p>
        </w:tc>
        <w:tc>
          <w:tcPr>
            <w:tcW w:w="52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QUANT</w:t>
            </w:r>
          </w:p>
        </w:tc>
        <w:tc>
          <w:tcPr>
            <w:tcW w:w="1641" w:type="pct"/>
            <w:gridSpan w:val="2"/>
            <w:shd w:val="clear" w:color="D8D8D8" w:fill="D8D8D8"/>
            <w:noWrap/>
            <w:vAlign w:val="center"/>
            <w:hideMark/>
          </w:tcPr>
          <w:p>
            <w:pPr>
              <w:jc w:val="center"/>
              <w:rPr>
                <w:rFonts w:ascii="Cambria" w:hAnsi="Cambria"/>
                <w:b/>
                <w:bCs/>
                <w:sz w:val="20"/>
                <w:szCs w:val="20"/>
              </w:rPr>
            </w:pPr>
            <w:r>
              <w:rPr>
                <w:rFonts w:ascii="Cambria" w:hAnsi="Cambria"/>
                <w:b/>
                <w:bCs/>
                <w:sz w:val="20"/>
                <w:szCs w:val="20"/>
              </w:rPr>
              <w:t>VALORES</w:t>
            </w:r>
          </w:p>
        </w:tc>
      </w:tr>
      <w:tr>
        <w:trPr>
          <w:trHeight w:val="285"/>
        </w:trPr>
        <w:tc>
          <w:tcPr>
            <w:tcW w:w="406" w:type="pct"/>
            <w:vMerge/>
            <w:vAlign w:val="center"/>
            <w:hideMark/>
          </w:tcPr>
          <w:p>
            <w:pPr>
              <w:rPr>
                <w:rFonts w:ascii="Cambria" w:hAnsi="Cambria"/>
                <w:b/>
                <w:bCs/>
                <w:sz w:val="20"/>
                <w:szCs w:val="20"/>
              </w:rPr>
            </w:pPr>
          </w:p>
        </w:tc>
        <w:tc>
          <w:tcPr>
            <w:tcW w:w="1771" w:type="pct"/>
            <w:vMerge/>
            <w:vAlign w:val="center"/>
            <w:hideMark/>
          </w:tcPr>
          <w:p>
            <w:pPr>
              <w:rPr>
                <w:rFonts w:ascii="Cambria" w:hAnsi="Cambria"/>
                <w:b/>
                <w:bCs/>
                <w:sz w:val="20"/>
                <w:szCs w:val="20"/>
              </w:rPr>
            </w:pPr>
          </w:p>
        </w:tc>
        <w:tc>
          <w:tcPr>
            <w:tcW w:w="656" w:type="pct"/>
            <w:vMerge/>
            <w:vAlign w:val="center"/>
            <w:hideMark/>
          </w:tcPr>
          <w:p>
            <w:pPr>
              <w:rPr>
                <w:rFonts w:ascii="Cambria" w:hAnsi="Cambria"/>
                <w:b/>
                <w:bCs/>
                <w:sz w:val="20"/>
                <w:szCs w:val="20"/>
              </w:rPr>
            </w:pPr>
          </w:p>
        </w:tc>
        <w:tc>
          <w:tcPr>
            <w:tcW w:w="525" w:type="pct"/>
            <w:vMerge/>
            <w:vAlign w:val="center"/>
            <w:hideMark/>
          </w:tcPr>
          <w:p>
            <w:pPr>
              <w:rPr>
                <w:rFonts w:ascii="Cambria" w:hAnsi="Cambria"/>
                <w:b/>
                <w:bCs/>
                <w:sz w:val="20"/>
                <w:szCs w:val="20"/>
              </w:rPr>
            </w:pPr>
          </w:p>
        </w:tc>
        <w:tc>
          <w:tcPr>
            <w:tcW w:w="774"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UNIT.</w:t>
            </w:r>
          </w:p>
        </w:tc>
        <w:tc>
          <w:tcPr>
            <w:tcW w:w="867"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TOTAL</w:t>
            </w:r>
          </w:p>
        </w:tc>
      </w:tr>
      <w:tr>
        <w:trPr>
          <w:trHeight w:val="121"/>
        </w:trPr>
        <w:tc>
          <w:tcPr>
            <w:tcW w:w="406" w:type="pct"/>
            <w:noWrap/>
            <w:vAlign w:val="center"/>
            <w:hideMark/>
          </w:tcPr>
          <w:p>
            <w:pPr>
              <w:jc w:val="center"/>
              <w:rPr>
                <w:rFonts w:ascii="Cambria" w:hAnsi="Cambria"/>
                <w:sz w:val="20"/>
                <w:szCs w:val="20"/>
              </w:rPr>
            </w:pPr>
            <w:r>
              <w:rPr>
                <w:rFonts w:ascii="Cambria" w:hAnsi="Cambria"/>
                <w:sz w:val="20"/>
                <w:szCs w:val="20"/>
              </w:rPr>
              <w:t>1</w:t>
            </w:r>
          </w:p>
        </w:tc>
        <w:tc>
          <w:tcPr>
            <w:tcW w:w="1771" w:type="pct"/>
            <w:vAlign w:val="center"/>
          </w:tcPr>
          <w:p>
            <w:pPr>
              <w:jc w:val="both"/>
              <w:rPr>
                <w:rFonts w:ascii="Cambria" w:hAnsi="Cambria"/>
                <w:sz w:val="20"/>
                <w:szCs w:val="20"/>
              </w:rPr>
            </w:pPr>
            <w:r>
              <w:rPr>
                <w:rFonts w:ascii="Cambria" w:hAnsi="Cambria"/>
                <w:sz w:val="20"/>
                <w:szCs w:val="20"/>
              </w:rPr>
              <w:t>CONSULTORIA E ASSESSORIA TÉCNICA EM CONTROLADORIA GOVERNAMENTAL - SECRETARIA MUNICIPAL DE SAÚDE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Municipal de Saúde do município de Miraíma-CE.</w:t>
            </w:r>
          </w:p>
        </w:tc>
        <w:tc>
          <w:tcPr>
            <w:tcW w:w="656" w:type="pct"/>
            <w:noWrap/>
            <w:vAlign w:val="center"/>
            <w:hideMark/>
          </w:tcPr>
          <w:p>
            <w:pPr>
              <w:jc w:val="center"/>
              <w:rPr>
                <w:rFonts w:ascii="Cambria" w:hAnsi="Cambria"/>
                <w:sz w:val="20"/>
                <w:szCs w:val="20"/>
              </w:rPr>
            </w:pPr>
            <w:r>
              <w:rPr>
                <w:rFonts w:ascii="Cambria" w:hAnsi="Cambria"/>
                <w:sz w:val="20"/>
                <w:szCs w:val="20"/>
              </w:rPr>
              <w:t>MÊS</w:t>
            </w:r>
          </w:p>
        </w:tc>
        <w:tc>
          <w:tcPr>
            <w:tcW w:w="525" w:type="pct"/>
            <w:noWrap/>
            <w:vAlign w:val="center"/>
            <w:hideMark/>
          </w:tcPr>
          <w:p>
            <w:pPr>
              <w:jc w:val="center"/>
              <w:rPr>
                <w:rFonts w:ascii="Cambria" w:hAnsi="Cambria"/>
                <w:sz w:val="20"/>
                <w:szCs w:val="20"/>
              </w:rPr>
            </w:pPr>
            <w:r>
              <w:rPr>
                <w:rFonts w:ascii="Cambria" w:hAnsi="Cambria"/>
                <w:sz w:val="20"/>
                <w:szCs w:val="20"/>
              </w:rPr>
              <w:t>12</w:t>
            </w:r>
          </w:p>
        </w:tc>
        <w:tc>
          <w:tcPr>
            <w:tcW w:w="774" w:type="pct"/>
            <w:noWrap/>
            <w:vAlign w:val="center"/>
          </w:tcPr>
          <w:p>
            <w:pPr>
              <w:jc w:val="center"/>
              <w:rPr>
                <w:rFonts w:ascii="Cambria" w:hAnsi="Cambria"/>
                <w:sz w:val="20"/>
                <w:szCs w:val="20"/>
                <w:highlight w:val="yellow"/>
              </w:rPr>
            </w:pPr>
            <w:r>
              <w:rPr>
                <w:rFonts w:ascii="Cambria" w:hAnsi="Cambria"/>
                <w:sz w:val="20"/>
                <w:szCs w:val="20"/>
              </w:rPr>
              <w:t>R$ 2.123,33</w:t>
            </w:r>
          </w:p>
        </w:tc>
        <w:tc>
          <w:tcPr>
            <w:tcW w:w="867" w:type="pct"/>
            <w:noWrap/>
            <w:vAlign w:val="center"/>
          </w:tcPr>
          <w:p>
            <w:pPr>
              <w:jc w:val="center"/>
              <w:rPr>
                <w:rFonts w:ascii="Cambria" w:hAnsi="Cambria"/>
                <w:sz w:val="20"/>
                <w:szCs w:val="20"/>
                <w:highlight w:val="yellow"/>
              </w:rPr>
            </w:pPr>
            <w:r>
              <w:rPr>
                <w:rFonts w:ascii="Cambria" w:hAnsi="Cambria"/>
                <w:sz w:val="20"/>
                <w:szCs w:val="20"/>
              </w:rPr>
              <w:t>R$ 25.479,96</w:t>
            </w:r>
          </w:p>
        </w:tc>
      </w:tr>
      <w:tr>
        <w:trPr>
          <w:trHeight w:val="225"/>
        </w:trPr>
        <w:tc>
          <w:tcPr>
            <w:tcW w:w="5000" w:type="pct"/>
            <w:gridSpan w:val="6"/>
            <w:shd w:val="clear" w:color="F2F2F2" w:fill="F2F2F2"/>
            <w:noWrap/>
            <w:vAlign w:val="center"/>
            <w:hideMark/>
          </w:tcPr>
          <w:p>
            <w:pPr>
              <w:jc w:val="center"/>
              <w:rPr>
                <w:rFonts w:ascii="Cambria" w:hAnsi="Cambria"/>
                <w:b/>
                <w:bCs/>
                <w:sz w:val="20"/>
                <w:szCs w:val="20"/>
              </w:rPr>
            </w:pPr>
            <w:r>
              <w:rPr>
                <w:rFonts w:ascii="Cambria" w:hAnsi="Cambria"/>
                <w:b/>
                <w:bCs/>
                <w:sz w:val="20"/>
                <w:szCs w:val="20"/>
              </w:rPr>
              <w:t>VALOR GLOBAL: R$ 25.479,96 (vinte e cinco mil, quatrocentos e setenta e nove reais e noventa e seis centavos)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w:t>
      </w:r>
      <w:r>
        <w:rPr>
          <w:rFonts w:ascii="Cambria" w:hAnsi="Cambria"/>
          <w:sz w:val="24"/>
          <w:szCs w:val="24"/>
        </w:rPr>
        <w:lastRenderedPageBreak/>
        <w:t>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lastRenderedPageBreak/>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diretor.</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 xml:space="preserve">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lastRenderedPageBreak/>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10.2.1</w:t>
      </w:r>
      <w:r>
        <w:rPr>
          <w:rFonts w:ascii="Cambria" w:hAnsi="Cambria"/>
          <w:bCs/>
          <w:sz w:val="24"/>
          <w:szCs w:val="24"/>
        </w:rPr>
        <w:t>. Iniciar a execução dos serviços no prazo estabelecido pela Administração, a contar do 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 xml:space="preserve">Disponibilizar equipe técnica qualificada para atendimento das demandas da PREFEITURA MUNICIPAL DE MIRAÍMA, mantendo profissionais com capacidade técnica </w:t>
      </w:r>
      <w:r>
        <w:rPr>
          <w:rFonts w:ascii="Cambria" w:hAnsi="Cambria"/>
          <w:bCs/>
          <w:sz w:val="24"/>
          <w:szCs w:val="24"/>
        </w:rPr>
        <w:lastRenderedPageBreak/>
        <w:t>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10.2.6. </w:t>
      </w:r>
      <w:r>
        <w:rPr>
          <w:rFonts w:ascii="Cambria" w:hAnsi="Cambria"/>
          <w:bCs/>
          <w:sz w:val="24"/>
          <w:szCs w:val="24"/>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10.2.10. </w:t>
      </w:r>
      <w:r>
        <w:rPr>
          <w:rFonts w:ascii="Cambria" w:hAnsi="Cambria"/>
          <w:bCs/>
          <w:sz w:val="24"/>
          <w:szCs w:val="24"/>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lastRenderedPageBreak/>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3.3.90.39.00 – Outros serv. de terceiro pessoa jurídica. Fonte de Recurso: 1500100200 – Receita de imposto e transf.  – Saúde.</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 xml:space="preserve">Se não for possível o pagamento por meio de desconto, a CONTRATADA ficará obrigada a </w:t>
      </w:r>
      <w:r>
        <w:rPr>
          <w:rFonts w:ascii="Cambria" w:hAnsi="Cambria"/>
          <w:sz w:val="24"/>
          <w:szCs w:val="24"/>
        </w:rPr>
        <w:lastRenderedPageBreak/>
        <w:t>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rPr>
          <w:rFonts w:ascii="Cambria" w:hAnsi="Cambria" w:cstheme="minorHAnsi"/>
          <w:b/>
          <w:bCs/>
          <w:sz w:val="24"/>
          <w:szCs w:val="24"/>
        </w:rPr>
      </w:pPr>
      <w:r>
        <w:rPr>
          <w:rFonts w:ascii="Cambria" w:hAnsi="Cambria" w:cstheme="minorHAnsi"/>
          <w:b/>
          <w:bCs/>
          <w:sz w:val="24"/>
          <w:szCs w:val="24"/>
        </w:rPr>
        <w:br w:type="page"/>
      </w:r>
    </w:p>
    <w:p>
      <w:pPr>
        <w:spacing w:line="275" w:lineRule="exact"/>
        <w:jc w:val="center"/>
        <w:rPr>
          <w:rFonts w:ascii="Cambria" w:hAnsi="Cambria" w:cstheme="minorHAnsi"/>
          <w:b/>
          <w:bCs/>
          <w:sz w:val="24"/>
          <w:szCs w:val="24"/>
        </w:rPr>
      </w:pPr>
      <w:bookmarkStart w:id="4" w:name="_GoBack"/>
      <w:bookmarkEnd w:id="4"/>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headerReference w:type="default" r:id="rId10"/>
      <w:footerReference w:type="default" r:id="rId11"/>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824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028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233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szCs w:val="16"/>
        <w:lang w:val="pt-BR" w:eastAsia="pt-BR"/>
      </w:rPr>
      <w:drawing>
        <wp:anchor distT="0" distB="0" distL="114300" distR="114300" simplePos="0" relativeHeight="251656192" behindDoc="1" locked="0" layoutInCell="1" allowOverlap="1">
          <wp:simplePos x="0" y="0"/>
          <wp:positionH relativeFrom="column">
            <wp:posOffset>5644515</wp:posOffset>
          </wp:positionH>
          <wp:positionV relativeFrom="paragraph">
            <wp:posOffset>16510</wp:posOffset>
          </wp:positionV>
          <wp:extent cx="950595" cy="1021080"/>
          <wp:effectExtent l="0" t="0" r="0" b="0"/>
          <wp:wrapTight wrapText="bothSides">
            <wp:wrapPolygon edited="0">
              <wp:start x="7359" y="0"/>
              <wp:lineTo x="4329" y="1209"/>
              <wp:lineTo x="0" y="5239"/>
              <wp:lineTo x="0" y="14104"/>
              <wp:lineTo x="3896" y="19343"/>
              <wp:lineTo x="7792" y="21358"/>
              <wp:lineTo x="13419" y="21358"/>
              <wp:lineTo x="17747" y="19343"/>
              <wp:lineTo x="21210" y="14104"/>
              <wp:lineTo x="21210" y="5239"/>
              <wp:lineTo x="16882" y="1209"/>
              <wp:lineTo x="14285" y="0"/>
              <wp:lineTo x="7359"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366771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4144" behindDoc="0" locked="0" layoutInCell="1" allowOverlap="1">
          <wp:simplePos x="0" y="0"/>
          <wp:positionH relativeFrom="margin">
            <wp:posOffset>2234565</wp:posOffset>
          </wp:positionH>
          <wp:positionV relativeFrom="paragraph">
            <wp:posOffset>-225425</wp:posOffset>
          </wp:positionV>
          <wp:extent cx="1657350" cy="1631950"/>
          <wp:effectExtent l="0" t="0" r="0" b="0"/>
          <wp:wrapThrough wrapText="bothSides">
            <wp:wrapPolygon edited="0">
              <wp:start x="10179" y="2774"/>
              <wp:lineTo x="5462" y="5799"/>
              <wp:lineTo x="5462" y="11346"/>
              <wp:lineTo x="2483" y="13111"/>
              <wp:lineTo x="1986" y="13616"/>
              <wp:lineTo x="1738" y="16893"/>
              <wp:lineTo x="2483" y="17146"/>
              <wp:lineTo x="8441" y="17650"/>
              <wp:lineTo x="16883" y="17650"/>
              <wp:lineTo x="19117" y="17146"/>
              <wp:lineTo x="19862" y="16641"/>
              <wp:lineTo x="19117" y="15381"/>
              <wp:lineTo x="16138" y="11346"/>
              <wp:lineTo x="16138" y="5799"/>
              <wp:lineTo x="14648" y="4286"/>
              <wp:lineTo x="11421" y="2774"/>
              <wp:lineTo x="10179" y="2774"/>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68438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isselectedend">
    <w:name w:val="isselectedend"/>
    <w:basedOn w:val="Normal"/>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4638</TotalTime>
  <Pages>26</Pages>
  <Words>10976</Words>
  <Characters>59274</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132</cp:revision>
  <cp:lastPrinted>2024-04-22T17:26:00Z</cp:lastPrinted>
  <dcterms:created xsi:type="dcterms:W3CDTF">2024-01-28T19:24:00Z</dcterms:created>
  <dcterms:modified xsi:type="dcterms:W3CDTF">2026-06-03T14:52:00Z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