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122/2026 -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Educação, neste ato representado pelo Senhor FRANCISCO CICERO ALBUQUERQUE ARAUJO, Secretário de Educação, nos termos do art. 75, inciso II combinado com o seu §3º, da Lei Federal nº 14.133, de 01 de abril de 2021 e do Decreto Municipal, torna público que, tem interesse em realizar a contratação direta para CONTRATAÇÃO DE EMPRESA ESPECIALIZADA PARA PRESTAÇÃO DE SERVIÇOS DE ASSESSORIA E CONSULTORIA PARA O PROCESSAMENTO E ENVIO DAS INFORMAÇÕES AO e-SOCIAL, DE INTERESSE DA SECRETARIA DE EDUCAÇÃO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PRESTAÇÃO DE SERVIÇOS DE ASSESSORIA E CONSULTORIA PARA O PROCESSAMENTO E ENVIO DAS INFORMAÇÕES AO e-SOCIAL, DE INTERESSE DA SECRETARIA DE EDUCAÇÃO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Educação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4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26/06/2026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01/07/2026 às 09:00 Horas (Horário de Brasília)</w:t>
            </w:r>
          </w:p>
        </w:tc>
      </w:tr>
      <w:tr>
        <w:trPr>
          <w:cantSplit/>
          <w:trHeight w:hRule="exact" w:val="724"/>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 xml:space="preserve">Início: </w:t>
            </w:r>
            <w:r>
              <w:rPr>
                <w:rFonts w:ascii="Cambria" w:hAnsi="Cambria"/>
                <w:sz w:val="24"/>
                <w:szCs w:val="24"/>
                <w:lang w:val="pt-BR" w:eastAsia="pt-BR"/>
              </w:rPr>
              <w:t xml:space="preserve">01/07/2026 </w:t>
            </w:r>
            <w:r>
              <w:rPr>
                <w:rFonts w:ascii="Cambria" w:hAnsi="Cambria"/>
                <w:sz w:val="24"/>
                <w:szCs w:val="24"/>
                <w:lang w:val="pt-BR" w:eastAsia="pt-BR"/>
              </w:rPr>
              <w:t>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lastRenderedPageBreak/>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lastRenderedPageBreak/>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053/2023, de 27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presente contratação tem como finalidade garantir o cumprimento das obrigações legais da Secretaria de Educação do Município de Miraíma/CE perante o Sistema de Escrituração Digital das Obrigações Fiscais, Previdenciárias e Trabalhistas – eSocial, instrumento instituído pelo Governo Federal para unificar o envio das informações trabalhistas, previdenciárias e fiscais dos órgãos públicos.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operacionalização do eSocial exige elevado grau de conhecimento técnico, atualização permanente acerca das normas vigentes e acompanhamento contínuo dos eventos enviados ao sistema, uma vez que falhas, inconsistências ou atrasos na transmissão das informações podem ocasionar pendências junto aos órgãos federais competentes, além de comprometer a regularidade das obrigações acessórias do Município.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 xml:space="preserve">A Secretaria de Educação possui demanda contínua relacionada à gestão de pessoal, envolvendo admissões, desligamentos, afastamentos, férias, licenças, alterações cadastrais, folha de pagamento e demais eventos que devem ser processados e transmitidos ao eSocial dentro dos prazos legalmente estabelecidos. Nesse contexto, torna-se necessária a contratação de empresa especializada para prestar serviços de assessoria e consultoria técnica, assegurando o correto processamento, validação, envio e acompanhamento dessas </w:t>
      </w:r>
      <w:r>
        <w:rPr>
          <w:rFonts w:ascii="Cambria" w:hAnsi="Cambria" w:cstheme="minorHAnsi"/>
          <w:sz w:val="24"/>
          <w:szCs w:val="24"/>
        </w:rPr>
        <w:lastRenderedPageBreak/>
        <w:t>informações.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proporcionará maior segurança, confiabilidade e conformidade na execução das rotinas relacionadas ao eSocial, contribuindo para a redução de inconsistências, mitigação de riscos de responsabilização administrativa e melhoria dos controles internos da Administração Pública.</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Diante disso, a contratação de empresa especializada para prestação de serviços de assessoria e consultoria para o processamento e envio das informações ao eSocial mostra-se necessária e vantajosa para a Administração, por garantir o atendimento das exigências legais, a continuidade dos serviços administrativos e a adequada gestão das informações de pessoal da Secretaria de Educação do Município de Miraíma/CE.</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1"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7"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sz w:val="24"/>
                <w:szCs w:val="24"/>
              </w:rPr>
            </w:pPr>
            <w:r>
              <w:rPr>
                <w:rFonts w:ascii="Cambria" w:hAnsi="Cambria"/>
                <w:sz w:val="24"/>
                <w:szCs w:val="24"/>
              </w:rPr>
              <w:t>SERVIÇOS DE ASSESSORIA E CONSULTORIA PARA O PROCESSAMENTO E ENVIO DAS INFORMAÇÕES AO eSOCIAL, DE INTERESSE DA SECRETARIA DE EDUCAÇÃO DO MUNICÍPIO DE MIRAÍMA/CE.</w:t>
            </w:r>
          </w:p>
        </w:tc>
        <w:tc>
          <w:tcPr>
            <w:tcW w:w="656" w:type="pct"/>
            <w:noWrap/>
            <w:vAlign w:val="center"/>
            <w:hideMark/>
          </w:tcPr>
          <w:p>
            <w:pPr>
              <w:jc w:val="center"/>
              <w:rPr>
                <w:rFonts w:ascii="Cambria" w:hAnsi="Cambria"/>
                <w:sz w:val="24"/>
                <w:szCs w:val="24"/>
              </w:rPr>
            </w:pPr>
            <w:r>
              <w:rPr>
                <w:rFonts w:ascii="Cambria" w:hAnsi="Cambria"/>
                <w:sz w:val="24"/>
                <w:szCs w:val="24"/>
              </w:rPr>
              <w:t>MÊS</w:t>
            </w:r>
          </w:p>
        </w:tc>
        <w:tc>
          <w:tcPr>
            <w:tcW w:w="525" w:type="pct"/>
            <w:noWrap/>
            <w:vAlign w:val="center"/>
            <w:hideMark/>
          </w:tcPr>
          <w:p>
            <w:pPr>
              <w:jc w:val="center"/>
              <w:rPr>
                <w:rFonts w:ascii="Cambria" w:hAnsi="Cambria"/>
                <w:sz w:val="24"/>
                <w:szCs w:val="24"/>
              </w:rPr>
            </w:pPr>
            <w:r>
              <w:rPr>
                <w:rFonts w:ascii="Cambria" w:hAnsi="Cambria"/>
                <w:sz w:val="24"/>
                <w:szCs w:val="24"/>
              </w:rPr>
              <w:t>12</w:t>
            </w:r>
          </w:p>
        </w:tc>
        <w:tc>
          <w:tcPr>
            <w:tcW w:w="774" w:type="pct"/>
            <w:noWrap/>
            <w:vAlign w:val="center"/>
          </w:tcPr>
          <w:p>
            <w:pPr>
              <w:jc w:val="center"/>
              <w:rPr>
                <w:rFonts w:ascii="Cambria" w:hAnsi="Cambria"/>
                <w:sz w:val="24"/>
                <w:szCs w:val="24"/>
                <w:highlight w:val="yellow"/>
              </w:rPr>
            </w:pPr>
            <w:r>
              <w:rPr>
                <w:rFonts w:ascii="Cambria" w:hAnsi="Cambria"/>
                <w:sz w:val="24"/>
                <w:szCs w:val="24"/>
              </w:rPr>
              <w:t>R$ 4.725,00</w:t>
            </w:r>
          </w:p>
        </w:tc>
        <w:tc>
          <w:tcPr>
            <w:tcW w:w="867" w:type="pct"/>
            <w:noWrap/>
            <w:vAlign w:val="center"/>
          </w:tcPr>
          <w:p>
            <w:pPr>
              <w:jc w:val="center"/>
              <w:rPr>
                <w:rFonts w:ascii="Cambria" w:hAnsi="Cambria"/>
                <w:sz w:val="24"/>
                <w:szCs w:val="24"/>
                <w:highlight w:val="yellow"/>
              </w:rPr>
            </w:pPr>
            <w:r>
              <w:rPr>
                <w:rFonts w:ascii="Cambria" w:hAnsi="Cambria"/>
                <w:sz w:val="24"/>
                <w:szCs w:val="24"/>
              </w:rPr>
              <w:t>R$ 56.700,00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R$ 56.700,00 (cinquenta e seis mil e setecentos reais)</w:t>
            </w:r>
          </w:p>
        </w:tc>
      </w:tr>
    </w:tbl>
    <w:p>
      <w:pPr>
        <w:pStyle w:val="Corpodetexto"/>
        <w:spacing w:before="10"/>
        <w:jc w:val="both"/>
        <w:rPr>
          <w:rFonts w:ascii="Cambria" w:hAnsi="Cambria" w:cstheme="minorHAnsi"/>
          <w:lang w:val="pt-BR"/>
        </w:rPr>
      </w:pPr>
    </w:p>
    <w:p>
      <w:pPr>
        <w:pStyle w:val="Corpodetexto"/>
        <w:spacing w:before="10"/>
        <w:jc w:val="both"/>
        <w:rPr>
          <w:rFonts w:ascii="Cambria" w:hAnsi="Cambria" w:cstheme="minorHAnsi"/>
          <w:lang w:val="pt-BR"/>
        </w:rPr>
      </w:pPr>
      <w:r>
        <w:rPr>
          <w:rFonts w:ascii="Cambria" w:hAnsi="Cambria" w:cstheme="minorHAnsi"/>
          <w:lang w:val="pt-BR"/>
        </w:rPr>
        <w:t>4.2. Os serviços serão executados pelo período de 12 (doze) meses, observadas as condições, requisitos e níveis mínimos de atendimento estabelecidos no Termo de Referência.</w:t>
      </w:r>
    </w:p>
    <w:p>
      <w:pPr>
        <w:pStyle w:val="Corpodetexto"/>
        <w:spacing w:before="10"/>
        <w:jc w:val="both"/>
        <w:rPr>
          <w:rFonts w:ascii="Cambria" w:hAnsi="Cambria" w:cstheme="minorHAnsi"/>
          <w:lang w:val="pt-BR"/>
        </w:rPr>
      </w:pPr>
      <w:r>
        <w:rPr>
          <w:rFonts w:ascii="Cambria" w:hAnsi="Cambria" w:cstheme="minorHAnsi"/>
          <w:lang w:val="pt-BR"/>
        </w:rPr>
        <w:t>4.3. O atendimento presencial mínimo de 20 (vinte) horas mensais não exclui a obrigação da contratada de prestar suporte remoto contínuo durante o horário comercial, sempre que solicitado pela Administração.</w:t>
      </w:r>
    </w:p>
    <w:p>
      <w:pPr>
        <w:pStyle w:val="Corpodetexto"/>
        <w:spacing w:before="10"/>
        <w:jc w:val="both"/>
        <w:rPr>
          <w:rFonts w:ascii="Cambria" w:hAnsi="Cambria" w:cstheme="minorHAnsi"/>
          <w:lang w:val="pt-BR"/>
        </w:rPr>
      </w:pPr>
      <w:r>
        <w:rPr>
          <w:rFonts w:ascii="Cambria" w:hAnsi="Cambria" w:cstheme="minorHAnsi"/>
          <w:lang w:val="pt-BR"/>
        </w:rPr>
        <w:t>OBSERVAÇÃO: Em caso de divergência entre o detalhamento dos itens cadastrados no sistema Compras.gov.br e as especificações constantes neste Aviso de Dispensa Eletrônica e no Termo de Referência, prevalecerão as disposições do Aviso e do Termo de Referência para fins de formulação da proposta, execução contratual, fiscalização e recebimento dos serviços.</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sz w:val="23"/>
          <w:szCs w:val="23"/>
          <w:lang w:eastAsia="ar-SA"/>
        </w:rPr>
        <w:t xml:space="preserve">1001.12.122.0014.2.049 – </w:t>
      </w:r>
      <w:r>
        <w:rPr>
          <w:rFonts w:ascii="Cambria" w:hAnsi="Cambria"/>
          <w:sz w:val="23"/>
          <w:szCs w:val="23"/>
          <w:lang w:eastAsia="ar-SA"/>
        </w:rPr>
        <w:lastRenderedPageBreak/>
        <w:t>Funcionamento da Secretaria Municipal de Educação; Elemento de Despesas: 3.3.90.39.00 - Outros Serv. de Terc. Pessoa Jurídica; Fonte de Recursos: 1500100100.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053/2023, de 27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Theme="majorHAnsi" w:hAnsiTheme="majorHAnsi" w:cstheme="minorHAnsi"/>
          <w:b/>
          <w:bCs/>
        </w:rPr>
      </w:pPr>
      <w:r>
        <w:rPr>
          <w:rFonts w:asciiTheme="majorHAnsi" w:hAnsiTheme="majorHAnsi" w:cstheme="minorHAnsi"/>
          <w:b/>
          <w:bCs/>
        </w:rPr>
        <w:t>DO ENQUANDRAMENTO LEGAL</w:t>
      </w:r>
    </w:p>
    <w:p>
      <w:pPr>
        <w:pStyle w:val="Corpodetexto"/>
        <w:spacing w:before="90"/>
        <w:ind w:right="3"/>
        <w:jc w:val="both"/>
        <w:rPr>
          <w:rFonts w:asciiTheme="majorHAnsi" w:hAnsiTheme="majorHAnsi" w:cstheme="minorHAnsi"/>
        </w:rPr>
      </w:pPr>
      <w:r>
        <w:rPr>
          <w:rFonts w:asciiTheme="majorHAnsi" w:hAnsiTheme="majorHAnsi" w:cstheme="minorHAnsi"/>
        </w:rPr>
        <w:t>9.1. O objeto pretendido pela Administração e ora processado se caracteriza em hipótese de</w:t>
      </w:r>
      <w:r>
        <w:rPr>
          <w:rFonts w:asciiTheme="majorHAnsi" w:hAnsiTheme="majorHAnsi" w:cstheme="minorHAnsi"/>
          <w:spacing w:val="1"/>
        </w:rPr>
        <w:t xml:space="preserve"> </w:t>
      </w:r>
      <w:r>
        <w:rPr>
          <w:rFonts w:asciiTheme="majorHAnsi" w:hAnsiTheme="majorHAnsi" w:cstheme="minorHAnsi"/>
        </w:rPr>
        <w:t>dispensa</w:t>
      </w:r>
      <w:r>
        <w:rPr>
          <w:rFonts w:asciiTheme="majorHAnsi" w:hAnsiTheme="majorHAnsi" w:cstheme="minorHAnsi"/>
          <w:spacing w:val="12"/>
        </w:rPr>
        <w:t xml:space="preserve"> </w:t>
      </w:r>
      <w:r>
        <w:rPr>
          <w:rFonts w:asciiTheme="majorHAnsi" w:hAnsiTheme="majorHAnsi" w:cstheme="minorHAnsi"/>
        </w:rPr>
        <w:t>de</w:t>
      </w:r>
      <w:r>
        <w:rPr>
          <w:rFonts w:asciiTheme="majorHAnsi" w:hAnsiTheme="majorHAnsi" w:cstheme="minorHAnsi"/>
          <w:spacing w:val="12"/>
        </w:rPr>
        <w:t xml:space="preserve"> </w:t>
      </w:r>
      <w:r>
        <w:rPr>
          <w:rFonts w:asciiTheme="majorHAnsi" w:hAnsiTheme="majorHAnsi" w:cstheme="minorHAnsi"/>
        </w:rPr>
        <w:t>licitação,</w:t>
      </w:r>
      <w:r>
        <w:rPr>
          <w:rFonts w:asciiTheme="majorHAnsi" w:hAnsiTheme="majorHAnsi" w:cstheme="minorHAnsi"/>
          <w:spacing w:val="13"/>
        </w:rPr>
        <w:t xml:space="preserve"> </w:t>
      </w:r>
      <w:r>
        <w:rPr>
          <w:rFonts w:asciiTheme="majorHAnsi" w:hAnsiTheme="majorHAnsi" w:cstheme="minorHAnsi"/>
        </w:rPr>
        <w:t>amparado</w:t>
      </w:r>
      <w:r>
        <w:rPr>
          <w:rFonts w:asciiTheme="majorHAnsi" w:hAnsiTheme="majorHAnsi" w:cstheme="minorHAnsi"/>
          <w:spacing w:val="13"/>
        </w:rPr>
        <w:t xml:space="preserve"> </w:t>
      </w:r>
      <w:r>
        <w:rPr>
          <w:rFonts w:asciiTheme="majorHAnsi" w:hAnsiTheme="majorHAnsi" w:cstheme="minorHAnsi"/>
        </w:rPr>
        <w:t>no</w:t>
      </w:r>
      <w:r>
        <w:rPr>
          <w:rFonts w:asciiTheme="majorHAnsi" w:hAnsiTheme="majorHAnsi" w:cstheme="minorHAnsi"/>
          <w:spacing w:val="13"/>
        </w:rPr>
        <w:t xml:space="preserve"> </w:t>
      </w:r>
      <w:r>
        <w:rPr>
          <w:rFonts w:asciiTheme="majorHAnsi" w:hAnsiTheme="majorHAnsi" w:cstheme="minorHAnsi"/>
        </w:rPr>
        <w:t>art.</w:t>
      </w:r>
      <w:r>
        <w:rPr>
          <w:rFonts w:asciiTheme="majorHAnsi" w:hAnsiTheme="majorHAnsi" w:cstheme="minorHAnsi"/>
          <w:spacing w:val="12"/>
        </w:rPr>
        <w:t xml:space="preserve"> </w:t>
      </w:r>
      <w:r>
        <w:rPr>
          <w:rFonts w:asciiTheme="majorHAnsi" w:hAnsiTheme="majorHAnsi" w:cstheme="minorHAnsi"/>
        </w:rPr>
        <w:t>75,</w:t>
      </w:r>
      <w:r>
        <w:rPr>
          <w:rFonts w:asciiTheme="majorHAnsi" w:hAnsiTheme="majorHAnsi" w:cstheme="minorHAnsi"/>
          <w:spacing w:val="13"/>
        </w:rPr>
        <w:t xml:space="preserve"> </w:t>
      </w:r>
      <w:r>
        <w:rPr>
          <w:rFonts w:asciiTheme="majorHAnsi" w:hAnsiTheme="majorHAnsi" w:cstheme="minorHAnsi"/>
        </w:rPr>
        <w:t>inciso</w:t>
      </w:r>
      <w:r>
        <w:rPr>
          <w:rFonts w:asciiTheme="majorHAnsi" w:hAnsiTheme="majorHAnsi" w:cstheme="minorHAnsi"/>
          <w:spacing w:val="13"/>
        </w:rPr>
        <w:t xml:space="preserve"> </w:t>
      </w:r>
      <w:r>
        <w:rPr>
          <w:rFonts w:asciiTheme="majorHAnsi" w:hAnsiTheme="majorHAnsi" w:cstheme="minorHAnsi"/>
        </w:rPr>
        <w:t>II,</w:t>
      </w:r>
      <w:r>
        <w:rPr>
          <w:rFonts w:asciiTheme="majorHAnsi" w:hAnsiTheme="majorHAnsi" w:cstheme="minorHAnsi"/>
          <w:spacing w:val="15"/>
        </w:rPr>
        <w:t xml:space="preserve"> </w:t>
      </w:r>
      <w:r>
        <w:rPr>
          <w:rFonts w:asciiTheme="majorHAnsi" w:hAnsiTheme="majorHAnsi" w:cstheme="minorHAnsi"/>
        </w:rPr>
        <w:t>c/c</w:t>
      </w:r>
      <w:r>
        <w:rPr>
          <w:rFonts w:asciiTheme="majorHAnsi" w:hAnsiTheme="majorHAnsi" w:cstheme="minorHAnsi"/>
          <w:spacing w:val="12"/>
        </w:rPr>
        <w:t xml:space="preserve"> </w:t>
      </w:r>
      <w:r>
        <w:rPr>
          <w:rFonts w:asciiTheme="majorHAnsi" w:hAnsiTheme="majorHAnsi" w:cstheme="minorHAnsi"/>
        </w:rPr>
        <w:t>§</w:t>
      </w:r>
      <w:r>
        <w:rPr>
          <w:rFonts w:asciiTheme="majorHAnsi" w:hAnsiTheme="majorHAnsi" w:cstheme="minorHAnsi"/>
          <w:spacing w:val="13"/>
        </w:rPr>
        <w:t xml:space="preserve"> </w:t>
      </w:r>
      <w:r>
        <w:rPr>
          <w:rFonts w:asciiTheme="majorHAnsi" w:hAnsiTheme="majorHAnsi" w:cstheme="minorHAnsi"/>
        </w:rPr>
        <w:t>3º</w:t>
      </w:r>
      <w:r>
        <w:rPr>
          <w:rFonts w:asciiTheme="majorHAnsi" w:hAnsiTheme="majorHAnsi" w:cstheme="minorHAnsi"/>
          <w:spacing w:val="15"/>
        </w:rPr>
        <w:t xml:space="preserve"> </w:t>
      </w:r>
      <w:r>
        <w:rPr>
          <w:rFonts w:asciiTheme="majorHAnsi" w:hAnsiTheme="majorHAnsi" w:cstheme="minorHAnsi"/>
        </w:rPr>
        <w:t>todos</w:t>
      </w:r>
      <w:r>
        <w:rPr>
          <w:rFonts w:asciiTheme="majorHAnsi" w:hAnsiTheme="majorHAnsi" w:cstheme="minorHAnsi"/>
          <w:spacing w:val="14"/>
        </w:rPr>
        <w:t xml:space="preserve"> </w:t>
      </w:r>
      <w:r>
        <w:rPr>
          <w:rFonts w:asciiTheme="majorHAnsi" w:hAnsiTheme="majorHAnsi" w:cstheme="minorHAnsi"/>
        </w:rPr>
        <w:t>da</w:t>
      </w:r>
      <w:r>
        <w:rPr>
          <w:rFonts w:asciiTheme="majorHAnsi" w:hAnsiTheme="majorHAnsi" w:cstheme="minorHAnsi"/>
          <w:spacing w:val="14"/>
        </w:rPr>
        <w:t xml:space="preserve"> </w:t>
      </w:r>
      <w:r>
        <w:rPr>
          <w:rFonts w:asciiTheme="majorHAnsi" w:hAnsiTheme="majorHAnsi" w:cstheme="minorHAnsi"/>
        </w:rPr>
        <w:t>Lei</w:t>
      </w:r>
      <w:r>
        <w:rPr>
          <w:rFonts w:asciiTheme="majorHAnsi" w:hAnsiTheme="majorHAnsi" w:cstheme="minorHAnsi"/>
          <w:spacing w:val="16"/>
        </w:rPr>
        <w:t xml:space="preserve"> </w:t>
      </w:r>
      <w:r>
        <w:rPr>
          <w:rFonts w:asciiTheme="majorHAnsi" w:hAnsiTheme="majorHAnsi" w:cstheme="minorHAnsi"/>
        </w:rPr>
        <w:t>Federal</w:t>
      </w:r>
      <w:r>
        <w:rPr>
          <w:rFonts w:asciiTheme="majorHAnsi" w:hAnsiTheme="majorHAnsi" w:cstheme="minorHAnsi"/>
          <w:spacing w:val="13"/>
        </w:rPr>
        <w:t xml:space="preserve"> </w:t>
      </w:r>
      <w:r>
        <w:rPr>
          <w:rFonts w:asciiTheme="majorHAnsi" w:hAnsiTheme="majorHAnsi" w:cstheme="minorHAnsi"/>
        </w:rPr>
        <w:t>nº</w:t>
      </w:r>
      <w:r>
        <w:rPr>
          <w:rFonts w:asciiTheme="majorHAnsi" w:hAnsiTheme="majorHAnsi" w:cstheme="minorHAnsi"/>
          <w:spacing w:val="13"/>
        </w:rPr>
        <w:t xml:space="preserve"> </w:t>
      </w:r>
      <w:r>
        <w:rPr>
          <w:rFonts w:asciiTheme="majorHAnsi" w:hAnsiTheme="majorHAnsi" w:cstheme="minorHAnsi"/>
        </w:rPr>
        <w:t>14.133,</w:t>
      </w:r>
      <w:r>
        <w:rPr>
          <w:rFonts w:asciiTheme="majorHAnsi" w:hAnsiTheme="majorHAnsi" w:cstheme="minorHAnsi"/>
          <w:spacing w:val="-58"/>
        </w:rPr>
        <w:t xml:space="preserve">                 </w:t>
      </w:r>
      <w:r>
        <w:rPr>
          <w:rFonts w:asciiTheme="majorHAnsi" w:hAnsiTheme="majorHAnsi" w:cstheme="minorHAnsi"/>
        </w:rPr>
        <w:t>de</w:t>
      </w:r>
      <w:r>
        <w:rPr>
          <w:rFonts w:asciiTheme="majorHAnsi" w:hAnsiTheme="majorHAnsi" w:cstheme="minorHAnsi"/>
          <w:spacing w:val="-2"/>
        </w:rPr>
        <w:t xml:space="preserve"> </w:t>
      </w:r>
      <w:r>
        <w:rPr>
          <w:rFonts w:asciiTheme="majorHAnsi" w:hAnsiTheme="majorHAnsi" w:cstheme="minorHAnsi"/>
        </w:rPr>
        <w:t>2021, com as</w:t>
      </w:r>
      <w:r>
        <w:rPr>
          <w:rFonts w:asciiTheme="majorHAnsi" w:hAnsiTheme="majorHAnsi" w:cstheme="minorHAnsi"/>
          <w:spacing w:val="-1"/>
        </w:rPr>
        <w:t xml:space="preserve"> </w:t>
      </w:r>
      <w:r>
        <w:rPr>
          <w:rFonts w:asciiTheme="majorHAnsi" w:hAnsiTheme="majorHAnsi" w:cstheme="minorHAnsi"/>
        </w:rPr>
        <w:t>justificativas presentes nos</w:t>
      </w:r>
      <w:r>
        <w:rPr>
          <w:rFonts w:asciiTheme="majorHAnsi" w:hAnsiTheme="majorHAnsi" w:cstheme="minorHAnsi"/>
          <w:spacing w:val="2"/>
        </w:rPr>
        <w:t xml:space="preserve"> </w:t>
      </w:r>
      <w:r>
        <w:rPr>
          <w:rFonts w:asciiTheme="majorHAnsi" w:hAnsiTheme="majorHAnsi" w:cstheme="minorHAnsi"/>
        </w:rPr>
        <w:t>autos.</w:t>
      </w:r>
    </w:p>
    <w:p>
      <w:pPr>
        <w:pStyle w:val="Corpodetexto"/>
        <w:jc w:val="both"/>
        <w:rPr>
          <w:rFonts w:asciiTheme="majorHAnsi" w:hAnsiTheme="majorHAnsi" w:cstheme="minorHAnsi"/>
        </w:rPr>
      </w:pPr>
    </w:p>
    <w:p>
      <w:pPr>
        <w:pStyle w:val="Corpodetexto"/>
        <w:numPr>
          <w:ilvl w:val="0"/>
          <w:numId w:val="6"/>
        </w:numPr>
        <w:shd w:val="clear" w:color="auto" w:fill="BFBFBF" w:themeFill="background1" w:themeFillShade="BF"/>
        <w:ind w:left="0" w:firstLine="0"/>
        <w:jc w:val="both"/>
        <w:rPr>
          <w:rFonts w:asciiTheme="majorHAnsi" w:hAnsiTheme="majorHAnsi" w:cstheme="minorHAnsi"/>
          <w:b/>
          <w:bCs/>
        </w:rPr>
      </w:pPr>
      <w:r>
        <w:rPr>
          <w:rFonts w:asciiTheme="majorHAnsi" w:hAnsiTheme="majorHAnsi" w:cstheme="minorHAnsi"/>
          <w:b/>
          <w:bCs/>
        </w:rPr>
        <w:t>DA PARTICIPAÇÃO E DE HABILITAÇÃO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 Poderão participar desta Dispensa Eletrônica as pessoas jurídicas que atuem em ramo de atividade compatível com o objeto da contratação e que atendam às condições estabelecidas neste Aviso de Contratação Direta e em seus anexos.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10.2. A participação ocorrerá por meio do Sistema Compras.gov.br, mediante prévio credenciamento do interessado e regular cadastramento no Sistema de Cadastramento Unificado de Fornecedores – SICAF, observadas as regras de funcionamento da plataforma.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10.3. Os licitantes deverão responsabilizar-se formalmente pelas transações efetuadas em seu nome, assumindo como firmes e verdadeiras suas propostas, lances e demais atos praticados no sistema eletrônico.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10.4. O custo de operacionalização e utilização do sistema eletrônico correrá por conta exclusiva do participante.</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10.5. O licitante arcará integralmente com todos os custos de preparação e apresentação de sua proposta, independentemente do resultado do procedimento.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lastRenderedPageBreak/>
        <w:t>10.6. DA ANÁLISE DE EXEQUIBILIDADE DAS PROPOSTAS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10.6.1. A Administração poderá realizar diligências para verificar a exequibilidade das propostas apresentadas, especialmente quando os valores ofertados apresentarem indícios de inexequibilidade ou se mostrarem significativamente inferiores ao valor estimado da contratação.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10.6.2. Considerar-se-á indício de inexequibilidade a proposta que apresentar valor inferior a 75% (setenta e cinco por cento) do valor estimado da contratação, sem prejuízo da realização de diligência destinada à comprovação de sua viabilidade econômica e operacional.</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10.6.3. Na hipótese prevista no subitem anterior, a licitante provisoriamente classificada em primeiro lugar poderá ser convocada para apresentar, no prazo fixado pela Administração, documentação complementar que demonstre a exequibilidade da proposta, incluindo, quando solicitado: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 – composição detalhada dos custos;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 – metodologia de execução dos serviços;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III – demonstração da estrutura operacional disponível para execução do objeto;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IV – documentos que evidenciem a viabilidade econômica da proposta apresentada;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 – outros esclarecimentos julgados necessários pela Administração.</w:t>
      </w:r>
    </w:p>
    <w:p>
      <w:pPr>
        <w:widowControl/>
        <w:autoSpaceDE/>
        <w:autoSpaceDN/>
        <w:jc w:val="both"/>
        <w:rPr>
          <w:rFonts w:asciiTheme="majorHAnsi" w:hAnsiTheme="majorHAnsi"/>
          <w:sz w:val="24"/>
          <w:szCs w:val="24"/>
          <w:lang w:val="pt-BR" w:eastAsia="pt-BR"/>
        </w:rPr>
      </w:pP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10.6.4. A não comprovação da exequibilidade da proposta, quando regularmente solicitada, poderá ensejar a sua desclassificação, mediante decisão motivada, assegurados o contraditório e a ampla defesa.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10.7. Não poderão participar desta contratação: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 – aquele que não atenda às condições deste Aviso de Contratação Direta e de seus anexos;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 – autor do anteprojeto, do projeto básico ou do projeto executivo, pessoa física ou jurídica, quando a contratação versar sobre obra, serviços ou fornecimento de bens a ele relacionados;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III – empresa ou profissional que se enquadre em quaisquer das hipóteses de impedimento previstas nos arts. 9º e 14 da Lei Federal nº 14.133/2021;</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IV – pessoa física ou jurídica que se encontre, ao tempo da contratação, impossibilitada de contratar em decorrência de sanção que lhe foi imposta;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 – empresas declaradas inidôneas ou suspensas de licitar e contratar com a Administração Pública, enquanto perdurarem os efeitos da sanção;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VI – servidor ou dirigente do órgão ou entidade contratante, bem como empresa da qual participe como sócio, administrador ou responsável técnico;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VII – empresas que se encontrem em processo de dissolução, liquidação ou falência, ressalvadas as hipóteses legalmente admitidas.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10.8. Os requisitos de habilitação jurídica, regularidade fiscal e trabalhista, qualificação econômico-financeira e qualificação técnica serão aqueles estabelecidos no Termo de Referência, que integra este Aviso para todos os fins.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10.9. A documentação de habilitação será exigida da licitante provisoriamente vencedora, nos termos do Termo de Referência e da legislação aplicável.</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10.10. A Administração poderá realizar diligências para esclarecer ou complementar a instrução processual, bem como solicitar documentos adicionais necessários à confirmação das informações apresentadas, observado o disposto na Lei Federal nº 14.133/2021.</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10.11. A não apresentação da documentação exigida, a apresentação de documentação em desacordo com o Termo de Referência ou a não comprovação do atendimento dos requisitos de habilitação ensejará a inabilitação da licitante.</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lastRenderedPageBreak/>
        <w:t>10.12. A documentação constante do SICAF poderá ser utilizada para fins de comprovação dos requisitos de habilitação, observada sua validade e compatibilidade com as exigências estabelecidas no Termo de Referência.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10.13. Havendo necessidade de análise mais detalhada da documentação apresentada, a sessão poderá ser suspensa, sendo informada no sistema a data e horário para sua continuidade.</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90"/>
        <w:ind w:right="3"/>
        <w:jc w:val="both"/>
        <w:rPr>
          <w:rFonts w:ascii="Cambria" w:hAnsi="Cambria" w:cstheme="minorHAnsi"/>
        </w:rPr>
      </w:pP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25 de junho 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 OBJETO:</w:t>
      </w:r>
    </w:p>
    <w:p>
      <w:pPr>
        <w:pBdr>
          <w:top w:val="nil"/>
          <w:left w:val="nil"/>
          <w:bottom w:val="nil"/>
          <w:right w:val="nil"/>
          <w:between w:val="nil"/>
        </w:pBdr>
        <w:spacing w:line="276" w:lineRule="auto"/>
        <w:jc w:val="both"/>
        <w:rPr>
          <w:rFonts w:ascii="Cambria" w:hAnsi="Cambria"/>
          <w:bCs/>
          <w:sz w:val="23"/>
          <w:szCs w:val="23"/>
        </w:rPr>
      </w:pPr>
      <w:r>
        <w:rPr>
          <w:rFonts w:ascii="Cambria" w:hAnsi="Cambria"/>
          <w:b/>
          <w:sz w:val="23"/>
          <w:szCs w:val="23"/>
        </w:rPr>
        <w:t xml:space="preserve">1.1. </w:t>
      </w:r>
      <w:r>
        <w:rPr>
          <w:rFonts w:ascii="Cambria" w:hAnsi="Cambria"/>
          <w:bCs/>
          <w:sz w:val="23"/>
          <w:szCs w:val="23"/>
        </w:rPr>
        <w:t>CONTRATAÇÃO DE EMPRESA ESPECIALIZADA PARA PRESTAÇÃO DE SERVIÇOS DE ASSESSORIA E CONSULTORIA PARA O PROCESSAMENTO E ENVIO DAS INFORMAÇÕES AO E-SOCIAL, DE INTERESSE DA SECRETARIA DE EDUCAÇÃO DO MUNICÍPIO DE MIRAÍMA/CE</w:t>
      </w:r>
    </w:p>
    <w:p>
      <w:pPr>
        <w:pBdr>
          <w:top w:val="nil"/>
          <w:left w:val="nil"/>
          <w:bottom w:val="nil"/>
          <w:right w:val="nil"/>
          <w:between w:val="nil"/>
        </w:pBdr>
        <w:spacing w:line="276" w:lineRule="auto"/>
        <w:jc w:val="both"/>
        <w:rPr>
          <w:rFonts w:ascii="Cambria" w:hAnsi="Cambria"/>
          <w:bCs/>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2. JUSTIFICATIVA</w:t>
      </w:r>
    </w:p>
    <w:p>
      <w:pPr>
        <w:pBdr>
          <w:top w:val="nil"/>
          <w:left w:val="nil"/>
          <w:bottom w:val="nil"/>
          <w:right w:val="nil"/>
          <w:between w:val="nil"/>
        </w:pBdr>
        <w:spacing w:line="276" w:lineRule="auto"/>
        <w:ind w:firstLine="567"/>
        <w:jc w:val="both"/>
        <w:rPr>
          <w:rFonts w:ascii="Cambria" w:hAnsi="Cambria" w:cs="Calibri Light"/>
          <w:sz w:val="23"/>
          <w:szCs w:val="23"/>
          <w:lang w:eastAsia="ar-SA"/>
        </w:rPr>
      </w:pPr>
      <w:r>
        <w:rPr>
          <w:rFonts w:ascii="Cambria" w:hAnsi="Cambria" w:cs="Calibri Light"/>
          <w:sz w:val="23"/>
          <w:szCs w:val="23"/>
          <w:lang w:eastAsia="ar-SA"/>
        </w:rPr>
        <w:t>A presente contratação tem por objetivo atender à necessidade da Secretaria de Educação do Município de Miraíma/CE quanto ao cumprimento das obrigações legais relacionadas ao Sistema de Escrituração Digital das Obrigações Fiscais, Previdenciárias e Trabalhistas – eSocial, por meio da prestação de serviços especializados de assessoria e consultoria para o processamento e envio das informações exigidas pelos órgãos federais competentes.</w:t>
      </w:r>
    </w:p>
    <w:p>
      <w:pPr>
        <w:pBdr>
          <w:top w:val="nil"/>
          <w:left w:val="nil"/>
          <w:bottom w:val="nil"/>
          <w:right w:val="nil"/>
          <w:between w:val="nil"/>
        </w:pBdr>
        <w:spacing w:line="276" w:lineRule="auto"/>
        <w:ind w:firstLine="567"/>
        <w:jc w:val="both"/>
        <w:rPr>
          <w:rFonts w:ascii="Cambria" w:hAnsi="Cambria" w:cs="Calibri Light"/>
          <w:sz w:val="23"/>
          <w:szCs w:val="23"/>
          <w:lang w:eastAsia="ar-SA"/>
        </w:rPr>
      </w:pPr>
      <w:r>
        <w:rPr>
          <w:rFonts w:ascii="Cambria" w:hAnsi="Cambria" w:cs="Calibri Light"/>
          <w:sz w:val="23"/>
          <w:szCs w:val="23"/>
          <w:lang w:eastAsia="ar-SA"/>
        </w:rPr>
        <w:t>O eSocial constitui ferramenta obrigatória para os entes públicos, exigindo o envio contínuo e tempestivo de informações relativas à gestão de pessoal, incluindo dados cadastrais, funcionais, remuneratórios, previdenciários e demais eventos previstos na legislação vigente. A correta operacionalização dessas obrigações demanda conhecimento técnico especializado, acompanhamento permanente das atualizações normativas e rigoroso controle dos prazos estabelecidos pelos órgãos responsáveis pelo sistema.</w:t>
      </w:r>
    </w:p>
    <w:p>
      <w:pPr>
        <w:pBdr>
          <w:top w:val="nil"/>
          <w:left w:val="nil"/>
          <w:bottom w:val="nil"/>
          <w:right w:val="nil"/>
          <w:between w:val="nil"/>
        </w:pBdr>
        <w:spacing w:line="276" w:lineRule="auto"/>
        <w:ind w:firstLine="567"/>
        <w:jc w:val="both"/>
        <w:rPr>
          <w:rFonts w:ascii="Cambria" w:hAnsi="Cambria" w:cs="Calibri Light"/>
          <w:sz w:val="23"/>
          <w:szCs w:val="23"/>
          <w:lang w:eastAsia="ar-SA"/>
        </w:rPr>
      </w:pPr>
      <w:r>
        <w:rPr>
          <w:rFonts w:ascii="Cambria" w:hAnsi="Cambria" w:cs="Calibri Light"/>
          <w:sz w:val="23"/>
          <w:szCs w:val="23"/>
          <w:lang w:eastAsia="ar-SA"/>
        </w:rPr>
        <w:t>Considerando a complexidade das rotinas envolvidas, bem como a necessidade de garantir a conformidade das informações transmitidas, torna-se necessária a contratação de empresa especializada para prestar assessoria e consultoria técnica, auxiliando a Administração na validação, processamento, transmissão e acompanhamento dos eventos do eSocial, além de oferecer suporte na identificação e correção de eventuais inconsistências.</w:t>
      </w:r>
    </w:p>
    <w:p>
      <w:pPr>
        <w:pBdr>
          <w:top w:val="nil"/>
          <w:left w:val="nil"/>
          <w:bottom w:val="nil"/>
          <w:right w:val="nil"/>
          <w:between w:val="nil"/>
        </w:pBdr>
        <w:spacing w:line="276" w:lineRule="auto"/>
        <w:ind w:firstLine="567"/>
        <w:jc w:val="both"/>
        <w:rPr>
          <w:rFonts w:ascii="Cambria" w:hAnsi="Cambria" w:cs="Calibri Light"/>
          <w:sz w:val="23"/>
          <w:szCs w:val="23"/>
          <w:lang w:eastAsia="ar-SA"/>
        </w:rPr>
      </w:pPr>
      <w:r>
        <w:rPr>
          <w:rFonts w:ascii="Cambria" w:hAnsi="Cambria" w:cs="Calibri Light"/>
          <w:sz w:val="23"/>
          <w:szCs w:val="23"/>
          <w:lang w:eastAsia="ar-SA"/>
        </w:rPr>
        <w:t>A contratação visa assegurar maior eficiência administrativa, reduzir riscos de erros, rejeições de eventos e descumprimento de obrigações acessórias, bem como garantir a regularidade das informações prestadas pela Secretaria de Educação perante os órgãos de controle e fiscalização.</w:t>
      </w:r>
    </w:p>
    <w:p>
      <w:pPr>
        <w:pBdr>
          <w:top w:val="nil"/>
          <w:left w:val="nil"/>
          <w:bottom w:val="nil"/>
          <w:right w:val="nil"/>
          <w:between w:val="nil"/>
        </w:pBdr>
        <w:spacing w:line="276" w:lineRule="auto"/>
        <w:ind w:firstLine="567"/>
        <w:jc w:val="both"/>
        <w:rPr>
          <w:rFonts w:ascii="Cambria" w:hAnsi="Cambria" w:cs="Calibri Light"/>
          <w:sz w:val="23"/>
          <w:szCs w:val="23"/>
          <w:lang w:eastAsia="ar-SA"/>
        </w:rPr>
      </w:pPr>
      <w:r>
        <w:rPr>
          <w:rFonts w:ascii="Cambria" w:hAnsi="Cambria" w:cs="Calibri Light"/>
          <w:sz w:val="23"/>
          <w:szCs w:val="23"/>
          <w:lang w:eastAsia="ar-SA"/>
        </w:rPr>
        <w:t>Dessa forma, a contratação pretendida mostra-se necessária e adequada para assegurar o cumprimento das exigências legais aplicáveis ao eSocial, contribuindo para a segurança jurídica, a eficiência da gestão pública e a continuidade dos serviços administrativos relacionados à gestão de pessoal da Secretaria de Educação do Município de Miraíma/CE.</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3"/>
                <w:szCs w:val="23"/>
              </w:rPr>
            </w:pPr>
            <w:r>
              <w:rPr>
                <w:rFonts w:ascii="Cambria" w:hAnsi="Cambria"/>
                <w:b/>
                <w:bCs/>
                <w:sz w:val="23"/>
                <w:szCs w:val="23"/>
              </w:rPr>
              <w:t>ITEM</w:t>
            </w:r>
          </w:p>
        </w:tc>
        <w:tc>
          <w:tcPr>
            <w:tcW w:w="1771" w:type="pct"/>
            <w:vMerge w:val="restart"/>
            <w:shd w:val="clear" w:color="D8D8D8" w:fill="D8D8D8"/>
            <w:vAlign w:val="center"/>
            <w:hideMark/>
          </w:tcPr>
          <w:p>
            <w:pPr>
              <w:jc w:val="center"/>
              <w:rPr>
                <w:rFonts w:ascii="Cambria" w:hAnsi="Cambria"/>
                <w:b/>
                <w:bCs/>
                <w:sz w:val="23"/>
                <w:szCs w:val="23"/>
              </w:rPr>
            </w:pPr>
            <w:r>
              <w:rPr>
                <w:rFonts w:ascii="Cambria" w:hAnsi="Cambria"/>
                <w:b/>
                <w:bCs/>
                <w:sz w:val="23"/>
                <w:szCs w:val="23"/>
              </w:rPr>
              <w:t>ESPECIFICAÇÃO</w:t>
            </w:r>
          </w:p>
        </w:tc>
        <w:tc>
          <w:tcPr>
            <w:tcW w:w="656" w:type="pct"/>
            <w:vMerge w:val="restart"/>
            <w:shd w:val="clear" w:color="D8D8D8" w:fill="D8D8D8"/>
            <w:noWrap/>
            <w:vAlign w:val="center"/>
            <w:hideMark/>
          </w:tcPr>
          <w:p>
            <w:pPr>
              <w:jc w:val="center"/>
              <w:rPr>
                <w:rFonts w:ascii="Cambria" w:hAnsi="Cambria"/>
                <w:b/>
                <w:bCs/>
                <w:sz w:val="23"/>
                <w:szCs w:val="23"/>
              </w:rPr>
            </w:pPr>
            <w:r>
              <w:rPr>
                <w:rFonts w:ascii="Cambria" w:hAnsi="Cambria"/>
                <w:b/>
                <w:bCs/>
                <w:sz w:val="23"/>
                <w:szCs w:val="23"/>
              </w:rPr>
              <w:t>UNIDADE</w:t>
            </w:r>
          </w:p>
        </w:tc>
        <w:tc>
          <w:tcPr>
            <w:tcW w:w="525" w:type="pct"/>
            <w:vMerge w:val="restart"/>
            <w:shd w:val="clear" w:color="D8D8D8" w:fill="D8D8D8"/>
            <w:noWrap/>
            <w:vAlign w:val="center"/>
            <w:hideMark/>
          </w:tcPr>
          <w:p>
            <w:pPr>
              <w:jc w:val="center"/>
              <w:rPr>
                <w:rFonts w:ascii="Cambria" w:hAnsi="Cambria"/>
                <w:b/>
                <w:bCs/>
                <w:sz w:val="23"/>
                <w:szCs w:val="23"/>
              </w:rPr>
            </w:pPr>
            <w:r>
              <w:rPr>
                <w:rFonts w:ascii="Cambria" w:hAnsi="Cambria"/>
                <w:b/>
                <w:bCs/>
                <w:sz w:val="23"/>
                <w:szCs w:val="23"/>
              </w:rPr>
              <w:t>QUANT</w:t>
            </w:r>
          </w:p>
        </w:tc>
        <w:tc>
          <w:tcPr>
            <w:tcW w:w="1642" w:type="pct"/>
            <w:gridSpan w:val="2"/>
            <w:shd w:val="clear" w:color="D8D8D8" w:fill="D8D8D8"/>
            <w:noWrap/>
            <w:vAlign w:val="center"/>
            <w:hideMark/>
          </w:tcPr>
          <w:p>
            <w:pPr>
              <w:jc w:val="center"/>
              <w:rPr>
                <w:rFonts w:ascii="Cambria" w:hAnsi="Cambria"/>
                <w:b/>
                <w:bCs/>
                <w:sz w:val="23"/>
                <w:szCs w:val="23"/>
              </w:rPr>
            </w:pPr>
            <w:r>
              <w:rPr>
                <w:rFonts w:ascii="Cambria" w:hAnsi="Cambria"/>
                <w:b/>
                <w:bCs/>
                <w:sz w:val="23"/>
                <w:szCs w:val="23"/>
              </w:rPr>
              <w:t>VALORES</w:t>
            </w:r>
          </w:p>
        </w:tc>
      </w:tr>
      <w:tr>
        <w:trPr>
          <w:trHeight w:val="285"/>
        </w:trPr>
        <w:tc>
          <w:tcPr>
            <w:tcW w:w="406" w:type="pct"/>
            <w:vMerge/>
            <w:vAlign w:val="center"/>
            <w:hideMark/>
          </w:tcPr>
          <w:p>
            <w:pPr>
              <w:rPr>
                <w:rFonts w:ascii="Cambria" w:hAnsi="Cambria"/>
                <w:b/>
                <w:bCs/>
                <w:sz w:val="23"/>
                <w:szCs w:val="23"/>
              </w:rPr>
            </w:pPr>
          </w:p>
        </w:tc>
        <w:tc>
          <w:tcPr>
            <w:tcW w:w="1771" w:type="pct"/>
            <w:vMerge/>
            <w:vAlign w:val="center"/>
            <w:hideMark/>
          </w:tcPr>
          <w:p>
            <w:pPr>
              <w:rPr>
                <w:rFonts w:ascii="Cambria" w:hAnsi="Cambria"/>
                <w:b/>
                <w:bCs/>
                <w:sz w:val="23"/>
                <w:szCs w:val="23"/>
              </w:rPr>
            </w:pPr>
          </w:p>
        </w:tc>
        <w:tc>
          <w:tcPr>
            <w:tcW w:w="656" w:type="pct"/>
            <w:vMerge/>
            <w:vAlign w:val="center"/>
            <w:hideMark/>
          </w:tcPr>
          <w:p>
            <w:pPr>
              <w:rPr>
                <w:rFonts w:ascii="Cambria" w:hAnsi="Cambria"/>
                <w:b/>
                <w:bCs/>
                <w:sz w:val="23"/>
                <w:szCs w:val="23"/>
              </w:rPr>
            </w:pPr>
          </w:p>
        </w:tc>
        <w:tc>
          <w:tcPr>
            <w:tcW w:w="525" w:type="pct"/>
            <w:vMerge/>
            <w:vAlign w:val="center"/>
            <w:hideMark/>
          </w:tcPr>
          <w:p>
            <w:pPr>
              <w:rPr>
                <w:rFonts w:ascii="Cambria" w:hAnsi="Cambria"/>
                <w:b/>
                <w:bCs/>
                <w:sz w:val="23"/>
                <w:szCs w:val="23"/>
              </w:rPr>
            </w:pPr>
          </w:p>
        </w:tc>
        <w:tc>
          <w:tcPr>
            <w:tcW w:w="774" w:type="pct"/>
            <w:shd w:val="clear" w:color="D8D8D8" w:fill="D8D8D8"/>
            <w:noWrap/>
            <w:vAlign w:val="center"/>
            <w:hideMark/>
          </w:tcPr>
          <w:p>
            <w:pPr>
              <w:jc w:val="center"/>
              <w:rPr>
                <w:rFonts w:ascii="Cambria" w:hAnsi="Cambria"/>
                <w:b/>
                <w:bCs/>
                <w:sz w:val="23"/>
                <w:szCs w:val="23"/>
              </w:rPr>
            </w:pPr>
            <w:r>
              <w:rPr>
                <w:rFonts w:ascii="Cambria" w:hAnsi="Cambria"/>
                <w:b/>
                <w:bCs/>
                <w:sz w:val="23"/>
                <w:szCs w:val="23"/>
              </w:rPr>
              <w:t xml:space="preserve"> VAL. UNIT.</w:t>
            </w:r>
          </w:p>
        </w:tc>
        <w:tc>
          <w:tcPr>
            <w:tcW w:w="868" w:type="pct"/>
            <w:shd w:val="clear" w:color="D8D8D8" w:fill="D8D8D8"/>
            <w:noWrap/>
            <w:vAlign w:val="center"/>
            <w:hideMark/>
          </w:tcPr>
          <w:p>
            <w:pPr>
              <w:jc w:val="center"/>
              <w:rPr>
                <w:rFonts w:ascii="Cambria" w:hAnsi="Cambria"/>
                <w:b/>
                <w:bCs/>
                <w:sz w:val="23"/>
                <w:szCs w:val="23"/>
              </w:rPr>
            </w:pPr>
            <w:r>
              <w:rPr>
                <w:rFonts w:ascii="Cambria" w:hAnsi="Cambria"/>
                <w:b/>
                <w:bCs/>
                <w:sz w:val="23"/>
                <w:szCs w:val="23"/>
              </w:rPr>
              <w:t xml:space="preserve"> VAL. TOTAL</w:t>
            </w:r>
          </w:p>
        </w:tc>
      </w:tr>
      <w:tr>
        <w:trPr>
          <w:trHeight w:val="121"/>
        </w:trPr>
        <w:tc>
          <w:tcPr>
            <w:tcW w:w="406" w:type="pct"/>
            <w:noWrap/>
            <w:vAlign w:val="center"/>
            <w:hideMark/>
          </w:tcPr>
          <w:p>
            <w:pPr>
              <w:jc w:val="center"/>
              <w:rPr>
                <w:rFonts w:ascii="Cambria" w:hAnsi="Cambria"/>
                <w:sz w:val="23"/>
                <w:szCs w:val="23"/>
              </w:rPr>
            </w:pPr>
            <w:r>
              <w:rPr>
                <w:rFonts w:ascii="Cambria" w:hAnsi="Cambria"/>
                <w:sz w:val="23"/>
                <w:szCs w:val="23"/>
              </w:rPr>
              <w:t>1</w:t>
            </w:r>
          </w:p>
        </w:tc>
        <w:tc>
          <w:tcPr>
            <w:tcW w:w="1771" w:type="pct"/>
            <w:vAlign w:val="center"/>
          </w:tcPr>
          <w:p>
            <w:pPr>
              <w:jc w:val="both"/>
              <w:rPr>
                <w:rFonts w:ascii="Cambria" w:hAnsi="Cambria"/>
                <w:sz w:val="23"/>
                <w:szCs w:val="23"/>
              </w:rPr>
            </w:pPr>
            <w:r>
              <w:rPr>
                <w:rFonts w:ascii="Cambria" w:hAnsi="Cambria"/>
                <w:sz w:val="23"/>
                <w:szCs w:val="23"/>
              </w:rPr>
              <w:t xml:space="preserve">SERVIÇOS DE ASSESSORIA E CONSULTORIA PARA O PROCESSAMENTO E ENVIO DAS INFORMAÇÕES AO eSOCIAL, DE INTERESSE DA SECRETARIA DE EDUCAÇÃO DO MUNICÍPIO DE </w:t>
            </w:r>
            <w:r>
              <w:rPr>
                <w:rFonts w:ascii="Cambria" w:hAnsi="Cambria"/>
                <w:sz w:val="23"/>
                <w:szCs w:val="23"/>
              </w:rPr>
              <w:lastRenderedPageBreak/>
              <w:t>MIRAÍMA/CE.</w:t>
            </w:r>
          </w:p>
        </w:tc>
        <w:tc>
          <w:tcPr>
            <w:tcW w:w="656" w:type="pct"/>
            <w:noWrap/>
            <w:vAlign w:val="center"/>
            <w:hideMark/>
          </w:tcPr>
          <w:p>
            <w:pPr>
              <w:jc w:val="center"/>
              <w:rPr>
                <w:rFonts w:ascii="Cambria" w:hAnsi="Cambria"/>
                <w:sz w:val="23"/>
                <w:szCs w:val="23"/>
              </w:rPr>
            </w:pPr>
            <w:r>
              <w:rPr>
                <w:rFonts w:ascii="Cambria" w:hAnsi="Cambria"/>
                <w:sz w:val="23"/>
                <w:szCs w:val="23"/>
              </w:rPr>
              <w:lastRenderedPageBreak/>
              <w:t>MÊS</w:t>
            </w:r>
          </w:p>
        </w:tc>
        <w:tc>
          <w:tcPr>
            <w:tcW w:w="525" w:type="pct"/>
            <w:noWrap/>
            <w:vAlign w:val="center"/>
            <w:hideMark/>
          </w:tcPr>
          <w:p>
            <w:pPr>
              <w:jc w:val="center"/>
              <w:rPr>
                <w:rFonts w:ascii="Cambria" w:hAnsi="Cambria"/>
                <w:sz w:val="23"/>
                <w:szCs w:val="23"/>
              </w:rPr>
            </w:pPr>
            <w:r>
              <w:rPr>
                <w:rFonts w:ascii="Cambria" w:hAnsi="Cambria"/>
                <w:sz w:val="23"/>
                <w:szCs w:val="23"/>
              </w:rPr>
              <w:t>12</w:t>
            </w:r>
          </w:p>
        </w:tc>
        <w:tc>
          <w:tcPr>
            <w:tcW w:w="774" w:type="pct"/>
            <w:noWrap/>
            <w:vAlign w:val="center"/>
          </w:tcPr>
          <w:p>
            <w:pPr>
              <w:jc w:val="center"/>
              <w:rPr>
                <w:rFonts w:ascii="Cambria" w:hAnsi="Cambria"/>
                <w:sz w:val="23"/>
                <w:szCs w:val="23"/>
                <w:highlight w:val="yellow"/>
              </w:rPr>
            </w:pPr>
            <w:r>
              <w:rPr>
                <w:rFonts w:ascii="Cambria" w:hAnsi="Cambria"/>
                <w:sz w:val="23"/>
                <w:szCs w:val="23"/>
              </w:rPr>
              <w:t>R$ 4.725,00</w:t>
            </w:r>
          </w:p>
        </w:tc>
        <w:tc>
          <w:tcPr>
            <w:tcW w:w="868" w:type="pct"/>
            <w:noWrap/>
            <w:vAlign w:val="center"/>
          </w:tcPr>
          <w:p>
            <w:pPr>
              <w:jc w:val="center"/>
              <w:rPr>
                <w:rFonts w:ascii="Cambria" w:hAnsi="Cambria"/>
                <w:sz w:val="23"/>
                <w:szCs w:val="23"/>
                <w:highlight w:val="yellow"/>
              </w:rPr>
            </w:pPr>
            <w:r>
              <w:rPr>
                <w:rFonts w:ascii="Cambria" w:hAnsi="Cambria"/>
                <w:sz w:val="23"/>
                <w:szCs w:val="23"/>
              </w:rPr>
              <w:t>R$ 56.700,00</w:t>
            </w:r>
          </w:p>
        </w:tc>
      </w:tr>
      <w:tr>
        <w:trPr>
          <w:trHeight w:val="225"/>
        </w:trPr>
        <w:tc>
          <w:tcPr>
            <w:tcW w:w="5000" w:type="pct"/>
            <w:gridSpan w:val="6"/>
            <w:shd w:val="clear" w:color="F2F2F2" w:fill="F2F2F2"/>
            <w:noWrap/>
            <w:vAlign w:val="center"/>
            <w:hideMark/>
          </w:tcPr>
          <w:p>
            <w:pPr>
              <w:jc w:val="center"/>
              <w:rPr>
                <w:rFonts w:ascii="Cambria" w:hAnsi="Cambria"/>
                <w:b/>
                <w:bCs/>
                <w:sz w:val="23"/>
                <w:szCs w:val="23"/>
              </w:rPr>
            </w:pPr>
            <w:r>
              <w:rPr>
                <w:rFonts w:ascii="Cambria" w:hAnsi="Cambria"/>
                <w:b/>
                <w:bCs/>
                <w:sz w:val="23"/>
                <w:szCs w:val="23"/>
              </w:rPr>
              <w:lastRenderedPageBreak/>
              <w:t>VALOR GLOBAL: R$ 56.700,00 (cinquenta e seis mil e setecentos reais)</w:t>
            </w:r>
          </w:p>
        </w:tc>
      </w:tr>
    </w:tbl>
    <w:p>
      <w:pPr>
        <w:pStyle w:val="PargrafodaLista"/>
        <w:spacing w:line="276" w:lineRule="auto"/>
        <w:ind w:left="0" w:right="-29"/>
        <w:rPr>
          <w:rFonts w:ascii="Cambria" w:hAnsi="Cambria" w:cs="Arial"/>
          <w:color w:val="000000"/>
          <w:sz w:val="23"/>
          <w:szCs w:val="23"/>
          <w:lang w:eastAsia="pt-BR"/>
        </w:rPr>
      </w:pPr>
      <w:r>
        <w:rPr>
          <w:rFonts w:ascii="Cambria" w:hAnsi="Cambria" w:cs="Arial"/>
          <w:b/>
          <w:bCs/>
          <w:color w:val="000000"/>
          <w:sz w:val="23"/>
          <w:szCs w:val="23"/>
          <w:lang w:eastAsia="pt-BR"/>
        </w:rPr>
        <w:t xml:space="preserve">3.1.1. </w:t>
      </w:r>
      <w:r>
        <w:rPr>
          <w:rFonts w:ascii="Cambria" w:hAnsi="Cambria" w:cs="Arial"/>
          <w:color w:val="000000"/>
          <w:sz w:val="23"/>
          <w:szCs w:val="23"/>
          <w:lang w:eastAsia="pt-BR"/>
        </w:rPr>
        <w:t>Os quantitativos foram definidos considerando a necessidade de atendimento contínuo das demandas da Secretaria Municipal de Educação durante a vigência contratual, abrangendo suporte técnico especializado ao planejamento das contratações públicas e aos procedimentos licitatórios, mediante atendimento presencial e remoto.</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3.2. DETALHAMENTO DOS SERVIÇOS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Os serviços compreenderão, dentre outras atividades correlatas:</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Assessoria técnica especializada na análise, organização e tratamento das informações funcionais, previdenciárias, trabalhistas e cadastrais dos servidores vinculados à Secretaria de Educação;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Orientação e suporte quanto ao correto preenchimento, conferência e adequação dos dados necessários ao atendimento das exigências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Processamento e transmissão dos eventos iniciais, não periódicos e periódicos exigidos pelo sistema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Acompanhamento das alterações legislativas, normativas e operacionais relacionadas ao eSocial, promovendo as adequações necessárias aos procedimentos adotados pela Administração;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Validação e conferência das informações antes de sua transmissão, visando minimizar inconsistências, rejeições e pendências junto ao sistema;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Monitoramento dos protocolos de envio, recibos de entrega, alertas, notificações e mensagens de retorno emitidas pelo ambiente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Identificação, análise e correção de inconsistências cadastrais e funcionais que possam comprometer o processamento das informações;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Apoio técnico na regularização de eventos rejeitados, pendentes ou transmitidos com erro;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Assessoria quanto ao cumprimento dos prazos legais de envio das obrigações trabalhistas, previdenciárias e fiscais vinculadas ao eSocial;</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Elaboração de relatórios gerenciais e demonstrativos relacionados às informações processadas e transmitidas;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Orientação e suporte aos servidores designados pela Secretaria de Educação para acompanhamento das rotinas relacionadas ao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Suporte técnico presencial e/ou remoto durante toda a vigência contratual, para esclarecimento de dúvidas e atendimento das demandas da Administração;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Integração das informações oriundas dos sistemas de gestão de pessoal utilizados pelo Município, quando aplicável, visando garantir a correta transmissão dos dados ao ambiente nacional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Assessoria na adequação dos procedimentos internos relacionados à gestão de pessoal, em conformidade com as exigências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3"/>
          <w:szCs w:val="23"/>
        </w:rPr>
      </w:pPr>
      <w:r>
        <w:rPr>
          <w:rFonts w:ascii="Cambria" w:hAnsi="Cambria" w:cs="Arial"/>
          <w:color w:val="000000"/>
          <w:sz w:val="23"/>
          <w:szCs w:val="23"/>
        </w:rPr>
        <w:t xml:space="preserve">Acompanhamento contínuo da situação fiscal, previdenciária e trabalhista decorrente das informações prestadas ao sistema. </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 xml:space="preserve">A empresa contratada deverá disponibilizar equipe técnica qualificada, com comprovada experiência na área, responsabilizando-se pela correta execução dos serviços, observando rigorosamente a legislação aplicável, os manuais operacionais do eSocial e as orientações emitidas </w:t>
      </w:r>
      <w:r>
        <w:rPr>
          <w:rFonts w:ascii="Cambria" w:hAnsi="Cambria" w:cs="Arial"/>
          <w:color w:val="000000"/>
          <w:sz w:val="23"/>
          <w:szCs w:val="23"/>
        </w:rPr>
        <w:lastRenderedPageBreak/>
        <w:t>pelos órgãos federais competentes, garantindo a tempestividade, integridade, confiabilidade e segurança das informações transmitidas.</w:t>
      </w:r>
    </w:p>
    <w:p>
      <w:pPr>
        <w:pStyle w:val="PargrafodaLista"/>
        <w:spacing w:line="276" w:lineRule="auto"/>
        <w:ind w:left="0" w:right="-29" w:firstLine="851"/>
        <w:rPr>
          <w:rFonts w:ascii="Cambria" w:hAnsi="Cambria" w:cs="Arial"/>
          <w:color w:val="000000"/>
          <w:sz w:val="23"/>
          <w:szCs w:val="23"/>
        </w:rPr>
      </w:pP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3.3. FORMA DE EXECUÇÃO DOS SERVIÇOS E NÍVEIS MÍNIMOS DE ATENDIMENTO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Os serviços serão executados de forma continuada durante o período contratual, observando os seguintes parâmetros mínimos:</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I – Atendimento presencial:</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a) disponibilização de carga horária mínima de 20 (vinte) horas presenciais mensais;</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b) realização de, no mínimo, 04 (quatro) visitas técnicas mensais às dependências da Secretaria Municipal de Educação, por profissional de nível superior indicado como coordenador técnico da equipe, admitido o acompanhamento por outros integrantes da equipe quando necessário;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c) as visitas deverão ocorrer em datas previamente ajustadas com a Administração.</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II – Atendimento remoto: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a) disponibilização de suporte remoto contínuo durante o horário comercial;</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b) atendimento por telefone, correio eletrônico, aplicativos de mensagens instantâneas e/ou videoconferência;</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c) suporte às demandas relacionadas ao planejamento das contratações e aos procedimentos licitatórios.</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III – Níveis mínimos de atendimento: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a) resposta inicial às demandas ordinárias no prazo máximo de 01 (um) dia útil;</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b) atendimento prioritário às demandas urgentes apresentadas pela Administração;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c) observância dos prazos estabelecidos pela Secretaria Municipal de Educação para elaboração, revisão ou análise dos documentos técnicos.</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IV – Controle da execução: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a) as atividades presenciais poderão ser comprovadas mediante registro de visitas, atas de reunião, relatórios ou outros instrumentos de controle definidos pela Administração;</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b) o fiscal do contrato realizará o acompanhamento da execução contratual, verificando o cumprimento da carga horária mínima, das visitas técnicas e dos atendimentos realizados.</w:t>
      </w:r>
    </w:p>
    <w:p>
      <w:pPr>
        <w:pStyle w:val="PargrafodaLista"/>
        <w:spacing w:line="276" w:lineRule="auto"/>
        <w:ind w:left="0" w:right="-29"/>
        <w:rPr>
          <w:rFonts w:ascii="Cambria" w:hAnsi="Cambria" w:cs="Arial"/>
          <w:color w:val="000000"/>
          <w:sz w:val="23"/>
          <w:szCs w:val="23"/>
        </w:rPr>
      </w:pPr>
      <w:r>
        <w:rPr>
          <w:rFonts w:ascii="Cambria" w:hAnsi="Cambria" w:cs="Arial"/>
          <w:color w:val="000000"/>
          <w:sz w:val="23"/>
          <w:szCs w:val="23"/>
        </w:rPr>
        <w:t>O suporte remoto constitui obrigação complementar à carga horária presencial mínima estabelecida, não gerando custos adicionais para a Administração.</w:t>
      </w:r>
    </w:p>
    <w:p>
      <w:pPr>
        <w:pStyle w:val="PargrafodaLista"/>
        <w:spacing w:line="276" w:lineRule="auto"/>
        <w:ind w:left="0" w:right="-29"/>
        <w:rPr>
          <w:rFonts w:ascii="Cambria" w:hAnsi="Cambria" w:cs="Arial"/>
          <w:b/>
          <w:bCs/>
          <w:color w:val="000000"/>
          <w:sz w:val="23"/>
          <w:szCs w:val="23"/>
          <w:lang w:eastAsia="pt-BR"/>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4. DOCUMENTOS DE HABILITAÇÃO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4.1. RELATIVA À HABILITAÇÃO JURÍDICA:</w:t>
      </w:r>
    </w:p>
    <w:p>
      <w:pPr>
        <w:spacing w:line="0" w:lineRule="atLeast"/>
        <w:jc w:val="both"/>
        <w:rPr>
          <w:rFonts w:ascii="Cambria" w:hAnsi="Cambria"/>
          <w:sz w:val="23"/>
          <w:szCs w:val="23"/>
        </w:rPr>
      </w:pPr>
      <w:r>
        <w:rPr>
          <w:rFonts w:ascii="Cambria" w:hAnsi="Cambria"/>
          <w:b/>
          <w:bCs/>
          <w:sz w:val="23"/>
          <w:szCs w:val="23"/>
        </w:rPr>
        <w:t>4.1.1. REGISTRO COMERCIAL</w:t>
      </w:r>
      <w:r>
        <w:rPr>
          <w:rFonts w:ascii="Cambria" w:hAnsi="Cambria"/>
          <w:sz w:val="23"/>
          <w:szCs w:val="23"/>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3"/>
          <w:szCs w:val="23"/>
        </w:rPr>
      </w:pPr>
      <w:r>
        <w:rPr>
          <w:rFonts w:ascii="Cambria" w:hAnsi="Cambria"/>
          <w:b/>
          <w:bCs/>
          <w:sz w:val="23"/>
          <w:szCs w:val="23"/>
        </w:rPr>
        <w:t>4.1.2. ATO CONSTITUTIVO, ESTATUTO OU CONTRATO SOCIAL CONSOLIDADO</w:t>
      </w:r>
      <w:r>
        <w:rPr>
          <w:rFonts w:ascii="Cambria" w:hAnsi="Cambria"/>
          <w:sz w:val="23"/>
          <w:szCs w:val="23"/>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w:t>
      </w:r>
      <w:r>
        <w:rPr>
          <w:rFonts w:ascii="Cambria" w:hAnsi="Cambria"/>
          <w:sz w:val="23"/>
          <w:szCs w:val="23"/>
        </w:rPr>
        <w:lastRenderedPageBreak/>
        <w:t>posteriores ao contrato inicial e se consolidado, existindo alterações posteriores, também, essas serão exigidas.</w:t>
      </w:r>
    </w:p>
    <w:p>
      <w:pPr>
        <w:spacing w:line="0" w:lineRule="atLeast"/>
        <w:jc w:val="both"/>
        <w:rPr>
          <w:rFonts w:ascii="Cambria" w:hAnsi="Cambria"/>
          <w:sz w:val="23"/>
          <w:szCs w:val="23"/>
        </w:rPr>
      </w:pPr>
      <w:r>
        <w:rPr>
          <w:rFonts w:ascii="Cambria" w:hAnsi="Cambria"/>
          <w:b/>
          <w:bCs/>
          <w:sz w:val="23"/>
          <w:szCs w:val="23"/>
        </w:rPr>
        <w:t>4.1.3. INSCRIÇÃO DO ATO CONSTITUTIVO</w:t>
      </w:r>
      <w:r>
        <w:rPr>
          <w:rFonts w:ascii="Cambria" w:hAnsi="Cambria"/>
          <w:sz w:val="23"/>
          <w:szCs w:val="23"/>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3"/>
          <w:szCs w:val="23"/>
        </w:rPr>
      </w:pPr>
      <w:r>
        <w:rPr>
          <w:rFonts w:ascii="Cambria" w:hAnsi="Cambria"/>
          <w:b/>
          <w:bCs/>
          <w:sz w:val="23"/>
          <w:szCs w:val="23"/>
        </w:rPr>
        <w:t>4.1.4. DECRETO DE AUTORIZAÇÃO</w:t>
      </w:r>
      <w:r>
        <w:rPr>
          <w:rFonts w:ascii="Cambria" w:hAnsi="Cambria"/>
          <w:sz w:val="23"/>
          <w:szCs w:val="23"/>
        </w:rPr>
        <w:t xml:space="preserve">, em se tratando de empresa ou sociedade estrangeira em funcionamento no País, e </w:t>
      </w:r>
      <w:r>
        <w:rPr>
          <w:rFonts w:ascii="Cambria" w:hAnsi="Cambria"/>
          <w:b/>
          <w:bCs/>
          <w:sz w:val="23"/>
          <w:szCs w:val="23"/>
        </w:rPr>
        <w:t>ATO DE REGISTRO DE AUTORIZAÇÃO PARA FUNCIONAMENTO</w:t>
      </w:r>
      <w:r>
        <w:rPr>
          <w:rFonts w:ascii="Cambria" w:hAnsi="Cambria"/>
          <w:sz w:val="23"/>
          <w:szCs w:val="23"/>
        </w:rPr>
        <w:t xml:space="preserve"> expedido pelo órgão competente, quando a atividade assim o exigir.</w:t>
      </w:r>
    </w:p>
    <w:p>
      <w:pPr>
        <w:keepLines/>
        <w:spacing w:line="0" w:lineRule="atLeast"/>
        <w:jc w:val="both"/>
        <w:rPr>
          <w:rFonts w:ascii="Cambria" w:hAnsi="Cambria"/>
          <w:sz w:val="23"/>
          <w:szCs w:val="23"/>
        </w:rPr>
      </w:pPr>
      <w:r>
        <w:rPr>
          <w:rFonts w:ascii="Cambria" w:hAnsi="Cambria"/>
          <w:b/>
          <w:sz w:val="23"/>
          <w:szCs w:val="23"/>
        </w:rPr>
        <w:t>4.1.5.</w:t>
      </w:r>
      <w:r>
        <w:rPr>
          <w:rFonts w:ascii="Cambria" w:hAnsi="Cambria"/>
          <w:sz w:val="23"/>
          <w:szCs w:val="23"/>
        </w:rPr>
        <w:t xml:space="preserve"> Documento oficial de identificação válido (com foto) e comprovante de CPF do sócio -administrador e ou titular da empresa.</w:t>
      </w:r>
    </w:p>
    <w:p>
      <w:pPr>
        <w:keepLines/>
        <w:spacing w:line="0" w:lineRule="atLeast"/>
        <w:jc w:val="both"/>
        <w:rPr>
          <w:rFonts w:ascii="Cambria" w:hAnsi="Cambria"/>
          <w:sz w:val="23"/>
          <w:szCs w:val="23"/>
        </w:rPr>
      </w:pPr>
      <w:r>
        <w:rPr>
          <w:rFonts w:ascii="Cambria" w:hAnsi="Cambria"/>
          <w:b/>
          <w:sz w:val="23"/>
          <w:szCs w:val="23"/>
        </w:rPr>
        <w:t xml:space="preserve">4.1.6. </w:t>
      </w:r>
      <w:r>
        <w:rPr>
          <w:rFonts w:ascii="Cambria" w:hAnsi="Cambria"/>
          <w:sz w:val="23"/>
          <w:szCs w:val="23"/>
        </w:rPr>
        <w:t>Declaração de regularidade do Sistema de Cadastramento Unificado de Fornecedores – SICAF.</w:t>
      </w:r>
    </w:p>
    <w:p>
      <w:pPr>
        <w:keepLines/>
        <w:spacing w:line="0" w:lineRule="atLeast"/>
        <w:jc w:val="both"/>
        <w:rPr>
          <w:rFonts w:ascii="Cambria" w:hAnsi="Cambria"/>
          <w:sz w:val="23"/>
          <w:szCs w:val="23"/>
        </w:rPr>
      </w:pPr>
      <w:r>
        <w:rPr>
          <w:rFonts w:ascii="Cambria" w:hAnsi="Cambria"/>
          <w:b/>
          <w:bCs/>
          <w:sz w:val="23"/>
          <w:szCs w:val="23"/>
        </w:rPr>
        <w:t>4.2. RELATIVA À REGULARIDADE FISCAL E TRABALHISTA:</w:t>
      </w:r>
    </w:p>
    <w:p>
      <w:pPr>
        <w:spacing w:line="0" w:lineRule="atLeast"/>
        <w:jc w:val="both"/>
        <w:rPr>
          <w:rFonts w:ascii="Cambria" w:hAnsi="Cambria"/>
          <w:sz w:val="23"/>
          <w:szCs w:val="23"/>
        </w:rPr>
      </w:pPr>
      <w:r>
        <w:rPr>
          <w:rFonts w:ascii="Cambria" w:hAnsi="Cambria"/>
          <w:b/>
          <w:sz w:val="23"/>
          <w:szCs w:val="23"/>
        </w:rPr>
        <w:t>4.2.1.</w:t>
      </w:r>
      <w:r>
        <w:rPr>
          <w:rFonts w:ascii="Cambria" w:hAnsi="Cambria"/>
          <w:sz w:val="23"/>
          <w:szCs w:val="23"/>
        </w:rPr>
        <w:t xml:space="preserve"> Prova de inscrição no Cadastro Nacional de Pessoas Jurídicas (CNPJ);</w:t>
      </w:r>
    </w:p>
    <w:p>
      <w:pPr>
        <w:spacing w:line="0" w:lineRule="atLeast"/>
        <w:jc w:val="both"/>
        <w:rPr>
          <w:rFonts w:ascii="Cambria" w:hAnsi="Cambria"/>
          <w:sz w:val="23"/>
          <w:szCs w:val="23"/>
        </w:rPr>
      </w:pPr>
      <w:r>
        <w:rPr>
          <w:rFonts w:ascii="Cambria" w:hAnsi="Cambria"/>
          <w:b/>
          <w:sz w:val="23"/>
          <w:szCs w:val="23"/>
        </w:rPr>
        <w:t>4.2.2.</w:t>
      </w:r>
      <w:r>
        <w:rPr>
          <w:rFonts w:ascii="Cambria" w:hAnsi="Cambria"/>
          <w:sz w:val="23"/>
          <w:szCs w:val="23"/>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3"/>
          <w:szCs w:val="23"/>
        </w:rPr>
      </w:pPr>
      <w:r>
        <w:rPr>
          <w:rFonts w:ascii="Cambria" w:hAnsi="Cambria"/>
          <w:b/>
          <w:sz w:val="23"/>
          <w:szCs w:val="23"/>
        </w:rPr>
        <w:t>4.2.3.</w:t>
      </w:r>
      <w:r>
        <w:rPr>
          <w:rFonts w:ascii="Cambria" w:hAnsi="Cambria"/>
          <w:sz w:val="23"/>
          <w:szCs w:val="23"/>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3"/>
          <w:szCs w:val="23"/>
        </w:rPr>
      </w:pPr>
      <w:r>
        <w:rPr>
          <w:rFonts w:ascii="Cambria" w:hAnsi="Cambria"/>
          <w:b/>
          <w:sz w:val="23"/>
          <w:szCs w:val="23"/>
        </w:rPr>
        <w:t>4.2.4.</w:t>
      </w:r>
      <w:r>
        <w:rPr>
          <w:rFonts w:ascii="Cambria" w:hAnsi="Cambria"/>
          <w:sz w:val="23"/>
          <w:szCs w:val="23"/>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3"/>
          <w:szCs w:val="23"/>
        </w:rPr>
      </w:pPr>
      <w:r>
        <w:rPr>
          <w:rFonts w:ascii="Cambria" w:hAnsi="Cambria"/>
          <w:b/>
          <w:sz w:val="23"/>
          <w:szCs w:val="23"/>
        </w:rPr>
        <w:t>4.2.5.</w:t>
      </w:r>
      <w:r>
        <w:rPr>
          <w:rFonts w:ascii="Cambria" w:hAnsi="Cambria"/>
          <w:sz w:val="23"/>
          <w:szCs w:val="23"/>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3"/>
          <w:szCs w:val="23"/>
        </w:rPr>
      </w:pPr>
      <w:r>
        <w:rPr>
          <w:rFonts w:ascii="Cambria" w:hAnsi="Cambria"/>
          <w:b/>
          <w:sz w:val="23"/>
          <w:szCs w:val="23"/>
        </w:rPr>
        <w:t>4.2.6.</w:t>
      </w:r>
      <w:r>
        <w:rPr>
          <w:rFonts w:ascii="Cambria" w:hAnsi="Cambria"/>
          <w:sz w:val="23"/>
          <w:szCs w:val="23"/>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4.2.7.</w:t>
      </w:r>
      <w:r>
        <w:rPr>
          <w:rFonts w:ascii="Cambria" w:hAnsi="Cambria" w:cs="Times New Roman"/>
          <w:sz w:val="23"/>
          <w:szCs w:val="23"/>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 w:val="23"/>
          <w:szCs w:val="23"/>
        </w:rPr>
      </w:pPr>
      <w:bookmarkStart w:id="2" w:name="_Hlk15926126"/>
      <w:r>
        <w:rPr>
          <w:rFonts w:ascii="Cambria" w:hAnsi="Cambria" w:cs="Times New Roman"/>
          <w:b/>
          <w:bCs/>
          <w:sz w:val="23"/>
          <w:szCs w:val="23"/>
        </w:rPr>
        <w:t>4.2.8.</w:t>
      </w:r>
      <w:r>
        <w:rPr>
          <w:rFonts w:ascii="Cambria" w:hAnsi="Cambria" w:cs="Times New Roman"/>
          <w:sz w:val="23"/>
          <w:szCs w:val="23"/>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4.2.9.</w:t>
      </w:r>
      <w:r>
        <w:rPr>
          <w:rFonts w:ascii="Cambria" w:hAnsi="Cambria" w:cs="Times New Roman"/>
          <w:sz w:val="23"/>
          <w:szCs w:val="23"/>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4.2.10.</w:t>
      </w:r>
      <w:r>
        <w:rPr>
          <w:rFonts w:ascii="Cambria" w:hAnsi="Cambria" w:cs="Times New Roman"/>
          <w:sz w:val="23"/>
          <w:szCs w:val="23"/>
        </w:rPr>
        <w:t xml:space="preserve"> As microempresas e empresas de pequeno porte deverão apresentar toda a documentação exigida para efeito de comprovação de regularidade fiscal e trabalhista, mesmo que esta apresente alguma restrição;</w:t>
      </w:r>
      <w:bookmarkEnd w:id="2"/>
    </w:p>
    <w:p>
      <w:pPr>
        <w:keepLines/>
        <w:spacing w:line="0" w:lineRule="atLeast"/>
        <w:jc w:val="both"/>
        <w:rPr>
          <w:rFonts w:ascii="Cambria" w:hAnsi="Cambria"/>
          <w:sz w:val="23"/>
          <w:szCs w:val="23"/>
        </w:rPr>
      </w:pPr>
      <w:r>
        <w:rPr>
          <w:rFonts w:ascii="Cambria" w:hAnsi="Cambria"/>
          <w:b/>
          <w:sz w:val="23"/>
          <w:szCs w:val="23"/>
        </w:rPr>
        <w:t>4.2.11.</w:t>
      </w:r>
      <w:r>
        <w:rPr>
          <w:rFonts w:ascii="Cambria" w:hAnsi="Cambria"/>
          <w:sz w:val="23"/>
          <w:szCs w:val="23"/>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line="0" w:lineRule="atLeast"/>
        <w:jc w:val="both"/>
        <w:rPr>
          <w:rFonts w:ascii="Cambria" w:hAnsi="Cambria" w:cs="Times New Roman"/>
          <w:sz w:val="23"/>
          <w:szCs w:val="23"/>
        </w:rPr>
      </w:pPr>
      <w:r>
        <w:rPr>
          <w:rFonts w:ascii="Cambria" w:hAnsi="Cambria" w:cs="Times New Roman"/>
          <w:b/>
          <w:bCs/>
          <w:sz w:val="23"/>
          <w:szCs w:val="23"/>
        </w:rPr>
        <w:t>4.3. RELATIVA À QUALIFICAÇÃO ECONÔMICO-FINANCEIRA:</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 xml:space="preserve">4.3.1. </w:t>
      </w:r>
      <w:r>
        <w:rPr>
          <w:rFonts w:ascii="Cambria" w:hAnsi="Cambria" w:cs="Times New Roman"/>
          <w:sz w:val="23"/>
          <w:szCs w:val="23"/>
        </w:rPr>
        <w:t>Certidão negativa de falência ou concordata, dissolução ou liquidação, expedida pelo distribuidor da sede da pessoa jurídica;</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lastRenderedPageBreak/>
        <w:t>4.3.2</w:t>
      </w:r>
      <w:r>
        <w:rPr>
          <w:rFonts w:ascii="Cambria" w:hAnsi="Cambria" w:cs="Times New Roman"/>
          <w:sz w:val="23"/>
          <w:szCs w:val="23"/>
        </w:rPr>
        <w:t xml:space="preserve"> </w:t>
      </w:r>
      <w:r>
        <w:rPr>
          <w:rFonts w:ascii="Cambria" w:hAnsi="Cambria"/>
          <w:sz w:val="23"/>
          <w:szCs w:val="23"/>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4.4. RELATIVA À QUALIFICAÇÃO TÉCNICA</w:t>
      </w:r>
      <w:r>
        <w:rPr>
          <w:rFonts w:ascii="Cambria" w:hAnsi="Cambria" w:cs="Times New Roman"/>
          <w:sz w:val="23"/>
          <w:szCs w:val="23"/>
        </w:rPr>
        <w:t>:</w:t>
      </w:r>
    </w:p>
    <w:p>
      <w:pPr>
        <w:ind w:right="-35"/>
        <w:jc w:val="both"/>
        <w:rPr>
          <w:rFonts w:ascii="Cambria" w:hAnsi="Cambria"/>
          <w:sz w:val="23"/>
          <w:szCs w:val="23"/>
        </w:rPr>
      </w:pPr>
      <w:r>
        <w:rPr>
          <w:rFonts w:ascii="Cambria" w:hAnsi="Cambria"/>
          <w:b/>
          <w:sz w:val="23"/>
          <w:szCs w:val="23"/>
        </w:rPr>
        <w:t>4.4.1.</w:t>
      </w:r>
      <w:bookmarkStart w:id="3" w:name="_Hlk17406256"/>
      <w:r>
        <w:rPr>
          <w:rFonts w:ascii="Cambria" w:hAnsi="Cambria"/>
          <w:sz w:val="23"/>
          <w:szCs w:val="23"/>
        </w:rPr>
        <w:t xml:space="preserve">  </w:t>
      </w:r>
      <w:r>
        <w:rPr>
          <w:rFonts w:ascii="Cambria" w:hAnsi="Cambria"/>
          <w:b/>
          <w:bCs/>
          <w:sz w:val="23"/>
          <w:szCs w:val="23"/>
        </w:rPr>
        <w:t>QUALIFICAÇÃO TÉCNICA OPERACIONAL</w:t>
      </w:r>
    </w:p>
    <w:p>
      <w:pPr>
        <w:ind w:right="-35"/>
        <w:jc w:val="both"/>
        <w:rPr>
          <w:rFonts w:ascii="Cambria" w:hAnsi="Cambria"/>
          <w:bCs/>
          <w:sz w:val="23"/>
          <w:szCs w:val="23"/>
        </w:rPr>
      </w:pPr>
      <w:r>
        <w:rPr>
          <w:rFonts w:ascii="Cambria" w:hAnsi="Cambria"/>
          <w:bCs/>
          <w:sz w:val="23"/>
          <w:szCs w:val="23"/>
        </w:rPr>
        <w:t>4.4.1.1.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w:t>
      </w:r>
    </w:p>
    <w:p>
      <w:pPr>
        <w:ind w:right="-35"/>
        <w:jc w:val="both"/>
        <w:rPr>
          <w:rFonts w:ascii="Cambria" w:hAnsi="Cambria"/>
          <w:b/>
          <w:bCs/>
          <w:sz w:val="23"/>
          <w:szCs w:val="23"/>
        </w:rPr>
      </w:pPr>
      <w:bookmarkStart w:id="4" w:name="_Hlk230935815"/>
      <w:r>
        <w:rPr>
          <w:rFonts w:ascii="Cambria" w:hAnsi="Cambria"/>
          <w:b/>
          <w:bCs/>
          <w:sz w:val="23"/>
          <w:szCs w:val="23"/>
        </w:rPr>
        <w:t>4.4.2. САРACITAÇÃO TÉCNICO-PROFISSIONAL:</w:t>
      </w:r>
    </w:p>
    <w:p>
      <w:pPr>
        <w:ind w:right="-35"/>
        <w:jc w:val="both"/>
        <w:rPr>
          <w:rFonts w:ascii="Cambria" w:hAnsi="Cambria"/>
          <w:sz w:val="23"/>
          <w:szCs w:val="23"/>
        </w:rPr>
      </w:pPr>
      <w:r>
        <w:rPr>
          <w:rFonts w:ascii="Cambria" w:hAnsi="Cambria"/>
          <w:sz w:val="23"/>
          <w:szCs w:val="23"/>
        </w:rPr>
        <w:t xml:space="preserve">4.4.2.1. A indicação deverá ser feita através de declaração da licitante com indicação explícita da equipe técnica, pertencente ao seu quadro permanente, composta de no mínimo: </w:t>
      </w:r>
    </w:p>
    <w:p>
      <w:pPr>
        <w:ind w:right="-35"/>
        <w:jc w:val="both"/>
        <w:rPr>
          <w:rFonts w:ascii="Cambria" w:hAnsi="Cambria"/>
          <w:sz w:val="23"/>
          <w:szCs w:val="23"/>
        </w:rPr>
      </w:pPr>
      <w:r>
        <w:rPr>
          <w:rFonts w:ascii="Cambria" w:hAnsi="Cambria"/>
          <w:sz w:val="23"/>
          <w:szCs w:val="23"/>
        </w:rPr>
        <w:t xml:space="preserve">a) 01 (um) profissional de nível superior, na área de administração, contabilidade, direito ou áreas correlatas, destinado aos trabalhos de coordenação, com experiência comprovada com o objeto. </w:t>
      </w:r>
    </w:p>
    <w:p>
      <w:pPr>
        <w:ind w:right="-35"/>
        <w:jc w:val="both"/>
        <w:rPr>
          <w:rFonts w:ascii="Cambria" w:hAnsi="Cambria"/>
          <w:bCs/>
          <w:sz w:val="23"/>
          <w:szCs w:val="23"/>
        </w:rPr>
      </w:pPr>
      <w:r>
        <w:rPr>
          <w:rFonts w:ascii="Cambria" w:hAnsi="Cambria"/>
          <w:sz w:val="23"/>
          <w:szCs w:val="23"/>
        </w:rPr>
        <w:t>b) 01 (um) profissional técnico destinado as funções de consultor operacional, com experiência comprovada com o objeto</w:t>
      </w:r>
      <w:bookmarkEnd w:id="4"/>
      <w:r>
        <w:rPr>
          <w:rFonts w:ascii="Cambria" w:hAnsi="Cambria"/>
          <w:sz w:val="23"/>
          <w:szCs w:val="23"/>
        </w:rPr>
        <w:t>.</w:t>
      </w:r>
    </w:p>
    <w:p>
      <w:pPr>
        <w:ind w:right="-35"/>
        <w:jc w:val="both"/>
        <w:rPr>
          <w:rFonts w:ascii="Cambria" w:hAnsi="Cambria"/>
          <w:sz w:val="23"/>
          <w:szCs w:val="23"/>
        </w:rPr>
      </w:pPr>
    </w:p>
    <w:bookmarkEnd w:id="3"/>
    <w:p>
      <w:pPr>
        <w:pStyle w:val="PargrafodaLista"/>
        <w:spacing w:line="0" w:lineRule="atLeast"/>
        <w:ind w:left="0"/>
        <w:rPr>
          <w:rFonts w:ascii="Cambria" w:hAnsi="Cambria"/>
          <w:sz w:val="23"/>
          <w:szCs w:val="23"/>
        </w:rPr>
      </w:pPr>
      <w:r>
        <w:rPr>
          <w:rFonts w:ascii="Cambria" w:hAnsi="Cambria"/>
          <w:b/>
          <w:bCs/>
          <w:sz w:val="23"/>
          <w:szCs w:val="23"/>
        </w:rPr>
        <w:t>4.5. DEMAIS DOCUMENTOS DE HABILITAÇÃO: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4.5.1.</w:t>
      </w:r>
      <w:r>
        <w:rPr>
          <w:rFonts w:ascii="Cambria" w:hAnsi="Cambria" w:cs="Times New Roman"/>
          <w:sz w:val="23"/>
          <w:szCs w:val="23"/>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4.5.2.</w:t>
      </w:r>
      <w:r>
        <w:rPr>
          <w:rFonts w:ascii="Cambria" w:hAnsi="Cambria" w:cs="Times New Roman"/>
          <w:sz w:val="23"/>
          <w:szCs w:val="23"/>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4.5.3.</w:t>
      </w:r>
      <w:r>
        <w:rPr>
          <w:rFonts w:ascii="Cambria" w:hAnsi="Cambria" w:cs="Times New Roman"/>
          <w:sz w:val="23"/>
          <w:szCs w:val="23"/>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4.5.4.</w:t>
      </w:r>
      <w:r>
        <w:rPr>
          <w:rFonts w:ascii="Cambria" w:hAnsi="Cambria" w:cs="Times New Roman"/>
          <w:sz w:val="23"/>
          <w:szCs w:val="23"/>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 w:val="23"/>
          <w:szCs w:val="23"/>
        </w:rPr>
      </w:pPr>
      <w:r>
        <w:rPr>
          <w:rFonts w:ascii="Cambria" w:hAnsi="Cambria" w:cs="Times New Roman"/>
          <w:b/>
          <w:bCs/>
          <w:sz w:val="23"/>
          <w:szCs w:val="23"/>
        </w:rPr>
        <w:t xml:space="preserve">4.5.5. </w:t>
      </w:r>
      <w:r>
        <w:rPr>
          <w:rFonts w:ascii="Cambria" w:hAnsi="Cambria" w:cs="Times New Roman"/>
          <w:sz w:val="23"/>
          <w:szCs w:val="23"/>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 w:val="23"/>
          <w:szCs w:val="23"/>
        </w:rPr>
        <w:t>02 (DUAS) HORAS</w:t>
      </w:r>
      <w:r>
        <w:rPr>
          <w:rFonts w:ascii="Cambria" w:hAnsi="Cambria" w:cs="Times New Roman"/>
          <w:sz w:val="23"/>
          <w:szCs w:val="23"/>
        </w:rPr>
        <w:t>, sob pena de inabilitação.</w:t>
      </w:r>
    </w:p>
    <w:p>
      <w:pPr>
        <w:spacing w:line="0" w:lineRule="atLeast"/>
        <w:jc w:val="both"/>
        <w:rPr>
          <w:rFonts w:ascii="Cambria" w:hAnsi="Cambria"/>
          <w:sz w:val="23"/>
          <w:szCs w:val="23"/>
        </w:rPr>
      </w:pPr>
      <w:r>
        <w:rPr>
          <w:rFonts w:ascii="Cambria" w:hAnsi="Cambria"/>
          <w:b/>
          <w:sz w:val="23"/>
          <w:szCs w:val="23"/>
        </w:rPr>
        <w:t>4.5.6.</w:t>
      </w:r>
      <w:r>
        <w:rPr>
          <w:rFonts w:ascii="Cambria" w:hAnsi="Cambria"/>
          <w:sz w:val="23"/>
          <w:szCs w:val="23"/>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3"/>
          <w:szCs w:val="23"/>
        </w:rPr>
      </w:pPr>
      <w:r>
        <w:rPr>
          <w:rFonts w:ascii="Cambria" w:hAnsi="Cambria"/>
          <w:b/>
          <w:sz w:val="23"/>
          <w:szCs w:val="23"/>
        </w:rPr>
        <w:t>4.5.7.</w:t>
      </w:r>
      <w:r>
        <w:rPr>
          <w:rFonts w:ascii="Cambria" w:hAnsi="Cambria"/>
          <w:sz w:val="23"/>
          <w:szCs w:val="23"/>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3"/>
          <w:szCs w:val="23"/>
        </w:rPr>
      </w:pPr>
      <w:r>
        <w:rPr>
          <w:rFonts w:ascii="Cambria" w:hAnsi="Cambria"/>
          <w:b/>
          <w:sz w:val="23"/>
          <w:szCs w:val="23"/>
        </w:rPr>
        <w:t>4.5.8.</w:t>
      </w:r>
      <w:r>
        <w:rPr>
          <w:rFonts w:ascii="Cambria" w:hAnsi="Cambria"/>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3"/>
          <w:szCs w:val="23"/>
        </w:rPr>
      </w:pPr>
      <w:r>
        <w:rPr>
          <w:rFonts w:ascii="Cambria" w:hAnsi="Cambria"/>
          <w:b/>
          <w:sz w:val="23"/>
          <w:szCs w:val="23"/>
        </w:rPr>
        <w:t>4.5.9.</w:t>
      </w:r>
      <w:r>
        <w:rPr>
          <w:rFonts w:ascii="Cambria" w:hAnsi="Cambria"/>
          <w:sz w:val="23"/>
          <w:szCs w:val="23"/>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3"/>
          <w:szCs w:val="23"/>
        </w:rPr>
      </w:pPr>
      <w:r>
        <w:rPr>
          <w:rFonts w:ascii="Cambria" w:hAnsi="Cambria"/>
          <w:b/>
          <w:sz w:val="23"/>
          <w:szCs w:val="23"/>
        </w:rPr>
        <w:t xml:space="preserve">4.5.10. </w:t>
      </w:r>
      <w:r>
        <w:rPr>
          <w:rFonts w:ascii="Cambria" w:hAnsi="Cambria"/>
          <w:bCs/>
          <w:sz w:val="23"/>
          <w:szCs w:val="23"/>
        </w:rPr>
        <w:t xml:space="preserve">A declaração do vencedor acontecerá no momento imediatamente posterior à fase de </w:t>
      </w:r>
      <w:r>
        <w:rPr>
          <w:rFonts w:ascii="Cambria" w:hAnsi="Cambria"/>
          <w:bCs/>
          <w:sz w:val="23"/>
          <w:szCs w:val="23"/>
        </w:rPr>
        <w:lastRenderedPageBreak/>
        <w:t>habilitação.</w:t>
      </w:r>
    </w:p>
    <w:p>
      <w:pPr>
        <w:tabs>
          <w:tab w:val="left" w:pos="426"/>
        </w:tabs>
        <w:spacing w:line="0" w:lineRule="atLeast"/>
        <w:jc w:val="both"/>
        <w:rPr>
          <w:rFonts w:ascii="Cambria" w:hAnsi="Cambria"/>
          <w:sz w:val="23"/>
          <w:szCs w:val="23"/>
        </w:rPr>
      </w:pPr>
      <w:r>
        <w:rPr>
          <w:rFonts w:ascii="Cambria" w:hAnsi="Cambria"/>
          <w:b/>
          <w:sz w:val="23"/>
          <w:szCs w:val="23"/>
        </w:rPr>
        <w:t>4.5.11.</w:t>
      </w:r>
      <w:r>
        <w:rPr>
          <w:rFonts w:ascii="Cambria" w:hAnsi="Cambria"/>
          <w:sz w:val="23"/>
          <w:szCs w:val="23"/>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 xml:space="preserve">5. CONDIÇÕES GERAIS: </w:t>
      </w:r>
    </w:p>
    <w:p>
      <w:pPr>
        <w:pStyle w:val="PargrafodaLista"/>
        <w:adjustRightInd w:val="0"/>
        <w:spacing w:line="276" w:lineRule="auto"/>
        <w:ind w:left="0"/>
        <w:rPr>
          <w:rFonts w:ascii="Cambria" w:hAnsi="Cambria"/>
          <w:sz w:val="23"/>
          <w:szCs w:val="23"/>
        </w:rPr>
      </w:pPr>
      <w:r>
        <w:rPr>
          <w:rFonts w:ascii="Cambria" w:hAnsi="Cambria"/>
          <w:b/>
          <w:sz w:val="23"/>
          <w:szCs w:val="23"/>
        </w:rPr>
        <w:t xml:space="preserve">5.1. </w:t>
      </w:r>
      <w:r>
        <w:rPr>
          <w:rFonts w:ascii="Cambria" w:hAnsi="Cambria"/>
          <w:sz w:val="23"/>
          <w:szCs w:val="23"/>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6. APRESENTAÇÃO DA PROPOSTA DE PREÇOS:</w:t>
      </w:r>
    </w:p>
    <w:p>
      <w:pPr>
        <w:spacing w:line="276" w:lineRule="auto"/>
        <w:jc w:val="both"/>
        <w:rPr>
          <w:rFonts w:ascii="Cambria" w:hAnsi="Cambria"/>
          <w:sz w:val="23"/>
          <w:szCs w:val="23"/>
        </w:rPr>
      </w:pPr>
      <w:r>
        <w:rPr>
          <w:rFonts w:ascii="Cambria" w:hAnsi="Cambria"/>
          <w:b/>
          <w:sz w:val="23"/>
          <w:szCs w:val="23"/>
        </w:rPr>
        <w:t xml:space="preserve">6.1. </w:t>
      </w:r>
      <w:r>
        <w:rPr>
          <w:rFonts w:ascii="Cambria" w:hAnsi="Cambria"/>
          <w:sz w:val="23"/>
          <w:szCs w:val="23"/>
        </w:rPr>
        <w:t xml:space="preserve">A apresentação da proposta de preços será por meio através do sistema Compras.Gov -  </w:t>
      </w:r>
      <w:hyperlink r:id="rId8" w:history="1">
        <w:r>
          <w:rPr>
            <w:rStyle w:val="Hyperlink"/>
            <w:rFonts w:ascii="Cambria" w:hAnsi="Cambria"/>
            <w:sz w:val="23"/>
            <w:szCs w:val="23"/>
          </w:rPr>
          <w:t>www.comprasgovernamentais.gov.br</w:t>
        </w:r>
      </w:hyperlink>
      <w:r>
        <w:rPr>
          <w:rFonts w:ascii="Cambria" w:hAnsi="Cambria"/>
          <w:sz w:val="23"/>
          <w:szCs w:val="23"/>
        </w:rPr>
        <w:t>;</w:t>
      </w:r>
    </w:p>
    <w:p>
      <w:pPr>
        <w:spacing w:line="276" w:lineRule="auto"/>
        <w:jc w:val="both"/>
        <w:rPr>
          <w:rFonts w:ascii="Cambria" w:hAnsi="Cambria"/>
          <w:sz w:val="23"/>
          <w:szCs w:val="23"/>
        </w:rPr>
      </w:pPr>
      <w:r>
        <w:rPr>
          <w:rFonts w:ascii="Cambria" w:hAnsi="Cambria"/>
          <w:b/>
          <w:sz w:val="23"/>
          <w:szCs w:val="23"/>
        </w:rPr>
        <w:t xml:space="preserve">6.2. </w:t>
      </w:r>
      <w:r>
        <w:rPr>
          <w:rFonts w:ascii="Cambria" w:hAnsi="Cambria"/>
          <w:sz w:val="23"/>
          <w:szCs w:val="23"/>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3"/>
          <w:szCs w:val="23"/>
        </w:rPr>
      </w:pPr>
      <w:r>
        <w:rPr>
          <w:rFonts w:ascii="Cambria" w:hAnsi="Cambria"/>
          <w:b/>
          <w:sz w:val="23"/>
          <w:szCs w:val="23"/>
        </w:rPr>
        <w:t>6.3.</w:t>
      </w:r>
      <w:r>
        <w:rPr>
          <w:rFonts w:ascii="Cambria" w:hAnsi="Cambria"/>
          <w:sz w:val="23"/>
          <w:szCs w:val="23"/>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3"/>
          <w:szCs w:val="23"/>
        </w:rPr>
      </w:pPr>
      <w:r>
        <w:rPr>
          <w:rFonts w:ascii="Cambria" w:hAnsi="Cambria"/>
          <w:b/>
          <w:sz w:val="23"/>
          <w:szCs w:val="23"/>
        </w:rPr>
        <w:t>6.4.</w:t>
      </w:r>
      <w:r>
        <w:rPr>
          <w:rFonts w:ascii="Cambria" w:hAnsi="Cambria"/>
          <w:sz w:val="23"/>
          <w:szCs w:val="23"/>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 xml:space="preserve"> </w:t>
      </w: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7. FORMALIZAÇÃO E VIGÊNCIA DO CONTRATO: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7.1.</w:t>
      </w:r>
      <w:r>
        <w:rPr>
          <w:rFonts w:ascii="Cambria" w:hAnsi="Cambria"/>
          <w:sz w:val="23"/>
          <w:szCs w:val="23"/>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7.2. </w:t>
      </w:r>
      <w:r>
        <w:rPr>
          <w:rFonts w:ascii="Cambria" w:hAnsi="Cambria"/>
          <w:bCs/>
          <w:sz w:val="23"/>
          <w:szCs w:val="23"/>
        </w:rPr>
        <w:t>O presente Instrumento produzirá seus jurídicos e legais efeitos a partir da data de sua assinatura e vigorará pelo período de 12 (doze) meses, podendo ser prorrogado nos moldes da Lei 14.133/2023</w:t>
      </w:r>
      <w:r>
        <w:rPr>
          <w:rFonts w:ascii="Cambria" w:hAnsi="Cambria"/>
          <w:b/>
          <w:sz w:val="23"/>
          <w:szCs w:val="23"/>
        </w:rPr>
        <w:t>.</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7.3.</w:t>
      </w:r>
      <w:r>
        <w:rPr>
          <w:rFonts w:ascii="Cambria" w:hAnsi="Cambria"/>
          <w:sz w:val="23"/>
          <w:szCs w:val="23"/>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8. LOCAL E PRAZO PARA EXECUÇÃO DOS SERVIÇOS:</w:t>
      </w:r>
    </w:p>
    <w:p>
      <w:pPr>
        <w:spacing w:line="276" w:lineRule="auto"/>
        <w:jc w:val="both"/>
        <w:rPr>
          <w:rFonts w:ascii="Cambria" w:hAnsi="Cambria"/>
          <w:sz w:val="23"/>
          <w:szCs w:val="23"/>
        </w:rPr>
      </w:pPr>
      <w:r>
        <w:rPr>
          <w:rFonts w:ascii="Cambria" w:hAnsi="Cambria"/>
          <w:b/>
          <w:sz w:val="23"/>
          <w:szCs w:val="23"/>
        </w:rPr>
        <w:t xml:space="preserve">8.1. </w:t>
      </w:r>
      <w:r>
        <w:rPr>
          <w:rFonts w:ascii="Cambria" w:hAnsi="Cambria"/>
          <w:sz w:val="23"/>
          <w:szCs w:val="23"/>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3"/>
          <w:szCs w:val="23"/>
        </w:rPr>
        <w:t>05 (cinco) dias úteis</w:t>
      </w:r>
      <w:r>
        <w:rPr>
          <w:rFonts w:ascii="Cambria" w:hAnsi="Cambria"/>
          <w:sz w:val="23"/>
          <w:szCs w:val="23"/>
        </w:rPr>
        <w:t>, contados a partir da emissão da ORDEM DE COMPRA/AUTORIZAÇÃO DE EXECUÇÃO.</w:t>
      </w:r>
    </w:p>
    <w:p>
      <w:pP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9. ACOMPANHAMENTO E FISCALIZAÇÃO DA EXECUÇÃO:</w:t>
      </w:r>
    </w:p>
    <w:p>
      <w:pPr>
        <w:spacing w:line="276" w:lineRule="auto"/>
        <w:jc w:val="both"/>
        <w:rPr>
          <w:rFonts w:ascii="Cambria" w:hAnsi="Cambria"/>
          <w:sz w:val="23"/>
          <w:szCs w:val="23"/>
        </w:rPr>
      </w:pPr>
      <w:r>
        <w:rPr>
          <w:rFonts w:ascii="Cambria" w:hAnsi="Cambria"/>
          <w:b/>
          <w:sz w:val="23"/>
          <w:szCs w:val="23"/>
        </w:rPr>
        <w:t>9.1.</w:t>
      </w:r>
      <w:r>
        <w:rPr>
          <w:rFonts w:ascii="Cambria" w:hAnsi="Cambria"/>
          <w:sz w:val="23"/>
          <w:szCs w:val="23"/>
        </w:rPr>
        <w:t xml:space="preserve"> A execução do objeto será fiscalizada por servidor designado pelo órgão responsável pela contratação, sendo que o Gestor do Contrato será responsável por atestar os documentos da </w:t>
      </w:r>
      <w:r>
        <w:rPr>
          <w:rFonts w:ascii="Cambria" w:hAnsi="Cambria"/>
          <w:sz w:val="23"/>
          <w:szCs w:val="23"/>
        </w:rPr>
        <w:lastRenderedPageBreak/>
        <w:t xml:space="preserve">despesa (nota fiscal), quando comprovada a fiel e correta execução para fins de pagamento; </w:t>
      </w:r>
    </w:p>
    <w:p>
      <w:pPr>
        <w:spacing w:line="276" w:lineRule="auto"/>
        <w:jc w:val="both"/>
        <w:rPr>
          <w:rFonts w:ascii="Cambria" w:hAnsi="Cambria"/>
          <w:sz w:val="23"/>
          <w:szCs w:val="23"/>
        </w:rPr>
      </w:pPr>
      <w:r>
        <w:rPr>
          <w:rFonts w:ascii="Cambria" w:hAnsi="Cambria"/>
          <w:b/>
          <w:sz w:val="23"/>
          <w:szCs w:val="23"/>
        </w:rPr>
        <w:t>9.2.</w:t>
      </w:r>
      <w:r>
        <w:rPr>
          <w:rFonts w:ascii="Cambria" w:hAnsi="Cambria"/>
          <w:sz w:val="23"/>
          <w:szCs w:val="23"/>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3"/>
          <w:szCs w:val="23"/>
        </w:rPr>
      </w:pPr>
      <w:r>
        <w:rPr>
          <w:rFonts w:ascii="Cambria" w:hAnsi="Cambria"/>
          <w:b/>
          <w:sz w:val="23"/>
          <w:szCs w:val="23"/>
        </w:rPr>
        <w:t>9.3.</w:t>
      </w:r>
      <w:r>
        <w:rPr>
          <w:rFonts w:ascii="Cambria" w:hAnsi="Cambria"/>
          <w:sz w:val="23"/>
          <w:szCs w:val="23"/>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10. RESPONSABILIDADES DA CONTRATADA:</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10.2.1</w:t>
      </w:r>
      <w:r>
        <w:rPr>
          <w:rFonts w:ascii="Cambria" w:hAnsi="Cambria"/>
          <w:bCs/>
          <w:sz w:val="23"/>
          <w:szCs w:val="23"/>
        </w:rPr>
        <w:t>. Iniciar a execução dos serviços no prazo estabelecido pela Administração, a contar do recebimento da ORDEM DE SERVIÇO/AUTORIZAÇÃO DE EXECUÇÃO, observando rigorosamente as especificações contidas no Termo de Referência, nos anexos e nas disposições constantes de sua Proposta de Preços, assumindo a responsabilidade pelo pagamento de todos os impostos, taxas e quaisquer ônus de origem federal, estadual e municipal, bem como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3"/>
          <w:szCs w:val="23"/>
        </w:rPr>
      </w:pPr>
      <w:r>
        <w:rPr>
          <w:rFonts w:ascii="Cambria" w:hAnsi="Cambria"/>
          <w:b/>
          <w:sz w:val="23"/>
          <w:szCs w:val="23"/>
        </w:rPr>
        <w:t xml:space="preserve">10.2.2. </w:t>
      </w:r>
      <w:r>
        <w:rPr>
          <w:rFonts w:ascii="Cambria" w:hAnsi="Cambria"/>
          <w:bCs/>
          <w:sz w:val="23"/>
          <w:szCs w:val="23"/>
        </w:rPr>
        <w:t>Executar os serviços de acordo com as especificações constantes neste Termo de Referência, garantindo a adequada prestação dos serviços técnicos especializados de assessoria e consultoria em controladoria governamental e controle interno.</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 xml:space="preserve">10.2.3. </w:t>
      </w:r>
      <w:r>
        <w:rPr>
          <w:rFonts w:ascii="Cambria" w:hAnsi="Cambria"/>
          <w:bCs/>
          <w:sz w:val="23"/>
          <w:szCs w:val="23"/>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 xml:space="preserve">10.2.4. </w:t>
      </w:r>
      <w:r>
        <w:rPr>
          <w:rFonts w:ascii="Cambria" w:hAnsi="Cambria"/>
          <w:bCs/>
          <w:sz w:val="23"/>
          <w:szCs w:val="23"/>
        </w:rPr>
        <w:t>Prestar orientações técnicas sempre que solicitado pela Administração, visando o adequado acompanhamento das rotinas administrativas, patrimoniais, orçamentárias e de controle interno.</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 xml:space="preserve">10.2.5. </w:t>
      </w:r>
      <w:r>
        <w:rPr>
          <w:rFonts w:ascii="Cambria" w:hAnsi="Cambria"/>
          <w:bCs/>
          <w:sz w:val="23"/>
          <w:szCs w:val="23"/>
        </w:rPr>
        <w:t>Elaborar relatórios técnicos, minutas, fluxos, orientações, pareceres administrativos e demais documentos relacionados ao objeto contratado, quando demandado pela Administração.</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 xml:space="preserve">10.2.6. </w:t>
      </w:r>
      <w:r>
        <w:rPr>
          <w:rFonts w:ascii="Cambria" w:hAnsi="Cambria"/>
          <w:bCs/>
          <w:sz w:val="23"/>
          <w:szCs w:val="23"/>
        </w:rPr>
        <w:t>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 xml:space="preserve">10.2.7. </w:t>
      </w:r>
      <w:r>
        <w:rPr>
          <w:rFonts w:ascii="Cambria" w:hAnsi="Cambria"/>
          <w:bCs/>
          <w:sz w:val="23"/>
          <w:szCs w:val="23"/>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
          <w:sz w:val="23"/>
          <w:szCs w:val="23"/>
        </w:rPr>
      </w:pPr>
      <w:r>
        <w:rPr>
          <w:rFonts w:ascii="Cambria" w:hAnsi="Cambria"/>
          <w:b/>
          <w:sz w:val="23"/>
          <w:szCs w:val="23"/>
        </w:rPr>
        <w:t xml:space="preserve">10.2.8. </w:t>
      </w:r>
      <w:r>
        <w:rPr>
          <w:rFonts w:ascii="Cambria" w:hAnsi="Cambria"/>
          <w:bCs/>
          <w:sz w:val="23"/>
          <w:szCs w:val="23"/>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3"/>
          <w:szCs w:val="23"/>
        </w:rPr>
      </w:pPr>
      <w:r>
        <w:rPr>
          <w:rFonts w:ascii="Cambria" w:hAnsi="Cambria"/>
          <w:b/>
          <w:sz w:val="23"/>
          <w:szCs w:val="23"/>
        </w:rPr>
        <w:t xml:space="preserve">10.2.9. </w:t>
      </w:r>
      <w:r>
        <w:rPr>
          <w:rFonts w:ascii="Cambria" w:hAnsi="Cambria"/>
          <w:bCs/>
          <w:sz w:val="23"/>
          <w:szCs w:val="23"/>
        </w:rPr>
        <w:t>Responsabilizar-se tecnicamente pelos serviços prestados, bem como pelos danos causados diretamente à Administração ou a terceiros decorrentes de sua culpa ou dolo na execução do contrato, não excluindo ou reduzindo essa responsabilidade a fiscalização ou o acompanhamento pela Administração.</w:t>
      </w:r>
    </w:p>
    <w:p>
      <w:pPr>
        <w:pBdr>
          <w:top w:val="nil"/>
          <w:left w:val="nil"/>
          <w:bottom w:val="nil"/>
          <w:right w:val="nil"/>
          <w:between w:val="nil"/>
        </w:pBdr>
        <w:spacing w:line="276" w:lineRule="auto"/>
        <w:jc w:val="both"/>
        <w:rPr>
          <w:rFonts w:ascii="Cambria" w:hAnsi="Cambria"/>
          <w:bCs/>
          <w:sz w:val="23"/>
          <w:szCs w:val="23"/>
        </w:rPr>
      </w:pPr>
      <w:r>
        <w:rPr>
          <w:rFonts w:ascii="Cambria" w:hAnsi="Cambria"/>
          <w:b/>
          <w:sz w:val="23"/>
          <w:szCs w:val="23"/>
        </w:rPr>
        <w:t xml:space="preserve">10.2.10. </w:t>
      </w:r>
      <w:r>
        <w:rPr>
          <w:rFonts w:ascii="Cambria" w:hAnsi="Cambria"/>
          <w:bCs/>
          <w:sz w:val="23"/>
          <w:szCs w:val="23"/>
        </w:rPr>
        <w:t>Comunicar formalmente à Administração eventuais dificuldades, riscos, inconsistências ou irregularidades identificadas durante a execução dos serviços.</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10.2.11. </w:t>
      </w:r>
      <w:r>
        <w:rPr>
          <w:rFonts w:ascii="Cambria" w:hAnsi="Cambria"/>
          <w:bCs/>
          <w:sz w:val="23"/>
          <w:szCs w:val="23"/>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11. RESPONSABILIDADES DA CONTRATANTE:</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11.1.</w:t>
      </w:r>
      <w:r>
        <w:rPr>
          <w:rFonts w:ascii="Cambria" w:hAnsi="Cambria"/>
          <w:sz w:val="23"/>
          <w:szCs w:val="23"/>
        </w:rPr>
        <w:t xml:space="preserve"> Acompanhar e fiscalizar a execução do objeto contratual, por meio de servidor </w:t>
      </w:r>
      <w:r>
        <w:rPr>
          <w:rFonts w:ascii="Cambria" w:hAnsi="Cambria"/>
          <w:sz w:val="23"/>
          <w:szCs w:val="23"/>
        </w:rPr>
        <w:lastRenderedPageBreak/>
        <w:t>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11.2.</w:t>
      </w:r>
      <w:r>
        <w:rPr>
          <w:rFonts w:ascii="Cambria" w:hAnsi="Cambria"/>
          <w:sz w:val="23"/>
          <w:szCs w:val="23"/>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11.3.</w:t>
      </w:r>
      <w:r>
        <w:rPr>
          <w:rFonts w:ascii="Cambria" w:hAnsi="Cambria"/>
          <w:sz w:val="23"/>
          <w:szCs w:val="23"/>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11.4.</w:t>
      </w:r>
      <w:r>
        <w:rPr>
          <w:rFonts w:ascii="Cambria" w:hAnsi="Cambria"/>
          <w:sz w:val="23"/>
          <w:szCs w:val="23"/>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3"/>
          <w:szCs w:val="23"/>
          <w:u w:val="single"/>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12. CONDIÇÕES DE PAGAMENTO:</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12.1.</w:t>
      </w:r>
      <w:r>
        <w:rPr>
          <w:rFonts w:ascii="Cambria" w:hAnsi="Cambria"/>
          <w:sz w:val="23"/>
          <w:szCs w:val="23"/>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bCs/>
          <w:sz w:val="23"/>
          <w:szCs w:val="23"/>
        </w:rPr>
        <w:t>12.2.</w:t>
      </w:r>
      <w:r>
        <w:rPr>
          <w:rFonts w:ascii="Cambria" w:hAnsi="Cambria"/>
          <w:sz w:val="23"/>
          <w:szCs w:val="23"/>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c) Certificado de Regularidade do FGTS — CRF;</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d) Certidão Negativa de Débitos Trabalhistas — CNDT;</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bCs/>
          <w:sz w:val="23"/>
          <w:szCs w:val="23"/>
        </w:rPr>
        <w:t>12.3.</w:t>
      </w:r>
      <w:r>
        <w:rPr>
          <w:rFonts w:ascii="Cambria" w:hAnsi="Cambria"/>
          <w:sz w:val="23"/>
          <w:szCs w:val="23"/>
        </w:rPr>
        <w:t xml:space="preserve"> O pagamento será efetuado através de crédito em conta bancária indicada pela CONTRATADA, após verificação da regularidade da documentação apresentada e do atesto da execução dos serviços pela Administração.</w:t>
      </w:r>
    </w:p>
    <w:p>
      <w:pPr>
        <w:keepLines/>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13. DOS RECURSOS FINANCEIROS:</w:t>
      </w:r>
    </w:p>
    <w:p>
      <w:pPr>
        <w:pBdr>
          <w:top w:val="nil"/>
          <w:left w:val="nil"/>
          <w:bottom w:val="nil"/>
          <w:right w:val="nil"/>
          <w:between w:val="nil"/>
        </w:pBdr>
        <w:jc w:val="both"/>
        <w:rPr>
          <w:rFonts w:ascii="Cambria" w:hAnsi="Cambria"/>
          <w:bCs/>
          <w:sz w:val="23"/>
          <w:szCs w:val="23"/>
        </w:rPr>
      </w:pPr>
      <w:r>
        <w:rPr>
          <w:rFonts w:ascii="Cambria" w:hAnsi="Cambria"/>
          <w:b/>
          <w:sz w:val="23"/>
          <w:szCs w:val="23"/>
        </w:rPr>
        <w:t>13.1</w:t>
      </w:r>
      <w:r>
        <w:rPr>
          <w:rFonts w:ascii="Cambria" w:hAnsi="Cambria"/>
          <w:sz w:val="23"/>
          <w:szCs w:val="23"/>
        </w:rPr>
        <w:t>. A despesa ocorrerá à conta de recursos específicos consignados no respectivo Orçamento próprio da Secretaria solicitante,</w:t>
      </w:r>
      <w:r>
        <w:rPr>
          <w:rFonts w:ascii="Cambria" w:hAnsi="Cambria"/>
          <w:b/>
          <w:sz w:val="23"/>
          <w:szCs w:val="23"/>
        </w:rPr>
        <w:t xml:space="preserve"> </w:t>
      </w:r>
      <w:r>
        <w:rPr>
          <w:rFonts w:ascii="Cambria" w:hAnsi="Cambria"/>
          <w:bCs/>
          <w:sz w:val="23"/>
          <w:szCs w:val="23"/>
        </w:rPr>
        <w:t xml:space="preserve">na seguinte </w:t>
      </w:r>
      <w:r>
        <w:rPr>
          <w:rFonts w:ascii="Cambria" w:hAnsi="Cambria"/>
          <w:b/>
          <w:bCs/>
          <w:sz w:val="23"/>
          <w:szCs w:val="23"/>
        </w:rPr>
        <w:t>Dotação Orçamentária</w:t>
      </w:r>
      <w:r>
        <w:rPr>
          <w:rFonts w:ascii="Cambria" w:hAnsi="Cambria"/>
          <w:bCs/>
          <w:sz w:val="23"/>
          <w:szCs w:val="23"/>
        </w:rPr>
        <w:t xml:space="preserve">: </w:t>
      </w:r>
      <w:r>
        <w:rPr>
          <w:rFonts w:ascii="Cambria" w:hAnsi="Cambria"/>
          <w:sz w:val="23"/>
          <w:szCs w:val="23"/>
          <w:lang w:eastAsia="ar-SA"/>
        </w:rPr>
        <w:t>1001.12.122.0014.2.049 – Funcionamento da Secretaria Municipal de Educação; Elemento de Despesas: 3.3.90.39.00 - Outros Serv. de Terc. Pessoa Jurídica; Fonte de Recursos: 1500100100.</w:t>
      </w:r>
    </w:p>
    <w:p>
      <w:pPr>
        <w:pBdr>
          <w:top w:val="nil"/>
          <w:left w:val="nil"/>
          <w:bottom w:val="nil"/>
          <w:right w:val="nil"/>
          <w:between w:val="nil"/>
        </w:pBdr>
        <w:spacing w:line="276" w:lineRule="auto"/>
        <w:jc w:val="both"/>
        <w:rPr>
          <w:rFonts w:ascii="Cambria" w:hAnsi="Cambria"/>
          <w:b/>
          <w:sz w:val="23"/>
          <w:szCs w:val="23"/>
          <w:u w:val="single"/>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14. GESTOR DO CONTRATO: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14.1.</w:t>
      </w:r>
      <w:r>
        <w:rPr>
          <w:rFonts w:ascii="Cambria" w:hAnsi="Cambria"/>
          <w:sz w:val="23"/>
          <w:szCs w:val="23"/>
        </w:rPr>
        <w:t xml:space="preserve"> A Gestão do Contrato será exercida por servidor designado pelo órgão Contratante, da </w:t>
      </w:r>
      <w:r>
        <w:rPr>
          <w:rFonts w:ascii="Cambria" w:hAnsi="Cambria"/>
          <w:b/>
          <w:bCs/>
          <w:sz w:val="23"/>
          <w:szCs w:val="23"/>
        </w:rPr>
        <w:t>PREFEITURA DO MUNICÍPIO DE MIRAÍMA - CE</w:t>
      </w:r>
      <w:r>
        <w:rPr>
          <w:rFonts w:ascii="Cambria" w:hAnsi="Cambria"/>
          <w:sz w:val="23"/>
          <w:szCs w:val="23"/>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15. PENALIDADES:</w:t>
      </w:r>
    </w:p>
    <w:p>
      <w:pPr>
        <w:pStyle w:val="PargrafodaLista"/>
        <w:ind w:left="0" w:right="3"/>
        <w:rPr>
          <w:rFonts w:ascii="Cambria" w:hAnsi="Cambria"/>
          <w:sz w:val="23"/>
          <w:szCs w:val="23"/>
        </w:rPr>
      </w:pPr>
      <w:r>
        <w:rPr>
          <w:rFonts w:ascii="Cambria" w:hAnsi="Cambria"/>
          <w:b/>
          <w:bCs/>
          <w:sz w:val="23"/>
          <w:szCs w:val="23"/>
        </w:rPr>
        <w:t xml:space="preserve">15.1. </w:t>
      </w:r>
      <w:r>
        <w:rPr>
          <w:rFonts w:ascii="Cambria" w:hAnsi="Cambria"/>
          <w:sz w:val="23"/>
          <w:szCs w:val="23"/>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3"/>
          <w:szCs w:val="23"/>
        </w:rPr>
      </w:pPr>
      <w:r>
        <w:rPr>
          <w:rFonts w:ascii="Cambria" w:hAnsi="Cambria"/>
          <w:b/>
          <w:bCs/>
          <w:sz w:val="23"/>
          <w:szCs w:val="23"/>
        </w:rPr>
        <w:t xml:space="preserve">15.2. </w:t>
      </w:r>
      <w:r>
        <w:rPr>
          <w:rFonts w:ascii="Cambria" w:hAnsi="Cambria"/>
          <w:sz w:val="23"/>
          <w:szCs w:val="23"/>
        </w:rPr>
        <w:t xml:space="preserve">Em caso de </w:t>
      </w:r>
      <w:r>
        <w:rPr>
          <w:rFonts w:ascii="Cambria" w:hAnsi="Cambria"/>
          <w:b/>
          <w:sz w:val="23"/>
          <w:szCs w:val="23"/>
        </w:rPr>
        <w:t>atraso injustificado na execução do contrato</w:t>
      </w:r>
      <w:r>
        <w:rPr>
          <w:rFonts w:ascii="Cambria" w:hAnsi="Cambria"/>
          <w:sz w:val="23"/>
          <w:szCs w:val="23"/>
        </w:rPr>
        <w:t xml:space="preserve">: multa de 1% (um por cento) sobre o valor total do contrato, por cada dia de atraso injustificado na execução do contrato, não ficando a administração impedida de rescindir unilateralmente o contrato e aplicar as outras </w:t>
      </w:r>
      <w:r>
        <w:rPr>
          <w:rFonts w:ascii="Cambria" w:hAnsi="Cambria"/>
          <w:sz w:val="23"/>
          <w:szCs w:val="23"/>
        </w:rPr>
        <w:lastRenderedPageBreak/>
        <w:t>sanções previstas nos artigos 155 e 157 da Lei nº 14.133/21.</w:t>
      </w:r>
    </w:p>
    <w:p>
      <w:pPr>
        <w:pStyle w:val="PargrafodaLista"/>
        <w:numPr>
          <w:ilvl w:val="1"/>
          <w:numId w:val="30"/>
        </w:numPr>
        <w:tabs>
          <w:tab w:val="left" w:pos="284"/>
        </w:tabs>
        <w:spacing w:before="1"/>
        <w:ind w:right="3"/>
        <w:rPr>
          <w:rFonts w:ascii="Cambria" w:hAnsi="Cambria"/>
          <w:sz w:val="23"/>
          <w:szCs w:val="23"/>
        </w:rPr>
      </w:pPr>
      <w:r>
        <w:rPr>
          <w:rFonts w:ascii="Cambria" w:hAnsi="Cambria"/>
          <w:sz w:val="23"/>
          <w:szCs w:val="23"/>
        </w:rPr>
        <w:t>Em caso de inexecução total ou parcial do contrato:</w:t>
      </w:r>
    </w:p>
    <w:p>
      <w:pPr>
        <w:pStyle w:val="PargrafodaLista"/>
        <w:numPr>
          <w:ilvl w:val="2"/>
          <w:numId w:val="30"/>
        </w:numPr>
        <w:tabs>
          <w:tab w:val="left" w:pos="851"/>
        </w:tabs>
        <w:ind w:right="3"/>
        <w:rPr>
          <w:rFonts w:ascii="Cambria" w:hAnsi="Cambria"/>
          <w:sz w:val="23"/>
          <w:szCs w:val="23"/>
        </w:rPr>
      </w:pPr>
      <w:r>
        <w:rPr>
          <w:rFonts w:ascii="Cambria" w:hAnsi="Cambria"/>
          <w:sz w:val="23"/>
          <w:szCs w:val="23"/>
        </w:rPr>
        <w:t>Advertência;</w:t>
      </w:r>
    </w:p>
    <w:p>
      <w:pPr>
        <w:pStyle w:val="PargrafodaLista"/>
        <w:numPr>
          <w:ilvl w:val="2"/>
          <w:numId w:val="30"/>
        </w:numPr>
        <w:tabs>
          <w:tab w:val="left" w:pos="851"/>
        </w:tabs>
        <w:ind w:left="0" w:right="3" w:firstLine="0"/>
        <w:rPr>
          <w:rFonts w:ascii="Cambria" w:hAnsi="Cambria"/>
          <w:sz w:val="23"/>
          <w:szCs w:val="23"/>
        </w:rPr>
      </w:pPr>
      <w:r>
        <w:rPr>
          <w:rFonts w:ascii="Cambria" w:hAnsi="Cambria"/>
          <w:sz w:val="23"/>
          <w:szCs w:val="23"/>
        </w:rPr>
        <w:t xml:space="preserve">Multa de 30% (trinta por cento) sobre o valor do contrato;   </w:t>
      </w:r>
    </w:p>
    <w:p>
      <w:pPr>
        <w:pStyle w:val="PargrafodaLista"/>
        <w:tabs>
          <w:tab w:val="left" w:pos="851"/>
        </w:tabs>
        <w:ind w:left="0" w:right="3"/>
        <w:rPr>
          <w:rFonts w:ascii="Cambria" w:hAnsi="Cambria"/>
          <w:sz w:val="23"/>
          <w:szCs w:val="23"/>
        </w:rPr>
      </w:pPr>
      <w:r>
        <w:rPr>
          <w:rFonts w:ascii="Cambria" w:hAnsi="Cambria"/>
          <w:b/>
          <w:bCs/>
          <w:sz w:val="23"/>
          <w:szCs w:val="23"/>
        </w:rPr>
        <w:t xml:space="preserve">16.3.3. </w:t>
      </w:r>
      <w:r>
        <w:rPr>
          <w:rFonts w:ascii="Cambria" w:hAnsi="Cambria"/>
          <w:sz w:val="23"/>
          <w:szCs w:val="23"/>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3"/>
          <w:szCs w:val="23"/>
        </w:rPr>
      </w:pPr>
      <w:r>
        <w:rPr>
          <w:rFonts w:ascii="Cambria" w:hAnsi="Cambria"/>
          <w:b/>
          <w:bCs/>
          <w:sz w:val="23"/>
          <w:szCs w:val="23"/>
        </w:rPr>
        <w:t xml:space="preserve">15.3.4. </w:t>
      </w:r>
      <w:r>
        <w:rPr>
          <w:rFonts w:ascii="Cambria" w:hAnsi="Cambria"/>
          <w:sz w:val="23"/>
          <w:szCs w:val="23"/>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3"/>
          <w:szCs w:val="23"/>
        </w:rPr>
      </w:pPr>
      <w:r>
        <w:rPr>
          <w:rFonts w:ascii="Cambria" w:hAnsi="Cambria"/>
          <w:sz w:val="23"/>
          <w:szCs w:val="23"/>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3"/>
          <w:szCs w:val="23"/>
        </w:rPr>
      </w:pPr>
      <w:r>
        <w:rPr>
          <w:rFonts w:ascii="Cambria" w:hAnsi="Cambria"/>
          <w:sz w:val="23"/>
          <w:szCs w:val="23"/>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3"/>
          <w:szCs w:val="23"/>
        </w:rPr>
      </w:pPr>
      <w:r>
        <w:rPr>
          <w:rFonts w:ascii="Cambria" w:hAnsi="Cambria"/>
          <w:sz w:val="23"/>
          <w:szCs w:val="23"/>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3"/>
          <w:szCs w:val="23"/>
        </w:rPr>
      </w:pPr>
      <w:r>
        <w:rPr>
          <w:rFonts w:ascii="Cambria" w:hAnsi="Cambria"/>
          <w:sz w:val="23"/>
          <w:szCs w:val="23"/>
        </w:rPr>
        <w:t>Advertência;</w:t>
      </w:r>
    </w:p>
    <w:p>
      <w:pPr>
        <w:pStyle w:val="PargrafodaLista"/>
        <w:numPr>
          <w:ilvl w:val="0"/>
          <w:numId w:val="1"/>
        </w:numPr>
        <w:tabs>
          <w:tab w:val="left" w:pos="2262"/>
        </w:tabs>
        <w:ind w:left="0" w:right="144" w:firstLine="0"/>
        <w:rPr>
          <w:rFonts w:ascii="Cambria" w:hAnsi="Cambria"/>
          <w:sz w:val="23"/>
          <w:szCs w:val="23"/>
        </w:rPr>
      </w:pPr>
      <w:r>
        <w:rPr>
          <w:rFonts w:ascii="Cambria" w:hAnsi="Cambria"/>
          <w:sz w:val="23"/>
          <w:szCs w:val="23"/>
        </w:rPr>
        <w:t>Multa;</w:t>
      </w:r>
    </w:p>
    <w:p>
      <w:pPr>
        <w:pStyle w:val="PargrafodaLista"/>
        <w:numPr>
          <w:ilvl w:val="0"/>
          <w:numId w:val="1"/>
        </w:numPr>
        <w:tabs>
          <w:tab w:val="left" w:pos="2262"/>
        </w:tabs>
        <w:ind w:left="0" w:right="-29" w:firstLine="0"/>
        <w:rPr>
          <w:rFonts w:ascii="Cambria" w:hAnsi="Cambria"/>
          <w:sz w:val="23"/>
          <w:szCs w:val="23"/>
        </w:rPr>
      </w:pPr>
      <w:r>
        <w:rPr>
          <w:rFonts w:ascii="Cambria" w:hAnsi="Cambria"/>
          <w:sz w:val="23"/>
          <w:szCs w:val="23"/>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3"/>
          <w:szCs w:val="23"/>
        </w:rPr>
      </w:pPr>
      <w:r>
        <w:rPr>
          <w:rFonts w:ascii="Cambria" w:hAnsi="Cambria"/>
          <w:sz w:val="23"/>
          <w:szCs w:val="23"/>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tabs>
          <w:tab w:val="left" w:pos="567"/>
        </w:tabs>
        <w:autoSpaceDE/>
        <w:autoSpaceDN/>
        <w:spacing w:line="276" w:lineRule="auto"/>
        <w:ind w:left="0" w:right="-29" w:firstLine="0"/>
        <w:jc w:val="both"/>
        <w:rPr>
          <w:rFonts w:ascii="Cambria" w:hAnsi="Cambria"/>
          <w:color w:val="000000"/>
          <w:sz w:val="23"/>
          <w:szCs w:val="23"/>
          <w:lang w:val="pt-BR"/>
        </w:rPr>
      </w:pPr>
      <w:r>
        <w:rPr>
          <w:rFonts w:ascii="Cambria" w:hAnsi="Cambria"/>
          <w:color w:val="000000"/>
          <w:sz w:val="23"/>
          <w:szCs w:val="23"/>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sz w:val="23"/>
          <w:szCs w:val="23"/>
          <w:lang w:val="pt-BR"/>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16. DAS ALTERAÇÕES E DA REPACTUAÇÃO DO VALOR CONTRATADO:</w:t>
      </w:r>
    </w:p>
    <w:p>
      <w:pPr>
        <w:shd w:val="clear" w:color="auto" w:fill="FFFFFF"/>
        <w:spacing w:line="276" w:lineRule="auto"/>
        <w:jc w:val="both"/>
        <w:rPr>
          <w:rFonts w:ascii="Cambria" w:hAnsi="Cambria"/>
          <w:sz w:val="23"/>
          <w:szCs w:val="23"/>
        </w:rPr>
      </w:pPr>
      <w:r>
        <w:rPr>
          <w:rFonts w:ascii="Cambria" w:hAnsi="Cambria"/>
          <w:b/>
          <w:bCs/>
          <w:sz w:val="23"/>
          <w:szCs w:val="23"/>
        </w:rPr>
        <w:t xml:space="preserve">16.1. </w:t>
      </w:r>
      <w:r>
        <w:rPr>
          <w:rFonts w:ascii="Cambria" w:hAnsi="Cambria"/>
          <w:sz w:val="23"/>
          <w:szCs w:val="23"/>
        </w:rPr>
        <w:t xml:space="preserve">O contrato poderá ser reajustado conforme os casos previstos em Lei. </w:t>
      </w:r>
    </w:p>
    <w:p>
      <w:pPr>
        <w:shd w:val="clear" w:color="auto" w:fill="FFFFFF"/>
        <w:spacing w:line="276" w:lineRule="auto"/>
        <w:jc w:val="both"/>
        <w:rPr>
          <w:rFonts w:ascii="Cambria" w:hAnsi="Cambria"/>
          <w:sz w:val="23"/>
          <w:szCs w:val="23"/>
        </w:rPr>
      </w:pPr>
      <w:r>
        <w:rPr>
          <w:rFonts w:ascii="Cambria" w:hAnsi="Cambria"/>
          <w:b/>
          <w:bCs/>
          <w:sz w:val="23"/>
          <w:szCs w:val="23"/>
        </w:rPr>
        <w:t>16.2.</w:t>
      </w:r>
      <w:r>
        <w:rPr>
          <w:rFonts w:ascii="Cambria" w:hAnsi="Cambria"/>
          <w:sz w:val="23"/>
          <w:szCs w:val="23"/>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rPr>
          <w:rFonts w:ascii="Cambria" w:hAnsi="Cambria" w:cstheme="minorHAnsi"/>
          <w:b/>
          <w:bCs/>
          <w:sz w:val="24"/>
          <w:szCs w:val="24"/>
        </w:rPr>
      </w:pPr>
    </w:p>
    <w:p>
      <w:pPr>
        <w:rPr>
          <w:rFonts w:ascii="Cambria" w:hAnsi="Cambria" w:cstheme="minorHAnsi"/>
          <w:b/>
          <w:bCs/>
          <w:sz w:val="24"/>
          <w:szCs w:val="24"/>
        </w:rPr>
      </w:pPr>
    </w:p>
    <w:p>
      <w:pPr>
        <w:rPr>
          <w:rFonts w:ascii="Cambria" w:hAnsi="Cambria" w:cstheme="minorHAnsi"/>
          <w:b/>
          <w:bCs/>
          <w:sz w:val="24"/>
          <w:szCs w:val="24"/>
        </w:rPr>
      </w:pPr>
    </w:p>
    <w:p>
      <w:pPr>
        <w:jc w:val="center"/>
        <w:rPr>
          <w:rFonts w:ascii="Cambria" w:hAnsi="Cambria" w:cstheme="minorHAnsi"/>
          <w:b/>
          <w:bCs/>
          <w:sz w:val="24"/>
          <w:szCs w:val="24"/>
        </w:rPr>
      </w:pPr>
      <w:r>
        <w:rPr>
          <w:rFonts w:ascii="Cambria" w:hAnsi="Cambria" w:cstheme="minorHAnsi"/>
          <w:b/>
          <w:bCs/>
          <w:sz w:val="24"/>
          <w:szCs w:val="24"/>
        </w:rPr>
        <w:t>APÊNDICE DO ANEXO I</w:t>
      </w:r>
    </w:p>
    <w:p>
      <w:pPr>
        <w:jc w:val="center"/>
        <w:rPr>
          <w:rFonts w:ascii="Cambria" w:hAnsi="Cambria" w:cstheme="minorHAnsi"/>
          <w:b/>
          <w:bCs/>
          <w:sz w:val="24"/>
          <w:szCs w:val="24"/>
        </w:rPr>
      </w:pPr>
    </w:p>
    <w:p>
      <w:pPr>
        <w:jc w:val="center"/>
        <w:rPr>
          <w:rFonts w:ascii="Cambria" w:hAnsi="Cambria" w:cstheme="minorHAnsi"/>
          <w:b/>
          <w:bCs/>
          <w:sz w:val="24"/>
          <w:szCs w:val="24"/>
        </w:rPr>
      </w:pPr>
    </w:p>
    <w:p>
      <w:pPr>
        <w:jc w:val="both"/>
        <w:rPr>
          <w:rFonts w:ascii="Cambria" w:hAnsi="Cambria"/>
          <w:b/>
          <w:bCs/>
          <w:sz w:val="24"/>
          <w:szCs w:val="24"/>
        </w:rPr>
      </w:pPr>
      <w:r>
        <w:rPr>
          <w:rFonts w:ascii="Cambria" w:hAnsi="Cambria"/>
          <w:b/>
          <w:bCs/>
          <w:sz w:val="24"/>
          <w:szCs w:val="24"/>
        </w:rPr>
        <w:t>1</w:t>
      </w:r>
      <w:r>
        <w:rPr>
          <w:rFonts w:ascii="Cambria" w:hAnsi="Cambria"/>
          <w:b/>
          <w:bCs/>
          <w:sz w:val="24"/>
          <w:szCs w:val="24"/>
        </w:rPr>
        <w:t>. DESCRIÇÃO DA NECESSIDADE DA CONTRATAÇÃO</w:t>
      </w:r>
    </w:p>
    <w:p>
      <w:pPr>
        <w:ind w:firstLine="567"/>
        <w:jc w:val="both"/>
        <w:rPr>
          <w:rFonts w:ascii="Cambria" w:hAnsi="Cambria"/>
          <w:sz w:val="24"/>
          <w:szCs w:val="24"/>
        </w:rPr>
      </w:pPr>
      <w:r>
        <w:rPr>
          <w:rFonts w:ascii="Cambria" w:hAnsi="Cambria"/>
          <w:sz w:val="24"/>
          <w:szCs w:val="24"/>
        </w:rPr>
        <w:t>A presente contratação decorre da necessidade de garantir o correto processamento, validação e envio das informações da Secretaria de Educação do Município de Miraíma/CE ao Sistema de Escrituração Digital das Obrigações Fiscais, Previdenciárias e Trabalhistas – eSocial, em atendimento às exigências legais impostas aos órgãos públicos.</w:t>
      </w:r>
    </w:p>
    <w:p>
      <w:pPr>
        <w:ind w:firstLine="567"/>
        <w:jc w:val="both"/>
        <w:rPr>
          <w:rFonts w:ascii="Cambria" w:hAnsi="Cambria"/>
          <w:sz w:val="24"/>
          <w:szCs w:val="24"/>
        </w:rPr>
      </w:pPr>
      <w:r>
        <w:rPr>
          <w:rFonts w:ascii="Cambria" w:hAnsi="Cambria"/>
          <w:sz w:val="24"/>
          <w:szCs w:val="24"/>
        </w:rPr>
        <w:t>A Secretaria de Educação administra um número significativo de vínculos funcionais, cujas informações relativas à folha de pagamento, admissões, desligamentos, afastamentos, férias, licenças e demais eventos trabalhistas e previdenciários devem ser transmitidas de forma tempestiva e em conformidade com as regras estabelecidas pelo Governo Federal.</w:t>
      </w:r>
    </w:p>
    <w:p>
      <w:pPr>
        <w:ind w:firstLine="567"/>
        <w:jc w:val="both"/>
        <w:rPr>
          <w:rFonts w:ascii="Cambria" w:hAnsi="Cambria"/>
          <w:sz w:val="24"/>
          <w:szCs w:val="24"/>
        </w:rPr>
      </w:pPr>
      <w:r>
        <w:rPr>
          <w:rFonts w:ascii="Cambria" w:hAnsi="Cambria"/>
          <w:sz w:val="24"/>
          <w:szCs w:val="24"/>
        </w:rPr>
        <w:t>Considerando a complexidade operacional do eSocial, as constantes atualizações normativas e a necessidade de acompanhamento técnico especializado, faz-se necessária a contratação de empresa capacitada para executar os serviços de processamento, conferência, transmissão e monitoramento das informações exigidas pelo sistema, bem como prestar suporte técnico na correção de eventuais inconsistências.</w:t>
      </w:r>
    </w:p>
    <w:p>
      <w:pPr>
        <w:ind w:firstLine="567"/>
        <w:jc w:val="both"/>
        <w:rPr>
          <w:rFonts w:ascii="Cambria" w:hAnsi="Cambria"/>
          <w:sz w:val="24"/>
          <w:szCs w:val="24"/>
        </w:rPr>
      </w:pPr>
      <w:r>
        <w:rPr>
          <w:rFonts w:ascii="Cambria" w:hAnsi="Cambria"/>
          <w:sz w:val="24"/>
          <w:szCs w:val="24"/>
        </w:rPr>
        <w:t>A contratação visa assegurar o cumprimento das obrigações legais da Administração Pública, reduzir riscos de erros e rejeições de eventos, garantir a regularidade das informações prestadas aos órgãos competentes e proporcionar maior eficiência e segurança na gestão das rotinas de pessoal da Secretaria de Educação.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363.</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567"/>
        <w:jc w:val="both"/>
        <w:rPr>
          <w:rFonts w:ascii="Cambria" w:hAnsi="Cambria"/>
          <w:sz w:val="24"/>
          <w:szCs w:val="24"/>
        </w:rPr>
      </w:pPr>
      <w:r>
        <w:rPr>
          <w:rFonts w:ascii="Cambria" w:hAnsi="Cambria"/>
          <w:sz w:val="24"/>
          <w:szCs w:val="24"/>
        </w:rPr>
        <w:t>A contratação deverá contemplar a prestação de serviços especializados de processamento, conferência, validação, transmissão e acompanhamento das informações da Secretaria de Educação junto ao eSocial, em conformidade com a legislação vigente e com os leiautes e regras estabelecidos pelos órgãos gestores do sistema.</w:t>
      </w:r>
    </w:p>
    <w:p>
      <w:pPr>
        <w:ind w:firstLine="567"/>
        <w:jc w:val="both"/>
        <w:rPr>
          <w:rFonts w:ascii="Cambria" w:hAnsi="Cambria"/>
          <w:sz w:val="24"/>
          <w:szCs w:val="24"/>
        </w:rPr>
      </w:pPr>
      <w:r>
        <w:rPr>
          <w:rFonts w:ascii="Cambria" w:hAnsi="Cambria"/>
          <w:sz w:val="24"/>
          <w:szCs w:val="24"/>
        </w:rPr>
        <w:t>A futura contratada deverá possuir capacidade técnica compatível com o objeto, dispondo de profissionais qualificados para executar os serviços e prestar suporte técnico à Administração sempre que necessário.</w:t>
      </w:r>
    </w:p>
    <w:p>
      <w:pPr>
        <w:ind w:firstLine="567"/>
        <w:jc w:val="both"/>
        <w:rPr>
          <w:rFonts w:ascii="Cambria" w:hAnsi="Cambria"/>
          <w:sz w:val="24"/>
          <w:szCs w:val="24"/>
        </w:rPr>
      </w:pPr>
      <w:r>
        <w:rPr>
          <w:rFonts w:ascii="Cambria" w:hAnsi="Cambria"/>
          <w:sz w:val="24"/>
          <w:szCs w:val="24"/>
        </w:rPr>
        <w:t>Os serviços deverão compreender, no mínimo:</w:t>
      </w:r>
    </w:p>
    <w:p>
      <w:pPr>
        <w:widowControl/>
        <w:numPr>
          <w:ilvl w:val="0"/>
          <w:numId w:val="33"/>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Processamento e envio dos eventos periódicos e não periódicos do eSocial; </w:t>
      </w:r>
    </w:p>
    <w:p>
      <w:pPr>
        <w:widowControl/>
        <w:numPr>
          <w:ilvl w:val="0"/>
          <w:numId w:val="33"/>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Acompanhamento das transmissões realizadas e monitoramento de pendências, rejeições ou inconsistências; </w:t>
      </w:r>
    </w:p>
    <w:p>
      <w:pPr>
        <w:widowControl/>
        <w:numPr>
          <w:ilvl w:val="0"/>
          <w:numId w:val="33"/>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Orientação técnica quanto às exigências e atualizações do eSocial aplicáveis aos órgãos públicos; </w:t>
      </w:r>
    </w:p>
    <w:p>
      <w:pPr>
        <w:widowControl/>
        <w:numPr>
          <w:ilvl w:val="0"/>
          <w:numId w:val="33"/>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Suporte para correção de erros e regularização de informações quando necessário; </w:t>
      </w:r>
    </w:p>
    <w:p>
      <w:pPr>
        <w:widowControl/>
        <w:numPr>
          <w:ilvl w:val="0"/>
          <w:numId w:val="33"/>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Emissão de relatórios e demonstrativos relacionados às informações transmitidas; </w:t>
      </w:r>
    </w:p>
    <w:p>
      <w:pPr>
        <w:widowControl/>
        <w:numPr>
          <w:ilvl w:val="0"/>
          <w:numId w:val="33"/>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Atendimento remoto durante a vigência contratual para esclarecimento de dúvidas e suporte operacional. </w:t>
      </w:r>
    </w:p>
    <w:p>
      <w:pPr>
        <w:ind w:firstLine="567"/>
        <w:jc w:val="both"/>
        <w:rPr>
          <w:rFonts w:ascii="Cambria" w:hAnsi="Cambria"/>
          <w:sz w:val="24"/>
          <w:szCs w:val="24"/>
        </w:rPr>
      </w:pPr>
      <w:r>
        <w:rPr>
          <w:rFonts w:ascii="Cambria" w:hAnsi="Cambria"/>
          <w:sz w:val="24"/>
          <w:szCs w:val="24"/>
        </w:rPr>
        <w:lastRenderedPageBreak/>
        <w:t>A contratada deverá observar os princípios da legalidade, eficiência, segurança da informação e confidencialidade dos dados acessados durante a execução dos serviços, responsabilizando-se pelo sigilo das informações funcionais, previdenciárias e fiscais a que tiver acesso.</w:t>
      </w:r>
    </w:p>
    <w:p>
      <w:pPr>
        <w:ind w:firstLine="567"/>
        <w:jc w:val="both"/>
        <w:rPr>
          <w:rFonts w:ascii="Cambria" w:hAnsi="Cambria"/>
          <w:sz w:val="24"/>
          <w:szCs w:val="24"/>
        </w:rPr>
      </w:pPr>
      <w:r>
        <w:rPr>
          <w:rFonts w:ascii="Cambria" w:hAnsi="Cambria"/>
          <w:sz w:val="24"/>
          <w:szCs w:val="24"/>
        </w:rPr>
        <w:t>A prestação dos serviços deverá ocorrer de forma contínua durante toda a vigência contratual, garantindo o cumprimento dos prazos legais de envio das informações e a manutenção da regularidade das obrigações acessórias da Secretaria de Educação perante os órgãos competentes.</w:t>
      </w:r>
    </w:p>
    <w:p>
      <w:pPr>
        <w:ind w:firstLine="851"/>
        <w:jc w:val="both"/>
        <w:rPr>
          <w:rFonts w:ascii="Cambria" w:hAnsi="Cambria"/>
          <w:b/>
          <w:bCs/>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567"/>
        <w:jc w:val="both"/>
        <w:rPr>
          <w:rFonts w:ascii="Cambria" w:hAnsi="Cambria"/>
          <w:sz w:val="24"/>
          <w:szCs w:val="24"/>
        </w:rPr>
      </w:pPr>
      <w:r>
        <w:rPr>
          <w:rFonts w:ascii="Cambria" w:hAnsi="Cambria"/>
          <w:sz w:val="24"/>
          <w:szCs w:val="24"/>
        </w:rPr>
        <w:t>Considerando que as obrigações relacionadas ao eSocial possuem caráter permanente e exigem acompanhamento contínuo durante todo o exercício, a prestação dos serviços deverá ocorrer de forma mensal e continuada, abrangendo o processamento, validação, transmissão e monitoramento das informações da Secretaria de Educação junto ao sistema.</w:t>
      </w:r>
    </w:p>
    <w:p>
      <w:pPr>
        <w:ind w:firstLine="567"/>
        <w:jc w:val="both"/>
        <w:rPr>
          <w:rFonts w:ascii="Cambria" w:hAnsi="Cambria"/>
          <w:sz w:val="24"/>
          <w:szCs w:val="24"/>
        </w:rPr>
      </w:pPr>
      <w:r>
        <w:rPr>
          <w:rFonts w:ascii="Cambria" w:hAnsi="Cambria"/>
          <w:sz w:val="24"/>
          <w:szCs w:val="24"/>
        </w:rPr>
        <w:t>Dessa forma, a estimativa da contratação foi definida em função da necessidade de execução contínua dos serviços ao longo da vigência contratual, uma vez que os eventos do eSocial são gerados regularmente em decorrência das movimentações funcionais e da folha de pagamento dos servidores vinculados à Secretaria de Educação.</w:t>
      </w:r>
    </w:p>
    <w:p>
      <w:pPr>
        <w:ind w:firstLine="567"/>
        <w:jc w:val="both"/>
        <w:rPr>
          <w:rFonts w:ascii="Cambria" w:hAnsi="Cambria"/>
          <w:sz w:val="24"/>
          <w:szCs w:val="24"/>
        </w:rPr>
      </w:pPr>
      <w:r>
        <w:rPr>
          <w:rFonts w:ascii="Cambria" w:hAnsi="Cambria"/>
          <w:sz w:val="24"/>
          <w:szCs w:val="24"/>
        </w:rPr>
        <w:t>Assim, estima-se a contratação de serviço especializado mensal, pelo período de 12 (doze) meses, totalizando 12 (doze) parcelas mensais de prestação de serviços, podendo a vigência ser prorrogada nos termos da legislação aplicável, caso permaneça demonstrada a vantajosidade para a Administração.</w:t>
      </w:r>
    </w:p>
    <w:p>
      <w:pPr>
        <w:ind w:firstLine="567"/>
        <w:jc w:val="both"/>
        <w:rPr>
          <w:rFonts w:ascii="Cambria" w:hAnsi="Cambria"/>
          <w:sz w:val="24"/>
          <w:szCs w:val="24"/>
        </w:rPr>
      </w:pPr>
      <w:r>
        <w:rPr>
          <w:rFonts w:ascii="Cambria" w:hAnsi="Cambria"/>
          <w:sz w:val="24"/>
          <w:szCs w:val="24"/>
        </w:rPr>
        <w:t>A definição da quantidade considera a natureza contínua da necessidade administrativa e a obrigatoriedade de manutenção ininterrupta do atendimento às exigências legais relacionadas ao eSocial.</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567"/>
        <w:jc w:val="both"/>
        <w:rPr>
          <w:rFonts w:ascii="Cambria" w:hAnsi="Cambria"/>
          <w:sz w:val="24"/>
          <w:szCs w:val="24"/>
        </w:rPr>
      </w:pPr>
      <w:r>
        <w:rPr>
          <w:rFonts w:ascii="Cambria" w:hAnsi="Cambria"/>
          <w:sz w:val="24"/>
          <w:szCs w:val="24"/>
        </w:rPr>
        <w:t>Para atendimento da necessidade identificada, foram analisadas possíveis soluções disponíveis para garantir o processamento e envio das informações da Secretaria de Educação ao eSocial, considerando aspectos de eficiência, custo-benefício, disponibilidade de recursos humanos e conformidade legal.</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01 – Execução dos serviços por servidores do próprio Município</w:t>
      </w:r>
    </w:p>
    <w:p>
      <w:pPr>
        <w:ind w:firstLine="567"/>
        <w:jc w:val="both"/>
        <w:rPr>
          <w:rFonts w:ascii="Cambria" w:hAnsi="Cambria"/>
          <w:sz w:val="24"/>
          <w:szCs w:val="24"/>
        </w:rPr>
      </w:pPr>
      <w:r>
        <w:rPr>
          <w:rFonts w:ascii="Cambria" w:hAnsi="Cambria"/>
          <w:sz w:val="24"/>
          <w:szCs w:val="24"/>
        </w:rPr>
        <w:t>Esta alternativa consiste na realização das atividades relacionadas ao eSocial pelos servidores integrantes do quadro da Administração Municipal, utilizando os sistemas e recursos já disponíveis.</w:t>
      </w:r>
    </w:p>
    <w:p>
      <w:pPr>
        <w:ind w:firstLine="567"/>
        <w:jc w:val="both"/>
        <w:rPr>
          <w:rFonts w:ascii="Cambria" w:hAnsi="Cambria"/>
          <w:sz w:val="24"/>
          <w:szCs w:val="24"/>
        </w:rPr>
      </w:pPr>
      <w:r>
        <w:rPr>
          <w:rFonts w:ascii="Cambria" w:hAnsi="Cambria"/>
          <w:b/>
          <w:bCs/>
          <w:sz w:val="24"/>
          <w:szCs w:val="24"/>
        </w:rPr>
        <w:t>Pontos positivos:</w:t>
      </w:r>
    </w:p>
    <w:p>
      <w:pPr>
        <w:widowControl/>
        <w:numPr>
          <w:ilvl w:val="0"/>
          <w:numId w:val="34"/>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Não há necessidade de contratação de terceiros; </w:t>
      </w:r>
    </w:p>
    <w:p>
      <w:pPr>
        <w:widowControl/>
        <w:numPr>
          <w:ilvl w:val="0"/>
          <w:numId w:val="34"/>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Maior controle direto da Administração sobre a execução das atividades; </w:t>
      </w:r>
    </w:p>
    <w:p>
      <w:pPr>
        <w:widowControl/>
        <w:numPr>
          <w:ilvl w:val="0"/>
          <w:numId w:val="34"/>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Aproveitamento da estrutura administrativa existente. </w:t>
      </w:r>
    </w:p>
    <w:p>
      <w:pPr>
        <w:ind w:firstLine="567"/>
        <w:jc w:val="both"/>
        <w:rPr>
          <w:rFonts w:ascii="Cambria" w:hAnsi="Cambria"/>
          <w:sz w:val="24"/>
          <w:szCs w:val="24"/>
        </w:rPr>
      </w:pPr>
      <w:r>
        <w:rPr>
          <w:rFonts w:ascii="Cambria" w:hAnsi="Cambria"/>
          <w:b/>
          <w:bCs/>
          <w:sz w:val="24"/>
          <w:szCs w:val="24"/>
        </w:rPr>
        <w:t>Pontos negativos:</w:t>
      </w:r>
    </w:p>
    <w:p>
      <w:pPr>
        <w:widowControl/>
        <w:numPr>
          <w:ilvl w:val="0"/>
          <w:numId w:val="35"/>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Necessidade de capacitação contínua dos servidores em razão das frequentes atualizações do eSocial; </w:t>
      </w:r>
    </w:p>
    <w:p>
      <w:pPr>
        <w:widowControl/>
        <w:numPr>
          <w:ilvl w:val="0"/>
          <w:numId w:val="35"/>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Possibilidade de sobrecarga das equipes responsáveis pelos setores de Recursos Humanos e Folha de Pagamento; </w:t>
      </w:r>
    </w:p>
    <w:p>
      <w:pPr>
        <w:widowControl/>
        <w:numPr>
          <w:ilvl w:val="0"/>
          <w:numId w:val="35"/>
        </w:numPr>
        <w:tabs>
          <w:tab w:val="clear" w:pos="720"/>
          <w:tab w:val="num" w:pos="851"/>
        </w:tabs>
        <w:autoSpaceDE/>
        <w:autoSpaceDN/>
        <w:ind w:left="851" w:hanging="284"/>
        <w:jc w:val="both"/>
        <w:rPr>
          <w:rFonts w:ascii="Cambria" w:hAnsi="Cambria"/>
          <w:sz w:val="24"/>
          <w:szCs w:val="24"/>
        </w:rPr>
      </w:pPr>
      <w:r>
        <w:rPr>
          <w:rFonts w:ascii="Cambria" w:hAnsi="Cambria"/>
          <w:sz w:val="24"/>
          <w:szCs w:val="24"/>
        </w:rPr>
        <w:lastRenderedPageBreak/>
        <w:t xml:space="preserve">Maior risco de inconsistências, atrasos ou falhas operacionais decorrentes da ausência de especialização específica; </w:t>
      </w:r>
    </w:p>
    <w:p>
      <w:pPr>
        <w:widowControl/>
        <w:numPr>
          <w:ilvl w:val="0"/>
          <w:numId w:val="35"/>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Dependência de servidores específicos, podendo comprometer a continuidade dos serviços em casos de afastamentos ou desligamentos. </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02 – Aquisição ou contratação de software especializado com suporte limitado</w:t>
      </w:r>
    </w:p>
    <w:p>
      <w:pPr>
        <w:ind w:firstLine="567"/>
        <w:jc w:val="both"/>
        <w:rPr>
          <w:rFonts w:ascii="Cambria" w:hAnsi="Cambria"/>
          <w:sz w:val="24"/>
          <w:szCs w:val="24"/>
        </w:rPr>
      </w:pPr>
      <w:r>
        <w:rPr>
          <w:rFonts w:ascii="Cambria" w:hAnsi="Cambria"/>
          <w:sz w:val="24"/>
          <w:szCs w:val="24"/>
        </w:rPr>
        <w:t>Esta alternativa consiste na utilização de sistema informatizado destinado à gestão e transmissão das informações ao eSocial, acompanhado apenas de suporte operacional básico fornecido pelo desenvolvedor da ferramenta.</w:t>
      </w:r>
    </w:p>
    <w:p>
      <w:pPr>
        <w:ind w:firstLine="567"/>
        <w:jc w:val="both"/>
        <w:rPr>
          <w:rFonts w:ascii="Cambria" w:hAnsi="Cambria"/>
          <w:sz w:val="24"/>
          <w:szCs w:val="24"/>
        </w:rPr>
      </w:pPr>
      <w:r>
        <w:rPr>
          <w:rFonts w:ascii="Cambria" w:hAnsi="Cambria"/>
          <w:b/>
          <w:bCs/>
          <w:sz w:val="24"/>
          <w:szCs w:val="24"/>
        </w:rPr>
        <w:t>Pontos positivos:</w:t>
      </w:r>
    </w:p>
    <w:p>
      <w:pPr>
        <w:widowControl/>
        <w:numPr>
          <w:ilvl w:val="0"/>
          <w:numId w:val="36"/>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Automatização de parte dos processos de envio das informações; </w:t>
      </w:r>
    </w:p>
    <w:p>
      <w:pPr>
        <w:widowControl/>
        <w:numPr>
          <w:ilvl w:val="0"/>
          <w:numId w:val="36"/>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Redução de atividades manuais; </w:t>
      </w:r>
    </w:p>
    <w:p>
      <w:pPr>
        <w:widowControl/>
        <w:numPr>
          <w:ilvl w:val="0"/>
          <w:numId w:val="36"/>
        </w:numPr>
        <w:tabs>
          <w:tab w:val="clear" w:pos="720"/>
          <w:tab w:val="left" w:pos="851"/>
        </w:tabs>
        <w:autoSpaceDE/>
        <w:autoSpaceDN/>
        <w:ind w:left="851" w:hanging="284"/>
        <w:jc w:val="both"/>
        <w:rPr>
          <w:rFonts w:ascii="Cambria" w:hAnsi="Cambria"/>
          <w:sz w:val="24"/>
          <w:szCs w:val="24"/>
        </w:rPr>
      </w:pPr>
      <w:r>
        <w:rPr>
          <w:rFonts w:ascii="Cambria" w:hAnsi="Cambria"/>
          <w:sz w:val="24"/>
          <w:szCs w:val="24"/>
        </w:rPr>
        <w:t xml:space="preserve">Possibilidade de integração com sistemas de gestão de pessoal. </w:t>
      </w:r>
    </w:p>
    <w:p>
      <w:pPr>
        <w:ind w:firstLine="567"/>
        <w:jc w:val="both"/>
        <w:rPr>
          <w:rFonts w:ascii="Cambria" w:hAnsi="Cambria"/>
          <w:sz w:val="24"/>
          <w:szCs w:val="24"/>
        </w:rPr>
      </w:pPr>
      <w:r>
        <w:rPr>
          <w:rFonts w:ascii="Cambria" w:hAnsi="Cambria"/>
          <w:b/>
          <w:bCs/>
          <w:sz w:val="24"/>
          <w:szCs w:val="24"/>
        </w:rPr>
        <w:t>Pontos negativos:</w:t>
      </w:r>
    </w:p>
    <w:p>
      <w:pPr>
        <w:widowControl/>
        <w:numPr>
          <w:ilvl w:val="0"/>
          <w:numId w:val="37"/>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A responsabilidade pela alimentação, conferência e validação das informações permanece com os servidores municipais; </w:t>
      </w:r>
    </w:p>
    <w:p>
      <w:pPr>
        <w:widowControl/>
        <w:numPr>
          <w:ilvl w:val="0"/>
          <w:numId w:val="37"/>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Necessidade de conhecimento técnico da equipe interna para operacionalização do sistema; </w:t>
      </w:r>
    </w:p>
    <w:p>
      <w:pPr>
        <w:widowControl/>
        <w:numPr>
          <w:ilvl w:val="0"/>
          <w:numId w:val="37"/>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O suporte fornecido geralmente se limita a questões relacionadas ao funcionamento da ferramenta, não abrangendo consultoria especializada sobre as obrigações do eSocial; </w:t>
      </w:r>
    </w:p>
    <w:p>
      <w:pPr>
        <w:widowControl/>
        <w:numPr>
          <w:ilvl w:val="0"/>
          <w:numId w:val="37"/>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Possibilidade de persistência dos riscos relacionados a erros de preenchimento e interpretação normativa. </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03 – Contratação de empresa especializada para processamento e envio das informações ao eSocial</w:t>
      </w:r>
    </w:p>
    <w:p>
      <w:pPr>
        <w:ind w:firstLine="567"/>
        <w:jc w:val="both"/>
        <w:rPr>
          <w:rFonts w:ascii="Cambria" w:hAnsi="Cambria"/>
          <w:sz w:val="24"/>
          <w:szCs w:val="24"/>
        </w:rPr>
      </w:pPr>
      <w:r>
        <w:rPr>
          <w:rFonts w:ascii="Cambria" w:hAnsi="Cambria"/>
          <w:sz w:val="24"/>
          <w:szCs w:val="24"/>
        </w:rPr>
        <w:t>Esta alternativa consiste na contratação de empresa especializada para execução dos serviços de processamento, validação, transmissão, monitoramento e suporte técnico relacionados às informações do eSocial.</w:t>
      </w:r>
    </w:p>
    <w:p>
      <w:pPr>
        <w:ind w:firstLine="567"/>
        <w:jc w:val="both"/>
        <w:rPr>
          <w:rFonts w:ascii="Cambria" w:hAnsi="Cambria"/>
          <w:sz w:val="24"/>
          <w:szCs w:val="24"/>
        </w:rPr>
      </w:pPr>
      <w:r>
        <w:rPr>
          <w:rFonts w:ascii="Cambria" w:hAnsi="Cambria"/>
          <w:b/>
          <w:bCs/>
          <w:sz w:val="24"/>
          <w:szCs w:val="24"/>
        </w:rPr>
        <w:t>Pontos positivos:</w:t>
      </w:r>
    </w:p>
    <w:p>
      <w:pPr>
        <w:widowControl/>
        <w:numPr>
          <w:ilvl w:val="0"/>
          <w:numId w:val="38"/>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Disponibilização de profissionais especializados e atualizados quanto às exigências legais e operacionais do sistema; </w:t>
      </w:r>
    </w:p>
    <w:p>
      <w:pPr>
        <w:widowControl/>
        <w:numPr>
          <w:ilvl w:val="0"/>
          <w:numId w:val="38"/>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Redução dos riscos de inconsistências, rejeições e atrasos no envio das informações; </w:t>
      </w:r>
    </w:p>
    <w:p>
      <w:pPr>
        <w:widowControl/>
        <w:numPr>
          <w:ilvl w:val="0"/>
          <w:numId w:val="38"/>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Suporte técnico contínuo à Administração; </w:t>
      </w:r>
    </w:p>
    <w:p>
      <w:pPr>
        <w:widowControl/>
        <w:numPr>
          <w:ilvl w:val="0"/>
          <w:numId w:val="38"/>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Maior segurança e confiabilidade na execução dos serviços; </w:t>
      </w:r>
    </w:p>
    <w:p>
      <w:pPr>
        <w:widowControl/>
        <w:numPr>
          <w:ilvl w:val="0"/>
          <w:numId w:val="38"/>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Otimização das atividades dos servidores municipais, que poderão concentrar esforços em suas atribuições finalísticas; </w:t>
      </w:r>
    </w:p>
    <w:p>
      <w:pPr>
        <w:widowControl/>
        <w:numPr>
          <w:ilvl w:val="0"/>
          <w:numId w:val="38"/>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Melhor acompanhamento das alterações normativas e dos procedimentos exigidos pelos órgãos federais. </w:t>
      </w:r>
    </w:p>
    <w:p>
      <w:pPr>
        <w:ind w:firstLine="567"/>
        <w:jc w:val="both"/>
        <w:rPr>
          <w:rFonts w:ascii="Cambria" w:hAnsi="Cambria"/>
          <w:sz w:val="24"/>
          <w:szCs w:val="24"/>
        </w:rPr>
      </w:pPr>
      <w:r>
        <w:rPr>
          <w:rFonts w:ascii="Cambria" w:hAnsi="Cambria"/>
          <w:b/>
          <w:bCs/>
          <w:sz w:val="24"/>
          <w:szCs w:val="24"/>
        </w:rPr>
        <w:t>Pontos negativos:</w:t>
      </w:r>
    </w:p>
    <w:p>
      <w:pPr>
        <w:widowControl/>
        <w:numPr>
          <w:ilvl w:val="0"/>
          <w:numId w:val="39"/>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Necessidade de contratação e correspondente dispêndio de recursos públicos; </w:t>
      </w:r>
    </w:p>
    <w:p>
      <w:pPr>
        <w:widowControl/>
        <w:numPr>
          <w:ilvl w:val="0"/>
          <w:numId w:val="39"/>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Dependência da atuação da empresa contratada durante a vigência do contrato. </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Definição da Solução Mais Adequada</w:t>
      </w:r>
    </w:p>
    <w:p>
      <w:pPr>
        <w:ind w:firstLine="567"/>
        <w:jc w:val="both"/>
        <w:rPr>
          <w:rFonts w:ascii="Cambria" w:hAnsi="Cambria"/>
          <w:sz w:val="24"/>
          <w:szCs w:val="24"/>
        </w:rPr>
      </w:pPr>
      <w:r>
        <w:rPr>
          <w:rFonts w:ascii="Cambria" w:hAnsi="Cambria"/>
          <w:sz w:val="24"/>
          <w:szCs w:val="24"/>
        </w:rPr>
        <w:t>Após a análise das alternativas disponíveis, verifica-se que a Solução 03 – “Contratação de empresa especializada para processamento e envio das informações ao eSocial” apresenta-</w:t>
      </w:r>
      <w:r>
        <w:rPr>
          <w:rFonts w:ascii="Cambria" w:hAnsi="Cambria"/>
          <w:sz w:val="24"/>
          <w:szCs w:val="24"/>
        </w:rPr>
        <w:lastRenderedPageBreak/>
        <w:t>se como a opção mais vantajosa para a Administração.</w:t>
      </w:r>
    </w:p>
    <w:p>
      <w:pPr>
        <w:ind w:firstLine="567"/>
        <w:jc w:val="both"/>
        <w:rPr>
          <w:rFonts w:ascii="Cambria" w:hAnsi="Cambria"/>
          <w:sz w:val="24"/>
          <w:szCs w:val="24"/>
        </w:rPr>
      </w:pPr>
      <w:r>
        <w:rPr>
          <w:rFonts w:ascii="Cambria" w:hAnsi="Cambria"/>
          <w:sz w:val="24"/>
          <w:szCs w:val="24"/>
        </w:rPr>
        <w:t>A escolha se justifica pela necessidade de assegurar o cumprimento das obrigações legais de forma contínua, segura e eficiente, reduzindo riscos operacionais e proporcionando suporte técnico especializado para o atendimento das demandas da Secretaria de Educação. Além disso, a solução permite maior confiabilidade na transmissão das informações, contribuindo para a regularidade fiscal, previdenciária e trabalhista do Município perante os órgãos competentes.</w:t>
      </w:r>
    </w:p>
    <w:p>
      <w:pPr>
        <w:ind w:firstLine="567"/>
        <w:jc w:val="both"/>
        <w:rPr>
          <w:rFonts w:ascii="Cambria" w:hAnsi="Cambria"/>
          <w:sz w:val="24"/>
          <w:szCs w:val="24"/>
        </w:rPr>
      </w:pPr>
      <w:r>
        <w:rPr>
          <w:rFonts w:ascii="Cambria" w:hAnsi="Cambria"/>
          <w:sz w:val="24"/>
          <w:szCs w:val="24"/>
        </w:rPr>
        <w:t>Dessa forma, conclui-se que a contratação de empresa especializada constitui a alternativa que melhor atende ao interesse público e às necessidades administrativas identificadas neste Estudo Técnico Preliminar.</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567"/>
        <w:jc w:val="both"/>
        <w:rPr>
          <w:rFonts w:ascii="Cambria" w:hAnsi="Cambria"/>
          <w:sz w:val="24"/>
          <w:szCs w:val="24"/>
        </w:rPr>
      </w:pPr>
      <w:r>
        <w:rPr>
          <w:rFonts w:ascii="Cambria" w:hAnsi="Cambria"/>
          <w:sz w:val="24"/>
          <w:szCs w:val="24"/>
        </w:rPr>
        <w:t>A estimativa preliminar do valor da contratação foi fixada em R$ 47.800,00 (quarenta e sete mil e oitocentos reais), tomando como referência as previsões constantes no Plano de Contratações Anual – PCA do Município, em conformidade com o planejamento administrativo e orçamentário da Secretaria Municipal de Educação de Miraíma/CE.</w:t>
      </w:r>
    </w:p>
    <w:p>
      <w:pPr>
        <w:ind w:firstLine="567"/>
        <w:jc w:val="both"/>
        <w:rPr>
          <w:rFonts w:ascii="Cambria" w:hAnsi="Cambria"/>
          <w:sz w:val="24"/>
          <w:szCs w:val="24"/>
        </w:rPr>
      </w:pPr>
      <w:r>
        <w:rPr>
          <w:rFonts w:ascii="Cambria" w:hAnsi="Cambria"/>
          <w:sz w:val="24"/>
          <w:szCs w:val="24"/>
        </w:rPr>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567"/>
        <w:jc w:val="both"/>
        <w:rPr>
          <w:rFonts w:ascii="Cambria" w:hAnsi="Cambria"/>
          <w:sz w:val="24"/>
          <w:szCs w:val="24"/>
        </w:rPr>
      </w:pPr>
      <w:r>
        <w:rPr>
          <w:rFonts w:ascii="Cambria" w:hAnsi="Cambria"/>
          <w:sz w:val="24"/>
          <w:szCs w:val="24"/>
        </w:rPr>
        <w:t>A definição preliminar do montante busca assegurar a compatibilidade da futura contratação com a disponibilidade orçamentária da Administração, bem como permitir a 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567"/>
        <w:jc w:val="both"/>
        <w:rPr>
          <w:rFonts w:ascii="Cambria" w:hAnsi="Cambria"/>
          <w:sz w:val="24"/>
          <w:szCs w:val="24"/>
        </w:rPr>
      </w:pPr>
      <w:r>
        <w:rPr>
          <w:rFonts w:ascii="Cambria" w:hAnsi="Cambria"/>
          <w:sz w:val="24"/>
          <w:szCs w:val="24"/>
        </w:rPr>
        <w:t>A solução proposta consiste na contratação de empresa especializada para prestação de serviços técnicos de processamento, conferência, validação, transmissão, acompanhamento e suporte relacionados às informações da Secretaria de Educação do Município de Miraíma/CE junto ao Sistema de Escrituração Digital das Obrigações Fiscais, Previdenciárias e Trabalhistas – eSocial.</w:t>
      </w:r>
    </w:p>
    <w:p>
      <w:pPr>
        <w:ind w:firstLine="567"/>
        <w:jc w:val="both"/>
        <w:rPr>
          <w:rFonts w:ascii="Cambria" w:hAnsi="Cambria"/>
          <w:sz w:val="24"/>
          <w:szCs w:val="24"/>
        </w:rPr>
      </w:pPr>
      <w:r>
        <w:rPr>
          <w:rFonts w:ascii="Cambria" w:hAnsi="Cambria"/>
          <w:sz w:val="24"/>
          <w:szCs w:val="24"/>
        </w:rPr>
        <w:t>Os serviços deverão ser executados de forma contínua, mediante acompanhamento mensal das obrigações acessórias vinculadas à gestão de pessoal, abrangendo os eventos iniciais, de tabelas, periódicos e não periódicos exigidos pela legislação vigente.</w:t>
      </w:r>
    </w:p>
    <w:p>
      <w:pPr>
        <w:ind w:firstLine="567"/>
        <w:jc w:val="both"/>
        <w:rPr>
          <w:rFonts w:ascii="Cambria" w:hAnsi="Cambria"/>
          <w:sz w:val="24"/>
          <w:szCs w:val="24"/>
        </w:rPr>
      </w:pPr>
      <w:r>
        <w:rPr>
          <w:rFonts w:ascii="Cambria" w:hAnsi="Cambria"/>
          <w:sz w:val="24"/>
          <w:szCs w:val="24"/>
        </w:rPr>
        <w:t>A contratada será responsável por realizar a análise das informações disponibilizadas pela Administração, promover a validação dos dados, efetuar as transmissões necessárias ao eSocial, acompanhar o processamento dos eventos enviados e prestar suporte técnico para identificação e correção de inconsistências eventualmente apontadas pelo sistema.</w:t>
      </w:r>
    </w:p>
    <w:p>
      <w:pPr>
        <w:ind w:firstLine="567"/>
        <w:jc w:val="both"/>
        <w:rPr>
          <w:rFonts w:ascii="Cambria" w:hAnsi="Cambria"/>
          <w:sz w:val="24"/>
          <w:szCs w:val="24"/>
        </w:rPr>
      </w:pPr>
      <w:r>
        <w:rPr>
          <w:rFonts w:ascii="Cambria" w:hAnsi="Cambria"/>
          <w:sz w:val="24"/>
          <w:szCs w:val="24"/>
        </w:rPr>
        <w:t>A solução também deverá contemplar o monitoramento contínuo das alterações normativas e operacionais relacionadas ao eSocial, orientando a Administração quanto às adequações necessárias para manutenção da conformidade legal das informações transmitidas.</w:t>
      </w:r>
    </w:p>
    <w:p>
      <w:pPr>
        <w:ind w:firstLine="567"/>
        <w:jc w:val="both"/>
        <w:rPr>
          <w:rFonts w:ascii="Cambria" w:hAnsi="Cambria"/>
          <w:sz w:val="24"/>
          <w:szCs w:val="24"/>
        </w:rPr>
      </w:pPr>
      <w:r>
        <w:rPr>
          <w:rFonts w:ascii="Cambria" w:hAnsi="Cambria"/>
          <w:sz w:val="24"/>
          <w:szCs w:val="24"/>
        </w:rPr>
        <w:t>Com a implementação da solução, busca-se garantir o cumprimento tempestivo das obrigações legais da Secretaria de Educação, reduzir riscos de inconsistências e rejeições de eventos, promover maior segurança na gestão das informações trabalhistas, previdenciárias e fiscais, bem como proporcionar maior eficiência administrativa no atendimento às exigências dos órgãos de controle e fiscalização.</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567"/>
        <w:jc w:val="both"/>
        <w:rPr>
          <w:rFonts w:ascii="Cambria" w:hAnsi="Cambria"/>
          <w:sz w:val="24"/>
          <w:szCs w:val="24"/>
        </w:rPr>
      </w:pPr>
      <w:r>
        <w:rPr>
          <w:rFonts w:ascii="Cambria" w:hAnsi="Cambria"/>
          <w:sz w:val="24"/>
          <w:szCs w:val="24"/>
        </w:rPr>
        <w:t>Não se mostra viável o parcelamento da contratação, tendo em vista que os serviços de processamento, validação, transmissão e acompanhamento das informações ao eSocial possuem natureza integrada e interdependente, exigindo execução uniforme e contínua.</w:t>
      </w:r>
    </w:p>
    <w:p>
      <w:pPr>
        <w:ind w:firstLine="567"/>
        <w:jc w:val="both"/>
        <w:rPr>
          <w:rFonts w:ascii="Cambria" w:hAnsi="Cambria"/>
          <w:sz w:val="24"/>
          <w:szCs w:val="24"/>
        </w:rPr>
      </w:pPr>
      <w:r>
        <w:rPr>
          <w:rFonts w:ascii="Cambria" w:hAnsi="Cambria"/>
          <w:sz w:val="24"/>
          <w:szCs w:val="24"/>
        </w:rPr>
        <w:t>A divisão do objeto entre diferentes prestadores poderia gerar dificuldades na coordenação das atividades, aumentar o risco de inconsistências nas informações enviadas e comprometer o cumprimento dos prazos legais.</w:t>
      </w:r>
    </w:p>
    <w:p>
      <w:pPr>
        <w:ind w:firstLine="567"/>
        <w:jc w:val="both"/>
        <w:rPr>
          <w:rFonts w:ascii="Cambria" w:hAnsi="Cambria"/>
          <w:sz w:val="24"/>
          <w:szCs w:val="24"/>
        </w:rPr>
      </w:pPr>
      <w:r>
        <w:rPr>
          <w:rFonts w:ascii="Cambria" w:hAnsi="Cambria"/>
          <w:sz w:val="24"/>
          <w:szCs w:val="24"/>
        </w:rPr>
        <w:t>Dessa forma, a execução por uma única empresa mostra-se mais eficiente e adequada para garantir a qualidade dos serviços, o controle contratual e a regularidade das obrigações da Secretaria de Educação perante o eSocial.</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567"/>
        <w:jc w:val="both"/>
        <w:rPr>
          <w:rFonts w:ascii="Cambria" w:hAnsi="Cambria"/>
          <w:sz w:val="24"/>
          <w:szCs w:val="24"/>
        </w:rPr>
      </w:pPr>
      <w:r>
        <w:rPr>
          <w:rFonts w:ascii="Cambria" w:hAnsi="Cambria"/>
          <w:sz w:val="24"/>
          <w:szCs w:val="24"/>
        </w:rPr>
        <w:t>A contratação tem como objetivo garantir o cumprimento regular das obrigações acessórias relacionadas ao eSocial, assegurando que as informações trabalhistas, previdenciárias e fiscais da Secretaria de Educação sejam processadas, validadas e transmitidas em conformidade com a legislação vigente e dentro dos prazos estabelecidos pelos órgãos competentes.</w:t>
      </w:r>
    </w:p>
    <w:p>
      <w:pPr>
        <w:ind w:firstLine="567"/>
        <w:jc w:val="both"/>
        <w:rPr>
          <w:rFonts w:ascii="Cambria" w:hAnsi="Cambria"/>
          <w:sz w:val="24"/>
          <w:szCs w:val="24"/>
        </w:rPr>
      </w:pPr>
      <w:r>
        <w:rPr>
          <w:rFonts w:ascii="Cambria" w:hAnsi="Cambria"/>
          <w:sz w:val="24"/>
          <w:szCs w:val="24"/>
        </w:rPr>
        <w:t>Como resultados esperados, pretende-se:</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Assegurar a regularidade das informações enviadas ao eSocial;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Reduzir a ocorrência de erros, inconsistências e rejeições de eventos pelo sistema;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Garantir o cumprimento dos prazos legais para transmissão das informações;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Proporcionar suporte técnico especializado para atendimento das demandas relacionadas ao eSocial;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Promover maior segurança e confiabilidade das informações de pessoal da Secretaria de Educação;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Minimizar riscos de penalidades administrativas decorrentes do descumprimento de obrigações legais;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Contribuir para a melhoria dos controles administrativos relacionados à gestão de pessoal e folha de pagamento; </w:t>
      </w:r>
    </w:p>
    <w:p>
      <w:pPr>
        <w:widowControl/>
        <w:numPr>
          <w:ilvl w:val="0"/>
          <w:numId w:val="40"/>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Otimizar os trabalhos dos servidores municipais, permitindo maior foco nas atividades finalísticas da Administração. </w:t>
      </w:r>
    </w:p>
    <w:p>
      <w:pPr>
        <w:ind w:firstLine="567"/>
        <w:jc w:val="both"/>
        <w:rPr>
          <w:rFonts w:ascii="Cambria" w:hAnsi="Cambria"/>
          <w:sz w:val="24"/>
          <w:szCs w:val="24"/>
        </w:rPr>
      </w:pPr>
      <w:r>
        <w:rPr>
          <w:rFonts w:ascii="Cambria" w:hAnsi="Cambria"/>
          <w:sz w:val="24"/>
          <w:szCs w:val="24"/>
        </w:rPr>
        <w:t>Dessa forma, espera-se alcançar maior eficiência administrativa, conformidade legal e segurança na gestão das informações vinculadas aos servidores da Secretaria de Educação.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PRÉVIAS À CONTRATAÇÃO</w:t>
      </w:r>
    </w:p>
    <w:p>
      <w:pPr>
        <w:ind w:firstLine="567"/>
        <w:jc w:val="both"/>
        <w:rPr>
          <w:rFonts w:ascii="Cambria" w:hAnsi="Cambria"/>
          <w:sz w:val="24"/>
          <w:szCs w:val="24"/>
        </w:rPr>
      </w:pPr>
      <w:r>
        <w:rPr>
          <w:rFonts w:ascii="Cambria" w:hAnsi="Cambria"/>
          <w:sz w:val="24"/>
          <w:szCs w:val="24"/>
        </w:rPr>
        <w:t>Para a adequada implementação da solução e o regular acompanhamento da execução contratual, a Administração deverá adotar previamente as seguintes providências:</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Elaborar os documentos que instruirão o processo de contratação, especialmente o Estudo Técnico Preliminar, Termo de Referência e demais peças necessárias;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Realizar pesquisa de preços para definição do valor estimado da contratação, observando os parâmetros estabelecidos na legislação vigente;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Identificar e organizar as informações cadastrais, funcionais, trabalhistas e previdenciárias necessárias à execução dos serviços;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lastRenderedPageBreak/>
        <w:t xml:space="preserve">Disponibilizar à futura contratada acesso às informações indispensáveis ao processamento e envio dos dados ao eSocial, observadas as normas de segurança e sigilo das informações;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Designar formalmente gestor e fiscal do contrato para acompanhamento da execução dos serviços;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Definir os fluxos internos de comunicação entre os setores envolvidos, especialmente Recursos Humanos, Folha de Pagamento e Secretaria de Educação;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Verificar a compatibilidade dos sistemas utilizados pelo Município com os procedimentos necessários à execução dos serviços; </w:t>
      </w:r>
    </w:p>
    <w:p>
      <w:pPr>
        <w:widowControl/>
        <w:numPr>
          <w:ilvl w:val="0"/>
          <w:numId w:val="41"/>
        </w:numPr>
        <w:tabs>
          <w:tab w:val="clear" w:pos="720"/>
          <w:tab w:val="num" w:pos="851"/>
        </w:tabs>
        <w:autoSpaceDE/>
        <w:autoSpaceDN/>
        <w:ind w:left="851" w:hanging="284"/>
        <w:jc w:val="both"/>
        <w:rPr>
          <w:rFonts w:ascii="Cambria" w:hAnsi="Cambria"/>
          <w:sz w:val="24"/>
          <w:szCs w:val="24"/>
        </w:rPr>
      </w:pPr>
      <w:r>
        <w:rPr>
          <w:rFonts w:ascii="Cambria" w:hAnsi="Cambria"/>
          <w:sz w:val="24"/>
          <w:szCs w:val="24"/>
        </w:rPr>
        <w:t xml:space="preserve">Adotar as medidas administrativas necessárias para garantir o fornecimento tempestivo das informações que deverão ser transmitidas ao eSocial. </w:t>
      </w:r>
    </w:p>
    <w:p>
      <w:pPr>
        <w:ind w:firstLine="567"/>
        <w:jc w:val="both"/>
        <w:rPr>
          <w:rFonts w:ascii="Cambria" w:hAnsi="Cambria"/>
          <w:sz w:val="24"/>
          <w:szCs w:val="24"/>
        </w:rPr>
      </w:pPr>
      <w:r>
        <w:rPr>
          <w:rFonts w:ascii="Cambria" w:hAnsi="Cambria"/>
          <w:sz w:val="24"/>
          <w:szCs w:val="24"/>
        </w:rPr>
        <w:t>Verifica-se, contudo, que não há necessidade de realização de investimentos adicionais em infraestrutura, aquisição de equipamentos ou capacitação específica de servidores para viabilizar a contratação, uma vez que a solução será executada por empresa especializada, utilizando sua própria expertise técnica para o atendimento das demandas da Administração.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567"/>
        <w:jc w:val="both"/>
        <w:rPr>
          <w:rFonts w:ascii="Cambria" w:hAnsi="Cambria"/>
          <w:sz w:val="24"/>
          <w:szCs w:val="24"/>
        </w:rPr>
      </w:pPr>
      <w:r>
        <w:rPr>
          <w:rFonts w:ascii="Cambria" w:hAnsi="Cambria"/>
          <w:sz w:val="24"/>
          <w:szCs w:val="24"/>
        </w:rPr>
        <w:t>Não foram identificadas contratações correlatas ou interdependentes neste momento.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567"/>
        <w:jc w:val="both"/>
        <w:rPr>
          <w:rFonts w:ascii="Cambria" w:hAnsi="Cambria"/>
          <w:sz w:val="24"/>
          <w:szCs w:val="24"/>
        </w:rPr>
      </w:pPr>
      <w:r>
        <w:rPr>
          <w:rFonts w:ascii="Cambria" w:hAnsi="Cambria"/>
          <w:sz w:val="24"/>
          <w:szCs w:val="24"/>
        </w:rPr>
        <w:t>O presente objeto contratual não gera impactos ambientais relevantes, por se tratar de atividade de natureza predominantemente administrativa e intelectual.</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567"/>
        <w:jc w:val="both"/>
        <w:rPr>
          <w:rFonts w:ascii="Cambria" w:hAnsi="Cambria"/>
          <w:sz w:val="24"/>
          <w:szCs w:val="24"/>
        </w:rPr>
      </w:pPr>
      <w:r>
        <w:rPr>
          <w:rFonts w:ascii="Cambria" w:hAnsi="Cambria"/>
          <w:sz w:val="24"/>
          <w:szCs w:val="24"/>
        </w:rPr>
        <w:t>Com base nos estudos realizados, conclui-se que a contratação de empresa especializada para prestação dos serviços de processamento, validação, transmissão e acompanhamento das informações ao eSocial é necessária, adequada e plenamente capaz de atender à demanda da Secretaria de Educação do Município de Miraíma/CE.</w:t>
      </w:r>
    </w:p>
    <w:p>
      <w:pPr>
        <w:ind w:firstLine="567"/>
        <w:jc w:val="both"/>
        <w:rPr>
          <w:rFonts w:ascii="Cambria" w:hAnsi="Cambria"/>
          <w:sz w:val="24"/>
          <w:szCs w:val="24"/>
        </w:rPr>
      </w:pPr>
      <w:r>
        <w:rPr>
          <w:rFonts w:ascii="Cambria" w:hAnsi="Cambria"/>
          <w:sz w:val="24"/>
          <w:szCs w:val="24"/>
        </w:rPr>
        <w:t>A solução escolhida mostrou-se a mais vantajosa dentre as alternativas analisadas, considerando a necessidade de cumprimento das obrigações legais, a complexidade das rotinas envolvidas, a necessidade de suporte técnico especializado e a busca pela eficiência administrativa.</w:t>
      </w:r>
    </w:p>
    <w:p>
      <w:pPr>
        <w:ind w:firstLine="567"/>
        <w:jc w:val="both"/>
        <w:rPr>
          <w:rFonts w:ascii="Cambria" w:hAnsi="Cambria"/>
          <w:sz w:val="24"/>
          <w:szCs w:val="24"/>
        </w:rPr>
      </w:pPr>
      <w:r>
        <w:rPr>
          <w:rFonts w:ascii="Cambria" w:hAnsi="Cambria"/>
          <w:sz w:val="24"/>
          <w:szCs w:val="24"/>
        </w:rPr>
        <w:t>Além de contribuir para a regularidade das informações prestadas aos órgãos competentes, a contratação permitirá a redução de riscos relacionados a inconsistências, rejeições de eventos e descumprimento de prazos legais, promovendo maior segurança e confiabilidade na gestão das informações trabalhistas, previdenciárias e fiscais do Município.</w:t>
      </w:r>
    </w:p>
    <w:p>
      <w:pPr>
        <w:ind w:firstLine="567"/>
        <w:jc w:val="both"/>
        <w:rPr>
          <w:rFonts w:ascii="Cambria" w:hAnsi="Cambria" w:cstheme="minorHAnsi"/>
          <w:b/>
          <w:bCs/>
          <w:sz w:val="24"/>
          <w:szCs w:val="24"/>
        </w:rPr>
        <w:sectPr>
          <w:headerReference w:type="default" r:id="rId9"/>
          <w:footerReference w:type="default" r:id="rId10"/>
          <w:pgSz w:w="11910" w:h="16840"/>
          <w:pgMar w:top="1843" w:right="1137" w:bottom="1418" w:left="1134" w:header="534" w:footer="454" w:gutter="0"/>
          <w:cols w:space="720"/>
          <w:docGrid w:linePitch="299"/>
        </w:sectPr>
      </w:pPr>
      <w:r>
        <w:rPr>
          <w:rFonts w:ascii="Cambria" w:hAnsi="Cambria"/>
          <w:sz w:val="24"/>
          <w:szCs w:val="24"/>
        </w:rPr>
        <w:t>Dessa forma, este Estudo Técnico Preliminar conclui pela viabilidade e conveniência da contratação pretendida, recomendando o prosseguimento do processo para a contratação da solução proposta, por atender ao interesse público e às necessidades da Administração</w:t>
      </w: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lastRenderedPageBreak/>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spacing w:val="-4"/>
          <w:sz w:val="24"/>
          <w:szCs w:val="24"/>
        </w:rPr>
      </w:pPr>
      <w:bookmarkStart w:id="5" w:name="_GoBack"/>
      <w:bookmarkEnd w:id="5"/>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tabs>
          <w:tab w:val="left" w:pos="8100"/>
        </w:tabs>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OBJETO E VALOR</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1.1. ESPECIFICAÇÃO DO OBJETO E VALOR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8"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tcPr>
          <w:p>
            <w:pPr>
              <w:jc w:val="center"/>
              <w:rPr>
                <w:rFonts w:ascii="Cambria" w:hAnsi="Cambria"/>
                <w:sz w:val="24"/>
                <w:szCs w:val="24"/>
              </w:rPr>
            </w:pPr>
          </w:p>
        </w:tc>
        <w:tc>
          <w:tcPr>
            <w:tcW w:w="1771" w:type="pct"/>
            <w:vAlign w:val="center"/>
          </w:tcPr>
          <w:p>
            <w:pPr>
              <w:jc w:val="both"/>
              <w:rPr>
                <w:rFonts w:ascii="Cambria" w:hAnsi="Cambria"/>
                <w:sz w:val="24"/>
                <w:szCs w:val="24"/>
              </w:rPr>
            </w:pPr>
          </w:p>
        </w:tc>
        <w:tc>
          <w:tcPr>
            <w:tcW w:w="656" w:type="pct"/>
            <w:noWrap/>
            <w:vAlign w:val="center"/>
          </w:tcPr>
          <w:p>
            <w:pPr>
              <w:jc w:val="center"/>
              <w:rPr>
                <w:rFonts w:ascii="Cambria" w:hAnsi="Cambria"/>
                <w:sz w:val="24"/>
                <w:szCs w:val="24"/>
              </w:rPr>
            </w:pPr>
          </w:p>
        </w:tc>
        <w:tc>
          <w:tcPr>
            <w:tcW w:w="525" w:type="pct"/>
            <w:noWrap/>
            <w:vAlign w:val="center"/>
          </w:tcPr>
          <w:p>
            <w:pPr>
              <w:jc w:val="center"/>
              <w:rPr>
                <w:rFonts w:ascii="Cambria" w:hAnsi="Cambria"/>
                <w:sz w:val="24"/>
                <w:szCs w:val="24"/>
              </w:rPr>
            </w:pPr>
          </w:p>
        </w:tc>
        <w:tc>
          <w:tcPr>
            <w:tcW w:w="774" w:type="pct"/>
            <w:noWrap/>
            <w:vAlign w:val="center"/>
          </w:tcPr>
          <w:p>
            <w:pPr>
              <w:jc w:val="center"/>
              <w:rPr>
                <w:rFonts w:ascii="Cambria" w:hAnsi="Cambria"/>
                <w:sz w:val="24"/>
                <w:szCs w:val="24"/>
                <w:highlight w:val="yellow"/>
              </w:rPr>
            </w:pPr>
          </w:p>
        </w:tc>
        <w:tc>
          <w:tcPr>
            <w:tcW w:w="868" w:type="pct"/>
            <w:noWrap/>
            <w:vAlign w:val="center"/>
          </w:tcPr>
          <w:p>
            <w:pPr>
              <w:jc w:val="center"/>
              <w:rPr>
                <w:rFonts w:ascii="Cambria" w:hAnsi="Cambria"/>
                <w:sz w:val="24"/>
                <w:szCs w:val="24"/>
                <w:highlight w:val="yellow"/>
              </w:rPr>
            </w:pP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 xml:space="preserve">VALOR GLOBAL: </w:t>
            </w:r>
          </w:p>
        </w:tc>
      </w:tr>
    </w:tbl>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SEGUNDA - DO FUNDAMENTO LEGAL</w:t>
      </w:r>
    </w:p>
    <w:p>
      <w:pPr>
        <w:spacing w:line="276" w:lineRule="auto"/>
        <w:jc w:val="both"/>
        <w:rPr>
          <w:rFonts w:ascii="Cambria" w:hAnsi="Cambria"/>
          <w:sz w:val="24"/>
          <w:szCs w:val="24"/>
        </w:rPr>
      </w:pPr>
      <w:r>
        <w:rPr>
          <w:rFonts w:ascii="Cambria" w:hAnsi="Cambria"/>
          <w:b/>
          <w:sz w:val="24"/>
          <w:szCs w:val="24"/>
        </w:rPr>
        <w:t>2.1.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2.2</w:t>
      </w:r>
      <w:r>
        <w:rPr>
          <w:rFonts w:ascii="Cambria" w:hAnsi="Cambria"/>
          <w:sz w:val="24"/>
          <w:szCs w:val="24"/>
          <w:lang w:eastAsia="pt-BR"/>
        </w:rPr>
        <w:t>. Aplica-se a este Termo de Contrato devorante do processo de Dispensa, nos casos omissos, a seguinte legislação:</w:t>
      </w:r>
    </w:p>
    <w:p>
      <w:pPr>
        <w:pStyle w:val="PargrafodaLista"/>
        <w:numPr>
          <w:ilvl w:val="0"/>
          <w:numId w:val="31"/>
        </w:numPr>
        <w:tabs>
          <w:tab w:val="left" w:pos="284"/>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0"/>
          <w:numId w:val="31"/>
        </w:numPr>
        <w:tabs>
          <w:tab w:val="left" w:pos="284"/>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0"/>
          <w:numId w:val="31"/>
        </w:numPr>
        <w:tabs>
          <w:tab w:val="left" w:pos="284"/>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0"/>
          <w:numId w:val="31"/>
        </w:numPr>
        <w:tabs>
          <w:tab w:val="left" w:pos="284"/>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0"/>
          <w:numId w:val="31"/>
        </w:numPr>
        <w:tabs>
          <w:tab w:val="left" w:pos="284"/>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0"/>
          <w:numId w:val="31"/>
        </w:numPr>
        <w:tabs>
          <w:tab w:val="left" w:pos="284"/>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r>
        <w:rPr>
          <w:rFonts w:ascii="Cambria" w:hAnsi="Cambria" w:cstheme="minorHAnsi"/>
          <w:sz w:val="24"/>
          <w:szCs w:val="24"/>
        </w:rPr>
        <w:t>g) Decreto</w:t>
      </w:r>
      <w:r>
        <w:rPr>
          <w:rFonts w:ascii="Cambria" w:hAnsi="Cambria" w:cstheme="minorHAnsi"/>
          <w:spacing w:val="-1"/>
          <w:sz w:val="24"/>
          <w:szCs w:val="24"/>
        </w:rPr>
        <w:t xml:space="preserve"> </w:t>
      </w:r>
      <w:r>
        <w:rPr>
          <w:rFonts w:ascii="Cambria" w:hAnsi="Cambria" w:cstheme="minorHAnsi"/>
          <w:sz w:val="24"/>
          <w:szCs w:val="24"/>
        </w:rPr>
        <w:t>municipal nº 053/2023, de 27 de dezembro de 2023.</w:t>
      </w: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w:t>
      </w:r>
      <w:r>
        <w:rPr>
          <w:rFonts w:ascii="Cambria" w:hAnsi="Cambria"/>
          <w:sz w:val="24"/>
          <w:szCs w:val="24"/>
        </w:rPr>
        <w:lastRenderedPageBreak/>
        <w:t>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w:t>
      </w:r>
      <w:r>
        <w:rPr>
          <w:rFonts w:ascii="Cambria" w:hAnsi="Cambria"/>
          <w:sz w:val="24"/>
          <w:szCs w:val="24"/>
        </w:rPr>
        <w:lastRenderedPageBreak/>
        <w:t>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w:t>
      </w:r>
      <w:r>
        <w:rPr>
          <w:rFonts w:ascii="Cambria" w:hAnsi="Cambria"/>
          <w:sz w:val="24"/>
          <w:szCs w:val="24"/>
        </w:rPr>
        <w:lastRenderedPageBreak/>
        <w:t>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 xml:space="preserve">d) Declaração de inidoneidade do direito de licitar e contratar com a Administração Pública enquanto perdurarem os motivos determinantes da punição ou até que seja promovida sua </w:t>
      </w:r>
      <w:r>
        <w:rPr>
          <w:rFonts w:ascii="Cambria" w:hAnsi="Cambria"/>
          <w:sz w:val="24"/>
          <w:szCs w:val="24"/>
        </w:rPr>
        <w:lastRenderedPageBreak/>
        <w:t>reabilitação pela própria autoridade que aplicou a penalidade.</w:t>
      </w:r>
    </w:p>
    <w:p>
      <w:pPr>
        <w:jc w:val="both"/>
        <w:rPr>
          <w:rFonts w:ascii="Cambria" w:hAnsi="Cambria"/>
          <w:sz w:val="24"/>
          <w:szCs w:val="24"/>
        </w:rPr>
      </w:pPr>
      <w:r>
        <w:rPr>
          <w:rFonts w:ascii="Cambria" w:hAnsi="Cambria"/>
          <w:sz w:val="24"/>
          <w:szCs w:val="24"/>
        </w:rPr>
        <w:t>8.7. Nenhuma sanção será aplicada sem o devido processo administrativo, que prevê defesa 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lastRenderedPageBreak/>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20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721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233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lang w:val="pt-BR" w:eastAsia="pt-BR"/>
      </w:rPr>
      <w:drawing>
        <wp:anchor distT="0" distB="0" distL="114300" distR="114300" simplePos="0" relativeHeight="251667456" behindDoc="0" locked="0" layoutInCell="1" allowOverlap="1">
          <wp:simplePos x="0" y="0"/>
          <wp:positionH relativeFrom="margin">
            <wp:posOffset>2196465</wp:posOffset>
          </wp:positionH>
          <wp:positionV relativeFrom="paragraph">
            <wp:posOffset>-343535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r>
      <w:rPr>
        <w:noProof/>
        <w:szCs w:val="16"/>
        <w:lang w:val="pt-BR" w:eastAsia="pt-BR"/>
      </w:rPr>
      <w:pict>
        <v:group id="_x0000_s2087" style="position:absolute;margin-left:440.45pt;margin-top:-36.05pt;width:78.75pt;height:85.85pt;z-index:251667968" coordorigin="10275,240" coordsize="1575,1717">
          <v:oval id="_x0000_s2088"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9"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90" type="#_x0000_t202" style="position:absolute;left:10441;top:1019;width:1222;height:938;mso-width-relative:margin;mso-height-relative:margin" filled="f" stroked="f">
            <v:textbox style="mso-next-textbox:#_x0000_s2090">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p>
  <w:p>
    <w:pPr>
      <w:pStyle w:val="Cabealho"/>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411187"/>
    <w:multiLevelType w:val="multilevel"/>
    <w:tmpl w:val="33D6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E36AE0"/>
    <w:multiLevelType w:val="multilevel"/>
    <w:tmpl w:val="A730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0E940811"/>
    <w:multiLevelType w:val="multilevel"/>
    <w:tmpl w:val="65DC2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7">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8">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E264248"/>
    <w:multiLevelType w:val="multilevel"/>
    <w:tmpl w:val="07AA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9462B5A"/>
    <w:multiLevelType w:val="multilevel"/>
    <w:tmpl w:val="87CC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46C43FE"/>
    <w:multiLevelType w:val="multilevel"/>
    <w:tmpl w:val="68A2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2">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23">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24">
    <w:nsid w:val="3ABF77C9"/>
    <w:multiLevelType w:val="hybridMultilevel"/>
    <w:tmpl w:val="6ADA87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4BB7CA1"/>
    <w:multiLevelType w:val="multilevel"/>
    <w:tmpl w:val="F03C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30">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63B5AC2"/>
    <w:multiLevelType w:val="multilevel"/>
    <w:tmpl w:val="1DAE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B50BBF"/>
    <w:multiLevelType w:val="multilevel"/>
    <w:tmpl w:val="95D2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3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7FB1E8D"/>
    <w:multiLevelType w:val="hybridMultilevel"/>
    <w:tmpl w:val="319C885C"/>
    <w:lvl w:ilvl="0" w:tplc="E66E8B44">
      <w:start w:val="1"/>
      <w:numFmt w:val="lowerLetter"/>
      <w:lvlText w:val="%1)"/>
      <w:lvlJc w:val="left"/>
      <w:pPr>
        <w:ind w:left="2329" w:hanging="360"/>
      </w:pPr>
      <w:rPr>
        <w:rFonts w:hint="default"/>
      </w:rPr>
    </w:lvl>
    <w:lvl w:ilvl="1" w:tplc="04160019" w:tentative="1">
      <w:start w:val="1"/>
      <w:numFmt w:val="lowerLetter"/>
      <w:lvlText w:val="%2."/>
      <w:lvlJc w:val="left"/>
      <w:pPr>
        <w:ind w:left="3049" w:hanging="360"/>
      </w:pPr>
    </w:lvl>
    <w:lvl w:ilvl="2" w:tplc="0416001B">
      <w:start w:val="1"/>
      <w:numFmt w:val="lowerRoman"/>
      <w:lvlText w:val="%3."/>
      <w:lvlJc w:val="right"/>
      <w:pPr>
        <w:ind w:left="3769" w:hanging="180"/>
      </w:pPr>
    </w:lvl>
    <w:lvl w:ilvl="3" w:tplc="0416000F" w:tentative="1">
      <w:start w:val="1"/>
      <w:numFmt w:val="decimal"/>
      <w:lvlText w:val="%4."/>
      <w:lvlJc w:val="left"/>
      <w:pPr>
        <w:ind w:left="4489" w:hanging="360"/>
      </w:pPr>
    </w:lvl>
    <w:lvl w:ilvl="4" w:tplc="04160019" w:tentative="1">
      <w:start w:val="1"/>
      <w:numFmt w:val="lowerLetter"/>
      <w:lvlText w:val="%5."/>
      <w:lvlJc w:val="left"/>
      <w:pPr>
        <w:ind w:left="5209" w:hanging="360"/>
      </w:pPr>
    </w:lvl>
    <w:lvl w:ilvl="5" w:tplc="0416001B" w:tentative="1">
      <w:start w:val="1"/>
      <w:numFmt w:val="lowerRoman"/>
      <w:lvlText w:val="%6."/>
      <w:lvlJc w:val="right"/>
      <w:pPr>
        <w:ind w:left="5929" w:hanging="180"/>
      </w:pPr>
    </w:lvl>
    <w:lvl w:ilvl="6" w:tplc="0416000F" w:tentative="1">
      <w:start w:val="1"/>
      <w:numFmt w:val="decimal"/>
      <w:lvlText w:val="%7."/>
      <w:lvlJc w:val="left"/>
      <w:pPr>
        <w:ind w:left="6649" w:hanging="360"/>
      </w:pPr>
    </w:lvl>
    <w:lvl w:ilvl="7" w:tplc="04160019" w:tentative="1">
      <w:start w:val="1"/>
      <w:numFmt w:val="lowerLetter"/>
      <w:lvlText w:val="%8."/>
      <w:lvlJc w:val="left"/>
      <w:pPr>
        <w:ind w:left="7369" w:hanging="360"/>
      </w:pPr>
    </w:lvl>
    <w:lvl w:ilvl="8" w:tplc="0416001B" w:tentative="1">
      <w:start w:val="1"/>
      <w:numFmt w:val="lowerRoman"/>
      <w:lvlText w:val="%9."/>
      <w:lvlJc w:val="right"/>
      <w:pPr>
        <w:ind w:left="8089" w:hanging="180"/>
      </w:pPr>
    </w:lvl>
  </w:abstractNum>
  <w:num w:numId="1">
    <w:abstractNumId w:val="7"/>
  </w:num>
  <w:num w:numId="2">
    <w:abstractNumId w:val="6"/>
  </w:num>
  <w:num w:numId="3">
    <w:abstractNumId w:val="23"/>
  </w:num>
  <w:num w:numId="4">
    <w:abstractNumId w:val="22"/>
  </w:num>
  <w:num w:numId="5">
    <w:abstractNumId w:val="35"/>
  </w:num>
  <w:num w:numId="6">
    <w:abstractNumId w:val="38"/>
  </w:num>
  <w:num w:numId="7">
    <w:abstractNumId w:val="29"/>
  </w:num>
  <w:num w:numId="8">
    <w:abstractNumId w:val="30"/>
  </w:num>
  <w:num w:numId="9">
    <w:abstractNumId w:val="18"/>
  </w:num>
  <w:num w:numId="10">
    <w:abstractNumId w:val="39"/>
  </w:num>
  <w:num w:numId="11">
    <w:abstractNumId w:val="0"/>
  </w:num>
  <w:num w:numId="12">
    <w:abstractNumId w:val="16"/>
  </w:num>
  <w:num w:numId="13">
    <w:abstractNumId w:val="20"/>
  </w:num>
  <w:num w:numId="14">
    <w:abstractNumId w:val="8"/>
  </w:num>
  <w:num w:numId="15">
    <w:abstractNumId w:val="25"/>
  </w:num>
  <w:num w:numId="16">
    <w:abstractNumId w:val="37"/>
  </w:num>
  <w:num w:numId="17">
    <w:abstractNumId w:val="11"/>
  </w:num>
  <w:num w:numId="18">
    <w:abstractNumId w:val="17"/>
  </w:num>
  <w:num w:numId="19">
    <w:abstractNumId w:val="28"/>
  </w:num>
  <w:num w:numId="20">
    <w:abstractNumId w:val="10"/>
  </w:num>
  <w:num w:numId="21">
    <w:abstractNumId w:val="4"/>
  </w:num>
  <w:num w:numId="22">
    <w:abstractNumId w:val="13"/>
  </w:num>
  <w:num w:numId="23">
    <w:abstractNumId w:val="21"/>
  </w:num>
  <w:num w:numId="24">
    <w:abstractNumId w:val="27"/>
  </w:num>
  <w:num w:numId="25">
    <w:abstractNumId w:val="34"/>
  </w:num>
  <w:num w:numId="26">
    <w:abstractNumId w:val="3"/>
  </w:num>
  <w:num w:numId="27">
    <w:abstractNumId w:val="36"/>
  </w:num>
  <w:num w:numId="28">
    <w:abstractNumId w:val="14"/>
  </w:num>
  <w:num w:numId="29">
    <w:abstractNumId w:val="9"/>
  </w:num>
  <w:num w:numId="30">
    <w:abstractNumId w:val="33"/>
  </w:num>
  <w:num w:numId="31">
    <w:abstractNumId w:val="40"/>
  </w:num>
  <w:num w:numId="32">
    <w:abstractNumId w:val="24"/>
  </w:num>
  <w:num w:numId="33">
    <w:abstractNumId w:val="1"/>
  </w:num>
  <w:num w:numId="34">
    <w:abstractNumId w:val="5"/>
  </w:num>
  <w:num w:numId="35">
    <w:abstractNumId w:val="15"/>
  </w:num>
  <w:num w:numId="36">
    <w:abstractNumId w:val="26"/>
  </w:num>
  <w:num w:numId="37">
    <w:abstractNumId w:val="12"/>
  </w:num>
  <w:num w:numId="38">
    <w:abstractNumId w:val="31"/>
  </w:num>
  <w:num w:numId="39">
    <w:abstractNumId w:val="19"/>
  </w:num>
  <w:num w:numId="40">
    <w:abstractNumId w:val="2"/>
  </w:num>
  <w:num w:numId="41">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4771</TotalTime>
  <Pages>29</Pages>
  <Words>12583</Words>
  <Characters>67953</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152</cp:revision>
  <cp:lastPrinted>2024-04-22T17:26:00Z</cp:lastPrinted>
  <dcterms:created xsi:type="dcterms:W3CDTF">2024-01-28T19:24:00Z</dcterms:created>
  <dcterms:modified xsi:type="dcterms:W3CDTF">2026-06-25T13:47:00Z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