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ind w:left="142"/>
        <w:jc w:val="center"/>
        <w:rPr>
          <w:rFonts w:ascii="Cambria" w:hAnsi="Cambria" w:cstheme="minorHAnsi"/>
          <w:b/>
          <w:bCs/>
          <w:sz w:val="24"/>
          <w:szCs w:val="24"/>
        </w:rPr>
      </w:pPr>
      <w:bookmarkStart w:id="0" w:name="_Hlk102501485"/>
      <w:bookmarkStart w:id="1" w:name="_Hlk71789153"/>
      <w:r>
        <w:rPr>
          <w:rFonts w:ascii="Cambria" w:hAnsi="Cambria" w:cstheme="minorHAnsi"/>
          <w:b/>
          <w:bCs/>
          <w:sz w:val="24"/>
          <w:szCs w:val="24"/>
        </w:rPr>
        <w:t>TERMO DE EDITAL</w:t>
      </w:r>
    </w:p>
    <w:p>
      <w:pPr>
        <w:jc w:val="center"/>
        <w:rPr>
          <w:rFonts w:ascii="Cambria" w:hAnsi="Cambria" w:cstheme="minorHAnsi"/>
          <w:b/>
          <w:bCs/>
          <w:sz w:val="24"/>
          <w:szCs w:val="24"/>
        </w:rPr>
      </w:pPr>
      <w:r>
        <w:rPr>
          <w:rFonts w:ascii="Cambria" w:hAnsi="Cambria" w:cstheme="minorHAnsi"/>
          <w:b/>
          <w:bCs/>
          <w:sz w:val="24"/>
          <w:szCs w:val="24"/>
        </w:rPr>
        <w:t>PREGÃO ELETRÔNICO Nº 90012/2026 - PE</w:t>
      </w:r>
    </w:p>
    <w:p>
      <w:pPr>
        <w:jc w:val="center"/>
        <w:rPr>
          <w:rFonts w:ascii="Cambria" w:hAnsi="Cambria" w:cstheme="minorHAnsi"/>
          <w:b/>
          <w:bCs/>
          <w:sz w:val="24"/>
          <w:szCs w:val="24"/>
        </w:rPr>
      </w:pPr>
    </w:p>
    <w:tbl>
      <w:tblPr>
        <w:tblW w:w="10057"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A0" w:firstRow="1" w:lastRow="0" w:firstColumn="1" w:lastColumn="0" w:noHBand="0" w:noVBand="1"/>
      </w:tblPr>
      <w:tblGrid>
        <w:gridCol w:w="10057"/>
      </w:tblGrid>
      <w:tr>
        <w:trPr>
          <w:trHeight w:val="216"/>
        </w:trPr>
        <w:tc>
          <w:tcPr>
            <w:tcW w:w="10057" w:type="dxa"/>
            <w:shd w:val="clear" w:color="auto" w:fill="000099"/>
            <w:vAlign w:val="center"/>
          </w:tcPr>
          <w:p>
            <w:pPr>
              <w:jc w:val="center"/>
              <w:rPr>
                <w:rFonts w:ascii="Cambria" w:hAnsi="Cambria" w:cstheme="minorHAnsi"/>
                <w:b/>
                <w:color w:val="FFFFFF" w:themeColor="background1"/>
                <w:sz w:val="24"/>
                <w:szCs w:val="24"/>
                <w:lang w:eastAsia="pt-BR"/>
              </w:rPr>
            </w:pPr>
            <w:r>
              <w:rPr>
                <w:rFonts w:ascii="Cambria" w:hAnsi="Cambria" w:cstheme="minorHAnsi"/>
                <w:b/>
                <w:color w:val="FFFFFF" w:themeColor="background1"/>
                <w:sz w:val="24"/>
                <w:szCs w:val="24"/>
                <w:lang w:eastAsia="pt-BR"/>
              </w:rPr>
              <w:t>PARTE ESPECÍFICA (QUADRO DE RESUMO)</w:t>
            </w:r>
          </w:p>
        </w:tc>
      </w:tr>
    </w:tbl>
    <w:p>
      <w:pPr>
        <w:ind w:left="68"/>
        <w:jc w:val="center"/>
        <w:rPr>
          <w:rFonts w:ascii="Cambria" w:hAnsi="Cambria" w:cstheme="minorHAnsi"/>
          <w:bCs/>
          <w:sz w:val="24"/>
          <w:szCs w:val="24"/>
        </w:rPr>
      </w:pPr>
    </w:p>
    <w:tbl>
      <w:tblPr>
        <w:tblW w:w="5177" w:type="pct"/>
        <w:tblInd w:w="-8"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1959"/>
        <w:gridCol w:w="1602"/>
        <w:gridCol w:w="2234"/>
        <w:gridCol w:w="2904"/>
        <w:gridCol w:w="1617"/>
      </w:tblGrid>
      <w:tr>
        <w:trPr>
          <w:trHeight w:val="365"/>
        </w:trPr>
        <w:tc>
          <w:tcPr>
            <w:tcW w:w="763" w:type="pct"/>
            <w:shd w:val="clear" w:color="auto" w:fill="000099"/>
            <w:vAlign w:val="center"/>
          </w:tcPr>
          <w:p>
            <w:pPr>
              <w:jc w:val="center"/>
              <w:rPr>
                <w:rFonts w:ascii="Cambria" w:hAnsi="Cambria" w:cstheme="minorHAnsi"/>
                <w:b/>
                <w:color w:val="FFFFFF" w:themeColor="background1"/>
                <w:sz w:val="24"/>
                <w:szCs w:val="24"/>
                <w:lang w:eastAsia="pt-BR"/>
              </w:rPr>
            </w:pPr>
            <w:r>
              <w:rPr>
                <w:rFonts w:ascii="Cambria" w:hAnsi="Cambria" w:cstheme="minorHAnsi"/>
                <w:b/>
                <w:color w:val="FFFFFF" w:themeColor="background1"/>
                <w:sz w:val="24"/>
                <w:szCs w:val="24"/>
                <w:lang w:eastAsia="pt-BR"/>
              </w:rPr>
              <w:t>1.MODALIDADE</w:t>
            </w:r>
          </w:p>
        </w:tc>
        <w:tc>
          <w:tcPr>
            <w:tcW w:w="687" w:type="pct"/>
            <w:shd w:val="clear" w:color="auto" w:fill="000099"/>
            <w:vAlign w:val="center"/>
          </w:tcPr>
          <w:p>
            <w:pPr>
              <w:jc w:val="center"/>
              <w:rPr>
                <w:rFonts w:ascii="Cambria" w:hAnsi="Cambria" w:cstheme="minorHAnsi"/>
                <w:b/>
                <w:color w:val="FFFFFF" w:themeColor="background1"/>
                <w:sz w:val="24"/>
                <w:szCs w:val="24"/>
                <w:lang w:eastAsia="pt-BR"/>
              </w:rPr>
            </w:pPr>
            <w:r>
              <w:rPr>
                <w:rFonts w:ascii="Cambria" w:hAnsi="Cambria" w:cstheme="minorHAnsi"/>
                <w:b/>
                <w:color w:val="FFFFFF" w:themeColor="background1"/>
                <w:sz w:val="24"/>
                <w:szCs w:val="24"/>
                <w:lang w:eastAsia="pt-BR"/>
              </w:rPr>
              <w:t>2.FORMATO</w:t>
            </w:r>
          </w:p>
        </w:tc>
        <w:tc>
          <w:tcPr>
            <w:tcW w:w="1224" w:type="pct"/>
            <w:shd w:val="clear" w:color="auto" w:fill="000099"/>
            <w:vAlign w:val="center"/>
          </w:tcPr>
          <w:p>
            <w:pPr>
              <w:jc w:val="center"/>
              <w:rPr>
                <w:rFonts w:ascii="Cambria" w:hAnsi="Cambria" w:cstheme="minorHAnsi"/>
                <w:b/>
                <w:color w:val="FFFFFF" w:themeColor="background1"/>
                <w:sz w:val="24"/>
                <w:szCs w:val="24"/>
                <w:lang w:eastAsia="pt-BR"/>
              </w:rPr>
            </w:pPr>
            <w:r>
              <w:rPr>
                <w:rFonts w:ascii="Cambria" w:hAnsi="Cambria" w:cstheme="minorHAnsi"/>
                <w:b/>
                <w:color w:val="FFFFFF" w:themeColor="background1"/>
                <w:sz w:val="24"/>
                <w:szCs w:val="24"/>
                <w:lang w:eastAsia="pt-BR"/>
              </w:rPr>
              <w:t>3. Nº DO PROCESSO</w:t>
            </w:r>
          </w:p>
        </w:tc>
        <w:tc>
          <w:tcPr>
            <w:tcW w:w="1548" w:type="pct"/>
            <w:shd w:val="clear" w:color="auto" w:fill="000099"/>
            <w:vAlign w:val="center"/>
          </w:tcPr>
          <w:p>
            <w:pPr>
              <w:jc w:val="center"/>
              <w:rPr>
                <w:rFonts w:ascii="Cambria" w:hAnsi="Cambria" w:cstheme="minorHAnsi"/>
                <w:b/>
                <w:color w:val="FFFFFF" w:themeColor="background1"/>
                <w:sz w:val="24"/>
                <w:szCs w:val="24"/>
                <w:lang w:eastAsia="pt-BR"/>
              </w:rPr>
            </w:pPr>
            <w:r>
              <w:rPr>
                <w:rFonts w:ascii="Cambria" w:hAnsi="Cambria" w:cstheme="minorHAnsi"/>
                <w:b/>
                <w:bCs/>
                <w:color w:val="FFFFFF" w:themeColor="background1"/>
                <w:sz w:val="24"/>
                <w:szCs w:val="24"/>
                <w:lang w:eastAsia="pt-BR"/>
              </w:rPr>
              <w:t>4.ENDEREÇO/LOCAL DA DISPUTA:</w:t>
            </w:r>
          </w:p>
        </w:tc>
        <w:tc>
          <w:tcPr>
            <w:tcW w:w="778" w:type="pct"/>
            <w:shd w:val="clear" w:color="auto" w:fill="000099"/>
            <w:vAlign w:val="center"/>
          </w:tcPr>
          <w:p>
            <w:pPr>
              <w:jc w:val="center"/>
              <w:rPr>
                <w:rFonts w:ascii="Cambria" w:hAnsi="Cambria" w:cstheme="minorHAnsi"/>
                <w:b/>
                <w:color w:val="FFFFFF" w:themeColor="background1"/>
                <w:sz w:val="24"/>
                <w:szCs w:val="24"/>
                <w:lang w:eastAsia="pt-BR"/>
              </w:rPr>
            </w:pPr>
            <w:r>
              <w:rPr>
                <w:rFonts w:ascii="Cambria" w:hAnsi="Cambria" w:cstheme="minorHAnsi"/>
                <w:b/>
                <w:bCs/>
                <w:color w:val="FFFFFF" w:themeColor="background1"/>
                <w:sz w:val="24"/>
                <w:szCs w:val="24"/>
                <w:lang w:eastAsia="pt-BR"/>
              </w:rPr>
              <w:t>5.NÚMERO NO COMPRAS GOV</w:t>
            </w:r>
          </w:p>
        </w:tc>
      </w:tr>
      <w:tr>
        <w:trPr>
          <w:trHeight w:val="530"/>
        </w:trPr>
        <w:tc>
          <w:tcPr>
            <w:tcW w:w="763" w:type="pct"/>
            <w:vAlign w:val="center"/>
          </w:tcPr>
          <w:p>
            <w:pPr>
              <w:jc w:val="center"/>
              <w:rPr>
                <w:rFonts w:ascii="Cambria" w:hAnsi="Cambria" w:cstheme="minorHAnsi"/>
                <w:sz w:val="24"/>
                <w:szCs w:val="24"/>
                <w:lang w:eastAsia="pt-BR"/>
              </w:rPr>
            </w:pPr>
            <w:r>
              <w:rPr>
                <w:rFonts w:ascii="Cambria" w:hAnsi="Cambria" w:cstheme="minorHAnsi"/>
                <w:sz w:val="24"/>
                <w:szCs w:val="24"/>
                <w:lang w:eastAsia="pt-BR"/>
              </w:rPr>
              <w:t>PREGÃO</w:t>
            </w:r>
          </w:p>
        </w:tc>
        <w:tc>
          <w:tcPr>
            <w:tcW w:w="687" w:type="pct"/>
            <w:vAlign w:val="center"/>
          </w:tcPr>
          <w:p>
            <w:pPr>
              <w:jc w:val="center"/>
              <w:rPr>
                <w:rFonts w:ascii="Cambria" w:hAnsi="Cambria" w:cstheme="minorHAnsi"/>
                <w:color w:val="000000"/>
                <w:sz w:val="24"/>
                <w:szCs w:val="24"/>
                <w:lang w:eastAsia="pt-BR"/>
              </w:rPr>
            </w:pPr>
            <w:r>
              <w:rPr>
                <w:rFonts w:ascii="Cambria" w:hAnsi="Cambria" w:cstheme="minorHAnsi"/>
                <w:sz w:val="24"/>
                <w:szCs w:val="24"/>
                <w:lang w:eastAsia="pt-BR"/>
              </w:rPr>
              <w:t>ELETRÔNICO</w:t>
            </w:r>
          </w:p>
        </w:tc>
        <w:tc>
          <w:tcPr>
            <w:tcW w:w="1224" w:type="pct"/>
            <w:vAlign w:val="center"/>
          </w:tcPr>
          <w:p>
            <w:pPr>
              <w:jc w:val="center"/>
              <w:rPr>
                <w:rFonts w:ascii="Cambria" w:hAnsi="Cambria" w:cstheme="minorHAnsi"/>
                <w:b/>
                <w:bCs/>
                <w:sz w:val="24"/>
                <w:szCs w:val="24"/>
              </w:rPr>
            </w:pPr>
            <w:r>
              <w:rPr>
                <w:rFonts w:ascii="Cambria" w:hAnsi="Cambria" w:cstheme="minorHAnsi"/>
                <w:b/>
                <w:bCs/>
                <w:sz w:val="24"/>
                <w:szCs w:val="24"/>
              </w:rPr>
              <w:t>90012/2026 - PE</w:t>
            </w:r>
          </w:p>
        </w:tc>
        <w:tc>
          <w:tcPr>
            <w:tcW w:w="1548" w:type="pct"/>
            <w:vAlign w:val="center"/>
          </w:tcPr>
          <w:p>
            <w:pPr>
              <w:jc w:val="center"/>
              <w:rPr>
                <w:rFonts w:ascii="Cambria" w:hAnsi="Cambria" w:cstheme="minorHAnsi"/>
                <w:bCs/>
                <w:sz w:val="24"/>
                <w:szCs w:val="24"/>
                <w:lang w:eastAsia="pt-BR"/>
              </w:rPr>
            </w:pPr>
            <w:r>
              <w:rPr>
                <w:rFonts w:ascii="Cambria" w:hAnsi="Cambria" w:cstheme="minorHAnsi"/>
                <w:bCs/>
                <w:sz w:val="24"/>
                <w:szCs w:val="24"/>
                <w:lang w:eastAsia="pt-BR"/>
              </w:rPr>
              <w:t>www.compras.gov.br (comprasnet)</w:t>
            </w:r>
          </w:p>
        </w:tc>
        <w:tc>
          <w:tcPr>
            <w:tcW w:w="778" w:type="pct"/>
            <w:vAlign w:val="center"/>
          </w:tcPr>
          <w:p>
            <w:pPr>
              <w:jc w:val="center"/>
              <w:rPr>
                <w:rFonts w:ascii="Cambria" w:hAnsi="Cambria" w:cstheme="minorHAnsi"/>
                <w:b/>
                <w:bCs/>
                <w:sz w:val="24"/>
                <w:szCs w:val="24"/>
              </w:rPr>
            </w:pPr>
            <w:r>
              <w:rPr>
                <w:rFonts w:ascii="Cambria" w:hAnsi="Cambria" w:cstheme="minorHAnsi"/>
                <w:b/>
                <w:bCs/>
                <w:sz w:val="24"/>
                <w:szCs w:val="24"/>
              </w:rPr>
              <w:t>90012/2026 - PE</w:t>
            </w:r>
          </w:p>
        </w:tc>
      </w:tr>
    </w:tbl>
    <w:p>
      <w:pPr>
        <w:ind w:left="68"/>
        <w:jc w:val="center"/>
        <w:rPr>
          <w:rFonts w:ascii="Cambria" w:hAnsi="Cambria" w:cstheme="minorHAnsi"/>
          <w:bCs/>
          <w:sz w:val="24"/>
          <w:szCs w:val="24"/>
        </w:rPr>
      </w:pPr>
    </w:p>
    <w:tbl>
      <w:tblPr>
        <w:tblW w:w="5168" w:type="pct"/>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10298"/>
      </w:tblGrid>
      <w:tr>
        <w:trPr>
          <w:trHeight w:val="339"/>
        </w:trPr>
        <w:tc>
          <w:tcPr>
            <w:tcW w:w="5000" w:type="pct"/>
            <w:shd w:val="clear" w:color="auto" w:fill="000099"/>
            <w:vAlign w:val="center"/>
          </w:tcPr>
          <w:p>
            <w:pPr>
              <w:rPr>
                <w:rFonts w:ascii="Cambria" w:hAnsi="Cambria" w:cstheme="minorHAnsi"/>
                <w:b/>
                <w:sz w:val="24"/>
                <w:szCs w:val="24"/>
                <w:lang w:eastAsia="pt-BR"/>
              </w:rPr>
            </w:pPr>
            <w:r>
              <w:rPr>
                <w:rFonts w:ascii="Cambria" w:hAnsi="Cambria" w:cstheme="minorHAnsi"/>
                <w:b/>
                <w:sz w:val="24"/>
                <w:szCs w:val="24"/>
                <w:lang w:eastAsia="pt-BR"/>
              </w:rPr>
              <w:t>6.OBJETO:</w:t>
            </w:r>
          </w:p>
        </w:tc>
      </w:tr>
      <w:tr>
        <w:trPr>
          <w:trHeight w:val="893"/>
        </w:trPr>
        <w:tc>
          <w:tcPr>
            <w:tcW w:w="5000" w:type="pct"/>
            <w:vAlign w:val="center"/>
          </w:tcPr>
          <w:p>
            <w:pPr>
              <w:jc w:val="both"/>
              <w:rPr>
                <w:rFonts w:ascii="Cambria" w:hAnsi="Cambria" w:cstheme="minorHAnsi"/>
                <w:sz w:val="24"/>
                <w:szCs w:val="24"/>
                <w:lang w:eastAsia="pt-BR"/>
              </w:rPr>
            </w:pPr>
            <w:bookmarkStart w:id="2" w:name="_Hlk95817543"/>
            <w:r>
              <w:rPr>
                <w:rFonts w:ascii="Cambria" w:hAnsi="Cambria" w:cstheme="minorHAnsi"/>
                <w:sz w:val="24"/>
                <w:szCs w:val="24"/>
                <w:lang w:eastAsia="pt-BR"/>
              </w:rPr>
              <w:t>CONTRATAÇÃO DE CONTRATAÇÃO DE EMPRESA ESPECIALIZADA PARA PRESTAÇÃO DE SERVIÇOS DE RECARGA DE SUPRIMENTOS DE IMPRESSÃO, MANUTENÇÃO PREVENTIVA E CORRETIVA DE IMPRESSORAS, INCLUINDO O FORNECIMENTO E SUBSTITUIÇÃO DE PEÇAS, SERVIÇOS, VISANDO ATENDER ÀS NECESSIDADES DA SECRETARIA DE EDUCAÇÃO DO MUNICÍPIO DE MIRAÍMA/CE.</w:t>
            </w:r>
          </w:p>
        </w:tc>
      </w:tr>
      <w:bookmarkEnd w:id="2"/>
    </w:tbl>
    <w:p>
      <w:pPr>
        <w:ind w:left="68"/>
        <w:jc w:val="center"/>
        <w:rPr>
          <w:rFonts w:ascii="Cambria" w:hAnsi="Cambria" w:cstheme="minorHAnsi"/>
          <w:bCs/>
          <w:sz w:val="24"/>
          <w:szCs w:val="24"/>
        </w:rPr>
      </w:pPr>
    </w:p>
    <w:tbl>
      <w:tblPr>
        <w:tblW w:w="10057"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A0" w:firstRow="1" w:lastRow="0" w:firstColumn="1" w:lastColumn="0" w:noHBand="0" w:noVBand="1"/>
      </w:tblPr>
      <w:tblGrid>
        <w:gridCol w:w="2518"/>
        <w:gridCol w:w="1559"/>
        <w:gridCol w:w="1727"/>
        <w:gridCol w:w="1985"/>
        <w:gridCol w:w="2268"/>
      </w:tblGrid>
      <w:tr>
        <w:trPr>
          <w:trHeight w:val="291"/>
        </w:trPr>
        <w:tc>
          <w:tcPr>
            <w:tcW w:w="2518" w:type="dxa"/>
            <w:shd w:val="clear" w:color="auto" w:fill="000099"/>
            <w:vAlign w:val="center"/>
          </w:tcPr>
          <w:p>
            <w:pPr>
              <w:jc w:val="center"/>
              <w:rPr>
                <w:rFonts w:ascii="Cambria" w:hAnsi="Cambria" w:cstheme="minorHAnsi"/>
                <w:b/>
                <w:sz w:val="24"/>
                <w:szCs w:val="24"/>
                <w:lang w:eastAsia="pt-BR"/>
              </w:rPr>
            </w:pPr>
            <w:r>
              <w:rPr>
                <w:rFonts w:ascii="Cambria" w:hAnsi="Cambria" w:cstheme="minorHAnsi"/>
                <w:b/>
                <w:sz w:val="24"/>
                <w:szCs w:val="24"/>
                <w:lang w:eastAsia="pt-BR"/>
              </w:rPr>
              <w:t>7.DATA DA ABERTURA:</w:t>
            </w:r>
          </w:p>
        </w:tc>
        <w:tc>
          <w:tcPr>
            <w:tcW w:w="1559" w:type="dxa"/>
            <w:shd w:val="clear" w:color="auto" w:fill="000099"/>
            <w:vAlign w:val="center"/>
          </w:tcPr>
          <w:p>
            <w:pPr>
              <w:jc w:val="center"/>
              <w:rPr>
                <w:rFonts w:ascii="Cambria" w:hAnsi="Cambria" w:cstheme="minorHAnsi"/>
                <w:b/>
                <w:sz w:val="24"/>
                <w:szCs w:val="24"/>
                <w:lang w:eastAsia="pt-BR"/>
              </w:rPr>
            </w:pPr>
            <w:r>
              <w:rPr>
                <w:rFonts w:ascii="Cambria" w:hAnsi="Cambria" w:cstheme="minorHAnsi"/>
                <w:b/>
                <w:sz w:val="24"/>
                <w:szCs w:val="24"/>
                <w:lang w:eastAsia="pt-BR"/>
              </w:rPr>
              <w:t>8.HORA DA ABERTURA</w:t>
            </w:r>
          </w:p>
        </w:tc>
        <w:tc>
          <w:tcPr>
            <w:tcW w:w="1727" w:type="dxa"/>
            <w:shd w:val="clear" w:color="auto" w:fill="000099"/>
            <w:vAlign w:val="center"/>
          </w:tcPr>
          <w:p>
            <w:pPr>
              <w:jc w:val="center"/>
              <w:rPr>
                <w:rFonts w:ascii="Cambria" w:hAnsi="Cambria" w:cstheme="minorHAnsi"/>
                <w:b/>
                <w:sz w:val="24"/>
                <w:szCs w:val="24"/>
                <w:lang w:eastAsia="pt-BR"/>
              </w:rPr>
            </w:pPr>
            <w:r>
              <w:rPr>
                <w:rFonts w:ascii="Cambria" w:hAnsi="Cambria" w:cstheme="minorHAnsi"/>
                <w:b/>
                <w:bCs/>
                <w:sz w:val="24"/>
                <w:szCs w:val="24"/>
                <w:lang w:eastAsia="pt-BR"/>
              </w:rPr>
              <w:t>9.TIPO:</w:t>
            </w:r>
          </w:p>
        </w:tc>
        <w:tc>
          <w:tcPr>
            <w:tcW w:w="1985" w:type="dxa"/>
            <w:shd w:val="clear" w:color="auto" w:fill="000099"/>
            <w:vAlign w:val="center"/>
          </w:tcPr>
          <w:p>
            <w:pPr>
              <w:jc w:val="center"/>
              <w:rPr>
                <w:rFonts w:ascii="Cambria" w:hAnsi="Cambria" w:cstheme="minorHAnsi"/>
                <w:b/>
                <w:sz w:val="24"/>
                <w:szCs w:val="24"/>
                <w:lang w:eastAsia="pt-BR"/>
              </w:rPr>
            </w:pPr>
            <w:r>
              <w:rPr>
                <w:rFonts w:ascii="Cambria" w:hAnsi="Cambria" w:cstheme="minorHAnsi"/>
                <w:b/>
                <w:bCs/>
                <w:sz w:val="24"/>
                <w:szCs w:val="24"/>
                <w:lang w:eastAsia="pt-BR"/>
              </w:rPr>
              <w:t>10.CRITÉRIO DE JULGAMENTO:</w:t>
            </w:r>
          </w:p>
        </w:tc>
        <w:tc>
          <w:tcPr>
            <w:tcW w:w="2268" w:type="dxa"/>
            <w:shd w:val="clear" w:color="auto" w:fill="000099"/>
            <w:vAlign w:val="center"/>
          </w:tcPr>
          <w:p>
            <w:pPr>
              <w:jc w:val="center"/>
              <w:rPr>
                <w:rFonts w:ascii="Cambria" w:hAnsi="Cambria" w:cstheme="minorHAnsi"/>
                <w:b/>
                <w:bCs/>
                <w:sz w:val="24"/>
                <w:szCs w:val="24"/>
                <w:lang w:eastAsia="pt-BR"/>
              </w:rPr>
            </w:pPr>
            <w:r>
              <w:rPr>
                <w:rFonts w:ascii="Cambria" w:hAnsi="Cambria" w:cstheme="minorHAnsi"/>
                <w:b/>
                <w:bCs/>
                <w:sz w:val="24"/>
                <w:szCs w:val="24"/>
                <w:lang w:eastAsia="pt-BR"/>
              </w:rPr>
              <w:t>11.MODO DE DISPUTA</w:t>
            </w:r>
          </w:p>
        </w:tc>
      </w:tr>
      <w:tr>
        <w:trPr>
          <w:trHeight w:val="291"/>
        </w:trPr>
        <w:tc>
          <w:tcPr>
            <w:tcW w:w="2518" w:type="dxa"/>
            <w:vAlign w:val="center"/>
          </w:tcPr>
          <w:p>
            <w:pPr>
              <w:jc w:val="center"/>
              <w:rPr>
                <w:rFonts w:ascii="Cambria" w:hAnsi="Cambria" w:cstheme="minorHAnsi"/>
                <w:b/>
                <w:sz w:val="24"/>
                <w:szCs w:val="24"/>
                <w:lang w:eastAsia="pt-BR"/>
              </w:rPr>
            </w:pPr>
            <w:r>
              <w:rPr>
                <w:rFonts w:ascii="Cambria" w:hAnsi="Cambria" w:cstheme="minorHAnsi"/>
                <w:sz w:val="24"/>
                <w:szCs w:val="24"/>
                <w:lang w:eastAsia="pt-BR"/>
              </w:rPr>
              <w:t>21/07/2026</w:t>
            </w:r>
          </w:p>
        </w:tc>
        <w:tc>
          <w:tcPr>
            <w:tcW w:w="1559" w:type="dxa"/>
            <w:vAlign w:val="center"/>
          </w:tcPr>
          <w:p>
            <w:pPr>
              <w:jc w:val="center"/>
              <w:rPr>
                <w:rFonts w:ascii="Cambria" w:hAnsi="Cambria" w:cstheme="minorHAnsi"/>
                <w:b/>
                <w:sz w:val="24"/>
                <w:szCs w:val="24"/>
                <w:lang w:eastAsia="pt-BR"/>
              </w:rPr>
            </w:pPr>
            <w:r>
              <w:rPr>
                <w:rFonts w:ascii="Cambria" w:hAnsi="Cambria" w:cstheme="minorHAnsi"/>
                <w:sz w:val="24"/>
                <w:szCs w:val="24"/>
                <w:lang w:eastAsia="pt-BR"/>
              </w:rPr>
              <w:t>às 09</w:t>
            </w:r>
            <w:r>
              <w:rPr>
                <w:rFonts w:ascii="Cambria" w:hAnsi="Cambria" w:cstheme="minorHAnsi"/>
                <w:bCs/>
                <w:sz w:val="24"/>
                <w:szCs w:val="24"/>
                <w:lang w:eastAsia="pt-BR"/>
              </w:rPr>
              <w:t>h00min</w:t>
            </w:r>
          </w:p>
        </w:tc>
        <w:tc>
          <w:tcPr>
            <w:tcW w:w="1727" w:type="dxa"/>
            <w:vAlign w:val="center"/>
          </w:tcPr>
          <w:p>
            <w:pPr>
              <w:jc w:val="center"/>
              <w:rPr>
                <w:rFonts w:ascii="Cambria" w:hAnsi="Cambria" w:cstheme="minorHAnsi"/>
                <w:b/>
                <w:bCs/>
                <w:sz w:val="24"/>
                <w:szCs w:val="24"/>
                <w:lang w:eastAsia="pt-BR"/>
              </w:rPr>
            </w:pPr>
            <w:r>
              <w:rPr>
                <w:rFonts w:ascii="Cambria" w:hAnsi="Cambria" w:cstheme="minorHAnsi"/>
                <w:sz w:val="24"/>
                <w:szCs w:val="24"/>
                <w:lang w:eastAsia="pt-BR"/>
              </w:rPr>
              <w:t>MENOR PREÇO</w:t>
            </w:r>
          </w:p>
        </w:tc>
        <w:tc>
          <w:tcPr>
            <w:tcW w:w="1985" w:type="dxa"/>
            <w:vAlign w:val="center"/>
          </w:tcPr>
          <w:p>
            <w:pPr>
              <w:jc w:val="center"/>
              <w:rPr>
                <w:rFonts w:ascii="Cambria" w:hAnsi="Cambria" w:cstheme="minorHAnsi"/>
                <w:b/>
                <w:bCs/>
                <w:sz w:val="24"/>
                <w:szCs w:val="24"/>
                <w:lang w:eastAsia="pt-BR"/>
              </w:rPr>
            </w:pPr>
            <w:r>
              <w:rPr>
                <w:rFonts w:ascii="Cambria" w:hAnsi="Cambria" w:cstheme="minorHAnsi"/>
                <w:sz w:val="24"/>
                <w:szCs w:val="24"/>
                <w:lang w:eastAsia="pt-BR"/>
              </w:rPr>
              <w:t>GLOBAL</w:t>
            </w:r>
          </w:p>
        </w:tc>
        <w:tc>
          <w:tcPr>
            <w:tcW w:w="2268" w:type="dxa"/>
            <w:vAlign w:val="center"/>
          </w:tcPr>
          <w:p>
            <w:pPr>
              <w:jc w:val="center"/>
              <w:rPr>
                <w:rFonts w:ascii="Cambria" w:hAnsi="Cambria" w:cstheme="minorHAnsi"/>
                <w:b/>
                <w:bCs/>
                <w:sz w:val="24"/>
                <w:szCs w:val="24"/>
                <w:lang w:eastAsia="pt-BR"/>
              </w:rPr>
            </w:pPr>
            <w:r>
              <w:rPr>
                <w:rFonts w:ascii="Cambria" w:hAnsi="Cambria" w:cstheme="minorHAnsi"/>
                <w:sz w:val="24"/>
                <w:szCs w:val="24"/>
                <w:lang w:eastAsia="pt-BR"/>
              </w:rPr>
              <w:t>ABERTO</w:t>
            </w:r>
          </w:p>
        </w:tc>
      </w:tr>
      <w:tr>
        <w:trPr>
          <w:trHeight w:val="291"/>
        </w:trPr>
        <w:tc>
          <w:tcPr>
            <w:tcW w:w="10057" w:type="dxa"/>
            <w:gridSpan w:val="5"/>
            <w:vAlign w:val="center"/>
          </w:tcPr>
          <w:p>
            <w:pPr>
              <w:jc w:val="both"/>
              <w:rPr>
                <w:rFonts w:ascii="Cambria" w:hAnsi="Cambria" w:cstheme="minorHAnsi"/>
                <w:sz w:val="24"/>
                <w:szCs w:val="24"/>
                <w:lang w:eastAsia="pt-BR"/>
              </w:rPr>
            </w:pPr>
            <w:r>
              <w:rPr>
                <w:rFonts w:ascii="Cambria" w:hAnsi="Cambria" w:cstheme="minorHAnsi"/>
                <w:sz w:val="24"/>
                <w:szCs w:val="24"/>
                <w:lang w:eastAsia="pt-BR"/>
              </w:rPr>
              <w:t>Referência de Tempo: para todas as referências de tempo utilizadas pelo sistema será observado o horário de Brasília/DF.</w:t>
            </w:r>
          </w:p>
        </w:tc>
      </w:tr>
    </w:tbl>
    <w:p>
      <w:pPr>
        <w:jc w:val="both"/>
        <w:rPr>
          <w:rFonts w:ascii="Cambria" w:hAnsi="Cambria" w:cstheme="minorHAnsi"/>
          <w:sz w:val="24"/>
          <w:szCs w:val="24"/>
        </w:rPr>
      </w:pPr>
    </w:p>
    <w:tbl>
      <w:tblPr>
        <w:tblW w:w="10057"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A0" w:firstRow="1" w:lastRow="0" w:firstColumn="1" w:lastColumn="0" w:noHBand="0" w:noVBand="1"/>
      </w:tblPr>
      <w:tblGrid>
        <w:gridCol w:w="10057"/>
      </w:tblGrid>
      <w:tr>
        <w:trPr>
          <w:trHeight w:val="298"/>
        </w:trPr>
        <w:tc>
          <w:tcPr>
            <w:tcW w:w="10057" w:type="dxa"/>
            <w:shd w:val="clear" w:color="auto" w:fill="000099"/>
            <w:vAlign w:val="center"/>
          </w:tcPr>
          <w:p>
            <w:pPr>
              <w:rPr>
                <w:rFonts w:ascii="Cambria" w:hAnsi="Cambria" w:cstheme="minorHAnsi"/>
                <w:b/>
                <w:sz w:val="24"/>
                <w:szCs w:val="24"/>
                <w:lang w:eastAsia="pt-BR"/>
              </w:rPr>
            </w:pPr>
            <w:r>
              <w:rPr>
                <w:rFonts w:ascii="Cambria" w:hAnsi="Cambria" w:cstheme="minorHAnsi"/>
                <w:b/>
                <w:sz w:val="24"/>
                <w:szCs w:val="24"/>
                <w:lang w:eastAsia="pt-BR"/>
              </w:rPr>
              <w:t>12.ÓRGÃOS:</w:t>
            </w:r>
          </w:p>
        </w:tc>
      </w:tr>
      <w:tr>
        <w:trPr>
          <w:trHeight w:val="411"/>
        </w:trPr>
        <w:tc>
          <w:tcPr>
            <w:tcW w:w="10057" w:type="dxa"/>
            <w:vAlign w:val="center"/>
          </w:tcPr>
          <w:p>
            <w:pPr>
              <w:pStyle w:val="PargrafodaLista"/>
              <w:numPr>
                <w:ilvl w:val="0"/>
                <w:numId w:val="46"/>
              </w:numPr>
              <w:tabs>
                <w:tab w:val="left" w:pos="426"/>
                <w:tab w:val="left" w:pos="2525"/>
                <w:tab w:val="center" w:pos="4873"/>
              </w:tabs>
              <w:ind w:left="426"/>
              <w:jc w:val="both"/>
              <w:rPr>
                <w:rFonts w:ascii="Cambria" w:hAnsi="Cambria" w:cstheme="minorHAnsi"/>
                <w:bCs/>
                <w:sz w:val="24"/>
                <w:szCs w:val="24"/>
              </w:rPr>
            </w:pPr>
            <w:r>
              <w:rPr>
                <w:rFonts w:ascii="Cambria" w:hAnsi="Cambria" w:cstheme="minorHAnsi"/>
                <w:bCs/>
                <w:sz w:val="24"/>
                <w:szCs w:val="24"/>
              </w:rPr>
              <w:t>SECRETARIA MUNICIPAL DE EDUCAÇÃO</w:t>
            </w:r>
          </w:p>
        </w:tc>
      </w:tr>
    </w:tbl>
    <w:p>
      <w:pPr>
        <w:jc w:val="both"/>
        <w:rPr>
          <w:rFonts w:ascii="Cambria" w:hAnsi="Cambria" w:cstheme="minorHAnsi"/>
          <w:sz w:val="24"/>
          <w:szCs w:val="24"/>
        </w:rPr>
      </w:pPr>
    </w:p>
    <w:tbl>
      <w:tblPr>
        <w:tblW w:w="10057"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A0" w:firstRow="1" w:lastRow="0" w:firstColumn="1" w:lastColumn="0" w:noHBand="0" w:noVBand="1"/>
      </w:tblPr>
      <w:tblGrid>
        <w:gridCol w:w="2402"/>
        <w:gridCol w:w="2126"/>
        <w:gridCol w:w="1959"/>
        <w:gridCol w:w="1843"/>
        <w:gridCol w:w="1727"/>
      </w:tblGrid>
      <w:tr>
        <w:tc>
          <w:tcPr>
            <w:tcW w:w="2402" w:type="dxa"/>
            <w:shd w:val="clear" w:color="auto" w:fill="000099"/>
            <w:vAlign w:val="center"/>
          </w:tcPr>
          <w:p>
            <w:pPr>
              <w:rPr>
                <w:rFonts w:ascii="Cambria" w:hAnsi="Cambria" w:cstheme="minorHAnsi"/>
                <w:b/>
                <w:sz w:val="24"/>
                <w:szCs w:val="24"/>
                <w:lang w:eastAsia="pt-BR"/>
              </w:rPr>
            </w:pPr>
            <w:r>
              <w:rPr>
                <w:rFonts w:ascii="Cambria" w:hAnsi="Cambria" w:cstheme="minorHAnsi"/>
                <w:b/>
                <w:sz w:val="24"/>
                <w:szCs w:val="24"/>
                <w:lang w:eastAsia="pt-BR"/>
              </w:rPr>
              <w:t>13.LICITAÇÃO EXCLUSIVA OU COM COTAS PARA ME E EPP?</w:t>
            </w:r>
          </w:p>
        </w:tc>
        <w:tc>
          <w:tcPr>
            <w:tcW w:w="2126" w:type="dxa"/>
            <w:shd w:val="clear" w:color="auto" w:fill="000099"/>
            <w:vAlign w:val="center"/>
          </w:tcPr>
          <w:p>
            <w:pPr>
              <w:jc w:val="both"/>
              <w:rPr>
                <w:rFonts w:ascii="Cambria" w:hAnsi="Cambria" w:cstheme="minorHAnsi"/>
                <w:b/>
                <w:sz w:val="24"/>
                <w:szCs w:val="24"/>
                <w:lang w:eastAsia="pt-BR"/>
              </w:rPr>
            </w:pPr>
            <w:r>
              <w:rPr>
                <w:rFonts w:ascii="Cambria" w:hAnsi="Cambria" w:cstheme="minorHAnsi"/>
                <w:b/>
                <w:sz w:val="24"/>
                <w:szCs w:val="24"/>
                <w:lang w:eastAsia="pt-BR"/>
              </w:rPr>
              <w:t>14.FORNECIMENTO:</w:t>
            </w:r>
          </w:p>
        </w:tc>
        <w:tc>
          <w:tcPr>
            <w:tcW w:w="1959" w:type="dxa"/>
            <w:shd w:val="clear" w:color="auto" w:fill="000099"/>
            <w:vAlign w:val="center"/>
          </w:tcPr>
          <w:p>
            <w:pPr>
              <w:jc w:val="both"/>
              <w:rPr>
                <w:rFonts w:ascii="Cambria" w:hAnsi="Cambria" w:cstheme="minorHAnsi"/>
                <w:b/>
                <w:sz w:val="24"/>
                <w:szCs w:val="24"/>
                <w:lang w:eastAsia="pt-BR"/>
              </w:rPr>
            </w:pPr>
            <w:r>
              <w:rPr>
                <w:rFonts w:ascii="Cambria" w:hAnsi="Cambria" w:cstheme="minorHAnsi"/>
                <w:b/>
                <w:sz w:val="24"/>
                <w:szCs w:val="24"/>
                <w:lang w:eastAsia="pt-BR"/>
              </w:rPr>
              <w:t>15. PRAZO PARA EXECUÇÃO:</w:t>
            </w:r>
          </w:p>
        </w:tc>
        <w:tc>
          <w:tcPr>
            <w:tcW w:w="1843" w:type="dxa"/>
            <w:shd w:val="clear" w:color="auto" w:fill="000099"/>
            <w:vAlign w:val="center"/>
          </w:tcPr>
          <w:p>
            <w:pPr>
              <w:jc w:val="center"/>
              <w:rPr>
                <w:rFonts w:ascii="Cambria" w:hAnsi="Cambria" w:cstheme="minorHAnsi"/>
                <w:b/>
                <w:sz w:val="24"/>
                <w:szCs w:val="24"/>
                <w:lang w:eastAsia="pt-BR"/>
              </w:rPr>
            </w:pPr>
            <w:r>
              <w:rPr>
                <w:rFonts w:ascii="Cambria" w:hAnsi="Cambria" w:cstheme="minorHAnsi"/>
                <w:b/>
                <w:sz w:val="24"/>
                <w:szCs w:val="24"/>
                <w:lang w:eastAsia="pt-BR"/>
              </w:rPr>
              <w:t>16.VIGÊNCIA DO CONTRATO:</w:t>
            </w:r>
          </w:p>
        </w:tc>
        <w:tc>
          <w:tcPr>
            <w:tcW w:w="1727" w:type="dxa"/>
            <w:shd w:val="clear" w:color="auto" w:fill="000099"/>
            <w:vAlign w:val="center"/>
          </w:tcPr>
          <w:p>
            <w:pPr>
              <w:jc w:val="both"/>
              <w:rPr>
                <w:rFonts w:ascii="Cambria" w:hAnsi="Cambria" w:cstheme="minorHAnsi"/>
                <w:b/>
                <w:sz w:val="24"/>
                <w:szCs w:val="24"/>
                <w:lang w:eastAsia="pt-BR"/>
              </w:rPr>
            </w:pPr>
            <w:r>
              <w:rPr>
                <w:rFonts w:ascii="Cambria" w:hAnsi="Cambria" w:cstheme="minorHAnsi"/>
                <w:b/>
                <w:sz w:val="24"/>
                <w:szCs w:val="24"/>
                <w:lang w:eastAsia="pt-BR"/>
              </w:rPr>
              <w:t>17.POSSIBILIDADE DE AMOSTRAS?</w:t>
            </w:r>
          </w:p>
        </w:tc>
      </w:tr>
      <w:tr>
        <w:trPr>
          <w:trHeight w:val="393"/>
        </w:trPr>
        <w:tc>
          <w:tcPr>
            <w:tcW w:w="2402" w:type="dxa"/>
            <w:vAlign w:val="center"/>
          </w:tcPr>
          <w:p>
            <w:pPr>
              <w:jc w:val="center"/>
              <w:rPr>
                <w:rFonts w:ascii="Cambria" w:hAnsi="Cambria" w:cstheme="minorHAnsi"/>
                <w:sz w:val="24"/>
                <w:szCs w:val="24"/>
                <w:lang w:eastAsia="pt-BR"/>
              </w:rPr>
            </w:pPr>
            <w:r>
              <w:rPr>
                <w:rFonts w:ascii="Cambria" w:hAnsi="Cambria" w:cstheme="minorHAnsi"/>
                <w:sz w:val="24"/>
                <w:szCs w:val="24"/>
                <w:lang w:eastAsia="pt-BR"/>
              </w:rPr>
              <w:t>NÃO</w:t>
            </w:r>
          </w:p>
        </w:tc>
        <w:tc>
          <w:tcPr>
            <w:tcW w:w="2126" w:type="dxa"/>
            <w:vAlign w:val="center"/>
          </w:tcPr>
          <w:p>
            <w:pPr>
              <w:jc w:val="center"/>
              <w:rPr>
                <w:rFonts w:ascii="Cambria" w:hAnsi="Cambria" w:cstheme="minorHAnsi"/>
                <w:sz w:val="24"/>
                <w:szCs w:val="24"/>
                <w:lang w:eastAsia="pt-BR"/>
              </w:rPr>
            </w:pPr>
            <w:r>
              <w:rPr>
                <w:rFonts w:ascii="Cambria" w:hAnsi="Cambria" w:cstheme="minorHAnsi"/>
                <w:sz w:val="24"/>
                <w:szCs w:val="24"/>
                <w:lang w:eastAsia="pt-BR"/>
              </w:rPr>
              <w:t>CONFORME DEMANDA</w:t>
            </w:r>
          </w:p>
        </w:tc>
        <w:tc>
          <w:tcPr>
            <w:tcW w:w="1959" w:type="dxa"/>
            <w:vAlign w:val="center"/>
          </w:tcPr>
          <w:p>
            <w:pPr>
              <w:jc w:val="center"/>
              <w:rPr>
                <w:rFonts w:ascii="Cambria" w:hAnsi="Cambria" w:cstheme="minorHAnsi"/>
                <w:sz w:val="24"/>
                <w:szCs w:val="24"/>
                <w:lang w:eastAsia="pt-BR"/>
              </w:rPr>
            </w:pPr>
            <w:r>
              <w:rPr>
                <w:rFonts w:ascii="Cambria" w:hAnsi="Cambria" w:cstheme="minorHAnsi"/>
                <w:sz w:val="24"/>
                <w:szCs w:val="24"/>
                <w:lang w:eastAsia="pt-BR"/>
              </w:rPr>
              <w:t xml:space="preserve">12 (doze meses) </w:t>
            </w:r>
          </w:p>
        </w:tc>
        <w:tc>
          <w:tcPr>
            <w:tcW w:w="1843" w:type="dxa"/>
            <w:vAlign w:val="center"/>
          </w:tcPr>
          <w:p>
            <w:pPr>
              <w:jc w:val="center"/>
              <w:rPr>
                <w:rFonts w:ascii="Cambria" w:hAnsi="Cambria" w:cstheme="minorHAnsi"/>
                <w:sz w:val="24"/>
                <w:szCs w:val="24"/>
                <w:lang w:eastAsia="pt-BR"/>
              </w:rPr>
            </w:pPr>
            <w:r>
              <w:rPr>
                <w:rFonts w:ascii="Cambria" w:hAnsi="Cambria" w:cstheme="minorHAnsi"/>
                <w:sz w:val="24"/>
                <w:szCs w:val="24"/>
                <w:lang w:eastAsia="pt-BR"/>
              </w:rPr>
              <w:t>12 MESES</w:t>
            </w:r>
          </w:p>
        </w:tc>
        <w:tc>
          <w:tcPr>
            <w:tcW w:w="1727" w:type="dxa"/>
            <w:vAlign w:val="center"/>
          </w:tcPr>
          <w:p>
            <w:pPr>
              <w:jc w:val="center"/>
              <w:rPr>
                <w:rFonts w:ascii="Cambria" w:hAnsi="Cambria" w:cstheme="minorHAnsi"/>
                <w:sz w:val="24"/>
                <w:szCs w:val="24"/>
                <w:lang w:eastAsia="pt-BR"/>
              </w:rPr>
            </w:pPr>
            <w:r>
              <w:rPr>
                <w:rFonts w:ascii="Cambria" w:hAnsi="Cambria" w:cstheme="minorHAnsi"/>
                <w:sz w:val="24"/>
                <w:szCs w:val="24"/>
                <w:lang w:eastAsia="pt-BR"/>
              </w:rPr>
              <w:t>NÃO</w:t>
            </w:r>
          </w:p>
        </w:tc>
      </w:tr>
    </w:tbl>
    <w:p>
      <w:pPr>
        <w:jc w:val="both"/>
        <w:rPr>
          <w:rFonts w:ascii="Cambria" w:hAnsi="Cambria" w:cstheme="minorHAnsi"/>
          <w:sz w:val="24"/>
          <w:szCs w:val="24"/>
        </w:rPr>
      </w:pPr>
    </w:p>
    <w:tbl>
      <w:tblPr>
        <w:tblW w:w="10057"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A0" w:firstRow="1" w:lastRow="0" w:firstColumn="1" w:lastColumn="0" w:noHBand="0" w:noVBand="1"/>
      </w:tblPr>
      <w:tblGrid>
        <w:gridCol w:w="10057"/>
      </w:tblGrid>
      <w:tr>
        <w:trPr>
          <w:trHeight w:val="258"/>
        </w:trPr>
        <w:tc>
          <w:tcPr>
            <w:tcW w:w="10057" w:type="dxa"/>
            <w:shd w:val="clear" w:color="auto" w:fill="F2F2F2"/>
            <w:vAlign w:val="center"/>
          </w:tcPr>
          <w:p>
            <w:pPr>
              <w:jc w:val="both"/>
              <w:rPr>
                <w:rFonts w:ascii="Cambria" w:hAnsi="Cambria" w:cstheme="minorHAnsi"/>
                <w:b/>
                <w:sz w:val="24"/>
                <w:szCs w:val="24"/>
                <w:lang w:eastAsia="pt-BR"/>
              </w:rPr>
            </w:pPr>
            <w:r>
              <w:rPr>
                <w:rFonts w:ascii="Cambria" w:hAnsi="Cambria" w:cstheme="minorHAnsi"/>
                <w:b/>
                <w:sz w:val="24"/>
                <w:szCs w:val="24"/>
                <w:lang w:eastAsia="pt-BR"/>
              </w:rPr>
              <w:t>18.DOS ATENDIMENTOS, PEDIDOS DE ESCLARECIMENTOS, IMPUGNAÇÕES, RECURSOS E VISTAS AO PROCESSO</w:t>
            </w:r>
          </w:p>
        </w:tc>
      </w:tr>
      <w:tr>
        <w:trPr>
          <w:trHeight w:val="479"/>
        </w:trPr>
        <w:tc>
          <w:tcPr>
            <w:tcW w:w="10057" w:type="dxa"/>
            <w:vAlign w:val="center"/>
          </w:tcPr>
          <w:p>
            <w:pPr>
              <w:spacing w:line="276" w:lineRule="auto"/>
              <w:jc w:val="both"/>
              <w:rPr>
                <w:rFonts w:ascii="Cambria" w:hAnsi="Cambria" w:cstheme="minorHAnsi"/>
                <w:sz w:val="24"/>
                <w:szCs w:val="24"/>
                <w:lang w:eastAsia="pt-BR"/>
              </w:rPr>
            </w:pPr>
            <w:r>
              <w:rPr>
                <w:rFonts w:ascii="Cambria" w:hAnsi="Cambria" w:cstheme="minorHAnsi"/>
                <w:sz w:val="24"/>
                <w:szCs w:val="24"/>
                <w:lang w:eastAsia="pt-BR"/>
              </w:rPr>
              <w:t xml:space="preserve">Todos os </w:t>
            </w:r>
            <w:r>
              <w:rPr>
                <w:rFonts w:ascii="Cambria" w:hAnsi="Cambria" w:cstheme="minorHAnsi"/>
                <w:b/>
                <w:sz w:val="24"/>
                <w:szCs w:val="24"/>
                <w:lang w:eastAsia="pt-BR"/>
              </w:rPr>
              <w:t>atendimentos</w:t>
            </w:r>
            <w:r>
              <w:rPr>
                <w:rFonts w:ascii="Cambria" w:hAnsi="Cambria" w:cstheme="minorHAnsi"/>
                <w:sz w:val="24"/>
                <w:szCs w:val="24"/>
                <w:lang w:eastAsia="pt-BR"/>
              </w:rPr>
              <w:t xml:space="preserve"> e demais tratativas com o Pregoeiro serão realizados </w:t>
            </w:r>
            <w:r>
              <w:rPr>
                <w:rFonts w:ascii="Cambria" w:hAnsi="Cambria" w:cstheme="minorHAnsi"/>
                <w:b/>
                <w:sz w:val="24"/>
                <w:szCs w:val="24"/>
                <w:lang w:eastAsia="pt-BR"/>
              </w:rPr>
              <w:t xml:space="preserve">exclusivamente </w:t>
            </w:r>
            <w:r>
              <w:rPr>
                <w:rFonts w:ascii="Cambria" w:hAnsi="Cambria" w:cstheme="minorHAnsi"/>
                <w:sz w:val="24"/>
                <w:szCs w:val="24"/>
                <w:lang w:eastAsia="pt-BR"/>
              </w:rPr>
              <w:t xml:space="preserve">por meio virtual, mediante pedido formal a ser enviado através do e-mail: </w:t>
            </w:r>
            <w:r>
              <w:rPr>
                <w:rFonts w:ascii="Cambria" w:hAnsi="Cambria" w:cstheme="minorHAnsi"/>
                <w:b/>
                <w:bCs/>
                <w:sz w:val="24"/>
                <w:szCs w:val="24"/>
                <w:lang w:eastAsia="pt-BR"/>
              </w:rPr>
              <w:t>licitacao@miraima.ce.gov.br</w:t>
            </w:r>
            <w:r>
              <w:rPr>
                <w:rFonts w:ascii="Cambria" w:hAnsi="Cambria" w:cstheme="minorHAnsi"/>
                <w:sz w:val="24"/>
                <w:szCs w:val="24"/>
                <w:lang w:eastAsia="pt-BR"/>
              </w:rPr>
              <w:t xml:space="preserve">, assim como os </w:t>
            </w:r>
            <w:r>
              <w:rPr>
                <w:rFonts w:ascii="Cambria" w:hAnsi="Cambria" w:cstheme="minorHAnsi"/>
                <w:b/>
                <w:sz w:val="24"/>
                <w:szCs w:val="24"/>
                <w:lang w:eastAsia="pt-BR"/>
              </w:rPr>
              <w:t xml:space="preserve">pedidos de esclarecimentos, impugnações, recursos e pedidos de vistas aos autos, </w:t>
            </w:r>
            <w:r>
              <w:rPr>
                <w:rFonts w:ascii="Cambria" w:hAnsi="Cambria" w:cstheme="minorHAnsi"/>
                <w:bCs/>
                <w:sz w:val="24"/>
                <w:szCs w:val="24"/>
                <w:lang w:eastAsia="pt-BR"/>
              </w:rPr>
              <w:t>nos termos consignados no presente edital</w:t>
            </w:r>
            <w:r>
              <w:rPr>
                <w:rFonts w:ascii="Cambria" w:hAnsi="Cambria" w:cstheme="minorHAnsi"/>
                <w:b/>
                <w:sz w:val="24"/>
                <w:szCs w:val="24"/>
                <w:lang w:eastAsia="pt-BR"/>
              </w:rPr>
              <w:t>.</w:t>
            </w:r>
          </w:p>
        </w:tc>
      </w:tr>
    </w:tbl>
    <w:p>
      <w:pPr>
        <w:jc w:val="both"/>
        <w:rPr>
          <w:rFonts w:ascii="Cambria" w:hAnsi="Cambria" w:cstheme="minorHAnsi"/>
          <w:sz w:val="24"/>
          <w:szCs w:val="24"/>
        </w:rPr>
      </w:pPr>
    </w:p>
    <w:tbl>
      <w:tblPr>
        <w:tblW w:w="10057"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A0" w:firstRow="1" w:lastRow="0" w:firstColumn="1" w:lastColumn="0" w:noHBand="0" w:noVBand="1"/>
      </w:tblPr>
      <w:tblGrid>
        <w:gridCol w:w="10057"/>
      </w:tblGrid>
      <w:tr>
        <w:trPr>
          <w:trHeight w:val="258"/>
        </w:trPr>
        <w:tc>
          <w:tcPr>
            <w:tcW w:w="10057" w:type="dxa"/>
            <w:shd w:val="clear" w:color="auto" w:fill="F2F2F2"/>
            <w:vAlign w:val="center"/>
          </w:tcPr>
          <w:p>
            <w:pPr>
              <w:jc w:val="both"/>
              <w:rPr>
                <w:rFonts w:ascii="Cambria" w:hAnsi="Cambria" w:cstheme="minorHAnsi"/>
                <w:b/>
                <w:sz w:val="24"/>
                <w:szCs w:val="24"/>
                <w:lang w:eastAsia="pt-BR"/>
              </w:rPr>
            </w:pPr>
            <w:r>
              <w:rPr>
                <w:rFonts w:ascii="Cambria" w:hAnsi="Cambria" w:cstheme="minorHAnsi"/>
                <w:b/>
                <w:sz w:val="24"/>
                <w:szCs w:val="24"/>
                <w:lang w:eastAsia="pt-BR"/>
              </w:rPr>
              <w:t>19.OBSERVAÇÕES IMPORTANTES E OBSERVÂNCIA OBRIGATÓRIA:</w:t>
            </w:r>
          </w:p>
        </w:tc>
      </w:tr>
      <w:tr>
        <w:trPr>
          <w:trHeight w:val="821"/>
        </w:trPr>
        <w:tc>
          <w:tcPr>
            <w:tcW w:w="10057" w:type="dxa"/>
            <w:vAlign w:val="center"/>
          </w:tcPr>
          <w:p>
            <w:pPr>
              <w:pStyle w:val="PargrafodaLista"/>
              <w:numPr>
                <w:ilvl w:val="0"/>
                <w:numId w:val="4"/>
              </w:numPr>
              <w:tabs>
                <w:tab w:val="left" w:pos="306"/>
              </w:tabs>
              <w:spacing w:line="276" w:lineRule="auto"/>
              <w:ind w:left="0" w:firstLine="0"/>
              <w:jc w:val="both"/>
              <w:rPr>
                <w:rFonts w:ascii="Cambria" w:hAnsi="Cambria" w:cstheme="minorHAnsi"/>
                <w:sz w:val="24"/>
                <w:szCs w:val="24"/>
              </w:rPr>
            </w:pPr>
            <w:r>
              <w:rPr>
                <w:rFonts w:ascii="Cambria" w:hAnsi="Cambria" w:cstheme="minorHAnsi"/>
                <w:sz w:val="24"/>
                <w:szCs w:val="24"/>
              </w:rPr>
              <w:t>O presente edital se apresenta em duas partes (parte específica e parte geral), onde, na parte específica serão disciplinadas as definições singulares do objeto, qualificação técnica específica, peculiaridades e demais disposições do julgamento. Já na parte geral teremos as demais condições e entendimentos padronizados relativos ao procedimento.</w:t>
            </w:r>
          </w:p>
          <w:p>
            <w:pPr>
              <w:pStyle w:val="PargrafodaLista"/>
              <w:numPr>
                <w:ilvl w:val="0"/>
                <w:numId w:val="4"/>
              </w:numPr>
              <w:tabs>
                <w:tab w:val="left" w:pos="306"/>
              </w:tabs>
              <w:spacing w:line="276" w:lineRule="auto"/>
              <w:ind w:left="0" w:firstLine="0"/>
              <w:jc w:val="both"/>
              <w:rPr>
                <w:rFonts w:ascii="Cambria" w:hAnsi="Cambria" w:cstheme="minorHAnsi"/>
                <w:sz w:val="24"/>
                <w:szCs w:val="24"/>
              </w:rPr>
            </w:pPr>
            <w:r>
              <w:rPr>
                <w:rFonts w:ascii="Cambria" w:hAnsi="Cambria" w:cstheme="minorHAnsi"/>
                <w:sz w:val="24"/>
                <w:szCs w:val="24"/>
                <w:lang w:eastAsia="pt-BR"/>
              </w:rPr>
              <w:t>Existindo divergência entre as informações constantes da parte específica (quadro resumo) e dos demais campos do edital e seus anexos (parte geral), prevalecerão as informações constantes da parte específica.</w:t>
            </w:r>
          </w:p>
          <w:p>
            <w:pPr>
              <w:pStyle w:val="PargrafodaLista"/>
              <w:numPr>
                <w:ilvl w:val="0"/>
                <w:numId w:val="4"/>
              </w:numPr>
              <w:tabs>
                <w:tab w:val="left" w:pos="306"/>
              </w:tabs>
              <w:spacing w:line="276" w:lineRule="auto"/>
              <w:ind w:left="0" w:firstLine="0"/>
              <w:jc w:val="both"/>
              <w:rPr>
                <w:rFonts w:ascii="Cambria" w:hAnsi="Cambria" w:cstheme="minorHAnsi"/>
                <w:sz w:val="24"/>
                <w:szCs w:val="24"/>
              </w:rPr>
            </w:pPr>
            <w:r>
              <w:rPr>
                <w:rFonts w:ascii="Cambria" w:hAnsi="Cambria" w:cstheme="minorHAnsi"/>
                <w:sz w:val="24"/>
                <w:szCs w:val="24"/>
                <w:lang w:eastAsia="pt-BR"/>
              </w:rPr>
              <w:t>Havendo discrepância entre os textos constantes do edital e seus ANEXOS, inclusive quanto a especificação dos serviços, unidades e demais detalhamentos ante aqueles constantes da plataforma Compras Gov no site www.compras.gov.br prevalecerão as informações constantes do edital e seus ANEXOS.</w:t>
            </w:r>
          </w:p>
          <w:p>
            <w:pPr>
              <w:pStyle w:val="PargrafodaLista"/>
              <w:numPr>
                <w:ilvl w:val="0"/>
                <w:numId w:val="4"/>
              </w:numPr>
              <w:tabs>
                <w:tab w:val="left" w:pos="306"/>
              </w:tabs>
              <w:spacing w:line="276" w:lineRule="auto"/>
              <w:ind w:left="0" w:firstLine="0"/>
              <w:jc w:val="both"/>
              <w:rPr>
                <w:rFonts w:ascii="Cambria" w:hAnsi="Cambria" w:cstheme="minorHAnsi"/>
                <w:sz w:val="24"/>
                <w:szCs w:val="24"/>
              </w:rPr>
            </w:pPr>
            <w:r>
              <w:rPr>
                <w:rFonts w:ascii="Cambria" w:hAnsi="Cambria" w:cstheme="minorHAnsi"/>
                <w:sz w:val="24"/>
                <w:szCs w:val="24"/>
                <w:lang w:eastAsia="pt-BR"/>
              </w:rPr>
              <w:t>Os Regulamentos de Licitações e Contratos da Prefeitura Municipal de Miraíma/CE, são parte integrante desse instrumento. Os regulamentos poderão ser obtidos no seguinte endereço eletrônico: https://www.miraima.ce.gov.br/.</w:t>
            </w:r>
          </w:p>
        </w:tc>
      </w:tr>
      <w:bookmarkEnd w:id="0"/>
    </w:tbl>
    <w:p>
      <w:pPr>
        <w:spacing w:line="276" w:lineRule="auto"/>
        <w:jc w:val="center"/>
        <w:rPr>
          <w:rFonts w:ascii="Cambria" w:hAnsi="Cambria" w:cstheme="minorHAnsi"/>
          <w:b/>
          <w:bCs/>
          <w:sz w:val="24"/>
          <w:szCs w:val="24"/>
        </w:rPr>
      </w:pPr>
    </w:p>
    <w:p>
      <w:pPr>
        <w:rPr>
          <w:rFonts w:ascii="Cambria" w:hAnsi="Cambria" w:cstheme="minorHAnsi"/>
          <w:b/>
          <w:bCs/>
          <w:sz w:val="24"/>
          <w:szCs w:val="24"/>
        </w:rPr>
      </w:pPr>
      <w:r>
        <w:rPr>
          <w:rFonts w:ascii="Cambria" w:hAnsi="Cambria" w:cstheme="minorHAnsi"/>
          <w:b/>
          <w:bCs/>
          <w:sz w:val="24"/>
          <w:szCs w:val="24"/>
        </w:rPr>
        <w:br w:type="page"/>
      </w:r>
    </w:p>
    <w:p>
      <w:pPr>
        <w:spacing w:line="276" w:lineRule="auto"/>
        <w:jc w:val="center"/>
        <w:rPr>
          <w:rFonts w:ascii="Cambria" w:hAnsi="Cambria" w:cstheme="minorHAnsi"/>
          <w:sz w:val="24"/>
          <w:szCs w:val="24"/>
        </w:rPr>
      </w:pPr>
      <w:r>
        <w:rPr>
          <w:rFonts w:ascii="Cambria" w:hAnsi="Cambria" w:cstheme="minorHAnsi"/>
          <w:b/>
          <w:bCs/>
          <w:sz w:val="24"/>
          <w:szCs w:val="24"/>
        </w:rPr>
        <w:lastRenderedPageBreak/>
        <w:t>TERMO DE EDITAL</w:t>
      </w:r>
    </w:p>
    <w:p>
      <w:pPr>
        <w:jc w:val="center"/>
        <w:rPr>
          <w:rFonts w:ascii="Cambria" w:hAnsi="Cambria" w:cstheme="minorHAnsi"/>
          <w:b/>
          <w:bCs/>
          <w:sz w:val="24"/>
          <w:szCs w:val="24"/>
        </w:rPr>
      </w:pPr>
      <w:r>
        <w:rPr>
          <w:rFonts w:ascii="Cambria" w:hAnsi="Cambria" w:cstheme="minorHAnsi"/>
          <w:b/>
          <w:bCs/>
          <w:sz w:val="24"/>
          <w:szCs w:val="24"/>
        </w:rPr>
        <w:t>PREGÃO ELETRÔNICO Nº 90012/2026 - PE</w:t>
      </w:r>
    </w:p>
    <w:p>
      <w:pPr>
        <w:jc w:val="center"/>
        <w:rPr>
          <w:rFonts w:ascii="Cambria" w:hAnsi="Cambria" w:cstheme="minorHAnsi"/>
          <w:b/>
          <w:bCs/>
          <w:sz w:val="24"/>
          <w:szCs w:val="24"/>
        </w:rPr>
      </w:pPr>
    </w:p>
    <w:p>
      <w:pPr>
        <w:jc w:val="center"/>
        <w:rPr>
          <w:rFonts w:ascii="Cambria" w:hAnsi="Cambria" w:cstheme="minorHAnsi"/>
          <w:bCs/>
          <w:sz w:val="24"/>
          <w:szCs w:val="24"/>
        </w:rPr>
      </w:pPr>
    </w:p>
    <w:tbl>
      <w:tblPr>
        <w:tblW w:w="9631"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A0" w:firstRow="1" w:lastRow="0" w:firstColumn="1" w:lastColumn="0" w:noHBand="0" w:noVBand="1"/>
      </w:tblPr>
      <w:tblGrid>
        <w:gridCol w:w="9631"/>
      </w:tblGrid>
      <w:tr>
        <w:trPr>
          <w:trHeight w:val="216"/>
        </w:trPr>
        <w:tc>
          <w:tcPr>
            <w:tcW w:w="9631" w:type="dxa"/>
            <w:shd w:val="clear" w:color="auto" w:fill="F2F2F2"/>
            <w:vAlign w:val="center"/>
          </w:tcPr>
          <w:p>
            <w:pPr>
              <w:jc w:val="center"/>
              <w:rPr>
                <w:rFonts w:ascii="Cambria" w:hAnsi="Cambria" w:cstheme="minorHAnsi"/>
                <w:b/>
                <w:sz w:val="24"/>
                <w:szCs w:val="24"/>
                <w:lang w:eastAsia="pt-BR"/>
              </w:rPr>
            </w:pPr>
            <w:r>
              <w:rPr>
                <w:rFonts w:ascii="Cambria" w:hAnsi="Cambria" w:cstheme="minorHAnsi"/>
                <w:b/>
                <w:color w:val="000000"/>
                <w:sz w:val="24"/>
                <w:szCs w:val="24"/>
                <w:lang w:eastAsia="pt-BR"/>
              </w:rPr>
              <w:t>PARTE GERAL</w:t>
            </w:r>
          </w:p>
        </w:tc>
      </w:tr>
    </w:tbl>
    <w:p>
      <w:pPr>
        <w:jc w:val="center"/>
        <w:rPr>
          <w:rFonts w:ascii="Cambria" w:hAnsi="Cambria" w:cstheme="minorHAnsi"/>
          <w:bCs/>
          <w:sz w:val="24"/>
          <w:szCs w:val="24"/>
        </w:rPr>
      </w:pPr>
    </w:p>
    <w:p>
      <w:pPr>
        <w:jc w:val="center"/>
        <w:rPr>
          <w:rFonts w:ascii="Cambria" w:hAnsi="Cambria" w:cstheme="minorHAnsi"/>
          <w:b/>
          <w:sz w:val="24"/>
          <w:szCs w:val="24"/>
        </w:rPr>
      </w:pPr>
      <w:r>
        <w:rPr>
          <w:rFonts w:ascii="Cambria" w:hAnsi="Cambria" w:cstheme="minorHAnsi"/>
          <w:b/>
          <w:bCs/>
          <w:sz w:val="24"/>
          <w:szCs w:val="24"/>
        </w:rPr>
        <w:t>PREÂMBULO</w:t>
      </w:r>
    </w:p>
    <w:p>
      <w:pPr>
        <w:jc w:val="both"/>
        <w:rPr>
          <w:rFonts w:ascii="Cambria" w:hAnsi="Cambria" w:cstheme="minorHAnsi"/>
          <w:sz w:val="24"/>
          <w:szCs w:val="24"/>
        </w:rPr>
      </w:pPr>
      <w:bookmarkStart w:id="3" w:name="_Toc121132280"/>
      <w:bookmarkStart w:id="4" w:name="_Toc121133039"/>
      <w:bookmarkStart w:id="5" w:name="_Toc121133119"/>
      <w:bookmarkStart w:id="6" w:name="_Toc141339270"/>
      <w:bookmarkStart w:id="7" w:name="_Toc141339300"/>
      <w:bookmarkStart w:id="8" w:name="_Toc141339325"/>
      <w:bookmarkStart w:id="9" w:name="_Toc154043663"/>
      <w:bookmarkStart w:id="10" w:name="_Toc154043751"/>
      <w:r>
        <w:rPr>
          <w:rFonts w:ascii="Cambria" w:hAnsi="Cambria" w:cstheme="minorHAnsi"/>
          <w:b/>
          <w:sz w:val="24"/>
          <w:szCs w:val="24"/>
        </w:rPr>
        <w:t>A PREFEITURA MUNICIPAL DE MIRAÍMA/CE</w:t>
      </w:r>
      <w:r>
        <w:rPr>
          <w:rFonts w:ascii="Cambria" w:hAnsi="Cambria" w:cstheme="minorHAnsi"/>
          <w:bCs/>
          <w:sz w:val="24"/>
          <w:szCs w:val="24"/>
        </w:rPr>
        <w:t>, por meio do Agente de Contratação, ora denominado de Pregoeiro e por ordem da autoridade competente deste processo a qual consta acima relacionada, torna público</w:t>
      </w:r>
      <w:r>
        <w:rPr>
          <w:rFonts w:ascii="Cambria" w:hAnsi="Cambria" w:cstheme="minorHAnsi"/>
          <w:sz w:val="24"/>
          <w:szCs w:val="24"/>
        </w:rPr>
        <w:t xml:space="preserve">, para conhecimento dos interessados, que se encontra aberto processo licitatório, na modalidade </w:t>
      </w:r>
      <w:r>
        <w:rPr>
          <w:rFonts w:ascii="Cambria" w:hAnsi="Cambria" w:cstheme="minorHAnsi"/>
          <w:b/>
          <w:sz w:val="24"/>
          <w:szCs w:val="24"/>
        </w:rPr>
        <w:t>PREGÃO</w:t>
      </w:r>
      <w:r>
        <w:rPr>
          <w:rFonts w:ascii="Cambria" w:hAnsi="Cambria" w:cstheme="minorHAnsi"/>
          <w:sz w:val="24"/>
          <w:szCs w:val="24"/>
        </w:rPr>
        <w:t xml:space="preserve">, em formato </w:t>
      </w:r>
      <w:r>
        <w:rPr>
          <w:rFonts w:ascii="Cambria" w:hAnsi="Cambria" w:cstheme="minorHAnsi"/>
          <w:b/>
          <w:sz w:val="24"/>
          <w:szCs w:val="24"/>
        </w:rPr>
        <w:t>ELETRÔNICO Nº 90012/2026 - PE</w:t>
      </w:r>
      <w:r>
        <w:rPr>
          <w:rFonts w:ascii="Cambria" w:hAnsi="Cambria" w:cstheme="minorHAnsi"/>
          <w:sz w:val="24"/>
          <w:szCs w:val="24"/>
        </w:rPr>
        <w:t xml:space="preserve">, do tipo e critério de julgamento assinalados no quadro resumo acima, do modo e nas condições fixadas no quadro de resumo inicial, a ser realizado em sessão pública por meio de comunicação via internet, através do endereço eletrônico </w:t>
      </w:r>
      <w:hyperlink r:id="rId8" w:history="1">
        <w:r>
          <w:rPr>
            <w:rStyle w:val="Hyperlink"/>
            <w:rFonts w:ascii="Cambria" w:hAnsi="Cambria" w:cstheme="minorHAnsi"/>
            <w:sz w:val="24"/>
            <w:szCs w:val="24"/>
            <w:lang w:eastAsia="pt-BR"/>
          </w:rPr>
          <w:t>www.compras.gov.br</w:t>
        </w:r>
      </w:hyperlink>
      <w:r>
        <w:rPr>
          <w:rFonts w:ascii="Cambria" w:hAnsi="Cambria" w:cstheme="minorHAnsi"/>
          <w:sz w:val="24"/>
          <w:szCs w:val="24"/>
        </w:rPr>
        <w:t xml:space="preserve"> dará início aos procedimentos de abertura e análise das propostas de preços, formalização de lances e análise e verificação dos documentos de habilitação e demais procedimentos atinentes ao processo, tudo mediante as condições estabelecidas e exigências previstas no presente Edital, na </w:t>
      </w:r>
      <w:bookmarkStart w:id="11" w:name="_Hlk147396693"/>
      <w:r>
        <w:rPr>
          <w:rFonts w:ascii="Cambria" w:hAnsi="Cambria" w:cstheme="minorHAnsi"/>
          <w:sz w:val="24"/>
          <w:szCs w:val="24"/>
        </w:rPr>
        <w:t xml:space="preserve">Lei Federal n.º 14.133, de 1º de abril de 2021, Decreto Municipal </w:t>
      </w:r>
      <w:bookmarkEnd w:id="11"/>
      <w:r>
        <w:rPr>
          <w:rFonts w:ascii="Cambria" w:hAnsi="Cambria" w:cstheme="minorHAnsi"/>
          <w:sz w:val="24"/>
          <w:szCs w:val="24"/>
        </w:rPr>
        <w:t>e nas demais normas complementares.</w:t>
      </w:r>
      <w:bookmarkEnd w:id="3"/>
      <w:bookmarkEnd w:id="4"/>
      <w:bookmarkEnd w:id="5"/>
      <w:bookmarkEnd w:id="6"/>
      <w:bookmarkEnd w:id="7"/>
      <w:bookmarkEnd w:id="8"/>
      <w:bookmarkEnd w:id="9"/>
      <w:bookmarkEnd w:id="10"/>
    </w:p>
    <w:p>
      <w:pPr>
        <w:pStyle w:val="Ttulo1"/>
        <w:numPr>
          <w:ilvl w:val="0"/>
          <w:numId w:val="0"/>
        </w:numPr>
        <w:rPr>
          <w:rFonts w:ascii="Cambria" w:hAnsi="Cambria" w:cstheme="minorHAnsi"/>
          <w:sz w:val="24"/>
          <w:szCs w:val="24"/>
        </w:rPr>
      </w:pPr>
      <w:bookmarkStart w:id="12" w:name="_Hlk102501651"/>
    </w:p>
    <w:p>
      <w:pPr>
        <w:jc w:val="both"/>
        <w:rPr>
          <w:rFonts w:ascii="Cambria" w:hAnsi="Cambria" w:cstheme="minorHAnsi"/>
          <w:sz w:val="24"/>
          <w:szCs w:val="24"/>
        </w:rPr>
      </w:pPr>
      <w:r>
        <w:rPr>
          <w:rFonts w:ascii="Cambria" w:hAnsi="Cambria" w:cstheme="minorHAnsi"/>
          <w:sz w:val="24"/>
          <w:szCs w:val="24"/>
        </w:rPr>
        <w:t>A parte geral do presente edital é subdividida em duas outras partes, conforme a seguir apresentadas:</w:t>
      </w:r>
    </w:p>
    <w:p>
      <w:pPr>
        <w:rPr>
          <w:rFonts w:ascii="Cambria" w:hAnsi="Cambria" w:cstheme="minorHAnsi"/>
          <w:b/>
          <w:sz w:val="24"/>
          <w:szCs w:val="24"/>
        </w:rPr>
      </w:pPr>
    </w:p>
    <w:p>
      <w:pPr>
        <w:rPr>
          <w:rFonts w:ascii="Cambria" w:hAnsi="Cambria" w:cstheme="minorHAnsi"/>
          <w:sz w:val="24"/>
          <w:szCs w:val="24"/>
        </w:rPr>
      </w:pPr>
      <w:r>
        <w:rPr>
          <w:rFonts w:ascii="Cambria" w:hAnsi="Cambria" w:cstheme="minorHAnsi"/>
          <w:b/>
          <w:sz w:val="24"/>
          <w:szCs w:val="24"/>
        </w:rPr>
        <w:t>SUBPARTE A – CONDIÇÕES PARA COMPETIÇÃO, JULGAMENTO E ADJUDICAÇÃO</w:t>
      </w:r>
      <w:r>
        <w:rPr>
          <w:rFonts w:ascii="Cambria" w:hAnsi="Cambria" w:cstheme="minorHAnsi"/>
          <w:sz w:val="24"/>
          <w:szCs w:val="24"/>
        </w:rPr>
        <w:t>.</w:t>
      </w:r>
    </w:p>
    <w:p>
      <w:pPr>
        <w:jc w:val="both"/>
        <w:rPr>
          <w:rFonts w:ascii="Cambria" w:hAnsi="Cambria" w:cstheme="minorHAnsi"/>
          <w:sz w:val="24"/>
          <w:szCs w:val="24"/>
        </w:rPr>
      </w:pPr>
      <w:r>
        <w:rPr>
          <w:rFonts w:ascii="Cambria" w:hAnsi="Cambria" w:cstheme="minorHAnsi"/>
          <w:sz w:val="24"/>
          <w:szCs w:val="24"/>
        </w:rPr>
        <w:t>Em que são estabelecidos os requisitos e as condições para competição, julgamento e formalização da Homologação e do contrato.</w:t>
      </w:r>
    </w:p>
    <w:p>
      <w:pPr>
        <w:rPr>
          <w:rFonts w:ascii="Cambria" w:hAnsi="Cambria" w:cstheme="minorHAnsi"/>
          <w:b/>
          <w:sz w:val="24"/>
          <w:szCs w:val="24"/>
        </w:rPr>
      </w:pPr>
    </w:p>
    <w:p>
      <w:pPr>
        <w:rPr>
          <w:rFonts w:ascii="Cambria" w:hAnsi="Cambria" w:cstheme="minorHAnsi"/>
          <w:b/>
          <w:sz w:val="24"/>
          <w:szCs w:val="24"/>
        </w:rPr>
      </w:pPr>
      <w:r>
        <w:rPr>
          <w:rFonts w:ascii="Cambria" w:hAnsi="Cambria" w:cstheme="minorHAnsi"/>
          <w:b/>
          <w:sz w:val="24"/>
          <w:szCs w:val="24"/>
        </w:rPr>
        <w:t>SUBPARTE B – ANEXOS</w:t>
      </w:r>
    </w:p>
    <w:bookmarkEnd w:id="12"/>
    <w:p>
      <w:pPr>
        <w:jc w:val="both"/>
        <w:rPr>
          <w:rFonts w:ascii="Cambria" w:hAnsi="Cambria" w:cstheme="minorHAnsi"/>
          <w:sz w:val="24"/>
          <w:szCs w:val="24"/>
        </w:rPr>
      </w:pPr>
      <w:r>
        <w:rPr>
          <w:rFonts w:ascii="Cambria" w:hAnsi="Cambria" w:cstheme="minorHAnsi"/>
          <w:sz w:val="24"/>
          <w:szCs w:val="24"/>
        </w:rPr>
        <w:t>ANEXO I –Termo de Referência e seus anexos;</w:t>
      </w:r>
    </w:p>
    <w:p>
      <w:pPr>
        <w:jc w:val="both"/>
        <w:rPr>
          <w:rFonts w:ascii="Cambria" w:hAnsi="Cambria" w:cstheme="minorHAnsi"/>
          <w:sz w:val="24"/>
          <w:szCs w:val="24"/>
        </w:rPr>
      </w:pPr>
      <w:r>
        <w:rPr>
          <w:rFonts w:ascii="Cambria" w:hAnsi="Cambria" w:cstheme="minorHAnsi"/>
          <w:sz w:val="24"/>
          <w:szCs w:val="24"/>
        </w:rPr>
        <w:t>ANEXO II – Modelo da Proposta de Preços;</w:t>
      </w:r>
    </w:p>
    <w:p>
      <w:pPr>
        <w:jc w:val="both"/>
        <w:rPr>
          <w:rFonts w:ascii="Cambria" w:hAnsi="Cambria" w:cstheme="minorHAnsi"/>
          <w:sz w:val="24"/>
          <w:szCs w:val="24"/>
        </w:rPr>
      </w:pPr>
      <w:r>
        <w:rPr>
          <w:rFonts w:ascii="Cambria" w:hAnsi="Cambria" w:cstheme="minorHAnsi"/>
          <w:sz w:val="24"/>
          <w:szCs w:val="24"/>
        </w:rPr>
        <w:t>ANEXO III – Minuta do Contrato;</w:t>
      </w:r>
    </w:p>
    <w:p>
      <w:pPr>
        <w:rPr>
          <w:rFonts w:ascii="Cambria" w:hAnsi="Cambria" w:cstheme="minorHAnsi"/>
          <w:sz w:val="24"/>
          <w:szCs w:val="24"/>
        </w:rPr>
      </w:pPr>
    </w:p>
    <w:p>
      <w:pPr>
        <w:pStyle w:val="Ttulo1"/>
        <w:ind w:left="0" w:firstLine="0"/>
        <w:rPr>
          <w:rFonts w:ascii="Cambria" w:hAnsi="Cambria" w:cstheme="minorHAnsi"/>
          <w:sz w:val="24"/>
          <w:szCs w:val="24"/>
        </w:rPr>
      </w:pPr>
      <w:bookmarkStart w:id="13" w:name="_Toc161741797"/>
      <w:bookmarkStart w:id="14" w:name="_Toc164093656"/>
      <w:bookmarkEnd w:id="1"/>
      <w:r>
        <w:rPr>
          <w:rFonts w:ascii="Cambria" w:hAnsi="Cambria" w:cstheme="minorHAnsi"/>
          <w:sz w:val="24"/>
          <w:szCs w:val="24"/>
        </w:rPr>
        <w:t>DO OBJETO</w:t>
      </w:r>
      <w:bookmarkStart w:id="15" w:name="_Hlk73689509"/>
      <w:bookmarkEnd w:id="13"/>
      <w:bookmarkEnd w:id="14"/>
    </w:p>
    <w:p>
      <w:pPr>
        <w:pStyle w:val="PargrafodaLista"/>
        <w:numPr>
          <w:ilvl w:val="1"/>
          <w:numId w:val="3"/>
        </w:numPr>
        <w:jc w:val="both"/>
        <w:rPr>
          <w:rFonts w:ascii="Cambria" w:hAnsi="Cambria" w:cstheme="minorHAnsi"/>
          <w:b/>
          <w:bCs/>
          <w:sz w:val="24"/>
          <w:szCs w:val="24"/>
        </w:rPr>
      </w:pPr>
      <w:bookmarkStart w:id="16" w:name="_Hlk102502279"/>
      <w:bookmarkEnd w:id="15"/>
      <w:r>
        <w:rPr>
          <w:rFonts w:ascii="Cambria" w:hAnsi="Cambria" w:cstheme="minorHAnsi"/>
          <w:sz w:val="24"/>
          <w:szCs w:val="24"/>
        </w:rPr>
        <w:t xml:space="preserve">A presente licitação tem como objeto a </w:t>
      </w:r>
      <w:r>
        <w:rPr>
          <w:rFonts w:ascii="Cambria" w:hAnsi="Cambria" w:cstheme="minorHAnsi"/>
          <w:b/>
          <w:bCs/>
          <w:sz w:val="24"/>
          <w:szCs w:val="24"/>
        </w:rPr>
        <w:t>CONTRATAÇÃO DE CONTRATAÇÃO DE EMPRESA ESPECIALIZADA PARA PRESTAÇÃO DE SERVIÇOS DE RECARGA DE SUPRIMENTOS DE IMPRESSÃO, MANUTENÇÃO PREVENTIVA E CORRETIVA DE IMPRESSORAS, INCLUINDO O FORNECIMENTO E SUBSTITUIÇÃO DE PEÇAS, SERVIÇOS, VISANDO ATENDER ÀS NECESSIDADES DA SECRETARIA DE EDUCAÇÃO DO MUNICÍPIO DE MIRAÍMA/CE</w:t>
      </w:r>
      <w:r>
        <w:rPr>
          <w:rFonts w:ascii="Cambria" w:hAnsi="Cambria" w:cstheme="minorHAnsi"/>
          <w:sz w:val="24"/>
          <w:szCs w:val="24"/>
        </w:rPr>
        <w:t>, tudo conforme especificações contidas no Termo de Referência, constante do anexo 01 do Edital.</w:t>
      </w:r>
      <w:bookmarkEnd w:id="16"/>
    </w:p>
    <w:p>
      <w:pPr>
        <w:tabs>
          <w:tab w:val="left" w:pos="426"/>
        </w:tabs>
        <w:jc w:val="both"/>
        <w:rPr>
          <w:rFonts w:ascii="Cambria" w:hAnsi="Cambria" w:cstheme="minorHAnsi"/>
          <w:sz w:val="24"/>
          <w:szCs w:val="24"/>
        </w:rPr>
      </w:pPr>
    </w:p>
    <w:p>
      <w:pPr>
        <w:pStyle w:val="Ttulo1"/>
        <w:ind w:left="0" w:firstLine="0"/>
        <w:rPr>
          <w:rFonts w:ascii="Cambria" w:hAnsi="Cambria" w:cstheme="minorHAnsi"/>
          <w:sz w:val="24"/>
          <w:szCs w:val="24"/>
        </w:rPr>
      </w:pPr>
      <w:bookmarkStart w:id="17" w:name="_Toc161741798"/>
      <w:bookmarkStart w:id="18" w:name="_Toc164093657"/>
      <w:r>
        <w:rPr>
          <w:rFonts w:ascii="Cambria" w:hAnsi="Cambria" w:cstheme="minorHAnsi"/>
          <w:sz w:val="24"/>
          <w:szCs w:val="24"/>
        </w:rPr>
        <w:t>DAS FASES DO PROCESSO LICITATÓRIO</w:t>
      </w:r>
      <w:bookmarkEnd w:id="17"/>
      <w:bookmarkEnd w:id="18"/>
    </w:p>
    <w:p>
      <w:pPr>
        <w:pStyle w:val="PargrafodaLista"/>
        <w:numPr>
          <w:ilvl w:val="1"/>
          <w:numId w:val="6"/>
        </w:numPr>
        <w:tabs>
          <w:tab w:val="left" w:pos="426"/>
        </w:tabs>
        <w:jc w:val="both"/>
        <w:rPr>
          <w:rFonts w:ascii="Cambria" w:hAnsi="Cambria" w:cstheme="minorHAnsi"/>
          <w:sz w:val="24"/>
          <w:szCs w:val="24"/>
        </w:rPr>
      </w:pPr>
      <w:r>
        <w:rPr>
          <w:rFonts w:ascii="Cambria" w:hAnsi="Cambria" w:cstheme="minorHAnsi"/>
          <w:sz w:val="24"/>
          <w:szCs w:val="24"/>
        </w:rPr>
        <w:t>A disputa do presente procedimento licitatório terá o seguinte trâmite, em fases distintas:</w:t>
      </w:r>
    </w:p>
    <w:p>
      <w:pPr>
        <w:pStyle w:val="PargrafodaLista"/>
        <w:numPr>
          <w:ilvl w:val="2"/>
          <w:numId w:val="6"/>
        </w:numPr>
        <w:tabs>
          <w:tab w:val="left" w:pos="426"/>
        </w:tabs>
        <w:jc w:val="both"/>
        <w:rPr>
          <w:rFonts w:ascii="Cambria" w:hAnsi="Cambria" w:cstheme="minorHAnsi"/>
          <w:sz w:val="24"/>
          <w:szCs w:val="24"/>
        </w:rPr>
      </w:pPr>
      <w:r>
        <w:rPr>
          <w:rFonts w:ascii="Cambria" w:hAnsi="Cambria" w:cstheme="minorHAnsi"/>
          <w:sz w:val="24"/>
          <w:szCs w:val="24"/>
        </w:rPr>
        <w:t>Credenciamento na plataforma Compras Gov no site www.compras.gov.br;</w:t>
      </w:r>
    </w:p>
    <w:p>
      <w:pPr>
        <w:pStyle w:val="PargrafodaLista"/>
        <w:numPr>
          <w:ilvl w:val="2"/>
          <w:numId w:val="6"/>
        </w:numPr>
        <w:tabs>
          <w:tab w:val="left" w:pos="426"/>
        </w:tabs>
        <w:jc w:val="both"/>
        <w:rPr>
          <w:rFonts w:ascii="Cambria" w:hAnsi="Cambria" w:cstheme="minorHAnsi"/>
          <w:sz w:val="24"/>
          <w:szCs w:val="24"/>
        </w:rPr>
      </w:pPr>
      <w:r>
        <w:rPr>
          <w:rFonts w:ascii="Cambria" w:hAnsi="Cambria" w:cstheme="minorHAnsi"/>
          <w:sz w:val="24"/>
          <w:szCs w:val="24"/>
        </w:rPr>
        <w:t>Recebimento das “Propostas de preços” e “Documentos de Habilitação” via sistema;</w:t>
      </w:r>
    </w:p>
    <w:p>
      <w:pPr>
        <w:pStyle w:val="PargrafodaLista"/>
        <w:numPr>
          <w:ilvl w:val="2"/>
          <w:numId w:val="6"/>
        </w:numPr>
        <w:tabs>
          <w:tab w:val="left" w:pos="426"/>
        </w:tabs>
        <w:jc w:val="both"/>
        <w:rPr>
          <w:rFonts w:ascii="Cambria" w:hAnsi="Cambria" w:cstheme="minorHAnsi"/>
          <w:sz w:val="24"/>
          <w:szCs w:val="24"/>
        </w:rPr>
      </w:pPr>
      <w:r>
        <w:rPr>
          <w:rFonts w:ascii="Cambria" w:hAnsi="Cambria" w:cstheme="minorHAnsi"/>
          <w:sz w:val="24"/>
          <w:szCs w:val="24"/>
        </w:rPr>
        <w:lastRenderedPageBreak/>
        <w:t>Abertura das Propostas de preços apresentadas, verificação e classificação inicial;</w:t>
      </w:r>
    </w:p>
    <w:p>
      <w:pPr>
        <w:pStyle w:val="PargrafodaLista"/>
        <w:numPr>
          <w:ilvl w:val="2"/>
          <w:numId w:val="6"/>
        </w:numPr>
        <w:tabs>
          <w:tab w:val="left" w:pos="426"/>
        </w:tabs>
        <w:jc w:val="both"/>
        <w:rPr>
          <w:rFonts w:ascii="Cambria" w:hAnsi="Cambria" w:cstheme="minorHAnsi"/>
          <w:sz w:val="24"/>
          <w:szCs w:val="24"/>
        </w:rPr>
      </w:pPr>
      <w:r>
        <w:rPr>
          <w:rFonts w:ascii="Cambria" w:hAnsi="Cambria" w:cstheme="minorHAnsi"/>
          <w:sz w:val="24"/>
          <w:szCs w:val="24"/>
        </w:rPr>
        <w:t>Lances, aplicação do direito de preferência e critérios de desempate;</w:t>
      </w:r>
    </w:p>
    <w:p>
      <w:pPr>
        <w:pStyle w:val="PargrafodaLista"/>
        <w:numPr>
          <w:ilvl w:val="2"/>
          <w:numId w:val="6"/>
        </w:numPr>
        <w:tabs>
          <w:tab w:val="left" w:pos="426"/>
        </w:tabs>
        <w:jc w:val="both"/>
        <w:rPr>
          <w:rFonts w:ascii="Cambria" w:hAnsi="Cambria" w:cstheme="minorHAnsi"/>
          <w:sz w:val="24"/>
          <w:szCs w:val="24"/>
        </w:rPr>
      </w:pPr>
      <w:r>
        <w:rPr>
          <w:rFonts w:ascii="Cambria" w:hAnsi="Cambria" w:cstheme="minorHAnsi"/>
          <w:sz w:val="24"/>
          <w:szCs w:val="24"/>
        </w:rPr>
        <w:t>Negociação, se for o caso;</w:t>
      </w:r>
    </w:p>
    <w:p>
      <w:pPr>
        <w:pStyle w:val="PargrafodaLista"/>
        <w:numPr>
          <w:ilvl w:val="2"/>
          <w:numId w:val="6"/>
        </w:numPr>
        <w:tabs>
          <w:tab w:val="left" w:pos="426"/>
        </w:tabs>
        <w:jc w:val="both"/>
        <w:rPr>
          <w:rFonts w:ascii="Cambria" w:hAnsi="Cambria" w:cstheme="minorHAnsi"/>
          <w:sz w:val="24"/>
          <w:szCs w:val="24"/>
        </w:rPr>
      </w:pPr>
      <w:r>
        <w:rPr>
          <w:rFonts w:ascii="Cambria" w:hAnsi="Cambria" w:cstheme="minorHAnsi"/>
          <w:sz w:val="24"/>
          <w:szCs w:val="24"/>
        </w:rPr>
        <w:t>Apresentação de propostas ajustadas, se for o caso;</w:t>
      </w:r>
    </w:p>
    <w:p>
      <w:pPr>
        <w:pStyle w:val="PargrafodaLista"/>
        <w:numPr>
          <w:ilvl w:val="2"/>
          <w:numId w:val="6"/>
        </w:numPr>
        <w:tabs>
          <w:tab w:val="left" w:pos="426"/>
        </w:tabs>
        <w:jc w:val="both"/>
        <w:rPr>
          <w:rFonts w:ascii="Cambria" w:hAnsi="Cambria" w:cstheme="minorHAnsi"/>
          <w:sz w:val="24"/>
          <w:szCs w:val="24"/>
        </w:rPr>
      </w:pPr>
      <w:r>
        <w:rPr>
          <w:rFonts w:ascii="Cambria" w:hAnsi="Cambria" w:cstheme="minorHAnsi"/>
          <w:sz w:val="24"/>
          <w:szCs w:val="24"/>
        </w:rPr>
        <w:t>Fase de aceitabilidade das propostas;</w:t>
      </w:r>
    </w:p>
    <w:p>
      <w:pPr>
        <w:pStyle w:val="PargrafodaLista"/>
        <w:numPr>
          <w:ilvl w:val="2"/>
          <w:numId w:val="6"/>
        </w:numPr>
        <w:tabs>
          <w:tab w:val="left" w:pos="426"/>
        </w:tabs>
        <w:jc w:val="both"/>
        <w:rPr>
          <w:rFonts w:ascii="Cambria" w:hAnsi="Cambria" w:cstheme="minorHAnsi"/>
          <w:sz w:val="24"/>
          <w:szCs w:val="24"/>
        </w:rPr>
      </w:pPr>
      <w:r>
        <w:rPr>
          <w:rFonts w:ascii="Cambria" w:hAnsi="Cambria" w:cstheme="minorHAnsi"/>
          <w:sz w:val="24"/>
          <w:szCs w:val="24"/>
        </w:rPr>
        <w:t>Habilitação do proponente melhor classificado;</w:t>
      </w:r>
    </w:p>
    <w:p>
      <w:pPr>
        <w:pStyle w:val="PargrafodaLista"/>
        <w:numPr>
          <w:ilvl w:val="2"/>
          <w:numId w:val="6"/>
        </w:numPr>
        <w:tabs>
          <w:tab w:val="left" w:pos="426"/>
        </w:tabs>
        <w:jc w:val="both"/>
        <w:rPr>
          <w:rFonts w:ascii="Cambria" w:hAnsi="Cambria" w:cstheme="minorHAnsi"/>
          <w:sz w:val="24"/>
          <w:szCs w:val="24"/>
        </w:rPr>
      </w:pPr>
      <w:r>
        <w:rPr>
          <w:rFonts w:ascii="Cambria" w:hAnsi="Cambria" w:cstheme="minorHAnsi"/>
          <w:sz w:val="24"/>
          <w:szCs w:val="24"/>
        </w:rPr>
        <w:t>Recursos;</w:t>
      </w:r>
    </w:p>
    <w:p>
      <w:pPr>
        <w:pStyle w:val="PargrafodaLista"/>
        <w:numPr>
          <w:ilvl w:val="2"/>
          <w:numId w:val="6"/>
        </w:numPr>
        <w:tabs>
          <w:tab w:val="left" w:pos="426"/>
        </w:tabs>
        <w:jc w:val="both"/>
        <w:rPr>
          <w:rFonts w:ascii="Cambria" w:hAnsi="Cambria" w:cstheme="minorHAnsi"/>
          <w:sz w:val="24"/>
          <w:szCs w:val="24"/>
        </w:rPr>
      </w:pPr>
      <w:r>
        <w:rPr>
          <w:rFonts w:ascii="Cambria" w:hAnsi="Cambria" w:cstheme="minorHAnsi"/>
          <w:sz w:val="24"/>
          <w:szCs w:val="24"/>
        </w:rPr>
        <w:t>Adjudicação.</w:t>
      </w:r>
    </w:p>
    <w:p>
      <w:pPr>
        <w:pStyle w:val="PargrafodaLista"/>
        <w:ind w:left="390"/>
        <w:rPr>
          <w:rFonts w:ascii="Cambria" w:hAnsi="Cambria" w:cstheme="minorHAnsi"/>
          <w:sz w:val="24"/>
          <w:szCs w:val="24"/>
        </w:rPr>
      </w:pPr>
    </w:p>
    <w:p>
      <w:pPr>
        <w:pStyle w:val="Ttulo1"/>
        <w:ind w:left="0" w:firstLine="0"/>
        <w:rPr>
          <w:rFonts w:ascii="Cambria" w:hAnsi="Cambria" w:cstheme="minorHAnsi"/>
          <w:sz w:val="24"/>
          <w:szCs w:val="24"/>
        </w:rPr>
      </w:pPr>
      <w:bookmarkStart w:id="19" w:name="_Toc161741799"/>
      <w:bookmarkStart w:id="20" w:name="_Toc164093658"/>
      <w:r>
        <w:rPr>
          <w:rFonts w:ascii="Cambria" w:hAnsi="Cambria" w:cstheme="minorHAnsi"/>
          <w:sz w:val="24"/>
          <w:szCs w:val="24"/>
        </w:rPr>
        <w:t>DAS CONDIÇÕES PARA PARTICIPAÇÃO.</w:t>
      </w:r>
      <w:bookmarkEnd w:id="19"/>
      <w:bookmarkEnd w:id="20"/>
    </w:p>
    <w:p>
      <w:pPr>
        <w:pStyle w:val="PargrafodaLista"/>
        <w:numPr>
          <w:ilvl w:val="1"/>
          <w:numId w:val="5"/>
        </w:numPr>
        <w:tabs>
          <w:tab w:val="left" w:pos="426"/>
        </w:tabs>
        <w:ind w:left="0" w:firstLine="0"/>
        <w:jc w:val="both"/>
        <w:rPr>
          <w:rFonts w:ascii="Cambria" w:hAnsi="Cambria" w:cstheme="minorHAnsi"/>
          <w:b/>
          <w:bCs/>
          <w:sz w:val="24"/>
          <w:szCs w:val="24"/>
          <w:u w:val="single"/>
        </w:rPr>
      </w:pPr>
      <w:r>
        <w:rPr>
          <w:rFonts w:ascii="Cambria" w:hAnsi="Cambria" w:cstheme="minorHAnsi"/>
          <w:b/>
          <w:bCs/>
          <w:sz w:val="24"/>
          <w:szCs w:val="24"/>
          <w:u w:val="single"/>
        </w:rPr>
        <w:t>PODERÃO PARTICIPAR DESTA LICITAÇÃO:</w:t>
      </w:r>
    </w:p>
    <w:p>
      <w:pPr>
        <w:pStyle w:val="Corpodetexto3"/>
        <w:numPr>
          <w:ilvl w:val="2"/>
          <w:numId w:val="5"/>
        </w:numPr>
        <w:tabs>
          <w:tab w:val="left" w:pos="709"/>
        </w:tabs>
        <w:ind w:left="0" w:firstLine="0"/>
        <w:jc w:val="both"/>
        <w:rPr>
          <w:rFonts w:ascii="Cambria" w:hAnsi="Cambria" w:cstheme="minorHAnsi"/>
          <w:szCs w:val="24"/>
        </w:rPr>
      </w:pPr>
      <w:r>
        <w:rPr>
          <w:rFonts w:ascii="Cambria" w:hAnsi="Cambria" w:cstheme="minorHAnsi"/>
          <w:bCs/>
          <w:szCs w:val="24"/>
        </w:rPr>
        <w:t>Quaisquer</w:t>
      </w:r>
      <w:r>
        <w:rPr>
          <w:rFonts w:ascii="Cambria" w:hAnsi="Cambria" w:cstheme="minorHAnsi"/>
          <w:szCs w:val="24"/>
        </w:rPr>
        <w:t xml:space="preserve"> interessados na forma de </w:t>
      </w:r>
      <w:r>
        <w:rPr>
          <w:rFonts w:ascii="Cambria" w:hAnsi="Cambria" w:cstheme="minorHAnsi"/>
          <w:b/>
          <w:szCs w:val="24"/>
          <w:u w:val="single"/>
        </w:rPr>
        <w:t xml:space="preserve">PESSOA JURÍDICA </w:t>
      </w:r>
      <w:r>
        <w:rPr>
          <w:rFonts w:ascii="Cambria" w:hAnsi="Cambria" w:cstheme="minorHAnsi"/>
          <w:szCs w:val="24"/>
        </w:rPr>
        <w:t>que:</w:t>
      </w:r>
    </w:p>
    <w:p>
      <w:pPr>
        <w:pStyle w:val="Corpodetexto3"/>
        <w:numPr>
          <w:ilvl w:val="3"/>
          <w:numId w:val="5"/>
        </w:numPr>
        <w:tabs>
          <w:tab w:val="left" w:pos="851"/>
        </w:tabs>
        <w:ind w:left="0" w:firstLine="0"/>
        <w:jc w:val="both"/>
        <w:rPr>
          <w:rFonts w:ascii="Cambria" w:hAnsi="Cambria" w:cstheme="minorHAnsi"/>
          <w:szCs w:val="24"/>
        </w:rPr>
      </w:pPr>
      <w:r>
        <w:rPr>
          <w:rFonts w:ascii="Cambria" w:hAnsi="Cambria" w:cstheme="minorHAnsi"/>
          <w:szCs w:val="24"/>
        </w:rPr>
        <w:t xml:space="preserve">Esteja regularmente estabelecida neste País, credenciados junto à plataforma Compras Gov no site </w:t>
      </w:r>
      <w:hyperlink r:id="rId9" w:history="1">
        <w:r>
          <w:rPr>
            <w:rStyle w:val="Hyperlink"/>
            <w:rFonts w:ascii="Cambria" w:hAnsi="Cambria" w:cstheme="minorHAnsi"/>
            <w:szCs w:val="24"/>
          </w:rPr>
          <w:t>www.compras.gov.br</w:t>
        </w:r>
      </w:hyperlink>
      <w:r>
        <w:rPr>
          <w:rFonts w:ascii="Cambria" w:hAnsi="Cambria" w:cstheme="minorHAnsi"/>
          <w:szCs w:val="24"/>
        </w:rPr>
        <w:t xml:space="preserve"> cadastrados ou não no Cadastro de Fornecedores da Prefeitura Municipal de Miraíma/CE e que satisfaçam a todas as condições da legislação em vigor, deste edital;</w:t>
      </w:r>
    </w:p>
    <w:p>
      <w:pPr>
        <w:pStyle w:val="Corpodetexto3"/>
        <w:numPr>
          <w:ilvl w:val="3"/>
          <w:numId w:val="5"/>
        </w:numPr>
        <w:tabs>
          <w:tab w:val="left" w:pos="851"/>
        </w:tabs>
        <w:ind w:left="0" w:firstLine="0"/>
        <w:jc w:val="both"/>
        <w:rPr>
          <w:rFonts w:ascii="Cambria" w:hAnsi="Cambria" w:cstheme="minorHAnsi"/>
          <w:szCs w:val="24"/>
        </w:rPr>
      </w:pPr>
      <w:r>
        <w:rPr>
          <w:rFonts w:ascii="Cambria" w:hAnsi="Cambria" w:cstheme="minorHAnsi"/>
          <w:szCs w:val="24"/>
        </w:rPr>
        <w:t>Possua objetivos sociais / ramo de atividade compatível com o objeto da licitação, devendo, ainda, cumprir a legislações próprias quanto à forma constituição do tipo de empresa.</w:t>
      </w:r>
    </w:p>
    <w:p>
      <w:pPr>
        <w:pStyle w:val="Corpodetexto3"/>
        <w:numPr>
          <w:ilvl w:val="3"/>
          <w:numId w:val="5"/>
        </w:numPr>
        <w:tabs>
          <w:tab w:val="left" w:pos="851"/>
        </w:tabs>
        <w:ind w:left="0" w:firstLine="0"/>
        <w:jc w:val="both"/>
        <w:rPr>
          <w:rFonts w:ascii="Cambria" w:hAnsi="Cambria" w:cstheme="minorHAnsi"/>
          <w:szCs w:val="24"/>
        </w:rPr>
      </w:pPr>
      <w:r>
        <w:rPr>
          <w:rFonts w:ascii="Cambria" w:hAnsi="Cambria" w:cstheme="minorHAnsi"/>
          <w:szCs w:val="24"/>
        </w:rPr>
        <w:t>Constituídas na forma de cooperativas, desde que atendidos os requisitos do art. 16 da Lei 14.133/2021 e da legislação específica correspondente, mediante declaração em campo próprio do sistema;</w:t>
      </w:r>
    </w:p>
    <w:p>
      <w:pPr>
        <w:pStyle w:val="Corpodetexto3"/>
        <w:numPr>
          <w:ilvl w:val="2"/>
          <w:numId w:val="5"/>
        </w:numPr>
        <w:tabs>
          <w:tab w:val="left" w:pos="709"/>
        </w:tabs>
        <w:ind w:left="0" w:firstLine="0"/>
        <w:jc w:val="both"/>
        <w:rPr>
          <w:rFonts w:ascii="Cambria" w:hAnsi="Cambria" w:cstheme="minorHAnsi"/>
          <w:szCs w:val="24"/>
        </w:rPr>
      </w:pPr>
      <w:r>
        <w:rPr>
          <w:rFonts w:ascii="Cambria" w:hAnsi="Cambria" w:cstheme="minorHAnsi"/>
          <w:bCs/>
          <w:szCs w:val="24"/>
        </w:rPr>
        <w:t xml:space="preserve">Tratando-se de </w:t>
      </w:r>
      <w:r>
        <w:rPr>
          <w:rFonts w:ascii="Cambria" w:hAnsi="Cambria" w:cstheme="minorHAnsi"/>
          <w:szCs w:val="24"/>
        </w:rPr>
        <w:t>Microempresa – ME ou Empresa de Pequeno Porte - EPP</w:t>
      </w:r>
      <w:r>
        <w:rPr>
          <w:rFonts w:ascii="Cambria" w:hAnsi="Cambria" w:cstheme="minorHAnsi"/>
          <w:bCs/>
          <w:szCs w:val="24"/>
        </w:rPr>
        <w:t xml:space="preserve"> e as cooperativas que se enquadrem nos termos do art. 34, da Lei Federal n° 11.488/2007, e que não se encontram em qualquer das exclusões relacionadas no § 4º do artigo 3º da Lei Complementar nº 123/2006, deverão declarar no Sistema do Compras Gov no site </w:t>
      </w:r>
      <w:hyperlink r:id="rId10" w:history="1">
        <w:r>
          <w:rPr>
            <w:rStyle w:val="Hyperlink"/>
            <w:rFonts w:ascii="Cambria" w:hAnsi="Cambria" w:cstheme="minorHAnsi"/>
            <w:bCs/>
            <w:szCs w:val="24"/>
          </w:rPr>
          <w:t>www.compras.gov.br</w:t>
        </w:r>
      </w:hyperlink>
      <w:r>
        <w:rPr>
          <w:rFonts w:ascii="Cambria" w:hAnsi="Cambria" w:cstheme="minorHAnsi"/>
          <w:bCs/>
          <w:szCs w:val="24"/>
        </w:rPr>
        <w:t xml:space="preserve"> o exercício do direito de preferência previsto em Lei.</w:t>
      </w:r>
    </w:p>
    <w:p>
      <w:pPr>
        <w:pStyle w:val="Corpodetexto3"/>
        <w:numPr>
          <w:ilvl w:val="2"/>
          <w:numId w:val="5"/>
        </w:numPr>
        <w:tabs>
          <w:tab w:val="left" w:pos="709"/>
        </w:tabs>
        <w:ind w:left="0" w:firstLine="0"/>
        <w:jc w:val="both"/>
        <w:rPr>
          <w:rFonts w:ascii="Cambria" w:hAnsi="Cambria" w:cstheme="minorHAnsi"/>
          <w:szCs w:val="24"/>
        </w:rPr>
      </w:pPr>
      <w:r>
        <w:rPr>
          <w:rFonts w:ascii="Cambria" w:hAnsi="Cambria" w:cstheme="minorHAnsi"/>
          <w:szCs w:val="24"/>
        </w:rPr>
        <w:t>A Microempresa – ME ou Empresa de Pequeno Porte - EPP, caso contratada, será a responsável por solicitar seu desenquadramento da condição de Microempresa – ME ou Empresa de Pequeno Porte - EPP quando houver ultrapassado o limite de faturamento estabelecido no art. 3˚, da Lei Complementar n.º 123/2006 em razão da presente contratação.</w:t>
      </w:r>
    </w:p>
    <w:p>
      <w:pPr>
        <w:pStyle w:val="Corpodetexto3"/>
        <w:numPr>
          <w:ilvl w:val="2"/>
          <w:numId w:val="5"/>
        </w:numPr>
        <w:tabs>
          <w:tab w:val="left" w:pos="709"/>
        </w:tabs>
        <w:ind w:left="0" w:firstLine="0"/>
        <w:jc w:val="both"/>
        <w:rPr>
          <w:rFonts w:ascii="Cambria" w:hAnsi="Cambria" w:cstheme="minorHAnsi"/>
          <w:b/>
          <w:szCs w:val="24"/>
        </w:rPr>
      </w:pPr>
      <w:r>
        <w:rPr>
          <w:rFonts w:ascii="Cambria" w:hAnsi="Cambria" w:cstheme="minorHAnsi"/>
          <w:b/>
          <w:szCs w:val="24"/>
        </w:rPr>
        <w:t>A participação na licitação implica automaticamente na aceitação integral e irretratável dos termos e conteúdo deste edital e seus ANEXOS, a observância dos preceitos legais e regulamentos em vigor, ficando, desde já, responsável pela fidelidade e legitimidade das informações e dos documentos apresentados em qualquer fase da licitação, restando excluída a responsabilidade do provedor do sistema ou do órgão ou entidade promotora da licitação por eventuais danos decorrentes de uso indevido do acesso e manuseio do plataforma, ainda que por terceiros.</w:t>
      </w:r>
    </w:p>
    <w:p>
      <w:pPr>
        <w:shd w:val="clear" w:color="auto" w:fill="FFFFFF"/>
        <w:tabs>
          <w:tab w:val="left" w:pos="284"/>
        </w:tabs>
        <w:jc w:val="both"/>
        <w:rPr>
          <w:rFonts w:ascii="Cambria" w:hAnsi="Cambria" w:cstheme="minorHAnsi"/>
          <w:b/>
          <w:sz w:val="24"/>
          <w:szCs w:val="24"/>
        </w:rPr>
      </w:pPr>
    </w:p>
    <w:p>
      <w:pPr>
        <w:pStyle w:val="PargrafodaLista"/>
        <w:numPr>
          <w:ilvl w:val="1"/>
          <w:numId w:val="5"/>
        </w:numPr>
        <w:tabs>
          <w:tab w:val="left" w:pos="426"/>
        </w:tabs>
        <w:ind w:left="0" w:firstLine="0"/>
        <w:jc w:val="both"/>
        <w:rPr>
          <w:rFonts w:ascii="Cambria" w:hAnsi="Cambria" w:cstheme="minorHAnsi"/>
          <w:b/>
          <w:bCs/>
          <w:sz w:val="24"/>
          <w:szCs w:val="24"/>
          <w:u w:val="single"/>
        </w:rPr>
      </w:pPr>
      <w:r>
        <w:rPr>
          <w:rFonts w:ascii="Cambria" w:hAnsi="Cambria" w:cstheme="minorHAnsi"/>
          <w:b/>
          <w:bCs/>
          <w:sz w:val="24"/>
          <w:szCs w:val="24"/>
          <w:u w:val="single"/>
        </w:rPr>
        <w:t>NÃO PODERÃO PARTICIPAR DESTA LICITAÇÃO:</w:t>
      </w:r>
    </w:p>
    <w:p>
      <w:pPr>
        <w:pStyle w:val="Corpodetexto3"/>
        <w:numPr>
          <w:ilvl w:val="2"/>
          <w:numId w:val="5"/>
        </w:numPr>
        <w:ind w:left="0" w:firstLine="0"/>
        <w:jc w:val="both"/>
        <w:rPr>
          <w:rFonts w:ascii="Cambria" w:hAnsi="Cambria" w:cstheme="minorHAnsi"/>
          <w:bCs/>
          <w:szCs w:val="24"/>
        </w:rPr>
      </w:pPr>
      <w:r>
        <w:rPr>
          <w:rFonts w:ascii="Cambria" w:hAnsi="Cambria" w:cstheme="minorHAnsi"/>
          <w:bCs/>
          <w:szCs w:val="24"/>
        </w:rPr>
        <w:t>O autor do anteprojeto, do projeto básico ou do projeto executivo, pessoa física ou jurídica, quando a licitação versar sobre obra, serviços ou fornecimento de bens a ele relacionados.</w:t>
      </w:r>
    </w:p>
    <w:p>
      <w:pPr>
        <w:pStyle w:val="Corpodetexto3"/>
        <w:numPr>
          <w:ilvl w:val="2"/>
          <w:numId w:val="5"/>
        </w:numPr>
        <w:ind w:left="0" w:firstLine="0"/>
        <w:jc w:val="both"/>
        <w:rPr>
          <w:rFonts w:ascii="Cambria" w:hAnsi="Cambria" w:cstheme="minorHAnsi"/>
          <w:bCs/>
          <w:szCs w:val="24"/>
        </w:rPr>
      </w:pPr>
      <w:r>
        <w:rPr>
          <w:rFonts w:ascii="Cambria" w:hAnsi="Cambria" w:cstheme="minorHAnsi"/>
          <w:bCs/>
          <w:szCs w:val="24"/>
        </w:rPr>
        <w:t xml:space="preserve">O responsável pela elaboração do projeto básico ou do projeto executivo, ou empresa da qual o autor do projeto seja dirigente, gerente, controlador, acionista ou detentor de mais de </w:t>
      </w:r>
      <w:r>
        <w:rPr>
          <w:rFonts w:ascii="Cambria" w:hAnsi="Cambria" w:cstheme="minorHAnsi"/>
          <w:bCs/>
          <w:szCs w:val="24"/>
        </w:rPr>
        <w:lastRenderedPageBreak/>
        <w:t>5% (cinco por cento) do capital com direito a voto, responsável técnico ou subcontratado, quando a licitação versar sobre obra, serviços ou fornecimento de bens a ela necessários;</w:t>
      </w:r>
    </w:p>
    <w:p>
      <w:pPr>
        <w:pStyle w:val="Corpodetexto3"/>
        <w:numPr>
          <w:ilvl w:val="2"/>
          <w:numId w:val="5"/>
        </w:numPr>
        <w:ind w:left="0" w:firstLine="0"/>
        <w:jc w:val="both"/>
        <w:rPr>
          <w:rFonts w:ascii="Cambria" w:hAnsi="Cambria" w:cstheme="minorHAnsi"/>
          <w:bCs/>
          <w:szCs w:val="24"/>
        </w:rPr>
      </w:pPr>
      <w:r>
        <w:rPr>
          <w:rFonts w:ascii="Cambria" w:hAnsi="Cambria" w:cstheme="minorHAnsi"/>
          <w:bCs/>
          <w:szCs w:val="24"/>
        </w:rPr>
        <w:t>Empresas reunidas em consórcio;</w:t>
      </w:r>
    </w:p>
    <w:p>
      <w:pPr>
        <w:pStyle w:val="Corpodetexto3"/>
        <w:numPr>
          <w:ilvl w:val="2"/>
          <w:numId w:val="5"/>
        </w:numPr>
        <w:ind w:left="0" w:firstLine="0"/>
        <w:jc w:val="both"/>
        <w:rPr>
          <w:rFonts w:ascii="Cambria" w:hAnsi="Cambria" w:cstheme="minorHAnsi"/>
          <w:bCs/>
          <w:szCs w:val="24"/>
        </w:rPr>
      </w:pPr>
      <w:r>
        <w:rPr>
          <w:rFonts w:ascii="Cambria" w:hAnsi="Cambria" w:cstheme="minorHAnsi"/>
          <w:bCs/>
          <w:szCs w:val="24"/>
        </w:rPr>
        <w:t>Organizações da Sociedade Civil de Interesse Público - OSCIP, atuando nessa condição (Acórdão nº 746/2014-TCU-Plenário);</w:t>
      </w:r>
    </w:p>
    <w:p>
      <w:pPr>
        <w:pStyle w:val="Corpodetexto3"/>
        <w:numPr>
          <w:ilvl w:val="2"/>
          <w:numId w:val="5"/>
        </w:numPr>
        <w:ind w:left="0" w:firstLine="0"/>
        <w:jc w:val="both"/>
        <w:rPr>
          <w:rFonts w:ascii="Cambria" w:hAnsi="Cambria" w:cstheme="minorHAnsi"/>
          <w:bCs/>
          <w:szCs w:val="24"/>
        </w:rPr>
      </w:pPr>
      <w:r>
        <w:rPr>
          <w:rFonts w:ascii="Cambria" w:hAnsi="Cambria" w:cstheme="minorHAnsi"/>
          <w:bCs/>
          <w:szCs w:val="24"/>
        </w:rPr>
        <w:t>Instituições sem fins lucrativos, qualificadas na forma dos arts. 5º a 7º da Lei n.º 9.637/1998, exceto se o objeto desta licitação se inserir entre as atividades previstas no contrato de gestão firmado entre o Poder Público e a organização social (Acórdão n.º 1.406/2017- TCU-Plenário).</w:t>
      </w:r>
    </w:p>
    <w:p>
      <w:pPr>
        <w:pStyle w:val="Corpodetexto3"/>
        <w:numPr>
          <w:ilvl w:val="2"/>
          <w:numId w:val="5"/>
        </w:numPr>
        <w:ind w:left="0" w:firstLine="0"/>
        <w:jc w:val="both"/>
        <w:rPr>
          <w:rFonts w:ascii="Cambria" w:hAnsi="Cambria" w:cstheme="minorHAnsi"/>
          <w:bCs/>
          <w:szCs w:val="24"/>
        </w:rPr>
      </w:pPr>
      <w:r>
        <w:rPr>
          <w:rFonts w:ascii="Cambria" w:hAnsi="Cambria" w:cstheme="minorHAnsi"/>
          <w:bCs/>
          <w:szCs w:val="24"/>
        </w:rPr>
        <w:t xml:space="preserve">Pessoa jurídica que se encontre, ao tempo da licitação, impossibilitada de participar da licitação em decorrência de sanção de suspensão temporária de participação em licitação, impedimento de contratar com a Prefeitura Municipal de Miraíma/CE, tenham sido declaradas inidôneas e estejam impedidas de licitar ou contratar com a Administração Pública Federal, Estadual e Municipal, que estejam cadastradas positivamente no </w:t>
      </w:r>
      <w:r>
        <w:rPr>
          <w:rFonts w:ascii="Cambria" w:hAnsi="Cambria" w:cstheme="minorHAnsi"/>
          <w:szCs w:val="24"/>
        </w:rPr>
        <w:t>Sistema de Cadastramento Unificado de Fornecedores (SICAF), no cadastro Consolidado de Pessoa Jurídica do TCU, no Cadastro Nacional de Empresas Inidôneas (CEIS), no Cadastro Nacional de Empresas Punidas (CNEP)</w:t>
      </w:r>
      <w:r>
        <w:rPr>
          <w:rFonts w:ascii="Cambria" w:hAnsi="Cambria" w:cstheme="minorHAnsi"/>
          <w:bCs/>
          <w:szCs w:val="24"/>
        </w:rPr>
        <w:t>.</w:t>
      </w:r>
    </w:p>
    <w:p>
      <w:pPr>
        <w:pStyle w:val="Corpodetexto3"/>
        <w:numPr>
          <w:ilvl w:val="2"/>
          <w:numId w:val="5"/>
        </w:numPr>
        <w:ind w:left="0" w:firstLine="0"/>
        <w:jc w:val="both"/>
        <w:rPr>
          <w:rFonts w:ascii="Cambria" w:hAnsi="Cambria" w:cstheme="minorHAnsi"/>
          <w:bCs/>
          <w:szCs w:val="24"/>
        </w:rPr>
      </w:pPr>
      <w:r>
        <w:rPr>
          <w:rFonts w:ascii="Cambria" w:hAnsi="Cambria" w:cstheme="minorHAnsi"/>
          <w:bCs/>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Corpodetexto3"/>
        <w:numPr>
          <w:ilvl w:val="2"/>
          <w:numId w:val="5"/>
        </w:numPr>
        <w:ind w:left="0" w:firstLine="0"/>
        <w:jc w:val="both"/>
        <w:rPr>
          <w:rFonts w:ascii="Cambria" w:hAnsi="Cambria" w:cstheme="minorHAnsi"/>
          <w:bCs/>
          <w:szCs w:val="24"/>
        </w:rPr>
      </w:pPr>
      <w:r>
        <w:rPr>
          <w:rFonts w:ascii="Cambria" w:hAnsi="Cambria" w:cstheme="minorHAnsi"/>
          <w:bCs/>
          <w:szCs w:val="24"/>
        </w:rPr>
        <w:t>Empresas controladoras, controladas ou coligadas, nos termos da Lei nº 6.404, de 15 de dezembro de 1976, concorrendo entre si;</w:t>
      </w:r>
    </w:p>
    <w:p>
      <w:pPr>
        <w:pStyle w:val="Corpodetexto3"/>
        <w:numPr>
          <w:ilvl w:val="2"/>
          <w:numId w:val="5"/>
        </w:numPr>
        <w:ind w:left="0" w:firstLine="0"/>
        <w:jc w:val="both"/>
        <w:rPr>
          <w:rFonts w:ascii="Cambria" w:hAnsi="Cambria" w:cstheme="minorHAnsi"/>
          <w:bCs/>
          <w:szCs w:val="24"/>
        </w:rPr>
      </w:pPr>
      <w:r>
        <w:rPr>
          <w:rFonts w:ascii="Cambria" w:hAnsi="Cambria" w:cstheme="minorHAnsi"/>
          <w:bCs/>
          <w:szCs w:val="24"/>
        </w:rPr>
        <w:t>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Corpodetexto3"/>
        <w:numPr>
          <w:ilvl w:val="2"/>
          <w:numId w:val="5"/>
        </w:numPr>
        <w:ind w:left="0" w:firstLine="0"/>
        <w:jc w:val="both"/>
        <w:rPr>
          <w:rFonts w:ascii="Cambria" w:hAnsi="Cambria" w:cstheme="minorHAnsi"/>
          <w:bCs/>
          <w:szCs w:val="24"/>
        </w:rPr>
      </w:pPr>
      <w:r>
        <w:rPr>
          <w:rFonts w:ascii="Cambria" w:hAnsi="Cambria" w:cstheme="minorHAnsi"/>
          <w:bCs/>
          <w:szCs w:val="24"/>
        </w:rPr>
        <w:t>Que não tenham providenciado o credenciamento junto a plataforma eletrônica de julgamento.</w:t>
      </w:r>
    </w:p>
    <w:p>
      <w:pPr>
        <w:pStyle w:val="Corpodetexto3"/>
        <w:numPr>
          <w:ilvl w:val="2"/>
          <w:numId w:val="5"/>
        </w:numPr>
        <w:ind w:left="0" w:firstLine="0"/>
        <w:jc w:val="both"/>
        <w:rPr>
          <w:rFonts w:ascii="Cambria" w:hAnsi="Cambria" w:cstheme="minorHAnsi"/>
          <w:bCs/>
          <w:szCs w:val="24"/>
        </w:rPr>
      </w:pPr>
      <w:r>
        <w:rPr>
          <w:rFonts w:ascii="Cambria" w:hAnsi="Cambria" w:cstheme="minorHAnsi"/>
          <w:bCs/>
          <w:szCs w:val="24"/>
        </w:rPr>
        <w:t>Que tenham em comum mesmo preposto ou procurador.</w:t>
      </w:r>
    </w:p>
    <w:p>
      <w:pPr>
        <w:pStyle w:val="Corpodetexto3"/>
        <w:numPr>
          <w:ilvl w:val="2"/>
          <w:numId w:val="5"/>
        </w:numPr>
        <w:ind w:left="0" w:firstLine="0"/>
        <w:jc w:val="both"/>
        <w:rPr>
          <w:rFonts w:ascii="Cambria" w:hAnsi="Cambria" w:cstheme="minorHAnsi"/>
          <w:bCs/>
          <w:szCs w:val="24"/>
        </w:rPr>
      </w:pPr>
      <w:r>
        <w:rPr>
          <w:rFonts w:ascii="Cambria" w:hAnsi="Cambria" w:cstheme="minorHAnsi"/>
          <w:bCs/>
          <w:szCs w:val="24"/>
        </w:rPr>
        <w:t>Os interessados que se encontrem em processo de falência decretada ou em processo de dissolução, de fusão, de cisão ou de incorporação.</w:t>
      </w:r>
    </w:p>
    <w:p>
      <w:pPr>
        <w:pStyle w:val="Corpodetexto3"/>
        <w:numPr>
          <w:ilvl w:val="2"/>
          <w:numId w:val="5"/>
        </w:numPr>
        <w:ind w:left="0" w:firstLine="0"/>
        <w:jc w:val="both"/>
        <w:rPr>
          <w:rFonts w:ascii="Cambria" w:hAnsi="Cambria" w:cstheme="minorHAnsi"/>
          <w:bCs/>
          <w:szCs w:val="24"/>
        </w:rPr>
      </w:pPr>
      <w:r>
        <w:rPr>
          <w:rFonts w:ascii="Cambria" w:hAnsi="Cambria" w:cstheme="minorHAnsi"/>
          <w:bCs/>
          <w:szCs w:val="24"/>
        </w:rPr>
        <w:t>É permitida a participação de empresa em condição de recuperação judicial desde que amparada em certidão emitida pela instância judicial competente, que certifique que a interessada está apta econômica e financeiramente a participar de procedimento licitatório nos termos do acórdão nº 1.201/2020 do TCU.</w:t>
      </w:r>
    </w:p>
    <w:p>
      <w:pPr>
        <w:pStyle w:val="Corpodetexto3"/>
        <w:numPr>
          <w:ilvl w:val="2"/>
          <w:numId w:val="5"/>
        </w:numPr>
        <w:ind w:left="0" w:firstLine="0"/>
        <w:jc w:val="both"/>
        <w:rPr>
          <w:rFonts w:ascii="Cambria" w:hAnsi="Cambria" w:cstheme="minorHAnsi"/>
          <w:bCs/>
          <w:szCs w:val="24"/>
        </w:rPr>
      </w:pPr>
      <w:r>
        <w:rPr>
          <w:rFonts w:ascii="Cambria" w:hAnsi="Cambria" w:cstheme="minorHAnsi"/>
          <w:bCs/>
          <w:szCs w:val="24"/>
        </w:rPr>
        <w:t>Empresas cujos dirigentes, gerentes, sócios ou componentes de seu quadro técnico sejam funcionários ou empregados públicos da Administração Pública Municipal Direta ou Indireta.</w:t>
      </w:r>
    </w:p>
    <w:p>
      <w:pPr>
        <w:pStyle w:val="Corpodetexto3"/>
        <w:numPr>
          <w:ilvl w:val="2"/>
          <w:numId w:val="5"/>
        </w:numPr>
        <w:ind w:left="0" w:firstLine="0"/>
        <w:jc w:val="both"/>
        <w:rPr>
          <w:rFonts w:ascii="Cambria" w:hAnsi="Cambria" w:cstheme="minorHAnsi"/>
          <w:bCs/>
          <w:szCs w:val="24"/>
        </w:rPr>
      </w:pPr>
      <w:r>
        <w:rPr>
          <w:rFonts w:ascii="Cambria" w:hAnsi="Cambria" w:cstheme="minorHAnsi"/>
          <w:bCs/>
          <w:szCs w:val="24"/>
        </w:rPr>
        <w:t>Empresas Estrangeiras não autorizadas a funcionar no País.</w:t>
      </w:r>
    </w:p>
    <w:p>
      <w:pPr>
        <w:pStyle w:val="Corpodetexto3"/>
        <w:numPr>
          <w:ilvl w:val="2"/>
          <w:numId w:val="5"/>
        </w:numPr>
        <w:ind w:left="0" w:firstLine="0"/>
        <w:jc w:val="both"/>
        <w:rPr>
          <w:rFonts w:ascii="Cambria" w:hAnsi="Cambria" w:cstheme="minorHAnsi"/>
          <w:bCs/>
          <w:szCs w:val="24"/>
        </w:rPr>
      </w:pPr>
      <w:r>
        <w:rPr>
          <w:rFonts w:ascii="Cambria" w:hAnsi="Cambria" w:cstheme="minorHAnsi"/>
          <w:bCs/>
          <w:szCs w:val="24"/>
        </w:rPr>
        <w:t>Empresas cujo objeto social não seja pertinente e compatível com o objeto desta licitação.</w:t>
      </w:r>
    </w:p>
    <w:p>
      <w:pPr>
        <w:pStyle w:val="Ttulo1"/>
        <w:numPr>
          <w:ilvl w:val="0"/>
          <w:numId w:val="0"/>
        </w:numPr>
        <w:rPr>
          <w:rFonts w:ascii="Cambria" w:hAnsi="Cambria" w:cstheme="minorHAnsi"/>
          <w:sz w:val="24"/>
          <w:szCs w:val="24"/>
        </w:rPr>
      </w:pPr>
    </w:p>
    <w:p>
      <w:pPr>
        <w:pStyle w:val="Ttulo1"/>
        <w:ind w:left="0" w:firstLine="0"/>
        <w:rPr>
          <w:rFonts w:ascii="Cambria" w:hAnsi="Cambria" w:cstheme="minorHAnsi"/>
          <w:sz w:val="24"/>
          <w:szCs w:val="24"/>
        </w:rPr>
      </w:pPr>
      <w:bookmarkStart w:id="21" w:name="_Toc161741800"/>
      <w:bookmarkStart w:id="22" w:name="_Toc164093659"/>
      <w:r>
        <w:rPr>
          <w:rFonts w:ascii="Cambria" w:hAnsi="Cambria" w:cstheme="minorHAnsi"/>
          <w:sz w:val="24"/>
          <w:szCs w:val="24"/>
        </w:rPr>
        <w:lastRenderedPageBreak/>
        <w:t>DISPOSIÇÕES DE OBSERVÂNCIA OBRIGATÓRIA PELO PROPONENTE NO CURSO NO PROCEDIMENTO LICITATÓRIO.</w:t>
      </w:r>
      <w:bookmarkEnd w:id="21"/>
      <w:bookmarkEnd w:id="22"/>
    </w:p>
    <w:p>
      <w:pPr>
        <w:pStyle w:val="PargrafodaLista"/>
        <w:numPr>
          <w:ilvl w:val="1"/>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O proponente interessado na participação da presente licitação fica OBRIGADO a:</w:t>
      </w:r>
    </w:p>
    <w:p>
      <w:pPr>
        <w:pStyle w:val="PargrafodaLista"/>
        <w:numPr>
          <w:ilvl w:val="0"/>
          <w:numId w:val="7"/>
        </w:numPr>
        <w:tabs>
          <w:tab w:val="left" w:pos="426"/>
        </w:tabs>
        <w:ind w:left="0" w:firstLine="0"/>
        <w:jc w:val="both"/>
        <w:rPr>
          <w:rFonts w:ascii="Cambria" w:hAnsi="Cambria" w:cstheme="minorHAnsi"/>
          <w:sz w:val="24"/>
          <w:szCs w:val="24"/>
        </w:rPr>
      </w:pPr>
      <w:r>
        <w:rPr>
          <w:rFonts w:ascii="Cambria" w:hAnsi="Cambria" w:cstheme="minorHAnsi"/>
          <w:sz w:val="24"/>
          <w:szCs w:val="24"/>
        </w:rPr>
        <w:t xml:space="preserve">Responsabilizar-se pela proposta, declarações, documentos e demais informações cadastradas ou anexadas a plataforma eletrônica “COMPRAS GOV”, no site </w:t>
      </w:r>
      <w:hyperlink r:id="rId11" w:history="1">
        <w:r>
          <w:rPr>
            <w:rStyle w:val="Hyperlink"/>
            <w:rFonts w:ascii="Cambria" w:hAnsi="Cambria" w:cstheme="minorHAnsi"/>
            <w:sz w:val="24"/>
            <w:szCs w:val="24"/>
          </w:rPr>
          <w:t>www.compras.gov.br</w:t>
        </w:r>
      </w:hyperlink>
      <w:r>
        <w:rPr>
          <w:rFonts w:ascii="Cambria" w:hAnsi="Cambria" w:cstheme="minorHAnsi"/>
          <w:sz w:val="24"/>
          <w:szCs w:val="24"/>
        </w:rPr>
        <w:t xml:space="preserve"> bem como pelos registros realizados no CHAT durante o processamento e julgamento do certame;</w:t>
      </w:r>
    </w:p>
    <w:p>
      <w:pPr>
        <w:pStyle w:val="PargrafodaLista"/>
        <w:numPr>
          <w:ilvl w:val="0"/>
          <w:numId w:val="7"/>
        </w:numPr>
        <w:tabs>
          <w:tab w:val="left" w:pos="426"/>
        </w:tabs>
        <w:ind w:left="0" w:firstLine="0"/>
        <w:jc w:val="both"/>
        <w:rPr>
          <w:rFonts w:ascii="Cambria" w:hAnsi="Cambria" w:cstheme="minorHAnsi"/>
          <w:sz w:val="24"/>
          <w:szCs w:val="24"/>
        </w:rPr>
      </w:pPr>
      <w:r>
        <w:rPr>
          <w:rFonts w:ascii="Cambria" w:hAnsi="Cambria" w:cstheme="minorHAnsi"/>
          <w:sz w:val="24"/>
          <w:szCs w:val="24"/>
        </w:rPr>
        <w:t>Realizar as declarações eletrônicas exigidas no cadastro da proposta na plataforma eletrônica “COMPRAS GOV”, sem qualquer falseamento da verdade;</w:t>
      </w:r>
    </w:p>
    <w:p>
      <w:pPr>
        <w:pStyle w:val="PargrafodaLista"/>
        <w:numPr>
          <w:ilvl w:val="0"/>
          <w:numId w:val="7"/>
        </w:numPr>
        <w:tabs>
          <w:tab w:val="left" w:pos="426"/>
        </w:tabs>
        <w:ind w:left="0" w:firstLine="0"/>
        <w:jc w:val="both"/>
        <w:rPr>
          <w:rFonts w:ascii="Cambria" w:hAnsi="Cambria" w:cstheme="minorHAnsi"/>
          <w:sz w:val="24"/>
          <w:szCs w:val="24"/>
        </w:rPr>
      </w:pPr>
      <w:r>
        <w:rPr>
          <w:rFonts w:ascii="Cambria" w:hAnsi="Cambria" w:cstheme="minorHAnsi"/>
          <w:sz w:val="24"/>
          <w:szCs w:val="24"/>
        </w:rPr>
        <w:t>Remeter, no prazo estabelecido, EXCLUSIVAMENTE VIA SISTEMA, os documentos de habilitação, a proposta e, quando necessário, os documentos complementares solicitados no presente Edital e seus ANEXOS;</w:t>
      </w:r>
    </w:p>
    <w:p>
      <w:pPr>
        <w:pStyle w:val="PargrafodaLista"/>
        <w:numPr>
          <w:ilvl w:val="0"/>
          <w:numId w:val="7"/>
        </w:numPr>
        <w:tabs>
          <w:tab w:val="left" w:pos="426"/>
        </w:tabs>
        <w:ind w:left="0" w:firstLine="0"/>
        <w:jc w:val="both"/>
        <w:rPr>
          <w:rFonts w:ascii="Cambria" w:hAnsi="Cambria" w:cstheme="minorHAnsi"/>
          <w:sz w:val="24"/>
          <w:szCs w:val="24"/>
        </w:rPr>
      </w:pPr>
      <w:r>
        <w:rPr>
          <w:rFonts w:ascii="Cambria" w:hAnsi="Cambria" w:cstheme="minorHAnsi"/>
          <w:sz w:val="24"/>
          <w:szCs w:val="24"/>
        </w:rPr>
        <w:t>Manter-se logado (online) ao “COMPRAS GOV”, acompanhando os trabalhos de processamento do certame durante toda a Sessão Pública Eletrônica, atendendo tempestivamente aos chamados do Pregoeiro via CHAT;</w:t>
      </w:r>
    </w:p>
    <w:p>
      <w:pPr>
        <w:pStyle w:val="PargrafodaLista"/>
        <w:numPr>
          <w:ilvl w:val="0"/>
          <w:numId w:val="7"/>
        </w:numPr>
        <w:tabs>
          <w:tab w:val="left" w:pos="426"/>
        </w:tabs>
        <w:ind w:left="0" w:firstLine="0"/>
        <w:jc w:val="both"/>
        <w:rPr>
          <w:rFonts w:ascii="Cambria" w:hAnsi="Cambria" w:cstheme="minorHAnsi"/>
          <w:sz w:val="24"/>
          <w:szCs w:val="24"/>
        </w:rPr>
      </w:pPr>
      <w:r>
        <w:rPr>
          <w:rFonts w:ascii="Cambria" w:hAnsi="Cambria" w:cstheme="minorHAnsi"/>
          <w:sz w:val="24"/>
          <w:szCs w:val="24"/>
        </w:rPr>
        <w:t>Cumprir integralmente a proposta comercial cadastrada ou o lance final registrado no “COMPRAS GOV”;</w:t>
      </w:r>
    </w:p>
    <w:p>
      <w:pPr>
        <w:pStyle w:val="PargrafodaLista"/>
        <w:numPr>
          <w:ilvl w:val="0"/>
          <w:numId w:val="7"/>
        </w:numPr>
        <w:tabs>
          <w:tab w:val="left" w:pos="426"/>
        </w:tabs>
        <w:ind w:left="0" w:firstLine="0"/>
        <w:jc w:val="both"/>
        <w:rPr>
          <w:rFonts w:ascii="Cambria" w:hAnsi="Cambria" w:cstheme="minorHAnsi"/>
          <w:sz w:val="24"/>
          <w:szCs w:val="24"/>
        </w:rPr>
      </w:pPr>
      <w:r>
        <w:rPr>
          <w:rFonts w:ascii="Cambria" w:hAnsi="Cambria" w:cstheme="minorHAnsi"/>
          <w:sz w:val="24"/>
          <w:szCs w:val="24"/>
        </w:rPr>
        <w:t>Não fazer declaração falsa ou não apresentar documento falso;</w:t>
      </w:r>
    </w:p>
    <w:p>
      <w:pPr>
        <w:pStyle w:val="PargrafodaLista"/>
        <w:numPr>
          <w:ilvl w:val="0"/>
          <w:numId w:val="7"/>
        </w:numPr>
        <w:tabs>
          <w:tab w:val="left" w:pos="426"/>
        </w:tabs>
        <w:ind w:left="0" w:firstLine="0"/>
        <w:jc w:val="both"/>
        <w:rPr>
          <w:rFonts w:ascii="Cambria" w:hAnsi="Cambria" w:cstheme="minorHAnsi"/>
          <w:sz w:val="24"/>
          <w:szCs w:val="24"/>
        </w:rPr>
      </w:pPr>
      <w:r>
        <w:rPr>
          <w:rFonts w:ascii="Cambria" w:hAnsi="Cambria" w:cstheme="minorHAnsi"/>
          <w:sz w:val="24"/>
          <w:szCs w:val="24"/>
        </w:rPr>
        <w:t>Não cometer fraude fiscal;</w:t>
      </w:r>
    </w:p>
    <w:p>
      <w:pPr>
        <w:pStyle w:val="PargrafodaLista"/>
        <w:numPr>
          <w:ilvl w:val="0"/>
          <w:numId w:val="7"/>
        </w:numPr>
        <w:tabs>
          <w:tab w:val="left" w:pos="426"/>
        </w:tabs>
        <w:ind w:left="0" w:firstLine="0"/>
        <w:jc w:val="both"/>
        <w:rPr>
          <w:rFonts w:ascii="Cambria" w:hAnsi="Cambria" w:cstheme="minorHAnsi"/>
          <w:sz w:val="24"/>
          <w:szCs w:val="24"/>
        </w:rPr>
      </w:pPr>
      <w:r>
        <w:rPr>
          <w:rFonts w:ascii="Cambria" w:hAnsi="Cambria" w:cstheme="minorHAnsi"/>
          <w:sz w:val="24"/>
          <w:szCs w:val="24"/>
        </w:rPr>
        <w:t>Não formar conluio ou combinar proposta com concorrente(s);</w:t>
      </w:r>
    </w:p>
    <w:p>
      <w:pPr>
        <w:pStyle w:val="PargrafodaLista"/>
        <w:numPr>
          <w:ilvl w:val="0"/>
          <w:numId w:val="7"/>
        </w:numPr>
        <w:tabs>
          <w:tab w:val="left" w:pos="426"/>
        </w:tabs>
        <w:ind w:left="0" w:firstLine="0"/>
        <w:jc w:val="both"/>
        <w:rPr>
          <w:rFonts w:ascii="Cambria" w:hAnsi="Cambria" w:cstheme="minorHAnsi"/>
          <w:sz w:val="24"/>
          <w:szCs w:val="24"/>
        </w:rPr>
      </w:pPr>
      <w:r>
        <w:rPr>
          <w:rFonts w:ascii="Cambria" w:hAnsi="Cambria" w:cstheme="minorHAnsi"/>
          <w:sz w:val="24"/>
          <w:szCs w:val="24"/>
        </w:rPr>
        <w:t>Não fraudar ou frustrar a concorrência com utilização de mecanismos eletrônicos de registro de propostas, lances e/ou documentos;</w:t>
      </w:r>
    </w:p>
    <w:p>
      <w:pPr>
        <w:pStyle w:val="PargrafodaLista"/>
        <w:numPr>
          <w:ilvl w:val="0"/>
          <w:numId w:val="7"/>
        </w:numPr>
        <w:tabs>
          <w:tab w:val="left" w:pos="426"/>
        </w:tabs>
        <w:ind w:left="0" w:firstLine="0"/>
        <w:jc w:val="both"/>
        <w:rPr>
          <w:rFonts w:ascii="Cambria" w:hAnsi="Cambria" w:cstheme="minorHAnsi"/>
          <w:sz w:val="24"/>
          <w:szCs w:val="24"/>
        </w:rPr>
      </w:pPr>
      <w:r>
        <w:rPr>
          <w:rFonts w:ascii="Cambria" w:hAnsi="Cambria" w:cstheme="minorHAnsi"/>
          <w:sz w:val="24"/>
          <w:szCs w:val="24"/>
        </w:rPr>
        <w:t>Não indicar, para fins de garantia do anonimato da fase competitiva, qualquer tipo de caractere especial identificador da empresa no cadastro da proposta eletrônica no “COMPRAS GOV”;</w:t>
      </w:r>
    </w:p>
    <w:p>
      <w:pPr>
        <w:pStyle w:val="PargrafodaLista"/>
        <w:numPr>
          <w:ilvl w:val="0"/>
          <w:numId w:val="7"/>
        </w:numPr>
        <w:tabs>
          <w:tab w:val="left" w:pos="426"/>
        </w:tabs>
        <w:ind w:left="0" w:firstLine="0"/>
        <w:jc w:val="both"/>
        <w:rPr>
          <w:rFonts w:ascii="Cambria" w:hAnsi="Cambria" w:cstheme="minorHAnsi"/>
          <w:sz w:val="24"/>
          <w:szCs w:val="24"/>
        </w:rPr>
      </w:pPr>
      <w:r>
        <w:rPr>
          <w:rFonts w:ascii="Cambria" w:hAnsi="Cambria" w:cstheme="minorHAnsi"/>
          <w:sz w:val="24"/>
          <w:szCs w:val="24"/>
        </w:rPr>
        <w:t>Manter atualizadas todas as informações da empresa no SICAF que possam facilitar a comunicação, particularmente telefones e e-mail;</w:t>
      </w:r>
    </w:p>
    <w:p>
      <w:pPr>
        <w:pStyle w:val="PargrafodaLista"/>
        <w:numPr>
          <w:ilvl w:val="0"/>
          <w:numId w:val="7"/>
        </w:numPr>
        <w:tabs>
          <w:tab w:val="left" w:pos="426"/>
        </w:tabs>
        <w:ind w:left="0" w:firstLine="0"/>
        <w:jc w:val="both"/>
        <w:rPr>
          <w:rFonts w:ascii="Cambria" w:hAnsi="Cambria" w:cstheme="minorHAnsi"/>
          <w:sz w:val="24"/>
          <w:szCs w:val="24"/>
        </w:rPr>
      </w:pPr>
      <w:r>
        <w:rPr>
          <w:rFonts w:ascii="Cambria" w:hAnsi="Cambria" w:cstheme="minorHAnsi"/>
          <w:sz w:val="24"/>
          <w:szCs w:val="24"/>
        </w:rPr>
        <w:t>Não praticar qualquer ato lesivo à Administração Pública contido no art. 5º da Lei nº 12.846/2013.</w:t>
      </w:r>
    </w:p>
    <w:p>
      <w:pPr>
        <w:pStyle w:val="PargrafodaLista"/>
        <w:numPr>
          <w:ilvl w:val="0"/>
          <w:numId w:val="7"/>
        </w:numPr>
        <w:tabs>
          <w:tab w:val="left" w:pos="426"/>
        </w:tabs>
        <w:ind w:left="0" w:firstLine="0"/>
        <w:jc w:val="both"/>
        <w:rPr>
          <w:rFonts w:ascii="Cambria" w:hAnsi="Cambria" w:cstheme="minorHAnsi"/>
          <w:sz w:val="24"/>
          <w:szCs w:val="24"/>
        </w:rPr>
      </w:pPr>
      <w:r>
        <w:rPr>
          <w:rFonts w:ascii="Cambria" w:hAnsi="Cambria" w:cstheme="minorHAnsi"/>
          <w:sz w:val="24"/>
          <w:szCs w:val="24"/>
        </w:rPr>
        <w:t>Não se enquadrar em nenhuma das proibições indicadas nas alíneas do item 3.2 deste Edital.</w:t>
      </w:r>
    </w:p>
    <w:p>
      <w:pPr>
        <w:pStyle w:val="PargrafodaLista"/>
        <w:tabs>
          <w:tab w:val="left" w:pos="284"/>
        </w:tabs>
        <w:ind w:left="0"/>
        <w:jc w:val="both"/>
        <w:rPr>
          <w:rFonts w:ascii="Cambria" w:hAnsi="Cambria" w:cstheme="minorHAnsi"/>
          <w:b/>
          <w:bCs/>
          <w:sz w:val="24"/>
          <w:szCs w:val="24"/>
        </w:rPr>
      </w:pPr>
    </w:p>
    <w:p>
      <w:pPr>
        <w:pStyle w:val="Ttulo1"/>
        <w:ind w:left="0" w:firstLine="0"/>
        <w:rPr>
          <w:rFonts w:ascii="Cambria" w:hAnsi="Cambria" w:cstheme="minorHAnsi"/>
          <w:sz w:val="24"/>
          <w:szCs w:val="24"/>
        </w:rPr>
      </w:pPr>
      <w:bookmarkStart w:id="23" w:name="_Toc161741801"/>
      <w:bookmarkStart w:id="24" w:name="_Toc164093660"/>
      <w:r>
        <w:rPr>
          <w:rFonts w:ascii="Cambria" w:hAnsi="Cambria" w:cstheme="minorHAnsi"/>
          <w:sz w:val="24"/>
          <w:szCs w:val="24"/>
        </w:rPr>
        <w:t>DO CREDENCIAMENTO DO PROPONENTE NA PLATAFORMA ELETRÔNICA.</w:t>
      </w:r>
      <w:bookmarkEnd w:id="23"/>
      <w:bookmarkEnd w:id="24"/>
    </w:p>
    <w:p>
      <w:pPr>
        <w:pStyle w:val="PargrafodaLista"/>
        <w:numPr>
          <w:ilvl w:val="1"/>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 xml:space="preserve">Os interessados aptos à participação do presente procedimento licitatório deverão providenciar o cadastramento do proponente junto ao aplicativo “COMPRAS GOV”, no site </w:t>
      </w:r>
      <w:hyperlink r:id="rId12" w:history="1">
        <w:r>
          <w:rPr>
            <w:rStyle w:val="Hyperlink"/>
            <w:rFonts w:ascii="Cambria" w:hAnsi="Cambria" w:cstheme="minorHAnsi"/>
            <w:sz w:val="24"/>
            <w:szCs w:val="24"/>
          </w:rPr>
          <w:t>www.compras.gov.br</w:t>
        </w:r>
      </w:hyperlink>
      <w:r>
        <w:rPr>
          <w:rFonts w:ascii="Cambria" w:hAnsi="Cambria" w:cstheme="minorHAnsi"/>
          <w:sz w:val="24"/>
          <w:szCs w:val="24"/>
        </w:rPr>
        <w:t xml:space="preserve"> constante da página eletrônica do Compras Gov, ou diretamente no site www.compras.gov.br.</w:t>
      </w:r>
    </w:p>
    <w:p>
      <w:pPr>
        <w:pStyle w:val="PargrafodaLista"/>
        <w:numPr>
          <w:ilvl w:val="1"/>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 xml:space="preserve">O Credenciamento junto ao Compras Gov no site </w:t>
      </w:r>
      <w:hyperlink r:id="rId13" w:history="1">
        <w:r>
          <w:rPr>
            <w:rStyle w:val="Hyperlink"/>
            <w:rFonts w:ascii="Cambria" w:hAnsi="Cambria" w:cstheme="minorHAnsi"/>
            <w:sz w:val="24"/>
            <w:szCs w:val="24"/>
          </w:rPr>
          <w:t>www.compras.gov.br</w:t>
        </w:r>
      </w:hyperlink>
      <w:r>
        <w:rPr>
          <w:rFonts w:ascii="Cambria" w:hAnsi="Cambria" w:cstheme="minorHAnsi"/>
          <w:sz w:val="24"/>
          <w:szCs w:val="24"/>
        </w:rPr>
        <w:t xml:space="preserve"> que permite a participação dos interessados na modalidade licitatória Pregão, em sua forma eletrônica.</w:t>
      </w:r>
    </w:p>
    <w:p>
      <w:pPr>
        <w:pStyle w:val="PargrafodaLista"/>
        <w:numPr>
          <w:ilvl w:val="1"/>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O credenciamento junto ao provedor do sistema implica a responsabilidade do proponente ou de seu representante legal e a presunção de sua capacidade técnica para realização das transações inerentes a este Pregão.</w:t>
      </w:r>
    </w:p>
    <w:p>
      <w:pPr>
        <w:pStyle w:val="PargrafodaLista"/>
        <w:numPr>
          <w:ilvl w:val="1"/>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 xml:space="preserve">O uso da senha de acesso pelo proponente é de sua responsabilidade exclusiva, incluindo qualquer transação efetuada diretamente ou por seu representante, não cabendo ao provedor </w:t>
      </w:r>
      <w:r>
        <w:rPr>
          <w:rFonts w:ascii="Cambria" w:hAnsi="Cambria" w:cstheme="minorHAnsi"/>
          <w:sz w:val="24"/>
          <w:szCs w:val="24"/>
        </w:rPr>
        <w:lastRenderedPageBreak/>
        <w:t>do sistema, ou ao órgão ou entidade responsável por esta licitação, responsabilidade por eventuais danos decorrentes de uso indevido da senha, ainda que por terceiros.</w:t>
      </w:r>
    </w:p>
    <w:p>
      <w:pPr>
        <w:pStyle w:val="PargrafodaLista"/>
        <w:numPr>
          <w:ilvl w:val="1"/>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A perda da senha ou a quebra de sigilo deverão ser comunicadas imediatamente ao provedor do sistema para imediato bloqueio de acesso.</w:t>
      </w:r>
    </w:p>
    <w:p>
      <w:pPr>
        <w:pStyle w:val="PargrafodaLista"/>
        <w:numPr>
          <w:ilvl w:val="1"/>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 xml:space="preserve">É de exclusiva responsabilidade do usuário o sigilo da senha, bem como seu uso em qualquer transação efetuada diretamente ou por seu representante, não cabendo à </w:t>
      </w:r>
      <w:r>
        <w:rPr>
          <w:rFonts w:ascii="Cambria" w:hAnsi="Cambria" w:cstheme="minorHAnsi"/>
          <w:b/>
          <w:bCs/>
          <w:sz w:val="24"/>
          <w:szCs w:val="24"/>
        </w:rPr>
        <w:t xml:space="preserve">PREFEITURA MUNICIPAL DE MIRAÍMA/CE </w:t>
      </w:r>
      <w:r>
        <w:rPr>
          <w:rFonts w:ascii="Cambria" w:hAnsi="Cambria" w:cstheme="minorHAnsi"/>
          <w:sz w:val="24"/>
          <w:szCs w:val="24"/>
        </w:rPr>
        <w:t xml:space="preserve">ou ao Compras Gov no site </w:t>
      </w:r>
      <w:hyperlink r:id="rId14" w:history="1">
        <w:r>
          <w:rPr>
            <w:rStyle w:val="Hyperlink"/>
            <w:rFonts w:ascii="Cambria" w:hAnsi="Cambria" w:cstheme="minorHAnsi"/>
            <w:sz w:val="24"/>
            <w:szCs w:val="24"/>
          </w:rPr>
          <w:t>www.compras.gov.br</w:t>
        </w:r>
      </w:hyperlink>
      <w:r>
        <w:rPr>
          <w:rFonts w:ascii="Cambria" w:hAnsi="Cambria" w:cstheme="minorHAnsi"/>
          <w:sz w:val="24"/>
          <w:szCs w:val="24"/>
        </w:rPr>
        <w:t xml:space="preserve"> a responsabilidade por eventuais danos decorrentes do seu uso indevido, ainda que por terceiros. </w:t>
      </w:r>
    </w:p>
    <w:p>
      <w:pPr>
        <w:pStyle w:val="PargrafodaLista"/>
        <w:numPr>
          <w:ilvl w:val="1"/>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 xml:space="preserve">O credenciamento do fornecedor e de seu representante legal na plataforma eletrônica implica a responsabilidade legal pelos atos praticados e a presunção de capacidade técnica para realização das transações inerentes ao pregão eletrônico. </w:t>
      </w:r>
    </w:p>
    <w:p>
      <w:pPr>
        <w:tabs>
          <w:tab w:val="left" w:pos="2184"/>
        </w:tabs>
        <w:jc w:val="both"/>
        <w:rPr>
          <w:rFonts w:ascii="Cambria" w:hAnsi="Cambria" w:cstheme="minorHAnsi"/>
          <w:sz w:val="24"/>
          <w:szCs w:val="24"/>
        </w:rPr>
      </w:pPr>
      <w:r>
        <w:rPr>
          <w:rFonts w:ascii="Cambria" w:hAnsi="Cambria" w:cstheme="minorHAnsi"/>
          <w:sz w:val="24"/>
          <w:szCs w:val="24"/>
        </w:rPr>
        <w:tab/>
      </w:r>
    </w:p>
    <w:p>
      <w:pPr>
        <w:pStyle w:val="Ttulo1"/>
        <w:ind w:left="0" w:firstLine="0"/>
        <w:rPr>
          <w:rFonts w:ascii="Cambria" w:hAnsi="Cambria" w:cstheme="minorHAnsi"/>
          <w:sz w:val="24"/>
          <w:szCs w:val="24"/>
        </w:rPr>
      </w:pPr>
      <w:bookmarkStart w:id="25" w:name="_Toc161741802"/>
      <w:bookmarkStart w:id="26" w:name="_Toc164093661"/>
      <w:r>
        <w:rPr>
          <w:rFonts w:ascii="Cambria" w:hAnsi="Cambria" w:cstheme="minorHAnsi"/>
          <w:sz w:val="24"/>
          <w:szCs w:val="24"/>
        </w:rPr>
        <w:t>PARÂMETROS DOS DOCUMENTOS A SEREM APRESENTADOS NO PROCEDIMENTO.</w:t>
      </w:r>
      <w:bookmarkEnd w:id="25"/>
      <w:bookmarkEnd w:id="26"/>
    </w:p>
    <w:p>
      <w:pPr>
        <w:pStyle w:val="PargrafodaLista"/>
        <w:numPr>
          <w:ilvl w:val="1"/>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Obrigatoriamente, os documentos deverão ser da mesma sede e igualdade de CNPJ, ou seja, se da matriz, todos da matriz, se de alguma filial, todos da mesma filial, com exceção dos documentos que são válidos tanto para matriz como para todas as filiais. O contrato será celebrado com a sede que apresentou a documentação.</w:t>
      </w:r>
    </w:p>
    <w:p>
      <w:pPr>
        <w:pStyle w:val="PargrafodaLista"/>
        <w:numPr>
          <w:ilvl w:val="1"/>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 xml:space="preserve">Cada proponente deverá apresentar através do sistema Compras Gov no site </w:t>
      </w:r>
      <w:hyperlink r:id="rId15" w:history="1">
        <w:r>
          <w:rPr>
            <w:rStyle w:val="Hyperlink"/>
            <w:rFonts w:ascii="Cambria" w:hAnsi="Cambria" w:cstheme="minorHAnsi"/>
            <w:sz w:val="24"/>
            <w:szCs w:val="24"/>
          </w:rPr>
          <w:t>www.compras.gov.br</w:t>
        </w:r>
      </w:hyperlink>
      <w:r>
        <w:rPr>
          <w:rFonts w:ascii="Cambria" w:hAnsi="Cambria" w:cstheme="minorHAnsi"/>
          <w:sz w:val="24"/>
          <w:szCs w:val="24"/>
        </w:rPr>
        <w:t xml:space="preserve"> os documentos exigidos inicialmente por meio da internet, sendo:</w:t>
      </w:r>
    </w:p>
    <w:p>
      <w:pPr>
        <w:pStyle w:val="WW-NormalWeb"/>
        <w:keepLines/>
        <w:widowControl w:val="0"/>
        <w:spacing w:before="0" w:after="0"/>
        <w:ind w:firstLine="708"/>
        <w:jc w:val="both"/>
        <w:rPr>
          <w:rFonts w:ascii="Cambria" w:hAnsi="Cambria" w:cstheme="minorHAnsi"/>
          <w:szCs w:val="24"/>
        </w:rPr>
      </w:pPr>
      <w:r>
        <w:rPr>
          <w:rFonts w:ascii="Cambria" w:hAnsi="Cambria" w:cstheme="minorHAnsi"/>
          <w:szCs w:val="24"/>
        </w:rPr>
        <w:t>a) a Proposta de Preços e seus ANEXOS;</w:t>
      </w:r>
    </w:p>
    <w:p>
      <w:pPr>
        <w:pStyle w:val="WW-NormalWeb"/>
        <w:keepLines/>
        <w:widowControl w:val="0"/>
        <w:spacing w:before="0" w:after="0"/>
        <w:ind w:left="708"/>
        <w:jc w:val="both"/>
        <w:rPr>
          <w:rFonts w:ascii="Cambria" w:hAnsi="Cambria" w:cstheme="minorHAnsi"/>
          <w:szCs w:val="24"/>
        </w:rPr>
      </w:pPr>
      <w:r>
        <w:rPr>
          <w:rFonts w:ascii="Cambria" w:hAnsi="Cambria" w:cstheme="minorHAnsi"/>
          <w:szCs w:val="24"/>
        </w:rPr>
        <w:t>b) os Documentos de Habilitação;</w:t>
      </w:r>
    </w:p>
    <w:p>
      <w:pPr>
        <w:pStyle w:val="PargrafodaLista"/>
        <w:numPr>
          <w:ilvl w:val="1"/>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Os documentos, em formato de arquivo, a serem enviados via internet somente poderão ter as extensões *.doc, *.xls, ou *.pdf.</w:t>
      </w:r>
    </w:p>
    <w:p>
      <w:pPr>
        <w:pStyle w:val="PargrafodaLista"/>
        <w:numPr>
          <w:ilvl w:val="1"/>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Os documentos comprovadamente apresentados em formato corrompido ou incompatível com a versão sistêmica operada, poderão ser solicitados mediante nova anexação, por parte do Pregoeiro, ficando a critério deste(a), de acordo com o caso concreto, realizar tal solicitação, a fim de que se façam as elucidações necessárias ao pleno julgamento.</w:t>
      </w:r>
    </w:p>
    <w:p>
      <w:pPr>
        <w:pStyle w:val="PargrafodaLista"/>
        <w:numPr>
          <w:ilvl w:val="1"/>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É dever da proponente atualizar previamente os documentos constantes no SICAF para que estejam vigentes na data da abertura da sessão pública, ou encaminhar, em conjunto com a apresentação da proposta, a respectiva documentação atualizada.</w:t>
      </w:r>
    </w:p>
    <w:p>
      <w:pPr>
        <w:jc w:val="right"/>
        <w:rPr>
          <w:rFonts w:ascii="Cambria" w:hAnsi="Cambria" w:cstheme="minorHAnsi"/>
          <w:b/>
          <w:bCs/>
          <w:color w:val="FF0000"/>
          <w:sz w:val="24"/>
          <w:szCs w:val="24"/>
        </w:rPr>
      </w:pPr>
    </w:p>
    <w:p>
      <w:pPr>
        <w:pStyle w:val="Ttulo1"/>
        <w:ind w:left="0" w:firstLine="0"/>
        <w:rPr>
          <w:rFonts w:ascii="Cambria" w:hAnsi="Cambria" w:cstheme="minorHAnsi"/>
          <w:sz w:val="24"/>
          <w:szCs w:val="24"/>
        </w:rPr>
      </w:pPr>
      <w:bookmarkStart w:id="27" w:name="_Toc161741803"/>
      <w:bookmarkStart w:id="28" w:name="_Toc164093662"/>
      <w:r>
        <w:rPr>
          <w:rFonts w:ascii="Cambria" w:hAnsi="Cambria" w:cstheme="minorHAnsi"/>
          <w:sz w:val="24"/>
          <w:szCs w:val="24"/>
        </w:rPr>
        <w:t>DA PROPOSTA DE PREÇOS</w:t>
      </w:r>
      <w:bookmarkEnd w:id="27"/>
      <w:bookmarkEnd w:id="28"/>
    </w:p>
    <w:p>
      <w:pPr>
        <w:pStyle w:val="PargrafodaLista"/>
        <w:numPr>
          <w:ilvl w:val="1"/>
          <w:numId w:val="5"/>
        </w:numPr>
        <w:tabs>
          <w:tab w:val="left" w:pos="426"/>
        </w:tabs>
        <w:ind w:left="0" w:firstLine="0"/>
        <w:jc w:val="both"/>
        <w:rPr>
          <w:rFonts w:ascii="Cambria" w:hAnsi="Cambria" w:cstheme="minorHAnsi"/>
          <w:b/>
          <w:bCs/>
          <w:sz w:val="24"/>
          <w:szCs w:val="24"/>
          <w:u w:val="single"/>
        </w:rPr>
      </w:pPr>
      <w:r>
        <w:rPr>
          <w:rFonts w:ascii="Cambria" w:hAnsi="Cambria" w:cstheme="minorHAnsi"/>
          <w:b/>
          <w:bCs/>
          <w:sz w:val="24"/>
          <w:szCs w:val="24"/>
          <w:u w:val="single"/>
        </w:rPr>
        <w:t>FORMALIDADES QUANTO A PROPOSTA DE PREÇOS:</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 xml:space="preserve">A Proposta de Preços, sob pena de desclassificação, deverá ser elaborada conforme o anexo 02 deste instrumento, em papel timbrado da proponente, estando, ainda, devidamente assinada e sendo enviada exclusivamente por meio da plataforma do Compras Gov no site </w:t>
      </w:r>
      <w:hyperlink r:id="rId16" w:history="1">
        <w:r>
          <w:rPr>
            <w:rStyle w:val="Hyperlink"/>
            <w:rFonts w:ascii="Cambria" w:hAnsi="Cambria" w:cstheme="minorHAnsi"/>
            <w:sz w:val="24"/>
            <w:szCs w:val="24"/>
          </w:rPr>
          <w:t>www.compras.gov.br</w:t>
        </w:r>
      </w:hyperlink>
      <w:r>
        <w:rPr>
          <w:rFonts w:ascii="Cambria" w:hAnsi="Cambria" w:cstheme="minorHAnsi"/>
          <w:sz w:val="24"/>
          <w:szCs w:val="24"/>
        </w:rPr>
        <w:t xml:space="preserve">  caracterizando o item proposto no campo discriminado, em conformidade com o Termo de Referência – anexo 01 do Edital.</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A proposta de preços (inicial) servirá para fins de verificação das condições da proposta, bem como, para realização de comparativo ante a proposta de preços final (consolidada), o qual, encontrada divergência entre as mesmas, salvo quanto a redução dos preços em virtude dos lances ou de melhor oferta, a proponente será desclassificada.</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 xml:space="preserve">É de inteira responsabilidade da proponente a inclusão dos arquivos os quais possuam compatibilidade com os sistemas operacionais convencionais. Caso a proposta de preços seja </w:t>
      </w:r>
      <w:r>
        <w:rPr>
          <w:rFonts w:ascii="Cambria" w:hAnsi="Cambria" w:cstheme="minorHAnsi"/>
          <w:sz w:val="24"/>
          <w:szCs w:val="24"/>
        </w:rPr>
        <w:lastRenderedPageBreak/>
        <w:t>apresentada em arquivo corrompido, observando as disposições excetuadas no item 6.4 deste edital, a proponente será desclassificada.</w:t>
      </w:r>
    </w:p>
    <w:p>
      <w:pPr>
        <w:jc w:val="both"/>
        <w:rPr>
          <w:rFonts w:ascii="Cambria" w:hAnsi="Cambria" w:cstheme="minorHAnsi"/>
          <w:bCs/>
          <w:sz w:val="24"/>
          <w:szCs w:val="24"/>
        </w:rPr>
      </w:pPr>
    </w:p>
    <w:p>
      <w:pPr>
        <w:pStyle w:val="PargrafodaLista"/>
        <w:numPr>
          <w:ilvl w:val="1"/>
          <w:numId w:val="5"/>
        </w:numPr>
        <w:tabs>
          <w:tab w:val="left" w:pos="426"/>
        </w:tabs>
        <w:ind w:left="0" w:firstLine="0"/>
        <w:jc w:val="both"/>
        <w:rPr>
          <w:rFonts w:ascii="Cambria" w:hAnsi="Cambria" w:cstheme="minorHAnsi"/>
          <w:b/>
          <w:bCs/>
          <w:sz w:val="24"/>
          <w:szCs w:val="24"/>
          <w:u w:val="single"/>
        </w:rPr>
      </w:pPr>
      <w:r>
        <w:rPr>
          <w:rFonts w:ascii="Cambria" w:hAnsi="Cambria" w:cstheme="minorHAnsi"/>
          <w:b/>
          <w:bCs/>
          <w:sz w:val="24"/>
          <w:szCs w:val="24"/>
          <w:u w:val="single"/>
        </w:rPr>
        <w:t>DO CADASTRAMENTO DA PROPOSTA DE PREÇOS:</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 xml:space="preserve">A participação neste certame licitatório dar-se-á pela utilização da senha de acesso individual a plataforma eletrônica Compras Gov no site </w:t>
      </w:r>
      <w:hyperlink r:id="rId17" w:history="1">
        <w:r>
          <w:rPr>
            <w:rStyle w:val="Hyperlink"/>
            <w:rFonts w:ascii="Cambria" w:hAnsi="Cambria" w:cstheme="minorHAnsi"/>
            <w:sz w:val="24"/>
            <w:szCs w:val="24"/>
          </w:rPr>
          <w:t>www.compras.gov.br</w:t>
        </w:r>
      </w:hyperlink>
      <w:r>
        <w:rPr>
          <w:rFonts w:ascii="Cambria" w:hAnsi="Cambria" w:cstheme="minorHAnsi"/>
          <w:sz w:val="24"/>
          <w:szCs w:val="24"/>
        </w:rPr>
        <w:t xml:space="preserve"> de cada proponente, mediante prévio cadastro da proposta até a data e horário previstos para abertura da sessão do certame.</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 xml:space="preserve">Nos termos do art. 63, da Lei 14.133/2021, o proponente DEVERÁ, OBRIGATÓRIA E PREVIAMENTE, registrar sua proposta de preços (inicial) na plataforma do Compras Gov no site </w:t>
      </w:r>
      <w:hyperlink r:id="rId18" w:history="1">
        <w:r>
          <w:rPr>
            <w:rStyle w:val="Hyperlink"/>
            <w:rFonts w:ascii="Cambria" w:hAnsi="Cambria" w:cstheme="minorHAnsi"/>
            <w:sz w:val="24"/>
            <w:szCs w:val="24"/>
          </w:rPr>
          <w:t>www.compras.gov.br</w:t>
        </w:r>
      </w:hyperlink>
      <w:r>
        <w:rPr>
          <w:rFonts w:ascii="Cambria" w:hAnsi="Cambria" w:cstheme="minorHAnsi"/>
          <w:sz w:val="24"/>
          <w:szCs w:val="24"/>
        </w:rPr>
        <w:t xml:space="preserve"> como também ANEXAR o arquivo correspondente a proposta (juntamente com os documentos e informações técnicas de comprovação da qualidade do objeto proposto, casos sejam exigidos no Termo de Referência), até a data e horário marcados para abertura da sessão.</w:t>
      </w:r>
    </w:p>
    <w:p>
      <w:pPr>
        <w:pStyle w:val="PargrafodaLista"/>
        <w:tabs>
          <w:tab w:val="left" w:pos="426"/>
        </w:tabs>
        <w:ind w:left="0"/>
        <w:jc w:val="both"/>
        <w:rPr>
          <w:rFonts w:ascii="Cambria" w:hAnsi="Cambria" w:cstheme="minorHAnsi"/>
          <w:b/>
          <w:bCs/>
          <w:sz w:val="24"/>
          <w:szCs w:val="24"/>
        </w:rPr>
      </w:pPr>
    </w:p>
    <w:p>
      <w:pPr>
        <w:pStyle w:val="PargrafodaLista"/>
        <w:pBdr>
          <w:top w:val="dashSmallGap" w:sz="12" w:space="1" w:color="FF0000"/>
          <w:left w:val="dashSmallGap" w:sz="12" w:space="4" w:color="FF0000"/>
          <w:bottom w:val="dashSmallGap" w:sz="12" w:space="1" w:color="FF0000"/>
          <w:right w:val="dashSmallGap" w:sz="12" w:space="4" w:color="FF0000"/>
        </w:pBdr>
        <w:tabs>
          <w:tab w:val="left" w:pos="426"/>
        </w:tabs>
        <w:ind w:left="142"/>
        <w:jc w:val="both"/>
        <w:rPr>
          <w:rFonts w:ascii="Cambria" w:hAnsi="Cambria" w:cstheme="minorHAnsi"/>
          <w:sz w:val="24"/>
          <w:szCs w:val="24"/>
        </w:rPr>
      </w:pPr>
      <w:r>
        <w:rPr>
          <w:rFonts w:ascii="Cambria" w:hAnsi="Cambria" w:cstheme="minorHAnsi"/>
          <w:b/>
          <w:bCs/>
          <w:sz w:val="24"/>
          <w:szCs w:val="24"/>
        </w:rPr>
        <w:t>OBSERVAÇÃO:</w:t>
      </w:r>
      <w:r>
        <w:rPr>
          <w:rFonts w:ascii="Cambria" w:hAnsi="Cambria" w:cstheme="minorHAnsi"/>
          <w:sz w:val="24"/>
          <w:szCs w:val="24"/>
        </w:rPr>
        <w:t xml:space="preserve"> RECOMENDA-SE que também seja anexada no Compras Gov no site </w:t>
      </w:r>
      <w:hyperlink r:id="rId19" w:history="1">
        <w:r>
          <w:rPr>
            <w:rStyle w:val="Hyperlink"/>
            <w:rFonts w:ascii="Cambria" w:hAnsi="Cambria" w:cstheme="minorHAnsi"/>
            <w:sz w:val="24"/>
            <w:szCs w:val="24"/>
          </w:rPr>
          <w:t>www.compras.gov.br</w:t>
        </w:r>
      </w:hyperlink>
      <w:r>
        <w:rPr>
          <w:rFonts w:ascii="Cambria" w:hAnsi="Cambria" w:cstheme="minorHAnsi"/>
          <w:sz w:val="24"/>
          <w:szCs w:val="24"/>
        </w:rPr>
        <w:t xml:space="preserve"> juntamente com a proposta de preços inicial (em campo específico), todos os DOCUMENTOS DE HABILITAÇÃO (em campo específico) exigidos para fins de julgamento do certame, observadas as exigências contidas no edital.</w:t>
      </w:r>
    </w:p>
    <w:p>
      <w:pPr>
        <w:pStyle w:val="PargrafodaLista"/>
        <w:tabs>
          <w:tab w:val="left" w:pos="426"/>
        </w:tabs>
        <w:ind w:left="0"/>
        <w:jc w:val="both"/>
        <w:rPr>
          <w:rFonts w:ascii="Cambria" w:hAnsi="Cambria" w:cstheme="minorHAnsi"/>
          <w:sz w:val="24"/>
          <w:szCs w:val="24"/>
        </w:rPr>
      </w:pPr>
    </w:p>
    <w:p>
      <w:pPr>
        <w:pStyle w:val="PargrafodaLista"/>
        <w:numPr>
          <w:ilvl w:val="1"/>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Serão disponibilizados para acesso público os documentos que compõem a proposta dos licitantes convocados para apresentação de propostas, após a fase de envio de lances.</w:t>
      </w:r>
    </w:p>
    <w:p>
      <w:pPr>
        <w:pStyle w:val="PargrafodaLista"/>
        <w:numPr>
          <w:ilvl w:val="1"/>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 xml:space="preserve">Até a abertura da sessão do certame, o proponente poderá livremente retirar, alterar ou substituir a proposta anteriormente cadastrada, como também excluir ou anexar novos documentos relativos à proposta comercial e/ou habilitação. </w:t>
      </w:r>
      <w:r>
        <w:rPr>
          <w:rFonts w:ascii="Cambria" w:hAnsi="Cambria" w:cstheme="minorHAnsi"/>
          <w:b/>
          <w:bCs/>
          <w:sz w:val="24"/>
          <w:szCs w:val="24"/>
          <w:u w:val="single"/>
        </w:rPr>
        <w:t>Depois da data e horário de abertura da Sessão, não caberá qualquer alteração ou desistência de proposta.</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Nenhuma proposta comercial ou documentação de habilitação poderá ser encaminhada ao Pregoeiro por e-mail ou outro meio de comunicação antes do encerramento da etapa competitiva, sob pena de quebra do anonimato da competição e consequente desclassificação.</w:t>
      </w:r>
    </w:p>
    <w:p>
      <w:pPr>
        <w:pStyle w:val="PargrafodaLista"/>
        <w:numPr>
          <w:ilvl w:val="1"/>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Na etapa de apresentação da proposta e dos documentos de habilitação pelo proponente, observado o disposto no caput, não haverá ordem de classificação das propostas, o que ocorrerá somente após os procedimentos de julgamento.</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O proponente deverá consignar diretamente no Sistema, na forma nele disposta, além da descrição sucinta do objeto a ser fornecido, inclusive com indicação de marca, modelo e fabricação (se for o caso), a quantidade e os valores unitários e total do objeto proposto, já inclusas todas as despesas inerentes, tais como: impostos, taxas, fretes, seguros e demais encargos, de qualquer natureza, que se façam indispensáveis à perfeita execução do objeto.</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 xml:space="preserve">Não poderá ser incluído no registro da proposta eletrônica diretamente no Compras Gov no site </w:t>
      </w:r>
      <w:hyperlink r:id="rId20" w:history="1">
        <w:r>
          <w:rPr>
            <w:rStyle w:val="Hyperlink"/>
            <w:rFonts w:ascii="Cambria" w:hAnsi="Cambria" w:cstheme="minorHAnsi"/>
            <w:sz w:val="24"/>
            <w:szCs w:val="24"/>
          </w:rPr>
          <w:t>www.compras.gov.br</w:t>
        </w:r>
      </w:hyperlink>
      <w:r>
        <w:rPr>
          <w:rFonts w:ascii="Cambria" w:hAnsi="Cambria" w:cstheme="minorHAnsi"/>
          <w:sz w:val="24"/>
          <w:szCs w:val="24"/>
        </w:rPr>
        <w:t xml:space="preserve"> qualquer nome, texto, elemento ou caractere que possa identificar o proponente, sob pena de DESCLASSIFICAÇÃO da proposta e aplicação de SANÇÃO ADMINISTRATIVA.</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No momento do cadastro da proposta comercial deverá o proponente anexar a respectiva proposta de preços (inicial) e a documentação de habilitação, se for o caso, bem como, realizar as seguintes DECLARAÇÕES ELETRÔNICAS, disponíveis no próprio Sistema (conforme o caso):</w:t>
      </w:r>
    </w:p>
    <w:p>
      <w:pPr>
        <w:pStyle w:val="PargrafodaLista"/>
        <w:numPr>
          <w:ilvl w:val="2"/>
          <w:numId w:val="8"/>
        </w:numPr>
        <w:tabs>
          <w:tab w:val="left" w:pos="426"/>
          <w:tab w:val="left" w:pos="851"/>
        </w:tabs>
        <w:ind w:left="567" w:firstLine="0"/>
        <w:jc w:val="both"/>
        <w:rPr>
          <w:rFonts w:ascii="Cambria" w:hAnsi="Cambria" w:cstheme="minorHAnsi"/>
          <w:sz w:val="24"/>
          <w:szCs w:val="24"/>
        </w:rPr>
      </w:pPr>
      <w:r>
        <w:rPr>
          <w:rFonts w:ascii="Cambria" w:hAnsi="Cambria" w:cstheme="minorHAnsi"/>
          <w:sz w:val="24"/>
          <w:szCs w:val="24"/>
        </w:rPr>
        <w:lastRenderedPageBreak/>
        <w:t>Que não emprega menor de 18 anos em trabalho noturno, perigoso ou insalubre, e não emprega menor de 16 anos, salvo, a partir de 14 anos, na condição de aprendiz, nos termos do inciso XXXIII, do art. 7º da Constituição Federal;</w:t>
      </w:r>
    </w:p>
    <w:p>
      <w:pPr>
        <w:pStyle w:val="PargrafodaLista"/>
        <w:numPr>
          <w:ilvl w:val="2"/>
          <w:numId w:val="8"/>
        </w:numPr>
        <w:tabs>
          <w:tab w:val="left" w:pos="426"/>
          <w:tab w:val="left" w:pos="851"/>
        </w:tabs>
        <w:ind w:left="567" w:firstLine="0"/>
        <w:jc w:val="both"/>
        <w:rPr>
          <w:rFonts w:ascii="Cambria" w:hAnsi="Cambria" w:cstheme="minorHAnsi"/>
          <w:sz w:val="24"/>
          <w:szCs w:val="24"/>
        </w:rPr>
      </w:pPr>
      <w:r>
        <w:rPr>
          <w:rFonts w:ascii="Cambria" w:hAnsi="Cambria" w:cstheme="minorHAnsi"/>
          <w:sz w:val="24"/>
          <w:szCs w:val="24"/>
        </w:rPr>
        <w:t>Que não possui, em sua cadeia produtiva, empregados executando trabalho degradante ou forçado, observando o disposto nos incisos III e IV do art. 1º e no inciso III do art. 5º da Constituição Federal;</w:t>
      </w:r>
    </w:p>
    <w:p>
      <w:pPr>
        <w:pStyle w:val="PargrafodaLista"/>
        <w:numPr>
          <w:ilvl w:val="2"/>
          <w:numId w:val="8"/>
        </w:numPr>
        <w:tabs>
          <w:tab w:val="left" w:pos="426"/>
          <w:tab w:val="left" w:pos="851"/>
        </w:tabs>
        <w:ind w:left="567" w:firstLine="0"/>
        <w:jc w:val="both"/>
        <w:rPr>
          <w:rFonts w:ascii="Cambria" w:hAnsi="Cambria" w:cstheme="minorHAnsi"/>
          <w:sz w:val="24"/>
          <w:szCs w:val="24"/>
        </w:rPr>
      </w:pPr>
      <w:r>
        <w:rPr>
          <w:rFonts w:ascii="Cambria" w:hAnsi="Cambria" w:cstheme="minorHAnsi"/>
          <w:sz w:val="24"/>
          <w:szCs w:val="24"/>
        </w:rPr>
        <w:t>Que está ciente e concorda com as condições contidas no Edital e seus ANEXOS, bem como de que cumpre plenamente os requisitos de habilitação definidos no edital;</w:t>
      </w:r>
    </w:p>
    <w:p>
      <w:pPr>
        <w:pStyle w:val="PargrafodaLista"/>
        <w:numPr>
          <w:ilvl w:val="2"/>
          <w:numId w:val="8"/>
        </w:numPr>
        <w:tabs>
          <w:tab w:val="left" w:pos="426"/>
          <w:tab w:val="left" w:pos="851"/>
        </w:tabs>
        <w:ind w:left="567" w:firstLine="0"/>
        <w:jc w:val="both"/>
        <w:rPr>
          <w:rFonts w:ascii="Cambria" w:hAnsi="Cambria" w:cstheme="minorHAnsi"/>
          <w:sz w:val="24"/>
          <w:szCs w:val="24"/>
        </w:rPr>
      </w:pPr>
      <w:r>
        <w:rPr>
          <w:rFonts w:ascii="Cambria" w:hAnsi="Cambria" w:cstheme="minorHAnsi"/>
          <w:sz w:val="24"/>
          <w:szCs w:val="24"/>
        </w:rPr>
        <w:t>Que até a presente data inexistem fatos impeditivos para a habilitação no presente processo licitatório, ciente da obrigatoriedade de declarar ocorrências posteriores;</w:t>
      </w:r>
    </w:p>
    <w:p>
      <w:pPr>
        <w:pStyle w:val="PargrafodaLista"/>
        <w:numPr>
          <w:ilvl w:val="2"/>
          <w:numId w:val="8"/>
        </w:numPr>
        <w:tabs>
          <w:tab w:val="left" w:pos="426"/>
          <w:tab w:val="left" w:pos="851"/>
        </w:tabs>
        <w:ind w:left="567" w:firstLine="0"/>
        <w:jc w:val="both"/>
        <w:rPr>
          <w:rFonts w:ascii="Cambria" w:hAnsi="Cambria" w:cstheme="minorHAnsi"/>
          <w:sz w:val="24"/>
          <w:szCs w:val="24"/>
        </w:rPr>
      </w:pPr>
      <w:r>
        <w:rPr>
          <w:rFonts w:ascii="Cambria" w:hAnsi="Cambria" w:cstheme="minorHAnsi"/>
          <w:sz w:val="24"/>
          <w:szCs w:val="24"/>
        </w:rPr>
        <w:t>Que a proposta foi elaborada de forma independente, nos termos da Instrução Normativa SLTI/MP nº 2, de 16 de setembro de 2009;</w:t>
      </w:r>
    </w:p>
    <w:p>
      <w:pPr>
        <w:pStyle w:val="PargrafodaLista"/>
        <w:numPr>
          <w:ilvl w:val="2"/>
          <w:numId w:val="8"/>
        </w:numPr>
        <w:tabs>
          <w:tab w:val="left" w:pos="426"/>
          <w:tab w:val="left" w:pos="851"/>
        </w:tabs>
        <w:ind w:left="567" w:firstLine="0"/>
        <w:jc w:val="both"/>
        <w:rPr>
          <w:rFonts w:ascii="Cambria" w:hAnsi="Cambria" w:cstheme="minorHAnsi"/>
          <w:sz w:val="24"/>
          <w:szCs w:val="24"/>
        </w:rPr>
      </w:pPr>
      <w:r>
        <w:rPr>
          <w:rFonts w:ascii="Cambria" w:hAnsi="Cambria" w:cstheme="minorHAnsi"/>
          <w:sz w:val="24"/>
          <w:szCs w:val="24"/>
        </w:rPr>
        <w:t>No caso de Microempresa - ME, Empresas de Pequeno Porte - EPP e equiparadas, que atende aos requisitos do art. 3º da LC nº 123/2006, para fazer jus aos benefícios previstos nessa lei;</w:t>
      </w:r>
    </w:p>
    <w:p>
      <w:pPr>
        <w:pStyle w:val="PargrafodaLista"/>
        <w:numPr>
          <w:ilvl w:val="2"/>
          <w:numId w:val="8"/>
        </w:numPr>
        <w:tabs>
          <w:tab w:val="left" w:pos="426"/>
          <w:tab w:val="left" w:pos="851"/>
        </w:tabs>
        <w:ind w:left="567" w:firstLine="0"/>
        <w:jc w:val="both"/>
        <w:rPr>
          <w:rFonts w:ascii="Cambria" w:hAnsi="Cambria" w:cstheme="minorHAnsi"/>
          <w:sz w:val="24"/>
          <w:szCs w:val="24"/>
        </w:rPr>
      </w:pPr>
      <w:r>
        <w:rPr>
          <w:rFonts w:ascii="Cambria" w:hAnsi="Cambria" w:cstheme="minorHAnsi"/>
          <w:sz w:val="24"/>
          <w:szCs w:val="24"/>
        </w:rPr>
        <w:t>Que o objeto será executado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As declarações mencionadas no subitem anterior serão visualizadas pelo Pregoeiro na fase de habilitação, quando serão anexadas aos autos do processo de contratação juntamente com a documentação de habilitação, não havendo necessidade de envio dos arquivos pelo Sistema Compras Gov no site www.compras.gov.br.</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A falsidade relativa a qualquer das declarações exigidas no item anterior sujeitará o proponente às sanções administrativas previstas no item 15 deste Edital, sem prejuízo das consequências civis e penais que seu ato ensejar.</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 xml:space="preserve">Para cadastramento da proposta no sistema Compras Gov no site </w:t>
      </w:r>
      <w:hyperlink r:id="rId21" w:history="1">
        <w:r>
          <w:rPr>
            <w:rStyle w:val="Hyperlink"/>
            <w:rFonts w:ascii="Cambria" w:hAnsi="Cambria" w:cstheme="minorHAnsi"/>
            <w:sz w:val="24"/>
            <w:szCs w:val="24"/>
          </w:rPr>
          <w:t>www.compras.gov.br</w:t>
        </w:r>
      </w:hyperlink>
      <w:r>
        <w:rPr>
          <w:rFonts w:ascii="Cambria" w:hAnsi="Cambria" w:cstheme="minorHAnsi"/>
          <w:sz w:val="24"/>
          <w:szCs w:val="24"/>
        </w:rPr>
        <w:t xml:space="preserve"> o licitante deverá se ater ao critério de julgamento definido ao presente certame, conforme definição no quadro de resumo constante do início deste edital, podendo ser:  </w:t>
      </w:r>
    </w:p>
    <w:p>
      <w:pPr>
        <w:pStyle w:val="PargrafodaLista"/>
        <w:numPr>
          <w:ilvl w:val="3"/>
          <w:numId w:val="5"/>
        </w:numPr>
        <w:tabs>
          <w:tab w:val="left" w:pos="426"/>
          <w:tab w:val="left" w:pos="851"/>
        </w:tabs>
        <w:ind w:left="0" w:firstLine="0"/>
        <w:jc w:val="both"/>
        <w:rPr>
          <w:rFonts w:ascii="Cambria" w:hAnsi="Cambria" w:cstheme="minorHAnsi"/>
          <w:sz w:val="24"/>
          <w:szCs w:val="24"/>
        </w:rPr>
      </w:pPr>
      <w:r>
        <w:rPr>
          <w:rFonts w:ascii="Cambria" w:hAnsi="Cambria" w:cstheme="minorHAnsi"/>
          <w:sz w:val="24"/>
          <w:szCs w:val="24"/>
        </w:rPr>
        <w:t xml:space="preserve">Para cadastramento da proposta e para a oferta dos lances no sistema Compras Gov no site </w:t>
      </w:r>
      <w:hyperlink r:id="rId22" w:history="1">
        <w:r>
          <w:rPr>
            <w:rStyle w:val="Hyperlink"/>
            <w:rFonts w:ascii="Cambria" w:hAnsi="Cambria" w:cstheme="minorHAnsi"/>
            <w:sz w:val="24"/>
            <w:szCs w:val="24"/>
          </w:rPr>
          <w:t>www.compras.gov.br</w:t>
        </w:r>
      </w:hyperlink>
      <w:r>
        <w:rPr>
          <w:rFonts w:ascii="Cambria" w:hAnsi="Cambria" w:cstheme="minorHAnsi"/>
          <w:sz w:val="24"/>
          <w:szCs w:val="24"/>
        </w:rPr>
        <w:t xml:space="preserve"> o licitante deverá se ater ao critério de julgamento definido ao presente certame, conforme definição no quadro de resumo constante do início deste edital, podendo o julgamento ser realizado </w:t>
      </w:r>
      <w:r>
        <w:rPr>
          <w:rFonts w:ascii="Cambria" w:hAnsi="Cambria" w:cstheme="minorHAnsi"/>
          <w:b/>
          <w:bCs/>
          <w:sz w:val="24"/>
          <w:szCs w:val="24"/>
        </w:rPr>
        <w:t xml:space="preserve">POR LOTE </w:t>
      </w:r>
      <w:r>
        <w:rPr>
          <w:rFonts w:ascii="Cambria" w:hAnsi="Cambria" w:cstheme="minorHAnsi"/>
          <w:sz w:val="24"/>
          <w:szCs w:val="24"/>
        </w:rPr>
        <w:t xml:space="preserve">ou </w:t>
      </w:r>
      <w:r>
        <w:rPr>
          <w:rFonts w:ascii="Cambria" w:hAnsi="Cambria" w:cstheme="minorHAnsi"/>
          <w:b/>
          <w:bCs/>
          <w:sz w:val="24"/>
          <w:szCs w:val="24"/>
        </w:rPr>
        <w:t>POR ITEM</w:t>
      </w:r>
      <w:r>
        <w:rPr>
          <w:rFonts w:ascii="Cambria" w:hAnsi="Cambria" w:cstheme="minorHAnsi"/>
          <w:sz w:val="24"/>
          <w:szCs w:val="24"/>
        </w:rPr>
        <w:t xml:space="preserve">. Em ambos os casos, ao oferecer proposta e ofertar os lances no sistema Compras Gov no site </w:t>
      </w:r>
      <w:hyperlink r:id="rId23" w:history="1">
        <w:r>
          <w:rPr>
            <w:rStyle w:val="Hyperlink"/>
            <w:rFonts w:ascii="Cambria" w:hAnsi="Cambria" w:cstheme="minorHAnsi"/>
            <w:sz w:val="24"/>
            <w:szCs w:val="24"/>
          </w:rPr>
          <w:t>www.compras.gov.br</w:t>
        </w:r>
      </w:hyperlink>
      <w:r>
        <w:rPr>
          <w:rFonts w:ascii="Cambria" w:hAnsi="Cambria" w:cstheme="minorHAnsi"/>
          <w:sz w:val="24"/>
          <w:szCs w:val="24"/>
        </w:rPr>
        <w:t xml:space="preserve"> o valor a ser observado pelo fornecedor refere-se ao </w:t>
      </w:r>
      <w:r>
        <w:rPr>
          <w:rFonts w:ascii="Cambria" w:hAnsi="Cambria" w:cstheme="minorHAnsi"/>
          <w:b/>
          <w:sz w:val="24"/>
          <w:szCs w:val="24"/>
        </w:rPr>
        <w:t>MENOR PREÇO GLOBAL</w:t>
      </w:r>
      <w:r>
        <w:rPr>
          <w:rFonts w:ascii="Cambria" w:hAnsi="Cambria" w:cstheme="minorHAnsi"/>
          <w:sz w:val="24"/>
          <w:szCs w:val="24"/>
        </w:rPr>
        <w:t>.</w:t>
      </w:r>
    </w:p>
    <w:p>
      <w:pPr>
        <w:pStyle w:val="PargrafodaLista"/>
        <w:numPr>
          <w:ilvl w:val="2"/>
          <w:numId w:val="5"/>
        </w:numPr>
        <w:tabs>
          <w:tab w:val="left" w:pos="851"/>
        </w:tabs>
        <w:ind w:left="0" w:firstLine="0"/>
        <w:jc w:val="both"/>
        <w:rPr>
          <w:rFonts w:ascii="Cambria" w:hAnsi="Cambria" w:cstheme="minorHAnsi"/>
          <w:sz w:val="24"/>
          <w:szCs w:val="24"/>
        </w:rPr>
      </w:pPr>
      <w:r>
        <w:rPr>
          <w:rFonts w:ascii="Cambria" w:eastAsia="Calibri" w:hAnsi="Cambria" w:cstheme="minorHAnsi"/>
          <w:color w:val="000000"/>
          <w:sz w:val="24"/>
          <w:szCs w:val="24"/>
        </w:rPr>
        <w:t xml:space="preserve">Desde que disponibilizada a funcionalidade no sistema, o licitante poderá, quando do cadastramento da proposta, parametrizar o seu valor final mínimo e obedecerá às seguintes regras: </w:t>
      </w:r>
    </w:p>
    <w:p>
      <w:pPr>
        <w:pStyle w:val="PargrafodaLista"/>
        <w:numPr>
          <w:ilvl w:val="3"/>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 xml:space="preserve">O intervalo mínimo de diferença de valores ou percentuais entre os lances, que incidirá tanto em relação aos lances intermediários quanto em relação à proposta que cobrir a melhor oferta deverá ser de 0,2% (dois décimos por cento) do valor estimado da contratação conforme anexo 01 deste Edital; e </w:t>
      </w:r>
    </w:p>
    <w:p>
      <w:pPr>
        <w:pStyle w:val="PargrafodaLista"/>
        <w:numPr>
          <w:ilvl w:val="3"/>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Os lances serão de envio automático pelo sistema, respeitado o valor final mínimo estabelecido e o intervalo de que trata o subitem anterior.</w:t>
      </w:r>
    </w:p>
    <w:p>
      <w:pPr>
        <w:pStyle w:val="PargrafodaLista"/>
        <w:tabs>
          <w:tab w:val="left" w:pos="426"/>
        </w:tabs>
        <w:ind w:left="0"/>
        <w:jc w:val="both"/>
        <w:rPr>
          <w:rFonts w:ascii="Cambria" w:hAnsi="Cambria" w:cstheme="minorHAnsi"/>
          <w:sz w:val="24"/>
          <w:szCs w:val="24"/>
        </w:rPr>
      </w:pPr>
    </w:p>
    <w:p>
      <w:pPr>
        <w:pStyle w:val="PargrafodaLista"/>
        <w:numPr>
          <w:ilvl w:val="1"/>
          <w:numId w:val="5"/>
        </w:numPr>
        <w:tabs>
          <w:tab w:val="left" w:pos="426"/>
        </w:tabs>
        <w:ind w:left="0" w:firstLine="0"/>
        <w:jc w:val="both"/>
        <w:rPr>
          <w:rFonts w:ascii="Cambria" w:hAnsi="Cambria" w:cstheme="minorHAnsi"/>
          <w:b/>
          <w:bCs/>
          <w:sz w:val="24"/>
          <w:szCs w:val="24"/>
          <w:u w:val="single"/>
        </w:rPr>
      </w:pPr>
      <w:r>
        <w:rPr>
          <w:rFonts w:ascii="Cambria" w:hAnsi="Cambria" w:cstheme="minorHAnsi"/>
          <w:b/>
          <w:bCs/>
          <w:sz w:val="24"/>
          <w:szCs w:val="24"/>
          <w:u w:val="single"/>
        </w:rPr>
        <w:lastRenderedPageBreak/>
        <w:t>PRECAUÇÕES E COMPROMISSOS QUANTO A PROPOSTA DE PREÇOS:</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 xml:space="preserve">O registro de proposta de preços eletrônica, </w:t>
      </w:r>
      <w:r>
        <w:rPr>
          <w:rFonts w:ascii="Cambria" w:hAnsi="Cambria" w:cstheme="minorHAnsi"/>
          <w:b/>
          <w:bCs/>
          <w:sz w:val="24"/>
          <w:szCs w:val="24"/>
        </w:rPr>
        <w:t>seja ela inicial ou final</w:t>
      </w:r>
      <w:r>
        <w:rPr>
          <w:rFonts w:ascii="Cambria" w:hAnsi="Cambria" w:cstheme="minorHAnsi"/>
          <w:sz w:val="24"/>
          <w:szCs w:val="24"/>
        </w:rPr>
        <w:t>, vinculada ao presente certame implica, independente de declaração expressa, na(o):</w:t>
      </w:r>
    </w:p>
    <w:p>
      <w:pPr>
        <w:pStyle w:val="PargrafodaLista"/>
        <w:numPr>
          <w:ilvl w:val="2"/>
          <w:numId w:val="9"/>
        </w:numPr>
        <w:tabs>
          <w:tab w:val="left" w:pos="426"/>
          <w:tab w:val="left" w:pos="851"/>
        </w:tabs>
        <w:ind w:hanging="513"/>
        <w:jc w:val="both"/>
        <w:rPr>
          <w:rFonts w:ascii="Cambria" w:hAnsi="Cambria" w:cstheme="minorHAnsi"/>
          <w:sz w:val="24"/>
          <w:szCs w:val="24"/>
        </w:rPr>
      </w:pPr>
      <w:r>
        <w:rPr>
          <w:rFonts w:ascii="Cambria" w:hAnsi="Cambria" w:cstheme="minorHAnsi"/>
          <w:sz w:val="24"/>
          <w:szCs w:val="24"/>
        </w:rPr>
        <w:t>Aceitação de todas as condições estabelecidas neste Edital e seus ANEXOS;</w:t>
      </w:r>
    </w:p>
    <w:p>
      <w:pPr>
        <w:pStyle w:val="PargrafodaLista"/>
        <w:numPr>
          <w:ilvl w:val="2"/>
          <w:numId w:val="9"/>
        </w:numPr>
        <w:tabs>
          <w:tab w:val="left" w:pos="426"/>
          <w:tab w:val="left" w:pos="851"/>
        </w:tabs>
        <w:ind w:left="567" w:firstLine="0"/>
        <w:jc w:val="both"/>
        <w:rPr>
          <w:rFonts w:ascii="Cambria" w:hAnsi="Cambria" w:cstheme="minorHAnsi"/>
          <w:sz w:val="24"/>
          <w:szCs w:val="24"/>
        </w:rPr>
      </w:pPr>
      <w:r>
        <w:rPr>
          <w:rFonts w:ascii="Cambria" w:hAnsi="Cambria" w:cstheme="minorHAnsi"/>
          <w:sz w:val="24"/>
          <w:szCs w:val="24"/>
        </w:rPr>
        <w:t xml:space="preserve">Garantia do cumprimento da proposta por prazo mínimo de </w:t>
      </w:r>
      <w:r>
        <w:rPr>
          <w:rFonts w:ascii="Cambria" w:hAnsi="Cambria" w:cstheme="minorHAnsi"/>
          <w:b/>
          <w:bCs/>
          <w:sz w:val="24"/>
          <w:szCs w:val="24"/>
        </w:rPr>
        <w:t>60 (sessenta) dias</w:t>
      </w:r>
      <w:r>
        <w:rPr>
          <w:rFonts w:ascii="Cambria" w:hAnsi="Cambria" w:cstheme="minorHAnsi"/>
          <w:sz w:val="24"/>
          <w:szCs w:val="24"/>
        </w:rPr>
        <w:t>, contados da data de abertura da sessão pública estabelecida no preâmbulo deste Edital;</w:t>
      </w:r>
    </w:p>
    <w:p>
      <w:pPr>
        <w:pStyle w:val="PargrafodaLista"/>
        <w:numPr>
          <w:ilvl w:val="2"/>
          <w:numId w:val="9"/>
        </w:numPr>
        <w:tabs>
          <w:tab w:val="left" w:pos="426"/>
          <w:tab w:val="left" w:pos="851"/>
        </w:tabs>
        <w:ind w:left="567" w:firstLine="0"/>
        <w:jc w:val="both"/>
        <w:rPr>
          <w:rFonts w:ascii="Cambria" w:hAnsi="Cambria" w:cstheme="minorHAnsi"/>
          <w:sz w:val="24"/>
          <w:szCs w:val="24"/>
        </w:rPr>
      </w:pPr>
      <w:r>
        <w:rPr>
          <w:rFonts w:ascii="Cambria" w:hAnsi="Cambria" w:cstheme="minorHAnsi"/>
          <w:sz w:val="24"/>
          <w:szCs w:val="24"/>
        </w:rPr>
        <w:t>Compromisso do proponente para com o rigoroso cumprimento das especificações técnicas, prazos e condições fixadas no Termo de Referência (anexo 01);</w:t>
      </w:r>
    </w:p>
    <w:p>
      <w:pPr>
        <w:pStyle w:val="PargrafodaLista"/>
        <w:numPr>
          <w:ilvl w:val="2"/>
          <w:numId w:val="9"/>
        </w:numPr>
        <w:tabs>
          <w:tab w:val="left" w:pos="426"/>
          <w:tab w:val="left" w:pos="851"/>
        </w:tabs>
        <w:ind w:left="567" w:firstLine="0"/>
        <w:jc w:val="both"/>
        <w:rPr>
          <w:rFonts w:ascii="Cambria" w:hAnsi="Cambria" w:cstheme="minorHAnsi"/>
          <w:sz w:val="24"/>
          <w:szCs w:val="24"/>
        </w:rPr>
      </w:pPr>
      <w:r>
        <w:rPr>
          <w:rFonts w:ascii="Cambria" w:hAnsi="Cambria" w:cstheme="minorHAnsi"/>
          <w:sz w:val="24"/>
          <w:szCs w:val="24"/>
        </w:rPr>
        <w:t>Impossibilidade de posterior desistência ou declínio de proposta a partir da data da sessão eletrônica inicial, ou de requerer qualquer acréscimo de custos que deveria ter sido incluído na sua proposta;</w:t>
      </w:r>
    </w:p>
    <w:p>
      <w:pPr>
        <w:pStyle w:val="PargrafodaLista"/>
        <w:numPr>
          <w:ilvl w:val="2"/>
          <w:numId w:val="9"/>
        </w:numPr>
        <w:tabs>
          <w:tab w:val="left" w:pos="426"/>
          <w:tab w:val="left" w:pos="851"/>
        </w:tabs>
        <w:ind w:left="567" w:firstLine="0"/>
        <w:jc w:val="both"/>
        <w:rPr>
          <w:rFonts w:ascii="Cambria" w:hAnsi="Cambria" w:cstheme="minorHAnsi"/>
          <w:sz w:val="24"/>
          <w:szCs w:val="24"/>
        </w:rPr>
      </w:pPr>
      <w:r>
        <w:rPr>
          <w:rFonts w:ascii="Cambria" w:hAnsi="Cambria" w:cstheme="minorHAnsi"/>
          <w:sz w:val="24"/>
          <w:szCs w:val="24"/>
        </w:rPr>
        <w:t>Submissão às sanções administrativas previstas neste Edital e seus ANEXOS;</w:t>
      </w:r>
    </w:p>
    <w:p>
      <w:pPr>
        <w:pStyle w:val="PargrafodaLista"/>
        <w:numPr>
          <w:ilvl w:val="2"/>
          <w:numId w:val="9"/>
        </w:numPr>
        <w:tabs>
          <w:tab w:val="left" w:pos="426"/>
          <w:tab w:val="left" w:pos="851"/>
        </w:tabs>
        <w:ind w:left="567" w:firstLine="0"/>
        <w:jc w:val="both"/>
        <w:rPr>
          <w:rFonts w:ascii="Cambria" w:hAnsi="Cambria" w:cstheme="minorHAnsi"/>
          <w:sz w:val="24"/>
          <w:szCs w:val="24"/>
        </w:rPr>
      </w:pPr>
      <w:r>
        <w:rPr>
          <w:rFonts w:ascii="Cambria" w:hAnsi="Cambria" w:cstheme="minorHAnsi"/>
          <w:sz w:val="24"/>
          <w:szCs w:val="24"/>
        </w:rPr>
        <w:t>Obrigação de participar ativamente do certame (ON-LINE) até a sua conclusão, encaminhando toda a documentação solicitada e/ou prestando as informações e esclarecimentos solicitados pelo Pregoeiro.</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 xml:space="preserve">No momento do cadastro ou registro da proposta comercial eletrônica, o proponente deverá atentar para o fato de que, por razões de limitações técnicas das especificações dos materiais constantes no catálogo do Compras Gov no site </w:t>
      </w:r>
      <w:hyperlink r:id="rId24" w:history="1">
        <w:r>
          <w:rPr>
            <w:rStyle w:val="Hyperlink"/>
            <w:rFonts w:ascii="Cambria" w:hAnsi="Cambria" w:cstheme="minorHAnsi"/>
            <w:sz w:val="24"/>
            <w:szCs w:val="24"/>
          </w:rPr>
          <w:t>www.compras.gov.br</w:t>
        </w:r>
      </w:hyperlink>
      <w:r>
        <w:rPr>
          <w:rFonts w:ascii="Cambria" w:hAnsi="Cambria" w:cstheme="minorHAnsi"/>
          <w:sz w:val="24"/>
          <w:szCs w:val="24"/>
        </w:rPr>
        <w:t xml:space="preserve"> as ESPECIFICAÇÕES TÉCNICAS COMPLETAS DO OBJETO LICITADO, para efeito de formulação da proposta de preços, serão sempre aquelas constantes do Termo de Referência (anexo 01).</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Após a abertura da sessão pública eletrônica do presente certame, não cabe em nenhuma hipótese desistência de proposta.</w:t>
      </w:r>
    </w:p>
    <w:p>
      <w:pPr>
        <w:tabs>
          <w:tab w:val="left" w:pos="426"/>
        </w:tabs>
        <w:jc w:val="both"/>
        <w:rPr>
          <w:rFonts w:ascii="Cambria" w:hAnsi="Cambria" w:cstheme="minorHAnsi"/>
          <w:sz w:val="24"/>
          <w:szCs w:val="24"/>
        </w:rPr>
      </w:pPr>
    </w:p>
    <w:p>
      <w:pPr>
        <w:pStyle w:val="PargrafodaLista"/>
        <w:numPr>
          <w:ilvl w:val="1"/>
          <w:numId w:val="5"/>
        </w:numPr>
        <w:tabs>
          <w:tab w:val="left" w:pos="426"/>
        </w:tabs>
        <w:ind w:left="0" w:firstLine="0"/>
        <w:jc w:val="both"/>
        <w:rPr>
          <w:rFonts w:ascii="Cambria" w:hAnsi="Cambria" w:cstheme="minorHAnsi"/>
          <w:b/>
          <w:bCs/>
          <w:sz w:val="24"/>
          <w:szCs w:val="24"/>
          <w:u w:val="single"/>
        </w:rPr>
      </w:pPr>
      <w:r>
        <w:rPr>
          <w:rFonts w:ascii="Cambria" w:hAnsi="Cambria" w:cstheme="minorHAnsi"/>
          <w:b/>
          <w:bCs/>
          <w:sz w:val="24"/>
          <w:szCs w:val="24"/>
          <w:u w:val="single"/>
        </w:rPr>
        <w:t>DOS PREÇOS, CLASSIFICAÇÃO E CRITÉRIO DE JULGAMENTO DA PROPOSTA:</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O encaminhamento de Proposta de Preços pressupõe o pleno conhecimento e atendimento às exigências de habilitação previstas neste Edital. O proponente será responsável por todas as transações que forem efetuadas em seu nome na plataforma eletrônica, assumindo como firmes e verdadeiras sua Proposta de Preços e lances.</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Não será possível a oferta de quantidades inferiores às previstas no Termo de Referência anexo ao edital.</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Os preços constantes da Proposta de Preços do proponente deverão conter apenas 02 (duas) casas decimais após a vírgula em seus valores globais e unitários, inclusive em propostas de adequação, quando for o caso.</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Os preços propostos deverão estar de acordo com o quantitativo do bem cotado.</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Os preços propostos e a proposta de preços em si são de exclusiva responsabilidade do proponente, não lhe assistindo o direito de pleitear qualquer alteração dos mesmos, sob alegação de erro, omissão ou qualquer outro argumento não previsto em lei, salvo nos casos nitidamente verificados e atestados pelo Pregoeiro que, dentro da situação concreta, poderá agir no sentido de prospectar maior celeridade e eficiência ao julgamento.</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Ocorrendo discrepância entre o preço unitário e total, prevalecerá aquele lançado no sistema e utilizado para classificação das Propostas de Preços, devendo o Pregoeiro proceder às correções necessárias.</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Havendo discrepância entre a especificação dos itens do edital e seus ANEXOS e aquelas lançadas no sistema, prevalecerão as especificações do edital e seus ANEXOS.</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lastRenderedPageBreak/>
        <w:t xml:space="preserve">Na elaboração da Proposta, o preço cotado poderá ultrapassar o valor de referência da presente licitação discriminado no MAPA DE PREÇOS presente nos autos do processo em epígrafe. Entretanto, na disputa de lances, o lance final deverá atingir preço inferior ou igual ao limite máximo constante do Mapa de Preços; o preço unitário dos itens que compõem o lote deverá ser inferior ou igual àquele limite. </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Caso não seja realizada a disputa de lances, a proponente que cotou na proposta o menor preço deverá reduzi-lo a um valor inferior ou igual ao limite máximo acima especificado. Nesse contexto, estando a proposta inicial inferior ao estimado, a mesma deverá ser considerada.</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 xml:space="preserve">O critério de julgamento do processo licitatório será aquele constante da parte específica do procedimento. </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Não serão adjudicadas Propostas de Preços com valores superiores à média dos preços unitários e totais estimados para a contratação, os quais se encontram definidos no Termo de Referência.</w:t>
      </w:r>
    </w:p>
    <w:p>
      <w:pPr>
        <w:pStyle w:val="PargrafodaLista"/>
        <w:numPr>
          <w:ilvl w:val="2"/>
          <w:numId w:val="5"/>
        </w:numPr>
        <w:tabs>
          <w:tab w:val="left" w:pos="426"/>
          <w:tab w:val="left" w:pos="709"/>
        </w:tabs>
        <w:ind w:left="0" w:firstLine="0"/>
        <w:jc w:val="both"/>
        <w:rPr>
          <w:rFonts w:ascii="Cambria" w:hAnsi="Cambria" w:cstheme="minorHAnsi"/>
          <w:sz w:val="24"/>
          <w:szCs w:val="24"/>
        </w:rPr>
      </w:pPr>
      <w:r>
        <w:rPr>
          <w:rFonts w:ascii="Cambria" w:hAnsi="Cambria" w:cstheme="minorHAnsi"/>
          <w:sz w:val="24"/>
          <w:szCs w:val="24"/>
        </w:rPr>
        <w:t>O prazo de validade da Proposta de Preços não pode ser inferior a 60 (sessenta) dias consecutivos da sessão de abertura desta licitação. Caso a proponente não informe em sua Proposta de Preços o prazo de validade, será considerado aquele definido neste Edital.</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O Pregoeiro visando o atendimento a ampliação do princípio da competitividade, bem como, munido da utilização do formalismo moderado poderá, dentro da análise de conveniência e oportunidade e ante ao caso concreto, realizar o saneamento de eventuais erros ou divergências constantes das propostas de preços, seja ela inicial ou a final (adequada).</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Será desclassificada a Proposta de Preços apresentada em desconformidade com este item.</w:t>
      </w:r>
    </w:p>
    <w:p>
      <w:pPr>
        <w:pStyle w:val="WW-NormalWeb"/>
        <w:keepLines/>
        <w:widowControl w:val="0"/>
        <w:spacing w:before="0" w:after="0"/>
        <w:jc w:val="both"/>
        <w:rPr>
          <w:rFonts w:ascii="Cambria" w:hAnsi="Cambria" w:cstheme="minorHAnsi"/>
          <w:szCs w:val="24"/>
        </w:rPr>
      </w:pPr>
    </w:p>
    <w:p>
      <w:pPr>
        <w:pStyle w:val="Ttulo1"/>
        <w:ind w:left="0" w:firstLine="0"/>
        <w:rPr>
          <w:rFonts w:ascii="Cambria" w:hAnsi="Cambria" w:cstheme="minorHAnsi"/>
          <w:sz w:val="24"/>
          <w:szCs w:val="24"/>
        </w:rPr>
      </w:pPr>
      <w:bookmarkStart w:id="29" w:name="_Toc161741804"/>
      <w:bookmarkStart w:id="30" w:name="_Toc164093663"/>
      <w:r>
        <w:rPr>
          <w:rFonts w:ascii="Cambria" w:hAnsi="Cambria" w:cstheme="minorHAnsi"/>
          <w:sz w:val="24"/>
          <w:szCs w:val="24"/>
        </w:rPr>
        <w:t>DOS DOCUMENTOS DE HABILITAÇÃO</w:t>
      </w:r>
      <w:bookmarkEnd w:id="29"/>
      <w:bookmarkEnd w:id="30"/>
    </w:p>
    <w:p>
      <w:pPr>
        <w:pStyle w:val="PargrafodaLista"/>
        <w:numPr>
          <w:ilvl w:val="1"/>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 xml:space="preserve">Os documentos de habilitação previstos no Termo de Referência serão exigidos apenas do licitante cuja proposta tenha sido aceita na fase de julgamento. </w:t>
      </w:r>
    </w:p>
    <w:p>
      <w:pPr>
        <w:tabs>
          <w:tab w:val="left" w:pos="426"/>
        </w:tabs>
        <w:jc w:val="both"/>
        <w:rPr>
          <w:rFonts w:ascii="Cambria" w:hAnsi="Cambria" w:cstheme="minorHAnsi"/>
          <w:sz w:val="24"/>
          <w:szCs w:val="24"/>
        </w:rPr>
      </w:pPr>
      <w:r>
        <w:rPr>
          <w:rFonts w:ascii="Cambria" w:hAnsi="Cambria" w:cstheme="minorHAnsi"/>
          <w:sz w:val="24"/>
          <w:szCs w:val="24"/>
        </w:rPr>
        <w:t>8.1.1. Os documentos exigidos para fins de comprovação da habilitação jurídica, fiscal, social e trabalhista e econômico-ﬁnanceira, poderão ser substituídos pelo registro cadastral no SICAF.</w:t>
      </w:r>
    </w:p>
    <w:p>
      <w:pPr>
        <w:pStyle w:val="PargrafodaLista"/>
        <w:numPr>
          <w:ilvl w:val="1"/>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 xml:space="preserve">Os documentos necessários para comprovar a habilitação jurídica, fiscal, social e trabalhista e econômico-ﬁnanceira, caso não estejam contemplados ou válidos no SICAF e a documentação comprobatória de qualificação técnica do licitante exigidos no Termo de Referência deverão ser enviados por meio da opção “Enviar Anexo” do sistema Compras Gov no site </w:t>
      </w:r>
      <w:hyperlink r:id="rId25" w:history="1">
        <w:r>
          <w:rPr>
            <w:rStyle w:val="Hyperlink"/>
            <w:rFonts w:ascii="Cambria" w:hAnsi="Cambria" w:cstheme="minorHAnsi"/>
            <w:sz w:val="24"/>
            <w:szCs w:val="24"/>
          </w:rPr>
          <w:t>www.compras.gov.br</w:t>
        </w:r>
      </w:hyperlink>
      <w:r>
        <w:rPr>
          <w:rFonts w:ascii="Cambria" w:hAnsi="Cambria" w:cstheme="minorHAnsi"/>
          <w:sz w:val="24"/>
          <w:szCs w:val="24"/>
        </w:rPr>
        <w:t xml:space="preserve">  quando solicitados pelo Pregoeiro. </w:t>
      </w:r>
    </w:p>
    <w:p>
      <w:pPr>
        <w:tabs>
          <w:tab w:val="left" w:pos="426"/>
        </w:tabs>
        <w:jc w:val="both"/>
        <w:rPr>
          <w:rFonts w:ascii="Cambria" w:hAnsi="Cambria" w:cstheme="minorHAnsi"/>
          <w:sz w:val="24"/>
          <w:szCs w:val="24"/>
        </w:rPr>
      </w:pPr>
      <w:r>
        <w:rPr>
          <w:rFonts w:ascii="Cambria" w:hAnsi="Cambria" w:cstheme="minorHAnsi"/>
          <w:sz w:val="24"/>
          <w:szCs w:val="24"/>
        </w:rPr>
        <w:t xml:space="preserve">8.2.1. Os documentos deverão ser apresentados em formato digital, no prazo de até 02 (duas) horas, contados da convocação efetuada pelo Pregoeiro.  </w:t>
      </w:r>
    </w:p>
    <w:p>
      <w:pPr>
        <w:tabs>
          <w:tab w:val="left" w:pos="426"/>
        </w:tabs>
        <w:jc w:val="both"/>
        <w:rPr>
          <w:rFonts w:ascii="Cambria" w:hAnsi="Cambria" w:cstheme="minorHAnsi"/>
          <w:sz w:val="24"/>
          <w:szCs w:val="24"/>
        </w:rPr>
      </w:pPr>
      <w:r>
        <w:rPr>
          <w:rFonts w:ascii="Cambria" w:hAnsi="Cambria" w:cstheme="minorHAnsi"/>
          <w:sz w:val="24"/>
          <w:szCs w:val="24"/>
        </w:rPr>
        <w:t>8.2.1.1. É facultado ao Pregoeiro prorrogar o prazo estabelecido acima, por igual período, nas seguintes situações:</w:t>
      </w:r>
    </w:p>
    <w:p>
      <w:pPr>
        <w:tabs>
          <w:tab w:val="left" w:pos="426"/>
        </w:tabs>
        <w:jc w:val="both"/>
        <w:rPr>
          <w:rFonts w:ascii="Cambria" w:hAnsi="Cambria" w:cstheme="minorHAnsi"/>
          <w:sz w:val="24"/>
          <w:szCs w:val="24"/>
        </w:rPr>
      </w:pPr>
      <w:r>
        <w:rPr>
          <w:rFonts w:ascii="Cambria" w:hAnsi="Cambria" w:cstheme="minorHAnsi"/>
          <w:sz w:val="24"/>
          <w:szCs w:val="24"/>
        </w:rPr>
        <w:t>a) por solicitação do licitante, mediante justificativa aceita pelo Pregoeiro;</w:t>
      </w:r>
    </w:p>
    <w:p>
      <w:pPr>
        <w:tabs>
          <w:tab w:val="left" w:pos="426"/>
        </w:tabs>
        <w:jc w:val="both"/>
        <w:rPr>
          <w:rFonts w:ascii="Cambria" w:hAnsi="Cambria" w:cstheme="minorHAnsi"/>
          <w:sz w:val="24"/>
          <w:szCs w:val="24"/>
        </w:rPr>
      </w:pPr>
      <w:r>
        <w:rPr>
          <w:rFonts w:ascii="Cambria" w:hAnsi="Cambria" w:cstheme="minorHAnsi"/>
          <w:sz w:val="24"/>
          <w:szCs w:val="24"/>
        </w:rPr>
        <w:t>b) de ofício, a critério do Pregoeiro, quando constatado que o prazo estabelecido não é suficiente para o envio dos documentos exigidos.</w:t>
      </w:r>
    </w:p>
    <w:p>
      <w:pPr>
        <w:tabs>
          <w:tab w:val="left" w:pos="426"/>
        </w:tabs>
        <w:jc w:val="both"/>
        <w:rPr>
          <w:rFonts w:ascii="Cambria" w:hAnsi="Cambria" w:cstheme="minorHAnsi"/>
          <w:sz w:val="24"/>
          <w:szCs w:val="24"/>
        </w:rPr>
      </w:pPr>
      <w:r>
        <w:rPr>
          <w:rFonts w:ascii="Cambria" w:hAnsi="Cambria" w:cstheme="minorHAnsi"/>
          <w:sz w:val="24"/>
          <w:szCs w:val="24"/>
        </w:rPr>
        <w:t xml:space="preserve">8.2.2. Os documentos remetidos por meio da opção “Enviar Anexo” do sistema Compras Gov no site </w:t>
      </w:r>
      <w:hyperlink r:id="rId26" w:history="1">
        <w:r>
          <w:rPr>
            <w:rStyle w:val="Hyperlink"/>
            <w:rFonts w:ascii="Cambria" w:hAnsi="Cambria" w:cstheme="minorHAnsi"/>
            <w:sz w:val="24"/>
            <w:szCs w:val="24"/>
          </w:rPr>
          <w:t>www.compras.gov.br</w:t>
        </w:r>
      </w:hyperlink>
      <w:r>
        <w:rPr>
          <w:rFonts w:ascii="Cambria" w:hAnsi="Cambria" w:cstheme="minorHAnsi"/>
          <w:sz w:val="24"/>
          <w:szCs w:val="24"/>
        </w:rPr>
        <w:t xml:space="preserve"> poderão ser solicitados em original ou por cópia autenticada, caso haja dúvida justificada, a qualquer momento, em prazo a ser estabelecido pelo Pregoeiro. </w:t>
      </w:r>
    </w:p>
    <w:p>
      <w:pPr>
        <w:pStyle w:val="PargrafodaLista"/>
        <w:numPr>
          <w:ilvl w:val="1"/>
          <w:numId w:val="5"/>
        </w:numPr>
        <w:tabs>
          <w:tab w:val="left" w:pos="426"/>
        </w:tabs>
        <w:ind w:left="0" w:firstLine="0"/>
        <w:jc w:val="both"/>
        <w:rPr>
          <w:rFonts w:ascii="Cambria" w:hAnsi="Cambria" w:cstheme="minorHAnsi"/>
          <w:sz w:val="24"/>
          <w:szCs w:val="24"/>
        </w:rPr>
      </w:pPr>
      <w:r>
        <w:rPr>
          <w:rFonts w:ascii="Cambria" w:hAnsi="Cambria" w:cstheme="minorHAnsi"/>
          <w:sz w:val="24"/>
          <w:szCs w:val="24"/>
        </w:rPr>
        <w:lastRenderedPageBreak/>
        <w:t xml:space="preserve">A verificação pelo Pregoeiro em sítios eletrônicos oficiais de órgãos e entidades emissores de certidões constitui meio legal de prova para fins de habilitação. </w:t>
      </w:r>
    </w:p>
    <w:p>
      <w:pPr>
        <w:pStyle w:val="PargrafodaLista"/>
        <w:numPr>
          <w:ilvl w:val="1"/>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 xml:space="preserve">Após a apresentação dos documentos de habilitação, fica vedada a substituição ou a apresentação de novos documentos, salvo em sede de diligência, para: </w:t>
      </w:r>
    </w:p>
    <w:p>
      <w:pPr>
        <w:tabs>
          <w:tab w:val="left" w:pos="426"/>
        </w:tabs>
        <w:jc w:val="both"/>
        <w:rPr>
          <w:rFonts w:ascii="Cambria" w:hAnsi="Cambria" w:cstheme="minorHAnsi"/>
          <w:sz w:val="24"/>
          <w:szCs w:val="24"/>
        </w:rPr>
      </w:pPr>
      <w:r>
        <w:rPr>
          <w:rFonts w:ascii="Cambria" w:hAnsi="Cambria" w:cstheme="minorHAnsi"/>
          <w:sz w:val="24"/>
          <w:szCs w:val="24"/>
        </w:rPr>
        <w:t xml:space="preserve">8.4.1. Complementação de informações acerca dos documentos já apresentados pelos licitantes e desde que necessária para apurar fatos existentes à época da abertura do certame; </w:t>
      </w:r>
    </w:p>
    <w:p>
      <w:pPr>
        <w:tabs>
          <w:tab w:val="left" w:pos="426"/>
        </w:tabs>
        <w:jc w:val="both"/>
        <w:rPr>
          <w:rFonts w:ascii="Cambria" w:hAnsi="Cambria" w:cstheme="minorHAnsi"/>
          <w:sz w:val="24"/>
          <w:szCs w:val="24"/>
        </w:rPr>
      </w:pPr>
      <w:r>
        <w:rPr>
          <w:rFonts w:ascii="Cambria" w:hAnsi="Cambria" w:cstheme="minorHAnsi"/>
          <w:sz w:val="24"/>
          <w:szCs w:val="24"/>
        </w:rPr>
        <w:t>8.4.2. Atualização de documentos cuja validade tenha expirado após a data de recebimento das propostas.</w:t>
      </w:r>
    </w:p>
    <w:p>
      <w:pPr>
        <w:tabs>
          <w:tab w:val="left" w:pos="426"/>
        </w:tabs>
        <w:jc w:val="both"/>
        <w:rPr>
          <w:rFonts w:ascii="Cambria" w:hAnsi="Cambria" w:cstheme="minorHAnsi"/>
          <w:sz w:val="24"/>
          <w:szCs w:val="24"/>
        </w:rPr>
      </w:pPr>
      <w:r>
        <w:rPr>
          <w:rFonts w:ascii="Cambria" w:hAnsi="Cambria" w:cstheme="minorHAnsi"/>
          <w:sz w:val="24"/>
          <w:szCs w:val="24"/>
        </w:rPr>
        <w:t>8.5.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pPr>
        <w:tabs>
          <w:tab w:val="left" w:pos="426"/>
        </w:tabs>
        <w:jc w:val="both"/>
        <w:rPr>
          <w:rFonts w:ascii="Cambria" w:hAnsi="Cambria" w:cstheme="minorHAnsi"/>
          <w:sz w:val="24"/>
          <w:szCs w:val="24"/>
        </w:rPr>
      </w:pPr>
      <w:r>
        <w:rPr>
          <w:rFonts w:ascii="Cambria" w:hAnsi="Cambria" w:cstheme="minorHAnsi"/>
          <w:sz w:val="24"/>
          <w:szCs w:val="24"/>
        </w:rPr>
        <w:t>8.6. Na hipótese de o licitante não atender às exigências para habilitação, o Pregoeiro examinará a proposta subsequente e assim sucessivamente, na ordem de classificação, até a apuração de uma proposta que atenda ao presente edital.</w:t>
      </w:r>
    </w:p>
    <w:p>
      <w:pPr>
        <w:tabs>
          <w:tab w:val="left" w:pos="426"/>
        </w:tabs>
        <w:jc w:val="both"/>
        <w:rPr>
          <w:rFonts w:ascii="Cambria" w:hAnsi="Cambria" w:cstheme="minorHAnsi"/>
          <w:sz w:val="24"/>
          <w:szCs w:val="24"/>
        </w:rPr>
      </w:pPr>
      <w:r>
        <w:rPr>
          <w:rFonts w:ascii="Cambria" w:hAnsi="Cambria" w:cstheme="minorHAnsi"/>
          <w:sz w:val="24"/>
          <w:szCs w:val="24"/>
        </w:rPr>
        <w:t>8.7. Somente serão disponibilizados para acesso público os documentos de habilitação do licitante cuja proposta atenda ao edital de licitação, após concluídos os procedimentos de que trata o subitem anterior.</w:t>
      </w:r>
    </w:p>
    <w:p>
      <w:pPr>
        <w:tabs>
          <w:tab w:val="left" w:pos="426"/>
        </w:tabs>
        <w:jc w:val="both"/>
        <w:rPr>
          <w:rFonts w:ascii="Cambria" w:hAnsi="Cambria" w:cstheme="minorHAnsi"/>
          <w:sz w:val="24"/>
          <w:szCs w:val="24"/>
        </w:rPr>
      </w:pPr>
      <w:r>
        <w:rPr>
          <w:rFonts w:ascii="Cambria" w:hAnsi="Cambria" w:cstheme="minorHAnsi"/>
          <w:sz w:val="24"/>
          <w:szCs w:val="24"/>
        </w:rPr>
        <w:t>8.8.A comprovação de regularidade fiscal e trabalhista dos beneficiários da Lei Complementar n° 123/06 somente será exigida para a adjudicação, e não como condição para participação na licitação.</w:t>
      </w:r>
    </w:p>
    <w:p>
      <w:pPr>
        <w:tabs>
          <w:tab w:val="left" w:pos="426"/>
        </w:tabs>
        <w:jc w:val="both"/>
        <w:rPr>
          <w:rFonts w:ascii="Cambria" w:hAnsi="Cambria" w:cstheme="minorHAnsi"/>
          <w:sz w:val="24"/>
          <w:szCs w:val="24"/>
        </w:rPr>
      </w:pPr>
      <w:r>
        <w:rPr>
          <w:rFonts w:ascii="Cambria" w:hAnsi="Cambria" w:cstheme="minorHAnsi"/>
          <w:sz w:val="24"/>
          <w:szCs w:val="24"/>
        </w:rPr>
        <w:t>8.8.1. Havendo alguma restrição na comprovação da regularidade fiscal e trabalhista, será assegurado o prazo de 05 (cinco) dias úteis, cujo termo inicial corresponderá ao momento em que o licitante for declarado o vencedor do certame, prorrogável por igual período, a critério da administração pública, para a regularização da documentação, pagamento ou parcelamento do débito, e emissão de eventuais certidões negativas ou positivas com efeito de certidão negativa.</w:t>
      </w:r>
    </w:p>
    <w:p>
      <w:pPr>
        <w:tabs>
          <w:tab w:val="left" w:pos="426"/>
        </w:tabs>
        <w:jc w:val="both"/>
        <w:rPr>
          <w:rFonts w:ascii="Cambria" w:hAnsi="Cambria" w:cstheme="minorHAnsi"/>
          <w:sz w:val="24"/>
          <w:szCs w:val="24"/>
        </w:rPr>
      </w:pPr>
      <w:r>
        <w:rPr>
          <w:rFonts w:ascii="Cambria" w:hAnsi="Cambria" w:cstheme="minorHAnsi"/>
          <w:sz w:val="24"/>
          <w:szCs w:val="24"/>
        </w:rPr>
        <w:t>8.8.2.  A prorrogação do prazo previsto acima deverá ser solicitada formalmente, via sistema eletrônico, dentro do prazo inicial de 05 (cinco) dias úteis concedidos para a regularização da documentação fiscal e trabalhista.</w:t>
      </w:r>
    </w:p>
    <w:p>
      <w:pPr>
        <w:tabs>
          <w:tab w:val="left" w:pos="426"/>
        </w:tabs>
        <w:jc w:val="both"/>
        <w:rPr>
          <w:rFonts w:ascii="Cambria" w:hAnsi="Cambria" w:cstheme="minorHAnsi"/>
          <w:sz w:val="24"/>
          <w:szCs w:val="24"/>
        </w:rPr>
      </w:pPr>
      <w:r>
        <w:rPr>
          <w:rFonts w:ascii="Cambria" w:hAnsi="Cambria" w:cstheme="minorHAnsi"/>
          <w:sz w:val="24"/>
          <w:szCs w:val="24"/>
        </w:rPr>
        <w:t>8.8.3. A não regularização da documentação, no prazo previsto acima, implicará decadência do direito à contratação, sem prejuízo das sanções previstas neste edital e na legislação, sendo facultado ao Pregoeiro convocar os licitantes remanescentes, na ordem de classificação.</w:t>
      </w:r>
    </w:p>
    <w:p>
      <w:pPr>
        <w:tabs>
          <w:tab w:val="left" w:pos="426"/>
        </w:tabs>
        <w:jc w:val="both"/>
        <w:rPr>
          <w:rFonts w:ascii="Cambria" w:hAnsi="Cambria" w:cstheme="minorHAnsi"/>
          <w:sz w:val="24"/>
          <w:szCs w:val="24"/>
        </w:rPr>
      </w:pPr>
      <w:r>
        <w:rPr>
          <w:rFonts w:ascii="Cambria" w:hAnsi="Cambria" w:cstheme="minorHAnsi"/>
          <w:sz w:val="24"/>
          <w:szCs w:val="24"/>
        </w:rPr>
        <w:t>8.9. Quando permitida a participação de empresas estrangeiras que não funcionem no País, as exigências de habilitação serão atendidas mediante documentos equivalentes, inicialmente apresentados em tradução livre.</w:t>
      </w:r>
    </w:p>
    <w:p>
      <w:pPr>
        <w:tabs>
          <w:tab w:val="left" w:pos="426"/>
        </w:tabs>
        <w:jc w:val="both"/>
        <w:rPr>
          <w:rFonts w:ascii="Cambria" w:hAnsi="Cambria" w:cstheme="minorHAnsi"/>
          <w:sz w:val="24"/>
          <w:szCs w:val="24"/>
          <w:highlight w:val="yellow"/>
        </w:rPr>
      </w:pPr>
      <w:r>
        <w:rPr>
          <w:rFonts w:ascii="Cambria" w:hAnsi="Cambria" w:cstheme="minorHAnsi"/>
          <w:sz w:val="24"/>
          <w:szCs w:val="24"/>
        </w:rPr>
        <w:t>8.9.1. Na hipótese de o licitante vencedor ser empresa estrangeira que não funcione no País, para fins de assinatura do contrato ou do Instrumento Contratual,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tabs>
          <w:tab w:val="left" w:pos="426"/>
        </w:tabs>
        <w:jc w:val="both"/>
        <w:rPr>
          <w:rFonts w:ascii="Cambria" w:hAnsi="Cambria" w:cstheme="minorHAnsi"/>
          <w:sz w:val="24"/>
          <w:szCs w:val="24"/>
        </w:rPr>
      </w:pPr>
      <w:r>
        <w:rPr>
          <w:rFonts w:ascii="Cambria" w:hAnsi="Cambria" w:cstheme="minorHAnsi"/>
          <w:sz w:val="24"/>
          <w:szCs w:val="24"/>
        </w:rPr>
        <w:t>8.10. Comprovada a regularidade da habilitação, o licitante será reputado habilitado e será declarado vencedor do lote.</w:t>
      </w:r>
    </w:p>
    <w:p>
      <w:pPr>
        <w:pStyle w:val="Corpodetexto"/>
        <w:tabs>
          <w:tab w:val="left" w:pos="-1701"/>
          <w:tab w:val="left" w:pos="809"/>
        </w:tabs>
        <w:rPr>
          <w:rFonts w:ascii="Cambria" w:hAnsi="Cambria" w:cstheme="minorHAnsi"/>
          <w:sz w:val="24"/>
          <w:szCs w:val="24"/>
        </w:rPr>
      </w:pPr>
    </w:p>
    <w:p>
      <w:pPr>
        <w:pStyle w:val="Ttulo1"/>
        <w:ind w:left="0" w:firstLine="0"/>
        <w:rPr>
          <w:rFonts w:ascii="Cambria" w:hAnsi="Cambria" w:cstheme="minorHAnsi"/>
          <w:sz w:val="24"/>
          <w:szCs w:val="24"/>
        </w:rPr>
      </w:pPr>
      <w:bookmarkStart w:id="31" w:name="_Toc161741805"/>
      <w:bookmarkStart w:id="32" w:name="_Toc164093664"/>
      <w:r>
        <w:rPr>
          <w:rFonts w:ascii="Cambria" w:hAnsi="Cambria" w:cstheme="minorHAnsi"/>
          <w:sz w:val="24"/>
          <w:szCs w:val="24"/>
        </w:rPr>
        <w:t>DA SESSÃO PÚBLICA.</w:t>
      </w:r>
      <w:bookmarkEnd w:id="31"/>
      <w:bookmarkEnd w:id="32"/>
    </w:p>
    <w:p>
      <w:pPr>
        <w:pStyle w:val="PargrafodaLista"/>
        <w:numPr>
          <w:ilvl w:val="1"/>
          <w:numId w:val="5"/>
        </w:numPr>
        <w:tabs>
          <w:tab w:val="left" w:pos="426"/>
        </w:tabs>
        <w:ind w:left="0" w:firstLine="0"/>
        <w:jc w:val="both"/>
        <w:rPr>
          <w:rFonts w:ascii="Cambria" w:hAnsi="Cambria" w:cstheme="minorHAnsi"/>
          <w:b/>
          <w:bCs/>
          <w:sz w:val="24"/>
          <w:szCs w:val="24"/>
          <w:u w:val="single"/>
        </w:rPr>
      </w:pPr>
      <w:r>
        <w:rPr>
          <w:rFonts w:ascii="Cambria" w:hAnsi="Cambria" w:cstheme="minorHAnsi"/>
          <w:b/>
          <w:bCs/>
          <w:sz w:val="24"/>
          <w:szCs w:val="24"/>
          <w:u w:val="single"/>
        </w:rPr>
        <w:lastRenderedPageBreak/>
        <w:t>DISPOSIÇÕES PRELIMINARES:</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 xml:space="preserve">O Pregão será do tipo Eletrônico o qual será realizado em sessão pública por meio da plataforma Compras Gov no site </w:t>
      </w:r>
      <w:hyperlink r:id="rId27" w:history="1">
        <w:r>
          <w:rPr>
            <w:rStyle w:val="Hyperlink"/>
            <w:rFonts w:ascii="Cambria" w:hAnsi="Cambria" w:cstheme="minorHAnsi"/>
            <w:sz w:val="24"/>
            <w:szCs w:val="24"/>
          </w:rPr>
          <w:t>www.compras.gov.br</w:t>
        </w:r>
      </w:hyperlink>
      <w:r>
        <w:rPr>
          <w:rFonts w:ascii="Cambria" w:hAnsi="Cambria" w:cstheme="minorHAnsi"/>
          <w:sz w:val="24"/>
          <w:szCs w:val="24"/>
        </w:rPr>
        <w:t xml:space="preserve"> mediante condições de segurança - criptografia e autenticação - em todas as suas fases através do Sistema de Pregão Eletrônico.</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Os trabalhos serão conduzidos por servidor da Prefeitura Municipal de Miraíma/CE, agente de contratação denominado como Pregoeiro.</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O proponente poderá enviar as informações da Proposta de Preços e documentos de habilitação e participar da disputa através da plataforma eletrônica.</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A participação no Pregão Eletrônico dar-se-á por meio da digitação da senha pessoal e intransferível do proponente direto ou do representante credenciado e subsequente encaminhamento da proposta inicial de preços e seus ANEXOS, exclusivamente por meio da plataforma eletrônica, observados as condições e limites de data e horário estabelecidos neste Edital.</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A abertura da sessão pública deste Pregão, conduzida pelo Pregoeiro designado ao respectivo procedimento administrativo, ocorrerá na data e na hora indicadas no preâmbulo deste Edital.</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 xml:space="preserve">Na hipótese de não haver expediente na data designada para a realização do ato, este será realizado no primeiro dia útil subsequente, no mesmo horário ou em outra data a ser fixada na plataforma pelo Pregoeiro. </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A comunicação entre o Pregoeiro e os proponentes ocorrerá EXCLUSIVAMENTE mediante troca de mensagens, em campo próprio da plataforma eletrônica (CHAT), o qual será gerenciado diretamente pelo Pregoeiro e será integralmente reproduzido na Ata da Sessão Eletrônica.</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 xml:space="preserve">Cabe ao PROPONENTE acompanhar as operações na plataforma eletrônica Compras Gov no site </w:t>
      </w:r>
      <w:hyperlink r:id="rId28" w:history="1">
        <w:r>
          <w:rPr>
            <w:rStyle w:val="Hyperlink"/>
            <w:rFonts w:ascii="Cambria" w:hAnsi="Cambria" w:cstheme="minorHAnsi"/>
            <w:sz w:val="24"/>
            <w:szCs w:val="24"/>
          </w:rPr>
          <w:t>www.compras.gov.br</w:t>
        </w:r>
      </w:hyperlink>
      <w:r>
        <w:rPr>
          <w:rFonts w:ascii="Cambria" w:hAnsi="Cambria" w:cstheme="minorHAnsi"/>
          <w:sz w:val="24"/>
          <w:szCs w:val="24"/>
        </w:rPr>
        <w:t xml:space="preserve"> anexar a PROPOSTA DE PREÇOS INICIAL, registrar os LANCES, anexar a PROPOSTA DE PREÇOS FINAL (CONSOLIDADA), a DOCUMENTAÇÃO DE HABILITAÇÃO, os DOCUMENTOS COMPLEMENTARES, se for o caso, e PRESTAR AS INFORMAÇÕES SOLICITADAS, durante toda a licitação, responsabilizando-se pelos ônus decorrentes de preclusão de direitos, perda de negócios e/ou sanções por descumprimentos de obrigações, diante da inobservância de mensagens emitidas pelo sistema ou de sua desconexão.</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A não anexação ou envio da proposta comercial e documentos de habilitação exigidos no Edital (e seus ANEXOS), bem como a não anexação de documentos complementares, prestação de informações e não pronunciamento em relação à questão suscitada pelo Pregoeiro, além de possibilitar a oportuna DESCLASSIFICAÇÃO ou INABILITAÇÃO do particular do certame, poderá ensejar a aplicação das sanções administrativas previstas neste Edital, sem prejuízo de outras responsabilidades civis e penais que seu ato acarretar, nos termos das regras contidas no Capítulo I do Título IV da Lei nº 14.133/2021.</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Toda a Sessão Pública será documentada automaticamente pelo sistema na respectiva ATA DA SESSÃO, a qual será gerada e disponibilizada para consulta de todos os interessados por meio da plataforma eletrônica Compras Gov no site www.compras.gov.br.</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Na hipótese de ocorrer desconexão do Pregoeiro no decorrer da Sessão e a plataforma eletrônica permanecer acessível aos proponentes, os trabalhos continuarão e os lances serão recebidos, sem qualquer prejuízo dos atos realizados.</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lastRenderedPageBreak/>
        <w:t>No caso de a desconexão do Pregoeiro persistir por tempo superior a DEZ MINUTOS, a Sessão do Pregão será suspensa automaticamente e terá reinício somente 24h (vinte e quatro horas) após comunicação expressa aos participantes, por meio da plataforma eletrônica no sítio (http://www.compras.gov.br).</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Cabe ao proponente acompanhar continuamente os documentos, pareceres e atos divulgados ou disponibilizados por meio do Portal de Licitações do TCE/CE.</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 xml:space="preserve">Havendo necessidade, o Pregoeiro poderá suspender a Sessão com a devida comunicação prévia via CHAT, como também registrando na plataforma eletrônica Compras Gov no site </w:t>
      </w:r>
      <w:hyperlink r:id="rId29" w:history="1">
        <w:r>
          <w:rPr>
            <w:rStyle w:val="Hyperlink"/>
            <w:rFonts w:ascii="Cambria" w:hAnsi="Cambria" w:cstheme="minorHAnsi"/>
            <w:sz w:val="24"/>
            <w:szCs w:val="24"/>
          </w:rPr>
          <w:t>www.compras.gov.br</w:t>
        </w:r>
      </w:hyperlink>
      <w:r>
        <w:rPr>
          <w:rFonts w:ascii="Cambria" w:hAnsi="Cambria" w:cstheme="minorHAnsi"/>
          <w:sz w:val="24"/>
          <w:szCs w:val="24"/>
        </w:rPr>
        <w:t xml:space="preserve"> a nova data e horário para a sua continuidade.</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Em face do horário, poderá o Pregoeiro estabelecer intervalo para almoço, sem a suspensão da Sessão, mediante comunicação prévia via CHAT.</w:t>
      </w:r>
    </w:p>
    <w:p>
      <w:pPr>
        <w:pStyle w:val="PargrafodaLista"/>
        <w:tabs>
          <w:tab w:val="left" w:pos="426"/>
        </w:tabs>
        <w:ind w:left="0"/>
        <w:jc w:val="both"/>
        <w:rPr>
          <w:rFonts w:ascii="Cambria" w:hAnsi="Cambria" w:cstheme="minorHAnsi"/>
          <w:sz w:val="24"/>
          <w:szCs w:val="24"/>
        </w:rPr>
      </w:pPr>
    </w:p>
    <w:p>
      <w:pPr>
        <w:pStyle w:val="PargrafodaLista"/>
        <w:numPr>
          <w:ilvl w:val="1"/>
          <w:numId w:val="5"/>
        </w:numPr>
        <w:tabs>
          <w:tab w:val="left" w:pos="426"/>
        </w:tabs>
        <w:ind w:left="0" w:firstLine="0"/>
        <w:jc w:val="both"/>
        <w:rPr>
          <w:rFonts w:ascii="Cambria" w:hAnsi="Cambria" w:cstheme="minorHAnsi"/>
          <w:b/>
          <w:bCs/>
          <w:sz w:val="24"/>
          <w:szCs w:val="24"/>
          <w:u w:val="single"/>
        </w:rPr>
      </w:pPr>
      <w:r>
        <w:rPr>
          <w:rFonts w:ascii="Cambria" w:hAnsi="Cambria" w:cstheme="minorHAnsi"/>
          <w:b/>
          <w:bCs/>
          <w:sz w:val="24"/>
          <w:szCs w:val="24"/>
          <w:u w:val="single"/>
        </w:rPr>
        <w:t>DA ABERTURA DAS PROPOSTAS DE PREÇOS:</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A Pregoeira realizará previamente a sessão eletrônica, a configuração quanto a operacionalização do julgamento na plataforma, informando o período para análise da(s) proposta(s) de preços inicia(l)(is), a quantidade máxima de itens e ou lotes a serem disputados simultaneamente, dentre outros parâmetros relativos à disputa.</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A partir do horário estabelecido no quadro resumo (parte específica do edital) terá início a sessão pública do Pregão Eletrônico, com a abertura e divulgação dos preços das Propostas de Preços iniciais cadastradas, passando o Pregoeiro a realizar a fase de lances.</w:t>
      </w:r>
    </w:p>
    <w:p>
      <w:pPr>
        <w:jc w:val="both"/>
        <w:rPr>
          <w:rFonts w:ascii="Cambria" w:hAnsi="Cambria" w:cstheme="minorHAnsi"/>
          <w:b/>
          <w:bCs/>
          <w:color w:val="FF0000"/>
          <w:sz w:val="24"/>
          <w:szCs w:val="24"/>
        </w:rPr>
      </w:pPr>
    </w:p>
    <w:p>
      <w:pPr>
        <w:pStyle w:val="PargrafodaLista"/>
        <w:numPr>
          <w:ilvl w:val="1"/>
          <w:numId w:val="5"/>
        </w:numPr>
        <w:tabs>
          <w:tab w:val="left" w:pos="426"/>
        </w:tabs>
        <w:ind w:left="0" w:firstLine="0"/>
        <w:jc w:val="both"/>
        <w:rPr>
          <w:rFonts w:ascii="Cambria" w:hAnsi="Cambria" w:cstheme="minorHAnsi"/>
          <w:b/>
          <w:bCs/>
          <w:sz w:val="24"/>
          <w:szCs w:val="24"/>
          <w:u w:val="single"/>
        </w:rPr>
      </w:pPr>
      <w:r>
        <w:rPr>
          <w:rFonts w:ascii="Cambria" w:hAnsi="Cambria" w:cstheme="minorHAnsi"/>
          <w:b/>
          <w:bCs/>
          <w:sz w:val="24"/>
          <w:szCs w:val="24"/>
          <w:u w:val="single"/>
        </w:rPr>
        <w:t>DA FASE DE LANCES.</w:t>
      </w:r>
    </w:p>
    <w:p>
      <w:pPr>
        <w:pStyle w:val="PargrafodaLista"/>
        <w:numPr>
          <w:ilvl w:val="2"/>
          <w:numId w:val="5"/>
        </w:numPr>
        <w:tabs>
          <w:tab w:val="left" w:pos="426"/>
        </w:tabs>
        <w:ind w:left="0" w:firstLine="0"/>
        <w:jc w:val="both"/>
        <w:rPr>
          <w:rFonts w:ascii="Cambria" w:hAnsi="Cambria" w:cstheme="minorHAnsi"/>
          <w:sz w:val="24"/>
          <w:szCs w:val="24"/>
        </w:rPr>
      </w:pPr>
      <w:r>
        <w:rPr>
          <w:rFonts w:ascii="Cambria" w:hAnsi="Cambria" w:cstheme="minorHAnsi"/>
          <w:sz w:val="24"/>
          <w:szCs w:val="24"/>
        </w:rPr>
        <w:t>A fase de lances poderá ocorrer sob o formato de disputa em modo “aberto” ou “aberto fechado”, conforme assinalado no quadro resumo constante do início do edital, devendo o licitante atentar-se quanto ao formato definido, observando, ainda:</w:t>
      </w:r>
    </w:p>
    <w:p>
      <w:pPr>
        <w:pStyle w:val="PargrafodaLista"/>
        <w:tabs>
          <w:tab w:val="left" w:pos="426"/>
        </w:tabs>
        <w:ind w:left="0"/>
        <w:jc w:val="both"/>
        <w:rPr>
          <w:rFonts w:ascii="Cambria" w:hAnsi="Cambria" w:cstheme="minorHAnsi"/>
          <w:b/>
          <w:bCs/>
          <w:sz w:val="24"/>
          <w:szCs w:val="24"/>
        </w:rPr>
      </w:pPr>
    </w:p>
    <w:p>
      <w:pPr>
        <w:pStyle w:val="PargrafodaLista"/>
        <w:numPr>
          <w:ilvl w:val="2"/>
          <w:numId w:val="5"/>
        </w:numPr>
        <w:tabs>
          <w:tab w:val="left" w:pos="426"/>
        </w:tabs>
        <w:ind w:left="0" w:firstLine="0"/>
        <w:jc w:val="both"/>
        <w:rPr>
          <w:rFonts w:ascii="Cambria" w:hAnsi="Cambria" w:cstheme="minorHAnsi"/>
          <w:b/>
          <w:sz w:val="24"/>
          <w:szCs w:val="24"/>
          <w:u w:val="single"/>
        </w:rPr>
      </w:pPr>
      <w:r>
        <w:rPr>
          <w:rFonts w:ascii="Cambria" w:hAnsi="Cambria" w:cstheme="minorHAnsi"/>
          <w:b/>
          <w:sz w:val="24"/>
          <w:szCs w:val="24"/>
          <w:u w:val="single"/>
        </w:rPr>
        <w:t>DO MODO DE DISPUTA ABERTO:</w:t>
      </w:r>
    </w:p>
    <w:p>
      <w:pPr>
        <w:pStyle w:val="PargrafodaLista"/>
        <w:numPr>
          <w:ilvl w:val="3"/>
          <w:numId w:val="5"/>
        </w:numPr>
        <w:tabs>
          <w:tab w:val="left" w:pos="993"/>
        </w:tabs>
        <w:ind w:left="0" w:firstLine="0"/>
        <w:jc w:val="both"/>
        <w:rPr>
          <w:rFonts w:ascii="Cambria" w:hAnsi="Cambria" w:cstheme="minorHAnsi"/>
          <w:sz w:val="24"/>
          <w:szCs w:val="24"/>
        </w:rPr>
      </w:pPr>
      <w:r>
        <w:rPr>
          <w:rFonts w:ascii="Cambria" w:hAnsi="Cambria" w:cstheme="minorHAnsi"/>
          <w:sz w:val="24"/>
          <w:szCs w:val="24"/>
        </w:rPr>
        <w:t>No modo de disputa “ABERTO”, de que trata este edital, os proponentes apresentarão lances públicos e sucessivos, observados os seguintes procedimentos:</w:t>
      </w:r>
    </w:p>
    <w:p>
      <w:pPr>
        <w:pStyle w:val="PargrafodaLista"/>
        <w:numPr>
          <w:ilvl w:val="3"/>
          <w:numId w:val="10"/>
        </w:numPr>
        <w:tabs>
          <w:tab w:val="left" w:pos="284"/>
        </w:tabs>
        <w:ind w:left="0" w:firstLine="0"/>
        <w:jc w:val="both"/>
        <w:rPr>
          <w:rFonts w:ascii="Cambria" w:hAnsi="Cambria" w:cstheme="minorHAnsi"/>
          <w:sz w:val="24"/>
          <w:szCs w:val="24"/>
        </w:rPr>
      </w:pPr>
      <w:r>
        <w:rPr>
          <w:rFonts w:ascii="Cambria" w:hAnsi="Cambria" w:cstheme="minorHAnsi"/>
          <w:sz w:val="24"/>
          <w:szCs w:val="24"/>
        </w:rPr>
        <w:t>A etapa de envio de lances na sessão pública durará DEZ MINUTOS e, após isso, será prorrogada automaticamente pelo sistema quando houver lance ofertado nos ÚLTIMOS DOIS MINUTOS do período de duração da sessão pública.</w:t>
      </w:r>
    </w:p>
    <w:p>
      <w:pPr>
        <w:pStyle w:val="PargrafodaLista"/>
        <w:numPr>
          <w:ilvl w:val="3"/>
          <w:numId w:val="10"/>
        </w:numPr>
        <w:tabs>
          <w:tab w:val="left" w:pos="284"/>
        </w:tabs>
        <w:ind w:left="0" w:firstLine="0"/>
        <w:jc w:val="both"/>
        <w:rPr>
          <w:rFonts w:ascii="Cambria" w:hAnsi="Cambria" w:cstheme="minorHAnsi"/>
          <w:sz w:val="24"/>
          <w:szCs w:val="24"/>
        </w:rPr>
      </w:pPr>
      <w:r>
        <w:rPr>
          <w:rFonts w:ascii="Cambria" w:hAnsi="Cambria" w:cstheme="minorHAnsi"/>
          <w:sz w:val="24"/>
          <w:szCs w:val="24"/>
        </w:rPr>
        <w:t>A prorrogação automática da etapa de envio de lances, de que trata a alínea anterior, será de DOIS MINUTOS e ocorrerá sucessivamente sempre que houver lances enviados nesse período de prorrogação, inclusive quando se tratar de lances intermediários.</w:t>
      </w:r>
    </w:p>
    <w:p>
      <w:pPr>
        <w:pStyle w:val="PargrafodaLista"/>
        <w:numPr>
          <w:ilvl w:val="3"/>
          <w:numId w:val="10"/>
        </w:numPr>
        <w:tabs>
          <w:tab w:val="left" w:pos="284"/>
        </w:tabs>
        <w:ind w:left="0" w:firstLine="0"/>
        <w:jc w:val="both"/>
        <w:rPr>
          <w:rFonts w:ascii="Cambria" w:hAnsi="Cambria" w:cstheme="minorHAnsi"/>
          <w:sz w:val="24"/>
          <w:szCs w:val="24"/>
        </w:rPr>
      </w:pPr>
      <w:r>
        <w:rPr>
          <w:rFonts w:ascii="Cambria" w:hAnsi="Cambria" w:cstheme="minorHAnsi"/>
          <w:sz w:val="24"/>
          <w:szCs w:val="24"/>
        </w:rPr>
        <w:t>Na hipótese de não haver novos lances na forma estabelecida nas alíneas anteriores, a sessão pública será encerrada automaticamente.</w:t>
      </w:r>
    </w:p>
    <w:p>
      <w:pPr>
        <w:pStyle w:val="PargrafodaLista"/>
        <w:tabs>
          <w:tab w:val="left" w:pos="851"/>
        </w:tabs>
        <w:ind w:left="0"/>
        <w:jc w:val="both"/>
        <w:rPr>
          <w:rFonts w:ascii="Cambria" w:hAnsi="Cambria" w:cstheme="minorHAnsi"/>
          <w:b/>
          <w:bCs/>
          <w:sz w:val="24"/>
          <w:szCs w:val="24"/>
        </w:rPr>
      </w:pPr>
    </w:p>
    <w:p>
      <w:pPr>
        <w:pStyle w:val="PargrafodaLista"/>
        <w:numPr>
          <w:ilvl w:val="2"/>
          <w:numId w:val="5"/>
        </w:numPr>
        <w:tabs>
          <w:tab w:val="left" w:pos="426"/>
        </w:tabs>
        <w:ind w:left="0" w:firstLine="0"/>
        <w:jc w:val="both"/>
        <w:rPr>
          <w:rFonts w:ascii="Cambria" w:hAnsi="Cambria" w:cstheme="minorHAnsi"/>
          <w:b/>
          <w:sz w:val="24"/>
          <w:szCs w:val="24"/>
          <w:u w:val="single"/>
        </w:rPr>
      </w:pPr>
      <w:r>
        <w:rPr>
          <w:rFonts w:ascii="Cambria" w:hAnsi="Cambria" w:cstheme="minorHAnsi"/>
          <w:b/>
          <w:sz w:val="24"/>
          <w:szCs w:val="24"/>
          <w:u w:val="single"/>
        </w:rPr>
        <w:t>DO MODO DE DISPUTA ABERTO E FECHADO:</w:t>
      </w:r>
    </w:p>
    <w:p>
      <w:pPr>
        <w:tabs>
          <w:tab w:val="left" w:pos="284"/>
        </w:tabs>
        <w:jc w:val="both"/>
        <w:rPr>
          <w:rFonts w:ascii="Cambria" w:hAnsi="Cambria" w:cstheme="minorHAnsi"/>
          <w:sz w:val="24"/>
          <w:szCs w:val="24"/>
        </w:rPr>
      </w:pPr>
      <w:r>
        <w:rPr>
          <w:rFonts w:ascii="Cambria" w:hAnsi="Cambria" w:cstheme="minorHAnsi"/>
          <w:sz w:val="24"/>
          <w:szCs w:val="24"/>
        </w:rPr>
        <w:t>9.3.3.1. Caso seja adotado para o envio de lances no pregão eletrônico o modo de disputa “aberto e fechado”, os licitantes apresentarão lances públicos e sucessivos, com lance final e fechado.</w:t>
      </w:r>
    </w:p>
    <w:p>
      <w:pPr>
        <w:tabs>
          <w:tab w:val="left" w:pos="284"/>
        </w:tabs>
        <w:jc w:val="both"/>
        <w:rPr>
          <w:rFonts w:ascii="Cambria" w:hAnsi="Cambria" w:cstheme="minorHAnsi"/>
          <w:sz w:val="24"/>
          <w:szCs w:val="24"/>
        </w:rPr>
      </w:pPr>
      <w:r>
        <w:rPr>
          <w:rFonts w:ascii="Cambria" w:hAnsi="Cambria" w:cstheme="minorHAnsi"/>
          <w:b/>
          <w:bCs/>
          <w:sz w:val="24"/>
          <w:szCs w:val="24"/>
        </w:rPr>
        <w:t xml:space="preserve">a) </w:t>
      </w:r>
      <w:r>
        <w:rPr>
          <w:rFonts w:ascii="Cambria" w:hAnsi="Cambria" w:cstheme="minorHAnsi"/>
          <w:sz w:val="24"/>
          <w:szCs w:val="24"/>
        </w:rPr>
        <w:t xml:space="preserve">A etapa de lances da sessão pública terá duração inicial de quinze minutos. Após esse prazo, o sistema encaminhará aviso de fechamento iminente dos lances, após o que transcorrerá o </w:t>
      </w:r>
      <w:r>
        <w:rPr>
          <w:rFonts w:ascii="Cambria" w:hAnsi="Cambria" w:cstheme="minorHAnsi"/>
          <w:sz w:val="24"/>
          <w:szCs w:val="24"/>
        </w:rPr>
        <w:lastRenderedPageBreak/>
        <w:t>período de tempo de até dez minutos, aleatoriamente determinado, findo o qual será automaticamente encerrada a recepção de lances.</w:t>
      </w:r>
    </w:p>
    <w:p>
      <w:pPr>
        <w:tabs>
          <w:tab w:val="left" w:pos="284"/>
        </w:tabs>
        <w:jc w:val="both"/>
        <w:rPr>
          <w:rFonts w:ascii="Cambria" w:hAnsi="Cambria" w:cstheme="minorHAnsi"/>
          <w:sz w:val="24"/>
          <w:szCs w:val="24"/>
        </w:rPr>
      </w:pPr>
      <w:r>
        <w:rPr>
          <w:rFonts w:ascii="Cambria" w:hAnsi="Cambria" w:cstheme="minorHAnsi"/>
          <w:b/>
          <w:bCs/>
          <w:sz w:val="24"/>
          <w:szCs w:val="24"/>
        </w:rPr>
        <w:t>b)</w:t>
      </w:r>
      <w:r>
        <w:rPr>
          <w:rFonts w:ascii="Cambria" w:hAnsi="Cambria" w:cstheme="minorHAnsi"/>
          <w:sz w:val="24"/>
          <w:szCs w:val="24"/>
        </w:rPr>
        <w:t xml:space="preserve">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tabs>
          <w:tab w:val="left" w:pos="284"/>
        </w:tabs>
        <w:jc w:val="both"/>
        <w:rPr>
          <w:rFonts w:ascii="Cambria" w:hAnsi="Cambria" w:cstheme="minorHAnsi"/>
          <w:sz w:val="24"/>
          <w:szCs w:val="24"/>
        </w:rPr>
      </w:pPr>
      <w:r>
        <w:rPr>
          <w:rFonts w:ascii="Cambria" w:hAnsi="Cambria" w:cstheme="minorHAnsi"/>
          <w:b/>
          <w:bCs/>
          <w:sz w:val="24"/>
          <w:szCs w:val="24"/>
        </w:rPr>
        <w:t xml:space="preserve">c) </w:t>
      </w:r>
      <w:r>
        <w:rPr>
          <w:rFonts w:ascii="Cambria" w:hAnsi="Cambria" w:cstheme="minorHAnsi"/>
          <w:sz w:val="24"/>
          <w:szCs w:val="24"/>
        </w:rPr>
        <w:t>No procedimento de que trata o subitem supra, o licitante poderá optar por manter o seu último lance da etapa aberta, ou por ofertar melhor lance.</w:t>
      </w:r>
    </w:p>
    <w:p>
      <w:pPr>
        <w:tabs>
          <w:tab w:val="left" w:pos="284"/>
        </w:tabs>
        <w:jc w:val="both"/>
        <w:rPr>
          <w:rFonts w:ascii="Cambria" w:hAnsi="Cambria" w:cstheme="minorHAnsi"/>
          <w:sz w:val="24"/>
          <w:szCs w:val="24"/>
        </w:rPr>
      </w:pPr>
      <w:r>
        <w:rPr>
          <w:rFonts w:ascii="Cambria" w:hAnsi="Cambria" w:cstheme="minorHAnsi"/>
          <w:b/>
          <w:bCs/>
          <w:sz w:val="24"/>
          <w:szCs w:val="24"/>
        </w:rPr>
        <w:t xml:space="preserve">d) </w:t>
      </w:r>
      <w:r>
        <w:rPr>
          <w:rFonts w:ascii="Cambria" w:hAnsi="Cambria" w:cstheme="minorHAnsi"/>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pPr>
        <w:pStyle w:val="PargrafodaLista"/>
        <w:tabs>
          <w:tab w:val="left" w:pos="284"/>
        </w:tabs>
        <w:ind w:left="0"/>
        <w:jc w:val="both"/>
        <w:rPr>
          <w:rFonts w:ascii="Cambria" w:hAnsi="Cambria" w:cstheme="minorHAnsi"/>
          <w:sz w:val="24"/>
          <w:szCs w:val="24"/>
        </w:rPr>
      </w:pPr>
      <w:r>
        <w:rPr>
          <w:rFonts w:ascii="Cambria" w:hAnsi="Cambria" w:cstheme="minorHAnsi"/>
          <w:b/>
          <w:bCs/>
          <w:sz w:val="24"/>
          <w:szCs w:val="24"/>
        </w:rPr>
        <w:t xml:space="preserve">e) </w:t>
      </w:r>
      <w:r>
        <w:rPr>
          <w:rFonts w:ascii="Cambria" w:hAnsi="Cambria" w:cstheme="minorHAnsi"/>
          <w:sz w:val="24"/>
          <w:szCs w:val="24"/>
        </w:rPr>
        <w:t>Após o término dos prazos estabelecidos nos itens anteriores, o sistema ordenará e divulgará os lances segundo a ordem crescente de valores.</w:t>
      </w:r>
    </w:p>
    <w:p>
      <w:pPr>
        <w:pStyle w:val="PargrafodaLista"/>
        <w:tabs>
          <w:tab w:val="left" w:pos="284"/>
        </w:tabs>
        <w:ind w:left="0"/>
        <w:jc w:val="both"/>
        <w:rPr>
          <w:rFonts w:ascii="Cambria" w:hAnsi="Cambria" w:cstheme="minorHAnsi"/>
          <w:sz w:val="24"/>
          <w:szCs w:val="24"/>
        </w:rPr>
      </w:pPr>
    </w:p>
    <w:p>
      <w:pPr>
        <w:pStyle w:val="PargrafodaLista"/>
        <w:numPr>
          <w:ilvl w:val="2"/>
          <w:numId w:val="5"/>
        </w:numPr>
        <w:tabs>
          <w:tab w:val="left" w:pos="426"/>
        </w:tabs>
        <w:ind w:left="0" w:firstLine="0"/>
        <w:jc w:val="both"/>
        <w:rPr>
          <w:rFonts w:ascii="Cambria" w:hAnsi="Cambria" w:cstheme="minorHAnsi"/>
          <w:b/>
          <w:sz w:val="24"/>
          <w:szCs w:val="24"/>
          <w:u w:val="single"/>
        </w:rPr>
      </w:pPr>
      <w:r>
        <w:rPr>
          <w:rFonts w:ascii="Cambria" w:hAnsi="Cambria" w:cstheme="minorHAnsi"/>
          <w:b/>
          <w:sz w:val="24"/>
          <w:szCs w:val="24"/>
          <w:u w:val="single"/>
        </w:rPr>
        <w:t>DO MODO DE DISPUTA FECHADO E ABERTO:</w:t>
      </w:r>
    </w:p>
    <w:p>
      <w:pPr>
        <w:pStyle w:val="PargrafodaLista"/>
        <w:tabs>
          <w:tab w:val="left" w:pos="284"/>
        </w:tabs>
        <w:ind w:left="0"/>
        <w:jc w:val="both"/>
        <w:rPr>
          <w:rFonts w:ascii="Cambria" w:hAnsi="Cambria" w:cstheme="minorHAnsi"/>
          <w:sz w:val="24"/>
          <w:szCs w:val="24"/>
        </w:rPr>
      </w:pPr>
      <w:r>
        <w:rPr>
          <w:rFonts w:ascii="Cambria" w:hAnsi="Cambria" w:cstheme="minorHAnsi"/>
          <w:sz w:val="24"/>
          <w:szCs w:val="24"/>
        </w:rPr>
        <w:t>9.3.4.1. Caso seja adotado para o envio de lances no pregão eletrônico o modo de disputa “fechado e aberto”, poderão participar da etapa aberta somente os licitantes que apresentarem a proposta de menor preço/maior percentual de desconto e os das propostas até 10% (dez por cento) superiores/inferiores àquela, em que os licitantes apresentarão lances públicos e sucessivos, até o encerramento da sessão e eventuais prorrogações.</w:t>
      </w:r>
    </w:p>
    <w:p>
      <w:pPr>
        <w:tabs>
          <w:tab w:val="left" w:pos="284"/>
        </w:tabs>
        <w:jc w:val="both"/>
        <w:rPr>
          <w:rFonts w:ascii="Cambria" w:hAnsi="Cambria" w:cstheme="minorHAnsi"/>
          <w:sz w:val="24"/>
          <w:szCs w:val="24"/>
        </w:rPr>
      </w:pPr>
      <w:r>
        <w:rPr>
          <w:rFonts w:ascii="Cambria" w:hAnsi="Cambria" w:cstheme="minorHAnsi"/>
          <w:b/>
          <w:bCs/>
          <w:sz w:val="24"/>
          <w:szCs w:val="24"/>
        </w:rPr>
        <w:t xml:space="preserve">a) </w:t>
      </w:r>
      <w:r>
        <w:rPr>
          <w:rFonts w:ascii="Cambria" w:hAnsi="Cambria" w:cstheme="minorHAnsi"/>
          <w:sz w:val="24"/>
          <w:szCs w:val="24"/>
        </w:rPr>
        <w:t>Não havendo pelo menos 3 (três) propostas nas condições definidas no item 9.3.4.1, poderão os licitantes que apresentaram as três melhores propostas, consideradas as empatadas, oferecer novos lances sucessivos.</w:t>
      </w:r>
    </w:p>
    <w:p>
      <w:pPr>
        <w:tabs>
          <w:tab w:val="left" w:pos="284"/>
        </w:tabs>
        <w:jc w:val="both"/>
        <w:rPr>
          <w:rFonts w:ascii="Cambria" w:hAnsi="Cambria" w:cstheme="minorHAnsi"/>
          <w:sz w:val="24"/>
          <w:szCs w:val="24"/>
        </w:rPr>
      </w:pPr>
      <w:r>
        <w:rPr>
          <w:rFonts w:ascii="Cambria" w:hAnsi="Cambria" w:cstheme="minorHAnsi"/>
          <w:b/>
          <w:bCs/>
          <w:sz w:val="24"/>
          <w:szCs w:val="24"/>
        </w:rPr>
        <w:t xml:space="preserve">b) </w:t>
      </w:r>
      <w:r>
        <w:rPr>
          <w:rFonts w:ascii="Cambria" w:hAnsi="Cambria" w:cstheme="minorHAnsi"/>
          <w:sz w:val="24"/>
          <w:szCs w:val="24"/>
        </w:rPr>
        <w:t>A etapa de lances da sessão pública terá duração de dez minutos e, após isso, será prorrogada automaticamente pelo sistema quando houver lance ofertado nos últimos dois minutos do período de duração da sessão pública.</w:t>
      </w:r>
    </w:p>
    <w:p>
      <w:pPr>
        <w:tabs>
          <w:tab w:val="left" w:pos="284"/>
        </w:tabs>
        <w:jc w:val="both"/>
        <w:rPr>
          <w:rFonts w:ascii="Cambria" w:hAnsi="Cambria" w:cstheme="minorHAnsi"/>
          <w:sz w:val="24"/>
          <w:szCs w:val="24"/>
        </w:rPr>
      </w:pPr>
      <w:r>
        <w:rPr>
          <w:rFonts w:ascii="Cambria" w:hAnsi="Cambria" w:cstheme="minorHAnsi"/>
          <w:b/>
          <w:bCs/>
          <w:sz w:val="24"/>
          <w:szCs w:val="24"/>
        </w:rPr>
        <w:t xml:space="preserve">c) </w:t>
      </w:r>
      <w:r>
        <w:rPr>
          <w:rFonts w:ascii="Cambria" w:hAnsi="Cambria" w:cstheme="minorHAns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pPr>
        <w:tabs>
          <w:tab w:val="left" w:pos="284"/>
        </w:tabs>
        <w:jc w:val="both"/>
        <w:rPr>
          <w:rFonts w:ascii="Cambria" w:hAnsi="Cambria" w:cstheme="minorHAnsi"/>
          <w:sz w:val="24"/>
          <w:szCs w:val="24"/>
        </w:rPr>
      </w:pPr>
      <w:r>
        <w:rPr>
          <w:rFonts w:ascii="Cambria" w:hAnsi="Cambria" w:cstheme="minorHAnsi"/>
          <w:b/>
          <w:bCs/>
          <w:sz w:val="24"/>
          <w:szCs w:val="24"/>
        </w:rPr>
        <w:t xml:space="preserve">d) </w:t>
      </w:r>
      <w:r>
        <w:rPr>
          <w:rFonts w:ascii="Cambria" w:hAnsi="Cambria" w:cstheme="minorHAnsi"/>
          <w:sz w:val="24"/>
          <w:szCs w:val="24"/>
        </w:rPr>
        <w:t>Não havendo novos lances na forma estabelecida nos itens anteriores, a sessão pública encerrar-se-á automaticamente, e o sistema ordenará e divulgará os lances conforme a ordem final de classificação.</w:t>
      </w:r>
    </w:p>
    <w:p>
      <w:pPr>
        <w:tabs>
          <w:tab w:val="left" w:pos="284"/>
        </w:tabs>
        <w:jc w:val="both"/>
        <w:rPr>
          <w:rFonts w:ascii="Cambria" w:hAnsi="Cambria" w:cstheme="minorHAnsi"/>
          <w:sz w:val="24"/>
          <w:szCs w:val="24"/>
        </w:rPr>
      </w:pPr>
      <w:r>
        <w:rPr>
          <w:rFonts w:ascii="Cambria" w:hAnsi="Cambria" w:cstheme="minorHAnsi"/>
          <w:b/>
          <w:bCs/>
          <w:sz w:val="24"/>
          <w:szCs w:val="24"/>
        </w:rPr>
        <w:t xml:space="preserve">e) </w:t>
      </w:r>
      <w:r>
        <w:rPr>
          <w:rFonts w:ascii="Cambria" w:hAnsi="Cambria" w:cstheme="minorHAnsi"/>
          <w:sz w:val="24"/>
          <w:szCs w:val="24"/>
        </w:rPr>
        <w:t>Definida a melhor proposta, se a diferença em relação à proposta classificada em segundo lugar for de pelo menos 5% (cinco por cento), o Agente de Contratação, auxiliado pela equipe de apoio, poderá admitir o reinício da disputa aberta, para a definição das demais colocações.</w:t>
      </w:r>
    </w:p>
    <w:p>
      <w:pPr>
        <w:tabs>
          <w:tab w:val="left" w:pos="284"/>
        </w:tabs>
        <w:jc w:val="both"/>
        <w:rPr>
          <w:rFonts w:ascii="Cambria" w:hAnsi="Cambria" w:cstheme="minorHAnsi"/>
          <w:sz w:val="24"/>
          <w:szCs w:val="24"/>
        </w:rPr>
      </w:pPr>
      <w:r>
        <w:rPr>
          <w:rFonts w:ascii="Cambria" w:hAnsi="Cambria" w:cstheme="minorHAnsi"/>
          <w:b/>
          <w:bCs/>
          <w:sz w:val="24"/>
          <w:szCs w:val="24"/>
        </w:rPr>
        <w:t xml:space="preserve">f) </w:t>
      </w:r>
      <w:r>
        <w:rPr>
          <w:rFonts w:ascii="Cambria" w:hAnsi="Cambria" w:cstheme="minorHAnsi"/>
          <w:sz w:val="24"/>
          <w:szCs w:val="24"/>
        </w:rPr>
        <w:t xml:space="preserve">Após o reinício previsto no subitem supra, os licitantes serão convocados para apresentar lances intermediários. </w:t>
      </w:r>
    </w:p>
    <w:p>
      <w:pPr>
        <w:pStyle w:val="PargrafodaLista"/>
        <w:tabs>
          <w:tab w:val="left" w:pos="851"/>
        </w:tabs>
        <w:ind w:left="0"/>
        <w:jc w:val="both"/>
        <w:rPr>
          <w:rFonts w:ascii="Cambria" w:hAnsi="Cambria" w:cstheme="minorHAnsi"/>
          <w:sz w:val="24"/>
          <w:szCs w:val="24"/>
        </w:rPr>
      </w:pPr>
    </w:p>
    <w:p>
      <w:pPr>
        <w:pStyle w:val="PargrafodaLista"/>
        <w:numPr>
          <w:ilvl w:val="2"/>
          <w:numId w:val="5"/>
        </w:numPr>
        <w:tabs>
          <w:tab w:val="left" w:pos="426"/>
        </w:tabs>
        <w:ind w:left="0" w:firstLine="0"/>
        <w:jc w:val="both"/>
        <w:rPr>
          <w:rFonts w:ascii="Cambria" w:hAnsi="Cambria" w:cstheme="minorHAnsi"/>
          <w:b/>
          <w:bCs/>
          <w:sz w:val="24"/>
          <w:szCs w:val="24"/>
          <w:u w:val="single"/>
        </w:rPr>
      </w:pPr>
      <w:r>
        <w:rPr>
          <w:rFonts w:ascii="Cambria" w:hAnsi="Cambria" w:cstheme="minorHAnsi"/>
          <w:b/>
          <w:bCs/>
          <w:sz w:val="24"/>
          <w:szCs w:val="24"/>
          <w:u w:val="single"/>
        </w:rPr>
        <w:t>ORIENTAÇÕES GERAIS SOBRE OS LANCES:</w:t>
      </w:r>
    </w:p>
    <w:p>
      <w:pPr>
        <w:pStyle w:val="PargrafodaLista"/>
        <w:numPr>
          <w:ilvl w:val="3"/>
          <w:numId w:val="5"/>
        </w:numPr>
        <w:tabs>
          <w:tab w:val="left" w:pos="993"/>
        </w:tabs>
        <w:ind w:left="0" w:firstLine="0"/>
        <w:jc w:val="both"/>
        <w:rPr>
          <w:rFonts w:ascii="Cambria" w:hAnsi="Cambria" w:cstheme="minorHAnsi"/>
          <w:sz w:val="24"/>
          <w:szCs w:val="24"/>
        </w:rPr>
      </w:pPr>
      <w:r>
        <w:rPr>
          <w:rFonts w:ascii="Cambria" w:hAnsi="Cambria" w:cstheme="minorHAnsi"/>
          <w:sz w:val="24"/>
          <w:szCs w:val="24"/>
        </w:rPr>
        <w:t xml:space="preserve">Aberta a etapa competitiva, será considerado como primeiro lance a proposta de preços (inicial). Em seguida os proponentes poderão encaminhar lances exclusivamente por meio da plataforma eletrônica, sendo o proponente imediatamente informado do seu recebimento e respectivo horário de registro e valor. </w:t>
      </w:r>
    </w:p>
    <w:p>
      <w:pPr>
        <w:pStyle w:val="PargrafodaLista"/>
        <w:numPr>
          <w:ilvl w:val="3"/>
          <w:numId w:val="5"/>
        </w:numPr>
        <w:tabs>
          <w:tab w:val="left" w:pos="993"/>
        </w:tabs>
        <w:ind w:left="0" w:firstLine="0"/>
        <w:jc w:val="both"/>
        <w:rPr>
          <w:rFonts w:ascii="Cambria" w:hAnsi="Cambria" w:cstheme="minorHAnsi"/>
          <w:sz w:val="24"/>
          <w:szCs w:val="24"/>
        </w:rPr>
      </w:pPr>
      <w:r>
        <w:rPr>
          <w:rFonts w:ascii="Cambria" w:hAnsi="Cambria" w:cstheme="minorHAnsi"/>
          <w:sz w:val="24"/>
          <w:szCs w:val="24"/>
        </w:rPr>
        <w:t>Para efeito de lances, o proponente deverá considerar o valor unitário do item.</w:t>
      </w:r>
    </w:p>
    <w:p>
      <w:pPr>
        <w:pStyle w:val="PargrafodaLista"/>
        <w:numPr>
          <w:ilvl w:val="3"/>
          <w:numId w:val="5"/>
        </w:numPr>
        <w:tabs>
          <w:tab w:val="left" w:pos="993"/>
        </w:tabs>
        <w:ind w:left="0" w:firstLine="0"/>
        <w:jc w:val="both"/>
        <w:rPr>
          <w:rFonts w:ascii="Cambria" w:hAnsi="Cambria" w:cstheme="minorHAnsi"/>
          <w:sz w:val="24"/>
          <w:szCs w:val="24"/>
        </w:rPr>
      </w:pPr>
      <w:r>
        <w:rPr>
          <w:rFonts w:ascii="Cambria" w:hAnsi="Cambria" w:cstheme="minorHAnsi"/>
          <w:sz w:val="24"/>
          <w:szCs w:val="24"/>
        </w:rPr>
        <w:lastRenderedPageBreak/>
        <w:t>Os proponentes poderão ofertar lances sucessivos, desde que inferiores ao seu último lance registrado no Sistema, ainda que este seja maior que o menor lance já ofertado por outro(s) proponente.</w:t>
      </w:r>
    </w:p>
    <w:p>
      <w:pPr>
        <w:pStyle w:val="PargrafodaLista"/>
        <w:numPr>
          <w:ilvl w:val="3"/>
          <w:numId w:val="5"/>
        </w:numPr>
        <w:tabs>
          <w:tab w:val="left" w:pos="993"/>
        </w:tabs>
        <w:ind w:left="0" w:firstLine="0"/>
        <w:jc w:val="both"/>
        <w:rPr>
          <w:rFonts w:ascii="Cambria" w:hAnsi="Cambria" w:cstheme="minorHAnsi"/>
          <w:sz w:val="24"/>
          <w:szCs w:val="24"/>
        </w:rPr>
      </w:pPr>
      <w:r>
        <w:rPr>
          <w:rFonts w:ascii="Cambria" w:hAnsi="Cambria" w:cstheme="minorHAnsi"/>
          <w:sz w:val="24"/>
          <w:szCs w:val="24"/>
        </w:rPr>
        <w:t>O intervalo mínimo de diferença de valores entre os lances, que incidirá tanto em relação aos lances intermediários quanto em relação à proposta que cobrir a melhor oferta deverá ser de 0,1%, conforme previsto no Art. 57, da lei 14.133/21.</w:t>
      </w:r>
    </w:p>
    <w:p>
      <w:pPr>
        <w:pStyle w:val="PargrafodaLista"/>
        <w:numPr>
          <w:ilvl w:val="3"/>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Durante a sessão pública de disputa, os proponentes serão informados, em tempo real, do valor do menor lance registrado. O Sistema não identificará o autor dos lances ao(à) Pregoeiro(a) nem aos demais participantes.</w:t>
      </w:r>
    </w:p>
    <w:p>
      <w:pPr>
        <w:pStyle w:val="PargrafodaLista"/>
        <w:numPr>
          <w:ilvl w:val="3"/>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Aberta a etapa competitiva, os representantes dos PROPONENTES deverão estar conectados ao sistema para participar da sessão de lances. É de inteira responsabilidade do proponente se manter conectado ao sistema e acompanhar a fase competitiva.</w:t>
      </w:r>
    </w:p>
    <w:p>
      <w:pPr>
        <w:pStyle w:val="PargrafodaLista"/>
        <w:numPr>
          <w:ilvl w:val="3"/>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 xml:space="preserve">Os lances serão ofertados item/lote a item/lote, conforme critério de julgamento definido, podendo, contudo, o Pregoeiro realizar a abertura de mais de um item/lote de forma simultânea. </w:t>
      </w:r>
    </w:p>
    <w:p>
      <w:pPr>
        <w:pStyle w:val="PargrafodaLista"/>
        <w:numPr>
          <w:ilvl w:val="3"/>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Não serão aceitos dois ou mais lances iguais, prevalecendo aquele que for recebido e registrado primeiro.</w:t>
      </w:r>
    </w:p>
    <w:p>
      <w:pPr>
        <w:pStyle w:val="PargrafodaLista"/>
        <w:numPr>
          <w:ilvl w:val="3"/>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Quando o preço do item/lote ofertado resultar em um valor unitário que possua mais de 02 (duas) casas decimais, serão consideradas apenas as 02 (duas) primeiras casas decimais (centavos), devendo o Pregoeiro e o proponente vencedor proceder às adequações de preço necessárias, inclusive por ocasião da entrega Proposta de Preços final consolidada.</w:t>
      </w:r>
    </w:p>
    <w:p>
      <w:pPr>
        <w:pStyle w:val="PargrafodaLista"/>
        <w:numPr>
          <w:ilvl w:val="2"/>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Na hipótese de a plataforma eletrônica desconectar para o Pregoeiro no decorrer da etapa de envio de lances da sessão pública e permanecer acessível aos proponentes, os lances continuarão sendo recebidos, sem prejuízo dos atos realizados.</w:t>
      </w:r>
    </w:p>
    <w:p>
      <w:pPr>
        <w:pStyle w:val="PargrafodaLista"/>
        <w:numPr>
          <w:ilvl w:val="2"/>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Quando a desconexão da plataforma eletrônica para o Pregoeiro persistir por tempo superior a dez minutos, a sessão pública será suspensa e reiniciada somente decorridas vinte e quatro horas após a comunicação do fato aos participantes, no sítio eletrônico utilizado para divulgação.</w:t>
      </w:r>
    </w:p>
    <w:p>
      <w:pPr>
        <w:pStyle w:val="PargrafodaLista"/>
        <w:numPr>
          <w:ilvl w:val="2"/>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Na hipótese dos subitens anteriores, a ocorrência será registrada em campo próprio do sistema.</w:t>
      </w:r>
    </w:p>
    <w:p>
      <w:pPr>
        <w:pStyle w:val="PargrafodaLista"/>
        <w:numPr>
          <w:ilvl w:val="2"/>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Caso o proponente não apresente lances, concorrerá com o valor de sua proposta e, na hipótese de desistência de apresentar outros lances, valerá o último lance por ele ofertado, para efeito de ordenação das propostas.</w:t>
      </w:r>
    </w:p>
    <w:p>
      <w:pPr>
        <w:pStyle w:val="PargrafodaLista"/>
        <w:numPr>
          <w:ilvl w:val="2"/>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 xml:space="preserve">O Sistema informará a proposta de menor preço ao encerrar a fase de disputa. </w:t>
      </w:r>
    </w:p>
    <w:p>
      <w:pPr>
        <w:pStyle w:val="PargrafodaLista"/>
        <w:numPr>
          <w:ilvl w:val="2"/>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Os lances apresentados e levados em consideração para efeito de julgamento serão de exclusiva e total responsabilidade de cada proponente, não lhe cabendo o direito de pleitear qualquer alteração posterior.</w:t>
      </w:r>
    </w:p>
    <w:p>
      <w:pPr>
        <w:pStyle w:val="PargrafodaLista"/>
        <w:numPr>
          <w:ilvl w:val="2"/>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Durante a etapa de disputa de lances, o Pregoeiro poderá EXCLUIR qualquer lance cujo valor seja considerado supostamente irrisório ou inexequível, ou até que entenda ter sido lançado erroneamente, cabendo ao sistema o encaminhamento de mensagem automática ao proponente, o qual terá a faculdade de repetir tal lance.</w:t>
      </w:r>
    </w:p>
    <w:p>
      <w:pPr>
        <w:pStyle w:val="PargrafodaLista"/>
        <w:tabs>
          <w:tab w:val="left" w:pos="426"/>
        </w:tabs>
        <w:ind w:left="0"/>
        <w:jc w:val="both"/>
        <w:rPr>
          <w:rFonts w:ascii="Cambria" w:hAnsi="Cambria" w:cstheme="minorHAnsi"/>
          <w:b/>
          <w:bCs/>
          <w:sz w:val="24"/>
          <w:szCs w:val="24"/>
        </w:rPr>
      </w:pPr>
    </w:p>
    <w:p>
      <w:pPr>
        <w:pStyle w:val="PargrafodaLista"/>
        <w:numPr>
          <w:ilvl w:val="1"/>
          <w:numId w:val="5"/>
        </w:numPr>
        <w:shd w:val="clear" w:color="auto" w:fill="F2F2F2"/>
        <w:tabs>
          <w:tab w:val="left" w:pos="426"/>
        </w:tabs>
        <w:ind w:left="0" w:firstLine="0"/>
        <w:jc w:val="both"/>
        <w:rPr>
          <w:rFonts w:ascii="Cambria" w:hAnsi="Cambria" w:cstheme="minorHAnsi"/>
          <w:b/>
          <w:bCs/>
          <w:sz w:val="24"/>
          <w:szCs w:val="24"/>
          <w:u w:val="single"/>
        </w:rPr>
      </w:pPr>
      <w:r>
        <w:rPr>
          <w:rFonts w:ascii="Cambria" w:hAnsi="Cambria" w:cstheme="minorHAnsi"/>
          <w:b/>
          <w:bCs/>
          <w:sz w:val="24"/>
          <w:szCs w:val="24"/>
          <w:u w:val="single"/>
        </w:rPr>
        <w:t>DIREITO DE PREFERÊNCIA E APLICAÇÃO DOS CRITÉRIOS DE DESEMPATE DIREITOS DE PREFERÊNCIA</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lastRenderedPageBreak/>
        <w:t>Após a etapa de envio de lances, haverá a aplicação dos critérios de desempate previstos nos art. 44 e art. 45 da Lei Complementar nº 123, de 14 de dezembro de 2006, seguido da aplicação dos critérios estabelecidos no caput do art. 60º da Lei nº 14.133/2021 de 1º de abril de 2021, se não houver proponente que atenda à primeira hipótese.</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Em relação aos itens não exclusivos a Microempresa - ME, Empresas de Pequeno Porte - EPP e equiparadas, uma vez encerrada a etapa de lances, será efetivada a verificação automática, junto à Receita Federal, do porte da entidade empresarial. O sistema identificará em coluna própria as Microempresa - ME, Empresas de Pequeno Porte - EPP e equiparadas participantes, procedendo à comparação com os valores da primeira colocada, se esta for empresa de maior porte, assim como das demais classificadas, para o fim de aplicar-se o disposto nos arts. 44 e 45 da LC nº123, de 2006.</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Os critérios de desempate serão aplicados nos termos do item 9.4.10, caso não haja envio de lances após o início da fase competitiva. Nessas condições, as propostas de Microempresa - ME, Empresas de Pequeno Porte - EPP e equiparadas que se encontrarem na faixa de até 5%(cinco por cento) acima da proposta ou lance de menor preço serão consideradas empatadas com a primeira colocada.</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 xml:space="preserve">A melhor classificada nos termos do item anterior terá o direito de encaminhar uma última oferta para desempate, obrigatoriamente em valor inferior ao da primeira colocada, no prazo de 05 (cinco) minutos controlados pelo sistema, contados após a comunicação automática para tanto. </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Caso a microempresa, empresa de pequeno porte ou equiparada melhor classificada desista ou não se manifeste no prazo estabelecido, serão convocadas as demais proponentes microempresa, empresa de pequeno porte e equiparada que se encontrem naquele intervalo de 5% (cinco por cento), na ordem de classificação, para o exercício do mesmo direito, no prazo estabelecido no subitem anterior.</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No caso de equivalência dos valores apresentados pela microempresa, empresa de pequeno porte e equiparados que se encontrem em situação de empate, será realizado sorteio para que se identifique a primeira que poderá apresentar melhor oferta.</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Na hipótese de persistir o empate, a proposta vencedora será sorteada pela plataforma eletrônica dentre as propostas empatadas.</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Na hipótese de nenhum dos proponentes exercerem o direito de preferência nos moldes descritos no subitem anterior, será mantida a ordem classificatória original.</w:t>
      </w:r>
    </w:p>
    <w:p>
      <w:pPr>
        <w:pStyle w:val="Corpodetexto"/>
        <w:tabs>
          <w:tab w:val="left" w:pos="-1701"/>
        </w:tabs>
        <w:rPr>
          <w:rFonts w:ascii="Cambria" w:hAnsi="Cambria" w:cstheme="minorHAnsi"/>
          <w:b/>
          <w:bCs/>
          <w:sz w:val="24"/>
          <w:szCs w:val="24"/>
        </w:rPr>
      </w:pPr>
    </w:p>
    <w:p>
      <w:pPr>
        <w:pStyle w:val="PargrafodaLista"/>
        <w:numPr>
          <w:ilvl w:val="2"/>
          <w:numId w:val="5"/>
        </w:numPr>
        <w:ind w:left="0" w:firstLine="0"/>
        <w:jc w:val="both"/>
        <w:rPr>
          <w:rFonts w:ascii="Cambria" w:hAnsi="Cambria" w:cstheme="minorHAnsi"/>
          <w:b/>
          <w:bCs/>
          <w:sz w:val="24"/>
          <w:szCs w:val="24"/>
        </w:rPr>
      </w:pPr>
      <w:r>
        <w:rPr>
          <w:rFonts w:ascii="Cambria" w:hAnsi="Cambria" w:cstheme="minorHAnsi"/>
          <w:b/>
          <w:bCs/>
          <w:sz w:val="24"/>
          <w:szCs w:val="24"/>
        </w:rPr>
        <w:t>Verificação das condições quanto ao tratamento diferenciado:</w:t>
      </w:r>
    </w:p>
    <w:p>
      <w:pPr>
        <w:pStyle w:val="PargrafodaLista"/>
        <w:numPr>
          <w:ilvl w:val="3"/>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 xml:space="preserve">Como condição prévia à aceitação da proposta, caso o proponente detentor da proposta classificada em primeiro lugar tenha usufruído do tratamento diferenciado previsto nos artigos 44 e 45 da Lei Complementar n° 123, de 2006, </w:t>
      </w:r>
      <w:bookmarkStart w:id="33" w:name="_Hlk158025711"/>
      <w:r>
        <w:rPr>
          <w:rFonts w:ascii="Cambria" w:hAnsi="Cambria" w:cstheme="minorHAnsi"/>
          <w:sz w:val="24"/>
          <w:szCs w:val="24"/>
        </w:rPr>
        <w:t>o Pregoeiro poderá consultar o Portal da Transparência do Governo Federal (https://www.portaldatransparencia.gov.br/), seção “Despesas – Gastos Diretos do Governo – Favorecido (pessoas físicas, empresas e outros)”, seção “Despesas – Gastos Diretos do Governo – Favorecido (pessoas físicas, empresas e outros)”, bem como no Portal da Transparência dos Municípios do Estado do Ceará (</w:t>
      </w:r>
      <w:hyperlink r:id="rId30" w:history="1">
        <w:r>
          <w:rPr>
            <w:rFonts w:ascii="Cambria" w:hAnsi="Cambria" w:cstheme="minorHAnsi"/>
            <w:sz w:val="24"/>
            <w:szCs w:val="24"/>
          </w:rPr>
          <w:t>http://municipios.tce.ce.gov.br/transparencia/</w:t>
        </w:r>
      </w:hyperlink>
      <w:r>
        <w:rPr>
          <w:rFonts w:ascii="Cambria" w:hAnsi="Cambria" w:cstheme="minorHAnsi"/>
          <w:sz w:val="24"/>
          <w:szCs w:val="24"/>
        </w:rPr>
        <w:t>), para</w:t>
      </w:r>
      <w:bookmarkEnd w:id="33"/>
      <w:r>
        <w:rPr>
          <w:rFonts w:ascii="Cambria" w:hAnsi="Cambria" w:cstheme="minorHAnsi"/>
          <w:sz w:val="24"/>
          <w:szCs w:val="24"/>
        </w:rPr>
        <w:t xml:space="preserve"> verificar se o somatório dos valores das ordens bancárias por ele recebidas, no exercício anterior, extrapola o limite previsto no artigo 3°, inciso II, da Lei Complementar n° 123, de 2006, ou o limite proporcional de que trata o artigo 3°, § 2°, do mesmo diploma, em caso de início de atividade no exercício considerado.</w:t>
      </w:r>
    </w:p>
    <w:p>
      <w:pPr>
        <w:pStyle w:val="PargrafodaLista"/>
        <w:numPr>
          <w:ilvl w:val="3"/>
          <w:numId w:val="5"/>
        </w:numPr>
        <w:tabs>
          <w:tab w:val="left" w:pos="851"/>
        </w:tabs>
        <w:ind w:left="0" w:firstLine="0"/>
        <w:jc w:val="both"/>
        <w:rPr>
          <w:rFonts w:ascii="Cambria" w:hAnsi="Cambria" w:cstheme="minorHAnsi"/>
          <w:sz w:val="24"/>
          <w:szCs w:val="24"/>
        </w:rPr>
      </w:pPr>
      <w:r>
        <w:rPr>
          <w:rFonts w:ascii="Cambria" w:hAnsi="Cambria" w:cstheme="minorHAnsi"/>
          <w:sz w:val="24"/>
          <w:szCs w:val="24"/>
        </w:rPr>
        <w:lastRenderedPageBreak/>
        <w:t>Para a microempresa ou empresa de pequeno porte, a consulta também abrangerá o exercício corrente, para verificar se o somatório dos valores das ordens bancárias por ela recebidas, até o mês anterior ao da sessão pública da licitação, extrapola os limites acima referidos, acrescidos do percentual de 20% (vinte por cento) de que trata o artigo 3°, §§ 9°-A e 12, da Lei Complementar n°123, de 2006.</w:t>
      </w:r>
    </w:p>
    <w:p>
      <w:pPr>
        <w:pStyle w:val="PargrafodaLista"/>
        <w:numPr>
          <w:ilvl w:val="3"/>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a Pregoeira poderá consultar o PNCP ou os demais portais citados nos subitens anteriores, para verificar se no ano-calendário de realização da licitação, a empresa ainda não tenham celebrado contratos com a Administração Pública cujos valores somados extrapolem a receita bruta máxima admitida para fins de enquadramento como empresa de pequeno porte, conforme disposto no Art. 4°, §2°da Lei 14.133/21.</w:t>
      </w:r>
    </w:p>
    <w:p>
      <w:pPr>
        <w:pStyle w:val="PargrafodaLista"/>
        <w:numPr>
          <w:ilvl w:val="3"/>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Constatada a ocorrência de qualquer das situações que extrapolem o limite legal, a Pregoeira indeferirá a aplicação do tratamento diferenciado em favor do proponente, conforme artigo 3°, §§9°, 9°-A,10 e 12, da Lei Complementar n°123, de 2006 e no Art. 4°, §2°da Lei 14.133/21 com a consequente recusa das condições quanto ao tratamento diferenciado, sem prejuízo das penalidades incidentes.</w:t>
      </w:r>
    </w:p>
    <w:p>
      <w:pPr>
        <w:pStyle w:val="Corpodetexto"/>
        <w:tabs>
          <w:tab w:val="left" w:pos="-1701"/>
        </w:tabs>
        <w:rPr>
          <w:rFonts w:ascii="Cambria" w:hAnsi="Cambria" w:cstheme="minorHAnsi"/>
          <w:b/>
          <w:bCs/>
          <w:sz w:val="24"/>
          <w:szCs w:val="24"/>
        </w:rPr>
      </w:pPr>
    </w:p>
    <w:p>
      <w:pPr>
        <w:pStyle w:val="Corpodetexto"/>
        <w:shd w:val="clear" w:color="auto" w:fill="F2F2F2"/>
        <w:tabs>
          <w:tab w:val="left" w:pos="-1701"/>
        </w:tabs>
        <w:jc w:val="center"/>
        <w:rPr>
          <w:rFonts w:ascii="Cambria" w:hAnsi="Cambria" w:cstheme="minorHAnsi"/>
          <w:b/>
          <w:bCs/>
          <w:sz w:val="24"/>
          <w:szCs w:val="24"/>
          <w:u w:val="single"/>
        </w:rPr>
      </w:pPr>
      <w:r>
        <w:rPr>
          <w:rFonts w:ascii="Cambria" w:hAnsi="Cambria" w:cstheme="minorHAnsi"/>
          <w:b/>
          <w:bCs/>
          <w:sz w:val="24"/>
          <w:szCs w:val="24"/>
          <w:u w:val="single"/>
        </w:rPr>
        <w:t>CRITÉRIOS DE DESEMPATE</w:t>
      </w:r>
    </w:p>
    <w:p>
      <w:pPr>
        <w:pStyle w:val="PargrafodaLista"/>
        <w:numPr>
          <w:ilvl w:val="2"/>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Havendo eventual empate entre propostas ou lances em que ocorra a aplicação dos CRITÉRIOS DE DESEMPATE E DIREITO DE PREFERÊNCIA fixados no art. 60, caput e seu § 1º, da Lei nº 14.133/2021, respectivamente, deverá ser obedecida as seguintes regras:</w:t>
      </w:r>
    </w:p>
    <w:p>
      <w:pPr>
        <w:pStyle w:val="PargrafodaLista"/>
        <w:numPr>
          <w:ilvl w:val="0"/>
          <w:numId w:val="11"/>
        </w:numPr>
        <w:tabs>
          <w:tab w:val="left" w:pos="284"/>
        </w:tabs>
        <w:ind w:left="0" w:firstLine="0"/>
        <w:jc w:val="both"/>
        <w:rPr>
          <w:rFonts w:ascii="Cambria" w:hAnsi="Cambria" w:cstheme="minorHAnsi"/>
          <w:sz w:val="24"/>
          <w:szCs w:val="24"/>
        </w:rPr>
      </w:pPr>
      <w:r>
        <w:rPr>
          <w:rFonts w:ascii="Cambria" w:hAnsi="Cambria" w:cstheme="minorHAnsi"/>
          <w:sz w:val="24"/>
          <w:szCs w:val="24"/>
        </w:rPr>
        <w:t>Em caso de empate entre duas ou mais propostas, serão utilizados os seguintes critérios de desempate, nesta ordem:</w:t>
      </w:r>
    </w:p>
    <w:p>
      <w:pPr>
        <w:pStyle w:val="PargrafodaLista"/>
        <w:numPr>
          <w:ilvl w:val="2"/>
          <w:numId w:val="12"/>
        </w:numPr>
        <w:tabs>
          <w:tab w:val="left" w:pos="851"/>
        </w:tabs>
        <w:ind w:left="567" w:firstLine="0"/>
        <w:jc w:val="both"/>
        <w:rPr>
          <w:rFonts w:ascii="Cambria" w:hAnsi="Cambria" w:cstheme="minorHAnsi"/>
          <w:sz w:val="24"/>
          <w:szCs w:val="24"/>
        </w:rPr>
      </w:pPr>
      <w:r>
        <w:rPr>
          <w:rFonts w:ascii="Cambria" w:hAnsi="Cambria" w:cstheme="minorHAnsi"/>
          <w:sz w:val="24"/>
          <w:szCs w:val="24"/>
        </w:rPr>
        <w:t>Disputa final, hipótese em que os proponentes empatados poderão apresentar nova proposta em ato contínuo à classificação;</w:t>
      </w:r>
    </w:p>
    <w:p>
      <w:pPr>
        <w:pStyle w:val="PargrafodaLista"/>
        <w:numPr>
          <w:ilvl w:val="2"/>
          <w:numId w:val="12"/>
        </w:numPr>
        <w:tabs>
          <w:tab w:val="left" w:pos="851"/>
        </w:tabs>
        <w:ind w:left="567" w:firstLine="0"/>
        <w:jc w:val="both"/>
        <w:rPr>
          <w:rFonts w:ascii="Cambria" w:hAnsi="Cambria" w:cstheme="minorHAnsi"/>
          <w:sz w:val="24"/>
          <w:szCs w:val="24"/>
        </w:rPr>
      </w:pPr>
      <w:r>
        <w:rPr>
          <w:rFonts w:ascii="Cambria" w:hAnsi="Cambria" w:cstheme="minorHAnsi"/>
          <w:sz w:val="24"/>
          <w:szCs w:val="24"/>
        </w:rPr>
        <w:t>Avaliação do desempenho contratual prévio dos proponentes, para a qual deverão preferencialmente ser utilizados registros cadastrais para efeito de atesto de cumprimento de obrigações previstos nesta Lei;</w:t>
      </w:r>
    </w:p>
    <w:p>
      <w:pPr>
        <w:pStyle w:val="PargrafodaLista"/>
        <w:numPr>
          <w:ilvl w:val="2"/>
          <w:numId w:val="12"/>
        </w:numPr>
        <w:tabs>
          <w:tab w:val="left" w:pos="851"/>
        </w:tabs>
        <w:ind w:left="567" w:firstLine="0"/>
        <w:jc w:val="both"/>
        <w:rPr>
          <w:rFonts w:ascii="Cambria" w:hAnsi="Cambria" w:cstheme="minorHAnsi"/>
          <w:sz w:val="24"/>
          <w:szCs w:val="24"/>
        </w:rPr>
      </w:pPr>
      <w:r>
        <w:rPr>
          <w:rFonts w:ascii="Cambria" w:hAnsi="Cambria" w:cstheme="minorHAnsi"/>
          <w:sz w:val="24"/>
          <w:szCs w:val="24"/>
        </w:rPr>
        <w:t>Desenvolvimento pelo proponente de ações de equidade entre homens e mulheres no ambiente de trabalho, conforme regulamento;</w:t>
      </w:r>
    </w:p>
    <w:p>
      <w:pPr>
        <w:pStyle w:val="PargrafodaLista"/>
        <w:numPr>
          <w:ilvl w:val="2"/>
          <w:numId w:val="12"/>
        </w:numPr>
        <w:tabs>
          <w:tab w:val="left" w:pos="851"/>
        </w:tabs>
        <w:ind w:left="567" w:firstLine="0"/>
        <w:jc w:val="both"/>
        <w:rPr>
          <w:rFonts w:ascii="Cambria" w:hAnsi="Cambria" w:cstheme="minorHAnsi"/>
          <w:sz w:val="24"/>
          <w:szCs w:val="24"/>
        </w:rPr>
      </w:pPr>
      <w:r>
        <w:rPr>
          <w:rFonts w:ascii="Cambria" w:hAnsi="Cambria" w:cstheme="minorHAnsi"/>
          <w:sz w:val="24"/>
          <w:szCs w:val="24"/>
        </w:rPr>
        <w:t>Desenvolvimento pelo proponente de programa de integridade, conforme orientações dos órgãos de controle.</w:t>
      </w:r>
    </w:p>
    <w:p>
      <w:pPr>
        <w:pStyle w:val="PargrafodaLista"/>
        <w:numPr>
          <w:ilvl w:val="0"/>
          <w:numId w:val="11"/>
        </w:numPr>
        <w:tabs>
          <w:tab w:val="left" w:pos="284"/>
        </w:tabs>
        <w:ind w:left="0" w:firstLine="0"/>
        <w:jc w:val="both"/>
        <w:rPr>
          <w:rFonts w:ascii="Cambria" w:hAnsi="Cambria" w:cstheme="minorHAnsi"/>
          <w:sz w:val="24"/>
          <w:szCs w:val="24"/>
        </w:rPr>
      </w:pPr>
      <w:r>
        <w:rPr>
          <w:rFonts w:ascii="Cambria" w:hAnsi="Cambria" w:cstheme="minorHAnsi"/>
          <w:sz w:val="24"/>
          <w:szCs w:val="24"/>
        </w:rPr>
        <w:t>Em igualdade de condições, se não houver desempate, será assegurada preferência, sucessivamente, aos bens e serviços produzidos ou prestados por:</w:t>
      </w:r>
    </w:p>
    <w:p>
      <w:pPr>
        <w:pStyle w:val="PargrafodaLista"/>
        <w:numPr>
          <w:ilvl w:val="2"/>
          <w:numId w:val="13"/>
        </w:numPr>
        <w:tabs>
          <w:tab w:val="left" w:pos="851"/>
        </w:tabs>
        <w:ind w:left="567" w:firstLine="0"/>
        <w:jc w:val="both"/>
        <w:rPr>
          <w:rFonts w:ascii="Cambria" w:hAnsi="Cambria" w:cstheme="minorHAnsi"/>
          <w:sz w:val="24"/>
          <w:szCs w:val="24"/>
        </w:rPr>
      </w:pPr>
      <w:r>
        <w:rPr>
          <w:rFonts w:ascii="Cambria" w:hAnsi="Cambria" w:cstheme="minorHAnsi"/>
          <w:sz w:val="24"/>
          <w:szCs w:val="24"/>
        </w:rPr>
        <w:t>Empresas estabelecidas no território do Estado ou do Distrito Federal do órgão ou entidade da Administração Pública estadual ou distrital proponente ou, no caso de licitação realizada por órgão ou entidade de Município, no território do Estado em que este se localize;</w:t>
      </w:r>
    </w:p>
    <w:p>
      <w:pPr>
        <w:pStyle w:val="PargrafodaLista"/>
        <w:numPr>
          <w:ilvl w:val="2"/>
          <w:numId w:val="13"/>
        </w:numPr>
        <w:tabs>
          <w:tab w:val="left" w:pos="851"/>
        </w:tabs>
        <w:ind w:left="567" w:firstLine="0"/>
        <w:jc w:val="both"/>
        <w:rPr>
          <w:rFonts w:ascii="Cambria" w:hAnsi="Cambria" w:cstheme="minorHAnsi"/>
          <w:sz w:val="24"/>
          <w:szCs w:val="24"/>
        </w:rPr>
      </w:pPr>
      <w:r>
        <w:rPr>
          <w:rFonts w:ascii="Cambria" w:hAnsi="Cambria" w:cstheme="minorHAnsi"/>
          <w:sz w:val="24"/>
          <w:szCs w:val="24"/>
        </w:rPr>
        <w:t>Empresas brasileiras;</w:t>
      </w:r>
    </w:p>
    <w:p>
      <w:pPr>
        <w:pStyle w:val="PargrafodaLista"/>
        <w:numPr>
          <w:ilvl w:val="2"/>
          <w:numId w:val="13"/>
        </w:numPr>
        <w:tabs>
          <w:tab w:val="left" w:pos="851"/>
        </w:tabs>
        <w:ind w:left="567" w:firstLine="0"/>
        <w:jc w:val="both"/>
        <w:rPr>
          <w:rFonts w:ascii="Cambria" w:hAnsi="Cambria" w:cstheme="minorHAnsi"/>
          <w:sz w:val="24"/>
          <w:szCs w:val="24"/>
        </w:rPr>
      </w:pPr>
      <w:r>
        <w:rPr>
          <w:rFonts w:ascii="Cambria" w:hAnsi="Cambria" w:cstheme="minorHAnsi"/>
          <w:sz w:val="24"/>
          <w:szCs w:val="24"/>
        </w:rPr>
        <w:t>Empresas que invistam em pesquisa e no desenvolvimento de tecnologia no País;</w:t>
      </w:r>
    </w:p>
    <w:p>
      <w:pPr>
        <w:pStyle w:val="PargrafodaLista"/>
        <w:numPr>
          <w:ilvl w:val="2"/>
          <w:numId w:val="13"/>
        </w:numPr>
        <w:tabs>
          <w:tab w:val="left" w:pos="851"/>
        </w:tabs>
        <w:ind w:left="567" w:firstLine="0"/>
        <w:jc w:val="both"/>
        <w:rPr>
          <w:rFonts w:ascii="Cambria" w:hAnsi="Cambria" w:cstheme="minorHAnsi"/>
          <w:sz w:val="24"/>
          <w:szCs w:val="24"/>
        </w:rPr>
      </w:pPr>
      <w:r>
        <w:rPr>
          <w:rFonts w:ascii="Cambria" w:hAnsi="Cambria" w:cstheme="minorHAnsi"/>
          <w:sz w:val="24"/>
          <w:szCs w:val="24"/>
        </w:rPr>
        <w:t>Empresas que comprovem a prática de mitigação, nos termos da Lei nº 12.187, de 29 de dezembro de 2009.</w:t>
      </w:r>
    </w:p>
    <w:p>
      <w:pPr>
        <w:pStyle w:val="PargrafodaLista"/>
        <w:numPr>
          <w:ilvl w:val="0"/>
          <w:numId w:val="11"/>
        </w:numPr>
        <w:tabs>
          <w:tab w:val="left" w:pos="284"/>
        </w:tabs>
        <w:ind w:left="0" w:firstLine="0"/>
        <w:jc w:val="both"/>
        <w:rPr>
          <w:rFonts w:ascii="Cambria" w:hAnsi="Cambria" w:cstheme="minorHAnsi"/>
          <w:sz w:val="24"/>
          <w:szCs w:val="24"/>
        </w:rPr>
      </w:pPr>
      <w:r>
        <w:rPr>
          <w:rFonts w:ascii="Cambria" w:hAnsi="Cambria" w:cstheme="minorHAnsi"/>
          <w:sz w:val="24"/>
          <w:szCs w:val="24"/>
        </w:rPr>
        <w:t>As regras previstas nas alíneas acima não prejudicarão a aplicação do disposto no art. 44 da Lei Complementar nº 123, de 14 de dezembro de 2006.</w:t>
      </w:r>
    </w:p>
    <w:p>
      <w:pPr>
        <w:pStyle w:val="PargrafodaLista"/>
        <w:tabs>
          <w:tab w:val="left" w:pos="426"/>
        </w:tabs>
        <w:ind w:left="0"/>
        <w:jc w:val="both"/>
        <w:rPr>
          <w:rFonts w:ascii="Cambria" w:hAnsi="Cambria" w:cstheme="minorHAnsi"/>
          <w:b/>
          <w:bCs/>
          <w:sz w:val="24"/>
          <w:szCs w:val="24"/>
          <w:u w:val="single"/>
        </w:rPr>
      </w:pPr>
    </w:p>
    <w:p>
      <w:pPr>
        <w:pStyle w:val="PargrafodaLista"/>
        <w:numPr>
          <w:ilvl w:val="1"/>
          <w:numId w:val="5"/>
        </w:numPr>
        <w:tabs>
          <w:tab w:val="left" w:pos="426"/>
        </w:tabs>
        <w:ind w:left="0" w:firstLine="0"/>
        <w:jc w:val="both"/>
        <w:rPr>
          <w:rFonts w:ascii="Cambria" w:hAnsi="Cambria" w:cstheme="minorHAnsi"/>
          <w:b/>
          <w:bCs/>
          <w:sz w:val="24"/>
          <w:szCs w:val="24"/>
          <w:u w:val="single"/>
        </w:rPr>
      </w:pPr>
      <w:r>
        <w:rPr>
          <w:rFonts w:ascii="Cambria" w:hAnsi="Cambria" w:cstheme="minorHAnsi"/>
          <w:b/>
          <w:bCs/>
          <w:sz w:val="24"/>
          <w:szCs w:val="24"/>
          <w:u w:val="single"/>
        </w:rPr>
        <w:t>DA NEGOCIAÇÃO:</w:t>
      </w:r>
    </w:p>
    <w:p>
      <w:pPr>
        <w:pStyle w:val="PargrafodaLista"/>
        <w:numPr>
          <w:ilvl w:val="2"/>
          <w:numId w:val="5"/>
        </w:numPr>
        <w:tabs>
          <w:tab w:val="left" w:pos="567"/>
        </w:tabs>
        <w:ind w:left="0" w:firstLine="0"/>
        <w:jc w:val="both"/>
        <w:rPr>
          <w:rFonts w:ascii="Cambria" w:hAnsi="Cambria" w:cstheme="minorHAnsi"/>
          <w:sz w:val="24"/>
          <w:szCs w:val="24"/>
        </w:rPr>
      </w:pPr>
      <w:r>
        <w:rPr>
          <w:rFonts w:ascii="Cambria" w:hAnsi="Cambria" w:cstheme="minorHAnsi"/>
          <w:sz w:val="24"/>
          <w:szCs w:val="24"/>
        </w:rPr>
        <w:lastRenderedPageBreak/>
        <w:t>Apurada a proposta/lance classificado em primeiro lugar, o Pregoeiro poderá encaminhar, pela plataforma eletrônica, contra proposta ao proponente para que seja obtido melhor preço, observado o critério de julgamento, não se admitindo negociar condições diferentes daquelas previstas neste Edital.</w:t>
      </w:r>
    </w:p>
    <w:p>
      <w:pPr>
        <w:pStyle w:val="PargrafodaLista"/>
        <w:numPr>
          <w:ilvl w:val="2"/>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A negociação será realizada por meio do sistema, podendo ser acompanhada pelos demais proponentes.</w:t>
      </w:r>
    </w:p>
    <w:p>
      <w:pPr>
        <w:pStyle w:val="PargrafodaLista"/>
        <w:numPr>
          <w:ilvl w:val="2"/>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Após a negociação do preço, o Pregoeiro solicitará a proposta de preços final (consolidada) devidamente escoimada do(s) proponente(s) vencedor(es).</w:t>
      </w:r>
    </w:p>
    <w:p>
      <w:pPr>
        <w:pStyle w:val="Corpodetexto"/>
        <w:tabs>
          <w:tab w:val="left" w:pos="-1701"/>
          <w:tab w:val="left" w:pos="809"/>
        </w:tabs>
        <w:autoSpaceDE w:val="0"/>
        <w:autoSpaceDN w:val="0"/>
        <w:adjustRightInd w:val="0"/>
        <w:rPr>
          <w:rFonts w:ascii="Cambria" w:hAnsi="Cambria" w:cstheme="minorHAnsi"/>
          <w:b/>
          <w:bCs/>
          <w:color w:val="FF0000"/>
          <w:sz w:val="24"/>
          <w:szCs w:val="24"/>
        </w:rPr>
      </w:pPr>
    </w:p>
    <w:p>
      <w:pPr>
        <w:pStyle w:val="PargrafodaLista"/>
        <w:numPr>
          <w:ilvl w:val="1"/>
          <w:numId w:val="5"/>
        </w:numPr>
        <w:tabs>
          <w:tab w:val="left" w:pos="426"/>
        </w:tabs>
        <w:ind w:left="0" w:firstLine="0"/>
        <w:jc w:val="both"/>
        <w:rPr>
          <w:rFonts w:ascii="Cambria" w:hAnsi="Cambria" w:cstheme="minorHAnsi"/>
          <w:b/>
          <w:bCs/>
          <w:sz w:val="24"/>
          <w:szCs w:val="24"/>
          <w:u w:val="single"/>
        </w:rPr>
      </w:pPr>
      <w:r>
        <w:rPr>
          <w:rFonts w:ascii="Cambria" w:hAnsi="Cambria" w:cstheme="minorHAnsi"/>
          <w:b/>
          <w:bCs/>
          <w:sz w:val="24"/>
          <w:szCs w:val="24"/>
          <w:u w:val="single"/>
        </w:rPr>
        <w:t>DA APRESENTAÇÃO DA PROPOSTA DE PREÇOS FINAL (CONSOLIDADA):</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 xml:space="preserve">Encerrada a fase de lances e ou negociação, depois de declarado aceito o preço proposto quanto ao último lance ou ao valor negociado, o proponente vencedor deverá encaminhar proposta de preços final (consolidada), devidamente assinada, com os preços atualizados, no prazo máximo de até </w:t>
      </w:r>
      <w:r>
        <w:rPr>
          <w:rFonts w:ascii="Cambria" w:hAnsi="Cambria" w:cstheme="minorHAnsi"/>
          <w:b/>
          <w:bCs/>
          <w:sz w:val="24"/>
          <w:szCs w:val="24"/>
        </w:rPr>
        <w:t>02 (duas) horas</w:t>
      </w:r>
      <w:r>
        <w:rPr>
          <w:rFonts w:ascii="Cambria" w:hAnsi="Cambria" w:cstheme="minorHAnsi"/>
          <w:sz w:val="24"/>
          <w:szCs w:val="24"/>
        </w:rPr>
        <w:t>, contado da solicitação do Pregoeiro no sistema.</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Esse prazo poderá ser estendido e/ou prorrogado a critério do Pregoeiro ou a pedido da autoridade competente, caso este constate a necessidade de maior tempo para elaboração da proposta de preço adequada.</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A Proposta de preços final (consolidada) deverá ser apresentada nos mesmos padrões e formalidades exigidas a proposta de preços inicial.</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A Proposta de Preços final (consolidada) deverá retratar os preços unitários e totais de cada item ao novo valor proposto, atualizados em consonância com o preço obtido após a fase de lance/negociação, podendo, o Pregoeiro confrontá-la ante a proposta de preços (inicial).</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Caso não seja possível o enquadramento do último valor global ofertado para o Item e ou lote/grupo quando da formulação da proposta de preços final (consolidada) a proponente poderá fazer a devidas adequações, desde que apresente valores inferiores ao seu próprio último valor ofertado.</w:t>
      </w:r>
    </w:p>
    <w:p>
      <w:pPr>
        <w:pStyle w:val="PargrafodaLista"/>
        <w:numPr>
          <w:ilvl w:val="2"/>
          <w:numId w:val="5"/>
        </w:numPr>
        <w:ind w:left="0" w:firstLine="0"/>
        <w:jc w:val="both"/>
        <w:rPr>
          <w:rFonts w:ascii="Cambria" w:hAnsi="Cambria" w:cstheme="minorHAnsi"/>
          <w:b/>
          <w:bCs/>
          <w:sz w:val="24"/>
          <w:szCs w:val="24"/>
        </w:rPr>
      </w:pPr>
      <w:r>
        <w:rPr>
          <w:rFonts w:ascii="Cambria" w:hAnsi="Cambria" w:cstheme="minorHAnsi"/>
          <w:sz w:val="24"/>
          <w:szCs w:val="24"/>
        </w:rPr>
        <w:t xml:space="preserve">A proposta de preços final (consolidada) deverá possuir redução proporcional ao lance ofertado em todos os Itens e ou lotes/grupos, conforme critério de julgamento definido. </w:t>
      </w:r>
    </w:p>
    <w:p>
      <w:pPr>
        <w:pStyle w:val="PargrafodaLista"/>
        <w:ind w:left="0"/>
        <w:jc w:val="both"/>
        <w:rPr>
          <w:rFonts w:ascii="Cambria" w:hAnsi="Cambria" w:cstheme="minorHAnsi"/>
          <w:b/>
          <w:bCs/>
          <w:sz w:val="24"/>
          <w:szCs w:val="24"/>
        </w:rPr>
      </w:pPr>
    </w:p>
    <w:p>
      <w:pPr>
        <w:pStyle w:val="PargrafodaLista"/>
        <w:pBdr>
          <w:top w:val="dashSmallGap" w:sz="12" w:space="1" w:color="FF0000"/>
          <w:left w:val="dashSmallGap" w:sz="12" w:space="4" w:color="FF0000"/>
          <w:bottom w:val="dashSmallGap" w:sz="12" w:space="1" w:color="FF0000"/>
          <w:right w:val="dashSmallGap" w:sz="12" w:space="4" w:color="FF0000"/>
        </w:pBdr>
        <w:tabs>
          <w:tab w:val="left" w:pos="426"/>
        </w:tabs>
        <w:ind w:left="142"/>
        <w:jc w:val="both"/>
        <w:rPr>
          <w:rFonts w:ascii="Cambria" w:hAnsi="Cambria" w:cstheme="minorHAnsi"/>
          <w:sz w:val="24"/>
          <w:szCs w:val="24"/>
        </w:rPr>
      </w:pPr>
      <w:r>
        <w:rPr>
          <w:rFonts w:ascii="Cambria" w:hAnsi="Cambria" w:cstheme="minorHAnsi"/>
          <w:b/>
          <w:bCs/>
          <w:sz w:val="24"/>
          <w:szCs w:val="24"/>
        </w:rPr>
        <w:t xml:space="preserve">OBSERVAÇÃO: </w:t>
      </w:r>
      <w:r>
        <w:rPr>
          <w:rFonts w:ascii="Cambria" w:hAnsi="Cambria" w:cstheme="minorHAnsi"/>
          <w:sz w:val="24"/>
          <w:szCs w:val="24"/>
        </w:rPr>
        <w:t>Não serão aceitas reduções apenas em determinados itens do lote/grupo.</w:t>
      </w:r>
    </w:p>
    <w:p>
      <w:pPr>
        <w:pStyle w:val="PargrafodaLista"/>
        <w:ind w:left="0"/>
        <w:jc w:val="both"/>
        <w:rPr>
          <w:rFonts w:ascii="Cambria" w:hAnsi="Cambria" w:cstheme="minorHAnsi"/>
          <w:b/>
          <w:bCs/>
          <w:sz w:val="24"/>
          <w:szCs w:val="24"/>
        </w:rPr>
      </w:pP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A proponente deverá evitar que os valores globais extrapolem o número de 02 (duas) casas decimais após a vírgula. Caso isto ocorra, o Pregoeiro estará autorizado a adjudicar o objeto realizando arredondamentos a menor no valor cotado.</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A qualquer momento, o Pregoeiro poderá solicitar parecer, consultas, análises e verificações por parte de técnicos pertencentes ao quadro de pessoal do Município de Miraíma/CE ou da autoridade competente para fins de avaliação da conformidade do objeto cotado às especificações técnicas contidas no Termo de Referência.</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Será DESCLASSIFICADA, por despacho fundamentado, a proposta do licitante que, ressalvadas as situações e procedimentos previstos nos itens 9.6.9.3 e 9.6.9.4deste Edital:</w:t>
      </w:r>
    </w:p>
    <w:p>
      <w:pPr>
        <w:pStyle w:val="PargrafodaLista"/>
        <w:numPr>
          <w:ilvl w:val="3"/>
          <w:numId w:val="16"/>
        </w:numPr>
        <w:tabs>
          <w:tab w:val="left" w:pos="284"/>
        </w:tabs>
        <w:ind w:left="0" w:firstLine="0"/>
        <w:jc w:val="both"/>
        <w:rPr>
          <w:rFonts w:ascii="Cambria" w:hAnsi="Cambria" w:cstheme="minorHAnsi"/>
          <w:sz w:val="24"/>
          <w:szCs w:val="24"/>
        </w:rPr>
      </w:pPr>
      <w:r>
        <w:rPr>
          <w:rFonts w:ascii="Cambria" w:hAnsi="Cambria" w:cstheme="minorHAnsi"/>
          <w:sz w:val="24"/>
          <w:szCs w:val="24"/>
        </w:rPr>
        <w:t>Deixar de comprovar requisito para fins de exercício de DIREITO DE PREFERÊNCIA (se for o caso);</w:t>
      </w:r>
    </w:p>
    <w:p>
      <w:pPr>
        <w:pStyle w:val="PargrafodaLista"/>
        <w:numPr>
          <w:ilvl w:val="3"/>
          <w:numId w:val="16"/>
        </w:numPr>
        <w:tabs>
          <w:tab w:val="left" w:pos="284"/>
        </w:tabs>
        <w:ind w:left="0" w:firstLine="0"/>
        <w:jc w:val="both"/>
        <w:rPr>
          <w:rFonts w:ascii="Cambria" w:hAnsi="Cambria" w:cstheme="minorHAnsi"/>
          <w:sz w:val="24"/>
          <w:szCs w:val="24"/>
        </w:rPr>
      </w:pPr>
      <w:r>
        <w:rPr>
          <w:rFonts w:ascii="Cambria" w:hAnsi="Cambria" w:cstheme="minorHAnsi"/>
          <w:sz w:val="24"/>
          <w:szCs w:val="24"/>
        </w:rPr>
        <w:t>Deixar de indicar, anexar ou comprovar as informações exigidas neste Edital (e seus ANEXOS) que prejudiquem a Avaliação da qualidade do objeto proposto;</w:t>
      </w:r>
    </w:p>
    <w:p>
      <w:pPr>
        <w:pStyle w:val="PargrafodaLista"/>
        <w:numPr>
          <w:ilvl w:val="3"/>
          <w:numId w:val="16"/>
        </w:numPr>
        <w:tabs>
          <w:tab w:val="left" w:pos="284"/>
        </w:tabs>
        <w:ind w:left="0" w:firstLine="0"/>
        <w:jc w:val="both"/>
        <w:rPr>
          <w:rFonts w:ascii="Cambria" w:hAnsi="Cambria" w:cstheme="minorHAnsi"/>
          <w:sz w:val="24"/>
          <w:szCs w:val="24"/>
        </w:rPr>
      </w:pPr>
      <w:r>
        <w:rPr>
          <w:rFonts w:ascii="Cambria" w:hAnsi="Cambria" w:cstheme="minorHAnsi"/>
          <w:sz w:val="24"/>
          <w:szCs w:val="24"/>
        </w:rPr>
        <w:lastRenderedPageBreak/>
        <w:t>Indique objeto que não atenda a todas as exigências de qualidade, amostras e às especificações técnicas contidas no Termo de Referência (anexo 01);</w:t>
      </w:r>
    </w:p>
    <w:p>
      <w:pPr>
        <w:pStyle w:val="PargrafodaLista"/>
        <w:numPr>
          <w:ilvl w:val="3"/>
          <w:numId w:val="16"/>
        </w:numPr>
        <w:tabs>
          <w:tab w:val="left" w:pos="284"/>
        </w:tabs>
        <w:ind w:left="0" w:firstLine="0"/>
        <w:jc w:val="both"/>
        <w:rPr>
          <w:rFonts w:ascii="Cambria" w:hAnsi="Cambria" w:cstheme="minorHAnsi"/>
          <w:sz w:val="24"/>
          <w:szCs w:val="24"/>
        </w:rPr>
      </w:pPr>
      <w:r>
        <w:rPr>
          <w:rFonts w:ascii="Cambria" w:hAnsi="Cambria" w:cstheme="minorHAnsi"/>
          <w:sz w:val="24"/>
          <w:szCs w:val="24"/>
        </w:rPr>
        <w:t>Não contenha a quantidade numérica e unidade métrica exigidas no Termo de Referência (anexo 01).</w:t>
      </w:r>
    </w:p>
    <w:p>
      <w:pPr>
        <w:pStyle w:val="PargrafodaLista"/>
        <w:numPr>
          <w:ilvl w:val="3"/>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Será CLASSIFICADA a proposta que atenda satisfatoriamente a todas as exigências fixadas no Edital e seus ANEXOS, bem como cujo objeto proposto esteja tecnicamente conforme com as especificações mínimas exigidas no Termo de Referência (anexo 01).</w:t>
      </w:r>
    </w:p>
    <w:p>
      <w:pPr>
        <w:pStyle w:val="PargrafodaLista"/>
        <w:numPr>
          <w:ilvl w:val="3"/>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Se a proposta for DESCLASSIFICADA, o Pregoeiro examinará a PROPOSTA SUBSEQUENTE, e assim sucessivamente, na ordem de classificação, até a apuração de uma proposta que atenda a este Edital e seus ANEXOS, segundo os procedimentos fixados nos subitens anteriores.</w:t>
      </w:r>
    </w:p>
    <w:p>
      <w:pPr>
        <w:pStyle w:val="PargrafodaLista"/>
        <w:numPr>
          <w:ilvl w:val="3"/>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Determinadas informações e formalidades exigidas pelo presente Edital e seus ANEXOS que não afetem a essência da proposta do licitante poderão, a critério do Pregoeiro ou da Autoridade Competente, mediante despacho fundamentado, ser dispensadas ou até mesmo complementadas via sistema (via CHAT) ou da ferramenta "ENVIAR ANEXO" pelo Pregoeiro, a qualquer momento durante a fase de julgamento, no sentido de ampliar a competitividade e atingir a finalidade do certame.</w:t>
      </w:r>
    </w:p>
    <w:p>
      <w:pPr>
        <w:pStyle w:val="PargrafodaLista"/>
        <w:numPr>
          <w:ilvl w:val="3"/>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No julgamento das propostas, e considerando o interesse público na maior competitividade possível no certame, o Pregoeiro poderá:</w:t>
      </w:r>
    </w:p>
    <w:p>
      <w:pPr>
        <w:pStyle w:val="PargrafodaLista"/>
        <w:numPr>
          <w:ilvl w:val="3"/>
          <w:numId w:val="17"/>
        </w:numPr>
        <w:tabs>
          <w:tab w:val="left" w:pos="284"/>
        </w:tabs>
        <w:ind w:left="0" w:firstLine="0"/>
        <w:jc w:val="both"/>
        <w:rPr>
          <w:rFonts w:ascii="Cambria" w:hAnsi="Cambria" w:cstheme="minorHAnsi"/>
          <w:sz w:val="24"/>
          <w:szCs w:val="24"/>
        </w:rPr>
      </w:pPr>
      <w:r>
        <w:rPr>
          <w:rFonts w:ascii="Cambria" w:hAnsi="Cambria" w:cstheme="minorHAnsi"/>
          <w:sz w:val="24"/>
          <w:szCs w:val="24"/>
        </w:rPr>
        <w:t>Solicitar complementação de informações, documentos e ajustes na proposta escrita para fins de atendimentos das exigências legais e editalícias;</w:t>
      </w:r>
    </w:p>
    <w:p>
      <w:pPr>
        <w:pStyle w:val="PargrafodaLista"/>
        <w:numPr>
          <w:ilvl w:val="3"/>
          <w:numId w:val="17"/>
        </w:numPr>
        <w:tabs>
          <w:tab w:val="left" w:pos="284"/>
        </w:tabs>
        <w:ind w:left="0" w:firstLine="0"/>
        <w:jc w:val="both"/>
        <w:rPr>
          <w:rFonts w:ascii="Cambria" w:hAnsi="Cambria" w:cstheme="minorHAnsi"/>
          <w:sz w:val="24"/>
          <w:szCs w:val="24"/>
        </w:rPr>
      </w:pPr>
      <w:r>
        <w:rPr>
          <w:rFonts w:ascii="Cambria" w:hAnsi="Cambria" w:cstheme="minorHAnsi"/>
          <w:sz w:val="24"/>
          <w:szCs w:val="24"/>
        </w:rPr>
        <w:t>Solicitar ajustes aritméticos e/ou de percentuais e valores da planilha de custo e formação de preços para fins de adequação da proposta às exigências legais e editalícias, vedada majoração do valor global proposto;</w:t>
      </w:r>
    </w:p>
    <w:p>
      <w:pPr>
        <w:pStyle w:val="PargrafodaLista"/>
        <w:numPr>
          <w:ilvl w:val="3"/>
          <w:numId w:val="17"/>
        </w:numPr>
        <w:tabs>
          <w:tab w:val="left" w:pos="284"/>
        </w:tabs>
        <w:ind w:left="0" w:firstLine="0"/>
        <w:jc w:val="both"/>
        <w:rPr>
          <w:rFonts w:ascii="Cambria" w:hAnsi="Cambria" w:cstheme="minorHAnsi"/>
          <w:sz w:val="24"/>
          <w:szCs w:val="24"/>
        </w:rPr>
      </w:pPr>
      <w:r>
        <w:rPr>
          <w:rFonts w:ascii="Cambria" w:hAnsi="Cambria" w:cstheme="minorHAnsi"/>
          <w:sz w:val="24"/>
          <w:szCs w:val="24"/>
        </w:rPr>
        <w:t>Sanar erros ou falhas que não alterem a substância e nem a validade jurídica das propostas e documentos ANEXOS, mediante despacho fundamentado, registrado em ata e acessível a todos, atribuindo-lhes validade e eficácia para fins de classificação;</w:t>
      </w:r>
    </w:p>
    <w:p>
      <w:pPr>
        <w:pStyle w:val="PargrafodaLista"/>
        <w:numPr>
          <w:ilvl w:val="3"/>
          <w:numId w:val="17"/>
        </w:numPr>
        <w:tabs>
          <w:tab w:val="left" w:pos="284"/>
        </w:tabs>
        <w:ind w:left="0" w:firstLine="0"/>
        <w:jc w:val="both"/>
        <w:rPr>
          <w:rFonts w:ascii="Cambria" w:hAnsi="Cambria" w:cstheme="minorHAnsi"/>
          <w:sz w:val="24"/>
          <w:szCs w:val="24"/>
        </w:rPr>
      </w:pPr>
      <w:r>
        <w:rPr>
          <w:rFonts w:ascii="Cambria" w:hAnsi="Cambria" w:cstheme="minorHAnsi"/>
          <w:sz w:val="24"/>
          <w:szCs w:val="24"/>
        </w:rPr>
        <w:t>Realizar diligências em sítios oficiais e/ou via telefone para fins de complementação de informações acessórias ou que não prejudiquem a segurança da proposta do particular, sendo tudo consignado, via CHAT, na ata dos trabalhos.</w:t>
      </w:r>
    </w:p>
    <w:p>
      <w:pPr>
        <w:pStyle w:val="PargrafodaLista"/>
        <w:numPr>
          <w:ilvl w:val="3"/>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Sempre que a proposta não for aceita ou for desclassificada, e antes do Pregoeiro passar à análise da subsequente, poderá haver nova verificação automática, pelo sistema, da eventual ocorrência do empate, previsto nos arts. 44 e 45 da LC nº 123/2006, podendo-se reabrir os procedimentos previstos no item 9.5 deste Edital.</w:t>
      </w:r>
    </w:p>
    <w:p>
      <w:pPr>
        <w:pStyle w:val="Corpodetexto"/>
        <w:tabs>
          <w:tab w:val="left" w:pos="-1701"/>
          <w:tab w:val="left" w:pos="809"/>
        </w:tabs>
        <w:rPr>
          <w:rFonts w:ascii="Cambria" w:hAnsi="Cambria" w:cstheme="minorHAnsi"/>
          <w:b/>
          <w:bCs/>
          <w:sz w:val="24"/>
          <w:szCs w:val="24"/>
        </w:rPr>
      </w:pPr>
    </w:p>
    <w:p>
      <w:pPr>
        <w:pStyle w:val="PargrafodaLista"/>
        <w:numPr>
          <w:ilvl w:val="1"/>
          <w:numId w:val="5"/>
        </w:numPr>
        <w:tabs>
          <w:tab w:val="left" w:pos="426"/>
        </w:tabs>
        <w:ind w:left="0" w:firstLine="0"/>
        <w:jc w:val="both"/>
        <w:rPr>
          <w:rFonts w:ascii="Cambria" w:hAnsi="Cambria" w:cstheme="minorHAnsi"/>
          <w:b/>
          <w:bCs/>
          <w:sz w:val="24"/>
          <w:szCs w:val="24"/>
          <w:u w:val="single"/>
        </w:rPr>
      </w:pPr>
      <w:r>
        <w:rPr>
          <w:rFonts w:ascii="Cambria" w:hAnsi="Cambria" w:cstheme="minorHAnsi"/>
          <w:b/>
          <w:bCs/>
          <w:sz w:val="24"/>
          <w:szCs w:val="24"/>
          <w:u w:val="single"/>
        </w:rPr>
        <w:t xml:space="preserve">DA ACEITABILIDADE DA PROPOSTA: </w:t>
      </w:r>
    </w:p>
    <w:p>
      <w:pPr>
        <w:pStyle w:val="PargrafodaLista"/>
        <w:numPr>
          <w:ilvl w:val="2"/>
          <w:numId w:val="5"/>
        </w:numPr>
        <w:ind w:left="0" w:firstLine="0"/>
        <w:jc w:val="both"/>
        <w:rPr>
          <w:rFonts w:ascii="Cambria" w:hAnsi="Cambria" w:cstheme="minorHAnsi"/>
          <w:b/>
          <w:bCs/>
          <w:sz w:val="24"/>
          <w:szCs w:val="24"/>
        </w:rPr>
      </w:pPr>
      <w:r>
        <w:rPr>
          <w:rFonts w:ascii="Cambria" w:hAnsi="Cambria" w:cstheme="minorHAnsi"/>
          <w:b/>
          <w:bCs/>
          <w:sz w:val="24"/>
          <w:szCs w:val="24"/>
        </w:rPr>
        <w:t>Da exequibilidade do lance ou proposta de preços:</w:t>
      </w:r>
    </w:p>
    <w:p>
      <w:pPr>
        <w:pStyle w:val="PargrafodaLista"/>
        <w:numPr>
          <w:ilvl w:val="3"/>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Não ocorrendo situação de recusa com base na hipótese acima, o Pregoeiro examinará a proposta classificada em primeiro lugar quanto ao preço, a sua exequibilidade, bem como quanto ao cumprimento das especificações do objeto.</w:t>
      </w:r>
    </w:p>
    <w:p>
      <w:pPr>
        <w:pStyle w:val="PargrafodaLista"/>
        <w:numPr>
          <w:ilvl w:val="3"/>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Será desclassificada a proposta ou o lance vencedor, apresentar preço final superior ao preço máximo fixado (Acórdão nº 1455/2018 -TCU - Plenário), desconto menor do que o mínimo exigido ou que apresentar preço manifestamente inexequível.</w:t>
      </w:r>
    </w:p>
    <w:p>
      <w:pPr>
        <w:pStyle w:val="PargrafodaLista"/>
        <w:numPr>
          <w:ilvl w:val="3"/>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 xml:space="preserve">Se houver indícios de inexequibilidade da proposta de preço, ou em caso da necessidade de esclarecimentos complementares, poderão ser efetuadas diligências, na forma </w:t>
      </w:r>
      <w:r>
        <w:rPr>
          <w:rFonts w:ascii="Cambria" w:hAnsi="Cambria" w:cstheme="minorHAnsi"/>
          <w:sz w:val="24"/>
          <w:szCs w:val="24"/>
        </w:rPr>
        <w:lastRenderedPageBreak/>
        <w:t xml:space="preserve">do art. 59, inc. III, Lei nº 14.133/2021 para permitir ao proponente demonstrar a exequibilidade de seu preço. </w:t>
      </w:r>
    </w:p>
    <w:p>
      <w:pPr>
        <w:pStyle w:val="PargrafodaLista"/>
        <w:numPr>
          <w:ilvl w:val="3"/>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Considerar-se-á inexequível a proposta que:</w:t>
      </w:r>
    </w:p>
    <w:p>
      <w:pPr>
        <w:pStyle w:val="Corpodetexto"/>
        <w:numPr>
          <w:ilvl w:val="0"/>
          <w:numId w:val="14"/>
        </w:numPr>
        <w:tabs>
          <w:tab w:val="left" w:pos="-1701"/>
          <w:tab w:val="left" w:pos="284"/>
        </w:tabs>
        <w:ind w:left="0" w:firstLine="0"/>
        <w:rPr>
          <w:rFonts w:ascii="Cambria" w:hAnsi="Cambria" w:cstheme="minorHAnsi"/>
          <w:sz w:val="24"/>
          <w:szCs w:val="24"/>
        </w:rPr>
      </w:pPr>
      <w:r>
        <w:rPr>
          <w:rFonts w:ascii="Cambria" w:hAnsi="Cambria" w:cstheme="minorHAnsi"/>
          <w:sz w:val="24"/>
          <w:szCs w:val="24"/>
        </w:rPr>
        <w:t>Não venha a ter demonstrada sua viabilidade por meio de documentação que comprove que os custos envolvidos na contratação são coerentes com os de mercado do objeto deste Pregão.</w:t>
      </w:r>
    </w:p>
    <w:p>
      <w:pPr>
        <w:pStyle w:val="Corpodetexto"/>
        <w:tabs>
          <w:tab w:val="left" w:pos="-1701"/>
          <w:tab w:val="left" w:pos="809"/>
        </w:tabs>
        <w:rPr>
          <w:rFonts w:ascii="Cambria" w:hAnsi="Cambria" w:cstheme="minorHAnsi"/>
          <w:sz w:val="24"/>
          <w:szCs w:val="24"/>
        </w:rPr>
      </w:pPr>
      <w:r>
        <w:rPr>
          <w:rFonts w:ascii="Cambria" w:hAnsi="Cambria" w:cstheme="minorHAnsi"/>
          <w:sz w:val="24"/>
          <w:szCs w:val="24"/>
        </w:rPr>
        <w:t>a.1) Para efeito de comprovação de sua exequibilidade, podendo-se adotar, dentre outros, os seguintes procedimentos:</w:t>
      </w:r>
    </w:p>
    <w:p>
      <w:pPr>
        <w:pStyle w:val="Corpodetexto"/>
        <w:numPr>
          <w:ilvl w:val="0"/>
          <w:numId w:val="43"/>
        </w:numPr>
        <w:tabs>
          <w:tab w:val="left" w:pos="-1701"/>
          <w:tab w:val="left" w:pos="426"/>
        </w:tabs>
        <w:ind w:left="426" w:hanging="66"/>
        <w:rPr>
          <w:rFonts w:ascii="Cambria" w:hAnsi="Cambria" w:cstheme="minorHAnsi"/>
          <w:sz w:val="24"/>
          <w:szCs w:val="24"/>
        </w:rPr>
      </w:pPr>
      <w:r>
        <w:rPr>
          <w:rFonts w:ascii="Cambria" w:hAnsi="Cambria" w:cstheme="minorHAnsi"/>
          <w:sz w:val="24"/>
          <w:szCs w:val="24"/>
        </w:rPr>
        <w:t>Questionamentos junto à proponente para a apresentação de justificativas e comprovações em relação aos custos com indícios de inexequibilidade;</w:t>
      </w:r>
    </w:p>
    <w:p>
      <w:pPr>
        <w:pStyle w:val="Corpodetexto"/>
        <w:numPr>
          <w:ilvl w:val="0"/>
          <w:numId w:val="43"/>
        </w:numPr>
        <w:tabs>
          <w:tab w:val="left" w:pos="-1701"/>
          <w:tab w:val="left" w:pos="426"/>
        </w:tabs>
        <w:ind w:left="426" w:hanging="66"/>
        <w:rPr>
          <w:rFonts w:ascii="Cambria" w:hAnsi="Cambria" w:cstheme="minorHAnsi"/>
          <w:sz w:val="24"/>
          <w:szCs w:val="24"/>
        </w:rPr>
      </w:pPr>
      <w:r>
        <w:rPr>
          <w:rFonts w:ascii="Cambria" w:hAnsi="Cambria" w:cstheme="minorHAnsi"/>
          <w:sz w:val="24"/>
          <w:szCs w:val="24"/>
        </w:rPr>
        <w:t xml:space="preserve">Verificação de acordos coletivos, convenções coletivas ou sentenças normativas em dissídios coletivos de trabalho; </w:t>
      </w:r>
    </w:p>
    <w:p>
      <w:pPr>
        <w:pStyle w:val="Corpodetexto"/>
        <w:numPr>
          <w:ilvl w:val="0"/>
          <w:numId w:val="43"/>
        </w:numPr>
        <w:tabs>
          <w:tab w:val="left" w:pos="-1701"/>
          <w:tab w:val="left" w:pos="426"/>
        </w:tabs>
        <w:ind w:left="426" w:hanging="66"/>
        <w:rPr>
          <w:rFonts w:ascii="Cambria" w:hAnsi="Cambria" w:cstheme="minorHAnsi"/>
          <w:sz w:val="24"/>
          <w:szCs w:val="24"/>
        </w:rPr>
      </w:pPr>
      <w:r>
        <w:rPr>
          <w:rFonts w:ascii="Cambria" w:hAnsi="Cambria" w:cstheme="minorHAnsi"/>
          <w:sz w:val="24"/>
          <w:szCs w:val="24"/>
        </w:rPr>
        <w:t xml:space="preserve">Levantamento de informações junto aos órgãos públicos competentes; </w:t>
      </w:r>
    </w:p>
    <w:p>
      <w:pPr>
        <w:pStyle w:val="Corpodetexto"/>
        <w:numPr>
          <w:ilvl w:val="0"/>
          <w:numId w:val="43"/>
        </w:numPr>
        <w:tabs>
          <w:tab w:val="left" w:pos="-1701"/>
          <w:tab w:val="left" w:pos="426"/>
        </w:tabs>
        <w:ind w:left="426" w:hanging="66"/>
        <w:rPr>
          <w:rFonts w:ascii="Cambria" w:hAnsi="Cambria" w:cstheme="minorHAnsi"/>
          <w:sz w:val="24"/>
          <w:szCs w:val="24"/>
        </w:rPr>
      </w:pPr>
      <w:r>
        <w:rPr>
          <w:rFonts w:ascii="Cambria" w:hAnsi="Cambria" w:cstheme="minorHAnsi"/>
          <w:sz w:val="24"/>
          <w:szCs w:val="24"/>
        </w:rPr>
        <w:t xml:space="preserve">Consultas a entidades ou conselhos de classe, sindicatos ou similares; </w:t>
      </w:r>
    </w:p>
    <w:p>
      <w:pPr>
        <w:pStyle w:val="Corpodetexto"/>
        <w:numPr>
          <w:ilvl w:val="0"/>
          <w:numId w:val="43"/>
        </w:numPr>
        <w:tabs>
          <w:tab w:val="left" w:pos="-1701"/>
          <w:tab w:val="left" w:pos="426"/>
        </w:tabs>
        <w:ind w:left="426" w:hanging="66"/>
        <w:rPr>
          <w:rFonts w:ascii="Cambria" w:hAnsi="Cambria" w:cstheme="minorHAnsi"/>
          <w:sz w:val="24"/>
          <w:szCs w:val="24"/>
        </w:rPr>
      </w:pPr>
      <w:r>
        <w:rPr>
          <w:rFonts w:ascii="Cambria" w:hAnsi="Cambria" w:cstheme="minorHAnsi"/>
          <w:sz w:val="24"/>
          <w:szCs w:val="24"/>
        </w:rPr>
        <w:t xml:space="preserve">Pesquisas em órgãos públicos ou empresas privadas; </w:t>
      </w:r>
    </w:p>
    <w:p>
      <w:pPr>
        <w:pStyle w:val="Corpodetexto"/>
        <w:numPr>
          <w:ilvl w:val="0"/>
          <w:numId w:val="43"/>
        </w:numPr>
        <w:tabs>
          <w:tab w:val="left" w:pos="-1701"/>
          <w:tab w:val="left" w:pos="426"/>
        </w:tabs>
        <w:ind w:left="426" w:hanging="66"/>
        <w:rPr>
          <w:rFonts w:ascii="Cambria" w:hAnsi="Cambria" w:cstheme="minorHAnsi"/>
          <w:sz w:val="24"/>
          <w:szCs w:val="24"/>
        </w:rPr>
      </w:pPr>
      <w:r>
        <w:rPr>
          <w:rFonts w:ascii="Cambria" w:hAnsi="Cambria" w:cstheme="minorHAnsi"/>
          <w:sz w:val="24"/>
          <w:szCs w:val="24"/>
        </w:rPr>
        <w:t xml:space="preserve">Verificação de outros contratos que a proponente mantenha com a Administração ou com a iniciativa privada; </w:t>
      </w:r>
    </w:p>
    <w:p>
      <w:pPr>
        <w:pStyle w:val="Corpodetexto"/>
        <w:numPr>
          <w:ilvl w:val="0"/>
          <w:numId w:val="43"/>
        </w:numPr>
        <w:tabs>
          <w:tab w:val="left" w:pos="-1701"/>
          <w:tab w:val="left" w:pos="426"/>
        </w:tabs>
        <w:ind w:left="426" w:hanging="66"/>
        <w:rPr>
          <w:rFonts w:ascii="Cambria" w:hAnsi="Cambria" w:cstheme="minorHAnsi"/>
          <w:sz w:val="24"/>
          <w:szCs w:val="24"/>
        </w:rPr>
      </w:pPr>
      <w:r>
        <w:rPr>
          <w:rFonts w:ascii="Cambria" w:hAnsi="Cambria" w:cstheme="minorHAnsi"/>
          <w:sz w:val="24"/>
          <w:szCs w:val="24"/>
        </w:rPr>
        <w:t xml:space="preserve">Pesquisa de preço com fornecedores dos insumos utilizados, tais como: atacadistas, lojas de suprimentos, supermercados e fabricantes; </w:t>
      </w:r>
    </w:p>
    <w:p>
      <w:pPr>
        <w:pStyle w:val="Corpodetexto"/>
        <w:numPr>
          <w:ilvl w:val="0"/>
          <w:numId w:val="43"/>
        </w:numPr>
        <w:tabs>
          <w:tab w:val="left" w:pos="-1701"/>
          <w:tab w:val="left" w:pos="426"/>
        </w:tabs>
        <w:ind w:left="426" w:hanging="66"/>
        <w:rPr>
          <w:rFonts w:ascii="Cambria" w:hAnsi="Cambria" w:cstheme="minorHAnsi"/>
          <w:sz w:val="24"/>
          <w:szCs w:val="24"/>
        </w:rPr>
      </w:pPr>
      <w:r>
        <w:rPr>
          <w:rFonts w:ascii="Cambria" w:hAnsi="Cambria" w:cstheme="minorHAnsi"/>
          <w:sz w:val="24"/>
          <w:szCs w:val="24"/>
        </w:rPr>
        <w:t xml:space="preserve">Verificação de notas fiscais dos serviços adquiridos pela proponente; </w:t>
      </w:r>
    </w:p>
    <w:p>
      <w:pPr>
        <w:pStyle w:val="Corpodetexto"/>
        <w:numPr>
          <w:ilvl w:val="0"/>
          <w:numId w:val="43"/>
        </w:numPr>
        <w:tabs>
          <w:tab w:val="left" w:pos="-1701"/>
          <w:tab w:val="left" w:pos="426"/>
        </w:tabs>
        <w:ind w:left="426" w:hanging="66"/>
        <w:rPr>
          <w:rFonts w:ascii="Cambria" w:hAnsi="Cambria" w:cstheme="minorHAnsi"/>
          <w:sz w:val="24"/>
          <w:szCs w:val="24"/>
        </w:rPr>
      </w:pPr>
      <w:r>
        <w:rPr>
          <w:rFonts w:ascii="Cambria" w:hAnsi="Cambria" w:cstheme="minorHAnsi"/>
          <w:sz w:val="24"/>
          <w:szCs w:val="24"/>
        </w:rPr>
        <w:t xml:space="preserve">Levantamento de indicadores salariais ou trabalhistas publicados por órgãos de pesquisa; Estudos setoriais; </w:t>
      </w:r>
    </w:p>
    <w:p>
      <w:pPr>
        <w:pStyle w:val="Corpodetexto"/>
        <w:numPr>
          <w:ilvl w:val="0"/>
          <w:numId w:val="43"/>
        </w:numPr>
        <w:tabs>
          <w:tab w:val="left" w:pos="-1701"/>
          <w:tab w:val="left" w:pos="426"/>
        </w:tabs>
        <w:ind w:left="426" w:hanging="66"/>
        <w:rPr>
          <w:rFonts w:ascii="Cambria" w:hAnsi="Cambria" w:cstheme="minorHAnsi"/>
          <w:sz w:val="24"/>
          <w:szCs w:val="24"/>
        </w:rPr>
      </w:pPr>
      <w:r>
        <w:rPr>
          <w:rFonts w:ascii="Cambria" w:hAnsi="Cambria" w:cstheme="minorHAnsi"/>
          <w:sz w:val="24"/>
          <w:szCs w:val="24"/>
        </w:rPr>
        <w:t xml:space="preserve">Consultas às Secretarias de Fazenda federal, distrital, estadual ou municipal; </w:t>
      </w:r>
    </w:p>
    <w:p>
      <w:pPr>
        <w:pStyle w:val="Corpodetexto"/>
        <w:numPr>
          <w:ilvl w:val="0"/>
          <w:numId w:val="43"/>
        </w:numPr>
        <w:tabs>
          <w:tab w:val="left" w:pos="-1701"/>
          <w:tab w:val="left" w:pos="426"/>
        </w:tabs>
        <w:ind w:left="426" w:hanging="66"/>
        <w:rPr>
          <w:rFonts w:ascii="Cambria" w:hAnsi="Cambria" w:cstheme="minorHAnsi"/>
          <w:sz w:val="24"/>
          <w:szCs w:val="24"/>
        </w:rPr>
      </w:pPr>
      <w:r>
        <w:rPr>
          <w:rFonts w:ascii="Cambria" w:hAnsi="Cambria" w:cstheme="minorHAnsi"/>
          <w:sz w:val="24"/>
          <w:szCs w:val="24"/>
        </w:rPr>
        <w:t xml:space="preserve">Análise de soluções técnicas escolhidas e/ou condições excepcionalmente favoráveis que a proponente disponha para a prestação dos serviços; </w:t>
      </w:r>
    </w:p>
    <w:p>
      <w:pPr>
        <w:pStyle w:val="Corpodetexto"/>
        <w:numPr>
          <w:ilvl w:val="0"/>
          <w:numId w:val="43"/>
        </w:numPr>
        <w:tabs>
          <w:tab w:val="left" w:pos="-1701"/>
          <w:tab w:val="left" w:pos="426"/>
        </w:tabs>
        <w:ind w:left="426" w:hanging="66"/>
        <w:rPr>
          <w:rFonts w:ascii="Cambria" w:hAnsi="Cambria" w:cstheme="minorHAnsi"/>
          <w:sz w:val="24"/>
          <w:szCs w:val="24"/>
        </w:rPr>
      </w:pPr>
      <w:r>
        <w:rPr>
          <w:rFonts w:ascii="Cambria" w:hAnsi="Cambria" w:cstheme="minorHAnsi"/>
          <w:sz w:val="24"/>
          <w:szCs w:val="24"/>
        </w:rPr>
        <w:t>Demais verificações que porventura se fizerem necessárias.</w:t>
      </w:r>
    </w:p>
    <w:p>
      <w:pPr>
        <w:pStyle w:val="Corpodetexto"/>
        <w:tabs>
          <w:tab w:val="left" w:pos="-1701"/>
          <w:tab w:val="left" w:pos="809"/>
        </w:tabs>
        <w:rPr>
          <w:rFonts w:ascii="Cambria" w:hAnsi="Cambria" w:cstheme="minorHAnsi"/>
          <w:sz w:val="24"/>
          <w:szCs w:val="24"/>
        </w:rPr>
      </w:pPr>
    </w:p>
    <w:p>
      <w:pPr>
        <w:pStyle w:val="Corpodetexto"/>
        <w:numPr>
          <w:ilvl w:val="0"/>
          <w:numId w:val="14"/>
        </w:numPr>
        <w:tabs>
          <w:tab w:val="left" w:pos="-1701"/>
          <w:tab w:val="left" w:pos="284"/>
        </w:tabs>
        <w:ind w:left="0" w:firstLine="0"/>
        <w:rPr>
          <w:rFonts w:ascii="Cambria" w:hAnsi="Cambria" w:cstheme="minorHAnsi"/>
          <w:sz w:val="24"/>
          <w:szCs w:val="24"/>
        </w:rPr>
      </w:pPr>
      <w:r>
        <w:rPr>
          <w:rFonts w:ascii="Cambria" w:hAnsi="Cambria" w:cstheme="minorHAnsi"/>
          <w:sz w:val="24"/>
          <w:szCs w:val="24"/>
        </w:rPr>
        <w:t>Apresentar preço final inferior a 30% (trinta por cento) da média dos preços ofertados para o mesmo item, e a inexequibilidade da proposta não for flagrante e evidente pela análise da planilha de custos, não sendo possível a sua imediata desclassificação, será obrigatória a realização de diligências para aferir a legalidade e exequibilidade da proposta.</w:t>
      </w:r>
    </w:p>
    <w:p>
      <w:pPr>
        <w:pStyle w:val="Corpodetexto"/>
        <w:tabs>
          <w:tab w:val="left" w:pos="-1701"/>
          <w:tab w:val="left" w:pos="809"/>
        </w:tabs>
        <w:rPr>
          <w:rFonts w:ascii="Cambria" w:hAnsi="Cambria" w:cstheme="minorHAnsi"/>
          <w:sz w:val="24"/>
          <w:szCs w:val="24"/>
        </w:rPr>
      </w:pP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Será considerada inexequível a proposta de preços que não tiver a sua exequibilidade comprovada e, ainda, 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proponente, para os quais ele renuncie a parcela ou a totalidade da remuneração.</w:t>
      </w:r>
    </w:p>
    <w:p>
      <w:pPr>
        <w:pStyle w:val="Corpodetexto"/>
        <w:tabs>
          <w:tab w:val="left" w:pos="-1701"/>
          <w:tab w:val="left" w:pos="809"/>
        </w:tabs>
        <w:rPr>
          <w:rFonts w:ascii="Cambria" w:hAnsi="Cambria" w:cstheme="minorHAnsi"/>
          <w:sz w:val="24"/>
          <w:szCs w:val="24"/>
        </w:rPr>
      </w:pPr>
    </w:p>
    <w:p>
      <w:pPr>
        <w:pStyle w:val="PargrafodaLista"/>
        <w:numPr>
          <w:ilvl w:val="2"/>
          <w:numId w:val="5"/>
        </w:numPr>
        <w:ind w:left="0" w:firstLine="0"/>
        <w:jc w:val="both"/>
        <w:rPr>
          <w:rFonts w:ascii="Cambria" w:hAnsi="Cambria" w:cstheme="minorHAnsi"/>
          <w:b/>
          <w:bCs/>
          <w:sz w:val="24"/>
          <w:szCs w:val="24"/>
        </w:rPr>
      </w:pPr>
      <w:r>
        <w:rPr>
          <w:rFonts w:ascii="Cambria" w:hAnsi="Cambria" w:cstheme="minorHAnsi"/>
          <w:b/>
          <w:bCs/>
          <w:sz w:val="24"/>
          <w:szCs w:val="24"/>
        </w:rPr>
        <w:t>Da convocação para apresentação de documentos complementares a proposta de preços:</w:t>
      </w:r>
    </w:p>
    <w:p>
      <w:pPr>
        <w:pStyle w:val="PargrafodaLista"/>
        <w:numPr>
          <w:ilvl w:val="3"/>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O Pregoeiro poderá convocar o proponente para enviar documento digital, por meio de funcionalidade disponível no sistema, estabelecendo no “chat” prazo razoável para tanto, sob pena de não aceitação da proposta.</w:t>
      </w:r>
    </w:p>
    <w:p>
      <w:pPr>
        <w:pStyle w:val="PargrafodaLista"/>
        <w:numPr>
          <w:ilvl w:val="3"/>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 xml:space="preserve">Dentre os documentos passíveis de solicitação pelo Pregoeiro, destacam-se os que contenham as características do material ofertado, em compatibilidade como Termo de </w:t>
      </w:r>
      <w:r>
        <w:rPr>
          <w:rFonts w:ascii="Cambria" w:hAnsi="Cambria" w:cstheme="minorHAnsi"/>
          <w:sz w:val="24"/>
          <w:szCs w:val="24"/>
        </w:rPr>
        <w:lastRenderedPageBreak/>
        <w:t>Referência, minudenciando o modelo, tipo, procedência, garantia ou validade, além de outras informações pertinentes, a exemplo de catálogos, folhetos ou propostas.</w:t>
      </w:r>
    </w:p>
    <w:p>
      <w:pPr>
        <w:pStyle w:val="PargrafodaLista"/>
        <w:numPr>
          <w:ilvl w:val="3"/>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O prazo estabelecido pelo Pregoeiro poderá ser prorrogado por solicitação escrita e justificada do proponente, formulada antes de findo o prazo estabelecido, e formalmente aceita pelo Pregoeiro.</w:t>
      </w:r>
    </w:p>
    <w:p>
      <w:pPr>
        <w:pStyle w:val="PargrafodaLista"/>
        <w:numPr>
          <w:ilvl w:val="3"/>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Se a proposta de preços final (consolidada) da proponente vencedora for desclassificada, o Pregoeiro examinará a proposta subsequente, inclusive quanto aos tramites afeitos a negociação, e, assim sucessivamente, na ordem de classificação, até a apuração de uma proposta que atenda ao Edital.</w:t>
      </w:r>
    </w:p>
    <w:p>
      <w:pPr>
        <w:pStyle w:val="PargrafodaLista"/>
        <w:numPr>
          <w:ilvl w:val="3"/>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Nos itens não exclusivos a Microempresa - ME, Empresas de Pequeno Porte - EPP e equiparadas, sempre que a proposta não for aceita, e antes de a Pregoeira passar à subsequente, haverá nova verificação, pelo sistema, da eventual ocorrência do empate ficto, previsto nos artigos 44 e 45 da LC nº 123, de 2006, seguindo-se a disciplina antes estabelecida, se for o caso.</w:t>
      </w:r>
    </w:p>
    <w:p>
      <w:pPr>
        <w:pStyle w:val="PargrafodaLista"/>
        <w:numPr>
          <w:ilvl w:val="3"/>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Também nas hipóteses em que o Pregoeiro não aceitar a proposta e passar à subsequente, poderá negociar com o proponente para que seja obtido preço melhor.</w:t>
      </w:r>
    </w:p>
    <w:p>
      <w:pPr>
        <w:pStyle w:val="PargrafodaLista"/>
        <w:numPr>
          <w:ilvl w:val="3"/>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O Pregoeiro poderá, no julgamento das propostas, sanar erros ou falhas que não alterem a substância das propostas, e sua validade jurídica, mediante decisão fundamentada, registrada em ata e acessível aos proponentes, e lhes atribuirá validade e eficácia para fins de classificação, observado o disposto na Lei nº 9.784, de 29 de janeiro de 1999.</w:t>
      </w:r>
    </w:p>
    <w:p>
      <w:pPr>
        <w:pStyle w:val="PargrafodaLista"/>
        <w:tabs>
          <w:tab w:val="left" w:pos="851"/>
        </w:tabs>
        <w:ind w:left="0"/>
        <w:jc w:val="both"/>
        <w:rPr>
          <w:rFonts w:ascii="Cambria" w:hAnsi="Cambria" w:cstheme="minorHAnsi"/>
          <w:sz w:val="24"/>
          <w:szCs w:val="24"/>
        </w:rPr>
      </w:pPr>
    </w:p>
    <w:p>
      <w:pPr>
        <w:pStyle w:val="PargrafodaLista"/>
        <w:numPr>
          <w:ilvl w:val="1"/>
          <w:numId w:val="5"/>
        </w:numPr>
        <w:tabs>
          <w:tab w:val="left" w:pos="567"/>
        </w:tabs>
        <w:ind w:left="0" w:firstLine="0"/>
        <w:jc w:val="both"/>
        <w:rPr>
          <w:rFonts w:ascii="Cambria" w:hAnsi="Cambria" w:cstheme="minorHAnsi"/>
          <w:b/>
          <w:bCs/>
          <w:sz w:val="24"/>
          <w:szCs w:val="24"/>
          <w:u w:val="single"/>
        </w:rPr>
      </w:pPr>
      <w:r>
        <w:rPr>
          <w:rFonts w:ascii="Cambria" w:hAnsi="Cambria" w:cstheme="minorHAnsi"/>
          <w:b/>
          <w:bCs/>
          <w:sz w:val="24"/>
          <w:szCs w:val="24"/>
          <w:u w:val="single"/>
        </w:rPr>
        <w:t>DA VERIFICAÇÃO DAS CONDIÇÕES DE PARTICIPAÇÃO:</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Encerrada a etapa de disputa de lances e envio de proposta de preços final (consolidada), o Pregoeiro verificará o cumprimento das condições de participação, realizando as seguintes consultas/diligências necessárias, a partir da ordem de classificação e apenas em relação à(s) proponentes mais bem classificada(s) por item e ou lote/grupo:</w:t>
      </w:r>
    </w:p>
    <w:p>
      <w:pPr>
        <w:pStyle w:val="PargrafodaLista"/>
        <w:numPr>
          <w:ilvl w:val="1"/>
          <w:numId w:val="15"/>
        </w:numPr>
        <w:tabs>
          <w:tab w:val="left" w:pos="284"/>
        </w:tabs>
        <w:ind w:left="0" w:firstLine="0"/>
        <w:jc w:val="both"/>
        <w:rPr>
          <w:rFonts w:ascii="Cambria" w:hAnsi="Cambria" w:cstheme="minorHAnsi"/>
          <w:sz w:val="24"/>
          <w:szCs w:val="24"/>
        </w:rPr>
      </w:pPr>
      <w:r>
        <w:rPr>
          <w:rFonts w:ascii="Cambria" w:hAnsi="Cambria" w:cstheme="minorHAnsi"/>
          <w:sz w:val="24"/>
          <w:szCs w:val="24"/>
        </w:rPr>
        <w:t>Consulta Situação do Fornecedor e Relatório de Ocorrências (impedimentos, suspensões, multas, etc.) registrados no Sistema de Cadastramento Unificado de Fornecedores (SICAF);</w:t>
      </w:r>
    </w:p>
    <w:p>
      <w:pPr>
        <w:pStyle w:val="PargrafodaLista"/>
        <w:numPr>
          <w:ilvl w:val="1"/>
          <w:numId w:val="15"/>
        </w:numPr>
        <w:tabs>
          <w:tab w:val="left" w:pos="284"/>
        </w:tabs>
        <w:ind w:left="0" w:firstLine="0"/>
        <w:jc w:val="both"/>
        <w:rPr>
          <w:rFonts w:ascii="Cambria" w:hAnsi="Cambria" w:cstheme="minorHAnsi"/>
          <w:sz w:val="24"/>
          <w:szCs w:val="24"/>
        </w:rPr>
      </w:pPr>
      <w:r>
        <w:rPr>
          <w:rFonts w:ascii="Cambria" w:hAnsi="Cambria" w:cstheme="minorHAnsi"/>
          <w:sz w:val="24"/>
          <w:szCs w:val="24"/>
        </w:rPr>
        <w:t>Cadastro Consolidado de Pessoa Jurídica do TCU, no Cadastro Nacional de Empresas Inidôneas (CEIS) e no Cadastro Nacional de Empresas Punidas (CNEP);</w:t>
      </w:r>
    </w:p>
    <w:p>
      <w:pPr>
        <w:pStyle w:val="PargrafodaLista"/>
        <w:numPr>
          <w:ilvl w:val="1"/>
          <w:numId w:val="15"/>
        </w:numPr>
        <w:tabs>
          <w:tab w:val="left" w:pos="284"/>
        </w:tabs>
        <w:ind w:left="0" w:firstLine="0"/>
        <w:jc w:val="both"/>
        <w:rPr>
          <w:rFonts w:ascii="Cambria" w:hAnsi="Cambria" w:cstheme="minorHAnsi"/>
          <w:sz w:val="24"/>
          <w:szCs w:val="24"/>
        </w:rPr>
      </w:pPr>
      <w:r>
        <w:rPr>
          <w:rFonts w:ascii="Cambria" w:hAnsi="Cambria" w:cstheme="minorHAnsi"/>
          <w:sz w:val="24"/>
          <w:szCs w:val="24"/>
        </w:rPr>
        <w:t>Consulta ao Cadastro Nacional de Pessoa Jurídica (CNPJ), mantido pela Receita Federal do Brasil;</w:t>
      </w:r>
    </w:p>
    <w:p>
      <w:pPr>
        <w:pStyle w:val="PargrafodaLista"/>
        <w:numPr>
          <w:ilvl w:val="1"/>
          <w:numId w:val="15"/>
        </w:numPr>
        <w:tabs>
          <w:tab w:val="left" w:pos="284"/>
        </w:tabs>
        <w:ind w:left="0" w:firstLine="0"/>
        <w:jc w:val="both"/>
        <w:rPr>
          <w:rFonts w:ascii="Cambria" w:hAnsi="Cambria" w:cstheme="minorHAnsi"/>
          <w:sz w:val="24"/>
          <w:szCs w:val="24"/>
        </w:rPr>
      </w:pPr>
      <w:r>
        <w:rPr>
          <w:rFonts w:ascii="Cambria" w:hAnsi="Cambria" w:cstheme="minorHAnsi"/>
          <w:sz w:val="24"/>
          <w:szCs w:val="24"/>
        </w:rPr>
        <w:t>Consulta ao site do Tribunal Superior do Trabalho para fins de identificação da eventual existência de condenação judicial, com trânsito em julgado, por exploração de trabalho infantil, por submissão de trabalhadores a condições análogas às de escravo ou por contratação de adolescentes nos casos vedados pela legislação trabalhista;</w:t>
      </w:r>
    </w:p>
    <w:p>
      <w:pPr>
        <w:pStyle w:val="PargrafodaLista"/>
        <w:numPr>
          <w:ilvl w:val="1"/>
          <w:numId w:val="15"/>
        </w:numPr>
        <w:tabs>
          <w:tab w:val="left" w:pos="284"/>
        </w:tabs>
        <w:ind w:left="0" w:firstLine="0"/>
        <w:jc w:val="both"/>
        <w:rPr>
          <w:rFonts w:ascii="Cambria" w:hAnsi="Cambria" w:cstheme="minorHAnsi"/>
          <w:sz w:val="24"/>
          <w:szCs w:val="24"/>
        </w:rPr>
      </w:pPr>
      <w:r>
        <w:rPr>
          <w:rFonts w:ascii="Cambria" w:hAnsi="Cambria" w:cstheme="minorHAnsi"/>
          <w:sz w:val="24"/>
          <w:szCs w:val="24"/>
        </w:rPr>
        <w:t>Verificação de que o proponente esteja enquadrado nas situações constantes do item 3.1 deste Edital;</w:t>
      </w:r>
    </w:p>
    <w:p>
      <w:pPr>
        <w:pStyle w:val="PargrafodaLista"/>
        <w:numPr>
          <w:ilvl w:val="1"/>
          <w:numId w:val="15"/>
        </w:numPr>
        <w:tabs>
          <w:tab w:val="left" w:pos="284"/>
        </w:tabs>
        <w:ind w:left="0" w:firstLine="0"/>
        <w:jc w:val="both"/>
        <w:rPr>
          <w:rFonts w:ascii="Cambria" w:hAnsi="Cambria" w:cstheme="minorHAnsi"/>
          <w:sz w:val="24"/>
          <w:szCs w:val="24"/>
        </w:rPr>
      </w:pPr>
      <w:r>
        <w:rPr>
          <w:rFonts w:ascii="Cambria" w:hAnsi="Cambria" w:cstheme="minorHAnsi"/>
          <w:sz w:val="24"/>
          <w:szCs w:val="24"/>
        </w:rPr>
        <w:t>Verificação de que o proponente não esteja enquadrado nas situações constantes do item 3.2 deste Edital;</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 xml:space="preserve">Não cumpridas quaisquer das condições de participação, o Pregoeiro desclassificará a proposta do proponente, sendo este impedido de prosseguir no certame, por decisão fundamentada, devidamente registrada no campo DESCLASSIFICAÇÃO da plataforma eletrônica “COMPRAS GOV”, no site </w:t>
      </w:r>
      <w:hyperlink r:id="rId31" w:history="1">
        <w:r>
          <w:rPr>
            <w:rStyle w:val="Hyperlink"/>
            <w:rFonts w:ascii="Cambria" w:hAnsi="Cambria" w:cstheme="minorHAnsi"/>
            <w:sz w:val="24"/>
            <w:szCs w:val="24"/>
          </w:rPr>
          <w:t>www.compras.gov.br</w:t>
        </w:r>
      </w:hyperlink>
      <w:r>
        <w:rPr>
          <w:rFonts w:ascii="Cambria" w:hAnsi="Cambria" w:cstheme="minorHAnsi"/>
          <w:sz w:val="24"/>
          <w:szCs w:val="24"/>
        </w:rPr>
        <w:t>.</w:t>
      </w:r>
    </w:p>
    <w:p>
      <w:pPr>
        <w:pStyle w:val="PargrafodaLista"/>
        <w:ind w:left="0"/>
        <w:jc w:val="both"/>
        <w:rPr>
          <w:rFonts w:ascii="Cambria" w:hAnsi="Cambria" w:cstheme="minorHAnsi"/>
          <w:sz w:val="24"/>
          <w:szCs w:val="24"/>
        </w:rPr>
      </w:pPr>
    </w:p>
    <w:p>
      <w:pPr>
        <w:pStyle w:val="PargrafodaLista"/>
        <w:numPr>
          <w:ilvl w:val="1"/>
          <w:numId w:val="5"/>
        </w:numPr>
        <w:tabs>
          <w:tab w:val="left" w:pos="567"/>
        </w:tabs>
        <w:ind w:left="0" w:firstLine="0"/>
        <w:jc w:val="both"/>
        <w:rPr>
          <w:rFonts w:ascii="Cambria" w:hAnsi="Cambria" w:cstheme="minorHAnsi"/>
          <w:b/>
          <w:bCs/>
          <w:sz w:val="24"/>
          <w:szCs w:val="24"/>
          <w:u w:val="single"/>
        </w:rPr>
      </w:pPr>
      <w:r>
        <w:rPr>
          <w:rFonts w:ascii="Cambria" w:hAnsi="Cambria" w:cstheme="minorHAnsi"/>
          <w:b/>
          <w:bCs/>
          <w:sz w:val="24"/>
          <w:szCs w:val="24"/>
          <w:u w:val="single"/>
        </w:rPr>
        <w:lastRenderedPageBreak/>
        <w:t>DA FASE DE HABILITAÇÃO:</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 xml:space="preserve">Estando o(s) proponente(s) classificados, o Pregoeiro o convocará em ordem de classificação, via COMPRAS GOV no site www.compras.gov.br, para fins de encaminhamento/anexação da DOCUMENTAÇÃO DE HABILITAÇÃO, por meio da opção "ENVIAR ANEXO", no prazo de até </w:t>
      </w:r>
      <w:r>
        <w:rPr>
          <w:rFonts w:ascii="Cambria" w:hAnsi="Cambria" w:cstheme="minorHAnsi"/>
          <w:b/>
          <w:bCs/>
          <w:sz w:val="24"/>
          <w:szCs w:val="24"/>
        </w:rPr>
        <w:t>02h (duas horas),</w:t>
      </w:r>
      <w:r>
        <w:rPr>
          <w:rFonts w:ascii="Cambria" w:hAnsi="Cambria" w:cstheme="minorHAnsi"/>
          <w:sz w:val="24"/>
          <w:szCs w:val="24"/>
        </w:rPr>
        <w:t xml:space="preserve"> contados a partir da convocação do Pregoeiro, podendo ser prorrogado a requerimento do interessado e/ou a critério do Pregoeiro.</w:t>
      </w:r>
    </w:p>
    <w:p>
      <w:pPr>
        <w:pStyle w:val="PargrafodaLista"/>
        <w:numPr>
          <w:ilvl w:val="2"/>
          <w:numId w:val="5"/>
        </w:numPr>
        <w:ind w:left="0" w:firstLine="0"/>
        <w:jc w:val="both"/>
        <w:rPr>
          <w:rFonts w:ascii="Cambria" w:hAnsi="Cambria" w:cstheme="minorHAnsi"/>
          <w:sz w:val="24"/>
          <w:szCs w:val="24"/>
        </w:rPr>
      </w:pPr>
      <w:r>
        <w:rPr>
          <w:rFonts w:ascii="Cambria" w:eastAsia="Calibri" w:hAnsi="Cambria" w:cstheme="minorHAnsi"/>
          <w:color w:val="000000"/>
          <w:sz w:val="24"/>
          <w:szCs w:val="24"/>
        </w:rPr>
        <w:t xml:space="preserve">Após a entrega dos documentos para habilitação, não será permitida a substituição ou a apresentação de novos documentos, salvo em sede de diligência, para: </w:t>
      </w:r>
    </w:p>
    <w:p>
      <w:pPr>
        <w:autoSpaceDE w:val="0"/>
        <w:autoSpaceDN w:val="0"/>
        <w:adjustRightInd w:val="0"/>
        <w:jc w:val="both"/>
        <w:rPr>
          <w:rFonts w:ascii="Cambria" w:hAnsi="Cambria" w:cstheme="minorHAnsi"/>
          <w:color w:val="000000"/>
          <w:sz w:val="24"/>
          <w:szCs w:val="24"/>
        </w:rPr>
      </w:pPr>
      <w:r>
        <w:rPr>
          <w:rFonts w:ascii="Cambria" w:hAnsi="Cambria" w:cstheme="minorHAnsi"/>
          <w:color w:val="000000"/>
          <w:sz w:val="24"/>
          <w:szCs w:val="24"/>
        </w:rPr>
        <w:t xml:space="preserve">a) complementação de informações acerca dos documentos já apresentados pelos licitantes e desde que necessária para apurar fatos existentes à época da abertura do certame; </w:t>
      </w:r>
    </w:p>
    <w:p>
      <w:pPr>
        <w:pStyle w:val="PargrafodaLista"/>
        <w:ind w:left="0"/>
        <w:jc w:val="both"/>
        <w:rPr>
          <w:rFonts w:ascii="Cambria" w:eastAsia="Calibri" w:hAnsi="Cambria" w:cstheme="minorHAnsi"/>
          <w:color w:val="000000"/>
          <w:sz w:val="24"/>
          <w:szCs w:val="24"/>
          <w:lang w:eastAsia="en-US"/>
        </w:rPr>
      </w:pPr>
      <w:r>
        <w:rPr>
          <w:rFonts w:ascii="Cambria" w:eastAsia="Calibri" w:hAnsi="Cambria" w:cstheme="minorHAnsi"/>
          <w:color w:val="000000"/>
          <w:sz w:val="24"/>
          <w:szCs w:val="24"/>
          <w:lang w:eastAsia="en-US"/>
        </w:rPr>
        <w:t>b) atualização de documentos cuja validade tenha expirado após a data de recebimento das propostas.</w:t>
      </w:r>
    </w:p>
    <w:p>
      <w:pPr>
        <w:pStyle w:val="PargrafodaLista"/>
        <w:ind w:left="0"/>
        <w:jc w:val="both"/>
        <w:rPr>
          <w:rFonts w:ascii="Cambria" w:eastAsia="Calibri" w:hAnsi="Cambria" w:cstheme="minorHAnsi"/>
          <w:color w:val="000000"/>
          <w:sz w:val="24"/>
          <w:szCs w:val="24"/>
          <w:lang w:eastAsia="en-US"/>
        </w:rPr>
      </w:pPr>
    </w:p>
    <w:p>
      <w:pPr>
        <w:pStyle w:val="PargrafodaLista"/>
        <w:pBdr>
          <w:top w:val="dashSmallGap" w:sz="12" w:space="1" w:color="FF0000"/>
          <w:left w:val="dashSmallGap" w:sz="12" w:space="4" w:color="FF0000"/>
          <w:bottom w:val="dashSmallGap" w:sz="12" w:space="1" w:color="FF0000"/>
          <w:right w:val="dashSmallGap" w:sz="12" w:space="4" w:color="FF0000"/>
        </w:pBdr>
        <w:tabs>
          <w:tab w:val="left" w:pos="426"/>
        </w:tabs>
        <w:ind w:left="142"/>
        <w:jc w:val="both"/>
        <w:rPr>
          <w:rFonts w:ascii="Cambria" w:hAnsi="Cambria" w:cstheme="minorHAnsi"/>
          <w:sz w:val="24"/>
          <w:szCs w:val="24"/>
        </w:rPr>
      </w:pPr>
      <w:r>
        <w:rPr>
          <w:rFonts w:ascii="Cambria" w:hAnsi="Cambria" w:cstheme="minorHAnsi"/>
          <w:b/>
          <w:bCs/>
          <w:sz w:val="24"/>
          <w:szCs w:val="24"/>
        </w:rPr>
        <w:t xml:space="preserve">OBSERVAÇÃO: </w:t>
      </w:r>
      <w:r>
        <w:rPr>
          <w:rFonts w:ascii="Cambria" w:hAnsi="Cambria" w:cstheme="minorHAnsi"/>
          <w:sz w:val="24"/>
          <w:szCs w:val="24"/>
        </w:rPr>
        <w:t>Conforme entendimento firmado pelo TCU, originário do Acórdão nº 2.443/2021 – Plenário, a vedação no art. 64 da Lei 14.133/2021 não alcança documentos destinados a atestar condições de habilitação preexistentes à abertura da sessão pública que não foram anexados ao “COMPRAS GOV”, no site www.compras.gov.br. No momento oportuno, de forma que PODERÁ o Pregoeiro diligenciar para permitir tal COMPLEMENTAÇÃO DE DOCUMENTOS).</w:t>
      </w:r>
    </w:p>
    <w:p>
      <w:pPr>
        <w:pStyle w:val="PargrafodaLista"/>
        <w:ind w:left="0"/>
        <w:jc w:val="both"/>
        <w:rPr>
          <w:rFonts w:ascii="Cambria" w:hAnsi="Cambria" w:cstheme="minorHAnsi"/>
          <w:sz w:val="24"/>
          <w:szCs w:val="24"/>
        </w:rPr>
      </w:pP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 xml:space="preserve">Os documentos necessários a Habilitação do(s) proponente(s) classificado(s) serão os definidos no Termo de Referência (anexo 01).  </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Será acessado o banco de dados do SICAF, para fins de consulta do cadastro do(s) licitante(s) classificado(s) em primeiro lugar, verificando-se a habilitação parcial de cada licitante, sendo impresso o extrato que integrará a documentação de habilitação do(s) licitante(s).</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Além da regularidade da documentação já abrangida pelo SICAF, serão visualizadas e impressas as declarações eletrônicas para fins de cumprimento do exigido no subitem 8.2deste Edital.</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Para fins de julgamento da habilitação, poderá haver a verificação em sítios oficiais de órgãos e entidades emissores de certidões e/ou documentos diversos como forma de provar a autenticidade dos documentos/certidões e regularidade do licitante, ou até para fins de obtenção de certidões e informações, sendo comprovadas nos autos tais diligências.</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Caso o licitante não esteja regularmente cadastrado no SICAF ou esteja com alguma certidão com prazo de validade vencido, poderá o Pregoeiro e/ou a equipe de apoio realizar diligências eletrônicas diretamente nos sítios oficiais.</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O Pregoeiro poderá solicitar subsídio técnico à unidade técnica Demandante ou ao Órgão Gerenciador do procedimento, bem como, aos setores técnicos especializados, para fins de avaliação da conformidade da documentação de habilitação técnica e qualificação econômico-financeira em relação as exigências contidas no edital (e seus anexos).</w:t>
      </w:r>
    </w:p>
    <w:p>
      <w:pPr>
        <w:pStyle w:val="PargrafodaLista"/>
        <w:numPr>
          <w:ilvl w:val="2"/>
          <w:numId w:val="5"/>
        </w:numPr>
        <w:tabs>
          <w:tab w:val="left" w:pos="993"/>
        </w:tabs>
        <w:ind w:left="0" w:firstLine="0"/>
        <w:jc w:val="both"/>
        <w:rPr>
          <w:rFonts w:ascii="Cambria" w:hAnsi="Cambria" w:cstheme="minorHAnsi"/>
          <w:sz w:val="24"/>
          <w:szCs w:val="24"/>
        </w:rPr>
      </w:pPr>
      <w:r>
        <w:rPr>
          <w:rFonts w:ascii="Cambria" w:hAnsi="Cambria" w:cstheme="minorHAnsi"/>
          <w:sz w:val="24"/>
          <w:szCs w:val="24"/>
        </w:rPr>
        <w:t>Poderá ser INABILITADO o licitante que:</w:t>
      </w:r>
    </w:p>
    <w:p>
      <w:pPr>
        <w:pStyle w:val="PargrafodaLista"/>
        <w:numPr>
          <w:ilvl w:val="2"/>
          <w:numId w:val="18"/>
        </w:numPr>
        <w:tabs>
          <w:tab w:val="left" w:pos="284"/>
        </w:tabs>
        <w:ind w:left="0" w:firstLine="0"/>
        <w:jc w:val="both"/>
        <w:rPr>
          <w:rFonts w:ascii="Cambria" w:hAnsi="Cambria" w:cstheme="minorHAnsi"/>
          <w:sz w:val="24"/>
          <w:szCs w:val="24"/>
        </w:rPr>
      </w:pPr>
      <w:r>
        <w:rPr>
          <w:rFonts w:ascii="Cambria" w:hAnsi="Cambria" w:cstheme="minorHAnsi"/>
          <w:sz w:val="24"/>
          <w:szCs w:val="24"/>
        </w:rPr>
        <w:t>Deixar de encaminhar ou de apresentar quaisquer dos documentos de habilitação exigidos no Termo de Referência deste Edital;</w:t>
      </w:r>
    </w:p>
    <w:p>
      <w:pPr>
        <w:pStyle w:val="PargrafodaLista"/>
        <w:numPr>
          <w:ilvl w:val="2"/>
          <w:numId w:val="18"/>
        </w:numPr>
        <w:tabs>
          <w:tab w:val="left" w:pos="284"/>
        </w:tabs>
        <w:ind w:left="0" w:firstLine="0"/>
        <w:jc w:val="both"/>
        <w:rPr>
          <w:rFonts w:ascii="Cambria" w:hAnsi="Cambria" w:cstheme="minorHAnsi"/>
          <w:sz w:val="24"/>
          <w:szCs w:val="24"/>
        </w:rPr>
      </w:pPr>
      <w:r>
        <w:rPr>
          <w:rFonts w:ascii="Cambria" w:hAnsi="Cambria" w:cstheme="minorHAnsi"/>
          <w:sz w:val="24"/>
          <w:szCs w:val="24"/>
        </w:rPr>
        <w:t>Apresentar CERTIDÃO ou outro documento com prazo de validade vencido;</w:t>
      </w:r>
    </w:p>
    <w:p>
      <w:pPr>
        <w:pStyle w:val="PargrafodaLista"/>
        <w:numPr>
          <w:ilvl w:val="2"/>
          <w:numId w:val="18"/>
        </w:numPr>
        <w:tabs>
          <w:tab w:val="left" w:pos="284"/>
        </w:tabs>
        <w:ind w:left="0" w:firstLine="0"/>
        <w:jc w:val="both"/>
        <w:rPr>
          <w:rFonts w:ascii="Cambria" w:hAnsi="Cambria" w:cstheme="minorHAnsi"/>
          <w:sz w:val="24"/>
          <w:szCs w:val="24"/>
        </w:rPr>
      </w:pPr>
      <w:r>
        <w:rPr>
          <w:rFonts w:ascii="Cambria" w:hAnsi="Cambria" w:cstheme="minorHAnsi"/>
          <w:sz w:val="24"/>
          <w:szCs w:val="24"/>
        </w:rPr>
        <w:lastRenderedPageBreak/>
        <w:t>Apresentar quaisquer documentos em desacordo com este Edital;</w:t>
      </w:r>
    </w:p>
    <w:p>
      <w:pPr>
        <w:pStyle w:val="PargrafodaLista"/>
        <w:numPr>
          <w:ilvl w:val="2"/>
          <w:numId w:val="18"/>
        </w:numPr>
        <w:tabs>
          <w:tab w:val="left" w:pos="284"/>
        </w:tabs>
        <w:ind w:left="0" w:firstLine="0"/>
        <w:jc w:val="both"/>
        <w:rPr>
          <w:rFonts w:ascii="Cambria" w:hAnsi="Cambria" w:cstheme="minorHAnsi"/>
          <w:sz w:val="24"/>
          <w:szCs w:val="24"/>
        </w:rPr>
      </w:pPr>
      <w:r>
        <w:rPr>
          <w:rFonts w:ascii="Cambria" w:hAnsi="Cambria" w:cstheme="minorHAnsi"/>
          <w:sz w:val="24"/>
          <w:szCs w:val="24"/>
        </w:rPr>
        <w:t>Não contenha em seu ato constitutivo atividade econômica compatível com o objeto da presente licitação;</w:t>
      </w:r>
    </w:p>
    <w:p>
      <w:pPr>
        <w:pStyle w:val="PargrafodaLista"/>
        <w:numPr>
          <w:ilvl w:val="2"/>
          <w:numId w:val="18"/>
        </w:numPr>
        <w:tabs>
          <w:tab w:val="left" w:pos="284"/>
        </w:tabs>
        <w:ind w:left="0" w:firstLine="0"/>
        <w:jc w:val="both"/>
        <w:rPr>
          <w:rFonts w:ascii="Cambria" w:hAnsi="Cambria" w:cstheme="minorHAnsi"/>
          <w:sz w:val="24"/>
          <w:szCs w:val="24"/>
        </w:rPr>
      </w:pPr>
      <w:r>
        <w:rPr>
          <w:rFonts w:ascii="Cambria" w:hAnsi="Cambria" w:cstheme="minorHAnsi"/>
          <w:sz w:val="24"/>
          <w:szCs w:val="24"/>
        </w:rPr>
        <w:t>Não comprove exigência(s) de habilitação prevista neste Edital e seus anexos.</w:t>
      </w:r>
    </w:p>
    <w:p>
      <w:pPr>
        <w:pStyle w:val="PargrafodaLista"/>
        <w:ind w:left="0"/>
        <w:jc w:val="both"/>
        <w:rPr>
          <w:rFonts w:ascii="Cambria" w:hAnsi="Cambria" w:cstheme="minorHAnsi"/>
          <w:sz w:val="24"/>
          <w:szCs w:val="24"/>
        </w:rPr>
      </w:pPr>
    </w:p>
    <w:p>
      <w:pPr>
        <w:pStyle w:val="PargrafodaLista"/>
        <w:numPr>
          <w:ilvl w:val="2"/>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Sendo o licitante Microempresa - ME, Empresas de Pequeno Porte - EPP e equiparadas, não será motivo de INABILITAÇÃO a existência de restrições na sua HABILITAÇÃO FISCAL E TRABALHISTA, sendo observado o seguinte procedimento:</w:t>
      </w:r>
    </w:p>
    <w:p>
      <w:pPr>
        <w:pStyle w:val="PargrafodaLista"/>
        <w:numPr>
          <w:ilvl w:val="2"/>
          <w:numId w:val="19"/>
        </w:numPr>
        <w:tabs>
          <w:tab w:val="left" w:pos="284"/>
        </w:tabs>
        <w:ind w:left="0" w:firstLine="0"/>
        <w:jc w:val="both"/>
        <w:rPr>
          <w:rFonts w:ascii="Cambria" w:hAnsi="Cambria" w:cstheme="minorHAnsi"/>
          <w:sz w:val="24"/>
          <w:szCs w:val="24"/>
        </w:rPr>
      </w:pPr>
      <w:r>
        <w:rPr>
          <w:rFonts w:ascii="Cambria" w:hAnsi="Cambria" w:cstheme="minorHAnsi"/>
          <w:sz w:val="24"/>
          <w:szCs w:val="24"/>
        </w:rPr>
        <w:t>Será o licitante DECLARADO HABILITADO no certame para fins de posterior regularização, nos termos definidos na Lei Complementar nº 123/2006.</w:t>
      </w:r>
    </w:p>
    <w:p>
      <w:pPr>
        <w:pStyle w:val="PargrafodaLista"/>
        <w:numPr>
          <w:ilvl w:val="2"/>
          <w:numId w:val="19"/>
        </w:numPr>
        <w:tabs>
          <w:tab w:val="left" w:pos="284"/>
        </w:tabs>
        <w:ind w:left="0" w:firstLine="0"/>
        <w:jc w:val="both"/>
        <w:rPr>
          <w:rFonts w:ascii="Cambria" w:hAnsi="Cambria" w:cstheme="minorHAnsi"/>
          <w:sz w:val="24"/>
          <w:szCs w:val="24"/>
        </w:rPr>
      </w:pPr>
      <w:r>
        <w:rPr>
          <w:rFonts w:ascii="Cambria" w:hAnsi="Cambria" w:cstheme="minorHAnsi"/>
          <w:sz w:val="24"/>
          <w:szCs w:val="24"/>
        </w:rPr>
        <w:t xml:space="preserve">Será assegurado o prazo de </w:t>
      </w:r>
      <w:r>
        <w:rPr>
          <w:rFonts w:ascii="Cambria" w:hAnsi="Cambria" w:cstheme="minorHAnsi"/>
          <w:b/>
          <w:bCs/>
          <w:sz w:val="24"/>
          <w:szCs w:val="24"/>
        </w:rPr>
        <w:t>05 (cinco) dias úteis</w:t>
      </w:r>
      <w:r>
        <w:rPr>
          <w:rFonts w:ascii="Cambria" w:hAnsi="Cambria" w:cstheme="minorHAnsi"/>
          <w:sz w:val="24"/>
          <w:szCs w:val="24"/>
        </w:rPr>
        <w:t>, cujo termo inicial corresponderá ao momento da convocação para assinatura do termo de contrato, prorrogáveis por igual período a critério da Administração, para a regularização da documentação, pagamento ou parcelamento do débito, e emissão de eventuais certidões, visando levantar a(s) restrição(ões)identificada(s) na fase de habilitação.</w:t>
      </w:r>
    </w:p>
    <w:p>
      <w:pPr>
        <w:pStyle w:val="PargrafodaLista"/>
        <w:numPr>
          <w:ilvl w:val="2"/>
          <w:numId w:val="19"/>
        </w:numPr>
        <w:tabs>
          <w:tab w:val="left" w:pos="284"/>
        </w:tabs>
        <w:ind w:left="0" w:firstLine="0"/>
        <w:jc w:val="both"/>
        <w:rPr>
          <w:rFonts w:ascii="Cambria" w:hAnsi="Cambria" w:cstheme="minorHAnsi"/>
          <w:sz w:val="24"/>
          <w:szCs w:val="24"/>
        </w:rPr>
      </w:pPr>
      <w:r>
        <w:rPr>
          <w:rFonts w:ascii="Cambria" w:hAnsi="Cambria" w:cstheme="minorHAnsi"/>
          <w:sz w:val="24"/>
          <w:szCs w:val="24"/>
        </w:rPr>
        <w:t>A não regularização da situação fiscal no prazo fixado na alínea anterior acarretará na decadência do direito à contratação, sendo facultado à PREFEITURA MUNICIPAL DE MIRAÍMA/CE convocar os licitantes remanescentes na ordem de classificação para firmamento do contrato.</w:t>
      </w:r>
    </w:p>
    <w:p>
      <w:pPr>
        <w:pStyle w:val="PargrafodaLista"/>
        <w:numPr>
          <w:ilvl w:val="2"/>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No julgamento da habilitação, poderá o Pregoeiro adotar os procedimentos, diligências e decisões que visem sanar erros ou falhas que não prejudiquem a validade e segurança jurídica da documentação apresentada.</w:t>
      </w:r>
    </w:p>
    <w:p>
      <w:pPr>
        <w:jc w:val="both"/>
        <w:rPr>
          <w:rFonts w:ascii="Cambria" w:hAnsi="Cambria" w:cstheme="minorHAnsi"/>
          <w:b/>
          <w:bCs/>
          <w:sz w:val="24"/>
          <w:szCs w:val="24"/>
        </w:rPr>
      </w:pPr>
    </w:p>
    <w:p>
      <w:pPr>
        <w:pStyle w:val="PargrafodaLista"/>
        <w:numPr>
          <w:ilvl w:val="1"/>
          <w:numId w:val="5"/>
        </w:numPr>
        <w:tabs>
          <w:tab w:val="left" w:pos="567"/>
        </w:tabs>
        <w:ind w:left="0" w:firstLine="0"/>
        <w:jc w:val="both"/>
        <w:rPr>
          <w:rFonts w:ascii="Cambria" w:hAnsi="Cambria" w:cstheme="minorHAnsi"/>
          <w:b/>
          <w:bCs/>
          <w:sz w:val="24"/>
          <w:szCs w:val="24"/>
          <w:u w:val="single"/>
        </w:rPr>
      </w:pPr>
      <w:r>
        <w:rPr>
          <w:rFonts w:ascii="Cambria" w:hAnsi="Cambria" w:cstheme="minorHAnsi"/>
          <w:b/>
          <w:bCs/>
          <w:sz w:val="24"/>
          <w:szCs w:val="24"/>
          <w:u w:val="single"/>
        </w:rPr>
        <w:t>DA FASE DE RECURSOS:</w:t>
      </w:r>
    </w:p>
    <w:p>
      <w:pPr>
        <w:pStyle w:val="PargrafodaLista"/>
        <w:numPr>
          <w:ilvl w:val="2"/>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 xml:space="preserve">Declarado o(s) vencedor(es), o Pregoeiro abrirá prazo mínimo de </w:t>
      </w:r>
      <w:r>
        <w:rPr>
          <w:rFonts w:ascii="Cambria" w:hAnsi="Cambria" w:cstheme="minorHAnsi"/>
          <w:b/>
          <w:bCs/>
          <w:sz w:val="24"/>
          <w:szCs w:val="24"/>
        </w:rPr>
        <w:t>30 (trinta) minutos</w:t>
      </w:r>
      <w:r>
        <w:rPr>
          <w:rFonts w:ascii="Cambria" w:hAnsi="Cambria" w:cstheme="minorHAnsi"/>
          <w:sz w:val="24"/>
          <w:szCs w:val="24"/>
        </w:rPr>
        <w:t>, durante esse período qualquer licitante poderá, de forma imediata e motivada, em campo próprio do sistema, manifestar sua INTENÇÃO DE RECORRER com registro da síntese de suas razões, isto é, indicando contra qual(is) decisão(ões) pretende recorrer e por qual(is) motivo(s).</w:t>
      </w:r>
    </w:p>
    <w:p>
      <w:pPr>
        <w:pStyle w:val="PargrafodaLista"/>
        <w:numPr>
          <w:ilvl w:val="2"/>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O RECURSO ADMINISTRATIVO poderá atacar qualquer ato decisório ou procedimento adotado pelo Pregoeiro ou pela autoridade competente a qual resultou em deliberação ao julgamento, durante todo o certame, não sendo meio adequado para impugnar regras do edital e seus anexos.</w:t>
      </w:r>
    </w:p>
    <w:p>
      <w:pPr>
        <w:pStyle w:val="PargrafodaLista"/>
        <w:numPr>
          <w:ilvl w:val="2"/>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Havendo registro de INTENÇÃO DE RECURSO, o Pregoeiro fará JUÍZO DE ADMISSIBILIDADE da intenção de recorrer manifestada, aceitando-a ou, motivadamente, rejeitando-a, em campo próprio do sistema, em razão da não observância dos pressupostos recursais de admissibilidade.</w:t>
      </w:r>
    </w:p>
    <w:p>
      <w:pPr>
        <w:pStyle w:val="PargrafodaLista"/>
        <w:numPr>
          <w:ilvl w:val="2"/>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Será rejeitada a INTENÇÃO DE RECURSO de caráter protelatório que:</w:t>
      </w:r>
    </w:p>
    <w:p>
      <w:pPr>
        <w:pStyle w:val="PargrafodaLista"/>
        <w:numPr>
          <w:ilvl w:val="2"/>
          <w:numId w:val="20"/>
        </w:numPr>
        <w:tabs>
          <w:tab w:val="left" w:pos="284"/>
        </w:tabs>
        <w:ind w:left="0" w:firstLine="0"/>
        <w:jc w:val="both"/>
        <w:rPr>
          <w:rFonts w:ascii="Cambria" w:hAnsi="Cambria" w:cstheme="minorHAnsi"/>
          <w:sz w:val="24"/>
          <w:szCs w:val="24"/>
        </w:rPr>
      </w:pPr>
      <w:r>
        <w:rPr>
          <w:rFonts w:ascii="Cambria" w:hAnsi="Cambria" w:cstheme="minorHAnsi"/>
          <w:sz w:val="24"/>
          <w:szCs w:val="24"/>
        </w:rPr>
        <w:t>Seja registrada por quem não tenha legítimo interesse;</w:t>
      </w:r>
    </w:p>
    <w:p>
      <w:pPr>
        <w:pStyle w:val="PargrafodaLista"/>
        <w:numPr>
          <w:ilvl w:val="2"/>
          <w:numId w:val="20"/>
        </w:numPr>
        <w:tabs>
          <w:tab w:val="left" w:pos="284"/>
        </w:tabs>
        <w:ind w:left="0" w:firstLine="0"/>
        <w:jc w:val="both"/>
        <w:rPr>
          <w:rFonts w:ascii="Cambria" w:hAnsi="Cambria" w:cstheme="minorHAnsi"/>
          <w:sz w:val="24"/>
          <w:szCs w:val="24"/>
        </w:rPr>
      </w:pPr>
      <w:r>
        <w:rPr>
          <w:rFonts w:ascii="Cambria" w:hAnsi="Cambria" w:cstheme="minorHAnsi"/>
          <w:sz w:val="24"/>
          <w:szCs w:val="24"/>
        </w:rPr>
        <w:t>Seja intempestiva;</w:t>
      </w:r>
    </w:p>
    <w:p>
      <w:pPr>
        <w:pStyle w:val="PargrafodaLista"/>
        <w:numPr>
          <w:ilvl w:val="2"/>
          <w:numId w:val="20"/>
        </w:numPr>
        <w:tabs>
          <w:tab w:val="left" w:pos="284"/>
        </w:tabs>
        <w:ind w:left="0" w:firstLine="0"/>
        <w:jc w:val="both"/>
        <w:rPr>
          <w:rFonts w:ascii="Cambria" w:hAnsi="Cambria" w:cstheme="minorHAnsi"/>
          <w:sz w:val="24"/>
          <w:szCs w:val="24"/>
        </w:rPr>
      </w:pPr>
      <w:r>
        <w:rPr>
          <w:rFonts w:ascii="Cambria" w:hAnsi="Cambria" w:cstheme="minorHAnsi"/>
          <w:sz w:val="24"/>
          <w:szCs w:val="24"/>
        </w:rPr>
        <w:t>Não ataque ato decisório ou procedimental praticado pelo Pregoeiro no certame; e/ou</w:t>
      </w:r>
    </w:p>
    <w:p>
      <w:pPr>
        <w:pStyle w:val="PargrafodaLista"/>
        <w:numPr>
          <w:ilvl w:val="2"/>
          <w:numId w:val="20"/>
        </w:numPr>
        <w:tabs>
          <w:tab w:val="left" w:pos="284"/>
        </w:tabs>
        <w:ind w:left="0" w:firstLine="0"/>
        <w:jc w:val="both"/>
        <w:rPr>
          <w:rFonts w:ascii="Cambria" w:hAnsi="Cambria" w:cstheme="minorHAnsi"/>
          <w:sz w:val="24"/>
          <w:szCs w:val="24"/>
        </w:rPr>
      </w:pPr>
      <w:r>
        <w:rPr>
          <w:rFonts w:ascii="Cambria" w:hAnsi="Cambria" w:cstheme="minorHAnsi"/>
          <w:sz w:val="24"/>
          <w:szCs w:val="24"/>
        </w:rPr>
        <w:t>Seja fundamentada em mera insatisfação do licitante, sem que haja a explícita alegação de qualquer fato prejudicial ao mesmo ou que tenha ocorrido alfo em desconformidade com o presente Edital e/ou com a legislação vigente.</w:t>
      </w:r>
    </w:p>
    <w:p>
      <w:pPr>
        <w:pStyle w:val="PargrafodaLista"/>
        <w:numPr>
          <w:ilvl w:val="2"/>
          <w:numId w:val="5"/>
        </w:numPr>
        <w:tabs>
          <w:tab w:val="left" w:pos="851"/>
        </w:tabs>
        <w:ind w:left="0" w:firstLine="0"/>
        <w:jc w:val="both"/>
        <w:rPr>
          <w:rFonts w:ascii="Cambria" w:hAnsi="Cambria" w:cstheme="minorHAnsi"/>
          <w:sz w:val="24"/>
          <w:szCs w:val="24"/>
        </w:rPr>
      </w:pPr>
      <w:r>
        <w:rPr>
          <w:rFonts w:ascii="Cambria" w:hAnsi="Cambria" w:cstheme="minorHAnsi"/>
          <w:sz w:val="24"/>
          <w:szCs w:val="24"/>
        </w:rPr>
        <w:lastRenderedPageBreak/>
        <w:t xml:space="preserve">A recorrente que tiver sua intenção de recurso aceita terá o prazo de até </w:t>
      </w:r>
      <w:r>
        <w:rPr>
          <w:rFonts w:ascii="Cambria" w:hAnsi="Cambria" w:cstheme="minorHAnsi"/>
          <w:b/>
          <w:bCs/>
          <w:sz w:val="24"/>
          <w:szCs w:val="24"/>
        </w:rPr>
        <w:t xml:space="preserve">03 (três) dias </w:t>
      </w:r>
      <w:r>
        <w:rPr>
          <w:rFonts w:ascii="Cambria" w:hAnsi="Cambria" w:cstheme="minorHAnsi"/>
          <w:sz w:val="24"/>
          <w:szCs w:val="24"/>
        </w:rPr>
        <w:t>para apresentar os memoriais contendo as razões recursais, obrigatoriamente por meio de registro no sistema e, havendo imagens, ilustrações e demais informações não suportadas pela plataforma, também deverão ser enviados via e-mail constante do quadro resumo deste edital, ficando as demais licitantes, desde logo o protocolo na Plataforma do “COMPRAS GOV”, no site www.compras.gov.br., intimadas a apresentar contrarrazões, também via sistema e e-mail, no caso da situação anterior, em igual prazo, que começará a correr do término do prazo da recorrente.</w:t>
      </w:r>
    </w:p>
    <w:p>
      <w:pPr>
        <w:pStyle w:val="PargrafodaLista"/>
        <w:numPr>
          <w:ilvl w:val="2"/>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Para justificar sua intenção de recorrer e fundamentar suas razões ou contrarrazões de recurso, o licitante interessado poderá solicitar vistas dos autos ou consultar as informações do certame disponíveis na própria plataforma eletrônica do Compras Gov no site www.compras.gov.br.</w:t>
      </w:r>
    </w:p>
    <w:p>
      <w:pPr>
        <w:pStyle w:val="PargrafodaLista"/>
        <w:numPr>
          <w:ilvl w:val="2"/>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Decorridos os prazos de apresentação de razões e contrarrazões, o Pregoeiro deverá analisar fundamentadamente os fatos e fundamentos arguidos pelo(s) recorrente(s), podendo, em sede de juízo de retratação:</w:t>
      </w:r>
    </w:p>
    <w:p>
      <w:pPr>
        <w:pStyle w:val="PargrafodaLista"/>
        <w:numPr>
          <w:ilvl w:val="2"/>
          <w:numId w:val="21"/>
        </w:numPr>
        <w:tabs>
          <w:tab w:val="left" w:pos="284"/>
        </w:tabs>
        <w:ind w:left="0" w:firstLine="0"/>
        <w:jc w:val="both"/>
        <w:rPr>
          <w:rFonts w:ascii="Cambria" w:hAnsi="Cambria" w:cstheme="minorHAnsi"/>
          <w:sz w:val="24"/>
          <w:szCs w:val="24"/>
        </w:rPr>
      </w:pPr>
      <w:r>
        <w:rPr>
          <w:rFonts w:ascii="Cambria" w:hAnsi="Cambria" w:cstheme="minorHAnsi"/>
          <w:sz w:val="24"/>
          <w:szCs w:val="24"/>
        </w:rPr>
        <w:t>Reconsiderar, total ou parcialmente, a decisão recorrida, reformando-a; ou,</w:t>
      </w:r>
    </w:p>
    <w:p>
      <w:pPr>
        <w:pStyle w:val="PargrafodaLista"/>
        <w:numPr>
          <w:ilvl w:val="2"/>
          <w:numId w:val="21"/>
        </w:numPr>
        <w:tabs>
          <w:tab w:val="left" w:pos="284"/>
        </w:tabs>
        <w:ind w:left="0" w:firstLine="0"/>
        <w:jc w:val="both"/>
        <w:rPr>
          <w:rFonts w:ascii="Cambria" w:hAnsi="Cambria" w:cstheme="minorHAnsi"/>
          <w:sz w:val="24"/>
          <w:szCs w:val="24"/>
        </w:rPr>
      </w:pPr>
      <w:r>
        <w:rPr>
          <w:rFonts w:ascii="Cambria" w:hAnsi="Cambria" w:cstheme="minorHAnsi"/>
          <w:sz w:val="24"/>
          <w:szCs w:val="24"/>
        </w:rPr>
        <w:t>Manter inalterada a decisão recorrida.</w:t>
      </w:r>
    </w:p>
    <w:p>
      <w:pPr>
        <w:pStyle w:val="PargrafodaLista"/>
        <w:numPr>
          <w:ilvl w:val="2"/>
          <w:numId w:val="21"/>
        </w:numPr>
        <w:tabs>
          <w:tab w:val="left" w:pos="284"/>
        </w:tabs>
        <w:ind w:left="0" w:firstLine="0"/>
        <w:jc w:val="both"/>
        <w:rPr>
          <w:rFonts w:ascii="Cambria" w:hAnsi="Cambria" w:cstheme="minorHAnsi"/>
          <w:sz w:val="24"/>
          <w:szCs w:val="24"/>
        </w:rPr>
      </w:pPr>
      <w:r>
        <w:rPr>
          <w:rFonts w:ascii="Cambria" w:hAnsi="Cambria" w:cstheme="minorHAnsi"/>
          <w:sz w:val="24"/>
          <w:szCs w:val="24"/>
        </w:rPr>
        <w:t>Baixar em diligência os autos para fins de pronunciamento, solicitar informações, parecer técnicos ou demais informações da área técnica interessada/responsável e/ou jurídico para fins de proclamação de decisão, sobretudo quando o mérito recursal não versar sobre ato, decisão ou incumbência as quais não são de competência do Pregoeiro.</w:t>
      </w:r>
    </w:p>
    <w:p>
      <w:pPr>
        <w:pStyle w:val="PargrafodaLista"/>
        <w:numPr>
          <w:ilvl w:val="2"/>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Caso não haja a reconsideração total do ato ou decisão adotada, os memoriais de razões recursais deverão ser submetidos, depois de devidamente instruído pelo Pregoeiro, à análise hierárquica superior para fins de decisão final, podendo a autoridade competente do procedimento:</w:t>
      </w:r>
    </w:p>
    <w:p>
      <w:pPr>
        <w:pStyle w:val="PargrafodaLista"/>
        <w:numPr>
          <w:ilvl w:val="2"/>
          <w:numId w:val="22"/>
        </w:numPr>
        <w:tabs>
          <w:tab w:val="left" w:pos="284"/>
        </w:tabs>
        <w:ind w:left="0" w:firstLine="0"/>
        <w:jc w:val="both"/>
        <w:rPr>
          <w:rFonts w:ascii="Cambria" w:hAnsi="Cambria" w:cstheme="minorHAnsi"/>
          <w:sz w:val="24"/>
          <w:szCs w:val="24"/>
        </w:rPr>
      </w:pPr>
      <w:r>
        <w:rPr>
          <w:rFonts w:ascii="Cambria" w:hAnsi="Cambria" w:cstheme="minorHAnsi"/>
          <w:sz w:val="24"/>
          <w:szCs w:val="24"/>
        </w:rPr>
        <w:t>Decidir de pronto o mérito do recurso, segundo os documentos e informações contidas nos autos, como também os fundamentos da decisão do Pregoeiro.</w:t>
      </w:r>
    </w:p>
    <w:p>
      <w:pPr>
        <w:pStyle w:val="PargrafodaLista"/>
        <w:numPr>
          <w:ilvl w:val="2"/>
          <w:numId w:val="22"/>
        </w:numPr>
        <w:tabs>
          <w:tab w:val="left" w:pos="284"/>
        </w:tabs>
        <w:ind w:left="0" w:firstLine="0"/>
        <w:jc w:val="both"/>
        <w:rPr>
          <w:rFonts w:ascii="Cambria" w:hAnsi="Cambria" w:cstheme="minorHAnsi"/>
          <w:sz w:val="24"/>
          <w:szCs w:val="24"/>
        </w:rPr>
      </w:pPr>
      <w:r>
        <w:rPr>
          <w:rFonts w:ascii="Cambria" w:hAnsi="Cambria" w:cstheme="minorHAnsi"/>
          <w:sz w:val="24"/>
          <w:szCs w:val="24"/>
        </w:rPr>
        <w:t>Determinar prévia emissão de parecer da área técnica interessada e/ou jurídico para fins de decisão.</w:t>
      </w:r>
    </w:p>
    <w:p>
      <w:pPr>
        <w:pStyle w:val="PargrafodaLista"/>
        <w:numPr>
          <w:ilvl w:val="2"/>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O Pregoeiro ou da autoridade superior considerando eventuais indícios de ilegalidades ou irregularidades no julgamento do certame apontados na própria intenção de recurso, deverá analisar o mérito do recurso independente da apresentação das respectivas razões (ou de sua apresentação fora do prazo legal), como mero exercício do direito constitucional de petição (art. 5º, XXXIV, "a", CRFB/1988).</w:t>
      </w:r>
    </w:p>
    <w:p>
      <w:pPr>
        <w:pStyle w:val="PargrafodaLista"/>
        <w:numPr>
          <w:ilvl w:val="2"/>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Não cabe recurso adesivo por ocasião do exercício do direito de contrarrazoar.</w:t>
      </w:r>
    </w:p>
    <w:p>
      <w:pPr>
        <w:pStyle w:val="PargrafodaLista"/>
        <w:numPr>
          <w:ilvl w:val="2"/>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O acolhimento do recurso importará na invalidação apenas dos atos insuscetíveis de aproveitamento, sendo reaberta a Sessão Pública para fins de prosseguimento do certame e explanação dos atos decorrentes da decisão.</w:t>
      </w:r>
    </w:p>
    <w:p>
      <w:pPr>
        <w:pStyle w:val="PargrafodaLista"/>
        <w:numPr>
          <w:ilvl w:val="2"/>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No caso de licitações com julgamento por item e/ou por grupo/lote, a aceitação de intenção de recurso apenas suspenderá a tramitação do processo licitatório em relação ao(s) item(ns)/grupo/lote(s) recorrido(s), inclusive quanto ao prazo de validade da proposta, o qual somente recomeçará a contar quando da decisão final da autoridade competente, sendo realizado o encerramento da sessão e adjudicação do objeto pela Pregoeira em face dos demais itens/grupos do objeto da licitação, através de adjudicação ou homologação parcial.</w:t>
      </w:r>
    </w:p>
    <w:p>
      <w:pPr>
        <w:pStyle w:val="PargrafodaLista"/>
        <w:tabs>
          <w:tab w:val="left" w:pos="426"/>
        </w:tabs>
        <w:ind w:left="0"/>
        <w:jc w:val="both"/>
        <w:rPr>
          <w:rFonts w:ascii="Cambria" w:hAnsi="Cambria" w:cstheme="minorHAnsi"/>
          <w:b/>
          <w:bCs/>
          <w:sz w:val="24"/>
          <w:szCs w:val="24"/>
          <w:u w:val="single"/>
        </w:rPr>
      </w:pPr>
    </w:p>
    <w:p>
      <w:pPr>
        <w:pStyle w:val="PargrafodaLista"/>
        <w:numPr>
          <w:ilvl w:val="1"/>
          <w:numId w:val="5"/>
        </w:numPr>
        <w:tabs>
          <w:tab w:val="left" w:pos="567"/>
        </w:tabs>
        <w:ind w:left="0" w:firstLine="0"/>
        <w:jc w:val="both"/>
        <w:rPr>
          <w:rFonts w:ascii="Cambria" w:hAnsi="Cambria" w:cstheme="minorHAnsi"/>
          <w:b/>
          <w:bCs/>
          <w:sz w:val="24"/>
          <w:szCs w:val="24"/>
          <w:u w:val="single"/>
        </w:rPr>
      </w:pPr>
      <w:r>
        <w:rPr>
          <w:rFonts w:ascii="Cambria" w:hAnsi="Cambria" w:cstheme="minorHAnsi"/>
          <w:b/>
          <w:bCs/>
          <w:sz w:val="24"/>
          <w:szCs w:val="24"/>
          <w:u w:val="single"/>
        </w:rPr>
        <w:lastRenderedPageBreak/>
        <w:t>SUSPENSÃO E REABERTURA DA SESSÃO:</w:t>
      </w:r>
    </w:p>
    <w:p>
      <w:pPr>
        <w:pStyle w:val="PargrafodaLista"/>
        <w:numPr>
          <w:ilvl w:val="2"/>
          <w:numId w:val="5"/>
        </w:numPr>
        <w:tabs>
          <w:tab w:val="left" w:pos="851"/>
        </w:tabs>
        <w:ind w:left="0" w:firstLine="0"/>
        <w:jc w:val="both"/>
        <w:rPr>
          <w:rFonts w:ascii="Cambria" w:hAnsi="Cambria" w:cstheme="minorHAnsi"/>
          <w:sz w:val="24"/>
          <w:szCs w:val="24"/>
        </w:rPr>
      </w:pPr>
      <w:bookmarkStart w:id="34" w:name="_Hlk73710070"/>
      <w:r>
        <w:rPr>
          <w:rFonts w:ascii="Cambria" w:hAnsi="Cambria" w:cstheme="minorHAnsi"/>
          <w:sz w:val="24"/>
          <w:szCs w:val="24"/>
        </w:rPr>
        <w:t>Ao Pregoeiro é facultado, a qualquer momento, suspender a sessão mediante motivo devidamente justificado e marcar seu prosseguimento para outra ocasião, fazendo constar esta decisão na plataforma eletrônica. Neste caso, a sessão terá continuidade a qualquer dia e hora, ficando a cargo do Pregoeiro realizar o devido agendamento prévio na plataforma do Compras Gov no site www.compras.gov.br.</w:t>
      </w:r>
      <w:bookmarkEnd w:id="34"/>
    </w:p>
    <w:p>
      <w:pPr>
        <w:pStyle w:val="PargrafodaLista"/>
        <w:numPr>
          <w:ilvl w:val="2"/>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 xml:space="preserve">O Pregoeiro, a qualquer tempo, na análise das propostas de preços e seus ANEXOS, das amostras, quando houver, e dos documentos de habilitação, poderá solicitar outros documentos, pareceres técnicos e/ou suspender a sessão para realizar diligência a fim de obter melhores subsídios para as suas decisões. Neste caso, a sessão do pregão na forma eletrônica será suspensa e será reiniciada somente decorrida </w:t>
      </w:r>
      <w:r>
        <w:rPr>
          <w:rFonts w:ascii="Cambria" w:hAnsi="Cambria" w:cstheme="minorHAnsi"/>
          <w:b/>
          <w:bCs/>
          <w:sz w:val="24"/>
          <w:szCs w:val="24"/>
        </w:rPr>
        <w:t>24h (vinte e quatro horas)</w:t>
      </w:r>
      <w:r>
        <w:rPr>
          <w:rFonts w:ascii="Cambria" w:hAnsi="Cambria" w:cstheme="minorHAnsi"/>
          <w:sz w:val="24"/>
          <w:szCs w:val="24"/>
        </w:rPr>
        <w:t xml:space="preserve"> após a comunicação do prosseguimento aos participantes, a qual serão informados na plataforma do Compras Gov no site www.compras.gov.br).</w:t>
      </w:r>
    </w:p>
    <w:p>
      <w:pPr>
        <w:pStyle w:val="PargrafodaLista"/>
        <w:numPr>
          <w:ilvl w:val="2"/>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 xml:space="preserve">A Sessão Pública poderá ser REABERTA, em prazo não inferior a </w:t>
      </w:r>
      <w:r>
        <w:rPr>
          <w:rFonts w:ascii="Cambria" w:hAnsi="Cambria" w:cstheme="minorHAnsi"/>
          <w:b/>
          <w:bCs/>
          <w:sz w:val="24"/>
          <w:szCs w:val="24"/>
        </w:rPr>
        <w:t>24h (vinte e quatro horas)</w:t>
      </w:r>
      <w:r>
        <w:rPr>
          <w:rFonts w:ascii="Cambria" w:hAnsi="Cambria" w:cstheme="minorHAnsi"/>
          <w:sz w:val="24"/>
          <w:szCs w:val="24"/>
        </w:rPr>
        <w:t>, em relação ao(s) ITEM(NS) e/ou GRUPO/LOTE(S) do objeto que apresente os seguintes eventos, observada sempre a ordem classificatória da fase de lances:</w:t>
      </w:r>
    </w:p>
    <w:p>
      <w:pPr>
        <w:pStyle w:val="PargrafodaLista"/>
        <w:numPr>
          <w:ilvl w:val="2"/>
          <w:numId w:val="23"/>
        </w:numPr>
        <w:tabs>
          <w:tab w:val="left" w:pos="284"/>
        </w:tabs>
        <w:ind w:left="0" w:firstLine="0"/>
        <w:jc w:val="both"/>
        <w:rPr>
          <w:rFonts w:ascii="Cambria" w:hAnsi="Cambria" w:cstheme="minorHAnsi"/>
          <w:sz w:val="24"/>
          <w:szCs w:val="24"/>
        </w:rPr>
      </w:pPr>
      <w:r>
        <w:rPr>
          <w:rFonts w:ascii="Cambria" w:hAnsi="Cambria" w:cstheme="minorHAnsi"/>
          <w:sz w:val="24"/>
          <w:szCs w:val="24"/>
        </w:rPr>
        <w:t>Julgamento favorável em sede de recurso administrativo que leve à anulação de atos da fase preparatória ou da própria Sessão Pública, situação em que serão repetidos os atos anulados e os que dele dependam;</w:t>
      </w:r>
    </w:p>
    <w:p>
      <w:pPr>
        <w:pStyle w:val="PargrafodaLista"/>
        <w:numPr>
          <w:ilvl w:val="2"/>
          <w:numId w:val="23"/>
        </w:numPr>
        <w:tabs>
          <w:tab w:val="left" w:pos="284"/>
        </w:tabs>
        <w:ind w:left="0" w:firstLine="0"/>
        <w:jc w:val="both"/>
        <w:rPr>
          <w:rFonts w:ascii="Cambria" w:hAnsi="Cambria" w:cstheme="minorHAnsi"/>
          <w:sz w:val="24"/>
          <w:szCs w:val="24"/>
        </w:rPr>
      </w:pPr>
      <w:r>
        <w:rPr>
          <w:rFonts w:ascii="Cambria" w:hAnsi="Cambria" w:cstheme="minorHAnsi"/>
          <w:sz w:val="24"/>
          <w:szCs w:val="24"/>
        </w:rPr>
        <w:t>Constatado erro/impropriedade na aceitação e julgamento da proposta, ou no julgamento da habilitação, o certame restará retroagido aos procedimentos imediatamente anteriores ao instante do erro/impropriedade declarada;</w:t>
      </w:r>
    </w:p>
    <w:p>
      <w:pPr>
        <w:pStyle w:val="PargrafodaLista"/>
        <w:numPr>
          <w:ilvl w:val="2"/>
          <w:numId w:val="23"/>
        </w:numPr>
        <w:tabs>
          <w:tab w:val="left" w:pos="284"/>
        </w:tabs>
        <w:ind w:left="0" w:firstLine="0"/>
        <w:jc w:val="both"/>
        <w:rPr>
          <w:rFonts w:ascii="Cambria" w:hAnsi="Cambria" w:cstheme="minorHAnsi"/>
          <w:sz w:val="24"/>
          <w:szCs w:val="24"/>
        </w:rPr>
      </w:pPr>
      <w:r>
        <w:rPr>
          <w:rFonts w:ascii="Cambria" w:hAnsi="Cambria" w:cstheme="minorHAnsi"/>
          <w:sz w:val="24"/>
          <w:szCs w:val="24"/>
        </w:rPr>
        <w:t>Licitante declarado vencedor que não assinar o instrumento contratual, não havendo CADASTRO DE RESERVA, sendo o certame retomado da fase de aceitação e julgamento das propostas;</w:t>
      </w:r>
    </w:p>
    <w:p>
      <w:pPr>
        <w:pStyle w:val="PargrafodaLista"/>
        <w:numPr>
          <w:ilvl w:val="2"/>
          <w:numId w:val="23"/>
        </w:numPr>
        <w:tabs>
          <w:tab w:val="left" w:pos="284"/>
        </w:tabs>
        <w:ind w:left="0" w:firstLine="0"/>
        <w:jc w:val="both"/>
        <w:rPr>
          <w:rFonts w:ascii="Cambria" w:hAnsi="Cambria" w:cstheme="minorHAnsi"/>
          <w:sz w:val="24"/>
          <w:szCs w:val="24"/>
        </w:rPr>
      </w:pPr>
      <w:r>
        <w:rPr>
          <w:rFonts w:ascii="Cambria" w:hAnsi="Cambria" w:cstheme="minorHAnsi"/>
          <w:sz w:val="24"/>
          <w:szCs w:val="24"/>
        </w:rPr>
        <w:t>Microempresa - ME, Empresas de Pequeno Porte - EPP e equiparadas com restrição da habilitação fiscal e trabalhista que, vencedora do certame, não comprove tal regularidade no prazo fixado neste Edital, nos termos do art. 43, §1º da LC nº 123/2006, sendo reiniciados os procedimentos imediatamente posteriores ao encerramento da etapa de lances;</w:t>
      </w:r>
    </w:p>
    <w:p>
      <w:pPr>
        <w:pStyle w:val="PargrafodaLista"/>
        <w:numPr>
          <w:ilvl w:val="2"/>
          <w:numId w:val="23"/>
        </w:numPr>
        <w:tabs>
          <w:tab w:val="left" w:pos="284"/>
        </w:tabs>
        <w:ind w:left="0" w:firstLine="0"/>
        <w:jc w:val="both"/>
        <w:rPr>
          <w:rFonts w:ascii="Cambria" w:hAnsi="Cambria" w:cstheme="minorHAnsi"/>
          <w:sz w:val="24"/>
          <w:szCs w:val="24"/>
        </w:rPr>
      </w:pPr>
      <w:r>
        <w:rPr>
          <w:rFonts w:ascii="Cambria" w:hAnsi="Cambria" w:cstheme="minorHAnsi"/>
          <w:sz w:val="24"/>
          <w:szCs w:val="24"/>
        </w:rPr>
        <w:t>Licitante vencedor que não mantenha as condições de participação e de habilitação até o momento da assinatura do instrumento contratual, sendo reiniciados os procedimentos de aceitação e julgamento das propostas.</w:t>
      </w:r>
    </w:p>
    <w:p>
      <w:pPr>
        <w:pStyle w:val="PargrafodaLista"/>
        <w:numPr>
          <w:ilvl w:val="2"/>
          <w:numId w:val="5"/>
        </w:numPr>
        <w:tabs>
          <w:tab w:val="left" w:pos="851"/>
        </w:tabs>
        <w:ind w:left="0" w:firstLine="0"/>
        <w:jc w:val="both"/>
        <w:rPr>
          <w:rFonts w:ascii="Cambria" w:hAnsi="Cambria" w:cstheme="minorHAnsi"/>
          <w:sz w:val="24"/>
          <w:szCs w:val="24"/>
        </w:rPr>
      </w:pPr>
      <w:r>
        <w:rPr>
          <w:rFonts w:ascii="Cambria" w:hAnsi="Cambria" w:cstheme="minorHAnsi"/>
          <w:sz w:val="24"/>
          <w:szCs w:val="24"/>
        </w:rPr>
        <w:t xml:space="preserve">Todos os licitantes remanescentes deverão ser convocados para acompanhar a Sessão reaberta, sendo devidamente registrados na plataforma eletrônica Compras Gov no site </w:t>
      </w:r>
      <w:hyperlink r:id="rId32" w:history="1">
        <w:r>
          <w:rPr>
            <w:rStyle w:val="Hyperlink"/>
            <w:rFonts w:ascii="Cambria" w:hAnsi="Cambria" w:cstheme="minorHAnsi"/>
            <w:sz w:val="24"/>
            <w:szCs w:val="24"/>
          </w:rPr>
          <w:t>www.compras.gov.br</w:t>
        </w:r>
      </w:hyperlink>
      <w:r>
        <w:rPr>
          <w:rFonts w:ascii="Cambria" w:hAnsi="Cambria" w:cstheme="minorHAnsi"/>
          <w:sz w:val="24"/>
          <w:szCs w:val="24"/>
        </w:rPr>
        <w:t xml:space="preserve"> a data e hora de tal reabertura, observados os seguintes meios:</w:t>
      </w:r>
    </w:p>
    <w:p>
      <w:pPr>
        <w:pStyle w:val="PargrafodaLista"/>
        <w:numPr>
          <w:ilvl w:val="2"/>
          <w:numId w:val="24"/>
        </w:numPr>
        <w:tabs>
          <w:tab w:val="left" w:pos="284"/>
        </w:tabs>
        <w:ind w:left="0" w:firstLine="0"/>
        <w:jc w:val="both"/>
        <w:rPr>
          <w:rFonts w:ascii="Cambria" w:hAnsi="Cambria" w:cstheme="minorHAnsi"/>
          <w:sz w:val="24"/>
          <w:szCs w:val="24"/>
        </w:rPr>
      </w:pPr>
      <w:r>
        <w:rPr>
          <w:rFonts w:ascii="Cambria" w:hAnsi="Cambria" w:cstheme="minorHAnsi"/>
          <w:sz w:val="24"/>
          <w:szCs w:val="24"/>
        </w:rPr>
        <w:t xml:space="preserve">A convocação se dará por meio da plataforma eletrônica Compras Gov no site </w:t>
      </w:r>
      <w:hyperlink r:id="rId33" w:history="1">
        <w:r>
          <w:rPr>
            <w:rStyle w:val="Hyperlink"/>
            <w:rFonts w:ascii="Cambria" w:hAnsi="Cambria" w:cstheme="minorHAnsi"/>
            <w:sz w:val="24"/>
            <w:szCs w:val="24"/>
          </w:rPr>
          <w:t>www.compras.gov.br</w:t>
        </w:r>
      </w:hyperlink>
      <w:r>
        <w:rPr>
          <w:rFonts w:ascii="Cambria" w:hAnsi="Cambria" w:cstheme="minorHAnsi"/>
          <w:sz w:val="24"/>
          <w:szCs w:val="24"/>
        </w:rPr>
        <w:t xml:space="preserve"> ("CHAT” ou evento de reabertura) ou e-mail, de acordo coma fase do procedimento licitatório;</w:t>
      </w:r>
    </w:p>
    <w:p>
      <w:pPr>
        <w:pStyle w:val="PargrafodaLista"/>
        <w:numPr>
          <w:ilvl w:val="2"/>
          <w:numId w:val="24"/>
        </w:numPr>
        <w:tabs>
          <w:tab w:val="left" w:pos="284"/>
        </w:tabs>
        <w:ind w:left="0" w:firstLine="0"/>
        <w:jc w:val="both"/>
        <w:rPr>
          <w:rFonts w:ascii="Cambria" w:hAnsi="Cambria" w:cstheme="minorHAnsi"/>
          <w:sz w:val="24"/>
          <w:szCs w:val="24"/>
        </w:rPr>
      </w:pPr>
      <w:r>
        <w:rPr>
          <w:rFonts w:ascii="Cambria" w:hAnsi="Cambria" w:cstheme="minorHAnsi"/>
          <w:sz w:val="24"/>
          <w:szCs w:val="24"/>
        </w:rPr>
        <w:t>A convocação feita por e-mail dar-se-á de acordo com os dados cadastrais contidos no SICAF, sendo responsabilidade do licitante mantê-los atualizados; e,</w:t>
      </w:r>
    </w:p>
    <w:p>
      <w:pPr>
        <w:pStyle w:val="PargrafodaLista"/>
        <w:numPr>
          <w:ilvl w:val="2"/>
          <w:numId w:val="24"/>
        </w:numPr>
        <w:tabs>
          <w:tab w:val="left" w:pos="284"/>
        </w:tabs>
        <w:ind w:left="0" w:firstLine="0"/>
        <w:jc w:val="both"/>
        <w:rPr>
          <w:rFonts w:ascii="Cambria" w:hAnsi="Cambria" w:cstheme="minorHAnsi"/>
          <w:sz w:val="24"/>
          <w:szCs w:val="24"/>
        </w:rPr>
      </w:pPr>
      <w:r>
        <w:rPr>
          <w:rFonts w:ascii="Cambria" w:hAnsi="Cambria" w:cstheme="minorHAnsi"/>
          <w:sz w:val="24"/>
          <w:szCs w:val="24"/>
        </w:rPr>
        <w:t>A convocação para reabertura também será divulgada com antecedência por meio do Portal de Licitações do TCE/CE, cabendo ao licitante acompanhar as informações e publicações contidas naquele canal de acesso.</w:t>
      </w:r>
    </w:p>
    <w:p>
      <w:pPr>
        <w:pStyle w:val="PargrafodaLista"/>
        <w:numPr>
          <w:ilvl w:val="2"/>
          <w:numId w:val="5"/>
        </w:numPr>
        <w:tabs>
          <w:tab w:val="left" w:pos="851"/>
        </w:tabs>
        <w:ind w:left="0" w:firstLine="0"/>
        <w:jc w:val="both"/>
        <w:rPr>
          <w:rFonts w:ascii="Cambria" w:hAnsi="Cambria" w:cstheme="minorHAnsi"/>
          <w:sz w:val="24"/>
          <w:szCs w:val="24"/>
        </w:rPr>
      </w:pPr>
      <w:r>
        <w:rPr>
          <w:rFonts w:ascii="Cambria" w:hAnsi="Cambria" w:cstheme="minorHAnsi"/>
          <w:sz w:val="24"/>
          <w:szCs w:val="24"/>
        </w:rPr>
        <w:lastRenderedPageBreak/>
        <w:t>A Sessão Pública reaberta será composta de todos os procedimentos e regras de processamento fixadas neste Edital, a depender apenas da fase em que os trabalhos serão retomados.</w:t>
      </w:r>
    </w:p>
    <w:p>
      <w:pPr>
        <w:pStyle w:val="PargrafodaLista"/>
        <w:tabs>
          <w:tab w:val="left" w:pos="426"/>
        </w:tabs>
        <w:ind w:left="0"/>
        <w:jc w:val="both"/>
        <w:rPr>
          <w:rFonts w:ascii="Cambria" w:hAnsi="Cambria" w:cstheme="minorHAnsi"/>
          <w:b/>
          <w:bCs/>
          <w:sz w:val="24"/>
          <w:szCs w:val="24"/>
          <w:u w:val="single"/>
        </w:rPr>
      </w:pPr>
    </w:p>
    <w:p>
      <w:pPr>
        <w:pStyle w:val="PargrafodaLista"/>
        <w:numPr>
          <w:ilvl w:val="1"/>
          <w:numId w:val="5"/>
        </w:numPr>
        <w:tabs>
          <w:tab w:val="left" w:pos="567"/>
        </w:tabs>
        <w:ind w:left="0" w:firstLine="0"/>
        <w:jc w:val="both"/>
        <w:rPr>
          <w:rFonts w:ascii="Cambria" w:hAnsi="Cambria" w:cstheme="minorHAnsi"/>
          <w:b/>
          <w:bCs/>
          <w:sz w:val="24"/>
          <w:szCs w:val="24"/>
          <w:u w:val="single"/>
        </w:rPr>
      </w:pPr>
      <w:r>
        <w:rPr>
          <w:rFonts w:ascii="Cambria" w:hAnsi="Cambria" w:cstheme="minorHAnsi"/>
          <w:b/>
          <w:bCs/>
          <w:sz w:val="24"/>
          <w:szCs w:val="24"/>
          <w:u w:val="single"/>
        </w:rPr>
        <w:t xml:space="preserve">ENCERRAMENTO DA SESSÃO: </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Da sessão do Pregão será lavrada ata circunstanciada, que mencionará os proponentes participantes, as Propostas de Preços e lances verbais sucessivos, na ordem de classificação, a análise da documentação exigida para habilitação e os recursos interpostos, devendo ser a mesma assinada, ao final, pelo Pregoeiro e sua Equipe de Apoio.</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 xml:space="preserve"> Ao final da sessão, caso não haja intenção de interposição de recurso e o preço final seja compatível com os preços de mercado previstos para a contratação, será feita pelo Pregoeiro a adjudicação do objeto desta licitação ao proponente declarado vencedor do certame e encerrada a reunião, após o que, o processo, devidamente instruído, será encaminhado:</w:t>
      </w:r>
    </w:p>
    <w:p>
      <w:pPr>
        <w:pStyle w:val="PargrafodaLista"/>
        <w:numPr>
          <w:ilvl w:val="2"/>
          <w:numId w:val="25"/>
        </w:numPr>
        <w:tabs>
          <w:tab w:val="left" w:pos="284"/>
        </w:tabs>
        <w:ind w:left="0" w:firstLine="0"/>
        <w:jc w:val="both"/>
        <w:rPr>
          <w:rFonts w:ascii="Cambria" w:hAnsi="Cambria" w:cstheme="minorHAnsi"/>
          <w:sz w:val="24"/>
          <w:szCs w:val="24"/>
        </w:rPr>
      </w:pPr>
      <w:r>
        <w:rPr>
          <w:rFonts w:ascii="Cambria" w:hAnsi="Cambria" w:cstheme="minorHAnsi"/>
          <w:sz w:val="24"/>
          <w:szCs w:val="24"/>
        </w:rPr>
        <w:t>Para as publicações quanto resultados do certame, instrução do feito e deliberações quanto aos proclames de julgamento;</w:t>
      </w:r>
    </w:p>
    <w:p>
      <w:pPr>
        <w:pStyle w:val="PargrafodaLista"/>
        <w:numPr>
          <w:ilvl w:val="2"/>
          <w:numId w:val="25"/>
        </w:numPr>
        <w:tabs>
          <w:tab w:val="left" w:pos="284"/>
        </w:tabs>
        <w:ind w:left="0" w:firstLine="0"/>
        <w:jc w:val="both"/>
        <w:rPr>
          <w:rFonts w:ascii="Cambria" w:hAnsi="Cambria" w:cstheme="minorHAnsi"/>
          <w:sz w:val="24"/>
          <w:szCs w:val="24"/>
        </w:rPr>
      </w:pPr>
      <w:r>
        <w:rPr>
          <w:rFonts w:ascii="Cambria" w:hAnsi="Cambria" w:cstheme="minorHAnsi"/>
          <w:sz w:val="24"/>
          <w:szCs w:val="24"/>
        </w:rPr>
        <w:t>À Assessoria Jurídica, para fins de análise e parecer jurídico;</w:t>
      </w:r>
    </w:p>
    <w:p>
      <w:pPr>
        <w:pStyle w:val="PargrafodaLista"/>
        <w:numPr>
          <w:ilvl w:val="2"/>
          <w:numId w:val="25"/>
        </w:numPr>
        <w:tabs>
          <w:tab w:val="left" w:pos="284"/>
        </w:tabs>
        <w:ind w:left="0" w:firstLine="0"/>
        <w:jc w:val="both"/>
        <w:rPr>
          <w:rFonts w:ascii="Cambria" w:hAnsi="Cambria" w:cstheme="minorHAnsi"/>
          <w:sz w:val="24"/>
          <w:szCs w:val="24"/>
        </w:rPr>
      </w:pPr>
      <w:r>
        <w:rPr>
          <w:rFonts w:ascii="Cambria" w:hAnsi="Cambria" w:cstheme="minorHAnsi"/>
          <w:sz w:val="24"/>
          <w:szCs w:val="24"/>
        </w:rPr>
        <w:t>E depois à(s) autoridades(s) competentes para homologação e subsequente formalização de Contrato(s).</w:t>
      </w:r>
    </w:p>
    <w:p>
      <w:pPr>
        <w:autoSpaceDE w:val="0"/>
        <w:autoSpaceDN w:val="0"/>
        <w:adjustRightInd w:val="0"/>
        <w:jc w:val="both"/>
        <w:rPr>
          <w:rFonts w:ascii="Cambria" w:hAnsi="Cambria" w:cstheme="minorHAnsi"/>
          <w:bCs/>
          <w:sz w:val="24"/>
          <w:szCs w:val="24"/>
        </w:rPr>
      </w:pPr>
    </w:p>
    <w:p>
      <w:pPr>
        <w:pStyle w:val="Ttulo1"/>
        <w:tabs>
          <w:tab w:val="clear" w:pos="284"/>
          <w:tab w:val="left" w:pos="426"/>
        </w:tabs>
        <w:ind w:left="0" w:firstLine="0"/>
        <w:rPr>
          <w:rFonts w:ascii="Cambria" w:hAnsi="Cambria" w:cstheme="minorHAnsi"/>
          <w:sz w:val="24"/>
          <w:szCs w:val="24"/>
        </w:rPr>
      </w:pPr>
      <w:bookmarkStart w:id="35" w:name="_Toc161741806"/>
      <w:bookmarkStart w:id="36" w:name="_Toc164093665"/>
      <w:r>
        <w:rPr>
          <w:rFonts w:ascii="Cambria" w:hAnsi="Cambria" w:cstheme="minorHAnsi"/>
          <w:sz w:val="24"/>
          <w:szCs w:val="24"/>
        </w:rPr>
        <w:t>DA ADJUDICAÇÃO E HOMOLOGAÇÃO.</w:t>
      </w:r>
      <w:bookmarkEnd w:id="35"/>
      <w:bookmarkEnd w:id="36"/>
    </w:p>
    <w:p>
      <w:pPr>
        <w:pStyle w:val="PargrafodaLista"/>
        <w:numPr>
          <w:ilvl w:val="1"/>
          <w:numId w:val="5"/>
        </w:numPr>
        <w:tabs>
          <w:tab w:val="left" w:pos="567"/>
        </w:tabs>
        <w:ind w:left="0" w:firstLine="0"/>
        <w:jc w:val="both"/>
        <w:rPr>
          <w:rFonts w:ascii="Cambria" w:hAnsi="Cambria" w:cstheme="minorHAnsi"/>
          <w:sz w:val="24"/>
          <w:szCs w:val="24"/>
        </w:rPr>
      </w:pPr>
      <w:r>
        <w:rPr>
          <w:rFonts w:ascii="Cambria" w:eastAsia="Calibri" w:hAnsi="Cambria" w:cstheme="minorHAnsi"/>
          <w:noProof/>
          <w:sz w:val="24"/>
          <w:szCs w:val="24"/>
          <w:lang w:eastAsia="pt-BR"/>
        </w:rPr>
        <w:t>Encerradas as fases de julgamento e habilitação, e exauridos os recursos administrativos, o processo licitatório será encaminhado à autoridade superior para adjudicar o objeto e homologar o procedimento, observado o disposto no art. 71 da Lei Federal nº 14.133, de 2021.</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A autoridade competente poderá:</w:t>
      </w:r>
    </w:p>
    <w:p>
      <w:pPr>
        <w:pStyle w:val="PargrafodaLista"/>
        <w:numPr>
          <w:ilvl w:val="2"/>
          <w:numId w:val="26"/>
        </w:numPr>
        <w:tabs>
          <w:tab w:val="left" w:pos="284"/>
        </w:tabs>
        <w:ind w:left="0" w:firstLine="0"/>
        <w:jc w:val="both"/>
        <w:rPr>
          <w:rFonts w:ascii="Cambria" w:hAnsi="Cambria" w:cstheme="minorHAnsi"/>
          <w:sz w:val="24"/>
          <w:szCs w:val="24"/>
        </w:rPr>
      </w:pPr>
      <w:r>
        <w:rPr>
          <w:rFonts w:ascii="Cambria" w:hAnsi="Cambria" w:cstheme="minorHAnsi"/>
          <w:sz w:val="24"/>
          <w:szCs w:val="24"/>
        </w:rPr>
        <w:t>Anular o certame, total ou parcialmente, em razão de ilegalidade, determinando o aproveitamento dos atos não viciados; ou,</w:t>
      </w:r>
    </w:p>
    <w:p>
      <w:pPr>
        <w:pStyle w:val="PargrafodaLista"/>
        <w:numPr>
          <w:ilvl w:val="2"/>
          <w:numId w:val="26"/>
        </w:numPr>
        <w:tabs>
          <w:tab w:val="left" w:pos="284"/>
        </w:tabs>
        <w:ind w:left="0" w:firstLine="0"/>
        <w:jc w:val="both"/>
        <w:rPr>
          <w:rFonts w:ascii="Cambria" w:hAnsi="Cambria" w:cstheme="minorHAnsi"/>
          <w:sz w:val="24"/>
          <w:szCs w:val="24"/>
        </w:rPr>
      </w:pPr>
      <w:r>
        <w:rPr>
          <w:rFonts w:ascii="Cambria" w:hAnsi="Cambria" w:cstheme="minorHAnsi"/>
          <w:sz w:val="24"/>
          <w:szCs w:val="24"/>
        </w:rPr>
        <w:t>Revogar o certame, total ou parcialmente, por razões de conveniência e oportunidade, à luz do interesse público primário tutelado.</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A adjudicação e ou a homologação do resultado desta licitação não implicará direito à contratação.</w:t>
      </w:r>
    </w:p>
    <w:p>
      <w:pPr>
        <w:pStyle w:val="PargrafodaLista"/>
        <w:tabs>
          <w:tab w:val="left" w:pos="284"/>
        </w:tabs>
        <w:ind w:left="0"/>
        <w:jc w:val="both"/>
        <w:rPr>
          <w:rFonts w:ascii="Cambria" w:hAnsi="Cambria" w:cstheme="minorHAnsi"/>
          <w:sz w:val="24"/>
          <w:szCs w:val="24"/>
        </w:rPr>
      </w:pPr>
      <w:r>
        <w:rPr>
          <w:rFonts w:ascii="Cambria" w:hAnsi="Cambria" w:cstheme="minorHAnsi"/>
          <w:sz w:val="24"/>
          <w:szCs w:val="24"/>
        </w:rPr>
        <w:t xml:space="preserve">a) Não havendo homologação do certame após decorridos </w:t>
      </w:r>
      <w:r>
        <w:rPr>
          <w:rFonts w:ascii="Cambria" w:hAnsi="Cambria" w:cstheme="minorHAnsi"/>
          <w:b/>
          <w:bCs/>
          <w:sz w:val="24"/>
          <w:szCs w:val="24"/>
        </w:rPr>
        <w:t>60 (sessenta) dias</w:t>
      </w:r>
      <w:r>
        <w:rPr>
          <w:rFonts w:ascii="Cambria" w:hAnsi="Cambria" w:cstheme="minorHAnsi"/>
          <w:sz w:val="24"/>
          <w:szCs w:val="24"/>
        </w:rPr>
        <w:t xml:space="preserve"> da data de abertura das propostas, fica(m) o(s) licitante(s) liberado(s) dos compromissos assumidos em sua(s) proposta(s).</w:t>
      </w:r>
    </w:p>
    <w:p>
      <w:pPr>
        <w:autoSpaceDE w:val="0"/>
        <w:autoSpaceDN w:val="0"/>
        <w:adjustRightInd w:val="0"/>
        <w:jc w:val="both"/>
        <w:rPr>
          <w:rFonts w:ascii="Cambria" w:hAnsi="Cambria" w:cstheme="minorHAnsi"/>
          <w:bCs/>
          <w:sz w:val="24"/>
          <w:szCs w:val="24"/>
        </w:rPr>
      </w:pPr>
    </w:p>
    <w:p>
      <w:pPr>
        <w:pStyle w:val="Ttulo1"/>
        <w:tabs>
          <w:tab w:val="clear" w:pos="284"/>
          <w:tab w:val="left" w:pos="426"/>
        </w:tabs>
        <w:ind w:left="0" w:firstLine="0"/>
        <w:rPr>
          <w:rFonts w:ascii="Cambria" w:hAnsi="Cambria" w:cstheme="minorHAnsi"/>
          <w:sz w:val="24"/>
          <w:szCs w:val="24"/>
        </w:rPr>
      </w:pPr>
      <w:bookmarkStart w:id="37" w:name="_Toc161741807"/>
      <w:bookmarkStart w:id="38" w:name="_Toc164093666"/>
      <w:r>
        <w:rPr>
          <w:rFonts w:ascii="Cambria" w:hAnsi="Cambria" w:cstheme="minorHAnsi"/>
          <w:sz w:val="24"/>
          <w:szCs w:val="24"/>
        </w:rPr>
        <w:t>DAS DOTAÇÕES ORÇAMENTÁRIAS</w:t>
      </w:r>
      <w:bookmarkEnd w:id="37"/>
      <w:r>
        <w:rPr>
          <w:rFonts w:ascii="Cambria" w:hAnsi="Cambria" w:cstheme="minorHAnsi"/>
          <w:sz w:val="24"/>
          <w:szCs w:val="24"/>
        </w:rPr>
        <w:t xml:space="preserve"> E VALOR ESTIMADO</w:t>
      </w:r>
      <w:bookmarkEnd w:id="38"/>
    </w:p>
    <w:p>
      <w:pPr>
        <w:pStyle w:val="Ttulo1"/>
        <w:numPr>
          <w:ilvl w:val="0"/>
          <w:numId w:val="0"/>
        </w:numPr>
        <w:rPr>
          <w:rFonts w:ascii="Cambria" w:hAnsi="Cambria" w:cstheme="minorHAnsi"/>
          <w:sz w:val="24"/>
          <w:szCs w:val="24"/>
        </w:rPr>
      </w:pPr>
    </w:p>
    <w:p>
      <w:pPr>
        <w:rPr>
          <w:rFonts w:ascii="Cambria" w:hAnsi="Cambria" w:cstheme="minorHAnsi"/>
          <w:b/>
          <w:bCs/>
          <w:sz w:val="24"/>
          <w:szCs w:val="24"/>
          <w:lang w:eastAsia="ar-SA"/>
        </w:rPr>
      </w:pPr>
      <w:r>
        <w:rPr>
          <w:rFonts w:ascii="Cambria" w:hAnsi="Cambria" w:cstheme="minorHAnsi"/>
          <w:b/>
          <w:bCs/>
          <w:sz w:val="24"/>
          <w:szCs w:val="24"/>
          <w:lang w:eastAsia="ar-SA"/>
        </w:rPr>
        <w:t>SECRETARIA MUNICIPAL DE EDUCAÇÃO:</w:t>
      </w:r>
    </w:p>
    <w:p>
      <w:pPr>
        <w:autoSpaceDE w:val="0"/>
        <w:autoSpaceDN w:val="0"/>
        <w:adjustRightInd w:val="0"/>
        <w:jc w:val="both"/>
        <w:rPr>
          <w:rFonts w:ascii="Cambria" w:hAnsi="Cambria"/>
          <w:b/>
          <w:sz w:val="24"/>
          <w:szCs w:val="24"/>
        </w:rPr>
      </w:pPr>
      <w:r>
        <w:rPr>
          <w:rFonts w:ascii="Cambria" w:hAnsi="Cambria"/>
          <w:b/>
          <w:sz w:val="24"/>
          <w:szCs w:val="24"/>
        </w:rPr>
        <w:t>DOTACÃO ORÇAMENTÁRIA:</w:t>
      </w:r>
    </w:p>
    <w:p>
      <w:pPr>
        <w:jc w:val="both"/>
        <w:rPr>
          <w:rFonts w:ascii="Cambria" w:hAnsi="Cambria" w:cstheme="minorHAnsi"/>
          <w:b/>
          <w:bCs/>
          <w:sz w:val="24"/>
          <w:szCs w:val="24"/>
        </w:rPr>
      </w:pPr>
      <w:r>
        <w:rPr>
          <w:rFonts w:ascii="Cambria" w:hAnsi="Cambria" w:cstheme="minorHAnsi"/>
          <w:b/>
          <w:bCs/>
          <w:sz w:val="24"/>
          <w:szCs w:val="24"/>
        </w:rPr>
        <w:t>ORGÃO:</w:t>
      </w:r>
      <w:r>
        <w:rPr>
          <w:rFonts w:ascii="Cambria" w:hAnsi="Cambria" w:cstheme="minorHAnsi"/>
          <w:sz w:val="24"/>
          <w:szCs w:val="24"/>
        </w:rPr>
        <w:t xml:space="preserve"> 10- </w:t>
      </w:r>
      <w:r>
        <w:rPr>
          <w:rFonts w:ascii="Cambria" w:hAnsi="Cambria" w:cstheme="minorHAnsi"/>
          <w:bCs/>
          <w:sz w:val="24"/>
          <w:szCs w:val="24"/>
        </w:rPr>
        <w:t>Secretaria Municipal de Educação</w:t>
      </w:r>
    </w:p>
    <w:p>
      <w:pPr>
        <w:rPr>
          <w:rFonts w:ascii="Cambria" w:hAnsi="Cambria" w:cstheme="minorHAnsi"/>
          <w:sz w:val="24"/>
          <w:szCs w:val="24"/>
        </w:rPr>
      </w:pPr>
      <w:r>
        <w:rPr>
          <w:rFonts w:ascii="Cambria" w:hAnsi="Cambria" w:cstheme="minorHAnsi"/>
          <w:b/>
          <w:bCs/>
          <w:sz w:val="24"/>
          <w:szCs w:val="24"/>
        </w:rPr>
        <w:t xml:space="preserve">UNID. ORÇAMENTÁRIA: </w:t>
      </w:r>
      <w:r>
        <w:rPr>
          <w:rFonts w:ascii="Cambria" w:hAnsi="Cambria" w:cstheme="minorHAnsi"/>
          <w:sz w:val="24"/>
          <w:szCs w:val="24"/>
        </w:rPr>
        <w:t xml:space="preserve">01- </w:t>
      </w:r>
      <w:r>
        <w:rPr>
          <w:rFonts w:ascii="Cambria" w:hAnsi="Cambria" w:cstheme="minorHAnsi"/>
          <w:bCs/>
          <w:sz w:val="24"/>
          <w:szCs w:val="24"/>
        </w:rPr>
        <w:t>Secretaria Municipal de Educação</w:t>
      </w:r>
    </w:p>
    <w:p>
      <w:pPr>
        <w:jc w:val="both"/>
        <w:rPr>
          <w:rFonts w:asciiTheme="minorHAnsi" w:hAnsiTheme="minorHAnsi"/>
          <w:sz w:val="24"/>
          <w:szCs w:val="24"/>
        </w:rPr>
      </w:pPr>
      <w:r>
        <w:rPr>
          <w:rFonts w:ascii="Cambria" w:hAnsi="Cambria" w:cstheme="minorHAnsi"/>
          <w:b/>
          <w:bCs/>
          <w:sz w:val="24"/>
          <w:szCs w:val="24"/>
        </w:rPr>
        <w:t xml:space="preserve">DOTAÇÕES ORÇAMENTÁRIAS: </w:t>
      </w:r>
      <w:r>
        <w:rPr>
          <w:rFonts w:asciiTheme="minorHAnsi" w:eastAsia="Arial" w:hAnsiTheme="minorHAnsi"/>
          <w:sz w:val="24"/>
          <w:szCs w:val="24"/>
        </w:rPr>
        <w:t xml:space="preserve">12.122.0014.2.049 – Funcionamento da </w:t>
      </w:r>
      <w:r>
        <w:rPr>
          <w:rFonts w:asciiTheme="minorHAnsi" w:hAnsiTheme="minorHAnsi"/>
          <w:sz w:val="24"/>
          <w:szCs w:val="24"/>
        </w:rPr>
        <w:t>Secretaria Municipal de Educação</w:t>
      </w:r>
    </w:p>
    <w:p>
      <w:pPr>
        <w:jc w:val="both"/>
        <w:rPr>
          <w:rFonts w:ascii="Cambria" w:hAnsi="Cambria" w:cstheme="minorHAnsi"/>
          <w:b/>
          <w:bCs/>
          <w:sz w:val="24"/>
          <w:szCs w:val="24"/>
        </w:rPr>
      </w:pPr>
      <w:r>
        <w:rPr>
          <w:rFonts w:ascii="Cambria" w:hAnsi="Cambria" w:cstheme="minorHAnsi"/>
          <w:b/>
          <w:bCs/>
          <w:sz w:val="24"/>
          <w:szCs w:val="24"/>
        </w:rPr>
        <w:t xml:space="preserve">ELEMENTO DESPESA: </w:t>
      </w:r>
      <w:r>
        <w:rPr>
          <w:rFonts w:ascii="Cambria" w:hAnsi="Cambria" w:cstheme="minorHAnsi"/>
          <w:bCs/>
          <w:sz w:val="24"/>
          <w:szCs w:val="24"/>
        </w:rPr>
        <w:t>3.3.90.39.90 –</w:t>
      </w:r>
      <w:r>
        <w:rPr>
          <w:rFonts w:ascii="Cambria" w:hAnsi="Cambria" w:cstheme="minorHAnsi"/>
          <w:b/>
          <w:bCs/>
          <w:sz w:val="24"/>
          <w:szCs w:val="24"/>
        </w:rPr>
        <w:t xml:space="preserve"> </w:t>
      </w:r>
      <w:r>
        <w:rPr>
          <w:rFonts w:ascii="Cambria" w:hAnsi="Cambria" w:cstheme="minorHAnsi"/>
          <w:bCs/>
          <w:sz w:val="24"/>
          <w:szCs w:val="24"/>
        </w:rPr>
        <w:t>Outros serviços de terceiros/PJ</w:t>
      </w:r>
    </w:p>
    <w:p>
      <w:pPr>
        <w:jc w:val="both"/>
        <w:rPr>
          <w:rFonts w:ascii="Cambria" w:hAnsi="Cambria" w:cstheme="minorHAnsi"/>
          <w:bCs/>
          <w:sz w:val="24"/>
          <w:szCs w:val="24"/>
        </w:rPr>
      </w:pPr>
      <w:r>
        <w:rPr>
          <w:rFonts w:ascii="Cambria" w:hAnsi="Cambria" w:cstheme="minorHAnsi"/>
          <w:b/>
          <w:bCs/>
          <w:sz w:val="24"/>
          <w:szCs w:val="24"/>
        </w:rPr>
        <w:t xml:space="preserve">FONTE: </w:t>
      </w:r>
      <w:r>
        <w:rPr>
          <w:rFonts w:ascii="Cambria" w:hAnsi="Cambria"/>
          <w:sz w:val="24"/>
          <w:szCs w:val="24"/>
        </w:rPr>
        <w:t>1500100100 – Receita de imposto e tranf. - educação</w:t>
      </w:r>
    </w:p>
    <w:p>
      <w:pPr>
        <w:jc w:val="both"/>
        <w:rPr>
          <w:rFonts w:ascii="Cambria" w:hAnsi="Cambria" w:cstheme="minorHAnsi"/>
          <w:bCs/>
          <w:sz w:val="24"/>
          <w:szCs w:val="24"/>
        </w:rPr>
      </w:pPr>
    </w:p>
    <w:p>
      <w:pPr>
        <w:jc w:val="both"/>
        <w:rPr>
          <w:rFonts w:ascii="Cambria" w:hAnsi="Cambria" w:cstheme="minorHAnsi"/>
          <w:b/>
          <w:bCs/>
          <w:sz w:val="24"/>
          <w:szCs w:val="24"/>
          <w:lang w:eastAsia="ar-SA"/>
        </w:rPr>
      </w:pPr>
      <w:r>
        <w:rPr>
          <w:rFonts w:ascii="Cambria" w:hAnsi="Cambria" w:cstheme="minorHAnsi"/>
          <w:b/>
          <w:sz w:val="24"/>
          <w:szCs w:val="24"/>
        </w:rPr>
        <w:lastRenderedPageBreak/>
        <w:t>VALOR ESTIMADO:</w:t>
      </w:r>
    </w:p>
    <w:p>
      <w:pPr>
        <w:pStyle w:val="PargrafodaLista"/>
        <w:numPr>
          <w:ilvl w:val="1"/>
          <w:numId w:val="5"/>
        </w:numPr>
        <w:tabs>
          <w:tab w:val="left" w:pos="426"/>
          <w:tab w:val="left" w:pos="567"/>
          <w:tab w:val="center" w:pos="4873"/>
        </w:tabs>
        <w:suppressAutoHyphens w:val="0"/>
        <w:spacing w:line="276" w:lineRule="auto"/>
        <w:ind w:left="0" w:firstLine="0"/>
        <w:jc w:val="both"/>
        <w:rPr>
          <w:rFonts w:ascii="Cambria" w:hAnsi="Cambria" w:cstheme="minorHAnsi"/>
          <w:bCs/>
          <w:sz w:val="24"/>
          <w:szCs w:val="24"/>
        </w:rPr>
      </w:pPr>
      <w:r>
        <w:rPr>
          <w:rFonts w:ascii="Cambria" w:hAnsi="Cambria" w:cstheme="minorHAnsi"/>
          <w:color w:val="000000"/>
          <w:sz w:val="24"/>
          <w:szCs w:val="24"/>
        </w:rPr>
        <w:t xml:space="preserve">O custo Global estimado para a contratação é de </w:t>
      </w:r>
      <w:r>
        <w:rPr>
          <w:rFonts w:ascii="Cambria" w:hAnsi="Cambria" w:cstheme="minorHAnsi"/>
          <w:b/>
          <w:bCs/>
          <w:color w:val="000000"/>
          <w:sz w:val="24"/>
          <w:szCs w:val="24"/>
        </w:rPr>
        <w:t xml:space="preserve">R$ 340.857,08 (trezentos e quarenta mil, oitocentos e cinquenta e sete reais e oito centavos) </w:t>
      </w:r>
      <w:r>
        <w:rPr>
          <w:rFonts w:ascii="Cambria" w:hAnsi="Cambria" w:cstheme="minorHAnsi"/>
          <w:color w:val="000000"/>
          <w:sz w:val="24"/>
          <w:szCs w:val="24"/>
        </w:rPr>
        <w:t>conforme relatório emitido pelo setor compras do Município.</w:t>
      </w:r>
      <w:r>
        <w:rPr>
          <w:rFonts w:ascii="Cambria" w:hAnsi="Cambria" w:cstheme="minorHAnsi"/>
          <w:bCs/>
          <w:sz w:val="24"/>
          <w:szCs w:val="24"/>
        </w:rPr>
        <w:t> </w:t>
      </w:r>
    </w:p>
    <w:p>
      <w:pPr>
        <w:pStyle w:val="Ttulo1"/>
        <w:numPr>
          <w:ilvl w:val="0"/>
          <w:numId w:val="0"/>
        </w:numPr>
        <w:ind w:left="720" w:hanging="360"/>
        <w:rPr>
          <w:rFonts w:ascii="Cambria" w:hAnsi="Cambria" w:cstheme="minorHAnsi"/>
          <w:sz w:val="24"/>
          <w:szCs w:val="24"/>
        </w:rPr>
      </w:pPr>
    </w:p>
    <w:p>
      <w:pPr>
        <w:pStyle w:val="Ttulo1"/>
        <w:tabs>
          <w:tab w:val="clear" w:pos="284"/>
          <w:tab w:val="left" w:pos="426"/>
        </w:tabs>
        <w:ind w:left="0" w:firstLine="0"/>
        <w:rPr>
          <w:rFonts w:ascii="Cambria" w:hAnsi="Cambria" w:cstheme="minorHAnsi"/>
          <w:sz w:val="24"/>
          <w:szCs w:val="24"/>
        </w:rPr>
      </w:pPr>
      <w:bookmarkStart w:id="39" w:name="_Toc161741808"/>
      <w:bookmarkStart w:id="40" w:name="_Toc164093667"/>
      <w:r>
        <w:rPr>
          <w:rFonts w:ascii="Cambria" w:hAnsi="Cambria" w:cstheme="minorHAnsi"/>
          <w:sz w:val="24"/>
          <w:szCs w:val="24"/>
        </w:rPr>
        <w:t>DA FORMALIZAÇÃO DAS CONTRATAÇÕES</w:t>
      </w:r>
      <w:bookmarkEnd w:id="39"/>
      <w:bookmarkEnd w:id="40"/>
    </w:p>
    <w:p>
      <w:pPr>
        <w:pStyle w:val="PargrafodaLista"/>
        <w:numPr>
          <w:ilvl w:val="1"/>
          <w:numId w:val="5"/>
        </w:numPr>
        <w:tabs>
          <w:tab w:val="left" w:pos="567"/>
        </w:tabs>
        <w:ind w:left="0" w:firstLine="0"/>
        <w:jc w:val="both"/>
        <w:rPr>
          <w:rFonts w:ascii="Cambria" w:hAnsi="Cambria" w:cstheme="minorHAnsi"/>
          <w:b/>
          <w:bCs/>
          <w:sz w:val="24"/>
          <w:szCs w:val="24"/>
          <w:u w:val="single"/>
        </w:rPr>
      </w:pPr>
      <w:r>
        <w:rPr>
          <w:rFonts w:ascii="Cambria" w:hAnsi="Cambria" w:cstheme="minorHAnsi"/>
          <w:b/>
          <w:bCs/>
          <w:sz w:val="24"/>
          <w:szCs w:val="24"/>
          <w:u w:val="single"/>
        </w:rPr>
        <w:t>DO INSTRUMENTO CONTRATUAL:</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Dentro da validade da PROPOSTA, o adjudicatário poderá ser convocado para comparecer perante o órgão ou entidade para firmar contratações decorrentes do Instrumento Contratual.</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A Administração convocará o adjudicatário para assinatura, mediante correspondência meio eletrônico, para que seja assinado no prazo de 05(cinco) dias, a contar da data de seu recebimento da convocação, sob pena de decair do direito à contratação, sem prejuízo das sanções previstas neste Edital.</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O prazo previsto no subitem anterior poderá ser prorrogado, por igual período, por solicitação justificada do adjudicatário e aceita pela Administração.</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O prazo de vigência da contratação será aquele estipulado no próprio instrumento contratual e observará no momento da contratação e a cada exercício financeiro a disponibilidade de créditos orçamentários, bem como a previsão no plano plurianual, quando ultrapassar 1 (um) exercício financeiro.</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Na formalização do contrato ou do instrumento substituto deverá haver a indicação da disponibilidade dos créditos orçamentários respectivos.</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Incumbirá à Administração providenciar a publicação do extrato do contrato nos termos do parágrafo único art. 61 da Lei nº 14.133/2021 de 1º de abril de 2021.</w:t>
      </w:r>
    </w:p>
    <w:p>
      <w:pPr>
        <w:pStyle w:val="Corpodetexto"/>
        <w:tabs>
          <w:tab w:val="left" w:pos="-1701"/>
          <w:tab w:val="left" w:pos="809"/>
        </w:tabs>
        <w:rPr>
          <w:rFonts w:ascii="Cambria" w:hAnsi="Cambria" w:cstheme="minorHAnsi"/>
          <w:sz w:val="24"/>
          <w:szCs w:val="24"/>
        </w:rPr>
      </w:pPr>
    </w:p>
    <w:p>
      <w:pPr>
        <w:pStyle w:val="PargrafodaLista"/>
        <w:numPr>
          <w:ilvl w:val="1"/>
          <w:numId w:val="5"/>
        </w:numPr>
        <w:tabs>
          <w:tab w:val="left" w:pos="567"/>
        </w:tabs>
        <w:ind w:left="0" w:firstLine="0"/>
        <w:jc w:val="both"/>
        <w:rPr>
          <w:rFonts w:ascii="Cambria" w:hAnsi="Cambria" w:cstheme="minorHAnsi"/>
          <w:b/>
          <w:bCs/>
          <w:sz w:val="24"/>
          <w:szCs w:val="24"/>
          <w:u w:val="single"/>
        </w:rPr>
      </w:pPr>
      <w:r>
        <w:rPr>
          <w:rFonts w:ascii="Cambria" w:hAnsi="Cambria" w:cstheme="minorHAnsi"/>
          <w:b/>
          <w:bCs/>
          <w:sz w:val="24"/>
          <w:szCs w:val="24"/>
          <w:u w:val="single"/>
        </w:rPr>
        <w:t>DA MANUTENÇÃO DAS CONDIÇÕES DE HABILITAÇÃO E DAS IMPLICAÇÕES POR NÃO ATENDIMENTO A CONVOCAÇÃO:</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Se o adjudicatário quando, injustificadamente, recusar-se à assinatura do contrato, poderá ser convocado outro proponente, desde que respeitada a ordem de classificação, para, após a verificação da aceitabilidade da proposta, negociação e comprovados os requisitos de habilitação, celebrar a contratação, sem prejuízo das sanções previstas neste Edital e das demais cominações legais.</w:t>
      </w:r>
    </w:p>
    <w:p>
      <w:pPr>
        <w:pStyle w:val="Corpodetexto"/>
        <w:tabs>
          <w:tab w:val="left" w:pos="-1701"/>
          <w:tab w:val="left" w:pos="809"/>
        </w:tabs>
        <w:rPr>
          <w:rFonts w:ascii="Cambria" w:hAnsi="Cambria" w:cstheme="minorHAnsi"/>
          <w:sz w:val="24"/>
          <w:szCs w:val="24"/>
        </w:rPr>
      </w:pPr>
    </w:p>
    <w:p>
      <w:pPr>
        <w:pStyle w:val="Ttulo1"/>
        <w:tabs>
          <w:tab w:val="clear" w:pos="284"/>
          <w:tab w:val="left" w:pos="426"/>
        </w:tabs>
        <w:ind w:left="0" w:firstLine="0"/>
        <w:rPr>
          <w:rFonts w:ascii="Cambria" w:hAnsi="Cambria" w:cstheme="minorHAnsi"/>
          <w:sz w:val="24"/>
          <w:szCs w:val="24"/>
        </w:rPr>
      </w:pPr>
      <w:bookmarkStart w:id="41" w:name="_Toc161741809"/>
      <w:bookmarkStart w:id="42" w:name="_Toc164093668"/>
      <w:r>
        <w:rPr>
          <w:rFonts w:ascii="Cambria" w:hAnsi="Cambria" w:cstheme="minorHAnsi"/>
          <w:sz w:val="24"/>
          <w:szCs w:val="24"/>
        </w:rPr>
        <w:t>DO PAGAMENTO E DEMAIS CONDIÇÕES DO OBJETO</w:t>
      </w:r>
      <w:bookmarkEnd w:id="41"/>
      <w:bookmarkEnd w:id="42"/>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 xml:space="preserve">As condições de pagamento, obrigações, detalhamentos e demais especificidades quanto ao objeto e não abordados na parte geral desse edital, serão aquelas constantes do Termo de Referências e seus anexos. </w:t>
      </w:r>
    </w:p>
    <w:p>
      <w:pPr>
        <w:pStyle w:val="Corpodetexto"/>
        <w:tabs>
          <w:tab w:val="left" w:pos="-1701"/>
          <w:tab w:val="left" w:pos="809"/>
        </w:tabs>
        <w:rPr>
          <w:rFonts w:ascii="Cambria" w:hAnsi="Cambria" w:cstheme="minorHAnsi"/>
          <w:sz w:val="24"/>
          <w:szCs w:val="24"/>
        </w:rPr>
      </w:pPr>
    </w:p>
    <w:p>
      <w:pPr>
        <w:pStyle w:val="Ttulo1"/>
        <w:tabs>
          <w:tab w:val="clear" w:pos="284"/>
          <w:tab w:val="left" w:pos="426"/>
        </w:tabs>
        <w:ind w:left="284"/>
        <w:rPr>
          <w:rFonts w:ascii="Cambria" w:hAnsi="Cambria" w:cstheme="minorHAnsi"/>
          <w:sz w:val="24"/>
          <w:szCs w:val="24"/>
        </w:rPr>
      </w:pPr>
      <w:bookmarkStart w:id="43" w:name="_Toc161741810"/>
      <w:bookmarkStart w:id="44" w:name="_Toc164093669"/>
      <w:r>
        <w:rPr>
          <w:rFonts w:ascii="Cambria" w:hAnsi="Cambria" w:cstheme="minorHAnsi"/>
          <w:sz w:val="24"/>
          <w:szCs w:val="24"/>
        </w:rPr>
        <w:t>DAS INFRAÇÕES E SANÇÕES</w:t>
      </w:r>
      <w:bookmarkEnd w:id="43"/>
      <w:bookmarkEnd w:id="44"/>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Ficarão sujeitos às penalidades previstas na Lei n.º 12.846/2013 aqueles que cometerem atos lesivos à administração pública, assim definidos, no tocante a licitações e contratos:</w:t>
      </w:r>
    </w:p>
    <w:p>
      <w:pPr>
        <w:pStyle w:val="PargrafodaLista"/>
        <w:tabs>
          <w:tab w:val="left" w:pos="567"/>
        </w:tabs>
        <w:ind w:left="0"/>
        <w:jc w:val="both"/>
        <w:rPr>
          <w:rFonts w:ascii="Cambria" w:hAnsi="Cambria" w:cstheme="minorHAnsi"/>
          <w:sz w:val="24"/>
          <w:szCs w:val="24"/>
        </w:rPr>
      </w:pPr>
    </w:p>
    <w:p>
      <w:pPr>
        <w:pStyle w:val="PargrafodaLista"/>
        <w:numPr>
          <w:ilvl w:val="2"/>
          <w:numId w:val="27"/>
        </w:numPr>
        <w:tabs>
          <w:tab w:val="left" w:pos="284"/>
          <w:tab w:val="left" w:pos="851"/>
          <w:tab w:val="left" w:pos="1276"/>
          <w:tab w:val="left" w:pos="2525"/>
          <w:tab w:val="center" w:pos="4873"/>
        </w:tabs>
        <w:suppressAutoHyphens w:val="0"/>
        <w:ind w:left="0" w:firstLine="0"/>
        <w:jc w:val="both"/>
        <w:rPr>
          <w:rFonts w:ascii="Cambria" w:hAnsi="Cambria" w:cstheme="minorHAnsi"/>
          <w:bCs/>
          <w:sz w:val="24"/>
          <w:szCs w:val="24"/>
        </w:rPr>
      </w:pPr>
      <w:r>
        <w:rPr>
          <w:rFonts w:ascii="Cambria" w:hAnsi="Cambria" w:cstheme="minorHAnsi"/>
          <w:bCs/>
          <w:sz w:val="24"/>
          <w:szCs w:val="24"/>
        </w:rPr>
        <w:t xml:space="preserve">Frustrar ou fraudar, mediante ajuste, combinação ou qualquer outro expediente, o caráter competitivo de procedimento licitatório público; </w:t>
      </w:r>
    </w:p>
    <w:p>
      <w:pPr>
        <w:pStyle w:val="PargrafodaLista"/>
        <w:numPr>
          <w:ilvl w:val="2"/>
          <w:numId w:val="27"/>
        </w:numPr>
        <w:tabs>
          <w:tab w:val="left" w:pos="284"/>
          <w:tab w:val="left" w:pos="851"/>
          <w:tab w:val="left" w:pos="1276"/>
          <w:tab w:val="left" w:pos="2525"/>
          <w:tab w:val="center" w:pos="4873"/>
        </w:tabs>
        <w:suppressAutoHyphens w:val="0"/>
        <w:ind w:left="0" w:firstLine="0"/>
        <w:jc w:val="both"/>
        <w:rPr>
          <w:rFonts w:ascii="Cambria" w:hAnsi="Cambria" w:cstheme="minorHAnsi"/>
          <w:bCs/>
          <w:sz w:val="24"/>
          <w:szCs w:val="24"/>
        </w:rPr>
      </w:pPr>
      <w:r>
        <w:rPr>
          <w:rFonts w:ascii="Cambria" w:hAnsi="Cambria" w:cstheme="minorHAnsi"/>
          <w:bCs/>
          <w:sz w:val="24"/>
          <w:szCs w:val="24"/>
        </w:rPr>
        <w:lastRenderedPageBreak/>
        <w:t xml:space="preserve">Impedir, perturbar ou fraudar a realização de qualquer ato de procedimento licitatório público; </w:t>
      </w:r>
    </w:p>
    <w:p>
      <w:pPr>
        <w:pStyle w:val="PargrafodaLista"/>
        <w:numPr>
          <w:ilvl w:val="2"/>
          <w:numId w:val="27"/>
        </w:numPr>
        <w:tabs>
          <w:tab w:val="left" w:pos="284"/>
          <w:tab w:val="left" w:pos="851"/>
          <w:tab w:val="left" w:pos="1276"/>
          <w:tab w:val="left" w:pos="2525"/>
          <w:tab w:val="center" w:pos="4873"/>
        </w:tabs>
        <w:suppressAutoHyphens w:val="0"/>
        <w:ind w:left="0" w:firstLine="0"/>
        <w:jc w:val="both"/>
        <w:rPr>
          <w:rFonts w:ascii="Cambria" w:hAnsi="Cambria" w:cstheme="minorHAnsi"/>
          <w:bCs/>
          <w:sz w:val="24"/>
          <w:szCs w:val="24"/>
        </w:rPr>
      </w:pPr>
      <w:r>
        <w:rPr>
          <w:rFonts w:ascii="Cambria" w:hAnsi="Cambria" w:cstheme="minorHAnsi"/>
          <w:bCs/>
          <w:sz w:val="24"/>
          <w:szCs w:val="24"/>
        </w:rPr>
        <w:t xml:space="preserve">Afastar ou procurar afastar licitante, por meio de fraude ou oferecimento de vantagem de qualquer tipo; </w:t>
      </w:r>
    </w:p>
    <w:p>
      <w:pPr>
        <w:pStyle w:val="PargrafodaLista"/>
        <w:numPr>
          <w:ilvl w:val="2"/>
          <w:numId w:val="27"/>
        </w:numPr>
        <w:tabs>
          <w:tab w:val="left" w:pos="284"/>
          <w:tab w:val="left" w:pos="851"/>
          <w:tab w:val="left" w:pos="1276"/>
          <w:tab w:val="left" w:pos="2525"/>
          <w:tab w:val="center" w:pos="4873"/>
        </w:tabs>
        <w:suppressAutoHyphens w:val="0"/>
        <w:ind w:left="0" w:firstLine="0"/>
        <w:jc w:val="both"/>
        <w:rPr>
          <w:rFonts w:ascii="Cambria" w:hAnsi="Cambria" w:cstheme="minorHAnsi"/>
          <w:bCs/>
          <w:sz w:val="24"/>
          <w:szCs w:val="24"/>
        </w:rPr>
      </w:pPr>
      <w:r>
        <w:rPr>
          <w:rFonts w:ascii="Cambria" w:hAnsi="Cambria" w:cstheme="minorHAnsi"/>
          <w:bCs/>
          <w:sz w:val="24"/>
          <w:szCs w:val="24"/>
        </w:rPr>
        <w:t xml:space="preserve">Fraudar licitação pública ou contrato dela decorrente; </w:t>
      </w:r>
    </w:p>
    <w:p>
      <w:pPr>
        <w:pStyle w:val="PargrafodaLista"/>
        <w:numPr>
          <w:ilvl w:val="2"/>
          <w:numId w:val="27"/>
        </w:numPr>
        <w:tabs>
          <w:tab w:val="left" w:pos="284"/>
          <w:tab w:val="left" w:pos="851"/>
          <w:tab w:val="left" w:pos="1276"/>
          <w:tab w:val="left" w:pos="2525"/>
          <w:tab w:val="center" w:pos="4873"/>
        </w:tabs>
        <w:suppressAutoHyphens w:val="0"/>
        <w:ind w:left="0" w:firstLine="0"/>
        <w:jc w:val="both"/>
        <w:rPr>
          <w:rFonts w:ascii="Cambria" w:hAnsi="Cambria" w:cstheme="minorHAnsi"/>
          <w:bCs/>
          <w:sz w:val="24"/>
          <w:szCs w:val="24"/>
        </w:rPr>
      </w:pPr>
      <w:r>
        <w:rPr>
          <w:rFonts w:ascii="Cambria" w:hAnsi="Cambria" w:cstheme="minorHAnsi"/>
          <w:bCs/>
          <w:sz w:val="24"/>
          <w:szCs w:val="24"/>
        </w:rPr>
        <w:t xml:space="preserve">Criar, de modo fraudulento ou irregular, pessoa jurídica para participar de licitação pública ou celebrar contrato administrativo; </w:t>
      </w:r>
    </w:p>
    <w:p>
      <w:pPr>
        <w:pStyle w:val="PargrafodaLista"/>
        <w:numPr>
          <w:ilvl w:val="2"/>
          <w:numId w:val="27"/>
        </w:numPr>
        <w:tabs>
          <w:tab w:val="left" w:pos="284"/>
          <w:tab w:val="left" w:pos="851"/>
          <w:tab w:val="left" w:pos="1276"/>
          <w:tab w:val="left" w:pos="2525"/>
          <w:tab w:val="center" w:pos="4873"/>
        </w:tabs>
        <w:suppressAutoHyphens w:val="0"/>
        <w:ind w:left="0" w:firstLine="0"/>
        <w:jc w:val="both"/>
        <w:rPr>
          <w:rFonts w:ascii="Cambria" w:hAnsi="Cambria" w:cstheme="minorHAnsi"/>
          <w:bCs/>
          <w:sz w:val="24"/>
          <w:szCs w:val="24"/>
        </w:rPr>
      </w:pPr>
      <w:r>
        <w:rPr>
          <w:rFonts w:ascii="Cambria" w:hAnsi="Cambria" w:cstheme="minorHAnsi"/>
          <w:bCs/>
          <w:sz w:val="24"/>
          <w:szCs w:val="24"/>
        </w:rPr>
        <w:t xml:space="preserve">Obter vantagem ou benefício indevido, de modo fraudulento, de modificações ou prorrogações de contratos celebrados com a administração pública, sem autorização em lei, no ato convocatório da licitação pública ou nos respectivos instrumentos contratuais; </w:t>
      </w:r>
    </w:p>
    <w:p>
      <w:pPr>
        <w:pStyle w:val="PargrafodaLista"/>
        <w:numPr>
          <w:ilvl w:val="2"/>
          <w:numId w:val="27"/>
        </w:numPr>
        <w:tabs>
          <w:tab w:val="left" w:pos="284"/>
          <w:tab w:val="left" w:pos="851"/>
          <w:tab w:val="left" w:pos="1276"/>
          <w:tab w:val="left" w:pos="2525"/>
          <w:tab w:val="center" w:pos="4873"/>
        </w:tabs>
        <w:suppressAutoHyphens w:val="0"/>
        <w:ind w:left="0" w:firstLine="0"/>
        <w:jc w:val="both"/>
        <w:rPr>
          <w:rFonts w:ascii="Cambria" w:hAnsi="Cambria" w:cstheme="minorHAnsi"/>
          <w:bCs/>
          <w:sz w:val="24"/>
          <w:szCs w:val="24"/>
        </w:rPr>
      </w:pPr>
      <w:r>
        <w:rPr>
          <w:rFonts w:ascii="Cambria" w:hAnsi="Cambria" w:cstheme="minorHAnsi"/>
          <w:bCs/>
          <w:sz w:val="24"/>
          <w:szCs w:val="24"/>
        </w:rPr>
        <w:t>Manipular ou fraudar o equilíbrio econômico-financeiro dos contratos celebrados com a administração pública.</w:t>
      </w:r>
    </w:p>
    <w:p>
      <w:pPr>
        <w:pStyle w:val="PargrafodaLista"/>
        <w:tabs>
          <w:tab w:val="left" w:pos="567"/>
        </w:tabs>
        <w:ind w:left="0"/>
        <w:jc w:val="both"/>
        <w:rPr>
          <w:rFonts w:ascii="Cambria" w:hAnsi="Cambria" w:cstheme="minorHAnsi"/>
          <w:sz w:val="24"/>
          <w:szCs w:val="24"/>
        </w:rPr>
      </w:pP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 xml:space="preserve">Comete infração administrativa, nos termos da </w:t>
      </w:r>
      <w:hyperlink r:id="rId34" w:history="1">
        <w:r>
          <w:rPr>
            <w:rFonts w:ascii="Cambria" w:hAnsi="Cambria" w:cstheme="minorHAnsi"/>
            <w:sz w:val="24"/>
            <w:szCs w:val="24"/>
          </w:rPr>
          <w:t>Lei nº 14.133, de 2021</w:t>
        </w:r>
      </w:hyperlink>
      <w:r>
        <w:rPr>
          <w:rFonts w:ascii="Cambria" w:hAnsi="Cambria" w:cstheme="minorHAnsi"/>
          <w:sz w:val="24"/>
          <w:szCs w:val="24"/>
        </w:rPr>
        <w:t>, o licitante/adjudicatário que, com dolo ou culpa:</w:t>
      </w:r>
    </w:p>
    <w:p>
      <w:pPr>
        <w:pStyle w:val="PargrafodaLista"/>
        <w:numPr>
          <w:ilvl w:val="2"/>
          <w:numId w:val="28"/>
        </w:numPr>
        <w:tabs>
          <w:tab w:val="left" w:pos="284"/>
          <w:tab w:val="left" w:pos="851"/>
          <w:tab w:val="left" w:pos="1276"/>
          <w:tab w:val="left" w:pos="2525"/>
          <w:tab w:val="center" w:pos="4873"/>
        </w:tabs>
        <w:suppressAutoHyphens w:val="0"/>
        <w:ind w:left="0" w:firstLine="0"/>
        <w:jc w:val="both"/>
        <w:rPr>
          <w:rFonts w:ascii="Cambria" w:hAnsi="Cambria" w:cstheme="minorHAnsi"/>
          <w:bCs/>
          <w:sz w:val="24"/>
          <w:szCs w:val="24"/>
        </w:rPr>
      </w:pPr>
      <w:bookmarkStart w:id="45" w:name="_Ref114668085"/>
      <w:bookmarkStart w:id="46" w:name="_Hlk114652595"/>
      <w:r>
        <w:rPr>
          <w:rFonts w:ascii="Cambria" w:hAnsi="Cambria" w:cstheme="minorHAnsi"/>
          <w:bCs/>
          <w:sz w:val="24"/>
          <w:szCs w:val="24"/>
        </w:rPr>
        <w:t>Deixar de entregar a documentação exigida para o certame ou não entregar qualquer documento que tenha sido solicitado pelo/a pregoeiro/a durante o certame;</w:t>
      </w:r>
      <w:bookmarkEnd w:id="45"/>
    </w:p>
    <w:p>
      <w:pPr>
        <w:pStyle w:val="PargrafodaLista"/>
        <w:numPr>
          <w:ilvl w:val="2"/>
          <w:numId w:val="28"/>
        </w:numPr>
        <w:tabs>
          <w:tab w:val="left" w:pos="284"/>
          <w:tab w:val="left" w:pos="851"/>
          <w:tab w:val="left" w:pos="1276"/>
          <w:tab w:val="left" w:pos="2525"/>
          <w:tab w:val="center" w:pos="4873"/>
        </w:tabs>
        <w:suppressAutoHyphens w:val="0"/>
        <w:ind w:left="0" w:firstLine="0"/>
        <w:jc w:val="both"/>
        <w:rPr>
          <w:rFonts w:ascii="Cambria" w:hAnsi="Cambria" w:cstheme="minorHAnsi"/>
          <w:bCs/>
          <w:sz w:val="24"/>
          <w:szCs w:val="24"/>
        </w:rPr>
      </w:pPr>
      <w:bookmarkStart w:id="47" w:name="_Ref114668108"/>
      <w:r>
        <w:rPr>
          <w:rFonts w:ascii="Cambria" w:hAnsi="Cambria" w:cstheme="minorHAnsi"/>
          <w:bCs/>
          <w:sz w:val="24"/>
          <w:szCs w:val="24"/>
        </w:rPr>
        <w:t>Salvo em decorrência de fato superveniente devidamente justificado, não mantiver a proposta em especial quando:</w:t>
      </w:r>
      <w:bookmarkEnd w:id="47"/>
    </w:p>
    <w:p>
      <w:pPr>
        <w:pStyle w:val="PargrafodaLista"/>
        <w:tabs>
          <w:tab w:val="left" w:pos="284"/>
          <w:tab w:val="left" w:pos="851"/>
          <w:tab w:val="left" w:pos="1276"/>
          <w:tab w:val="left" w:pos="2525"/>
          <w:tab w:val="center" w:pos="4873"/>
        </w:tabs>
        <w:ind w:left="0"/>
        <w:jc w:val="both"/>
        <w:rPr>
          <w:rFonts w:ascii="Cambria" w:hAnsi="Cambria" w:cstheme="minorHAnsi"/>
          <w:bCs/>
          <w:sz w:val="24"/>
          <w:szCs w:val="24"/>
        </w:rPr>
      </w:pPr>
      <w:r>
        <w:rPr>
          <w:rFonts w:ascii="Cambria" w:hAnsi="Cambria" w:cstheme="minorHAnsi"/>
          <w:bCs/>
          <w:sz w:val="24"/>
          <w:szCs w:val="24"/>
        </w:rPr>
        <w:t xml:space="preserve">b.1) não enviar a proposta adequada ao último lance ofertado ou após a negociação; </w:t>
      </w:r>
    </w:p>
    <w:p>
      <w:pPr>
        <w:pStyle w:val="PargrafodaLista"/>
        <w:tabs>
          <w:tab w:val="left" w:pos="284"/>
          <w:tab w:val="left" w:pos="851"/>
          <w:tab w:val="left" w:pos="1276"/>
          <w:tab w:val="left" w:pos="2525"/>
          <w:tab w:val="center" w:pos="4873"/>
        </w:tabs>
        <w:ind w:left="0"/>
        <w:jc w:val="both"/>
        <w:rPr>
          <w:rFonts w:ascii="Cambria" w:hAnsi="Cambria" w:cstheme="minorHAnsi"/>
          <w:bCs/>
          <w:sz w:val="24"/>
          <w:szCs w:val="24"/>
        </w:rPr>
      </w:pPr>
      <w:r>
        <w:rPr>
          <w:rFonts w:ascii="Cambria" w:hAnsi="Cambria" w:cstheme="minorHAnsi"/>
          <w:bCs/>
          <w:sz w:val="24"/>
          <w:szCs w:val="24"/>
        </w:rPr>
        <w:t xml:space="preserve">b.2) recusar-se a enviar o detalhamento da proposta quando exigível; </w:t>
      </w:r>
    </w:p>
    <w:p>
      <w:pPr>
        <w:pStyle w:val="PargrafodaLista"/>
        <w:tabs>
          <w:tab w:val="left" w:pos="284"/>
          <w:tab w:val="left" w:pos="851"/>
          <w:tab w:val="left" w:pos="1276"/>
          <w:tab w:val="left" w:pos="2525"/>
          <w:tab w:val="center" w:pos="4873"/>
        </w:tabs>
        <w:ind w:left="0"/>
        <w:jc w:val="both"/>
        <w:rPr>
          <w:rFonts w:ascii="Cambria" w:hAnsi="Cambria" w:cstheme="minorHAnsi"/>
          <w:bCs/>
          <w:sz w:val="24"/>
          <w:szCs w:val="24"/>
        </w:rPr>
      </w:pPr>
      <w:r>
        <w:rPr>
          <w:rFonts w:ascii="Cambria" w:hAnsi="Cambria" w:cstheme="minorHAnsi"/>
          <w:bCs/>
          <w:sz w:val="24"/>
          <w:szCs w:val="24"/>
        </w:rPr>
        <w:t xml:space="preserve">b.3) pedir para ser desclassificado quando encerrada a etapa competitiva; ou </w:t>
      </w:r>
    </w:p>
    <w:p>
      <w:pPr>
        <w:pStyle w:val="PargrafodaLista"/>
        <w:tabs>
          <w:tab w:val="left" w:pos="284"/>
          <w:tab w:val="left" w:pos="851"/>
          <w:tab w:val="left" w:pos="1276"/>
          <w:tab w:val="left" w:pos="2525"/>
          <w:tab w:val="center" w:pos="4873"/>
        </w:tabs>
        <w:ind w:left="0"/>
        <w:jc w:val="both"/>
        <w:rPr>
          <w:rFonts w:ascii="Cambria" w:hAnsi="Cambria" w:cstheme="minorHAnsi"/>
          <w:bCs/>
          <w:sz w:val="24"/>
          <w:szCs w:val="24"/>
        </w:rPr>
      </w:pPr>
      <w:r>
        <w:rPr>
          <w:rFonts w:ascii="Cambria" w:hAnsi="Cambria" w:cstheme="minorHAnsi"/>
          <w:bCs/>
          <w:sz w:val="24"/>
          <w:szCs w:val="24"/>
        </w:rPr>
        <w:t>b.4) deixar de apresentar amostra;</w:t>
      </w:r>
    </w:p>
    <w:p>
      <w:pPr>
        <w:pStyle w:val="PargrafodaLista"/>
        <w:tabs>
          <w:tab w:val="left" w:pos="284"/>
          <w:tab w:val="left" w:pos="851"/>
          <w:tab w:val="left" w:pos="1276"/>
          <w:tab w:val="left" w:pos="2525"/>
          <w:tab w:val="center" w:pos="4873"/>
        </w:tabs>
        <w:ind w:left="0"/>
        <w:jc w:val="both"/>
        <w:rPr>
          <w:rFonts w:ascii="Cambria" w:hAnsi="Cambria" w:cstheme="minorHAnsi"/>
          <w:bCs/>
          <w:sz w:val="24"/>
          <w:szCs w:val="24"/>
        </w:rPr>
      </w:pPr>
      <w:r>
        <w:rPr>
          <w:rFonts w:ascii="Cambria" w:hAnsi="Cambria" w:cstheme="minorHAnsi"/>
          <w:bCs/>
          <w:sz w:val="24"/>
          <w:szCs w:val="24"/>
        </w:rPr>
        <w:t xml:space="preserve">b.5) apresentar proposta ou amostra em desacordo com as especificações do edital; </w:t>
      </w:r>
    </w:p>
    <w:p>
      <w:pPr>
        <w:pStyle w:val="PargrafodaLista"/>
        <w:numPr>
          <w:ilvl w:val="2"/>
          <w:numId w:val="28"/>
        </w:numPr>
        <w:tabs>
          <w:tab w:val="left" w:pos="284"/>
          <w:tab w:val="left" w:pos="851"/>
          <w:tab w:val="left" w:pos="1276"/>
          <w:tab w:val="left" w:pos="2525"/>
          <w:tab w:val="center" w:pos="4873"/>
        </w:tabs>
        <w:suppressAutoHyphens w:val="0"/>
        <w:ind w:left="0" w:firstLine="0"/>
        <w:jc w:val="both"/>
        <w:rPr>
          <w:rFonts w:ascii="Cambria" w:hAnsi="Cambria" w:cstheme="minorHAnsi"/>
          <w:bCs/>
          <w:sz w:val="24"/>
          <w:szCs w:val="24"/>
        </w:rPr>
      </w:pPr>
      <w:bookmarkStart w:id="48" w:name="_Ref114668139"/>
      <w:r>
        <w:rPr>
          <w:rFonts w:ascii="Cambria" w:hAnsi="Cambria" w:cstheme="minorHAnsi"/>
          <w:bCs/>
          <w:sz w:val="24"/>
          <w:szCs w:val="24"/>
        </w:rPr>
        <w:t>Não celebrar INSTRUMENTO CONTRATUAL e o contrato ou não entregar a documentação exigida para a assinatura de tais instrumentos, quando convocado dentro do prazo de validade de sua proposta;</w:t>
      </w:r>
      <w:bookmarkEnd w:id="48"/>
    </w:p>
    <w:p>
      <w:pPr>
        <w:pStyle w:val="PargrafodaLista"/>
        <w:numPr>
          <w:ilvl w:val="2"/>
          <w:numId w:val="28"/>
        </w:numPr>
        <w:tabs>
          <w:tab w:val="left" w:pos="284"/>
          <w:tab w:val="left" w:pos="851"/>
          <w:tab w:val="left" w:pos="1276"/>
          <w:tab w:val="left" w:pos="2525"/>
          <w:tab w:val="center" w:pos="4873"/>
        </w:tabs>
        <w:suppressAutoHyphens w:val="0"/>
        <w:ind w:left="0" w:firstLine="0"/>
        <w:jc w:val="both"/>
        <w:rPr>
          <w:rFonts w:ascii="Cambria" w:hAnsi="Cambria" w:cstheme="minorHAnsi"/>
          <w:bCs/>
          <w:sz w:val="24"/>
          <w:szCs w:val="24"/>
        </w:rPr>
      </w:pPr>
      <w:r>
        <w:rPr>
          <w:rFonts w:ascii="Cambria" w:hAnsi="Cambria" w:cstheme="minorHAnsi"/>
          <w:bCs/>
          <w:sz w:val="24"/>
          <w:szCs w:val="24"/>
        </w:rPr>
        <w:t>Recusar-se, sem justificativa, a assinar a contrato, ou a aceitar ou retirar o instrumento equivalente no prazo estabelecido pela Administração;</w:t>
      </w:r>
    </w:p>
    <w:p>
      <w:pPr>
        <w:pStyle w:val="PargrafodaLista"/>
        <w:numPr>
          <w:ilvl w:val="2"/>
          <w:numId w:val="28"/>
        </w:numPr>
        <w:tabs>
          <w:tab w:val="left" w:pos="284"/>
          <w:tab w:val="left" w:pos="851"/>
          <w:tab w:val="left" w:pos="1276"/>
          <w:tab w:val="left" w:pos="2525"/>
          <w:tab w:val="center" w:pos="4873"/>
        </w:tabs>
        <w:suppressAutoHyphens w:val="0"/>
        <w:ind w:left="0" w:firstLine="0"/>
        <w:jc w:val="both"/>
        <w:rPr>
          <w:rFonts w:ascii="Cambria" w:hAnsi="Cambria" w:cstheme="minorHAnsi"/>
          <w:bCs/>
          <w:sz w:val="24"/>
          <w:szCs w:val="24"/>
        </w:rPr>
      </w:pPr>
      <w:bookmarkStart w:id="49" w:name="_Ref114668249"/>
      <w:r>
        <w:rPr>
          <w:rFonts w:ascii="Cambria" w:hAnsi="Cambria" w:cstheme="minorHAnsi"/>
          <w:bCs/>
          <w:sz w:val="24"/>
          <w:szCs w:val="24"/>
        </w:rPr>
        <w:t>Apresentar declaração ou documentação falsa exigida para o certame ou prestar declaração falsa durante a licitação</w:t>
      </w:r>
      <w:bookmarkEnd w:id="49"/>
      <w:r>
        <w:rPr>
          <w:rFonts w:ascii="Cambria" w:hAnsi="Cambria" w:cstheme="minorHAnsi"/>
          <w:bCs/>
          <w:sz w:val="24"/>
          <w:szCs w:val="24"/>
        </w:rPr>
        <w:t>;</w:t>
      </w:r>
    </w:p>
    <w:p>
      <w:pPr>
        <w:pStyle w:val="PargrafodaLista"/>
        <w:numPr>
          <w:ilvl w:val="2"/>
          <w:numId w:val="28"/>
        </w:numPr>
        <w:tabs>
          <w:tab w:val="left" w:pos="284"/>
          <w:tab w:val="left" w:pos="851"/>
          <w:tab w:val="left" w:pos="1276"/>
          <w:tab w:val="left" w:pos="2525"/>
          <w:tab w:val="center" w:pos="4873"/>
        </w:tabs>
        <w:suppressAutoHyphens w:val="0"/>
        <w:ind w:left="0" w:firstLine="0"/>
        <w:jc w:val="both"/>
        <w:rPr>
          <w:rFonts w:ascii="Cambria" w:hAnsi="Cambria" w:cstheme="minorHAnsi"/>
          <w:bCs/>
          <w:sz w:val="24"/>
          <w:szCs w:val="24"/>
        </w:rPr>
      </w:pPr>
      <w:bookmarkStart w:id="50" w:name="_Ref114668245"/>
      <w:r>
        <w:rPr>
          <w:rFonts w:ascii="Cambria" w:hAnsi="Cambria" w:cstheme="minorHAnsi"/>
          <w:bCs/>
          <w:sz w:val="24"/>
          <w:szCs w:val="24"/>
        </w:rPr>
        <w:t>Fraudar a licitação</w:t>
      </w:r>
      <w:bookmarkEnd w:id="50"/>
      <w:r>
        <w:rPr>
          <w:rFonts w:ascii="Cambria" w:hAnsi="Cambria" w:cstheme="minorHAnsi"/>
          <w:bCs/>
          <w:sz w:val="24"/>
          <w:szCs w:val="24"/>
        </w:rPr>
        <w:t>;</w:t>
      </w:r>
    </w:p>
    <w:p>
      <w:pPr>
        <w:pStyle w:val="PargrafodaLista"/>
        <w:numPr>
          <w:ilvl w:val="2"/>
          <w:numId w:val="28"/>
        </w:numPr>
        <w:tabs>
          <w:tab w:val="left" w:pos="284"/>
          <w:tab w:val="left" w:pos="851"/>
          <w:tab w:val="left" w:pos="1276"/>
          <w:tab w:val="left" w:pos="2525"/>
          <w:tab w:val="center" w:pos="4873"/>
        </w:tabs>
        <w:suppressAutoHyphens w:val="0"/>
        <w:ind w:left="0" w:firstLine="0"/>
        <w:jc w:val="both"/>
        <w:rPr>
          <w:rFonts w:ascii="Cambria" w:hAnsi="Cambria" w:cstheme="minorHAnsi"/>
          <w:bCs/>
          <w:sz w:val="24"/>
          <w:szCs w:val="24"/>
        </w:rPr>
      </w:pPr>
      <w:bookmarkStart w:id="51" w:name="_Ref114668247"/>
      <w:r>
        <w:rPr>
          <w:rFonts w:ascii="Cambria" w:hAnsi="Cambria" w:cstheme="minorHAnsi"/>
          <w:bCs/>
          <w:sz w:val="24"/>
          <w:szCs w:val="24"/>
        </w:rPr>
        <w:t>Comportar-se de modo inidôneo ou cometer fraude de qualquer natureza, em especial quando:</w:t>
      </w:r>
      <w:bookmarkEnd w:id="51"/>
    </w:p>
    <w:p>
      <w:pPr>
        <w:pStyle w:val="PargrafodaLista"/>
        <w:numPr>
          <w:ilvl w:val="2"/>
          <w:numId w:val="28"/>
        </w:numPr>
        <w:tabs>
          <w:tab w:val="left" w:pos="284"/>
          <w:tab w:val="left" w:pos="851"/>
          <w:tab w:val="left" w:pos="1276"/>
          <w:tab w:val="left" w:pos="2525"/>
          <w:tab w:val="center" w:pos="4873"/>
        </w:tabs>
        <w:suppressAutoHyphens w:val="0"/>
        <w:ind w:left="0" w:firstLine="0"/>
        <w:jc w:val="both"/>
        <w:rPr>
          <w:rFonts w:ascii="Cambria" w:hAnsi="Cambria" w:cstheme="minorHAnsi"/>
          <w:bCs/>
          <w:sz w:val="24"/>
          <w:szCs w:val="24"/>
        </w:rPr>
      </w:pPr>
      <w:r>
        <w:rPr>
          <w:rFonts w:ascii="Cambria" w:hAnsi="Cambria" w:cstheme="minorHAnsi"/>
          <w:bCs/>
          <w:sz w:val="24"/>
          <w:szCs w:val="24"/>
        </w:rPr>
        <w:t xml:space="preserve">Agir em conluio ou em desconformidade com a lei; </w:t>
      </w:r>
    </w:p>
    <w:p>
      <w:pPr>
        <w:pStyle w:val="PargrafodaLista"/>
        <w:numPr>
          <w:ilvl w:val="2"/>
          <w:numId w:val="28"/>
        </w:numPr>
        <w:tabs>
          <w:tab w:val="left" w:pos="284"/>
          <w:tab w:val="left" w:pos="851"/>
          <w:tab w:val="left" w:pos="1276"/>
          <w:tab w:val="left" w:pos="2525"/>
          <w:tab w:val="center" w:pos="4873"/>
        </w:tabs>
        <w:suppressAutoHyphens w:val="0"/>
        <w:ind w:left="0" w:firstLine="0"/>
        <w:jc w:val="both"/>
        <w:rPr>
          <w:rFonts w:ascii="Cambria" w:hAnsi="Cambria" w:cstheme="minorHAnsi"/>
          <w:bCs/>
          <w:sz w:val="24"/>
          <w:szCs w:val="24"/>
        </w:rPr>
      </w:pPr>
      <w:r>
        <w:rPr>
          <w:rFonts w:ascii="Cambria" w:hAnsi="Cambria" w:cstheme="minorHAnsi"/>
          <w:bCs/>
          <w:sz w:val="24"/>
          <w:szCs w:val="24"/>
        </w:rPr>
        <w:t xml:space="preserve">Induzir deliberadamente a erro no julgamento; </w:t>
      </w:r>
    </w:p>
    <w:p>
      <w:pPr>
        <w:pStyle w:val="PargrafodaLista"/>
        <w:numPr>
          <w:ilvl w:val="2"/>
          <w:numId w:val="28"/>
        </w:numPr>
        <w:tabs>
          <w:tab w:val="left" w:pos="284"/>
          <w:tab w:val="left" w:pos="851"/>
          <w:tab w:val="left" w:pos="1276"/>
          <w:tab w:val="left" w:pos="2525"/>
          <w:tab w:val="center" w:pos="4873"/>
        </w:tabs>
        <w:suppressAutoHyphens w:val="0"/>
        <w:ind w:left="0" w:firstLine="0"/>
        <w:jc w:val="both"/>
        <w:rPr>
          <w:rFonts w:ascii="Cambria" w:hAnsi="Cambria" w:cstheme="minorHAnsi"/>
          <w:bCs/>
          <w:sz w:val="24"/>
          <w:szCs w:val="24"/>
        </w:rPr>
      </w:pPr>
      <w:r>
        <w:rPr>
          <w:rFonts w:ascii="Cambria" w:hAnsi="Cambria" w:cstheme="minorHAnsi"/>
          <w:bCs/>
          <w:sz w:val="24"/>
          <w:szCs w:val="24"/>
        </w:rPr>
        <w:t xml:space="preserve">Apresentar amostra falsificada ou deteriorada; </w:t>
      </w:r>
    </w:p>
    <w:p>
      <w:pPr>
        <w:pStyle w:val="PargrafodaLista"/>
        <w:numPr>
          <w:ilvl w:val="2"/>
          <w:numId w:val="28"/>
        </w:numPr>
        <w:tabs>
          <w:tab w:val="left" w:pos="284"/>
          <w:tab w:val="left" w:pos="851"/>
          <w:tab w:val="left" w:pos="1276"/>
          <w:tab w:val="left" w:pos="2525"/>
          <w:tab w:val="center" w:pos="4873"/>
        </w:tabs>
        <w:suppressAutoHyphens w:val="0"/>
        <w:ind w:left="0" w:firstLine="0"/>
        <w:jc w:val="both"/>
        <w:rPr>
          <w:rFonts w:ascii="Cambria" w:hAnsi="Cambria" w:cstheme="minorHAnsi"/>
          <w:bCs/>
          <w:sz w:val="24"/>
          <w:szCs w:val="24"/>
        </w:rPr>
      </w:pPr>
      <w:bookmarkStart w:id="52" w:name="_Ref114668251"/>
      <w:r>
        <w:rPr>
          <w:rFonts w:ascii="Cambria" w:hAnsi="Cambria" w:cstheme="minorHAnsi"/>
          <w:bCs/>
          <w:sz w:val="24"/>
          <w:szCs w:val="24"/>
        </w:rPr>
        <w:t>Praticar atos ilícitos com vistas a frustrar os objetivos da licitação</w:t>
      </w:r>
      <w:bookmarkEnd w:id="52"/>
      <w:r>
        <w:rPr>
          <w:rFonts w:ascii="Cambria" w:hAnsi="Cambria" w:cstheme="minorHAnsi"/>
          <w:bCs/>
          <w:sz w:val="24"/>
          <w:szCs w:val="24"/>
        </w:rPr>
        <w:t>;</w:t>
      </w:r>
    </w:p>
    <w:p>
      <w:pPr>
        <w:pStyle w:val="PargrafodaLista"/>
        <w:numPr>
          <w:ilvl w:val="2"/>
          <w:numId w:val="28"/>
        </w:numPr>
        <w:tabs>
          <w:tab w:val="left" w:pos="284"/>
          <w:tab w:val="left" w:pos="851"/>
          <w:tab w:val="left" w:pos="1276"/>
          <w:tab w:val="left" w:pos="2525"/>
          <w:tab w:val="center" w:pos="4873"/>
        </w:tabs>
        <w:suppressAutoHyphens w:val="0"/>
        <w:ind w:left="0" w:firstLine="0"/>
        <w:jc w:val="both"/>
        <w:rPr>
          <w:rFonts w:ascii="Cambria" w:hAnsi="Cambria" w:cstheme="minorHAnsi"/>
          <w:bCs/>
          <w:sz w:val="24"/>
          <w:szCs w:val="24"/>
        </w:rPr>
      </w:pPr>
      <w:bookmarkStart w:id="53" w:name="_Ref114668252"/>
      <w:r>
        <w:rPr>
          <w:rFonts w:ascii="Cambria" w:hAnsi="Cambria" w:cstheme="minorHAnsi"/>
          <w:bCs/>
          <w:sz w:val="24"/>
          <w:szCs w:val="24"/>
        </w:rPr>
        <w:t xml:space="preserve">praticar ato lesivo previsto no </w:t>
      </w:r>
      <w:hyperlink r:id="rId35" w:anchor="art5" w:history="1">
        <w:r>
          <w:rPr>
            <w:rFonts w:ascii="Cambria" w:hAnsi="Cambria" w:cstheme="minorHAnsi"/>
            <w:bCs/>
            <w:sz w:val="24"/>
            <w:szCs w:val="24"/>
          </w:rPr>
          <w:t>art. 5º da Lei n.º 12.846, de 2013</w:t>
        </w:r>
      </w:hyperlink>
      <w:r>
        <w:rPr>
          <w:rFonts w:ascii="Cambria" w:hAnsi="Cambria" w:cstheme="minorHAnsi"/>
          <w:bCs/>
          <w:sz w:val="24"/>
          <w:szCs w:val="24"/>
        </w:rPr>
        <w:t>.</w:t>
      </w:r>
      <w:bookmarkEnd w:id="53"/>
    </w:p>
    <w:p>
      <w:pPr>
        <w:pStyle w:val="PargrafodaLista"/>
        <w:tabs>
          <w:tab w:val="left" w:pos="284"/>
          <w:tab w:val="left" w:pos="851"/>
          <w:tab w:val="left" w:pos="1276"/>
          <w:tab w:val="left" w:pos="2525"/>
          <w:tab w:val="center" w:pos="4873"/>
        </w:tabs>
        <w:suppressAutoHyphens w:val="0"/>
        <w:ind w:left="0"/>
        <w:jc w:val="both"/>
        <w:rPr>
          <w:rFonts w:ascii="Cambria" w:hAnsi="Cambria" w:cstheme="minorHAnsi"/>
          <w:bCs/>
          <w:sz w:val="24"/>
          <w:szCs w:val="24"/>
        </w:rPr>
      </w:pP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Nos termos dos arts. 155, 156 e 162 da Lei 14.133/2021 e das disposições constantes do Termo de referência, após o regular Procedimento Administrativo de Apuração de Responsabilidade - PAAR, serão apenadas de acordo com a seguinte dosimetria, sem prejuízo das multas eventualmente previstas no Termo de Referência e das demais penalidades legais, assegurado a prévia e ampla defesa:</w:t>
      </w:r>
      <w:bookmarkEnd w:id="4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4"/>
        <w:gridCol w:w="4815"/>
      </w:tblGrid>
      <w:tr>
        <w:tc>
          <w:tcPr>
            <w:tcW w:w="4814" w:type="dxa"/>
            <w:shd w:val="clear" w:color="auto" w:fill="F2F2F2"/>
          </w:tcPr>
          <w:p>
            <w:pPr>
              <w:pStyle w:val="Default"/>
              <w:jc w:val="center"/>
              <w:rPr>
                <w:rFonts w:ascii="Cambria" w:hAnsi="Cambria" w:cstheme="minorHAnsi"/>
                <w:sz w:val="24"/>
                <w:szCs w:val="24"/>
              </w:rPr>
            </w:pPr>
            <w:bookmarkStart w:id="54" w:name="_Hlk157588741"/>
            <w:r>
              <w:rPr>
                <w:rFonts w:ascii="Cambria" w:hAnsi="Cambria" w:cstheme="minorHAnsi"/>
                <w:b/>
                <w:bCs/>
                <w:sz w:val="24"/>
                <w:szCs w:val="24"/>
              </w:rPr>
              <w:lastRenderedPageBreak/>
              <w:t>Ocorrência</w:t>
            </w:r>
          </w:p>
        </w:tc>
        <w:tc>
          <w:tcPr>
            <w:tcW w:w="4815" w:type="dxa"/>
            <w:shd w:val="clear" w:color="auto" w:fill="F2F2F2"/>
          </w:tcPr>
          <w:p>
            <w:pPr>
              <w:pStyle w:val="Default"/>
              <w:jc w:val="center"/>
              <w:rPr>
                <w:rFonts w:ascii="Cambria" w:hAnsi="Cambria" w:cstheme="minorHAnsi"/>
                <w:sz w:val="24"/>
                <w:szCs w:val="24"/>
              </w:rPr>
            </w:pPr>
            <w:r>
              <w:rPr>
                <w:rFonts w:ascii="Cambria" w:hAnsi="Cambria" w:cstheme="minorHAnsi"/>
                <w:b/>
                <w:bCs/>
                <w:sz w:val="24"/>
                <w:szCs w:val="24"/>
              </w:rPr>
              <w:t>Penalidade</w:t>
            </w:r>
          </w:p>
        </w:tc>
      </w:tr>
      <w:tr>
        <w:tc>
          <w:tcPr>
            <w:tcW w:w="4814" w:type="dxa"/>
            <w:vAlign w:val="center"/>
          </w:tcPr>
          <w:p>
            <w:pPr>
              <w:pStyle w:val="Default"/>
              <w:numPr>
                <w:ilvl w:val="0"/>
                <w:numId w:val="29"/>
              </w:numPr>
              <w:tabs>
                <w:tab w:val="left" w:pos="316"/>
              </w:tabs>
              <w:ind w:left="32" w:firstLine="0"/>
              <w:jc w:val="both"/>
              <w:rPr>
                <w:rFonts w:ascii="Cambria" w:hAnsi="Cambria" w:cstheme="minorHAnsi"/>
                <w:sz w:val="24"/>
                <w:szCs w:val="24"/>
              </w:rPr>
            </w:pPr>
            <w:r>
              <w:rPr>
                <w:rFonts w:ascii="Cambria" w:hAnsi="Cambria" w:cstheme="minorHAnsi"/>
                <w:sz w:val="24"/>
                <w:szCs w:val="24"/>
              </w:rPr>
              <w:t xml:space="preserve">Dar causa a inexecução parcial do objeto. </w:t>
            </w:r>
          </w:p>
        </w:tc>
        <w:tc>
          <w:tcPr>
            <w:tcW w:w="4815" w:type="dxa"/>
            <w:vAlign w:val="center"/>
          </w:tcPr>
          <w:p>
            <w:pPr>
              <w:pStyle w:val="Default"/>
              <w:jc w:val="both"/>
              <w:rPr>
                <w:rFonts w:ascii="Cambria" w:hAnsi="Cambria" w:cstheme="minorHAnsi"/>
                <w:sz w:val="24"/>
                <w:szCs w:val="24"/>
              </w:rPr>
            </w:pPr>
            <w:r>
              <w:rPr>
                <w:rFonts w:ascii="Cambria" w:hAnsi="Cambria" w:cstheme="minorHAnsi"/>
                <w:sz w:val="24"/>
                <w:szCs w:val="24"/>
              </w:rPr>
              <w:t xml:space="preserve">Advertência, quando não se justificar a imposição de penalidade mais grave </w:t>
            </w:r>
          </w:p>
        </w:tc>
      </w:tr>
      <w:tr>
        <w:tc>
          <w:tcPr>
            <w:tcW w:w="4814" w:type="dxa"/>
            <w:vAlign w:val="center"/>
          </w:tcPr>
          <w:p>
            <w:pPr>
              <w:pStyle w:val="Default"/>
              <w:numPr>
                <w:ilvl w:val="0"/>
                <w:numId w:val="29"/>
              </w:numPr>
              <w:tabs>
                <w:tab w:val="left" w:pos="316"/>
              </w:tabs>
              <w:ind w:left="32" w:firstLine="0"/>
              <w:jc w:val="both"/>
              <w:rPr>
                <w:rFonts w:ascii="Cambria" w:hAnsi="Cambria" w:cstheme="minorHAnsi"/>
                <w:sz w:val="24"/>
                <w:szCs w:val="24"/>
              </w:rPr>
            </w:pPr>
            <w:r>
              <w:rPr>
                <w:rFonts w:ascii="Cambria" w:hAnsi="Cambria" w:cstheme="minorHAnsi"/>
                <w:sz w:val="24"/>
                <w:szCs w:val="24"/>
              </w:rPr>
              <w:t xml:space="preserve">Dar causa à inexecução parcial do objeto que cause grave dano à Administração, ao funcionamento dos serviços públicos ou ao interesse coletivo. </w:t>
            </w:r>
          </w:p>
        </w:tc>
        <w:tc>
          <w:tcPr>
            <w:tcW w:w="4815" w:type="dxa"/>
            <w:vAlign w:val="center"/>
          </w:tcPr>
          <w:p>
            <w:pPr>
              <w:pStyle w:val="Default"/>
              <w:jc w:val="both"/>
              <w:rPr>
                <w:rFonts w:ascii="Cambria" w:hAnsi="Cambria" w:cstheme="minorHAnsi"/>
                <w:sz w:val="24"/>
                <w:szCs w:val="24"/>
              </w:rPr>
            </w:pPr>
            <w:r>
              <w:rPr>
                <w:rFonts w:ascii="Cambria" w:hAnsi="Cambria" w:cstheme="minorHAnsi"/>
                <w:sz w:val="24"/>
                <w:szCs w:val="24"/>
              </w:rPr>
              <w:t xml:space="preserve">Impedimento de licitar e contratar no âmbito da União pelo período de 6 (seis) meses a 2 (dois) anos, quando não se justificar a imposição de penalidade mais grave </w:t>
            </w:r>
          </w:p>
        </w:tc>
      </w:tr>
      <w:tr>
        <w:tc>
          <w:tcPr>
            <w:tcW w:w="4814" w:type="dxa"/>
            <w:vAlign w:val="center"/>
          </w:tcPr>
          <w:p>
            <w:pPr>
              <w:pStyle w:val="Default"/>
              <w:numPr>
                <w:ilvl w:val="0"/>
                <w:numId w:val="29"/>
              </w:numPr>
              <w:tabs>
                <w:tab w:val="left" w:pos="316"/>
              </w:tabs>
              <w:ind w:left="32" w:firstLine="0"/>
              <w:jc w:val="both"/>
              <w:rPr>
                <w:rFonts w:ascii="Cambria" w:hAnsi="Cambria" w:cstheme="minorHAnsi"/>
                <w:sz w:val="24"/>
                <w:szCs w:val="24"/>
              </w:rPr>
            </w:pPr>
            <w:r>
              <w:rPr>
                <w:rFonts w:ascii="Cambria" w:hAnsi="Cambria" w:cstheme="minorHAnsi"/>
                <w:sz w:val="24"/>
                <w:szCs w:val="24"/>
              </w:rPr>
              <w:t xml:space="preserve">Dar causa à inexecução total do objeto. </w:t>
            </w:r>
          </w:p>
        </w:tc>
        <w:tc>
          <w:tcPr>
            <w:tcW w:w="4815" w:type="dxa"/>
            <w:vAlign w:val="center"/>
          </w:tcPr>
          <w:p>
            <w:pPr>
              <w:pStyle w:val="Default"/>
              <w:jc w:val="both"/>
              <w:rPr>
                <w:rFonts w:ascii="Cambria" w:hAnsi="Cambria" w:cstheme="minorHAnsi"/>
                <w:sz w:val="24"/>
                <w:szCs w:val="24"/>
              </w:rPr>
            </w:pPr>
            <w:r>
              <w:rPr>
                <w:rFonts w:ascii="Cambria" w:hAnsi="Cambria" w:cstheme="minorHAnsi"/>
                <w:sz w:val="24"/>
                <w:szCs w:val="24"/>
              </w:rPr>
              <w:t xml:space="preserve">Impedimento de licitar e contratar no âmbito da União pelo período de 1 um) ano a 3 (três) anos, quando não se justificar a imposição de penalidade mais grave. </w:t>
            </w:r>
          </w:p>
        </w:tc>
      </w:tr>
      <w:tr>
        <w:tc>
          <w:tcPr>
            <w:tcW w:w="4814" w:type="dxa"/>
            <w:vAlign w:val="center"/>
          </w:tcPr>
          <w:p>
            <w:pPr>
              <w:pStyle w:val="Default"/>
              <w:numPr>
                <w:ilvl w:val="0"/>
                <w:numId w:val="29"/>
              </w:numPr>
              <w:tabs>
                <w:tab w:val="left" w:pos="316"/>
              </w:tabs>
              <w:ind w:left="32" w:firstLine="0"/>
              <w:jc w:val="both"/>
              <w:rPr>
                <w:rFonts w:ascii="Cambria" w:hAnsi="Cambria" w:cstheme="minorHAnsi"/>
                <w:sz w:val="24"/>
                <w:szCs w:val="24"/>
              </w:rPr>
            </w:pPr>
            <w:r>
              <w:rPr>
                <w:rFonts w:ascii="Cambria" w:hAnsi="Cambria" w:cstheme="minorHAnsi"/>
                <w:sz w:val="24"/>
                <w:szCs w:val="24"/>
              </w:rPr>
              <w:t xml:space="preserve">Deixar de entregar documentação exigida para o certame. </w:t>
            </w:r>
          </w:p>
        </w:tc>
        <w:tc>
          <w:tcPr>
            <w:tcW w:w="4815" w:type="dxa"/>
            <w:vAlign w:val="center"/>
          </w:tcPr>
          <w:p>
            <w:pPr>
              <w:pStyle w:val="Default"/>
              <w:jc w:val="both"/>
              <w:rPr>
                <w:rFonts w:ascii="Cambria" w:hAnsi="Cambria" w:cstheme="minorHAnsi"/>
                <w:sz w:val="24"/>
                <w:szCs w:val="24"/>
              </w:rPr>
            </w:pPr>
            <w:r>
              <w:rPr>
                <w:rFonts w:ascii="Cambria" w:hAnsi="Cambria" w:cstheme="minorHAnsi"/>
                <w:sz w:val="24"/>
                <w:szCs w:val="24"/>
              </w:rPr>
              <w:t xml:space="preserve">Impedimento de licitar e contratar no âmbito da União pelo período de 1 mês a 6 meses, quando não se justificar a imposição de penalidade mais grave. </w:t>
            </w:r>
          </w:p>
        </w:tc>
      </w:tr>
      <w:tr>
        <w:tc>
          <w:tcPr>
            <w:tcW w:w="4814" w:type="dxa"/>
            <w:vAlign w:val="center"/>
          </w:tcPr>
          <w:p>
            <w:pPr>
              <w:pStyle w:val="Default"/>
              <w:numPr>
                <w:ilvl w:val="0"/>
                <w:numId w:val="29"/>
              </w:numPr>
              <w:tabs>
                <w:tab w:val="left" w:pos="316"/>
              </w:tabs>
              <w:ind w:left="32" w:firstLine="0"/>
              <w:jc w:val="both"/>
              <w:rPr>
                <w:rFonts w:ascii="Cambria" w:hAnsi="Cambria" w:cstheme="minorHAnsi"/>
                <w:bCs/>
                <w:sz w:val="24"/>
                <w:szCs w:val="24"/>
              </w:rPr>
            </w:pPr>
            <w:r>
              <w:rPr>
                <w:rFonts w:ascii="Cambria" w:hAnsi="Cambria" w:cstheme="minorHAnsi"/>
                <w:sz w:val="24"/>
                <w:szCs w:val="24"/>
              </w:rPr>
              <w:t xml:space="preserve">Não mantiver a proposta, salvo em decorrência de fato superveniente devidamente justificado. </w:t>
            </w:r>
          </w:p>
        </w:tc>
        <w:tc>
          <w:tcPr>
            <w:tcW w:w="4815" w:type="dxa"/>
            <w:vAlign w:val="center"/>
          </w:tcPr>
          <w:p>
            <w:pPr>
              <w:pStyle w:val="Default"/>
              <w:jc w:val="both"/>
              <w:rPr>
                <w:rFonts w:ascii="Cambria" w:hAnsi="Cambria" w:cstheme="minorHAnsi"/>
                <w:sz w:val="24"/>
                <w:szCs w:val="24"/>
              </w:rPr>
            </w:pPr>
            <w:r>
              <w:rPr>
                <w:rFonts w:ascii="Cambria" w:hAnsi="Cambria" w:cstheme="minorHAnsi"/>
                <w:sz w:val="24"/>
                <w:szCs w:val="24"/>
              </w:rPr>
              <w:t xml:space="preserve">Impedimento de licitar e contratar no âmbito da União pelo período de 2 (dois) meses a 1 (um) ano, quando não se justificar a imposição de penalidade mais grave. </w:t>
            </w:r>
          </w:p>
        </w:tc>
      </w:tr>
      <w:tr>
        <w:tc>
          <w:tcPr>
            <w:tcW w:w="4814" w:type="dxa"/>
            <w:vAlign w:val="center"/>
          </w:tcPr>
          <w:p>
            <w:pPr>
              <w:pStyle w:val="Default"/>
              <w:numPr>
                <w:ilvl w:val="0"/>
                <w:numId w:val="29"/>
              </w:numPr>
              <w:tabs>
                <w:tab w:val="left" w:pos="316"/>
              </w:tabs>
              <w:ind w:left="32" w:firstLine="0"/>
              <w:jc w:val="both"/>
              <w:rPr>
                <w:rFonts w:ascii="Cambria" w:hAnsi="Cambria" w:cstheme="minorHAnsi"/>
                <w:sz w:val="24"/>
                <w:szCs w:val="24"/>
              </w:rPr>
            </w:pPr>
            <w:r>
              <w:rPr>
                <w:rFonts w:ascii="Cambria" w:hAnsi="Cambria" w:cstheme="minorHAnsi"/>
                <w:sz w:val="24"/>
                <w:szCs w:val="24"/>
              </w:rPr>
              <w:t xml:space="preserve">Não celebrar a INSTRUMENTO CONTRATUAL ou não entregar a documentação exigida para a contratação quando convocado dentro do prazo de validade de sua proposta </w:t>
            </w:r>
          </w:p>
        </w:tc>
        <w:tc>
          <w:tcPr>
            <w:tcW w:w="4815" w:type="dxa"/>
            <w:vAlign w:val="center"/>
          </w:tcPr>
          <w:p>
            <w:pPr>
              <w:pStyle w:val="Default"/>
              <w:jc w:val="both"/>
              <w:rPr>
                <w:rFonts w:ascii="Cambria" w:hAnsi="Cambria" w:cstheme="minorHAnsi"/>
                <w:sz w:val="24"/>
                <w:szCs w:val="24"/>
              </w:rPr>
            </w:pPr>
            <w:r>
              <w:rPr>
                <w:rFonts w:ascii="Cambria" w:hAnsi="Cambria" w:cstheme="minorHAnsi"/>
                <w:sz w:val="24"/>
                <w:szCs w:val="24"/>
              </w:rPr>
              <w:t xml:space="preserve">Impedimento de licitar e contratar no âmbito da União pelo período de 3 (três) meses a 2 (dois) anos, quando não se justificar a imposição de penalidade mais grave. </w:t>
            </w:r>
          </w:p>
        </w:tc>
      </w:tr>
      <w:tr>
        <w:tc>
          <w:tcPr>
            <w:tcW w:w="4814" w:type="dxa"/>
            <w:vAlign w:val="center"/>
          </w:tcPr>
          <w:p>
            <w:pPr>
              <w:pStyle w:val="Default"/>
              <w:numPr>
                <w:ilvl w:val="0"/>
                <w:numId w:val="29"/>
              </w:numPr>
              <w:tabs>
                <w:tab w:val="left" w:pos="316"/>
              </w:tabs>
              <w:ind w:left="32" w:firstLine="0"/>
              <w:jc w:val="both"/>
              <w:rPr>
                <w:rFonts w:ascii="Cambria" w:hAnsi="Cambria" w:cstheme="minorHAnsi"/>
                <w:sz w:val="24"/>
                <w:szCs w:val="24"/>
              </w:rPr>
            </w:pPr>
            <w:r>
              <w:rPr>
                <w:rFonts w:ascii="Cambria" w:hAnsi="Cambria" w:cstheme="minorHAnsi"/>
                <w:sz w:val="24"/>
                <w:szCs w:val="24"/>
              </w:rPr>
              <w:t xml:space="preserve">Ensejar o retardamento da execução do objeto ou da entrega do objeto da licitação sem motivo justificado </w:t>
            </w:r>
          </w:p>
        </w:tc>
        <w:tc>
          <w:tcPr>
            <w:tcW w:w="4815" w:type="dxa"/>
            <w:vAlign w:val="center"/>
          </w:tcPr>
          <w:p>
            <w:pPr>
              <w:pStyle w:val="Default"/>
              <w:jc w:val="both"/>
              <w:rPr>
                <w:rFonts w:ascii="Cambria" w:hAnsi="Cambria" w:cstheme="minorHAnsi"/>
                <w:sz w:val="24"/>
                <w:szCs w:val="24"/>
              </w:rPr>
            </w:pPr>
            <w:r>
              <w:rPr>
                <w:rFonts w:ascii="Cambria" w:hAnsi="Cambria" w:cstheme="minorHAnsi"/>
                <w:sz w:val="24"/>
                <w:szCs w:val="24"/>
              </w:rPr>
              <w:t xml:space="preserve">Impedimento de licitar e contratar no âmbito da União pelo período de 3 (três) meses a 1 (um) ano e 6 (seis) meses, quando não se justificar a imposição de penalidade mais grave. </w:t>
            </w:r>
          </w:p>
        </w:tc>
      </w:tr>
      <w:tr>
        <w:tc>
          <w:tcPr>
            <w:tcW w:w="4814" w:type="dxa"/>
            <w:vAlign w:val="center"/>
          </w:tcPr>
          <w:p>
            <w:pPr>
              <w:pStyle w:val="Default"/>
              <w:numPr>
                <w:ilvl w:val="0"/>
                <w:numId w:val="29"/>
              </w:numPr>
              <w:tabs>
                <w:tab w:val="left" w:pos="316"/>
              </w:tabs>
              <w:ind w:left="32" w:firstLine="0"/>
              <w:jc w:val="both"/>
              <w:rPr>
                <w:rFonts w:ascii="Cambria" w:hAnsi="Cambria" w:cstheme="minorHAnsi"/>
                <w:bCs/>
                <w:sz w:val="24"/>
                <w:szCs w:val="24"/>
              </w:rPr>
            </w:pPr>
            <w:r>
              <w:rPr>
                <w:rFonts w:ascii="Cambria" w:hAnsi="Cambria" w:cstheme="minorHAnsi"/>
                <w:sz w:val="24"/>
                <w:szCs w:val="24"/>
              </w:rPr>
              <w:t>Apresentar declaração ou documentação falsa exigida para o certame ou prestar declaração falsa durante a licitação ou a execução do objeto</w:t>
            </w:r>
          </w:p>
        </w:tc>
        <w:tc>
          <w:tcPr>
            <w:tcW w:w="4815" w:type="dxa"/>
            <w:vAlign w:val="center"/>
          </w:tcPr>
          <w:p>
            <w:pPr>
              <w:pStyle w:val="Default"/>
              <w:jc w:val="both"/>
              <w:rPr>
                <w:rFonts w:ascii="Cambria" w:hAnsi="Cambria" w:cstheme="minorHAnsi"/>
                <w:sz w:val="24"/>
                <w:szCs w:val="24"/>
              </w:rPr>
            </w:pPr>
            <w:r>
              <w:rPr>
                <w:rFonts w:ascii="Cambria" w:hAnsi="Cambria" w:cstheme="minorHAnsi"/>
                <w:sz w:val="24"/>
                <w:szCs w:val="24"/>
              </w:rPr>
              <w:t xml:space="preserve">Declaração de inidoneidade para licitar ou contratar, pelo período de 3 (três) a 6 (seis) anos </w:t>
            </w:r>
          </w:p>
        </w:tc>
      </w:tr>
      <w:tr>
        <w:tc>
          <w:tcPr>
            <w:tcW w:w="4814" w:type="dxa"/>
            <w:vAlign w:val="center"/>
          </w:tcPr>
          <w:p>
            <w:pPr>
              <w:pStyle w:val="Default"/>
              <w:numPr>
                <w:ilvl w:val="0"/>
                <w:numId w:val="29"/>
              </w:numPr>
              <w:tabs>
                <w:tab w:val="left" w:pos="316"/>
              </w:tabs>
              <w:ind w:left="32" w:firstLine="0"/>
              <w:jc w:val="both"/>
              <w:rPr>
                <w:rFonts w:ascii="Cambria" w:hAnsi="Cambria" w:cstheme="minorHAnsi"/>
                <w:sz w:val="24"/>
                <w:szCs w:val="24"/>
              </w:rPr>
            </w:pPr>
            <w:r>
              <w:rPr>
                <w:rFonts w:ascii="Cambria" w:hAnsi="Cambria" w:cstheme="minorHAnsi"/>
                <w:sz w:val="24"/>
                <w:szCs w:val="24"/>
              </w:rPr>
              <w:t xml:space="preserve">Fraudar a licitação ou praticar ato fraudulento na execução do objeto </w:t>
            </w:r>
          </w:p>
        </w:tc>
        <w:tc>
          <w:tcPr>
            <w:tcW w:w="4815" w:type="dxa"/>
            <w:vAlign w:val="center"/>
          </w:tcPr>
          <w:p>
            <w:pPr>
              <w:pStyle w:val="Default"/>
              <w:jc w:val="both"/>
              <w:rPr>
                <w:rFonts w:ascii="Cambria" w:hAnsi="Cambria" w:cstheme="minorHAnsi"/>
                <w:sz w:val="24"/>
                <w:szCs w:val="24"/>
              </w:rPr>
            </w:pPr>
            <w:r>
              <w:rPr>
                <w:rFonts w:ascii="Cambria" w:hAnsi="Cambria" w:cstheme="minorHAnsi"/>
                <w:sz w:val="24"/>
                <w:szCs w:val="24"/>
              </w:rPr>
              <w:t xml:space="preserve">Declaração de inidoneidade para licitar ou contratar, pelo período de 3 (três) a 6 (seis) anos </w:t>
            </w:r>
          </w:p>
        </w:tc>
      </w:tr>
      <w:tr>
        <w:tc>
          <w:tcPr>
            <w:tcW w:w="4814" w:type="dxa"/>
            <w:vAlign w:val="center"/>
          </w:tcPr>
          <w:p>
            <w:pPr>
              <w:pStyle w:val="Default"/>
              <w:numPr>
                <w:ilvl w:val="0"/>
                <w:numId w:val="29"/>
              </w:numPr>
              <w:tabs>
                <w:tab w:val="left" w:pos="316"/>
              </w:tabs>
              <w:ind w:left="32" w:firstLine="0"/>
              <w:jc w:val="both"/>
              <w:rPr>
                <w:rFonts w:ascii="Cambria" w:hAnsi="Cambria" w:cstheme="minorHAnsi"/>
                <w:sz w:val="24"/>
                <w:szCs w:val="24"/>
              </w:rPr>
            </w:pPr>
            <w:r>
              <w:rPr>
                <w:rFonts w:ascii="Cambria" w:hAnsi="Cambria" w:cstheme="minorHAnsi"/>
                <w:sz w:val="24"/>
                <w:szCs w:val="24"/>
              </w:rPr>
              <w:t xml:space="preserve">Comportar-se de modo inidôneo ou cometer fraude de qualquer natureza </w:t>
            </w:r>
          </w:p>
        </w:tc>
        <w:tc>
          <w:tcPr>
            <w:tcW w:w="4815" w:type="dxa"/>
            <w:vAlign w:val="center"/>
          </w:tcPr>
          <w:p>
            <w:pPr>
              <w:pStyle w:val="Default"/>
              <w:jc w:val="both"/>
              <w:rPr>
                <w:rFonts w:ascii="Cambria" w:hAnsi="Cambria" w:cstheme="minorHAnsi"/>
                <w:sz w:val="24"/>
                <w:szCs w:val="24"/>
              </w:rPr>
            </w:pPr>
            <w:r>
              <w:rPr>
                <w:rFonts w:ascii="Cambria" w:hAnsi="Cambria" w:cstheme="minorHAnsi"/>
                <w:sz w:val="24"/>
                <w:szCs w:val="24"/>
              </w:rPr>
              <w:t xml:space="preserve">Declaração de inidoneidade para licitar ou contratar, pelo período de 3 (três) a 6 (seis) anos </w:t>
            </w:r>
          </w:p>
        </w:tc>
      </w:tr>
      <w:tr>
        <w:tc>
          <w:tcPr>
            <w:tcW w:w="4814" w:type="dxa"/>
            <w:vAlign w:val="center"/>
          </w:tcPr>
          <w:p>
            <w:pPr>
              <w:pStyle w:val="Default"/>
              <w:numPr>
                <w:ilvl w:val="0"/>
                <w:numId w:val="29"/>
              </w:numPr>
              <w:tabs>
                <w:tab w:val="left" w:pos="316"/>
              </w:tabs>
              <w:ind w:left="32" w:firstLine="0"/>
              <w:jc w:val="both"/>
              <w:rPr>
                <w:rFonts w:ascii="Cambria" w:hAnsi="Cambria" w:cstheme="minorHAnsi"/>
                <w:sz w:val="24"/>
                <w:szCs w:val="24"/>
              </w:rPr>
            </w:pPr>
            <w:r>
              <w:rPr>
                <w:rFonts w:ascii="Cambria" w:hAnsi="Cambria" w:cstheme="minorHAnsi"/>
                <w:sz w:val="24"/>
                <w:szCs w:val="24"/>
              </w:rPr>
              <w:t xml:space="preserve">Praticar atos ilícitos com vistas a frustrar os objetivos da licitação </w:t>
            </w:r>
          </w:p>
        </w:tc>
        <w:tc>
          <w:tcPr>
            <w:tcW w:w="4815" w:type="dxa"/>
            <w:vAlign w:val="center"/>
          </w:tcPr>
          <w:p>
            <w:pPr>
              <w:pStyle w:val="Default"/>
              <w:jc w:val="both"/>
              <w:rPr>
                <w:rFonts w:ascii="Cambria" w:hAnsi="Cambria" w:cstheme="minorHAnsi"/>
                <w:sz w:val="24"/>
                <w:szCs w:val="24"/>
              </w:rPr>
            </w:pPr>
            <w:r>
              <w:rPr>
                <w:rFonts w:ascii="Cambria" w:hAnsi="Cambria" w:cstheme="minorHAnsi"/>
                <w:sz w:val="24"/>
                <w:szCs w:val="24"/>
              </w:rPr>
              <w:t xml:space="preserve">Declaração de inidoneidade para licitar ou contratar, pelo período de 3 (três) a 6 (seis) anos </w:t>
            </w:r>
          </w:p>
        </w:tc>
      </w:tr>
      <w:tr>
        <w:tc>
          <w:tcPr>
            <w:tcW w:w="4814" w:type="dxa"/>
            <w:vAlign w:val="center"/>
          </w:tcPr>
          <w:p>
            <w:pPr>
              <w:pStyle w:val="Default"/>
              <w:numPr>
                <w:ilvl w:val="0"/>
                <w:numId w:val="29"/>
              </w:numPr>
              <w:tabs>
                <w:tab w:val="left" w:pos="316"/>
              </w:tabs>
              <w:ind w:left="32" w:firstLine="0"/>
              <w:jc w:val="both"/>
              <w:rPr>
                <w:rFonts w:ascii="Cambria" w:hAnsi="Cambria" w:cstheme="minorHAnsi"/>
                <w:sz w:val="24"/>
                <w:szCs w:val="24"/>
              </w:rPr>
            </w:pPr>
            <w:r>
              <w:rPr>
                <w:rFonts w:ascii="Cambria" w:hAnsi="Cambria" w:cstheme="minorHAnsi"/>
                <w:sz w:val="24"/>
                <w:szCs w:val="24"/>
              </w:rPr>
              <w:t xml:space="preserve">Praticar ato lesivo previsto no art. 5º da Lei nº 12.846, de 1º de agosto de 2013 </w:t>
            </w:r>
          </w:p>
        </w:tc>
        <w:tc>
          <w:tcPr>
            <w:tcW w:w="4815" w:type="dxa"/>
            <w:vAlign w:val="center"/>
          </w:tcPr>
          <w:p>
            <w:pPr>
              <w:pStyle w:val="Default"/>
              <w:jc w:val="both"/>
              <w:rPr>
                <w:rFonts w:ascii="Cambria" w:hAnsi="Cambria" w:cstheme="minorHAnsi"/>
                <w:sz w:val="24"/>
                <w:szCs w:val="24"/>
              </w:rPr>
            </w:pPr>
            <w:r>
              <w:rPr>
                <w:rFonts w:ascii="Cambria" w:hAnsi="Cambria" w:cstheme="minorHAnsi"/>
                <w:sz w:val="24"/>
                <w:szCs w:val="24"/>
              </w:rPr>
              <w:t xml:space="preserve">Declaração de inidoneidade para licitar ou contratar, pelo período de 3 (três) a 6 (seis) </w:t>
            </w:r>
            <w:r>
              <w:rPr>
                <w:rFonts w:ascii="Cambria" w:hAnsi="Cambria" w:cstheme="minorHAnsi"/>
                <w:sz w:val="24"/>
                <w:szCs w:val="24"/>
              </w:rPr>
              <w:lastRenderedPageBreak/>
              <w:t xml:space="preserve">anos. </w:t>
            </w:r>
          </w:p>
        </w:tc>
      </w:tr>
      <w:bookmarkEnd w:id="54"/>
    </w:tbl>
    <w:p>
      <w:pPr>
        <w:jc w:val="both"/>
        <w:rPr>
          <w:rFonts w:ascii="Cambria" w:hAnsi="Cambria" w:cstheme="minorHAnsi"/>
          <w:bCs/>
          <w:sz w:val="24"/>
          <w:szCs w:val="24"/>
        </w:rPr>
      </w:pPr>
    </w:p>
    <w:p>
      <w:pPr>
        <w:pStyle w:val="PargrafodaLista"/>
        <w:numPr>
          <w:ilvl w:val="1"/>
          <w:numId w:val="5"/>
        </w:numPr>
        <w:tabs>
          <w:tab w:val="left" w:pos="567"/>
        </w:tabs>
        <w:ind w:left="0" w:firstLine="0"/>
        <w:jc w:val="both"/>
        <w:rPr>
          <w:rFonts w:ascii="Cambria" w:hAnsi="Cambria" w:cstheme="minorHAnsi"/>
          <w:sz w:val="24"/>
          <w:szCs w:val="24"/>
        </w:rPr>
      </w:pPr>
      <w:bookmarkStart w:id="55" w:name="_Hlk157588822"/>
      <w:r>
        <w:rPr>
          <w:rFonts w:ascii="Cambria" w:hAnsi="Cambria" w:cstheme="minorHAnsi"/>
          <w:sz w:val="24"/>
          <w:szCs w:val="24"/>
        </w:rPr>
        <w:t xml:space="preserve">Nas condutas previstas nas letras “b”, “c”, “d”, “e”, “f” e “g” do item 14.3, quando justificada a imposição de penalidade mais grave, será aplicada a sanção de declaração de inidoneidade para licitar e contratar, que impedirá o responsável de licitar ou contratar no âmbito da Administração Pública direta e indireta de todos os entes federativos, pelo prazo mínimo de 3 (três) anos e máximo de 6 (seis) anos. </w:t>
      </w:r>
      <w:bookmarkEnd w:id="55"/>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b/>
          <w:sz w:val="24"/>
          <w:szCs w:val="24"/>
        </w:rPr>
        <w:t>PROCEDIMENTO ADMINISTRATIVO:</w:t>
      </w:r>
      <w:r>
        <w:rPr>
          <w:rFonts w:ascii="Cambria" w:hAnsi="Cambria" w:cstheme="minorHAnsi"/>
          <w:sz w:val="24"/>
          <w:szCs w:val="24"/>
        </w:rPr>
        <w:t xml:space="preserve"> As sanções serão aplicadas após regular processo administrativo, assegurada a ampla defesa e o contraditório.</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Para todo ato inconveniente ou ilícito que tenha indício de causar dano ou prejuízo a Administração Pública ou ao erário deverá inaugurar um procedimento administrativo de apuração dos fatos. Os casos ocorridos durante os procedimentos de contratação serão comunicados oficialmente e formalmente pela Pregoeira ou por qualquer outro servidor o qual presencie o cometimento do ato, o qual devem ser reportados à Assessoria Jurídica do Departamento de Gestão de Licitações para a devida apuração.</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As penalidades somente deixarão de ser aplicadas mediante comprovação, anexada aos autos, da ocorrência de força maior impeditiva do cumprimento da obrigação e/ou manifestação da unidade requisitante, informando que o ocorrido derivou de fatos imputáveis à Administração.</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Na hipótese de abertura de processo administrativo destinado a apuração de fatos e, se for o caso, aplicação de sanções à proponente, em decorrência de conduta vedada neste Pregão, as comunicações à proponente serão efetuadas por meio do endereço de correio eletrônico ("e-mail") declarado ou apresentado nos documentos do processo.</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A proponente deverá manter atualizado o endereço de correio eletrônico ("e-mail") cadastrado junto ao SICAF e confirmar o recebimento das mensagens provenientes do município de Miraíma/CE, não podendo alegar o desconhecimento do recebimento das comunicações por este meio como justificativa para se eximir das responsabilidades assumidas ou eventuais sanções aplicadas.</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 xml:space="preserve">Quando a ação ou omissão ensejar a prática de mais de uma infração, será aplicada a mais grave das penas cabíveis ou, se iguais, somente uma delas, mas aumentada, em qualquer caso, de 1/3 até metade, justificadamente, em decorrência da gravidade da conduta. </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 xml:space="preserve">A penalidade resultante da aplicação do item anterior não poderá ser maior do que as penalidades consideradas cumulativamente. </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 xml:space="preserve">O cometimento reiterado de atrasos injustificados dos prazos previstos para a execução do objeto poderá resultar no cancelamento do contrato do Fornecedor. </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 xml:space="preserve">Será considerado em estado de reiterado cometimento de atrasos dos prazos o Fornecedor que incorrer no terceiro atraso injustificado, ao longo da vigência do contrato. </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 xml:space="preserve">A multa, calculada na forma do Anexo I - Termo de Referência, não poderá ser inferior a 1% (um por cento) nem superior a 30% (trinta por cento) do valor do Instrumento Contratual e será aplicada ao responsável por qualquer das infrações administrativas previstas no art. 155 da Lei n. 14.133/2021. </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 xml:space="preserve">Se a multa aplicada e as indenizações cabíveis forem superiores ao valor de pagamento eventualmente devido pela Administração ao Fornecedor, além da perda desse valor, a diferença será descontada da garantia prestada ou será cobrada judicialmente. </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lastRenderedPageBreak/>
        <w:t>Se a garantia contratual exigida for prestada por seguradora, essa será notificada da abertura de processo de apuração de responsabilidade do qual possa resultar na aplicação da penalidade de multa ao Fornecedor.</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 xml:space="preserve">O licitante ou o Adjudicatário será notificado para apresentar defesa prévia no prazo de 15 (quinze) dias úteis, a contar do recebimento da notificação. Da decisão que aplicar as sanções de advertência, multas e impedimento de licitar e contratar, caberá recurso administrativo no prazo de </w:t>
      </w:r>
      <w:bookmarkStart w:id="56" w:name="_Hlk142640042"/>
      <w:r>
        <w:rPr>
          <w:rFonts w:ascii="Cambria" w:hAnsi="Cambria" w:cstheme="minorHAnsi"/>
          <w:sz w:val="24"/>
          <w:szCs w:val="24"/>
        </w:rPr>
        <w:t>15 (quinze) dias úteis</w:t>
      </w:r>
      <w:bookmarkEnd w:id="56"/>
      <w:r>
        <w:rPr>
          <w:rFonts w:ascii="Cambria" w:hAnsi="Cambria" w:cstheme="minorHAnsi"/>
          <w:sz w:val="24"/>
          <w:szCs w:val="24"/>
        </w:rPr>
        <w:t xml:space="preserve">, a contar da intimação do ato. </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A aplicação das sanções previstas neste Edital não exclui, em hipótese alguma, a obrigação de reparação integral do dano causado à Administração Pública.</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 xml:space="preserve">A aplicação das sanções previstas de impedimento de licitar e contratar e declaração de inidoneidade para licitar ou contratar, cumuladas ou não com multa, requererá a instauração de Procedimento Administrativo de Apuração de Responsabilidade - PAAR, a ser conduzido por comissão composta de no mínimo 2 (dois) servidores estáveis, que avaliará fatos e circunstâncias conhecidos e intimará o licitante ou o fornecedor para, no prazo de 15 (quinze) dias úteis, contado da data de intimação, apresentar defesa escrita </w:t>
      </w:r>
      <w:bookmarkStart w:id="57" w:name="_Hlk142639675"/>
      <w:r>
        <w:rPr>
          <w:rFonts w:ascii="Cambria" w:hAnsi="Cambria" w:cstheme="minorHAnsi"/>
          <w:sz w:val="24"/>
          <w:szCs w:val="24"/>
        </w:rPr>
        <w:t>e especificar as provas que pretenda produzir</w:t>
      </w:r>
      <w:bookmarkEnd w:id="57"/>
      <w:r>
        <w:rPr>
          <w:rFonts w:ascii="Cambria" w:hAnsi="Cambria" w:cstheme="minorHAnsi"/>
          <w:sz w:val="24"/>
          <w:szCs w:val="24"/>
        </w:rPr>
        <w:t xml:space="preserve">. </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 xml:space="preserve">Na </w:t>
      </w:r>
      <w:bookmarkStart w:id="58" w:name="_Hlk142639719"/>
      <w:r>
        <w:rPr>
          <w:rFonts w:ascii="Cambria" w:hAnsi="Cambria" w:cstheme="minorHAnsi"/>
          <w:sz w:val="24"/>
          <w:szCs w:val="24"/>
        </w:rPr>
        <w:t>hipótese de deferimento de pedido de produção de novas provas ou de juntada de provas julgadas indispensáveis pela comissão, o licitante ou o Fornecedor poderá apresentar alegações finais no prazo de 15 dias úteis, contado da data da intimação</w:t>
      </w:r>
      <w:bookmarkEnd w:id="58"/>
      <w:r>
        <w:rPr>
          <w:rFonts w:ascii="Cambria" w:hAnsi="Cambria" w:cstheme="minorHAnsi"/>
          <w:sz w:val="24"/>
          <w:szCs w:val="24"/>
        </w:rPr>
        <w:t xml:space="preserve">. </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 xml:space="preserve">Serão indeferidas pela Comissão de PAR, mediante decisão fundamentada, provas ilícitas, impertinentes, desnecessárias, protelatórias ou intempestivas. </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 xml:space="preserve">A prescrição da pretensão de aplicação das sanções ocorrerá em 5 (cinco) anos, contados da ciência da infração pela Administração, e será interrompida e suspensa na forma da Lei. </w:t>
      </w:r>
    </w:p>
    <w:p>
      <w:pPr>
        <w:pStyle w:val="PargrafodaLista"/>
        <w:numPr>
          <w:ilvl w:val="1"/>
          <w:numId w:val="5"/>
        </w:numPr>
        <w:tabs>
          <w:tab w:val="left" w:pos="567"/>
        </w:tabs>
        <w:ind w:left="0" w:firstLine="0"/>
        <w:jc w:val="both"/>
        <w:rPr>
          <w:rFonts w:ascii="Cambria" w:hAnsi="Cambria" w:cstheme="minorHAnsi"/>
          <w:sz w:val="24"/>
          <w:szCs w:val="24"/>
        </w:rPr>
      </w:pPr>
      <w:bookmarkStart w:id="59" w:name="_Hlk142640335"/>
      <w:r>
        <w:rPr>
          <w:rFonts w:ascii="Cambria" w:hAnsi="Cambria" w:cstheme="minorHAnsi"/>
          <w:sz w:val="24"/>
          <w:szCs w:val="24"/>
        </w:rPr>
        <w:t>Excepcionalmente, desde que justificado pelo gestor da ata, no Procedimento Administrativo de Apuração de Responsabilidade - PAAR, o município poderá, ad cautelam, efetuar a retenção do valor da multa presumida, em conformidade com o instrumento convocatório, Termo de Referência, ou INSTRUMENTO CONTRATUAL, e instaurar de imediato o procedimento administrativo para apuração de responsabilidade por descumprimento, que deverá ter tramitação prioritária</w:t>
      </w:r>
      <w:bookmarkEnd w:id="59"/>
      <w:r>
        <w:rPr>
          <w:rFonts w:ascii="Cambria" w:hAnsi="Cambria" w:cstheme="minorHAnsi"/>
          <w:sz w:val="24"/>
          <w:szCs w:val="24"/>
        </w:rPr>
        <w:t>.</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 xml:space="preserve">Todas as penalidades serão registradas, para efeito de publicidade, no Sistema de Cadastramento Unificado de Fornecedores (SICAF), no cadastro Consolidado de Pessoa Jurídica do TCU, no Cadastro Nacional de Empresas Inidôneas (CEIS), no Cadastro Nacional de Empresas Punidas (CNEP) e demais sistemas internos, no prazo máximo de 15 dias úteis, contado da data de aplicação da sanção. </w:t>
      </w:r>
    </w:p>
    <w:p>
      <w:pPr>
        <w:pStyle w:val="PargrafodaLista"/>
        <w:numPr>
          <w:ilvl w:val="1"/>
          <w:numId w:val="5"/>
        </w:numPr>
        <w:tabs>
          <w:tab w:val="left" w:pos="567"/>
        </w:tabs>
        <w:ind w:left="0" w:firstLine="0"/>
        <w:jc w:val="both"/>
        <w:rPr>
          <w:rFonts w:ascii="Cambria" w:hAnsi="Cambria" w:cstheme="minorHAnsi"/>
          <w:sz w:val="24"/>
          <w:szCs w:val="24"/>
        </w:rPr>
      </w:pPr>
      <w:bookmarkStart w:id="60" w:name="_Hlk142640413"/>
      <w:r>
        <w:rPr>
          <w:rFonts w:ascii="Cambria" w:hAnsi="Cambria" w:cstheme="minorHAnsi"/>
          <w:sz w:val="24"/>
          <w:szCs w:val="24"/>
        </w:rPr>
        <w:t xml:space="preserve">No caso de provimento do recurso ou de reconsideração da decisão, os autos serão remetidos à Secretaria de Finanças para devolução ao fornecedor dos valores eventualmente retidos. </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 xml:space="preserve">Os instrumentos de requerimentos, de defesas prévias e de recursos eventualmente interpostos pelos licitantes, adjudicatários e/ou por quaisquer interessados deverão ser instruídos com os documentos hábeis à prova das alegações neles contidas. Referidos documentos probatórios deverão ser apresentados em suas versões originais e/ou em versões conferidas com o original por servidores da Administração Pública, sob pena de, a critério exclusivo do município, não serem avaliados. Caso o fornecimento de cópias de documentos </w:t>
      </w:r>
      <w:r>
        <w:rPr>
          <w:rFonts w:ascii="Cambria" w:hAnsi="Cambria" w:cstheme="minorHAnsi"/>
          <w:sz w:val="24"/>
          <w:szCs w:val="24"/>
        </w:rPr>
        <w:lastRenderedPageBreak/>
        <w:t>seja requerido ao município, as despesas correspondentes deverão ser ressarcidas previamente, em Documento de Arrecadação Municipal - DAM.</w:t>
      </w:r>
    </w:p>
    <w:bookmarkEnd w:id="60"/>
    <w:p>
      <w:pPr>
        <w:jc w:val="both"/>
        <w:rPr>
          <w:rFonts w:ascii="Cambria" w:hAnsi="Cambria" w:cstheme="minorHAnsi"/>
          <w:snapToGrid w:val="0"/>
          <w:sz w:val="24"/>
          <w:szCs w:val="24"/>
          <w:lang w:eastAsia="ar-SA"/>
        </w:rPr>
      </w:pPr>
    </w:p>
    <w:p>
      <w:pPr>
        <w:pStyle w:val="Ttulo1"/>
        <w:tabs>
          <w:tab w:val="clear" w:pos="284"/>
          <w:tab w:val="left" w:pos="426"/>
        </w:tabs>
        <w:ind w:left="0" w:firstLine="0"/>
        <w:rPr>
          <w:rFonts w:ascii="Cambria" w:hAnsi="Cambria" w:cstheme="minorHAnsi"/>
          <w:sz w:val="24"/>
          <w:szCs w:val="24"/>
        </w:rPr>
      </w:pPr>
      <w:bookmarkStart w:id="61" w:name="_Toc161741811"/>
      <w:bookmarkStart w:id="62" w:name="_Toc164093670"/>
      <w:r>
        <w:rPr>
          <w:rFonts w:ascii="Cambria" w:hAnsi="Cambria" w:cstheme="minorHAnsi"/>
          <w:sz w:val="24"/>
          <w:szCs w:val="24"/>
        </w:rPr>
        <w:t>FRAUDE E CORRUPÇÃO</w:t>
      </w:r>
      <w:bookmarkEnd w:id="61"/>
      <w:bookmarkEnd w:id="62"/>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As proponentes deverão observar os mais altos padrões éticos durante o processo licitatório e a execução do contrato, estando sujeitas às sanções previstas na legislação brasileira. Para os propósitos deste item, definem-se as seguintes práticas:</w:t>
      </w:r>
    </w:p>
    <w:p>
      <w:pPr>
        <w:autoSpaceDE w:val="0"/>
        <w:autoSpaceDN w:val="0"/>
        <w:adjustRightInd w:val="0"/>
        <w:jc w:val="both"/>
        <w:rPr>
          <w:rFonts w:ascii="Cambria" w:eastAsia="Times New Roman" w:hAnsi="Cambria" w:cstheme="minorHAnsi"/>
          <w:spacing w:val="-1"/>
          <w:sz w:val="24"/>
          <w:szCs w:val="24"/>
        </w:rPr>
      </w:pPr>
      <w:r>
        <w:rPr>
          <w:rFonts w:ascii="Cambria" w:eastAsia="Times New Roman" w:hAnsi="Cambria" w:cstheme="minorHAnsi"/>
          <w:spacing w:val="-1"/>
          <w:sz w:val="24"/>
          <w:szCs w:val="24"/>
        </w:rPr>
        <w:t>a) “prática corrupta”: oferecer, dar, receber ou solicitar, direta ou indiretamente, qualquer vantagem com o objetivo de influenciar a ação de servidor público no processo de licitação ou na execução de contrato;</w:t>
      </w:r>
    </w:p>
    <w:p>
      <w:pPr>
        <w:autoSpaceDE w:val="0"/>
        <w:autoSpaceDN w:val="0"/>
        <w:adjustRightInd w:val="0"/>
        <w:jc w:val="both"/>
        <w:rPr>
          <w:rFonts w:ascii="Cambria" w:eastAsia="Times New Roman" w:hAnsi="Cambria" w:cstheme="minorHAnsi"/>
          <w:spacing w:val="-1"/>
          <w:sz w:val="24"/>
          <w:szCs w:val="24"/>
        </w:rPr>
      </w:pPr>
      <w:r>
        <w:rPr>
          <w:rFonts w:ascii="Cambria" w:eastAsia="Times New Roman" w:hAnsi="Cambria" w:cstheme="minorHAnsi"/>
          <w:spacing w:val="-1"/>
          <w:sz w:val="24"/>
          <w:szCs w:val="24"/>
        </w:rPr>
        <w:t>b) “prática fraudulenta”: a falsificação ou omissão dos fatos, com o objetivo de influenciar o processo de licitação ou de execução de contrato;</w:t>
      </w:r>
    </w:p>
    <w:p>
      <w:pPr>
        <w:autoSpaceDE w:val="0"/>
        <w:autoSpaceDN w:val="0"/>
        <w:adjustRightInd w:val="0"/>
        <w:jc w:val="both"/>
        <w:rPr>
          <w:rFonts w:ascii="Cambria" w:eastAsia="Times New Roman" w:hAnsi="Cambria" w:cstheme="minorHAnsi"/>
          <w:spacing w:val="-1"/>
          <w:sz w:val="24"/>
          <w:szCs w:val="24"/>
        </w:rPr>
      </w:pPr>
      <w:r>
        <w:rPr>
          <w:rFonts w:ascii="Cambria" w:eastAsia="Times New Roman" w:hAnsi="Cambria" w:cstheme="minorHAnsi"/>
          <w:spacing w:val="-1"/>
          <w:sz w:val="24"/>
          <w:szCs w:val="24"/>
        </w:rPr>
        <w:t>c) “prática conluiada”: esquematizar ou estabelecer um acordo entre duas ou mais proponentes, com ou sem o conhecimento de representantes ou prepostos do órgão licitador, visando estabelecer preços em níveis artificiais e não-competitivos;</w:t>
      </w:r>
    </w:p>
    <w:p>
      <w:pPr>
        <w:autoSpaceDE w:val="0"/>
        <w:autoSpaceDN w:val="0"/>
        <w:adjustRightInd w:val="0"/>
        <w:jc w:val="both"/>
        <w:rPr>
          <w:rFonts w:ascii="Cambria" w:eastAsia="Times New Roman" w:hAnsi="Cambria" w:cstheme="minorHAnsi"/>
          <w:spacing w:val="-1"/>
          <w:sz w:val="24"/>
          <w:szCs w:val="24"/>
        </w:rPr>
      </w:pPr>
      <w:r>
        <w:rPr>
          <w:rFonts w:ascii="Cambria" w:eastAsia="Times New Roman" w:hAnsi="Cambria" w:cstheme="minorHAnsi"/>
          <w:spacing w:val="-1"/>
          <w:sz w:val="24"/>
          <w:szCs w:val="24"/>
        </w:rPr>
        <w:t>d) “prática coercitiva”: causar dano ou ameaçar causar dano, direta ou indiretamente, às pessoas ou sua propriedade, visando a influenciar sua participação em um processo licitatório ou afetar a execução do contrato.</w:t>
      </w:r>
    </w:p>
    <w:p>
      <w:pPr>
        <w:autoSpaceDE w:val="0"/>
        <w:autoSpaceDN w:val="0"/>
        <w:adjustRightInd w:val="0"/>
        <w:jc w:val="both"/>
        <w:rPr>
          <w:rFonts w:ascii="Cambria" w:eastAsia="Times New Roman" w:hAnsi="Cambria" w:cstheme="minorHAnsi"/>
          <w:spacing w:val="-1"/>
          <w:sz w:val="24"/>
          <w:szCs w:val="24"/>
        </w:rPr>
      </w:pPr>
      <w:r>
        <w:rPr>
          <w:rFonts w:ascii="Cambria" w:eastAsia="Times New Roman" w:hAnsi="Cambria" w:cstheme="minorHAnsi"/>
          <w:spacing w:val="-1"/>
          <w:sz w:val="24"/>
          <w:szCs w:val="24"/>
        </w:rPr>
        <w:t>e) “prática obstrutiva”:</w:t>
      </w:r>
    </w:p>
    <w:p>
      <w:pPr>
        <w:autoSpaceDE w:val="0"/>
        <w:autoSpaceDN w:val="0"/>
        <w:adjustRightInd w:val="0"/>
        <w:jc w:val="both"/>
        <w:rPr>
          <w:rFonts w:ascii="Cambria" w:eastAsia="Times New Roman" w:hAnsi="Cambria" w:cstheme="minorHAnsi"/>
          <w:spacing w:val="-1"/>
          <w:sz w:val="24"/>
          <w:szCs w:val="24"/>
        </w:rPr>
      </w:pPr>
      <w:r>
        <w:rPr>
          <w:rFonts w:ascii="Cambria" w:eastAsia="Times New Roman" w:hAnsi="Cambria" w:cstheme="minorHAnsi"/>
          <w:spacing w:val="-1"/>
          <w:sz w:val="24"/>
          <w:szCs w:val="24"/>
        </w:rPr>
        <w:t>(1) destruir, falsificar, alterar ou ocultar provas em inspeções ou fazer declarações falsas aos representantes do organismo financeiro multilateral, com o objetivo de impedir materialmente a apuração de alegações de prática prevista neste subitem;</w:t>
      </w:r>
    </w:p>
    <w:p>
      <w:pPr>
        <w:autoSpaceDE w:val="0"/>
        <w:autoSpaceDN w:val="0"/>
        <w:adjustRightInd w:val="0"/>
        <w:jc w:val="both"/>
        <w:rPr>
          <w:rFonts w:ascii="Cambria" w:eastAsia="Times New Roman" w:hAnsi="Cambria" w:cstheme="minorHAnsi"/>
          <w:spacing w:val="-1"/>
          <w:sz w:val="24"/>
          <w:szCs w:val="24"/>
        </w:rPr>
      </w:pPr>
      <w:r>
        <w:rPr>
          <w:rFonts w:ascii="Cambria" w:eastAsia="Times New Roman" w:hAnsi="Cambria" w:cstheme="minorHAnsi"/>
          <w:spacing w:val="-1"/>
          <w:sz w:val="24"/>
          <w:szCs w:val="24"/>
        </w:rPr>
        <w:t>(2) atos cuja intenção seja impedir materialmente o exercício do direito de o organismo financeiro multilateral promover inspeção.</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A contratante, garantida a prévia defesa, aplicará as sanções administrativas pertinentes, previstas na Lei Federal nº 14.133, de 1º de abril de 2021, se comprovar o envolvimento de representante da empresa ou da pessoa física contratada em práticas corruptas, fraudulentas, conluiadas ou coercitivas, no decorrer da licitação ou na execução do contrato financiado por organismo financeiro multilateral, sem prejuízo das demais medidas administrativas, criminais e cíveis.</w:t>
      </w:r>
    </w:p>
    <w:p>
      <w:pPr>
        <w:autoSpaceDE w:val="0"/>
        <w:autoSpaceDN w:val="0"/>
        <w:adjustRightInd w:val="0"/>
        <w:jc w:val="both"/>
        <w:rPr>
          <w:rFonts w:ascii="Cambria" w:eastAsia="Times New Roman" w:hAnsi="Cambria" w:cstheme="minorHAnsi"/>
          <w:spacing w:val="-1"/>
          <w:sz w:val="24"/>
          <w:szCs w:val="24"/>
        </w:rPr>
      </w:pPr>
    </w:p>
    <w:p>
      <w:pPr>
        <w:pStyle w:val="Ttulo1"/>
        <w:shd w:val="clear" w:color="auto" w:fill="F2F2F2"/>
        <w:tabs>
          <w:tab w:val="clear" w:pos="284"/>
          <w:tab w:val="left" w:pos="426"/>
        </w:tabs>
        <w:ind w:left="0" w:firstLine="0"/>
        <w:rPr>
          <w:rFonts w:ascii="Cambria" w:hAnsi="Cambria" w:cstheme="minorHAnsi"/>
          <w:sz w:val="24"/>
          <w:szCs w:val="24"/>
          <w:u w:val="single"/>
        </w:rPr>
      </w:pPr>
      <w:bookmarkStart w:id="63" w:name="_Toc161741812"/>
      <w:bookmarkStart w:id="64" w:name="_Toc164093671"/>
      <w:r>
        <w:rPr>
          <w:rFonts w:ascii="Cambria" w:hAnsi="Cambria" w:cstheme="minorHAnsi"/>
          <w:sz w:val="24"/>
          <w:szCs w:val="24"/>
        </w:rPr>
        <w:t>DOS ESCLARECIMENTOS, IMPUGNAÇÕES, DILIGÊNCIAS, REVOGAÇÃO E ANULAÇÃO</w:t>
      </w:r>
      <w:bookmarkEnd w:id="63"/>
      <w:bookmarkEnd w:id="64"/>
      <w:r>
        <w:rPr>
          <w:rFonts w:ascii="Cambria" w:hAnsi="Cambria" w:cstheme="minorHAnsi"/>
          <w:sz w:val="24"/>
          <w:szCs w:val="24"/>
        </w:rPr>
        <w:t xml:space="preserve"> </w:t>
      </w:r>
      <w:r>
        <w:rPr>
          <w:rFonts w:ascii="Cambria" w:hAnsi="Cambria" w:cstheme="minorHAnsi"/>
          <w:sz w:val="24"/>
          <w:szCs w:val="24"/>
          <w:u w:val="single"/>
        </w:rPr>
        <w:t>DAS SOLICITAÇÕES DE ESCLARECIMENTO E IMPUGNAÇÕES</w:t>
      </w:r>
    </w:p>
    <w:p>
      <w:pPr>
        <w:pStyle w:val="PargrafodaLista"/>
        <w:ind w:left="0"/>
        <w:jc w:val="both"/>
        <w:rPr>
          <w:rFonts w:ascii="Cambria" w:hAnsi="Cambria" w:cstheme="minorHAnsi"/>
          <w:sz w:val="24"/>
          <w:szCs w:val="24"/>
        </w:rPr>
      </w:pP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 xml:space="preserve">Qualquer pessoa física ou jurídica poderá, no prazo de até </w:t>
      </w:r>
      <w:r>
        <w:rPr>
          <w:rFonts w:ascii="Cambria" w:hAnsi="Cambria" w:cstheme="minorHAnsi"/>
          <w:b/>
          <w:bCs/>
          <w:sz w:val="24"/>
          <w:szCs w:val="24"/>
        </w:rPr>
        <w:t>03 (três) dias úteis</w:t>
      </w:r>
      <w:r>
        <w:rPr>
          <w:rFonts w:ascii="Cambria" w:hAnsi="Cambria" w:cstheme="minorHAnsi"/>
          <w:sz w:val="24"/>
          <w:szCs w:val="24"/>
        </w:rPr>
        <w:t xml:space="preserve"> antes da data fixada para recebimento das Propostas de Preços, solicitar esclarecimento e ou impugnar o ato convocatório deste Pregão.</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Decairá do direito de impugnar os termos do edital de licitação perante a Administração aquele que não o fizer dentro do prazo fixado neste subitem, hipótese em que tal comunicação não terá efeito de recurso.</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Impugnação feita tempestivamente pelo proponente não o impedirá de participar do processo licitatório até o trânsito em julgado da decisão a ela pertinente.</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 xml:space="preserve">Somente serão aceitas solicitações de esclarecimentos, providências ou impugnações mediante petição confeccionada em máquina datilográfica ou impressora eletrônica, em tinta não lavável, bem como, da apresentação de documentos comprobatórios a demandante, desde </w:t>
      </w:r>
      <w:r>
        <w:rPr>
          <w:rFonts w:ascii="Cambria" w:hAnsi="Cambria" w:cstheme="minorHAnsi"/>
          <w:sz w:val="24"/>
          <w:szCs w:val="24"/>
        </w:rPr>
        <w:lastRenderedPageBreak/>
        <w:t>que devidamente protocolados via e-mail, informado no quadro de resumo deste edital, que preencham os seguintes requisitos:</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O endereçamento ao Pregoeiro da Prefeitura de Miraíma/CE;</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A identificação precisa e completa do autor e seu representante legal (acompanhado dos documentos comprobatórios) se for o caso, contendo o nome, prenome, estado civil, profissão, domicílio, número do documento de identificação, devidamente datada e assinada dentro do prazo editalício;</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O fato e o fundamento jurídico de seu pedido, indicando quais os itens ou subitens discutidos;</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O pedido, com suas especificações;</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A proponente deverá juntar cópia do ato constitutivo, bem como, documento de identificação (com foto) válido na forma da Lei do responsável legal pela mesma e, ainda, deverá apresentar prova de mandato, se for o caso.</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O Pregoeiro poderá requisitar subsídios formais aos responsáveis pela elaboração do edital de licitação e dos anexos.</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 xml:space="preserve">Caberá ao Pregoeiro decidir e divulgar em sítio eletrônico oficial no prazo de até </w:t>
      </w:r>
      <w:r>
        <w:rPr>
          <w:rFonts w:ascii="Cambria" w:hAnsi="Cambria" w:cstheme="minorHAnsi"/>
          <w:b/>
          <w:bCs/>
          <w:sz w:val="24"/>
          <w:szCs w:val="24"/>
        </w:rPr>
        <w:t>3 (três) dias úteis</w:t>
      </w:r>
      <w:r>
        <w:rPr>
          <w:rFonts w:ascii="Cambria" w:hAnsi="Cambria" w:cstheme="minorHAnsi"/>
          <w:sz w:val="24"/>
          <w:szCs w:val="24"/>
        </w:rPr>
        <w:t>, limitado ao último dia útil anterior à data da abertura do certame.</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A resposta do Município de Miraíma/CE será disponibilizada a todos os interessados mediante afixação de cópia da íntegra do ato proferido pela Administração no sítio virtual:  https://municipios-licitacoes.tce.ce.gov.br/.</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O aditamento prevalecerá sempre em relação ao que for aditado.</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Acolhida a petição de impugnação contra o ato convocatório que importe em modificação dos termos do edital será designada nova data para a realização do certame, exceto quando, inquestionavelmente, a alteração não afetar a formulação das Propostas de Preços.</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Qualquer modificação neste edital será divulgada pela mesma forma que se deu ao texto original.</w:t>
      </w:r>
    </w:p>
    <w:p>
      <w:pPr>
        <w:pStyle w:val="PORTUGUES"/>
        <w:shd w:val="clear" w:color="auto" w:fill="F2F2F2"/>
        <w:jc w:val="center"/>
        <w:rPr>
          <w:rFonts w:ascii="Cambria" w:hAnsi="Cambria" w:cstheme="minorHAnsi"/>
          <w:u w:val="single"/>
        </w:rPr>
      </w:pPr>
      <w:r>
        <w:rPr>
          <w:rFonts w:ascii="Cambria" w:hAnsi="Cambria" w:cstheme="minorHAnsi"/>
          <w:u w:val="single"/>
        </w:rPr>
        <w:t>DILIGÊNCIA, REVOGAÇÃO E ANULAÇÃO</w:t>
      </w:r>
    </w:p>
    <w:p>
      <w:pPr>
        <w:pStyle w:val="PORTUGUES"/>
        <w:jc w:val="both"/>
        <w:rPr>
          <w:rFonts w:ascii="Cambria" w:hAnsi="Cambria" w:cstheme="minorHAnsi"/>
        </w:rPr>
      </w:pP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b/>
          <w:bCs/>
          <w:sz w:val="24"/>
          <w:szCs w:val="24"/>
        </w:rPr>
        <w:t>DILIGÊNCIA:</w:t>
      </w:r>
      <w:r>
        <w:rPr>
          <w:rFonts w:ascii="Cambria" w:hAnsi="Cambria" w:cstheme="minorHAnsi"/>
          <w:sz w:val="24"/>
          <w:szCs w:val="24"/>
        </w:rPr>
        <w:t xml:space="preserve"> Em qualquer fase do procedimento licitatório, o Pregoeiro ou a autoridade superior, poderá promover diligências no sentido de obter esclarecimentos, confirmar informações ou permitir sejam sanadas falhas formais de documentação que complementem a instrução do processo, vedada a inclusão posterior de documento ou informação que deveria constar originariamente da Proposta ou da Habilitação, fixando o prazo para a resposta.</w:t>
      </w:r>
    </w:p>
    <w:p>
      <w:pPr>
        <w:pStyle w:val="PargrafodaLista"/>
        <w:numPr>
          <w:ilvl w:val="2"/>
          <w:numId w:val="5"/>
        </w:numPr>
        <w:ind w:left="0" w:firstLine="0"/>
        <w:jc w:val="both"/>
        <w:rPr>
          <w:rFonts w:ascii="Cambria" w:hAnsi="Cambria" w:cstheme="minorHAnsi"/>
          <w:sz w:val="24"/>
          <w:szCs w:val="24"/>
        </w:rPr>
      </w:pPr>
      <w:r>
        <w:rPr>
          <w:rFonts w:ascii="Cambria" w:hAnsi="Cambria" w:cstheme="minorHAnsi"/>
          <w:sz w:val="24"/>
          <w:szCs w:val="24"/>
        </w:rPr>
        <w:t>Os proponentes notificados para prestar quaisquer esclarecimentos adicionais deverão fazê-lo no prazo determinado pelo Pregoeiro, sob pena de desclassificação/inabilitação.</w:t>
      </w:r>
    </w:p>
    <w:p>
      <w:pPr>
        <w:pStyle w:val="PORTUGUES"/>
        <w:jc w:val="both"/>
        <w:rPr>
          <w:rFonts w:ascii="Cambria" w:hAnsi="Cambria" w:cstheme="minorHAnsi"/>
        </w:rPr>
      </w:pP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b/>
          <w:bCs/>
          <w:sz w:val="24"/>
          <w:szCs w:val="24"/>
        </w:rPr>
        <w:t>REVOGAÇÃO E ANULAÇÃO:</w:t>
      </w:r>
      <w:r>
        <w:rPr>
          <w:rFonts w:ascii="Cambria" w:hAnsi="Cambria" w:cstheme="minorHAnsi"/>
          <w:sz w:val="24"/>
          <w:szCs w:val="24"/>
        </w:rPr>
        <w:t>A autoridade competente para homologar o procedimento licitatório poderá revogá-lo somente em razão do interesse público, por motivo de fato superveniente devidamente comprovado, pertinente e suficiente para justificar a revogação, e deverá anulá-lo por ilegalidade, de ofício ou por provocação de qualquer pessoa, por meio de ato escrito e fundamentado.</w:t>
      </w:r>
    </w:p>
    <w:p>
      <w:pPr>
        <w:jc w:val="right"/>
        <w:rPr>
          <w:rFonts w:ascii="Cambria" w:hAnsi="Cambria" w:cstheme="minorHAnsi"/>
          <w:b/>
          <w:sz w:val="24"/>
          <w:szCs w:val="24"/>
        </w:rPr>
      </w:pPr>
    </w:p>
    <w:p>
      <w:pPr>
        <w:pStyle w:val="Ttulo1"/>
        <w:tabs>
          <w:tab w:val="clear" w:pos="284"/>
          <w:tab w:val="left" w:pos="426"/>
        </w:tabs>
        <w:ind w:left="0" w:firstLine="0"/>
        <w:rPr>
          <w:rFonts w:ascii="Cambria" w:hAnsi="Cambria" w:cstheme="minorHAnsi"/>
          <w:sz w:val="24"/>
          <w:szCs w:val="24"/>
        </w:rPr>
      </w:pPr>
      <w:bookmarkStart w:id="65" w:name="_Toc161741813"/>
      <w:bookmarkStart w:id="66" w:name="_Toc164093672"/>
      <w:r>
        <w:rPr>
          <w:rFonts w:ascii="Cambria" w:hAnsi="Cambria" w:cstheme="minorHAnsi"/>
          <w:sz w:val="24"/>
          <w:szCs w:val="24"/>
        </w:rPr>
        <w:t>DISPOSIÇÕES GERAIS</w:t>
      </w:r>
      <w:bookmarkEnd w:id="65"/>
      <w:bookmarkEnd w:id="66"/>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lastRenderedPageBreak/>
        <w:t>As normas que disciplinam este Pregão Eletrônico serão sempre interpretadas em favor da ampliação da disputa entre os interessados, atendidos o interesse público, sem comprometimento da segurança e do regular funcionamento da administração.</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Os casos omissos poderão ser resolvidos pelo Pregoeiro durante a sessão e pela(s) autoridade(s) competente(s), em outros casos, mediante aplicação dos Regulamentos Municipais que tratam de Licitações e Contratos e da Lei n.º 14.133/2021 de 1º de abril de 2021.</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Nenhuma indenização será devida às proponentes pela elaboração ou pela apresentação de documentação referente ao presente edital, nem em relação às expectativas de contratações dela decorrentes.</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Na contagem dos prazos estabelecidos neste edital, exclui-se o dia de início de contagem e inclui-se o dia do vencimento, observando-se que só se iniciam e vencem prazos em dia de expediente normal no Município, exceto quando for expressamente estabelecido em contrário.</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Os avisos de prosseguimento das sessões, a decisão sobre os recursos interpostos, a Anulação ou revogação serão feitos aos interessados mediante publicação no quadro de avisos da Prefeitura Municipal de Miraíma/CE, conforme disposto na Lei Orgânica do Município e no “chat” do http://www.compras.gov.br/.</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Quaisquer informações poderão ser obtidas das 07:00h às 13:00h, na sede do Setor de Licitação da Prefeitura de Miraíma/CE, situada na Esplanada da Estação, 433 – Centro – Miraíma – CE.</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O referido edital e seus ANEXOS estão disponíveis no seguinte sítio virtual: https://municipios-licitacoes.tce.ce.gov.br, nos termos da IN 04/2015-TCM/CE.</w:t>
      </w:r>
    </w:p>
    <w:p>
      <w:pPr>
        <w:pStyle w:val="PargrafodaLista"/>
        <w:numPr>
          <w:ilvl w:val="1"/>
          <w:numId w:val="5"/>
        </w:numPr>
        <w:tabs>
          <w:tab w:val="left" w:pos="567"/>
        </w:tabs>
        <w:ind w:left="0" w:firstLine="0"/>
        <w:jc w:val="both"/>
        <w:rPr>
          <w:rFonts w:ascii="Cambria" w:hAnsi="Cambria" w:cstheme="minorHAnsi"/>
          <w:sz w:val="24"/>
          <w:szCs w:val="24"/>
        </w:rPr>
      </w:pPr>
      <w:r>
        <w:rPr>
          <w:rFonts w:ascii="Cambria" w:hAnsi="Cambria" w:cstheme="minorHAnsi"/>
          <w:sz w:val="24"/>
          <w:szCs w:val="24"/>
        </w:rPr>
        <w:t>Para dirimir, na esfera judicial, as questões oriundas do presente edital será competente o Foro da Comarca de Miraíma - CE.</w:t>
      </w:r>
    </w:p>
    <w:p>
      <w:pPr>
        <w:autoSpaceDE w:val="0"/>
        <w:autoSpaceDN w:val="0"/>
        <w:adjustRightInd w:val="0"/>
        <w:jc w:val="center"/>
        <w:rPr>
          <w:rFonts w:ascii="Cambria" w:hAnsi="Cambria" w:cstheme="minorHAnsi"/>
          <w:sz w:val="24"/>
          <w:szCs w:val="24"/>
        </w:rPr>
      </w:pPr>
    </w:p>
    <w:p>
      <w:pPr>
        <w:autoSpaceDE w:val="0"/>
        <w:autoSpaceDN w:val="0"/>
        <w:adjustRightInd w:val="0"/>
        <w:jc w:val="center"/>
        <w:rPr>
          <w:rFonts w:ascii="Cambria" w:hAnsi="Cambria" w:cstheme="minorHAnsi"/>
          <w:sz w:val="24"/>
          <w:szCs w:val="24"/>
        </w:rPr>
      </w:pPr>
      <w:r>
        <w:rPr>
          <w:rFonts w:ascii="Cambria" w:hAnsi="Cambria" w:cstheme="minorHAnsi"/>
          <w:sz w:val="24"/>
          <w:szCs w:val="24"/>
        </w:rPr>
        <w:t>Miraíma-Ceará,</w:t>
      </w:r>
      <w:r>
        <w:rPr>
          <w:rFonts w:ascii="Cambria" w:eastAsia="Times New Roman" w:hAnsi="Cambria" w:cstheme="minorHAnsi"/>
          <w:color w:val="000000"/>
          <w:sz w:val="24"/>
          <w:szCs w:val="24"/>
          <w:lang w:eastAsia="ar-SA"/>
        </w:rPr>
        <w:t xml:space="preserve"> 06</w:t>
      </w:r>
      <w:bookmarkStart w:id="67" w:name="_GoBack"/>
      <w:bookmarkEnd w:id="67"/>
      <w:r>
        <w:rPr>
          <w:rFonts w:ascii="Cambria" w:eastAsia="Times New Roman" w:hAnsi="Cambria" w:cstheme="minorHAnsi"/>
          <w:color w:val="000000"/>
          <w:sz w:val="24"/>
          <w:szCs w:val="24"/>
          <w:lang w:eastAsia="ar-SA"/>
        </w:rPr>
        <w:t xml:space="preserve"> de julho de 2026</w:t>
      </w:r>
      <w:r>
        <w:rPr>
          <w:rFonts w:ascii="Cambria" w:hAnsi="Cambria" w:cstheme="minorHAnsi"/>
          <w:sz w:val="24"/>
          <w:szCs w:val="24"/>
        </w:rPr>
        <w:t>.</w:t>
      </w:r>
    </w:p>
    <w:p>
      <w:pPr>
        <w:autoSpaceDE w:val="0"/>
        <w:autoSpaceDN w:val="0"/>
        <w:adjustRightInd w:val="0"/>
        <w:jc w:val="center"/>
        <w:rPr>
          <w:rFonts w:ascii="Cambria" w:hAnsi="Cambria" w:cstheme="minorHAnsi"/>
          <w:sz w:val="24"/>
          <w:szCs w:val="24"/>
        </w:rPr>
      </w:pPr>
    </w:p>
    <w:p>
      <w:pPr>
        <w:autoSpaceDE w:val="0"/>
        <w:autoSpaceDN w:val="0"/>
        <w:adjustRightInd w:val="0"/>
        <w:rPr>
          <w:rFonts w:ascii="Cambria" w:hAnsi="Cambria" w:cstheme="minorHAnsi"/>
          <w:b/>
          <w:sz w:val="24"/>
          <w:szCs w:val="24"/>
        </w:rPr>
      </w:pPr>
    </w:p>
    <w:p>
      <w:pPr>
        <w:autoSpaceDE w:val="0"/>
        <w:autoSpaceDN w:val="0"/>
        <w:adjustRightInd w:val="0"/>
        <w:rPr>
          <w:rFonts w:ascii="Cambria" w:hAnsi="Cambria" w:cstheme="minorHAnsi"/>
          <w:b/>
          <w:sz w:val="24"/>
          <w:szCs w:val="24"/>
        </w:rPr>
      </w:pPr>
    </w:p>
    <w:p>
      <w:pPr>
        <w:spacing w:line="276" w:lineRule="auto"/>
        <w:jc w:val="center"/>
        <w:rPr>
          <w:rFonts w:ascii="Cambria" w:hAnsi="Cambria" w:cstheme="minorHAnsi"/>
          <w:b/>
          <w:sz w:val="24"/>
          <w:szCs w:val="24"/>
        </w:rPr>
      </w:pPr>
      <w:r>
        <w:rPr>
          <w:rFonts w:ascii="Cambria" w:hAnsi="Cambria" w:cstheme="minorHAnsi"/>
          <w:b/>
          <w:sz w:val="24"/>
          <w:szCs w:val="24"/>
        </w:rPr>
        <w:t>ANTONIO ROBSON ALVES DOS SANTOS</w:t>
      </w:r>
    </w:p>
    <w:p>
      <w:pPr>
        <w:jc w:val="center"/>
        <w:rPr>
          <w:rFonts w:ascii="Cambria" w:hAnsi="Cambria" w:cstheme="minorHAnsi"/>
          <w:b/>
          <w:sz w:val="24"/>
          <w:szCs w:val="24"/>
        </w:rPr>
      </w:pPr>
      <w:r>
        <w:rPr>
          <w:rFonts w:ascii="Cambria" w:hAnsi="Cambria" w:cstheme="minorHAnsi"/>
          <w:bCs/>
          <w:sz w:val="24"/>
          <w:szCs w:val="24"/>
        </w:rPr>
        <w:t>Agente de Contratação/ Pregoeiro</w:t>
      </w:r>
      <w:r>
        <w:rPr>
          <w:rFonts w:ascii="Cambria" w:hAnsi="Cambria" w:cstheme="minorHAnsi"/>
          <w:bCs/>
          <w:sz w:val="24"/>
          <w:szCs w:val="24"/>
        </w:rPr>
        <w:br w:type="page"/>
      </w:r>
      <w:r>
        <w:rPr>
          <w:rFonts w:ascii="Cambria" w:hAnsi="Cambria" w:cstheme="minorHAnsi"/>
          <w:b/>
          <w:sz w:val="24"/>
          <w:szCs w:val="24"/>
        </w:rPr>
        <w:lastRenderedPageBreak/>
        <w:t>ANEXO I - TERMO DE REFERÊNCIA E SEUS ANEXOS</w:t>
      </w:r>
    </w:p>
    <w:p>
      <w:pPr>
        <w:jc w:val="center"/>
        <w:rPr>
          <w:rFonts w:asciiTheme="majorHAnsi" w:hAnsiTheme="majorHAnsi" w:cstheme="minorHAnsi"/>
          <w:b/>
          <w:sz w:val="24"/>
          <w:szCs w:val="24"/>
        </w:rPr>
      </w:pPr>
    </w:p>
    <w:p>
      <w:pPr>
        <w:pStyle w:val="Ttulo1"/>
        <w:numPr>
          <w:ilvl w:val="0"/>
          <w:numId w:val="0"/>
        </w:numPr>
        <w:shd w:val="clear" w:color="auto" w:fill="F2F2F2" w:themeFill="background1" w:themeFillShade="F2"/>
        <w:tabs>
          <w:tab w:val="clear" w:pos="284"/>
        </w:tabs>
        <w:jc w:val="center"/>
        <w:rPr>
          <w:rFonts w:asciiTheme="majorHAnsi" w:hAnsiTheme="majorHAnsi" w:cstheme="majorHAnsi"/>
          <w:sz w:val="24"/>
          <w:szCs w:val="24"/>
        </w:rPr>
      </w:pPr>
      <w:bookmarkStart w:id="68" w:name="_Toc154043770"/>
      <w:r>
        <w:rPr>
          <w:rFonts w:asciiTheme="majorHAnsi" w:hAnsiTheme="majorHAnsi" w:cstheme="majorHAnsi"/>
          <w:sz w:val="24"/>
          <w:szCs w:val="24"/>
        </w:rPr>
        <w:t>TERMO DE REFERÊNCIA E SEUS ANEXOS</w:t>
      </w:r>
      <w:bookmarkEnd w:id="68"/>
    </w:p>
    <w:p>
      <w:p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F2F2F2" w:themeFill="background1" w:themeFillShade="F2"/>
        <w:tabs>
          <w:tab w:val="left" w:pos="851"/>
          <w:tab w:val="left" w:pos="2525"/>
          <w:tab w:val="center" w:pos="4873"/>
        </w:tabs>
        <w:jc w:val="both"/>
        <w:rPr>
          <w:rFonts w:asciiTheme="majorHAnsi" w:hAnsiTheme="majorHAnsi" w:cstheme="majorHAnsi"/>
          <w:b/>
          <w:sz w:val="24"/>
          <w:szCs w:val="24"/>
        </w:rPr>
      </w:pPr>
      <w:r>
        <w:rPr>
          <w:rFonts w:asciiTheme="majorHAnsi" w:hAnsiTheme="majorHAnsi" w:cstheme="majorHAnsi"/>
          <w:b/>
          <w:sz w:val="24"/>
          <w:szCs w:val="24"/>
        </w:rPr>
        <w:t>1. INTRODUÇÃO</w:t>
      </w:r>
    </w:p>
    <w:p>
      <w:pPr>
        <w:tabs>
          <w:tab w:val="left" w:pos="851"/>
          <w:tab w:val="left" w:pos="2525"/>
          <w:tab w:val="center" w:pos="4873"/>
        </w:tabs>
        <w:jc w:val="both"/>
        <w:rPr>
          <w:rFonts w:asciiTheme="majorHAnsi" w:hAnsiTheme="majorHAnsi" w:cstheme="majorHAnsi"/>
          <w:b/>
          <w:sz w:val="24"/>
          <w:szCs w:val="24"/>
        </w:rPr>
      </w:pPr>
      <w:r>
        <w:rPr>
          <w:rFonts w:asciiTheme="majorHAnsi" w:hAnsiTheme="majorHAnsi" w:cstheme="majorHAnsi"/>
          <w:b/>
          <w:sz w:val="24"/>
          <w:szCs w:val="24"/>
        </w:rPr>
        <w:t xml:space="preserve">1.1. Objetivo </w:t>
      </w:r>
    </w:p>
    <w:p>
      <w:pPr>
        <w:tabs>
          <w:tab w:val="left" w:pos="851"/>
          <w:tab w:val="left" w:pos="2525"/>
          <w:tab w:val="center" w:pos="4873"/>
        </w:tabs>
        <w:jc w:val="both"/>
        <w:rPr>
          <w:rFonts w:asciiTheme="majorHAnsi" w:hAnsiTheme="majorHAnsi" w:cstheme="majorHAnsi"/>
          <w:bCs/>
          <w:sz w:val="24"/>
          <w:szCs w:val="24"/>
        </w:rPr>
      </w:pPr>
      <w:r>
        <w:rPr>
          <w:rFonts w:asciiTheme="majorHAnsi" w:hAnsiTheme="majorHAnsi" w:cstheme="majorHAnsi"/>
          <w:bCs/>
          <w:sz w:val="24"/>
          <w:szCs w:val="24"/>
        </w:rPr>
        <w:t>Este Termo de Referência tem por finalidade fornecer elementos necessários e suficientes, os quais, baseados nos dados constantes dos estudos técnicos preliminares acostados aos autos, servirão para realização de procedimento administrativo, cujas especificações técnicas e demais condições encontram-se detalhados no presente documento, conforme disposto nos arts. 6º, incs. X, XIII e XXIII, 18, 23, 40, 41 e 82, da Lei nº 14.133/2021.</w:t>
      </w:r>
    </w:p>
    <w:p>
      <w:pPr>
        <w:tabs>
          <w:tab w:val="left" w:pos="851"/>
          <w:tab w:val="left" w:pos="2525"/>
          <w:tab w:val="center" w:pos="4873"/>
        </w:tabs>
        <w:jc w:val="both"/>
        <w:rPr>
          <w:rFonts w:asciiTheme="majorHAnsi" w:hAnsiTheme="majorHAnsi" w:cstheme="majorHAnsi"/>
          <w:bCs/>
          <w:sz w:val="24"/>
          <w:szCs w:val="24"/>
        </w:rPr>
      </w:pPr>
      <w:r>
        <w:rPr>
          <w:rFonts w:asciiTheme="majorHAnsi" w:hAnsiTheme="majorHAnsi" w:cstheme="majorHAnsi"/>
          <w:bCs/>
          <w:sz w:val="24"/>
          <w:szCs w:val="24"/>
        </w:rPr>
        <w:t xml:space="preserve">1.2. Integram o presente Termo de Referência como se nele estivessem escritos, os seguintes documentos: </w:t>
      </w:r>
    </w:p>
    <w:p>
      <w:pPr>
        <w:pStyle w:val="PargrafodaLista"/>
        <w:numPr>
          <w:ilvl w:val="0"/>
          <w:numId w:val="30"/>
        </w:numPr>
        <w:tabs>
          <w:tab w:val="left" w:pos="851"/>
          <w:tab w:val="left" w:pos="2525"/>
          <w:tab w:val="center" w:pos="4873"/>
        </w:tabs>
        <w:suppressAutoHyphens w:val="0"/>
        <w:spacing w:after="200" w:line="276" w:lineRule="auto"/>
        <w:jc w:val="both"/>
        <w:rPr>
          <w:rFonts w:asciiTheme="majorHAnsi" w:hAnsiTheme="majorHAnsi" w:cstheme="majorHAnsi"/>
          <w:bCs/>
          <w:sz w:val="24"/>
          <w:szCs w:val="24"/>
        </w:rPr>
      </w:pPr>
      <w:r>
        <w:rPr>
          <w:rFonts w:asciiTheme="majorHAnsi" w:hAnsiTheme="majorHAnsi" w:cstheme="majorHAnsi"/>
          <w:bCs/>
          <w:sz w:val="24"/>
          <w:szCs w:val="24"/>
        </w:rPr>
        <w:t>Definição dos Lotes/Itens e especificações dos produtos;</w:t>
      </w:r>
    </w:p>
    <w:p>
      <w:pPr>
        <w:pStyle w:val="PargrafodaLista"/>
        <w:numPr>
          <w:ilvl w:val="0"/>
          <w:numId w:val="30"/>
        </w:numPr>
        <w:tabs>
          <w:tab w:val="left" w:pos="851"/>
          <w:tab w:val="left" w:pos="2525"/>
          <w:tab w:val="center" w:pos="4873"/>
        </w:tabs>
        <w:suppressAutoHyphens w:val="0"/>
        <w:spacing w:after="200" w:line="276" w:lineRule="auto"/>
        <w:jc w:val="both"/>
        <w:rPr>
          <w:rFonts w:asciiTheme="majorHAnsi" w:hAnsiTheme="majorHAnsi" w:cstheme="majorHAnsi"/>
          <w:bCs/>
          <w:sz w:val="24"/>
          <w:szCs w:val="24"/>
        </w:rPr>
      </w:pPr>
      <w:r>
        <w:rPr>
          <w:rFonts w:asciiTheme="majorHAnsi" w:hAnsiTheme="majorHAnsi" w:cstheme="majorHAnsi"/>
          <w:bCs/>
          <w:sz w:val="24"/>
          <w:szCs w:val="24"/>
        </w:rPr>
        <w:t>Relação dos documentos de habilitação para o procedimento; e</w:t>
      </w:r>
    </w:p>
    <w:p>
      <w:pPr>
        <w:pStyle w:val="PargrafodaLista"/>
        <w:numPr>
          <w:ilvl w:val="0"/>
          <w:numId w:val="30"/>
        </w:numPr>
        <w:tabs>
          <w:tab w:val="left" w:pos="851"/>
          <w:tab w:val="left" w:pos="2525"/>
          <w:tab w:val="center" w:pos="4873"/>
        </w:tabs>
        <w:suppressAutoHyphens w:val="0"/>
        <w:spacing w:after="200" w:line="276" w:lineRule="auto"/>
        <w:jc w:val="both"/>
        <w:rPr>
          <w:rFonts w:asciiTheme="majorHAnsi" w:hAnsiTheme="majorHAnsi" w:cstheme="majorHAnsi"/>
          <w:bCs/>
          <w:sz w:val="24"/>
          <w:szCs w:val="24"/>
        </w:rPr>
      </w:pPr>
      <w:r>
        <w:rPr>
          <w:rFonts w:asciiTheme="majorHAnsi" w:hAnsiTheme="majorHAnsi" w:cstheme="majorHAnsi"/>
          <w:bCs/>
          <w:sz w:val="24"/>
          <w:szCs w:val="24"/>
        </w:rPr>
        <w:t>Estudo Técnico Preliminar – ETP.</w:t>
      </w:r>
    </w:p>
    <w:p>
      <w:pPr>
        <w:pStyle w:val="PargrafodaLista"/>
        <w:tabs>
          <w:tab w:val="left" w:pos="851"/>
          <w:tab w:val="left" w:pos="2525"/>
          <w:tab w:val="center" w:pos="4873"/>
        </w:tabs>
        <w:jc w:val="both"/>
        <w:rPr>
          <w:rFonts w:asciiTheme="majorHAnsi" w:hAnsiTheme="majorHAnsi" w:cstheme="majorHAnsi"/>
          <w:bCs/>
          <w:sz w:val="24"/>
          <w:szCs w:val="24"/>
        </w:rPr>
      </w:pPr>
    </w:p>
    <w:p>
      <w:pPr>
        <w:pStyle w:val="PargrafodaLista"/>
        <w:numPr>
          <w:ilvl w:val="0"/>
          <w:numId w:val="31"/>
        </w:num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F2F2F2" w:themeFill="background1" w:themeFillShade="F2"/>
        <w:tabs>
          <w:tab w:val="left" w:pos="284"/>
        </w:tabs>
        <w:suppressAutoHyphens w:val="0"/>
        <w:spacing w:line="276" w:lineRule="auto"/>
        <w:ind w:left="0" w:firstLine="0"/>
        <w:jc w:val="both"/>
        <w:rPr>
          <w:rFonts w:asciiTheme="majorHAnsi" w:hAnsiTheme="majorHAnsi" w:cstheme="majorHAnsi"/>
          <w:b/>
          <w:sz w:val="24"/>
          <w:szCs w:val="24"/>
        </w:rPr>
      </w:pPr>
      <w:r>
        <w:rPr>
          <w:rFonts w:asciiTheme="majorHAnsi" w:hAnsiTheme="majorHAnsi" w:cstheme="majorHAnsi"/>
          <w:b/>
          <w:sz w:val="24"/>
          <w:szCs w:val="24"/>
        </w:rPr>
        <w:t>INFORMAÇÕES PRIMÁRIAS, EXPOSIÇÃO DE NECESSIDADE, DETALHAMENTO E PLANEJAMENTO DO OBJETO.</w:t>
      </w:r>
    </w:p>
    <w:p>
      <w:pPr>
        <w:pStyle w:val="PargrafodaLista"/>
        <w:numPr>
          <w:ilvl w:val="1"/>
          <w:numId w:val="31"/>
        </w:numPr>
        <w:tabs>
          <w:tab w:val="left" w:pos="426"/>
          <w:tab w:val="left" w:pos="851"/>
          <w:tab w:val="left" w:pos="2525"/>
          <w:tab w:val="center" w:pos="4873"/>
        </w:tabs>
        <w:suppressAutoHyphens w:val="0"/>
        <w:spacing w:line="276" w:lineRule="auto"/>
        <w:ind w:left="0" w:firstLine="0"/>
        <w:jc w:val="both"/>
        <w:rPr>
          <w:rFonts w:asciiTheme="majorHAnsi" w:hAnsiTheme="majorHAnsi" w:cstheme="majorHAnsi"/>
          <w:b/>
          <w:sz w:val="24"/>
          <w:szCs w:val="24"/>
        </w:rPr>
      </w:pPr>
      <w:r>
        <w:rPr>
          <w:rFonts w:asciiTheme="majorHAnsi" w:hAnsiTheme="majorHAnsi" w:cstheme="majorHAnsi"/>
          <w:b/>
          <w:sz w:val="24"/>
          <w:szCs w:val="24"/>
        </w:rPr>
        <w:t>Órgão Gerenciador:</w:t>
      </w:r>
    </w:p>
    <w:p>
      <w:pPr>
        <w:pStyle w:val="PargrafodaLista"/>
        <w:tabs>
          <w:tab w:val="left" w:pos="426"/>
          <w:tab w:val="left" w:pos="851"/>
          <w:tab w:val="left" w:pos="2525"/>
          <w:tab w:val="center" w:pos="4873"/>
        </w:tabs>
        <w:ind w:left="0"/>
        <w:jc w:val="both"/>
        <w:rPr>
          <w:rFonts w:asciiTheme="majorHAnsi" w:hAnsiTheme="majorHAnsi" w:cstheme="majorHAnsi"/>
          <w:sz w:val="24"/>
          <w:szCs w:val="24"/>
        </w:rPr>
      </w:pPr>
      <w:r>
        <w:rPr>
          <w:rFonts w:asciiTheme="majorHAnsi" w:hAnsiTheme="majorHAnsi" w:cstheme="majorHAnsi"/>
          <w:sz w:val="24"/>
          <w:szCs w:val="24"/>
        </w:rPr>
        <w:t>Secretaria de Educação</w:t>
      </w:r>
    </w:p>
    <w:p>
      <w:pPr>
        <w:pStyle w:val="PargrafodaLista"/>
        <w:tabs>
          <w:tab w:val="left" w:pos="426"/>
          <w:tab w:val="left" w:pos="851"/>
          <w:tab w:val="left" w:pos="2525"/>
          <w:tab w:val="center" w:pos="4873"/>
        </w:tabs>
        <w:ind w:left="0"/>
        <w:jc w:val="both"/>
        <w:rPr>
          <w:rFonts w:asciiTheme="majorHAnsi" w:hAnsiTheme="majorHAnsi" w:cstheme="majorHAnsi"/>
          <w:sz w:val="24"/>
          <w:szCs w:val="24"/>
        </w:rPr>
      </w:pPr>
    </w:p>
    <w:p>
      <w:pPr>
        <w:pStyle w:val="PargrafodaLista"/>
        <w:numPr>
          <w:ilvl w:val="1"/>
          <w:numId w:val="31"/>
        </w:numPr>
        <w:tabs>
          <w:tab w:val="left" w:pos="426"/>
          <w:tab w:val="left" w:pos="851"/>
          <w:tab w:val="left" w:pos="2525"/>
          <w:tab w:val="center" w:pos="4873"/>
        </w:tabs>
        <w:suppressAutoHyphens w:val="0"/>
        <w:spacing w:line="276" w:lineRule="auto"/>
        <w:ind w:left="0" w:firstLine="0"/>
        <w:jc w:val="both"/>
        <w:rPr>
          <w:rFonts w:asciiTheme="majorHAnsi" w:hAnsiTheme="majorHAnsi" w:cstheme="majorHAnsi"/>
          <w:b/>
          <w:sz w:val="24"/>
          <w:szCs w:val="24"/>
        </w:rPr>
      </w:pPr>
      <w:r>
        <w:rPr>
          <w:rFonts w:asciiTheme="majorHAnsi" w:hAnsiTheme="majorHAnsi" w:cstheme="majorHAnsi"/>
          <w:b/>
          <w:sz w:val="24"/>
          <w:szCs w:val="24"/>
        </w:rPr>
        <w:t>Objeto:</w:t>
      </w:r>
    </w:p>
    <w:p>
      <w:pPr>
        <w:tabs>
          <w:tab w:val="left" w:pos="851"/>
          <w:tab w:val="left" w:pos="2525"/>
          <w:tab w:val="center" w:pos="4873"/>
        </w:tabs>
        <w:jc w:val="both"/>
        <w:rPr>
          <w:rFonts w:asciiTheme="majorHAnsi" w:hAnsiTheme="majorHAnsi" w:cstheme="majorHAnsi"/>
          <w:sz w:val="24"/>
          <w:szCs w:val="24"/>
        </w:rPr>
      </w:pPr>
      <w:r>
        <w:rPr>
          <w:rFonts w:asciiTheme="majorHAnsi" w:hAnsiTheme="majorHAnsi" w:cstheme="majorHAnsi"/>
          <w:bCs/>
          <w:color w:val="000000"/>
          <w:sz w:val="24"/>
          <w:szCs w:val="24"/>
        </w:rPr>
        <w:t>Contratação de empresa especializada para prestação de serviços de recarga de suprimentos de impressão, manutenção preventiva e corretiva de impressoras, incluindo o fornecimento e substituição de peças, serviços, visando atender às necessidades da Secretaria de Educação do município de Miraíma/CE</w:t>
      </w:r>
      <w:r>
        <w:rPr>
          <w:rFonts w:asciiTheme="majorHAnsi" w:hAnsiTheme="majorHAnsi" w:cstheme="majorHAnsi"/>
          <w:sz w:val="24"/>
          <w:szCs w:val="24"/>
        </w:rPr>
        <w:t xml:space="preserve">. </w:t>
      </w:r>
    </w:p>
    <w:p>
      <w:pPr>
        <w:pStyle w:val="PargrafodaLista"/>
        <w:numPr>
          <w:ilvl w:val="1"/>
          <w:numId w:val="31"/>
        </w:numPr>
        <w:tabs>
          <w:tab w:val="left" w:pos="426"/>
          <w:tab w:val="left" w:pos="851"/>
          <w:tab w:val="left" w:pos="2525"/>
          <w:tab w:val="center" w:pos="4873"/>
        </w:tabs>
        <w:suppressAutoHyphens w:val="0"/>
        <w:spacing w:line="276" w:lineRule="auto"/>
        <w:ind w:left="0" w:firstLine="0"/>
        <w:jc w:val="both"/>
        <w:rPr>
          <w:rFonts w:asciiTheme="majorHAnsi" w:hAnsiTheme="majorHAnsi" w:cstheme="majorHAnsi"/>
          <w:b/>
          <w:sz w:val="24"/>
          <w:szCs w:val="24"/>
        </w:rPr>
      </w:pPr>
      <w:r>
        <w:rPr>
          <w:rFonts w:asciiTheme="majorHAnsi" w:hAnsiTheme="majorHAnsi" w:cstheme="majorHAnsi"/>
          <w:b/>
          <w:sz w:val="24"/>
          <w:szCs w:val="24"/>
        </w:rPr>
        <w:t>Justificativa:</w:t>
      </w:r>
    </w:p>
    <w:p>
      <w:pPr>
        <w:ind w:firstLine="720"/>
        <w:jc w:val="both"/>
        <w:rPr>
          <w:rFonts w:asciiTheme="majorHAnsi" w:eastAsia="Times New Roman" w:hAnsiTheme="majorHAnsi"/>
          <w:sz w:val="24"/>
          <w:szCs w:val="24"/>
        </w:rPr>
      </w:pPr>
      <w:r>
        <w:rPr>
          <w:rFonts w:asciiTheme="majorHAnsi" w:eastAsia="Times New Roman" w:hAnsiTheme="majorHAnsi"/>
          <w:sz w:val="24"/>
          <w:szCs w:val="24"/>
        </w:rPr>
        <w:t>A presente contratação tem por finalidade assegurar a continuidade e a eficiência dos serviços de impressão, digitalização e reprodução de documentos utilizados pela Secretaria Municipal de Educação de Miraíma, essenciais ao desenvolvimento das atividades administrativas e pedagógicas das unidades escolares e setores vinculados à educação municipal.</w:t>
      </w:r>
    </w:p>
    <w:p>
      <w:pPr>
        <w:ind w:firstLine="720"/>
        <w:jc w:val="both"/>
        <w:rPr>
          <w:rFonts w:asciiTheme="majorHAnsi" w:eastAsia="Times New Roman" w:hAnsiTheme="majorHAnsi"/>
          <w:sz w:val="24"/>
          <w:szCs w:val="24"/>
        </w:rPr>
      </w:pPr>
      <w:r>
        <w:rPr>
          <w:rFonts w:asciiTheme="majorHAnsi" w:eastAsia="Times New Roman" w:hAnsiTheme="majorHAnsi"/>
          <w:sz w:val="24"/>
          <w:szCs w:val="24"/>
        </w:rPr>
        <w:t>A Secretaria de Educação realiza diariamente a produção de diversos documentos indispensáveis à execução das políticas públicas educacionais, tais como avaliações, atividades pedagógicas, planejamentos, relatórios, comunicados, formulários, atas, processos administrativos e demais materiais de apoio às atividades escolares. Nesse contexto, o adequado funcionamento do parque de impressoras é fundamental para garantir a continuidade dos serviços prestados à comunidade escolar.</w:t>
      </w:r>
    </w:p>
    <w:p>
      <w:pPr>
        <w:ind w:firstLine="720"/>
        <w:jc w:val="both"/>
        <w:rPr>
          <w:rFonts w:asciiTheme="majorHAnsi" w:eastAsia="Times New Roman" w:hAnsiTheme="majorHAnsi"/>
          <w:sz w:val="24"/>
          <w:szCs w:val="24"/>
        </w:rPr>
      </w:pPr>
      <w:r>
        <w:rPr>
          <w:rFonts w:asciiTheme="majorHAnsi" w:eastAsia="Times New Roman" w:hAnsiTheme="majorHAnsi"/>
          <w:sz w:val="24"/>
          <w:szCs w:val="24"/>
        </w:rPr>
        <w:t>Atualmente, a Administração Municipal dispõe de equipamentos de impressão distribuídos entre escolas e setores administrativos, os quais demandam manutenção preventiva e corretiva periódica, bem como o fornecimento contínuo de suprimentos e a substituição de peças desgastadas pelo uso. A ausência desses serviços pode ocasionar interrupções nas atividades educacionais e administrativas, comprometendo a eficiência da gestão pública e o atendimento aos usuários dos serviços educacionais.</w:t>
      </w:r>
    </w:p>
    <w:p>
      <w:pPr>
        <w:ind w:firstLine="720"/>
        <w:jc w:val="both"/>
        <w:rPr>
          <w:rFonts w:asciiTheme="majorHAnsi" w:eastAsia="Times New Roman" w:hAnsiTheme="majorHAnsi"/>
          <w:sz w:val="24"/>
          <w:szCs w:val="24"/>
        </w:rPr>
      </w:pPr>
      <w:r>
        <w:rPr>
          <w:rFonts w:asciiTheme="majorHAnsi" w:eastAsia="Times New Roman" w:hAnsiTheme="majorHAnsi"/>
          <w:sz w:val="24"/>
          <w:szCs w:val="24"/>
        </w:rPr>
        <w:lastRenderedPageBreak/>
        <w:t>A contratação de empresa especializada mostra-se a solução mais vantajosa para a Administração, uma vez que possibilita a manutenção da operacionalidade dos equipamentos existentes, reduz o tempo de indisponibilidade causado por falhas técnicas, promove maior controle dos custos relacionados à impressão e assegura a utilização de suprimentos compatíveis e adequados às especificações dos equipamentos.</w:t>
      </w:r>
    </w:p>
    <w:p>
      <w:pPr>
        <w:ind w:firstLine="720"/>
        <w:jc w:val="both"/>
        <w:rPr>
          <w:rFonts w:asciiTheme="majorHAnsi" w:eastAsia="Times New Roman" w:hAnsiTheme="majorHAnsi"/>
          <w:sz w:val="24"/>
          <w:szCs w:val="24"/>
        </w:rPr>
      </w:pPr>
      <w:r>
        <w:rPr>
          <w:rFonts w:asciiTheme="majorHAnsi" w:eastAsia="Times New Roman" w:hAnsiTheme="majorHAnsi"/>
          <w:sz w:val="24"/>
          <w:szCs w:val="24"/>
        </w:rPr>
        <w:t>Além disso, a contratação encontra respaldo nos princípios da eficiência, economicidade, continuidade do serviço público e interesse público previstos na Lei Federal nº 14.133/2021.</w:t>
      </w:r>
    </w:p>
    <w:p>
      <w:pPr>
        <w:ind w:firstLine="720"/>
        <w:jc w:val="both"/>
        <w:rPr>
          <w:rFonts w:asciiTheme="majorHAnsi" w:eastAsia="Times New Roman" w:hAnsiTheme="majorHAnsi"/>
          <w:sz w:val="24"/>
          <w:szCs w:val="24"/>
        </w:rPr>
      </w:pPr>
      <w:r>
        <w:rPr>
          <w:rFonts w:asciiTheme="majorHAnsi" w:eastAsia="Times New Roman" w:hAnsiTheme="majorHAnsi"/>
          <w:sz w:val="24"/>
          <w:szCs w:val="24"/>
        </w:rPr>
        <w:t>Dessa forma, a presente contratação, justifica-se pela necessidade de garantir a continuidade, eficiência e qualidade dos serviços educacionais ofertados pelo Município, contribuindo para o adequado funcionamento das unidades escolares e dos setores administrativos da Secretaria Municipal de Educação.</w:t>
      </w:r>
    </w:p>
    <w:p>
      <w:pPr>
        <w:tabs>
          <w:tab w:val="left" w:pos="851"/>
          <w:tab w:val="left" w:pos="2525"/>
          <w:tab w:val="center" w:pos="4873"/>
          <w:tab w:val="left" w:pos="9214"/>
        </w:tabs>
        <w:ind w:right="-1" w:firstLine="567"/>
        <w:jc w:val="both"/>
        <w:rPr>
          <w:rFonts w:asciiTheme="majorHAnsi" w:eastAsia="Times New Roman" w:hAnsiTheme="majorHAnsi" w:cstheme="majorHAnsi"/>
          <w:color w:val="000000"/>
          <w:sz w:val="24"/>
          <w:szCs w:val="24"/>
        </w:rPr>
      </w:pPr>
    </w:p>
    <w:p>
      <w:pPr>
        <w:pStyle w:val="PargrafodaLista"/>
        <w:numPr>
          <w:ilvl w:val="1"/>
          <w:numId w:val="31"/>
        </w:numPr>
        <w:tabs>
          <w:tab w:val="left" w:pos="426"/>
          <w:tab w:val="left" w:pos="851"/>
          <w:tab w:val="left" w:pos="2525"/>
          <w:tab w:val="center" w:pos="4873"/>
        </w:tabs>
        <w:suppressAutoHyphens w:val="0"/>
        <w:ind w:left="0" w:firstLine="0"/>
        <w:jc w:val="both"/>
        <w:rPr>
          <w:rFonts w:asciiTheme="majorHAnsi" w:hAnsiTheme="majorHAnsi" w:cstheme="majorHAnsi"/>
          <w:b/>
          <w:sz w:val="24"/>
          <w:szCs w:val="24"/>
        </w:rPr>
      </w:pPr>
      <w:r>
        <w:rPr>
          <w:rFonts w:asciiTheme="majorHAnsi" w:hAnsiTheme="majorHAnsi" w:cstheme="majorHAnsi"/>
          <w:b/>
          <w:sz w:val="24"/>
          <w:szCs w:val="24"/>
        </w:rPr>
        <w:t>Do Plano de Contratação Anual - PCA:</w:t>
      </w:r>
    </w:p>
    <w:p>
      <w:pPr>
        <w:tabs>
          <w:tab w:val="left" w:pos="851"/>
        </w:tabs>
        <w:jc w:val="both"/>
        <w:rPr>
          <w:rFonts w:asciiTheme="majorHAnsi" w:hAnsiTheme="majorHAnsi" w:cstheme="majorHAnsi"/>
          <w:sz w:val="24"/>
          <w:szCs w:val="24"/>
        </w:rPr>
      </w:pPr>
      <w:r>
        <w:rPr>
          <w:rFonts w:asciiTheme="majorHAnsi" w:hAnsiTheme="majorHAnsi" w:cstheme="majorHAnsi"/>
          <w:sz w:val="24"/>
          <w:szCs w:val="24"/>
        </w:rPr>
        <w:t>Informamos que há previsão no Plano de Contratações Anual (PCA)</w:t>
      </w:r>
      <w:r>
        <w:rPr>
          <w:rFonts w:asciiTheme="majorHAnsi" w:eastAsia="Times New Roman" w:hAnsiTheme="majorHAnsi"/>
          <w:sz w:val="24"/>
          <w:szCs w:val="24"/>
        </w:rPr>
        <w:t xml:space="preserve"> sob o ID nº 712</w:t>
      </w:r>
      <w:r>
        <w:rPr>
          <w:rFonts w:asciiTheme="majorHAnsi" w:hAnsiTheme="majorHAnsi" w:cstheme="majorHAnsi"/>
          <w:sz w:val="24"/>
          <w:szCs w:val="24"/>
        </w:rPr>
        <w:t xml:space="preserve"> para o exercício de 2026 referente ao objeto em questão.</w:t>
      </w:r>
    </w:p>
    <w:p>
      <w:pPr>
        <w:pStyle w:val="PargrafodaLista"/>
        <w:numPr>
          <w:ilvl w:val="1"/>
          <w:numId w:val="31"/>
        </w:numPr>
        <w:tabs>
          <w:tab w:val="left" w:pos="426"/>
          <w:tab w:val="left" w:pos="851"/>
          <w:tab w:val="left" w:pos="2525"/>
          <w:tab w:val="center" w:pos="4873"/>
        </w:tabs>
        <w:suppressAutoHyphens w:val="0"/>
        <w:spacing w:line="276" w:lineRule="auto"/>
        <w:ind w:left="0" w:firstLine="0"/>
        <w:jc w:val="both"/>
        <w:rPr>
          <w:rFonts w:asciiTheme="majorHAnsi" w:hAnsiTheme="majorHAnsi" w:cstheme="majorHAnsi"/>
          <w:b/>
          <w:sz w:val="24"/>
          <w:szCs w:val="24"/>
        </w:rPr>
      </w:pPr>
      <w:bookmarkStart w:id="69" w:name="_Hlk136867496"/>
      <w:r>
        <w:rPr>
          <w:rFonts w:asciiTheme="majorHAnsi" w:hAnsiTheme="majorHAnsi" w:cstheme="majorHAnsi"/>
          <w:b/>
          <w:sz w:val="24"/>
          <w:szCs w:val="24"/>
        </w:rPr>
        <w:t xml:space="preserve">Descrição da solução como um todo </w:t>
      </w:r>
      <w:bookmarkEnd w:id="69"/>
      <w:r>
        <w:rPr>
          <w:rFonts w:asciiTheme="majorHAnsi" w:hAnsiTheme="majorHAnsi" w:cstheme="majorHAnsi"/>
          <w:b/>
          <w:sz w:val="24"/>
          <w:szCs w:val="24"/>
        </w:rPr>
        <w:t>considerado o ciclo de vida do objeto e especificação do produto:</w:t>
      </w:r>
    </w:p>
    <w:p>
      <w:pPr>
        <w:tabs>
          <w:tab w:val="left" w:pos="851"/>
          <w:tab w:val="left" w:pos="2525"/>
          <w:tab w:val="center" w:pos="4873"/>
        </w:tabs>
        <w:jc w:val="both"/>
        <w:rPr>
          <w:rFonts w:asciiTheme="majorHAnsi" w:hAnsiTheme="majorHAnsi" w:cstheme="majorHAnsi"/>
          <w:b/>
          <w:sz w:val="24"/>
          <w:szCs w:val="24"/>
        </w:rPr>
      </w:pPr>
      <w:r>
        <w:rPr>
          <w:rFonts w:asciiTheme="majorHAnsi" w:hAnsiTheme="majorHAnsi" w:cstheme="majorHAnsi"/>
          <w:sz w:val="24"/>
          <w:szCs w:val="24"/>
        </w:rPr>
        <w:t>A descrição da solução como um todo encontra-se pormenorizada em tópico específico constante dos Estudos Técnicos Preliminares - ETP, anexo ao presente procedimento administrativo.</w:t>
      </w:r>
    </w:p>
    <w:p>
      <w:pPr>
        <w:pStyle w:val="PargrafodaLista"/>
        <w:numPr>
          <w:ilvl w:val="0"/>
          <w:numId w:val="31"/>
        </w:num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F2F2F2" w:themeFill="background1" w:themeFillShade="F2"/>
        <w:tabs>
          <w:tab w:val="left" w:pos="567"/>
          <w:tab w:val="center" w:pos="4873"/>
        </w:tabs>
        <w:suppressAutoHyphens w:val="0"/>
        <w:spacing w:after="200" w:line="276" w:lineRule="auto"/>
        <w:ind w:left="0" w:firstLine="0"/>
        <w:jc w:val="both"/>
        <w:rPr>
          <w:rFonts w:asciiTheme="majorHAnsi" w:hAnsiTheme="majorHAnsi" w:cstheme="majorHAnsi"/>
          <w:b/>
          <w:sz w:val="24"/>
          <w:szCs w:val="24"/>
        </w:rPr>
      </w:pPr>
      <w:r>
        <w:rPr>
          <w:rFonts w:asciiTheme="majorHAnsi" w:hAnsiTheme="majorHAnsi" w:cstheme="majorHAnsi"/>
          <w:b/>
          <w:sz w:val="24"/>
          <w:szCs w:val="24"/>
        </w:rPr>
        <w:t>DA CLASSIFICAÇÃO ORÇAMENTÁRIA, DOS RECURSOS FINANCEIROS E ESTIMATIVA DA DESPESA</w:t>
      </w:r>
    </w:p>
    <w:p>
      <w:pPr>
        <w:jc w:val="both"/>
        <w:rPr>
          <w:rFonts w:asciiTheme="majorHAnsi" w:hAnsiTheme="majorHAnsi"/>
          <w:b/>
          <w:bCs/>
          <w:sz w:val="24"/>
          <w:szCs w:val="24"/>
        </w:rPr>
      </w:pPr>
      <w:r>
        <w:rPr>
          <w:rFonts w:asciiTheme="majorHAnsi" w:hAnsiTheme="majorHAnsi"/>
          <w:b/>
          <w:bCs/>
          <w:sz w:val="24"/>
          <w:szCs w:val="24"/>
        </w:rPr>
        <w:t>SECRETARIA DE EDUCAÇÃO</w:t>
      </w:r>
    </w:p>
    <w:p>
      <w:pPr>
        <w:jc w:val="both"/>
        <w:rPr>
          <w:rFonts w:asciiTheme="majorHAnsi" w:hAnsiTheme="majorHAnsi" w:cstheme="minorHAnsi"/>
          <w:b/>
          <w:bCs/>
          <w:sz w:val="24"/>
          <w:szCs w:val="24"/>
        </w:rPr>
      </w:pPr>
      <w:r>
        <w:rPr>
          <w:rFonts w:asciiTheme="majorHAnsi" w:hAnsiTheme="majorHAnsi" w:cstheme="minorHAnsi"/>
          <w:b/>
          <w:bCs/>
          <w:sz w:val="24"/>
          <w:szCs w:val="24"/>
        </w:rPr>
        <w:t>ORGÃO:</w:t>
      </w:r>
      <w:r>
        <w:rPr>
          <w:rFonts w:asciiTheme="majorHAnsi" w:hAnsiTheme="majorHAnsi" w:cstheme="minorHAnsi"/>
          <w:sz w:val="24"/>
          <w:szCs w:val="24"/>
        </w:rPr>
        <w:t xml:space="preserve"> 10 – Secretaria de Educação.</w:t>
      </w:r>
    </w:p>
    <w:p>
      <w:pPr>
        <w:rPr>
          <w:rFonts w:asciiTheme="majorHAnsi" w:hAnsiTheme="majorHAnsi" w:cstheme="minorHAnsi"/>
          <w:sz w:val="24"/>
          <w:szCs w:val="24"/>
        </w:rPr>
      </w:pPr>
      <w:r>
        <w:rPr>
          <w:rFonts w:asciiTheme="majorHAnsi" w:hAnsiTheme="majorHAnsi" w:cstheme="minorHAnsi"/>
          <w:b/>
          <w:bCs/>
          <w:sz w:val="24"/>
          <w:szCs w:val="24"/>
        </w:rPr>
        <w:t xml:space="preserve">UNID. ORÇAMENTÁRIA: </w:t>
      </w:r>
      <w:r>
        <w:rPr>
          <w:rFonts w:asciiTheme="majorHAnsi" w:hAnsiTheme="majorHAnsi" w:cstheme="minorHAnsi"/>
          <w:sz w:val="24"/>
          <w:szCs w:val="24"/>
        </w:rPr>
        <w:t>01 - Secretaria de Educação.</w:t>
      </w:r>
    </w:p>
    <w:p>
      <w:pPr>
        <w:jc w:val="both"/>
        <w:rPr>
          <w:rFonts w:asciiTheme="majorHAnsi" w:hAnsiTheme="majorHAnsi" w:cstheme="minorHAnsi"/>
          <w:bCs/>
          <w:sz w:val="24"/>
          <w:szCs w:val="24"/>
        </w:rPr>
      </w:pPr>
      <w:r>
        <w:rPr>
          <w:rFonts w:asciiTheme="majorHAnsi" w:hAnsiTheme="majorHAnsi" w:cstheme="minorHAnsi"/>
          <w:b/>
          <w:bCs/>
          <w:sz w:val="24"/>
          <w:szCs w:val="24"/>
        </w:rPr>
        <w:t xml:space="preserve">DOTAÇÕES ORÇAMENTÁRIAS: </w:t>
      </w:r>
      <w:r>
        <w:rPr>
          <w:rFonts w:asciiTheme="majorHAnsi" w:eastAsia="Arial" w:hAnsiTheme="majorHAnsi"/>
          <w:sz w:val="24"/>
          <w:szCs w:val="24"/>
        </w:rPr>
        <w:t xml:space="preserve">12.122.0014.2.049 – Funcionamento da </w:t>
      </w:r>
      <w:r>
        <w:rPr>
          <w:rFonts w:asciiTheme="majorHAnsi" w:hAnsiTheme="majorHAnsi"/>
          <w:sz w:val="24"/>
          <w:szCs w:val="24"/>
        </w:rPr>
        <w:t>Secretaria Municipal de Educação</w:t>
      </w:r>
    </w:p>
    <w:p>
      <w:pPr>
        <w:jc w:val="both"/>
        <w:rPr>
          <w:rFonts w:asciiTheme="majorHAnsi" w:hAnsiTheme="majorHAnsi" w:cstheme="minorHAnsi"/>
          <w:bCs/>
          <w:sz w:val="24"/>
          <w:szCs w:val="24"/>
        </w:rPr>
      </w:pPr>
      <w:r>
        <w:rPr>
          <w:rFonts w:asciiTheme="majorHAnsi" w:hAnsiTheme="majorHAnsi" w:cstheme="minorHAnsi"/>
          <w:b/>
          <w:bCs/>
          <w:sz w:val="24"/>
          <w:szCs w:val="24"/>
        </w:rPr>
        <w:t xml:space="preserve">ELEMENTO DESPESA: </w:t>
      </w:r>
      <w:r>
        <w:rPr>
          <w:rFonts w:asciiTheme="majorHAnsi" w:hAnsiTheme="majorHAnsi" w:cstheme="minorHAnsi"/>
          <w:bCs/>
          <w:sz w:val="24"/>
          <w:szCs w:val="24"/>
        </w:rPr>
        <w:t>3.3.90.39.90</w:t>
      </w:r>
      <w:r>
        <w:rPr>
          <w:rFonts w:asciiTheme="majorHAnsi" w:hAnsiTheme="majorHAnsi" w:cstheme="minorHAnsi"/>
          <w:b/>
          <w:bCs/>
          <w:sz w:val="24"/>
          <w:szCs w:val="24"/>
        </w:rPr>
        <w:t xml:space="preserve"> – </w:t>
      </w:r>
      <w:r>
        <w:rPr>
          <w:rFonts w:asciiTheme="majorHAnsi" w:hAnsiTheme="majorHAnsi" w:cstheme="minorHAnsi"/>
          <w:bCs/>
          <w:sz w:val="24"/>
          <w:szCs w:val="24"/>
        </w:rPr>
        <w:t>Outros serviços de terceiros/PJ.</w:t>
      </w:r>
    </w:p>
    <w:p>
      <w:pPr>
        <w:jc w:val="both"/>
        <w:rPr>
          <w:rFonts w:asciiTheme="majorHAnsi" w:hAnsiTheme="majorHAnsi" w:cstheme="minorHAnsi"/>
          <w:bCs/>
          <w:sz w:val="24"/>
          <w:szCs w:val="24"/>
        </w:rPr>
      </w:pPr>
      <w:r>
        <w:rPr>
          <w:rFonts w:asciiTheme="majorHAnsi" w:hAnsiTheme="majorHAnsi" w:cstheme="minorHAnsi"/>
          <w:b/>
          <w:bCs/>
          <w:sz w:val="24"/>
          <w:szCs w:val="24"/>
        </w:rPr>
        <w:t>FONTES</w:t>
      </w:r>
      <w:r>
        <w:rPr>
          <w:rFonts w:asciiTheme="majorHAnsi" w:hAnsiTheme="majorHAnsi" w:cstheme="minorHAnsi"/>
          <w:bCs/>
          <w:sz w:val="24"/>
          <w:szCs w:val="24"/>
        </w:rPr>
        <w:t>: 1500100100.</w:t>
      </w:r>
    </w:p>
    <w:p>
      <w:pPr>
        <w:pStyle w:val="PargrafodaLista"/>
        <w:tabs>
          <w:tab w:val="left" w:pos="426"/>
          <w:tab w:val="left" w:pos="851"/>
          <w:tab w:val="left" w:pos="2525"/>
          <w:tab w:val="center" w:pos="4873"/>
        </w:tabs>
        <w:ind w:left="0"/>
        <w:rPr>
          <w:rFonts w:asciiTheme="majorHAnsi" w:hAnsiTheme="majorHAnsi" w:cstheme="majorHAnsi"/>
          <w:b/>
          <w:sz w:val="24"/>
          <w:szCs w:val="24"/>
        </w:rPr>
      </w:pPr>
    </w:p>
    <w:p>
      <w:pPr>
        <w:pStyle w:val="PargrafodaLista"/>
        <w:numPr>
          <w:ilvl w:val="1"/>
          <w:numId w:val="31"/>
        </w:numPr>
        <w:tabs>
          <w:tab w:val="left" w:pos="426"/>
          <w:tab w:val="left" w:pos="851"/>
          <w:tab w:val="left" w:pos="2525"/>
          <w:tab w:val="center" w:pos="4873"/>
        </w:tabs>
        <w:suppressAutoHyphens w:val="0"/>
        <w:spacing w:line="276" w:lineRule="auto"/>
        <w:ind w:left="0" w:firstLine="0"/>
        <w:jc w:val="both"/>
        <w:rPr>
          <w:rFonts w:asciiTheme="majorHAnsi" w:hAnsiTheme="majorHAnsi" w:cstheme="majorHAnsi"/>
          <w:b/>
          <w:sz w:val="24"/>
          <w:szCs w:val="24"/>
        </w:rPr>
      </w:pPr>
      <w:r>
        <w:rPr>
          <w:rFonts w:asciiTheme="majorHAnsi" w:hAnsiTheme="majorHAnsi" w:cstheme="majorHAnsi"/>
          <w:b/>
          <w:sz w:val="24"/>
          <w:szCs w:val="24"/>
        </w:rPr>
        <w:t>Valor global estimado:</w:t>
      </w:r>
    </w:p>
    <w:p>
      <w:pPr>
        <w:tabs>
          <w:tab w:val="left" w:pos="851"/>
        </w:tabs>
        <w:jc w:val="both"/>
        <w:rPr>
          <w:rFonts w:asciiTheme="majorHAnsi" w:hAnsiTheme="majorHAnsi" w:cstheme="majorHAnsi"/>
          <w:sz w:val="24"/>
          <w:szCs w:val="24"/>
        </w:rPr>
      </w:pPr>
      <w:r>
        <w:rPr>
          <w:rFonts w:asciiTheme="majorHAnsi" w:hAnsiTheme="majorHAnsi" w:cstheme="majorHAnsi"/>
          <w:sz w:val="24"/>
          <w:szCs w:val="24"/>
        </w:rPr>
        <w:t>R$ 404.980,72 (quatrocentos e quatro mil, novecentos e oitenta reais e setenta e dois centavos).</w:t>
      </w:r>
    </w:p>
    <w:p>
      <w:pPr>
        <w:tabs>
          <w:tab w:val="left" w:pos="851"/>
        </w:tabs>
        <w:jc w:val="both"/>
        <w:rPr>
          <w:rFonts w:asciiTheme="majorHAnsi" w:hAnsiTheme="majorHAnsi" w:cstheme="majorHAnsi"/>
          <w:sz w:val="24"/>
          <w:szCs w:val="24"/>
        </w:rPr>
      </w:pPr>
    </w:p>
    <w:p>
      <w:pPr>
        <w:pStyle w:val="PargrafodaLista"/>
        <w:numPr>
          <w:ilvl w:val="1"/>
          <w:numId w:val="31"/>
        </w:numPr>
        <w:tabs>
          <w:tab w:val="left" w:pos="426"/>
          <w:tab w:val="left" w:pos="851"/>
          <w:tab w:val="left" w:pos="2525"/>
          <w:tab w:val="center" w:pos="4873"/>
        </w:tabs>
        <w:suppressAutoHyphens w:val="0"/>
        <w:spacing w:line="276" w:lineRule="auto"/>
        <w:ind w:left="0" w:firstLine="0"/>
        <w:jc w:val="both"/>
        <w:rPr>
          <w:rFonts w:asciiTheme="majorHAnsi" w:hAnsiTheme="majorHAnsi" w:cstheme="majorHAnsi"/>
          <w:b/>
          <w:sz w:val="24"/>
          <w:szCs w:val="24"/>
        </w:rPr>
      </w:pPr>
      <w:r>
        <w:rPr>
          <w:rFonts w:asciiTheme="majorHAnsi" w:hAnsiTheme="majorHAnsi" w:cstheme="majorHAnsi"/>
          <w:b/>
          <w:sz w:val="24"/>
          <w:szCs w:val="24"/>
        </w:rPr>
        <w:t>Justificativa quanto ao sigilo do orçamento:</w:t>
      </w:r>
    </w:p>
    <w:p>
      <w:pPr>
        <w:pStyle w:val="PargrafodaLista"/>
        <w:tabs>
          <w:tab w:val="left" w:pos="426"/>
          <w:tab w:val="left" w:pos="851"/>
          <w:tab w:val="left" w:pos="2525"/>
          <w:tab w:val="center" w:pos="4873"/>
        </w:tabs>
        <w:ind w:left="0"/>
        <w:jc w:val="both"/>
        <w:rPr>
          <w:rFonts w:asciiTheme="majorHAnsi" w:hAnsiTheme="majorHAnsi" w:cstheme="majorHAnsi"/>
          <w:b/>
          <w:sz w:val="24"/>
          <w:szCs w:val="24"/>
        </w:rPr>
      </w:pPr>
    </w:p>
    <w:p>
      <w:pPr>
        <w:tabs>
          <w:tab w:val="left" w:pos="851"/>
        </w:tabs>
        <w:jc w:val="both"/>
        <w:rPr>
          <w:rFonts w:asciiTheme="majorHAnsi" w:hAnsiTheme="majorHAnsi" w:cstheme="majorHAnsi"/>
          <w:bCs/>
          <w:sz w:val="24"/>
          <w:szCs w:val="24"/>
        </w:rPr>
      </w:pPr>
      <w:r>
        <w:rPr>
          <w:rFonts w:asciiTheme="majorHAnsi" w:hAnsiTheme="majorHAnsi" w:cstheme="majorHAnsi"/>
          <w:bCs/>
          <w:sz w:val="24"/>
          <w:szCs w:val="24"/>
        </w:rPr>
        <w:t>Não haverá caráter sigiloso para a presente licitação.</w:t>
      </w:r>
    </w:p>
    <w:p>
      <w:pPr>
        <w:pStyle w:val="PargrafodaLista"/>
        <w:numPr>
          <w:ilvl w:val="1"/>
          <w:numId w:val="31"/>
        </w:numPr>
        <w:tabs>
          <w:tab w:val="left" w:pos="426"/>
          <w:tab w:val="left" w:pos="851"/>
          <w:tab w:val="left" w:pos="2525"/>
          <w:tab w:val="center" w:pos="4873"/>
        </w:tabs>
        <w:suppressAutoHyphens w:val="0"/>
        <w:spacing w:line="276" w:lineRule="auto"/>
        <w:ind w:left="0" w:firstLine="0"/>
        <w:jc w:val="both"/>
        <w:rPr>
          <w:rFonts w:asciiTheme="majorHAnsi" w:hAnsiTheme="majorHAnsi" w:cstheme="majorHAnsi"/>
          <w:b/>
          <w:sz w:val="24"/>
          <w:szCs w:val="24"/>
        </w:rPr>
      </w:pPr>
      <w:r>
        <w:rPr>
          <w:rFonts w:asciiTheme="majorHAnsi" w:hAnsiTheme="majorHAnsi" w:cstheme="majorHAnsi"/>
          <w:b/>
          <w:sz w:val="24"/>
          <w:szCs w:val="24"/>
        </w:rPr>
        <w:t>Metodologia do orçamento:</w:t>
      </w:r>
    </w:p>
    <w:p>
      <w:pPr>
        <w:tabs>
          <w:tab w:val="left" w:pos="851"/>
        </w:tabs>
        <w:jc w:val="both"/>
        <w:rPr>
          <w:rFonts w:asciiTheme="majorHAnsi" w:hAnsiTheme="majorHAnsi" w:cstheme="majorHAnsi"/>
          <w:b/>
          <w:sz w:val="24"/>
          <w:szCs w:val="24"/>
        </w:rPr>
      </w:pPr>
      <w:r>
        <w:rPr>
          <w:rFonts w:asciiTheme="majorHAnsi" w:hAnsiTheme="majorHAnsi" w:cstheme="majorHAnsi"/>
          <w:sz w:val="24"/>
          <w:szCs w:val="24"/>
        </w:rPr>
        <w:t>Orçamento baseado em pesquisas de preços realizadas pelo Setor de Compras do município, conforme Mapa comparativo de preços em anexo aos autos.</w:t>
      </w:r>
    </w:p>
    <w:p>
      <w:pPr>
        <w:pStyle w:val="PargrafodaLista"/>
        <w:numPr>
          <w:ilvl w:val="0"/>
          <w:numId w:val="31"/>
        </w:num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F2F2F2" w:themeFill="background1" w:themeFillShade="F2"/>
        <w:tabs>
          <w:tab w:val="left" w:pos="284"/>
          <w:tab w:val="left" w:pos="2525"/>
          <w:tab w:val="center" w:pos="4873"/>
        </w:tabs>
        <w:suppressAutoHyphens w:val="0"/>
        <w:spacing w:after="200" w:line="276" w:lineRule="auto"/>
        <w:ind w:left="0" w:firstLine="0"/>
        <w:jc w:val="both"/>
        <w:rPr>
          <w:rFonts w:asciiTheme="majorHAnsi" w:hAnsiTheme="majorHAnsi" w:cstheme="majorHAnsi"/>
          <w:b/>
          <w:sz w:val="24"/>
          <w:szCs w:val="24"/>
        </w:rPr>
      </w:pPr>
      <w:r>
        <w:rPr>
          <w:rFonts w:asciiTheme="majorHAnsi" w:hAnsiTheme="majorHAnsi" w:cstheme="majorHAnsi"/>
          <w:b/>
          <w:sz w:val="24"/>
          <w:szCs w:val="24"/>
        </w:rPr>
        <w:t>REQUISITOS GERAIS DA CONTRATAÇÃO.</w:t>
      </w:r>
    </w:p>
    <w:p>
      <w:pPr>
        <w:pStyle w:val="PargrafodaLista"/>
        <w:numPr>
          <w:ilvl w:val="1"/>
          <w:numId w:val="31"/>
        </w:numPr>
        <w:tabs>
          <w:tab w:val="left" w:pos="426"/>
          <w:tab w:val="left" w:pos="851"/>
          <w:tab w:val="left" w:pos="2525"/>
          <w:tab w:val="center" w:pos="4873"/>
        </w:tabs>
        <w:suppressAutoHyphens w:val="0"/>
        <w:spacing w:line="276" w:lineRule="auto"/>
        <w:ind w:left="0" w:firstLine="0"/>
        <w:jc w:val="both"/>
        <w:rPr>
          <w:rFonts w:asciiTheme="majorHAnsi" w:hAnsiTheme="majorHAnsi" w:cstheme="majorHAnsi"/>
          <w:b/>
          <w:sz w:val="24"/>
          <w:szCs w:val="24"/>
        </w:rPr>
      </w:pPr>
      <w:r>
        <w:rPr>
          <w:rFonts w:asciiTheme="majorHAnsi" w:hAnsiTheme="majorHAnsi" w:cstheme="majorHAnsi"/>
          <w:b/>
          <w:sz w:val="24"/>
          <w:szCs w:val="24"/>
        </w:rPr>
        <w:t>Sustentabilidade:</w:t>
      </w:r>
    </w:p>
    <w:p>
      <w:pPr>
        <w:pStyle w:val="PargrafodaLista"/>
        <w:numPr>
          <w:ilvl w:val="2"/>
          <w:numId w:val="31"/>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bookmarkStart w:id="70" w:name="_Hlk155790712"/>
      <w:r>
        <w:rPr>
          <w:rFonts w:asciiTheme="majorHAnsi" w:hAnsiTheme="majorHAnsi" w:cstheme="majorHAnsi"/>
          <w:bCs/>
          <w:sz w:val="24"/>
          <w:szCs w:val="24"/>
        </w:rPr>
        <w:lastRenderedPageBreak/>
        <w:t>Os critérios de sustentabilidade serão aqueles que, eventualmente, estarão descritos na descrição da especificação dos itens do objeto, que se baseiam no Guia Nacional de Contratações Sustentáveis. No mais, o município ainda não dispõe de norma própria correspondente a tal temática, limitando-se tais exigências a construção das especificações, quando for o caso e ou as rotinas de fiscalização e padrões de desempenho, as quais analisarão tais requisitos, quando exigidos.</w:t>
      </w:r>
    </w:p>
    <w:bookmarkEnd w:id="70"/>
    <w:p>
      <w:pPr>
        <w:pStyle w:val="PargrafodaLista"/>
        <w:numPr>
          <w:ilvl w:val="1"/>
          <w:numId w:val="31"/>
        </w:numPr>
        <w:tabs>
          <w:tab w:val="left" w:pos="426"/>
          <w:tab w:val="left" w:pos="851"/>
          <w:tab w:val="left" w:pos="2525"/>
          <w:tab w:val="center" w:pos="4873"/>
        </w:tabs>
        <w:suppressAutoHyphens w:val="0"/>
        <w:spacing w:line="276" w:lineRule="auto"/>
        <w:ind w:left="0" w:firstLine="0"/>
        <w:jc w:val="both"/>
        <w:rPr>
          <w:rFonts w:asciiTheme="majorHAnsi" w:hAnsiTheme="majorHAnsi" w:cstheme="majorHAnsi"/>
          <w:b/>
          <w:sz w:val="24"/>
          <w:szCs w:val="24"/>
        </w:rPr>
      </w:pPr>
      <w:r>
        <w:rPr>
          <w:rFonts w:asciiTheme="majorHAnsi" w:hAnsiTheme="majorHAnsi" w:cstheme="majorHAnsi"/>
          <w:b/>
          <w:sz w:val="24"/>
          <w:szCs w:val="24"/>
        </w:rPr>
        <w:t>Indicação de marcas ou modelo:</w:t>
      </w:r>
    </w:p>
    <w:p>
      <w:pPr>
        <w:pStyle w:val="PargrafodaLista"/>
        <w:numPr>
          <w:ilvl w:val="2"/>
          <w:numId w:val="31"/>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Não se aplica.</w:t>
      </w:r>
    </w:p>
    <w:p>
      <w:pPr>
        <w:pStyle w:val="PargrafodaLista"/>
        <w:numPr>
          <w:ilvl w:val="1"/>
          <w:numId w:val="31"/>
        </w:numPr>
        <w:tabs>
          <w:tab w:val="left" w:pos="426"/>
          <w:tab w:val="left" w:pos="851"/>
          <w:tab w:val="left" w:pos="2525"/>
          <w:tab w:val="center" w:pos="4873"/>
        </w:tabs>
        <w:suppressAutoHyphens w:val="0"/>
        <w:spacing w:line="276" w:lineRule="auto"/>
        <w:ind w:left="0" w:firstLine="0"/>
        <w:jc w:val="both"/>
        <w:rPr>
          <w:rFonts w:asciiTheme="majorHAnsi" w:hAnsiTheme="majorHAnsi" w:cstheme="majorHAnsi"/>
          <w:b/>
          <w:sz w:val="24"/>
          <w:szCs w:val="24"/>
        </w:rPr>
      </w:pPr>
      <w:r>
        <w:rPr>
          <w:rFonts w:asciiTheme="majorHAnsi" w:hAnsiTheme="majorHAnsi" w:cstheme="majorHAnsi"/>
          <w:b/>
          <w:sz w:val="24"/>
          <w:szCs w:val="24"/>
        </w:rPr>
        <w:t xml:space="preserve">Da vedação de utilização de marca/produto </w:t>
      </w:r>
    </w:p>
    <w:p>
      <w:pPr>
        <w:pStyle w:val="PargrafodaLista"/>
        <w:numPr>
          <w:ilvl w:val="2"/>
          <w:numId w:val="31"/>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Não se aplica.</w:t>
      </w:r>
    </w:p>
    <w:p>
      <w:pPr>
        <w:pStyle w:val="PargrafodaLista"/>
        <w:numPr>
          <w:ilvl w:val="1"/>
          <w:numId w:val="31"/>
        </w:numPr>
        <w:tabs>
          <w:tab w:val="left" w:pos="426"/>
          <w:tab w:val="left" w:pos="851"/>
          <w:tab w:val="left" w:pos="2525"/>
          <w:tab w:val="center" w:pos="4873"/>
        </w:tabs>
        <w:suppressAutoHyphens w:val="0"/>
        <w:spacing w:line="276" w:lineRule="auto"/>
        <w:ind w:left="0" w:firstLine="0"/>
        <w:jc w:val="both"/>
        <w:rPr>
          <w:rFonts w:asciiTheme="majorHAnsi" w:hAnsiTheme="majorHAnsi"/>
          <w:b/>
          <w:sz w:val="24"/>
          <w:szCs w:val="24"/>
        </w:rPr>
      </w:pPr>
      <w:r>
        <w:rPr>
          <w:rFonts w:asciiTheme="majorHAnsi" w:hAnsiTheme="majorHAnsi"/>
          <w:b/>
          <w:sz w:val="24"/>
          <w:szCs w:val="24"/>
        </w:rPr>
        <w:t>Garantia da contratação:</w:t>
      </w:r>
    </w:p>
    <w:p>
      <w:pPr>
        <w:pStyle w:val="PargrafodaLista"/>
        <w:numPr>
          <w:ilvl w:val="2"/>
          <w:numId w:val="31"/>
        </w:numPr>
        <w:tabs>
          <w:tab w:val="left" w:pos="567"/>
          <w:tab w:val="left" w:pos="851"/>
          <w:tab w:val="left" w:pos="2525"/>
          <w:tab w:val="center" w:pos="4873"/>
        </w:tabs>
        <w:suppressAutoHyphens w:val="0"/>
        <w:spacing w:line="276" w:lineRule="auto"/>
        <w:ind w:left="0" w:firstLine="0"/>
        <w:jc w:val="both"/>
        <w:rPr>
          <w:rFonts w:asciiTheme="majorHAnsi" w:hAnsiTheme="majorHAnsi"/>
          <w:bCs/>
          <w:sz w:val="24"/>
          <w:szCs w:val="24"/>
        </w:rPr>
      </w:pPr>
      <w:r>
        <w:rPr>
          <w:rFonts w:asciiTheme="majorHAnsi" w:hAnsiTheme="majorHAnsi"/>
          <w:bCs/>
          <w:sz w:val="24"/>
          <w:szCs w:val="24"/>
        </w:rPr>
        <w:t>Não haverá exigência da garantia da contratação consoante os dispostos nos artigos 96 e seguintes da Lei nº 14.133, de 2021.</w:t>
      </w:r>
    </w:p>
    <w:p>
      <w:pPr>
        <w:pStyle w:val="PargrafodaLista"/>
        <w:numPr>
          <w:ilvl w:val="1"/>
          <w:numId w:val="31"/>
        </w:numPr>
        <w:tabs>
          <w:tab w:val="left" w:pos="426"/>
          <w:tab w:val="left" w:pos="851"/>
          <w:tab w:val="left" w:pos="2525"/>
          <w:tab w:val="center" w:pos="4873"/>
        </w:tabs>
        <w:suppressAutoHyphens w:val="0"/>
        <w:ind w:left="0" w:firstLine="0"/>
        <w:jc w:val="both"/>
        <w:rPr>
          <w:rFonts w:asciiTheme="majorHAnsi" w:hAnsiTheme="majorHAnsi" w:cstheme="majorHAnsi"/>
          <w:b/>
          <w:sz w:val="24"/>
          <w:szCs w:val="24"/>
        </w:rPr>
      </w:pPr>
      <w:r>
        <w:rPr>
          <w:rFonts w:asciiTheme="majorHAnsi" w:hAnsiTheme="majorHAnsi" w:cstheme="majorHAnsi"/>
          <w:b/>
          <w:sz w:val="24"/>
          <w:szCs w:val="24"/>
        </w:rPr>
        <w:t>Da subcontratação:</w:t>
      </w:r>
    </w:p>
    <w:p>
      <w:pPr>
        <w:pStyle w:val="PargrafodaLista"/>
        <w:numPr>
          <w:ilvl w:val="2"/>
          <w:numId w:val="31"/>
        </w:numPr>
        <w:tabs>
          <w:tab w:val="left" w:pos="567"/>
          <w:tab w:val="left" w:pos="851"/>
          <w:tab w:val="left" w:pos="2525"/>
          <w:tab w:val="center" w:pos="4873"/>
        </w:tabs>
        <w:suppressAutoHyphens w:val="0"/>
        <w:ind w:left="0" w:firstLine="0"/>
        <w:jc w:val="both"/>
        <w:rPr>
          <w:rFonts w:asciiTheme="majorHAnsi" w:hAnsiTheme="majorHAnsi" w:cstheme="majorHAnsi"/>
          <w:bCs/>
          <w:sz w:val="24"/>
          <w:szCs w:val="24"/>
        </w:rPr>
      </w:pPr>
      <w:r>
        <w:rPr>
          <w:rFonts w:asciiTheme="majorHAnsi" w:hAnsiTheme="majorHAnsi" w:cstheme="majorHAnsi"/>
          <w:bCs/>
          <w:sz w:val="24"/>
          <w:szCs w:val="24"/>
        </w:rPr>
        <w:t>Não é admitida a subcontratação do objeto contratual, conforme previsão constante do Estudo Técnico Preliminar - ETP.</w:t>
      </w:r>
    </w:p>
    <w:p>
      <w:pPr>
        <w:pStyle w:val="PargrafodaLista"/>
        <w:tabs>
          <w:tab w:val="left" w:pos="567"/>
          <w:tab w:val="left" w:pos="851"/>
          <w:tab w:val="left" w:pos="2525"/>
          <w:tab w:val="center" w:pos="4873"/>
        </w:tabs>
        <w:ind w:left="0"/>
        <w:jc w:val="both"/>
        <w:rPr>
          <w:rFonts w:asciiTheme="majorHAnsi" w:hAnsiTheme="majorHAnsi" w:cstheme="majorHAnsi"/>
          <w:bCs/>
          <w:sz w:val="24"/>
          <w:szCs w:val="24"/>
          <w:highlight w:val="yellow"/>
        </w:rPr>
      </w:pPr>
    </w:p>
    <w:p>
      <w:pPr>
        <w:pStyle w:val="PargrafodaLista"/>
        <w:tabs>
          <w:tab w:val="left" w:pos="567"/>
          <w:tab w:val="left" w:pos="851"/>
          <w:tab w:val="left" w:pos="2525"/>
          <w:tab w:val="center" w:pos="4873"/>
        </w:tabs>
        <w:ind w:left="0"/>
        <w:jc w:val="both"/>
        <w:rPr>
          <w:rFonts w:asciiTheme="majorHAnsi" w:hAnsiTheme="majorHAnsi" w:cstheme="majorHAnsi"/>
          <w:bCs/>
          <w:sz w:val="24"/>
          <w:szCs w:val="24"/>
        </w:rPr>
      </w:pPr>
    </w:p>
    <w:p>
      <w:pPr>
        <w:pStyle w:val="PargrafodaLista"/>
        <w:numPr>
          <w:ilvl w:val="0"/>
          <w:numId w:val="31"/>
        </w:num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F2F2F2" w:themeFill="background1" w:themeFillShade="F2"/>
        <w:tabs>
          <w:tab w:val="left" w:pos="284"/>
          <w:tab w:val="left" w:pos="2525"/>
          <w:tab w:val="center" w:pos="4873"/>
        </w:tabs>
        <w:suppressAutoHyphens w:val="0"/>
        <w:spacing w:after="200" w:line="276" w:lineRule="auto"/>
        <w:ind w:left="0" w:firstLine="0"/>
        <w:jc w:val="both"/>
        <w:rPr>
          <w:rFonts w:asciiTheme="majorHAnsi" w:hAnsiTheme="majorHAnsi" w:cstheme="majorHAnsi"/>
          <w:b/>
          <w:sz w:val="24"/>
          <w:szCs w:val="24"/>
        </w:rPr>
      </w:pPr>
      <w:r>
        <w:rPr>
          <w:rFonts w:asciiTheme="majorHAnsi" w:hAnsiTheme="majorHAnsi" w:cstheme="majorHAnsi"/>
          <w:b/>
          <w:sz w:val="24"/>
          <w:szCs w:val="24"/>
        </w:rPr>
        <w:t>DAS CONDIÇÕES E PRAZOS DE ENTREGA/FORNECIMENTO</w:t>
      </w:r>
    </w:p>
    <w:p>
      <w:pPr>
        <w:pStyle w:val="PargrafodaLista"/>
        <w:numPr>
          <w:ilvl w:val="1"/>
          <w:numId w:val="31"/>
        </w:numPr>
        <w:tabs>
          <w:tab w:val="left" w:pos="284"/>
          <w:tab w:val="left" w:pos="993"/>
          <w:tab w:val="center" w:pos="4873"/>
        </w:tabs>
        <w:suppressAutoHyphens w:val="0"/>
        <w:spacing w:line="276" w:lineRule="auto"/>
        <w:ind w:left="0" w:firstLine="0"/>
        <w:jc w:val="both"/>
        <w:rPr>
          <w:rFonts w:asciiTheme="majorHAnsi" w:hAnsiTheme="majorHAnsi"/>
          <w:b/>
          <w:sz w:val="24"/>
          <w:szCs w:val="24"/>
        </w:rPr>
      </w:pPr>
      <w:r>
        <w:rPr>
          <w:rFonts w:asciiTheme="majorHAnsi" w:hAnsiTheme="majorHAnsi"/>
          <w:b/>
          <w:sz w:val="24"/>
          <w:szCs w:val="24"/>
        </w:rPr>
        <w:t>Local da prestação dos serviços.</w:t>
      </w:r>
    </w:p>
    <w:p>
      <w:pPr>
        <w:jc w:val="both"/>
        <w:rPr>
          <w:rFonts w:asciiTheme="majorHAnsi" w:hAnsiTheme="majorHAnsi"/>
          <w:sz w:val="24"/>
          <w:szCs w:val="24"/>
        </w:rPr>
      </w:pPr>
      <w:r>
        <w:rPr>
          <w:rFonts w:asciiTheme="majorHAnsi" w:hAnsiTheme="majorHAnsi"/>
          <w:b/>
          <w:sz w:val="24"/>
          <w:szCs w:val="24"/>
        </w:rPr>
        <w:t>5.1.1.</w:t>
      </w:r>
      <w:r>
        <w:rPr>
          <w:rFonts w:asciiTheme="majorHAnsi" w:hAnsiTheme="majorHAnsi"/>
          <w:sz w:val="24"/>
          <w:szCs w:val="24"/>
        </w:rPr>
        <w:t xml:space="preserve"> O contrato produzirá seus jurídicos e legais efeitos a partir da data de sua assinatura e vigorará 12 (doze) meses, prorrogável nas formas da Lei n° 14.133, de 2021.</w:t>
      </w:r>
    </w:p>
    <w:p>
      <w:pPr>
        <w:pStyle w:val="PargrafodaLista"/>
        <w:numPr>
          <w:ilvl w:val="1"/>
          <w:numId w:val="31"/>
        </w:numPr>
        <w:tabs>
          <w:tab w:val="left" w:pos="426"/>
          <w:tab w:val="left" w:pos="851"/>
          <w:tab w:val="left" w:pos="2525"/>
          <w:tab w:val="center" w:pos="4873"/>
        </w:tabs>
        <w:suppressAutoHyphens w:val="0"/>
        <w:spacing w:line="276" w:lineRule="auto"/>
        <w:ind w:left="0" w:firstLine="0"/>
        <w:jc w:val="both"/>
        <w:rPr>
          <w:rFonts w:asciiTheme="majorHAnsi" w:hAnsiTheme="majorHAnsi" w:cstheme="majorHAnsi"/>
          <w:b/>
          <w:sz w:val="24"/>
          <w:szCs w:val="24"/>
        </w:rPr>
      </w:pPr>
      <w:r>
        <w:rPr>
          <w:rFonts w:asciiTheme="majorHAnsi" w:hAnsiTheme="majorHAnsi" w:cstheme="majorHAnsi"/>
          <w:b/>
          <w:sz w:val="24"/>
          <w:szCs w:val="24"/>
        </w:rPr>
        <w:t>Forma de entrega, acompanhamento e fiscalização da entrega</w:t>
      </w:r>
    </w:p>
    <w:p>
      <w:pPr>
        <w:pStyle w:val="PargrafodaLista"/>
        <w:numPr>
          <w:ilvl w:val="2"/>
          <w:numId w:val="31"/>
        </w:numPr>
        <w:tabs>
          <w:tab w:val="left" w:pos="567"/>
          <w:tab w:val="left" w:pos="851"/>
          <w:tab w:val="left" w:pos="1701"/>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sz w:val="24"/>
          <w:szCs w:val="24"/>
        </w:rPr>
        <w:t>A execução dos serviços e fornecimento das peças e suprimentos</w:t>
      </w:r>
      <w:r>
        <w:rPr>
          <w:rFonts w:asciiTheme="majorHAnsi" w:hAnsiTheme="majorHAnsi" w:cstheme="majorHAnsi"/>
          <w:bCs/>
          <w:sz w:val="24"/>
          <w:szCs w:val="24"/>
        </w:rPr>
        <w:t xml:space="preserve"> licitados poderá ser feito de forma fracionada ou em sua totalidade, de acordo com a necessidade do órgão interessado durante o prazo de contratação, mediante a expedição de periódicas de </w:t>
      </w:r>
      <w:r>
        <w:rPr>
          <w:rFonts w:asciiTheme="majorHAnsi" w:hAnsiTheme="majorHAnsi" w:cstheme="majorHAnsi"/>
          <w:b/>
          <w:sz w:val="24"/>
          <w:szCs w:val="24"/>
        </w:rPr>
        <w:t>ORDEM DE COMPRA/AUTORIZAÇÃO DE FORNECIMENTO/NOTA DE EMPENHO</w:t>
      </w:r>
      <w:r>
        <w:rPr>
          <w:rFonts w:asciiTheme="majorHAnsi" w:hAnsiTheme="majorHAnsi" w:cstheme="majorHAnsi"/>
          <w:bCs/>
          <w:sz w:val="24"/>
          <w:szCs w:val="24"/>
        </w:rPr>
        <w:t>, pelo órgão demandante, constando a relação e a quantidade de itens a serem entregues.</w:t>
      </w:r>
    </w:p>
    <w:p>
      <w:pPr>
        <w:pStyle w:val="PargrafodaLista"/>
        <w:numPr>
          <w:ilvl w:val="2"/>
          <w:numId w:val="31"/>
        </w:numPr>
        <w:tabs>
          <w:tab w:val="left" w:pos="567"/>
          <w:tab w:val="left" w:pos="851"/>
          <w:tab w:val="left" w:pos="1701"/>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A entrega dos itens será acompanhada e fiscalizada por servidor do órgão demandante, o qual deverá atestar os documentos da despesa, quando comprovada a fiel e correta entrega para fins de pagamento.</w:t>
      </w:r>
    </w:p>
    <w:p>
      <w:pPr>
        <w:pStyle w:val="PargrafodaLista"/>
        <w:numPr>
          <w:ilvl w:val="2"/>
          <w:numId w:val="31"/>
        </w:numPr>
        <w:tabs>
          <w:tab w:val="left" w:pos="567"/>
          <w:tab w:val="left" w:pos="851"/>
          <w:tab w:val="left" w:pos="1701"/>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A presença da fiscalização do órgão demandante não elide nem diminui a responsabilidade da empresa contratada.</w:t>
      </w:r>
    </w:p>
    <w:p>
      <w:pPr>
        <w:pStyle w:val="PargrafodaLista"/>
        <w:numPr>
          <w:ilvl w:val="2"/>
          <w:numId w:val="31"/>
        </w:numPr>
        <w:tabs>
          <w:tab w:val="left" w:pos="567"/>
          <w:tab w:val="left" w:pos="851"/>
          <w:tab w:val="left" w:pos="1701"/>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Caberá ao servidor designado rejeitar totalmente ou em parte, qualquer bem que não esteja de acordo com as exigências, bem como, determinar prazo para substituição do item eventualmente fora de especificação.</w:t>
      </w:r>
    </w:p>
    <w:p>
      <w:pPr>
        <w:pStyle w:val="PargrafodaLista"/>
        <w:numPr>
          <w:ilvl w:val="1"/>
          <w:numId w:val="31"/>
        </w:numPr>
        <w:tabs>
          <w:tab w:val="left" w:pos="426"/>
          <w:tab w:val="left" w:pos="851"/>
          <w:tab w:val="left" w:pos="2525"/>
          <w:tab w:val="center" w:pos="4873"/>
        </w:tabs>
        <w:suppressAutoHyphens w:val="0"/>
        <w:spacing w:line="276" w:lineRule="auto"/>
        <w:ind w:left="0" w:firstLine="0"/>
        <w:jc w:val="both"/>
        <w:rPr>
          <w:rFonts w:asciiTheme="majorHAnsi" w:hAnsiTheme="majorHAnsi" w:cstheme="majorHAnsi"/>
          <w:b/>
          <w:sz w:val="24"/>
          <w:szCs w:val="24"/>
        </w:rPr>
      </w:pPr>
      <w:r>
        <w:rPr>
          <w:rFonts w:asciiTheme="majorHAnsi" w:hAnsiTheme="majorHAnsi" w:cstheme="majorHAnsi"/>
          <w:b/>
          <w:sz w:val="24"/>
          <w:szCs w:val="24"/>
        </w:rPr>
        <w:t>Prazo para entrega</w:t>
      </w:r>
    </w:p>
    <w:p>
      <w:pPr>
        <w:suppressAutoHyphens/>
        <w:jc w:val="both"/>
        <w:rPr>
          <w:rFonts w:asciiTheme="majorHAnsi" w:hAnsiTheme="majorHAnsi"/>
          <w:bCs/>
          <w:sz w:val="24"/>
          <w:szCs w:val="24"/>
          <w:lang w:eastAsia="zh-CN"/>
        </w:rPr>
      </w:pPr>
      <w:bookmarkStart w:id="71" w:name="_Hlk155791647"/>
      <w:r>
        <w:rPr>
          <w:rFonts w:asciiTheme="majorHAnsi" w:hAnsiTheme="majorHAnsi"/>
          <w:bCs/>
          <w:sz w:val="24"/>
          <w:szCs w:val="24"/>
          <w:lang w:eastAsia="zh-CN"/>
        </w:rPr>
        <w:t xml:space="preserve">5.3.1. Os serviços de manutenção preventiva e corretiva deverão ser concluídos no prazo máximo de até 48 (quarenta e oito) horas, ressalvado a fixação de prazo menor, a critério da Administração, à época devida, observada a complexidade do serviço a ser executado, contado </w:t>
      </w:r>
      <w:r>
        <w:rPr>
          <w:rFonts w:asciiTheme="majorHAnsi" w:hAnsiTheme="majorHAnsi"/>
          <w:bCs/>
          <w:sz w:val="24"/>
          <w:szCs w:val="24"/>
          <w:lang w:eastAsia="zh-CN"/>
        </w:rPr>
        <w:lastRenderedPageBreak/>
        <w:t>da data de recebimento da respectiva Ordem de Serviço ou, na hipótese de necessidade de prazo maior, o mesmo deverá ser solicitado a Secretaria Gestora, que analisará a solicitação.</w:t>
      </w:r>
    </w:p>
    <w:p>
      <w:pPr>
        <w:suppressAutoHyphens/>
        <w:jc w:val="both"/>
        <w:rPr>
          <w:rFonts w:asciiTheme="majorHAnsi" w:hAnsiTheme="majorHAnsi"/>
          <w:bCs/>
          <w:sz w:val="24"/>
          <w:szCs w:val="24"/>
          <w:lang w:eastAsia="zh-CN"/>
        </w:rPr>
      </w:pPr>
      <w:r>
        <w:rPr>
          <w:rFonts w:asciiTheme="majorHAnsi" w:hAnsiTheme="majorHAnsi"/>
          <w:bCs/>
          <w:sz w:val="24"/>
          <w:szCs w:val="24"/>
          <w:lang w:eastAsia="zh-CN"/>
        </w:rPr>
        <w:t>5.3.2. Os serviços de manutenção preventiva e corretiva deverão ser prestados em horário comercial, de segunda a sexta, na sede do município de Miraíma ou nas dependências da CONTRATADA para os serviços impossibilitados de serem realizados no município de Miraíma, fincando a cargo da contratada os custos com o deslocamento do veículo até a sede da contratada.</w:t>
      </w:r>
    </w:p>
    <w:p>
      <w:pPr>
        <w:pStyle w:val="PargrafodaLista"/>
        <w:numPr>
          <w:ilvl w:val="2"/>
          <w:numId w:val="57"/>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bCs/>
          <w:sz w:val="24"/>
          <w:szCs w:val="24"/>
          <w:lang w:eastAsia="zh-CN"/>
        </w:rPr>
        <w:t xml:space="preserve"> As recargas deverão ser entregues no prazo máximo de até 48 (quarenta e oito) horas, contados da data de recebimento da respectiva Ordem de compra ou, na hipótese de necessidade de prazo maior, o mesmo deverá ser solicitado a Secretaria Gestora, que analisará a solicitação</w:t>
      </w:r>
      <w:r>
        <w:rPr>
          <w:rFonts w:asciiTheme="majorHAnsi" w:hAnsiTheme="majorHAnsi" w:cstheme="majorHAnsi"/>
          <w:sz w:val="24"/>
          <w:szCs w:val="24"/>
        </w:rPr>
        <w:t>.</w:t>
      </w:r>
    </w:p>
    <w:p>
      <w:pPr>
        <w:pStyle w:val="PargrafodaLista"/>
        <w:tabs>
          <w:tab w:val="left" w:pos="567"/>
          <w:tab w:val="left" w:pos="851"/>
          <w:tab w:val="left" w:pos="2525"/>
          <w:tab w:val="center" w:pos="4873"/>
        </w:tabs>
        <w:ind w:left="0"/>
        <w:jc w:val="both"/>
        <w:rPr>
          <w:rFonts w:asciiTheme="majorHAnsi" w:hAnsiTheme="majorHAnsi" w:cstheme="majorHAnsi"/>
          <w:bCs/>
          <w:sz w:val="24"/>
          <w:szCs w:val="24"/>
        </w:rPr>
      </w:pPr>
    </w:p>
    <w:bookmarkEnd w:id="71"/>
    <w:p>
      <w:pPr>
        <w:pStyle w:val="PargrafodaLista"/>
        <w:numPr>
          <w:ilvl w:val="0"/>
          <w:numId w:val="57"/>
        </w:num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F2F2F2" w:themeFill="background1" w:themeFillShade="F2"/>
        <w:tabs>
          <w:tab w:val="left" w:pos="284"/>
          <w:tab w:val="left" w:pos="2525"/>
          <w:tab w:val="center" w:pos="4873"/>
        </w:tabs>
        <w:suppressAutoHyphens w:val="0"/>
        <w:spacing w:after="200" w:line="276" w:lineRule="auto"/>
        <w:ind w:left="0" w:firstLine="0"/>
        <w:jc w:val="both"/>
        <w:rPr>
          <w:rFonts w:asciiTheme="majorHAnsi" w:hAnsiTheme="majorHAnsi" w:cstheme="majorHAnsi"/>
          <w:b/>
          <w:sz w:val="24"/>
          <w:szCs w:val="24"/>
        </w:rPr>
      </w:pPr>
      <w:r>
        <w:rPr>
          <w:rFonts w:asciiTheme="majorHAnsi" w:hAnsiTheme="majorHAnsi" w:cstheme="majorHAnsi"/>
          <w:b/>
          <w:sz w:val="24"/>
          <w:szCs w:val="24"/>
        </w:rPr>
        <w:t>DA FORMA DE RECEBIMENTO DO OBJETO E PAGAMENTO</w:t>
      </w:r>
    </w:p>
    <w:p>
      <w:pPr>
        <w:pStyle w:val="PargrafodaLista"/>
        <w:numPr>
          <w:ilvl w:val="1"/>
          <w:numId w:val="57"/>
        </w:numPr>
        <w:tabs>
          <w:tab w:val="left" w:pos="426"/>
          <w:tab w:val="left" w:pos="851"/>
          <w:tab w:val="left" w:pos="2525"/>
          <w:tab w:val="center" w:pos="4873"/>
        </w:tabs>
        <w:suppressAutoHyphens w:val="0"/>
        <w:spacing w:line="276" w:lineRule="auto"/>
        <w:ind w:left="0" w:firstLine="0"/>
        <w:jc w:val="both"/>
        <w:rPr>
          <w:rFonts w:asciiTheme="majorHAnsi" w:hAnsiTheme="majorHAnsi" w:cstheme="majorHAnsi"/>
          <w:b/>
          <w:sz w:val="24"/>
          <w:szCs w:val="24"/>
        </w:rPr>
      </w:pPr>
      <w:r>
        <w:rPr>
          <w:rFonts w:asciiTheme="majorHAnsi" w:hAnsiTheme="majorHAnsi" w:cstheme="majorHAnsi"/>
          <w:b/>
          <w:sz w:val="24"/>
          <w:szCs w:val="24"/>
        </w:rPr>
        <w:t>Da forma de recebimento (provisório e definitivo)</w:t>
      </w:r>
    </w:p>
    <w:p>
      <w:pPr>
        <w:pStyle w:val="NormalWeb"/>
        <w:spacing w:before="0" w:beforeAutospacing="0" w:after="0" w:afterAutospacing="0" w:line="276" w:lineRule="auto"/>
        <w:jc w:val="both"/>
        <w:rPr>
          <w:rFonts w:asciiTheme="majorHAnsi" w:hAnsiTheme="majorHAnsi"/>
        </w:rPr>
      </w:pPr>
      <w:r>
        <w:rPr>
          <w:rFonts w:asciiTheme="majorHAnsi" w:hAnsiTheme="majorHAnsi"/>
        </w:rPr>
        <w:t xml:space="preserve">6.3.1. Os serviços de recarga de suprimentos, manutenção preventiva e corretiva de impressoras, bem como o fornecimento e substituição de peças, serão recebidos provisoriamente pelo servidor ou comissão designada para fiscalização do contrato, mediante verificação preliminar da execução dos serviços realizados e dos materiais empregados, no prazo de até </w:t>
      </w:r>
      <w:r>
        <w:rPr>
          <w:rFonts w:asciiTheme="majorHAnsi" w:hAnsiTheme="majorHAnsi"/>
          <w:bCs/>
          <w:lang w:eastAsia="zh-CN"/>
        </w:rPr>
        <w:t xml:space="preserve">48 (quarenta e oito) </w:t>
      </w:r>
      <w:r>
        <w:rPr>
          <w:rFonts w:asciiTheme="majorHAnsi" w:hAnsiTheme="majorHAnsi"/>
        </w:rPr>
        <w:t>contados da comunicação formal da contratada.</w:t>
      </w:r>
    </w:p>
    <w:p>
      <w:pPr>
        <w:pStyle w:val="NormalWeb"/>
        <w:spacing w:before="0" w:beforeAutospacing="0" w:after="0" w:afterAutospacing="0" w:line="276" w:lineRule="auto"/>
        <w:jc w:val="both"/>
        <w:rPr>
          <w:rFonts w:asciiTheme="majorHAnsi" w:hAnsiTheme="majorHAnsi"/>
        </w:rPr>
      </w:pPr>
      <w:r>
        <w:rPr>
          <w:rFonts w:asciiTheme="majorHAnsi" w:hAnsiTheme="majorHAnsi"/>
        </w:rPr>
        <w:t>6.3.2. O recebimento provisório não implica aceitação definitiva dos serviços prestados, ficando a contratada obrigada a corrigir, às suas expensas, eventuais falhas, defeitos, irregularidades ou desconformidades identificadas pela fiscalização.</w:t>
      </w:r>
    </w:p>
    <w:p>
      <w:pPr>
        <w:pStyle w:val="PargrafodaLista"/>
        <w:numPr>
          <w:ilvl w:val="2"/>
          <w:numId w:val="57"/>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sz w:val="24"/>
          <w:szCs w:val="24"/>
        </w:rPr>
        <w:t>O recebimento definitivo ocorrerá após a verificação da conformidade dos serviços executados, do funcionamento adequado dos equipamentos atendidos e da qualidade dos materiais e peças fornecidos, mediante emissão de Termo de Recebimento Definitivo ou atesto da nota fiscal pelo fiscal do contrato, após o recebimento provisório</w:t>
      </w:r>
      <w:r>
        <w:rPr>
          <w:rFonts w:asciiTheme="majorHAnsi" w:hAnsiTheme="majorHAnsi" w:cstheme="majorHAnsi"/>
          <w:bCs/>
          <w:sz w:val="24"/>
          <w:szCs w:val="24"/>
        </w:rPr>
        <w:t>, devendo as irregularidades ser corrigidas no prazo de 24 horas, a contar da notificação da contratada, às suas custas, sem prejuízo da aplicação das penalidades.</w:t>
      </w:r>
    </w:p>
    <w:p>
      <w:pPr>
        <w:pStyle w:val="PargrafodaLista"/>
        <w:numPr>
          <w:ilvl w:val="2"/>
          <w:numId w:val="57"/>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Para as contratações decorrentes de despesas cujos valores não ultrapassem o limite de que trata o </w:t>
      </w:r>
      <w:hyperlink r:id="rId36" w:anchor="art75" w:history="1">
        <w:r>
          <w:rPr>
            <w:rStyle w:val="Hyperlink"/>
            <w:rFonts w:asciiTheme="majorHAnsi" w:hAnsiTheme="majorHAnsi" w:cstheme="majorHAnsi"/>
            <w:bCs/>
            <w:sz w:val="24"/>
            <w:szCs w:val="24"/>
          </w:rPr>
          <w:t>inciso II do art. 75 da Lei nº 14.133, de 2021</w:t>
        </w:r>
      </w:hyperlink>
      <w:r>
        <w:rPr>
          <w:rFonts w:asciiTheme="majorHAnsi" w:hAnsiTheme="majorHAnsi" w:cstheme="majorHAnsi"/>
          <w:bCs/>
          <w:sz w:val="24"/>
          <w:szCs w:val="24"/>
        </w:rPr>
        <w:t>, o prazo máximo para o recebimento definitivo será de até 05 (cinco) dias úteis.</w:t>
      </w:r>
    </w:p>
    <w:p>
      <w:pPr>
        <w:pStyle w:val="PargrafodaLista"/>
        <w:numPr>
          <w:ilvl w:val="2"/>
          <w:numId w:val="57"/>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O prazo para recebimento definitivo poderá ser excepcionalmente prorrogado, de forma justificada, por igual período, quando houver necessidade de diligências para a aferição do atendimento das exigências contratuais.</w:t>
      </w:r>
    </w:p>
    <w:p>
      <w:pPr>
        <w:pStyle w:val="PargrafodaLista"/>
        <w:numPr>
          <w:ilvl w:val="2"/>
          <w:numId w:val="57"/>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No caso de controvérsia sobre a execução do objeto, quanto à dimensão, qualidade e quantidade, deverá ser observado o teor do </w:t>
      </w:r>
      <w:hyperlink r:id="rId37" w:anchor="art143" w:history="1">
        <w:r>
          <w:rPr>
            <w:rStyle w:val="Hyperlink"/>
            <w:rFonts w:asciiTheme="majorHAnsi" w:hAnsiTheme="majorHAnsi" w:cstheme="majorHAnsi"/>
            <w:sz w:val="24"/>
            <w:szCs w:val="24"/>
          </w:rPr>
          <w:t>art. 143 da Lei nº 14.133, de 2021</w:t>
        </w:r>
      </w:hyperlink>
      <w:r>
        <w:rPr>
          <w:rFonts w:asciiTheme="majorHAnsi" w:hAnsiTheme="majorHAnsi" w:cstheme="majorHAnsi"/>
          <w:bCs/>
          <w:sz w:val="24"/>
          <w:szCs w:val="24"/>
        </w:rPr>
        <w:t>, comunicando-se à empresa para emissão de Nota Fiscal no que pertine à parcela incontroversa da execução do objeto, para efeito de liquidação e pagamento.</w:t>
      </w:r>
    </w:p>
    <w:p>
      <w:pPr>
        <w:pStyle w:val="PargrafodaLista"/>
        <w:numPr>
          <w:ilvl w:val="2"/>
          <w:numId w:val="57"/>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O prazo para a solução, pelo contratado, de inconsistências na execução do objeto ou de saneamento da nota fiscal ou de instrumento de cobrança equivalente, verificadas pela </w:t>
      </w:r>
      <w:r>
        <w:rPr>
          <w:rFonts w:asciiTheme="majorHAnsi" w:hAnsiTheme="majorHAnsi" w:cstheme="majorHAnsi"/>
          <w:bCs/>
          <w:sz w:val="24"/>
          <w:szCs w:val="24"/>
        </w:rPr>
        <w:lastRenderedPageBreak/>
        <w:t>Administração durante a análise prévia à liquidação de despesa, não será computado para os fins do recebimento definitivo.</w:t>
      </w:r>
    </w:p>
    <w:p>
      <w:pPr>
        <w:pStyle w:val="PargrafodaLista"/>
        <w:numPr>
          <w:ilvl w:val="2"/>
          <w:numId w:val="57"/>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O recebimento provisório ou definitivo não excluirá a responsabilidade civil pela solidez e pela segurança do serviço nem a responsabilidade ético-profissional pela perfeita execução do contrato.</w:t>
      </w:r>
    </w:p>
    <w:p>
      <w:pPr>
        <w:pStyle w:val="PargrafodaLista"/>
        <w:numPr>
          <w:ilvl w:val="2"/>
          <w:numId w:val="57"/>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Pós conclusão dos procedimentos quanto ao recebimento, serão realizados os atos correspondentes a liquidação e pagamento da despesa.</w:t>
      </w:r>
    </w:p>
    <w:p>
      <w:pPr>
        <w:pStyle w:val="PargrafodaLista"/>
        <w:numPr>
          <w:ilvl w:val="1"/>
          <w:numId w:val="57"/>
        </w:numPr>
        <w:tabs>
          <w:tab w:val="left" w:pos="426"/>
          <w:tab w:val="left" w:pos="851"/>
          <w:tab w:val="left" w:pos="2525"/>
          <w:tab w:val="center" w:pos="4873"/>
        </w:tabs>
        <w:suppressAutoHyphens w:val="0"/>
        <w:spacing w:line="276" w:lineRule="auto"/>
        <w:ind w:left="0" w:firstLine="0"/>
        <w:jc w:val="both"/>
        <w:rPr>
          <w:rFonts w:asciiTheme="majorHAnsi" w:hAnsiTheme="majorHAnsi" w:cstheme="majorHAnsi"/>
          <w:b/>
          <w:sz w:val="24"/>
          <w:szCs w:val="24"/>
        </w:rPr>
      </w:pPr>
      <w:r>
        <w:rPr>
          <w:rFonts w:asciiTheme="majorHAnsi" w:hAnsiTheme="majorHAnsi" w:cstheme="majorHAnsi"/>
          <w:b/>
          <w:sz w:val="24"/>
          <w:szCs w:val="24"/>
        </w:rPr>
        <w:t>Forma de pagamento</w:t>
      </w:r>
    </w:p>
    <w:p>
      <w:pPr>
        <w:pStyle w:val="PargrafodaLista"/>
        <w:numPr>
          <w:ilvl w:val="2"/>
          <w:numId w:val="57"/>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O Pagamento será efetuado na proporção dos serviços entregues, em até </w:t>
      </w:r>
      <w:r>
        <w:rPr>
          <w:rFonts w:asciiTheme="majorHAnsi" w:hAnsiTheme="majorHAnsi" w:cstheme="majorHAnsi"/>
          <w:b/>
          <w:sz w:val="24"/>
          <w:szCs w:val="24"/>
        </w:rPr>
        <w:t xml:space="preserve">30 (trinta) dias </w:t>
      </w:r>
      <w:r>
        <w:rPr>
          <w:rFonts w:asciiTheme="majorHAnsi" w:hAnsiTheme="majorHAnsi" w:cstheme="majorHAnsi"/>
          <w:bCs/>
          <w:sz w:val="24"/>
          <w:szCs w:val="24"/>
        </w:rPr>
        <w:t>após a emissão da nota fiscal ou instrumento de cobrança equivalente, mediante a constatação da entrega definitiva, através de atesto dos serviços entregues e o encaminhamento da documentação necessária, observada todas as disposições pactuadas, bem como, a ordem cronológica de pagamentos.</w:t>
      </w:r>
    </w:p>
    <w:p>
      <w:pPr>
        <w:pStyle w:val="PargrafodaLista"/>
        <w:numPr>
          <w:ilvl w:val="2"/>
          <w:numId w:val="57"/>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Para fins de instrução dos procedimentos de pagamento, além dos documentos citados no subitem anterior, o fornecedor deverá enviar obrigatoriamente a comprovação da regularidade fiscal e trabalhista, constante da seguinte documentação:</w:t>
      </w:r>
    </w:p>
    <w:p>
      <w:pPr>
        <w:pStyle w:val="PargrafodaLista"/>
        <w:numPr>
          <w:ilvl w:val="1"/>
          <w:numId w:val="32"/>
        </w:numPr>
        <w:tabs>
          <w:tab w:val="left" w:pos="567"/>
          <w:tab w:val="left" w:pos="851"/>
          <w:tab w:val="left" w:pos="1418"/>
          <w:tab w:val="left" w:pos="2525"/>
          <w:tab w:val="center" w:pos="4873"/>
        </w:tabs>
        <w:suppressAutoHyphens w:val="0"/>
        <w:spacing w:after="200" w:line="276" w:lineRule="auto"/>
        <w:ind w:left="1134" w:firstLine="0"/>
        <w:jc w:val="both"/>
        <w:rPr>
          <w:rFonts w:asciiTheme="majorHAnsi" w:hAnsiTheme="majorHAnsi" w:cstheme="majorHAnsi"/>
          <w:bCs/>
          <w:sz w:val="24"/>
          <w:szCs w:val="24"/>
        </w:rPr>
      </w:pPr>
      <w:r>
        <w:rPr>
          <w:rFonts w:asciiTheme="majorHAnsi" w:hAnsiTheme="majorHAnsi" w:cstheme="majorHAnsi"/>
          <w:bCs/>
          <w:sz w:val="24"/>
          <w:szCs w:val="24"/>
        </w:rPr>
        <w:t>Nota Fiscal/fatura discriminativa, em via única, devidamente atestada pelo gestor do contrato;</w:t>
      </w:r>
    </w:p>
    <w:p>
      <w:pPr>
        <w:pStyle w:val="PargrafodaLista"/>
        <w:numPr>
          <w:ilvl w:val="1"/>
          <w:numId w:val="32"/>
        </w:numPr>
        <w:tabs>
          <w:tab w:val="left" w:pos="567"/>
          <w:tab w:val="left" w:pos="851"/>
          <w:tab w:val="left" w:pos="1418"/>
          <w:tab w:val="left" w:pos="2525"/>
          <w:tab w:val="center" w:pos="4873"/>
        </w:tabs>
        <w:suppressAutoHyphens w:val="0"/>
        <w:spacing w:after="200" w:line="276" w:lineRule="auto"/>
        <w:ind w:left="1134" w:firstLine="0"/>
        <w:jc w:val="both"/>
        <w:rPr>
          <w:rFonts w:asciiTheme="majorHAnsi" w:hAnsiTheme="majorHAnsi" w:cstheme="majorHAnsi"/>
          <w:bCs/>
          <w:sz w:val="24"/>
          <w:szCs w:val="24"/>
        </w:rPr>
      </w:pPr>
      <w:r>
        <w:rPr>
          <w:rFonts w:asciiTheme="majorHAnsi" w:hAnsiTheme="majorHAnsi" w:cstheme="majorHAnsi"/>
          <w:bCs/>
          <w:sz w:val="24"/>
          <w:szCs w:val="24"/>
        </w:rPr>
        <w:t>Prova de Regularidade relativa aos Tributos Federais e à Dívida Ativa da União, inclusive em relação as contribuições sociais;</w:t>
      </w:r>
    </w:p>
    <w:p>
      <w:pPr>
        <w:pStyle w:val="PargrafodaLista"/>
        <w:numPr>
          <w:ilvl w:val="1"/>
          <w:numId w:val="32"/>
        </w:numPr>
        <w:tabs>
          <w:tab w:val="left" w:pos="567"/>
          <w:tab w:val="left" w:pos="851"/>
          <w:tab w:val="left" w:pos="1418"/>
          <w:tab w:val="left" w:pos="2525"/>
          <w:tab w:val="center" w:pos="4873"/>
        </w:tabs>
        <w:suppressAutoHyphens w:val="0"/>
        <w:spacing w:after="200" w:line="276" w:lineRule="auto"/>
        <w:ind w:left="1134" w:firstLine="0"/>
        <w:jc w:val="both"/>
        <w:rPr>
          <w:rFonts w:asciiTheme="majorHAnsi" w:hAnsiTheme="majorHAnsi" w:cstheme="majorHAnsi"/>
          <w:bCs/>
          <w:sz w:val="24"/>
          <w:szCs w:val="24"/>
        </w:rPr>
      </w:pPr>
      <w:r>
        <w:rPr>
          <w:rFonts w:asciiTheme="majorHAnsi" w:hAnsiTheme="majorHAnsi" w:cstheme="majorHAnsi"/>
          <w:bCs/>
          <w:sz w:val="24"/>
          <w:szCs w:val="24"/>
        </w:rPr>
        <w:t>Prova de Regularidade relativa a Fazenda Estadual;</w:t>
      </w:r>
    </w:p>
    <w:p>
      <w:pPr>
        <w:pStyle w:val="PargrafodaLista"/>
        <w:numPr>
          <w:ilvl w:val="1"/>
          <w:numId w:val="32"/>
        </w:numPr>
        <w:tabs>
          <w:tab w:val="left" w:pos="567"/>
          <w:tab w:val="left" w:pos="851"/>
          <w:tab w:val="left" w:pos="1418"/>
          <w:tab w:val="left" w:pos="2525"/>
          <w:tab w:val="center" w:pos="4873"/>
        </w:tabs>
        <w:suppressAutoHyphens w:val="0"/>
        <w:spacing w:after="200" w:line="276" w:lineRule="auto"/>
        <w:ind w:left="1134" w:firstLine="0"/>
        <w:jc w:val="both"/>
        <w:rPr>
          <w:rFonts w:asciiTheme="majorHAnsi" w:hAnsiTheme="majorHAnsi" w:cstheme="majorHAnsi"/>
          <w:bCs/>
          <w:sz w:val="24"/>
          <w:szCs w:val="24"/>
        </w:rPr>
      </w:pPr>
      <w:r>
        <w:rPr>
          <w:rFonts w:asciiTheme="majorHAnsi" w:hAnsiTheme="majorHAnsi" w:cstheme="majorHAnsi"/>
          <w:bCs/>
          <w:sz w:val="24"/>
          <w:szCs w:val="24"/>
        </w:rPr>
        <w:t>Prova de Regularidade relativa a Fazenda Municipal;</w:t>
      </w:r>
    </w:p>
    <w:p>
      <w:pPr>
        <w:pStyle w:val="PargrafodaLista"/>
        <w:numPr>
          <w:ilvl w:val="1"/>
          <w:numId w:val="32"/>
        </w:numPr>
        <w:tabs>
          <w:tab w:val="left" w:pos="567"/>
          <w:tab w:val="left" w:pos="851"/>
          <w:tab w:val="left" w:pos="1418"/>
          <w:tab w:val="left" w:pos="2525"/>
          <w:tab w:val="center" w:pos="4873"/>
        </w:tabs>
        <w:suppressAutoHyphens w:val="0"/>
        <w:spacing w:after="200" w:line="276" w:lineRule="auto"/>
        <w:ind w:left="1134" w:firstLine="0"/>
        <w:jc w:val="both"/>
        <w:rPr>
          <w:rFonts w:asciiTheme="majorHAnsi" w:hAnsiTheme="majorHAnsi" w:cstheme="majorHAnsi"/>
          <w:bCs/>
          <w:sz w:val="24"/>
          <w:szCs w:val="24"/>
        </w:rPr>
      </w:pPr>
      <w:r>
        <w:rPr>
          <w:rFonts w:asciiTheme="majorHAnsi" w:hAnsiTheme="majorHAnsi" w:cstheme="majorHAnsi"/>
          <w:bCs/>
          <w:sz w:val="24"/>
          <w:szCs w:val="24"/>
        </w:rPr>
        <w:t>Prova de Regularidade relativa ao FGTS;</w:t>
      </w:r>
    </w:p>
    <w:p>
      <w:pPr>
        <w:pStyle w:val="PargrafodaLista"/>
        <w:numPr>
          <w:ilvl w:val="1"/>
          <w:numId w:val="32"/>
        </w:numPr>
        <w:tabs>
          <w:tab w:val="left" w:pos="567"/>
          <w:tab w:val="left" w:pos="851"/>
          <w:tab w:val="left" w:pos="1418"/>
          <w:tab w:val="left" w:pos="2525"/>
          <w:tab w:val="center" w:pos="4873"/>
        </w:tabs>
        <w:suppressAutoHyphens w:val="0"/>
        <w:spacing w:after="200" w:line="276" w:lineRule="auto"/>
        <w:ind w:left="1134" w:firstLine="0"/>
        <w:jc w:val="both"/>
        <w:rPr>
          <w:rFonts w:asciiTheme="majorHAnsi" w:hAnsiTheme="majorHAnsi" w:cstheme="majorHAnsi"/>
          <w:bCs/>
          <w:sz w:val="24"/>
          <w:szCs w:val="24"/>
        </w:rPr>
      </w:pPr>
      <w:r>
        <w:rPr>
          <w:rFonts w:asciiTheme="majorHAnsi" w:hAnsiTheme="majorHAnsi" w:cstheme="majorHAnsi"/>
          <w:bCs/>
          <w:sz w:val="24"/>
          <w:szCs w:val="24"/>
        </w:rPr>
        <w:t>Prova de Regularidade relativa à Justiça do trabalho (Certidão Negativa de Débitos Trabalhistas - CNDT).</w:t>
      </w:r>
    </w:p>
    <w:p>
      <w:pPr>
        <w:pStyle w:val="PargrafodaLista"/>
        <w:numPr>
          <w:ilvl w:val="2"/>
          <w:numId w:val="57"/>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O setor competente quanto aos pagamentos realizará a consulta dos documentos apresentados por meio de verificação on-line ao SICAF ou, na impossibilidade de acesso ao referido Sistema, mediante consulta aos sítios eletrônicos oficiais ou à documentação mencionada no art. 68 da Lei nº 14.133, de 2021.</w:t>
      </w:r>
    </w:p>
    <w:p>
      <w:pPr>
        <w:pStyle w:val="PargrafodaLista"/>
        <w:numPr>
          <w:ilvl w:val="2"/>
          <w:numId w:val="57"/>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A Administração deverá realizar consulta ao SICAF para: </w:t>
      </w:r>
    </w:p>
    <w:p>
      <w:pPr>
        <w:pStyle w:val="PargrafodaLista"/>
        <w:numPr>
          <w:ilvl w:val="3"/>
          <w:numId w:val="57"/>
        </w:numPr>
        <w:tabs>
          <w:tab w:val="left" w:pos="567"/>
          <w:tab w:val="left" w:pos="851"/>
          <w:tab w:val="left" w:pos="1560"/>
          <w:tab w:val="center" w:pos="4873"/>
        </w:tabs>
        <w:suppressAutoHyphens w:val="0"/>
        <w:spacing w:line="276" w:lineRule="auto"/>
        <w:ind w:left="709" w:hanging="10"/>
        <w:jc w:val="both"/>
        <w:rPr>
          <w:rFonts w:asciiTheme="majorHAnsi" w:hAnsiTheme="majorHAnsi" w:cstheme="majorHAnsi"/>
          <w:bCs/>
          <w:sz w:val="24"/>
          <w:szCs w:val="24"/>
        </w:rPr>
      </w:pPr>
      <w:r>
        <w:rPr>
          <w:rFonts w:asciiTheme="majorHAnsi" w:hAnsiTheme="majorHAnsi" w:cstheme="majorHAnsi"/>
          <w:bCs/>
          <w:sz w:val="24"/>
          <w:szCs w:val="24"/>
        </w:rPr>
        <w:t xml:space="preserve">verificar a manutenção das condições de habilitação exigidas no edital; </w:t>
      </w:r>
    </w:p>
    <w:p>
      <w:pPr>
        <w:pStyle w:val="PargrafodaLista"/>
        <w:numPr>
          <w:ilvl w:val="3"/>
          <w:numId w:val="57"/>
        </w:numPr>
        <w:tabs>
          <w:tab w:val="left" w:pos="567"/>
          <w:tab w:val="left" w:pos="851"/>
          <w:tab w:val="left" w:pos="1560"/>
          <w:tab w:val="center" w:pos="4873"/>
        </w:tabs>
        <w:suppressAutoHyphens w:val="0"/>
        <w:spacing w:line="276" w:lineRule="auto"/>
        <w:ind w:left="709" w:hanging="10"/>
        <w:jc w:val="both"/>
        <w:rPr>
          <w:rFonts w:asciiTheme="majorHAnsi" w:hAnsiTheme="majorHAnsi" w:cstheme="majorHAnsi"/>
          <w:bCs/>
          <w:sz w:val="24"/>
          <w:szCs w:val="24"/>
        </w:rPr>
      </w:pPr>
      <w:r>
        <w:rPr>
          <w:rFonts w:asciiTheme="majorHAnsi" w:hAnsiTheme="majorHAnsi" w:cstheme="majorHAnsi"/>
          <w:bCs/>
          <w:sz w:val="24"/>
          <w:szCs w:val="24"/>
        </w:rPr>
        <w:t>identificar possível razão que impeça a participação em licitação, no âmbito do órgão ou entidade, que implique proibição de contratar com o Poder Público, bem como ocorrências impeditivas indiretas.</w:t>
      </w:r>
    </w:p>
    <w:p>
      <w:pPr>
        <w:pStyle w:val="PargrafodaLista"/>
        <w:numPr>
          <w:ilvl w:val="2"/>
          <w:numId w:val="57"/>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PargrafodaLista"/>
        <w:numPr>
          <w:ilvl w:val="2"/>
          <w:numId w:val="57"/>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PargrafodaLista"/>
        <w:numPr>
          <w:ilvl w:val="2"/>
          <w:numId w:val="57"/>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Persistindo a irregularidade, o contratante deverá adotar as medidas necessárias à rescisão contratual nos autos do processo administrativo correspondente, assegurada ao contratado a ampla defesa. </w:t>
      </w:r>
    </w:p>
    <w:p>
      <w:pPr>
        <w:pStyle w:val="PargrafodaLista"/>
        <w:numPr>
          <w:ilvl w:val="2"/>
          <w:numId w:val="57"/>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Havendo a efetiva execução do objeto, os pagamentos serão realizados normalmente, até que se decida pela rescisão do contrato, caso o contratado não regularize sua situação junto ao SICAF.  </w:t>
      </w:r>
    </w:p>
    <w:p>
      <w:pPr>
        <w:pStyle w:val="PargrafodaLista"/>
        <w:numPr>
          <w:ilvl w:val="2"/>
          <w:numId w:val="57"/>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Será considerada data do pagamento o dia em que constar como emitida a ordem bancária para pagamento.</w:t>
      </w:r>
    </w:p>
    <w:p>
      <w:pPr>
        <w:pStyle w:val="PargrafodaLista"/>
        <w:numPr>
          <w:ilvl w:val="2"/>
          <w:numId w:val="57"/>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Quando do pagamento, será efetuada a retenção tributária prevista na legislação aplicável.</w:t>
      </w:r>
    </w:p>
    <w:p>
      <w:pPr>
        <w:pStyle w:val="PargrafodaLista"/>
        <w:numPr>
          <w:ilvl w:val="2"/>
          <w:numId w:val="57"/>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Independentemente do percentual de tributo inserido na planilha, quando houver, serão retidos na fonte, quando da realização do pagamento, os percentuais estabelecidos na legislação vigente.</w:t>
      </w:r>
    </w:p>
    <w:p>
      <w:pPr>
        <w:pStyle w:val="PargrafodaLista"/>
        <w:numPr>
          <w:ilvl w:val="2"/>
          <w:numId w:val="57"/>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O contratado regularmente optante pelo Simples Nacional, nos termos da </w:t>
      </w:r>
      <w:hyperlink r:id="rId38" w:history="1">
        <w:r>
          <w:rPr>
            <w:rStyle w:val="Hyperlink"/>
            <w:rFonts w:asciiTheme="majorHAnsi" w:hAnsiTheme="majorHAnsi" w:cstheme="majorHAnsi"/>
            <w:bCs/>
            <w:sz w:val="24"/>
            <w:szCs w:val="24"/>
          </w:rPr>
          <w:t>Lei Complementar nº 123, de 2006</w:t>
        </w:r>
      </w:hyperlink>
      <w:r>
        <w:rPr>
          <w:rFonts w:asciiTheme="majorHAnsi" w:hAnsiTheme="majorHAnsi" w:cstheme="majorHAnsi"/>
          <w:bCs/>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PargrafodaLista"/>
        <w:tabs>
          <w:tab w:val="left" w:pos="567"/>
          <w:tab w:val="left" w:pos="851"/>
          <w:tab w:val="left" w:pos="2525"/>
          <w:tab w:val="center" w:pos="4873"/>
        </w:tabs>
        <w:ind w:left="0"/>
        <w:jc w:val="both"/>
        <w:rPr>
          <w:rFonts w:asciiTheme="majorHAnsi" w:hAnsiTheme="majorHAnsi" w:cstheme="majorHAnsi"/>
          <w:bCs/>
          <w:sz w:val="24"/>
          <w:szCs w:val="24"/>
        </w:rPr>
      </w:pPr>
    </w:p>
    <w:p>
      <w:pPr>
        <w:pStyle w:val="PargrafodaLista"/>
        <w:numPr>
          <w:ilvl w:val="0"/>
          <w:numId w:val="57"/>
        </w:num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F2F2F2" w:themeFill="background1" w:themeFillShade="F2"/>
        <w:tabs>
          <w:tab w:val="left" w:pos="284"/>
          <w:tab w:val="left" w:pos="2525"/>
          <w:tab w:val="center" w:pos="4873"/>
        </w:tabs>
        <w:suppressAutoHyphens w:val="0"/>
        <w:spacing w:after="200" w:line="276" w:lineRule="auto"/>
        <w:ind w:left="0" w:firstLine="0"/>
        <w:jc w:val="both"/>
        <w:rPr>
          <w:rFonts w:asciiTheme="majorHAnsi" w:hAnsiTheme="majorHAnsi" w:cstheme="majorHAnsi"/>
          <w:b/>
          <w:sz w:val="24"/>
          <w:szCs w:val="24"/>
        </w:rPr>
      </w:pPr>
      <w:r>
        <w:rPr>
          <w:rFonts w:asciiTheme="majorHAnsi" w:hAnsiTheme="majorHAnsi" w:cstheme="majorHAnsi"/>
          <w:b/>
          <w:sz w:val="24"/>
          <w:szCs w:val="24"/>
        </w:rPr>
        <w:t>DO PRAZO DE VIGÊNCIA</w:t>
      </w:r>
    </w:p>
    <w:p>
      <w:pPr>
        <w:pStyle w:val="PargrafodaLista"/>
        <w:numPr>
          <w:ilvl w:val="1"/>
          <w:numId w:val="57"/>
        </w:numPr>
        <w:tabs>
          <w:tab w:val="left" w:pos="426"/>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O contrato produzirá seus jurídicos e legais efeitos a partir da data de sua assinatura e vigorará 12 (doze) meses, prorrogável por até 10 anos, na forma dos artigos 106 e 107 da Lei n° 14.133, de 2021.</w:t>
      </w:r>
    </w:p>
    <w:p>
      <w:pPr>
        <w:pStyle w:val="PargrafodaLista"/>
        <w:numPr>
          <w:ilvl w:val="2"/>
          <w:numId w:val="57"/>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O fornecimento de bens descritos é enquadrado como continuado conforme disposto no Estudo Técnico Preliminar, sendo a vigência plurianual mais vantajosa considerando a necessidade de manutenção dos fornecimentos de forma contínua, no entanto, considerando que a estimativa prevista para a licitação é de um ano, o contrato terá vigência inicial de 12 meses, conforme disposto no item 7.1 do edital.</w:t>
      </w:r>
    </w:p>
    <w:p>
      <w:pPr>
        <w:tabs>
          <w:tab w:val="left" w:pos="567"/>
          <w:tab w:val="left" w:pos="709"/>
          <w:tab w:val="left" w:pos="851"/>
          <w:tab w:val="left" w:pos="2525"/>
          <w:tab w:val="center" w:pos="4873"/>
        </w:tabs>
        <w:jc w:val="both"/>
        <w:rPr>
          <w:rFonts w:asciiTheme="majorHAnsi" w:hAnsiTheme="majorHAnsi" w:cstheme="majorHAnsi"/>
          <w:bCs/>
          <w:sz w:val="24"/>
          <w:szCs w:val="24"/>
        </w:rPr>
      </w:pPr>
    </w:p>
    <w:p>
      <w:pPr>
        <w:pStyle w:val="PargrafodaLista"/>
        <w:numPr>
          <w:ilvl w:val="0"/>
          <w:numId w:val="57"/>
        </w:num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F2F2F2" w:themeFill="background1" w:themeFillShade="F2"/>
        <w:tabs>
          <w:tab w:val="center" w:pos="0"/>
        </w:tabs>
        <w:suppressAutoHyphens w:val="0"/>
        <w:spacing w:after="200" w:line="276" w:lineRule="auto"/>
        <w:ind w:left="0" w:firstLine="0"/>
        <w:jc w:val="both"/>
        <w:rPr>
          <w:rFonts w:asciiTheme="majorHAnsi" w:hAnsiTheme="majorHAnsi" w:cstheme="majorHAnsi"/>
          <w:b/>
          <w:sz w:val="24"/>
          <w:szCs w:val="24"/>
        </w:rPr>
      </w:pPr>
      <w:r>
        <w:rPr>
          <w:rFonts w:asciiTheme="majorHAnsi" w:hAnsiTheme="majorHAnsi" w:cstheme="majorHAnsi"/>
          <w:b/>
          <w:sz w:val="24"/>
          <w:szCs w:val="24"/>
        </w:rPr>
        <w:t>REQUISITOS ESPECÍFICOS DO PROCEDIMENTO</w:t>
      </w:r>
    </w:p>
    <w:p>
      <w:pPr>
        <w:pStyle w:val="PargrafodaLista"/>
        <w:numPr>
          <w:ilvl w:val="1"/>
          <w:numId w:val="57"/>
        </w:numPr>
        <w:tabs>
          <w:tab w:val="left" w:pos="426"/>
          <w:tab w:val="left" w:pos="851"/>
          <w:tab w:val="left" w:pos="2525"/>
          <w:tab w:val="center" w:pos="4873"/>
        </w:tabs>
        <w:suppressAutoHyphens w:val="0"/>
        <w:spacing w:line="276" w:lineRule="auto"/>
        <w:ind w:left="0" w:firstLine="0"/>
        <w:jc w:val="both"/>
        <w:rPr>
          <w:rFonts w:asciiTheme="majorHAnsi" w:hAnsiTheme="majorHAnsi" w:cstheme="majorHAnsi"/>
          <w:b/>
          <w:sz w:val="24"/>
          <w:szCs w:val="24"/>
        </w:rPr>
      </w:pPr>
      <w:r>
        <w:rPr>
          <w:rFonts w:asciiTheme="majorHAnsi" w:hAnsiTheme="majorHAnsi" w:cstheme="majorHAnsi"/>
          <w:b/>
          <w:sz w:val="24"/>
          <w:szCs w:val="24"/>
        </w:rPr>
        <w:t xml:space="preserve"> Da forma de apresentação das propostas</w:t>
      </w:r>
    </w:p>
    <w:p>
      <w:pPr>
        <w:pStyle w:val="PargrafodaLista"/>
        <w:numPr>
          <w:ilvl w:val="2"/>
          <w:numId w:val="57"/>
        </w:numPr>
        <w:tabs>
          <w:tab w:val="left" w:pos="0"/>
          <w:tab w:val="left" w:pos="567"/>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Na proposta de preços deverá constar a descrição detalhada dos serviços a serem executados, incluindo os serviços de recarga de suprimentos, manutenção preventiva e corretiva de impressoras, bem como o fornecimento e substituição de peças quando </w:t>
      </w:r>
      <w:r>
        <w:rPr>
          <w:rFonts w:asciiTheme="majorHAnsi" w:hAnsiTheme="majorHAnsi" w:cstheme="majorHAnsi"/>
          <w:bCs/>
          <w:sz w:val="24"/>
          <w:szCs w:val="24"/>
        </w:rPr>
        <w:lastRenderedPageBreak/>
        <w:t>necessário, observadas as especificações constantes neste Termo de Referência. Os valores propostos deverão contemplar todos os custos diretos e indiretos necessários à perfeita execução do objeto, incluindo mão de obra, deslocamentos, equipamentos, ferramentas, peças de reposição, insumos, tributos, impostos, taxas, encargos sociais, trabalhistas, previdenciários, fiscais e demais despesas que incidam ou venham a incidir sobre a contratação.</w:t>
      </w:r>
    </w:p>
    <w:p>
      <w:pPr>
        <w:pStyle w:val="PargrafodaLista"/>
        <w:numPr>
          <w:ilvl w:val="2"/>
          <w:numId w:val="57"/>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sz w:val="24"/>
          <w:szCs w:val="24"/>
        </w:rPr>
        <w:t>A licitante deverá garantir a qualidade dos serviços executados, das recargas realizadas e das peças eventualmente fornecidas e substituídas, responsabilizando-se pela correção de falhas, defeitos ou vícios identificados durante a execução contratual. Constatada qualquer irregularidade, a contratada deverá proceder à substituição da peça ou à correção do serviço, sem ônus para a Administração, sujeitando-se ainda às penalidades previstas na legislação vigente e no instrumento contratual</w:t>
      </w:r>
      <w:r>
        <w:rPr>
          <w:rFonts w:asciiTheme="majorHAnsi" w:hAnsiTheme="majorHAnsi" w:cstheme="majorHAnsi"/>
          <w:bCs/>
          <w:sz w:val="24"/>
          <w:szCs w:val="24"/>
        </w:rPr>
        <w:t>.</w:t>
      </w:r>
    </w:p>
    <w:p>
      <w:pPr>
        <w:pStyle w:val="PargrafodaLista"/>
        <w:numPr>
          <w:ilvl w:val="2"/>
          <w:numId w:val="57"/>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sz w:val="24"/>
          <w:szCs w:val="24"/>
        </w:rPr>
        <w:t>As peças utilizadas nas manutenções deverão ser novas, compatíveis com os respectivos equipamentos, atender às especificações técnicas do fabricante e possuir padrão de qualidade que assegure o perfeito funcionamento das impressoras, sendo vedada a utilização de componentes danificados, recondicionados ou sem condições adequadas de uso, salvo autorização expressa da Administração</w:t>
      </w:r>
      <w:r>
        <w:rPr>
          <w:rFonts w:asciiTheme="majorHAnsi" w:hAnsiTheme="majorHAnsi" w:cstheme="majorHAnsi"/>
          <w:bCs/>
          <w:sz w:val="24"/>
          <w:szCs w:val="24"/>
        </w:rPr>
        <w:t>.</w:t>
      </w:r>
    </w:p>
    <w:p>
      <w:pPr>
        <w:pStyle w:val="PargrafodaLista"/>
        <w:numPr>
          <w:ilvl w:val="2"/>
          <w:numId w:val="57"/>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sz w:val="24"/>
          <w:szCs w:val="24"/>
        </w:rPr>
        <w:t xml:space="preserve">Será considerada vencedora a licitante cuja proposta apresente o </w:t>
      </w:r>
      <w:r>
        <w:rPr>
          <w:rFonts w:asciiTheme="majorHAnsi" w:hAnsiTheme="majorHAnsi"/>
          <w:b/>
          <w:sz w:val="24"/>
          <w:szCs w:val="24"/>
        </w:rPr>
        <w:t>MENOR PREÇO GLOBAL</w:t>
      </w:r>
      <w:r>
        <w:rPr>
          <w:rFonts w:asciiTheme="majorHAnsi" w:hAnsiTheme="majorHAnsi"/>
          <w:sz w:val="24"/>
          <w:szCs w:val="24"/>
        </w:rPr>
        <w:t xml:space="preserve"> para a execução integral do objeto, incluindo todos os serviços, materiais, suprimentos e peças necessários ao atendimento das demandas da Secretaria Municipal de Educação, desde que atendidas as exigências deste Termo de Referência.</w:t>
      </w:r>
    </w:p>
    <w:p>
      <w:pPr>
        <w:tabs>
          <w:tab w:val="left" w:pos="567"/>
          <w:tab w:val="left" w:pos="709"/>
          <w:tab w:val="left" w:pos="851"/>
          <w:tab w:val="left" w:pos="2525"/>
          <w:tab w:val="center" w:pos="4873"/>
        </w:tabs>
        <w:jc w:val="both"/>
        <w:rPr>
          <w:rFonts w:asciiTheme="majorHAnsi" w:hAnsiTheme="majorHAnsi" w:cstheme="majorHAnsi"/>
          <w:bCs/>
          <w:sz w:val="24"/>
          <w:szCs w:val="24"/>
        </w:rPr>
      </w:pPr>
    </w:p>
    <w:p>
      <w:pPr>
        <w:pStyle w:val="PargrafodaLista"/>
        <w:numPr>
          <w:ilvl w:val="0"/>
          <w:numId w:val="57"/>
        </w:num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F2F2F2" w:themeFill="background1" w:themeFillShade="F2"/>
        <w:tabs>
          <w:tab w:val="left" w:pos="851"/>
          <w:tab w:val="left" w:pos="2525"/>
          <w:tab w:val="center" w:pos="4873"/>
        </w:tabs>
        <w:suppressAutoHyphens w:val="0"/>
        <w:spacing w:after="200" w:line="276" w:lineRule="auto"/>
        <w:ind w:left="0" w:firstLine="0"/>
        <w:jc w:val="both"/>
        <w:rPr>
          <w:rFonts w:asciiTheme="majorHAnsi" w:hAnsiTheme="majorHAnsi" w:cstheme="majorHAnsi"/>
          <w:b/>
          <w:sz w:val="24"/>
          <w:szCs w:val="24"/>
        </w:rPr>
      </w:pPr>
      <w:r>
        <w:rPr>
          <w:rFonts w:asciiTheme="majorHAnsi" w:hAnsiTheme="majorHAnsi" w:cstheme="majorHAnsi"/>
          <w:b/>
          <w:sz w:val="24"/>
          <w:szCs w:val="24"/>
        </w:rPr>
        <w:t>MODELO DE GESTÃO DO CONTRATO</w:t>
      </w:r>
    </w:p>
    <w:p>
      <w:pPr>
        <w:pStyle w:val="PargrafodaLista"/>
        <w:numPr>
          <w:ilvl w:val="1"/>
          <w:numId w:val="57"/>
        </w:numPr>
        <w:tabs>
          <w:tab w:val="left" w:pos="426"/>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O contrato deverá ser executado fielmente pelas partes, de acordo com as cláusulas avençadas e as normas da Lei nº 14.133, de 2021, e cada parte responderá pelas consequências de sua inexecução total ou parcial.</w:t>
      </w:r>
    </w:p>
    <w:p>
      <w:pPr>
        <w:pStyle w:val="PargrafodaLista"/>
        <w:numPr>
          <w:ilvl w:val="1"/>
          <w:numId w:val="57"/>
        </w:numPr>
        <w:tabs>
          <w:tab w:val="left" w:pos="426"/>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Em caso de impedimento, ordem de paralisação ou suspensão do contrato, o cronograma de fornecimento será prorrogado automaticamente pelo tempo correspondente, anotadas tais circunstâncias mediante simples apostila.</w:t>
      </w:r>
    </w:p>
    <w:p>
      <w:pPr>
        <w:pStyle w:val="PargrafodaLista"/>
        <w:numPr>
          <w:ilvl w:val="1"/>
          <w:numId w:val="57"/>
        </w:numPr>
        <w:tabs>
          <w:tab w:val="left" w:pos="426"/>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As comunicações entre o órgão ou entidade e a contratada devem ser realizadas por escrito sempre que o ato exigir tal formalidade, admitindo-se o uso de mensagem eletrônica para esse fim.</w:t>
      </w:r>
    </w:p>
    <w:p>
      <w:pPr>
        <w:pStyle w:val="PargrafodaLista"/>
        <w:numPr>
          <w:ilvl w:val="1"/>
          <w:numId w:val="57"/>
        </w:numPr>
        <w:tabs>
          <w:tab w:val="left" w:pos="426"/>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O órgão ou entidade poderá convocar representante da empresa para adoção de providências que devam ser cumpridas de imediato.</w:t>
      </w:r>
    </w:p>
    <w:p>
      <w:pPr>
        <w:pStyle w:val="PargrafodaLista"/>
        <w:numPr>
          <w:ilvl w:val="1"/>
          <w:numId w:val="57"/>
        </w:numPr>
        <w:tabs>
          <w:tab w:val="left" w:pos="426"/>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PargrafodaLista"/>
        <w:numPr>
          <w:ilvl w:val="1"/>
          <w:numId w:val="57"/>
        </w:numPr>
        <w:tabs>
          <w:tab w:val="left" w:pos="426"/>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lastRenderedPageBreak/>
        <w:t>A execução do contrato deverá ser acompanhada e fiscalizada pelo(s) fiscal(is) do contrato, ou pelos respectivos substitutos (</w:t>
      </w:r>
      <w:hyperlink r:id="rId39" w:anchor="art117" w:history="1">
        <w:r>
          <w:rPr>
            <w:rStyle w:val="Hyperlink"/>
            <w:rFonts w:asciiTheme="majorHAnsi" w:hAnsiTheme="majorHAnsi" w:cstheme="majorHAnsi"/>
            <w:bCs/>
            <w:sz w:val="24"/>
            <w:szCs w:val="24"/>
          </w:rPr>
          <w:t>Lei nº 14.133, de 2021, art. 117, caput</w:t>
        </w:r>
      </w:hyperlink>
      <w:r>
        <w:rPr>
          <w:rFonts w:asciiTheme="majorHAnsi" w:hAnsiTheme="majorHAnsi" w:cstheme="majorHAnsi"/>
          <w:bCs/>
          <w:sz w:val="24"/>
          <w:szCs w:val="24"/>
        </w:rPr>
        <w:t>).</w:t>
      </w:r>
    </w:p>
    <w:p>
      <w:pPr>
        <w:pStyle w:val="PargrafodaLista"/>
        <w:numPr>
          <w:ilvl w:val="1"/>
          <w:numId w:val="57"/>
        </w:numPr>
        <w:tabs>
          <w:tab w:val="left" w:pos="426"/>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O fiscal do contrato acompanhará a execução do contrato, para que sejam cumpridas todas as condições estabelecidas no contrato, de modo a assegurar os melhores resultados para a Administração.</w:t>
      </w:r>
    </w:p>
    <w:p>
      <w:pPr>
        <w:pStyle w:val="PargrafodaLista"/>
        <w:numPr>
          <w:ilvl w:val="1"/>
          <w:numId w:val="57"/>
        </w:numPr>
        <w:tabs>
          <w:tab w:val="left" w:pos="426"/>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O fiscal do contrato anotará no histórico de gerenciamento do contrato todas as ocorrências relacionadas à execução do contrato, com a descrição do que for necessário para a regularização das faltas ou dos defeitos observados. (</w:t>
      </w:r>
      <w:hyperlink r:id="rId40" w:anchor="art117§1" w:history="1">
        <w:r>
          <w:rPr>
            <w:rStyle w:val="Hyperlink"/>
            <w:rFonts w:asciiTheme="majorHAnsi" w:hAnsiTheme="majorHAnsi" w:cstheme="majorHAnsi"/>
            <w:bCs/>
            <w:sz w:val="24"/>
            <w:szCs w:val="24"/>
          </w:rPr>
          <w:t>Lei nº 14.133, de 2021, art. 117, §1º</w:t>
        </w:r>
      </w:hyperlink>
      <w:r>
        <w:rPr>
          <w:rFonts w:asciiTheme="majorHAnsi" w:hAnsiTheme="majorHAnsi" w:cstheme="majorHAnsi"/>
          <w:bCs/>
          <w:sz w:val="24"/>
          <w:szCs w:val="24"/>
        </w:rPr>
        <w:t>).</w:t>
      </w:r>
    </w:p>
    <w:p>
      <w:pPr>
        <w:pStyle w:val="PargrafodaLista"/>
        <w:numPr>
          <w:ilvl w:val="1"/>
          <w:numId w:val="57"/>
        </w:numPr>
        <w:tabs>
          <w:tab w:val="left" w:pos="426"/>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Identificada qualquer inexatidão ou irregularidade, o fiscal do contrato emitirá notificações para a correção da execução do contrato, determinando prazo para a correção. </w:t>
      </w:r>
    </w:p>
    <w:p>
      <w:pPr>
        <w:pStyle w:val="PargrafodaLista"/>
        <w:numPr>
          <w:ilvl w:val="1"/>
          <w:numId w:val="57"/>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O fiscal do contrato informará ao gestor do contato, em tempo hábil, a situação que demandar decisão ou adoção de medidas que ultrapassem sua competência, para que adote as medidas necessárias e saneadoras, se for o caso.</w:t>
      </w:r>
    </w:p>
    <w:p>
      <w:pPr>
        <w:pStyle w:val="PargrafodaLista"/>
        <w:numPr>
          <w:ilvl w:val="1"/>
          <w:numId w:val="57"/>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No caso de ocorrências que possam inviabilizar a execução do contrato nas datas aprazadas, o fiscal do contrato comunicará o fato imediatamente ao gestor do contrato. </w:t>
      </w:r>
    </w:p>
    <w:p>
      <w:pPr>
        <w:pStyle w:val="PargrafodaLista"/>
        <w:numPr>
          <w:ilvl w:val="1"/>
          <w:numId w:val="57"/>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O fiscal do contrato comunicar ao gestor do contrato, em tempo hábil, o término do contrato sob sua responsabilidade, com vistas à renovação tempestiva ou à prorrogação contratual.</w:t>
      </w:r>
    </w:p>
    <w:p>
      <w:pPr>
        <w:pStyle w:val="PargrafodaLista"/>
        <w:numPr>
          <w:ilvl w:val="1"/>
          <w:numId w:val="57"/>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pStyle w:val="PargrafodaLista"/>
        <w:numPr>
          <w:ilvl w:val="1"/>
          <w:numId w:val="57"/>
        </w:numPr>
        <w:tabs>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Caso ocorram descumprimento das obrigações contratuais, o fiscal administrativo do contrato atuará tempestivamente na solução do problema, reportando ao gestor do contrato para que tome as providências cabíveis, quando ultrapassar a sua competência.</w:t>
      </w:r>
    </w:p>
    <w:p>
      <w:pPr>
        <w:pStyle w:val="PargrafodaLista"/>
        <w:numPr>
          <w:ilvl w:val="1"/>
          <w:numId w:val="57"/>
        </w:numPr>
        <w:tabs>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O gestor do contrato coordenará a atualização do processo de acompanhamento e fiscalização do contrato contendo todos os registros formais da execução no histórico de gerenciamento do contrato, a exemplo da ordem de compra/nota de empenho, do registro de ocorrências, das alterações e das prorrogações contratuais, elaborando relatório com vistas à verificação da necessidade de adequações do contrato para fins de atendimento da finalidade da administração.</w:t>
      </w:r>
    </w:p>
    <w:p>
      <w:pPr>
        <w:pStyle w:val="PargrafodaLista"/>
        <w:numPr>
          <w:ilvl w:val="1"/>
          <w:numId w:val="57"/>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pPr>
        <w:pStyle w:val="PargrafodaLista"/>
        <w:numPr>
          <w:ilvl w:val="1"/>
          <w:numId w:val="57"/>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pPr>
        <w:pStyle w:val="PargrafodaLista"/>
        <w:numPr>
          <w:ilvl w:val="1"/>
          <w:numId w:val="57"/>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O gestor do contrato emitirá documento comprobatório da avaliação realizada pelos fiscais técnico, administrativo e setorial quanto ao cumprimento de obrigações assumidas pelo </w:t>
      </w:r>
      <w:r>
        <w:rPr>
          <w:rFonts w:asciiTheme="majorHAnsi" w:hAnsiTheme="majorHAnsi" w:cstheme="majorHAnsi"/>
          <w:bCs/>
          <w:sz w:val="24"/>
          <w:szCs w:val="24"/>
        </w:rPr>
        <w:lastRenderedPageBreak/>
        <w:t xml:space="preserve">contratado, com menção ao seu desempenho na execução contratual, baseado nos indicadores objetivamente definidos e aferidos, e a eventuais penalidades aplicadas, devendo constar do cadastro de atesto de cumprimento de obrigações. </w:t>
      </w:r>
    </w:p>
    <w:p>
      <w:pPr>
        <w:pStyle w:val="PargrafodaLista"/>
        <w:numPr>
          <w:ilvl w:val="1"/>
          <w:numId w:val="57"/>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pPr>
        <w:pStyle w:val="PargrafodaLista"/>
        <w:numPr>
          <w:ilvl w:val="1"/>
          <w:numId w:val="57"/>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O fiscal administrativo do contrato comunicará ao gestor do contrato, em tempo hábil, o término do contrato sob sua responsabilidade, com vistas à tempestiva renovação ou prorrogação contratual.</w:t>
      </w:r>
    </w:p>
    <w:p>
      <w:pPr>
        <w:pStyle w:val="PargrafodaLista"/>
        <w:numPr>
          <w:ilvl w:val="1"/>
          <w:numId w:val="57"/>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O gestor do contrato deverá elaborará relatório final com informações sobre a consecução dos objetivos que tenham justificado a contratação e eventuais condutas a serem adotadas para o aprimoramento das atividades da Administração.</w:t>
      </w:r>
    </w:p>
    <w:p>
      <w:pPr>
        <w:pStyle w:val="PargrafodaLista"/>
        <w:tabs>
          <w:tab w:val="left" w:pos="567"/>
          <w:tab w:val="left" w:pos="851"/>
          <w:tab w:val="left" w:pos="2525"/>
          <w:tab w:val="center" w:pos="4873"/>
        </w:tabs>
        <w:ind w:left="0"/>
        <w:jc w:val="both"/>
        <w:rPr>
          <w:rFonts w:asciiTheme="majorHAnsi" w:hAnsiTheme="majorHAnsi" w:cstheme="majorHAnsi"/>
          <w:bCs/>
          <w:sz w:val="24"/>
          <w:szCs w:val="24"/>
        </w:rPr>
      </w:pPr>
    </w:p>
    <w:p>
      <w:pPr>
        <w:pStyle w:val="PargrafodaLista"/>
        <w:numPr>
          <w:ilvl w:val="0"/>
          <w:numId w:val="57"/>
        </w:num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F2F2F2" w:themeFill="background1" w:themeFillShade="F2"/>
        <w:tabs>
          <w:tab w:val="center" w:pos="426"/>
          <w:tab w:val="left" w:pos="851"/>
        </w:tabs>
        <w:suppressAutoHyphens w:val="0"/>
        <w:spacing w:after="200" w:line="276" w:lineRule="auto"/>
        <w:ind w:left="0" w:firstLine="0"/>
        <w:jc w:val="both"/>
        <w:rPr>
          <w:rFonts w:asciiTheme="majorHAnsi" w:hAnsiTheme="majorHAnsi" w:cstheme="majorHAnsi"/>
          <w:b/>
          <w:sz w:val="24"/>
          <w:szCs w:val="24"/>
        </w:rPr>
      </w:pPr>
      <w:r>
        <w:rPr>
          <w:rFonts w:asciiTheme="majorHAnsi" w:hAnsiTheme="majorHAnsi" w:cstheme="majorHAnsi"/>
          <w:b/>
          <w:sz w:val="24"/>
          <w:szCs w:val="24"/>
        </w:rPr>
        <w:t>DAS OBRIGAÇÕES E RESPONSABILIDADES:</w:t>
      </w:r>
    </w:p>
    <w:p>
      <w:pPr>
        <w:pStyle w:val="PargrafodaLista"/>
        <w:numPr>
          <w:ilvl w:val="1"/>
          <w:numId w:val="58"/>
        </w:numPr>
        <w:tabs>
          <w:tab w:val="left" w:pos="567"/>
          <w:tab w:val="left" w:pos="851"/>
          <w:tab w:val="left" w:pos="2525"/>
          <w:tab w:val="center" w:pos="4873"/>
        </w:tabs>
        <w:suppressAutoHyphens w:val="0"/>
        <w:spacing w:line="276" w:lineRule="auto"/>
        <w:jc w:val="both"/>
        <w:rPr>
          <w:rFonts w:asciiTheme="majorHAnsi" w:hAnsiTheme="majorHAnsi" w:cstheme="majorHAnsi"/>
          <w:b/>
          <w:sz w:val="24"/>
          <w:szCs w:val="24"/>
        </w:rPr>
      </w:pPr>
      <w:r>
        <w:rPr>
          <w:rFonts w:asciiTheme="majorHAnsi" w:hAnsiTheme="majorHAnsi" w:cstheme="majorHAnsi"/>
          <w:b/>
          <w:sz w:val="24"/>
          <w:szCs w:val="24"/>
        </w:rPr>
        <w:t>As partes se obrigam reciprocamente a cumprir integralmente as disposições do instrumento convocatório da Lei Nº. 14.133.</w:t>
      </w:r>
    </w:p>
    <w:p>
      <w:pPr>
        <w:pStyle w:val="PargrafodaLista"/>
        <w:numPr>
          <w:ilvl w:val="1"/>
          <w:numId w:val="58"/>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
          <w:sz w:val="24"/>
          <w:szCs w:val="24"/>
        </w:rPr>
      </w:pPr>
      <w:r>
        <w:rPr>
          <w:rFonts w:asciiTheme="majorHAnsi" w:hAnsiTheme="majorHAnsi" w:cstheme="majorHAnsi"/>
          <w:b/>
          <w:sz w:val="24"/>
          <w:szCs w:val="24"/>
        </w:rPr>
        <w:t xml:space="preserve">São obrigações do </w:t>
      </w:r>
      <w:r>
        <w:rPr>
          <w:rFonts w:asciiTheme="majorHAnsi" w:hAnsiTheme="majorHAnsi" w:cstheme="majorHAnsi"/>
          <w:b/>
          <w:sz w:val="24"/>
          <w:szCs w:val="24"/>
          <w:u w:val="single"/>
        </w:rPr>
        <w:t>contratante</w:t>
      </w:r>
      <w:r>
        <w:rPr>
          <w:rFonts w:asciiTheme="majorHAnsi" w:hAnsiTheme="majorHAnsi" w:cstheme="majorHAnsi"/>
          <w:b/>
          <w:sz w:val="24"/>
          <w:szCs w:val="24"/>
        </w:rPr>
        <w:t xml:space="preserve">, nos termos do </w:t>
      </w:r>
      <w:hyperlink r:id="rId41" w:anchor="art92" w:history="1">
        <w:r>
          <w:rPr>
            <w:rStyle w:val="Hyperlink"/>
            <w:rFonts w:asciiTheme="majorHAnsi" w:hAnsiTheme="majorHAnsi" w:cstheme="majorHAnsi"/>
            <w:b/>
            <w:sz w:val="24"/>
            <w:szCs w:val="24"/>
          </w:rPr>
          <w:t>art. 92, X, XI e XIV</w:t>
        </w:r>
      </w:hyperlink>
      <w:r>
        <w:rPr>
          <w:rFonts w:asciiTheme="majorHAnsi" w:hAnsiTheme="majorHAnsi" w:cstheme="majorHAnsi"/>
          <w:b/>
          <w:sz w:val="24"/>
          <w:szCs w:val="24"/>
        </w:rPr>
        <w:t xml:space="preserve"> da Lei Federal n.º 14.133/21:</w:t>
      </w:r>
    </w:p>
    <w:p>
      <w:pPr>
        <w:pStyle w:val="PargrafodaLista"/>
        <w:numPr>
          <w:ilvl w:val="2"/>
          <w:numId w:val="58"/>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Exigir o cumprimento de todas as obrigações assumidas pelo Contratado, de acordo com o contrato e seus anexos.</w:t>
      </w:r>
    </w:p>
    <w:p>
      <w:pPr>
        <w:pStyle w:val="PargrafodaLista"/>
        <w:numPr>
          <w:ilvl w:val="2"/>
          <w:numId w:val="58"/>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Receber o objeto no prazo e condições estabelecidas no Termo de Referência.</w:t>
      </w:r>
    </w:p>
    <w:p>
      <w:pPr>
        <w:pStyle w:val="PargrafodaLista"/>
        <w:numPr>
          <w:ilvl w:val="2"/>
          <w:numId w:val="58"/>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Notificar o Contratado, por escrito, sobre vícios, defeitos ou incorreções verificadas no objeto fornecido, para que seja por ele substituído, reparado ou corrigido, no total ou em parte, às suas expensas.</w:t>
      </w:r>
    </w:p>
    <w:p>
      <w:pPr>
        <w:pStyle w:val="PargrafodaLista"/>
        <w:numPr>
          <w:ilvl w:val="2"/>
          <w:numId w:val="58"/>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Acompanhar e fiscalizar a execução do contrato e o cumprimento das obrigações pelo Contratado.</w:t>
      </w:r>
    </w:p>
    <w:p>
      <w:pPr>
        <w:pStyle w:val="PargrafodaLista"/>
        <w:numPr>
          <w:ilvl w:val="2"/>
          <w:numId w:val="58"/>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Comunicar a empresa para emissão de Nota Fiscal no que pertine à parcela incontroversa da execução do objeto, para efeito de liquidação e pagamento, quando houver controvérsia sobre a execução do objeto, quanto à dimensão, qualidade e quantidade, conforme o </w:t>
      </w:r>
      <w:hyperlink r:id="rId42" w:anchor="art143" w:history="1">
        <w:r>
          <w:rPr>
            <w:rStyle w:val="Hyperlink"/>
            <w:rFonts w:asciiTheme="majorHAnsi" w:hAnsiTheme="majorHAnsi" w:cstheme="majorHAnsi"/>
            <w:bCs/>
            <w:sz w:val="24"/>
            <w:szCs w:val="24"/>
          </w:rPr>
          <w:t>art. 143 da Lei nº 14.133, de 2021</w:t>
        </w:r>
      </w:hyperlink>
      <w:r>
        <w:rPr>
          <w:rFonts w:asciiTheme="majorHAnsi" w:hAnsiTheme="majorHAnsi" w:cstheme="majorHAnsi"/>
          <w:bCs/>
          <w:sz w:val="24"/>
          <w:szCs w:val="24"/>
        </w:rPr>
        <w:t>.</w:t>
      </w:r>
    </w:p>
    <w:p>
      <w:pPr>
        <w:pStyle w:val="PargrafodaLista"/>
        <w:numPr>
          <w:ilvl w:val="2"/>
          <w:numId w:val="58"/>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Efetuar o pagamento ao Contratado do valor correspondente ao fornecimento do objeto, no prazo, forma e condições estabelecidos no presente Contrato.</w:t>
      </w:r>
    </w:p>
    <w:p>
      <w:pPr>
        <w:pStyle w:val="PargrafodaLista"/>
        <w:numPr>
          <w:ilvl w:val="2"/>
          <w:numId w:val="58"/>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Aplicar ao Contratado as sanções previstas na lei e neste Contrato.</w:t>
      </w:r>
    </w:p>
    <w:p>
      <w:pPr>
        <w:pStyle w:val="PargrafodaLista"/>
        <w:numPr>
          <w:ilvl w:val="2"/>
          <w:numId w:val="58"/>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Cientificar o órgão de representação judicial do Município para adoção das medidas cabíveis quando do descumprimento de obrigações pelo Contratado.</w:t>
      </w:r>
    </w:p>
    <w:p>
      <w:pPr>
        <w:pStyle w:val="PargrafodaLista"/>
        <w:numPr>
          <w:ilvl w:val="2"/>
          <w:numId w:val="58"/>
        </w:numPr>
        <w:tabs>
          <w:tab w:val="left" w:pos="709"/>
          <w:tab w:val="left" w:pos="851"/>
          <w:tab w:val="left" w:pos="993"/>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PargrafodaLista"/>
        <w:numPr>
          <w:ilvl w:val="2"/>
          <w:numId w:val="58"/>
        </w:numPr>
        <w:tabs>
          <w:tab w:val="left" w:pos="709"/>
          <w:tab w:val="left" w:pos="851"/>
          <w:tab w:val="left" w:pos="993"/>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lastRenderedPageBreak/>
        <w:t xml:space="preserve"> A Administração terá o prazo de 01 (um) mês, nos termos do art. 123, parágrafo único, da Lei n.º 14.133, de 2021 e o art. 28, do Decreto n.º 11.246, de 2022, a contar da data do protocolo do requerimento para decidir, admitida a prorrogação motivada, por igual período. </w:t>
      </w:r>
    </w:p>
    <w:p>
      <w:pPr>
        <w:pStyle w:val="PargrafodaLista"/>
        <w:numPr>
          <w:ilvl w:val="2"/>
          <w:numId w:val="58"/>
        </w:numPr>
        <w:tabs>
          <w:tab w:val="left" w:pos="709"/>
          <w:tab w:val="left" w:pos="851"/>
          <w:tab w:val="left" w:pos="993"/>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Responder eventuais pedidos de reestabelecimento do equilíbrio econômico-financeiro feitos pelo contratado no prazo máximo de 01 (um) mês, nos termos do art. 123, parágrafo único, da Lei n.º 14.133, de 2021.</w:t>
      </w:r>
    </w:p>
    <w:p>
      <w:pPr>
        <w:pStyle w:val="PargrafodaLista"/>
        <w:numPr>
          <w:ilvl w:val="2"/>
          <w:numId w:val="58"/>
        </w:numPr>
        <w:tabs>
          <w:tab w:val="left" w:pos="709"/>
          <w:tab w:val="left" w:pos="851"/>
          <w:tab w:val="left" w:pos="993"/>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Notificar os emitentes das garantias quanto ao início de processo administrativo para apuração de descumprimento de cláusulas contratuais.</w:t>
      </w:r>
    </w:p>
    <w:p>
      <w:pPr>
        <w:pStyle w:val="PargrafodaLista"/>
        <w:numPr>
          <w:ilvl w:val="2"/>
          <w:numId w:val="58"/>
        </w:numPr>
        <w:tabs>
          <w:tab w:val="left" w:pos="709"/>
          <w:tab w:val="left" w:pos="851"/>
          <w:tab w:val="left" w:pos="993"/>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PargrafodaLista"/>
        <w:numPr>
          <w:ilvl w:val="2"/>
          <w:numId w:val="58"/>
        </w:numPr>
        <w:tabs>
          <w:tab w:val="left" w:pos="709"/>
          <w:tab w:val="left" w:pos="851"/>
          <w:tab w:val="left" w:pos="993"/>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sz w:val="24"/>
          <w:szCs w:val="24"/>
        </w:rPr>
        <w:t>Indicar o local e horário em que deverão ser entregues os produtos/materiais/equipamentos.</w:t>
      </w:r>
    </w:p>
    <w:p>
      <w:pPr>
        <w:pStyle w:val="PargrafodaLista"/>
        <w:numPr>
          <w:ilvl w:val="2"/>
          <w:numId w:val="58"/>
        </w:numPr>
        <w:tabs>
          <w:tab w:val="left" w:pos="709"/>
          <w:tab w:val="left" w:pos="851"/>
          <w:tab w:val="left" w:pos="993"/>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sz w:val="24"/>
          <w:szCs w:val="24"/>
        </w:rPr>
        <w:t>Permitir ao pessoal da CONTRATADA acesso ao local da entrega desde que observadas as normas de segurança.</w:t>
      </w:r>
    </w:p>
    <w:p>
      <w:pPr>
        <w:pStyle w:val="PargrafodaLista"/>
        <w:numPr>
          <w:ilvl w:val="1"/>
          <w:numId w:val="58"/>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
          <w:sz w:val="24"/>
          <w:szCs w:val="24"/>
        </w:rPr>
      </w:pPr>
      <w:r>
        <w:rPr>
          <w:rFonts w:asciiTheme="majorHAnsi" w:hAnsiTheme="majorHAnsi" w:cstheme="majorHAnsi"/>
          <w:b/>
          <w:sz w:val="24"/>
          <w:szCs w:val="24"/>
        </w:rPr>
        <w:t xml:space="preserve">São obrigações do </w:t>
      </w:r>
      <w:r>
        <w:rPr>
          <w:rFonts w:asciiTheme="majorHAnsi" w:hAnsiTheme="majorHAnsi" w:cstheme="majorHAnsi"/>
          <w:b/>
          <w:sz w:val="24"/>
          <w:szCs w:val="24"/>
          <w:u w:val="single"/>
        </w:rPr>
        <w:t>contratado</w:t>
      </w:r>
      <w:r>
        <w:rPr>
          <w:rFonts w:asciiTheme="majorHAnsi" w:hAnsiTheme="majorHAnsi" w:cstheme="majorHAnsi"/>
          <w:b/>
          <w:sz w:val="24"/>
          <w:szCs w:val="24"/>
        </w:rPr>
        <w:t xml:space="preserve">, nos termos do </w:t>
      </w:r>
      <w:hyperlink r:id="rId43" w:anchor="art92" w:history="1">
        <w:r>
          <w:rPr>
            <w:rStyle w:val="Hyperlink"/>
            <w:rFonts w:asciiTheme="majorHAnsi" w:hAnsiTheme="majorHAnsi" w:cstheme="majorHAnsi"/>
            <w:b/>
            <w:sz w:val="24"/>
            <w:szCs w:val="24"/>
          </w:rPr>
          <w:t>art. 92, XIV, XVI e XVII</w:t>
        </w:r>
      </w:hyperlink>
      <w:r>
        <w:rPr>
          <w:rFonts w:asciiTheme="majorHAnsi" w:hAnsiTheme="majorHAnsi" w:cstheme="majorHAnsi"/>
          <w:b/>
          <w:sz w:val="24"/>
          <w:szCs w:val="24"/>
        </w:rPr>
        <w:t xml:space="preserve"> da Lei Federal n.º 14.133/21:</w:t>
      </w:r>
    </w:p>
    <w:p>
      <w:pPr>
        <w:pStyle w:val="PargrafodaLista"/>
        <w:numPr>
          <w:ilvl w:val="2"/>
          <w:numId w:val="58"/>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O Contratado deve cumprir todas as obrigações constantes do Contrato e em seus anexos, assumindo como exclusivamente seus os riscos e as despesas decorrentes da boa e perfeita execução do objeto, observando, ainda, as obrigações a seguir dispostas:</w:t>
      </w:r>
    </w:p>
    <w:p>
      <w:pPr>
        <w:pStyle w:val="PargrafodaLista"/>
        <w:numPr>
          <w:ilvl w:val="0"/>
          <w:numId w:val="33"/>
        </w:numPr>
        <w:tabs>
          <w:tab w:val="left" w:pos="142"/>
          <w:tab w:val="left" w:pos="284"/>
        </w:tabs>
        <w:suppressAutoHyphens w:val="0"/>
        <w:spacing w:after="200" w:line="276" w:lineRule="auto"/>
        <w:ind w:left="0" w:firstLine="0"/>
        <w:jc w:val="both"/>
        <w:rPr>
          <w:rFonts w:asciiTheme="majorHAnsi" w:hAnsiTheme="majorHAnsi" w:cstheme="majorHAnsi"/>
          <w:sz w:val="24"/>
          <w:szCs w:val="24"/>
        </w:rPr>
      </w:pPr>
      <w:r>
        <w:rPr>
          <w:rFonts w:asciiTheme="majorHAnsi" w:hAnsiTheme="majorHAnsi"/>
          <w:sz w:val="24"/>
          <w:szCs w:val="24"/>
        </w:rPr>
        <w:t>Executar os serviços de recarga de suprimentos de impressão, manutenção preventiva e corretiva das impressoras, com fornecimento e substituição das peças necessárias, em conformidade com as especificações constantes neste Termo de Referência, na proposta apresentada e no contrato</w:t>
      </w:r>
      <w:r>
        <w:rPr>
          <w:rFonts w:asciiTheme="majorHAnsi" w:hAnsiTheme="majorHAnsi" w:cstheme="majorHAnsi"/>
          <w:sz w:val="24"/>
          <w:szCs w:val="24"/>
        </w:rPr>
        <w:t>.</w:t>
      </w:r>
    </w:p>
    <w:p>
      <w:pPr>
        <w:pStyle w:val="PargrafodaLista"/>
        <w:numPr>
          <w:ilvl w:val="0"/>
          <w:numId w:val="33"/>
        </w:numPr>
        <w:tabs>
          <w:tab w:val="left" w:pos="142"/>
          <w:tab w:val="left" w:pos="284"/>
        </w:tabs>
        <w:suppressAutoHyphens w:val="0"/>
        <w:spacing w:after="200" w:line="276" w:lineRule="auto"/>
        <w:ind w:left="0" w:firstLine="0"/>
        <w:jc w:val="both"/>
        <w:rPr>
          <w:rFonts w:asciiTheme="majorHAnsi" w:hAnsiTheme="majorHAnsi" w:cstheme="majorHAnsi"/>
          <w:sz w:val="24"/>
          <w:szCs w:val="24"/>
        </w:rPr>
      </w:pPr>
      <w:r>
        <w:rPr>
          <w:rFonts w:asciiTheme="majorHAnsi" w:hAnsiTheme="majorHAnsi"/>
          <w:sz w:val="24"/>
          <w:szCs w:val="24"/>
        </w:rPr>
        <w:t>Responsabilizar-se integralmente pelos danos causados à Administração ou a terceiros em decorrência de ação ou omissão de seus empregados, prepostos ou representantes na execução do contrato.</w:t>
      </w:r>
    </w:p>
    <w:p>
      <w:pPr>
        <w:pStyle w:val="PargrafodaLista"/>
        <w:numPr>
          <w:ilvl w:val="0"/>
          <w:numId w:val="33"/>
        </w:numPr>
        <w:tabs>
          <w:tab w:val="left" w:pos="284"/>
        </w:tabs>
        <w:suppressAutoHyphens w:val="0"/>
        <w:spacing w:after="200" w:line="276" w:lineRule="auto"/>
        <w:ind w:left="0" w:firstLine="0"/>
        <w:jc w:val="both"/>
        <w:rPr>
          <w:rFonts w:asciiTheme="majorHAnsi" w:hAnsiTheme="majorHAnsi" w:cstheme="majorHAnsi"/>
          <w:sz w:val="24"/>
          <w:szCs w:val="24"/>
        </w:rPr>
      </w:pPr>
      <w:r>
        <w:rPr>
          <w:rFonts w:asciiTheme="majorHAnsi" w:hAnsiTheme="majorHAnsi" w:cstheme="majorHAnsi"/>
          <w:sz w:val="24"/>
          <w:szCs w:val="24"/>
        </w:rPr>
        <w:t>Responsabilizar-se pelos vícios e danos decorrentes do objeto, de acordo com o Código de Defesa do Consumidor (</w:t>
      </w:r>
      <w:hyperlink r:id="rId44" w:history="1">
        <w:r>
          <w:rPr>
            <w:rStyle w:val="Hyperlink"/>
            <w:rFonts w:asciiTheme="majorHAnsi" w:hAnsiTheme="majorHAnsi" w:cstheme="majorHAnsi"/>
            <w:sz w:val="24"/>
            <w:szCs w:val="24"/>
          </w:rPr>
          <w:t>Lei nº 8.078, de 1990</w:t>
        </w:r>
      </w:hyperlink>
      <w:r>
        <w:rPr>
          <w:rFonts w:asciiTheme="majorHAnsi" w:hAnsiTheme="majorHAnsi" w:cstheme="majorHAnsi"/>
          <w:sz w:val="24"/>
          <w:szCs w:val="24"/>
        </w:rPr>
        <w:t>).</w:t>
      </w:r>
    </w:p>
    <w:p>
      <w:pPr>
        <w:pStyle w:val="PargrafodaLista"/>
        <w:numPr>
          <w:ilvl w:val="0"/>
          <w:numId w:val="33"/>
        </w:numPr>
        <w:tabs>
          <w:tab w:val="left" w:pos="284"/>
        </w:tabs>
        <w:suppressAutoHyphens w:val="0"/>
        <w:spacing w:after="200" w:line="276" w:lineRule="auto"/>
        <w:ind w:left="0" w:firstLine="0"/>
        <w:jc w:val="both"/>
        <w:rPr>
          <w:rFonts w:asciiTheme="majorHAnsi" w:hAnsiTheme="majorHAnsi" w:cstheme="majorHAnsi"/>
          <w:sz w:val="24"/>
          <w:szCs w:val="24"/>
        </w:rPr>
      </w:pPr>
      <w:r>
        <w:rPr>
          <w:rFonts w:asciiTheme="majorHAnsi" w:hAnsiTheme="majorHAnsi" w:cstheme="majorHAnsi"/>
          <w:sz w:val="24"/>
          <w:szCs w:val="24"/>
        </w:rPr>
        <w:t>Comunicar ao contratante, no prazo máximo de 24 (vinte e quatro) horas que antecede a data da entrega, os motivos que impossibilitem o cumprimento do prazo previsto, com a devida comprovação.</w:t>
      </w:r>
    </w:p>
    <w:p>
      <w:pPr>
        <w:pStyle w:val="PargrafodaLista"/>
        <w:numPr>
          <w:ilvl w:val="0"/>
          <w:numId w:val="33"/>
        </w:numPr>
        <w:tabs>
          <w:tab w:val="left" w:pos="284"/>
        </w:tabs>
        <w:suppressAutoHyphens w:val="0"/>
        <w:spacing w:after="200" w:line="276" w:lineRule="auto"/>
        <w:ind w:left="0" w:firstLine="0"/>
        <w:jc w:val="both"/>
        <w:rPr>
          <w:rFonts w:asciiTheme="majorHAnsi" w:hAnsiTheme="majorHAnsi" w:cstheme="majorHAnsi"/>
          <w:sz w:val="24"/>
          <w:szCs w:val="24"/>
        </w:rPr>
      </w:pPr>
      <w:r>
        <w:rPr>
          <w:rFonts w:asciiTheme="majorHAnsi" w:hAnsiTheme="majorHAnsi" w:cstheme="majorHAnsi"/>
          <w:sz w:val="24"/>
          <w:szCs w:val="24"/>
        </w:rPr>
        <w:t>Atender às determinações regulares emitidas pelo fiscal ou gestor do contrato ou autoridade superior (</w:t>
      </w:r>
      <w:hyperlink r:id="rId45" w:anchor="art137" w:history="1">
        <w:r>
          <w:rPr>
            <w:rStyle w:val="Hyperlink"/>
            <w:rFonts w:asciiTheme="majorHAnsi" w:hAnsiTheme="majorHAnsi" w:cstheme="majorHAnsi"/>
            <w:sz w:val="24"/>
            <w:szCs w:val="24"/>
          </w:rPr>
          <w:t>art. 137, II, da Lei n.º 14.133, de 2021</w:t>
        </w:r>
      </w:hyperlink>
      <w:r>
        <w:rPr>
          <w:rFonts w:asciiTheme="majorHAnsi" w:hAnsiTheme="majorHAnsi" w:cstheme="majorHAnsi"/>
          <w:sz w:val="24"/>
          <w:szCs w:val="24"/>
        </w:rPr>
        <w:t>) e prestar todo esclarecimento ou informação por eles solicitados.</w:t>
      </w:r>
    </w:p>
    <w:p>
      <w:pPr>
        <w:pStyle w:val="PargrafodaLista"/>
        <w:numPr>
          <w:ilvl w:val="0"/>
          <w:numId w:val="33"/>
        </w:numPr>
        <w:tabs>
          <w:tab w:val="left" w:pos="284"/>
        </w:tabs>
        <w:suppressAutoHyphens w:val="0"/>
        <w:spacing w:after="200" w:line="276" w:lineRule="auto"/>
        <w:ind w:left="0" w:firstLine="0"/>
        <w:jc w:val="both"/>
        <w:rPr>
          <w:rFonts w:asciiTheme="majorHAnsi" w:hAnsiTheme="majorHAnsi" w:cstheme="majorHAnsi"/>
          <w:sz w:val="24"/>
          <w:szCs w:val="24"/>
        </w:rPr>
      </w:pPr>
      <w:r>
        <w:rPr>
          <w:rFonts w:asciiTheme="majorHAnsi" w:hAnsiTheme="majorHAnsi" w:cstheme="majorHAnsi"/>
          <w:sz w:val="24"/>
          <w:szCs w:val="24"/>
        </w:rPr>
        <w:t>Reparar, corrigir, remover, reconstruir ou substituir, às suas expensas, no total ou em parte, no prazo fixado pelo fiscal do contrato, os produtos nos quais se verificarem vícios, defeitos ou incorreções resultantes da execução ou dos materiais empregados.</w:t>
      </w:r>
    </w:p>
    <w:p>
      <w:pPr>
        <w:pStyle w:val="PargrafodaLista"/>
        <w:numPr>
          <w:ilvl w:val="0"/>
          <w:numId w:val="33"/>
        </w:numPr>
        <w:tabs>
          <w:tab w:val="left" w:pos="284"/>
        </w:tabs>
        <w:suppressAutoHyphens w:val="0"/>
        <w:spacing w:after="200" w:line="276" w:lineRule="auto"/>
        <w:ind w:left="0" w:firstLine="0"/>
        <w:jc w:val="both"/>
        <w:rPr>
          <w:rFonts w:asciiTheme="majorHAnsi" w:hAnsiTheme="majorHAnsi" w:cstheme="majorHAnsi"/>
          <w:sz w:val="24"/>
          <w:szCs w:val="24"/>
        </w:rPr>
      </w:pPr>
      <w:r>
        <w:rPr>
          <w:rFonts w:asciiTheme="majorHAnsi" w:hAnsiTheme="majorHAnsi" w:cstheme="majorHAnsi"/>
          <w:sz w:val="24"/>
          <w:szCs w:val="24"/>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PargrafodaLista"/>
        <w:numPr>
          <w:ilvl w:val="0"/>
          <w:numId w:val="33"/>
        </w:numPr>
        <w:tabs>
          <w:tab w:val="left" w:pos="284"/>
        </w:tabs>
        <w:suppressAutoHyphens w:val="0"/>
        <w:spacing w:after="200" w:line="276" w:lineRule="auto"/>
        <w:ind w:left="0" w:firstLine="0"/>
        <w:jc w:val="both"/>
        <w:rPr>
          <w:rFonts w:asciiTheme="majorHAnsi" w:hAnsiTheme="majorHAnsi" w:cstheme="majorHAnsi"/>
          <w:sz w:val="24"/>
          <w:szCs w:val="24"/>
        </w:rPr>
      </w:pPr>
      <w:r>
        <w:rPr>
          <w:rFonts w:asciiTheme="majorHAnsi" w:hAnsiTheme="majorHAnsi" w:cstheme="majorHAnsi"/>
          <w:sz w:val="24"/>
          <w:szCs w:val="24"/>
        </w:rPr>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pPr>
        <w:pStyle w:val="PargrafodaLista"/>
        <w:numPr>
          <w:ilvl w:val="0"/>
          <w:numId w:val="33"/>
        </w:numPr>
        <w:tabs>
          <w:tab w:val="left" w:pos="284"/>
        </w:tabs>
        <w:suppressAutoHyphens w:val="0"/>
        <w:spacing w:after="200" w:line="276" w:lineRule="auto"/>
        <w:ind w:left="0" w:firstLine="0"/>
        <w:jc w:val="both"/>
        <w:rPr>
          <w:rFonts w:asciiTheme="majorHAnsi" w:hAnsiTheme="majorHAnsi" w:cstheme="majorHAnsi"/>
          <w:sz w:val="24"/>
          <w:szCs w:val="24"/>
        </w:rPr>
      </w:pPr>
      <w:r>
        <w:rPr>
          <w:rFonts w:asciiTheme="majorHAnsi" w:hAnsiTheme="majorHAnsi" w:cstheme="majorHAnsi"/>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PargrafodaLista"/>
        <w:numPr>
          <w:ilvl w:val="0"/>
          <w:numId w:val="33"/>
        </w:numPr>
        <w:tabs>
          <w:tab w:val="left" w:pos="142"/>
        </w:tabs>
        <w:suppressAutoHyphens w:val="0"/>
        <w:spacing w:after="200" w:line="276" w:lineRule="auto"/>
        <w:ind w:left="0" w:firstLine="0"/>
        <w:jc w:val="both"/>
        <w:rPr>
          <w:rFonts w:asciiTheme="majorHAnsi" w:hAnsiTheme="majorHAnsi" w:cstheme="majorHAnsi"/>
          <w:sz w:val="24"/>
          <w:szCs w:val="24"/>
        </w:rPr>
      </w:pPr>
      <w:r>
        <w:rPr>
          <w:rFonts w:asciiTheme="majorHAnsi" w:hAnsiTheme="majorHAnsi" w:cstheme="majorHAnsi"/>
          <w:sz w:val="24"/>
          <w:szCs w:val="24"/>
        </w:rPr>
        <w:t>Comunicar ao Fiscal do contrato, no prazo de 24 (vinte e quatro) horas, qualquer ocorrência anormal ou acidente que se verifique no local da execução do objeto contratual.</w:t>
      </w:r>
    </w:p>
    <w:p>
      <w:pPr>
        <w:pStyle w:val="PargrafodaLista"/>
        <w:numPr>
          <w:ilvl w:val="0"/>
          <w:numId w:val="33"/>
        </w:numPr>
        <w:tabs>
          <w:tab w:val="left" w:pos="142"/>
        </w:tabs>
        <w:suppressAutoHyphens w:val="0"/>
        <w:spacing w:after="200" w:line="276" w:lineRule="auto"/>
        <w:ind w:left="0" w:firstLine="0"/>
        <w:jc w:val="both"/>
        <w:rPr>
          <w:rFonts w:asciiTheme="majorHAnsi" w:hAnsiTheme="majorHAnsi" w:cstheme="majorHAnsi"/>
          <w:sz w:val="24"/>
          <w:szCs w:val="24"/>
        </w:rPr>
      </w:pPr>
      <w:r>
        <w:rPr>
          <w:rFonts w:asciiTheme="majorHAnsi" w:hAnsiTheme="majorHAnsi" w:cstheme="majorHAnsi"/>
          <w:sz w:val="24"/>
          <w:szCs w:val="24"/>
        </w:rPr>
        <w:t>Paralisar, por determinação do contratante, qualquer atividade que não esteja sendo executada de acordo com a boa técnica ou que ponha em risco a segurança de pessoas ou bens de terceiros.</w:t>
      </w:r>
    </w:p>
    <w:p>
      <w:pPr>
        <w:pStyle w:val="PargrafodaLista"/>
        <w:numPr>
          <w:ilvl w:val="0"/>
          <w:numId w:val="33"/>
        </w:numPr>
        <w:tabs>
          <w:tab w:val="left" w:pos="284"/>
        </w:tabs>
        <w:suppressAutoHyphens w:val="0"/>
        <w:spacing w:after="200" w:line="276" w:lineRule="auto"/>
        <w:ind w:left="0" w:firstLine="0"/>
        <w:jc w:val="both"/>
        <w:rPr>
          <w:rFonts w:asciiTheme="majorHAnsi" w:hAnsiTheme="majorHAnsi" w:cstheme="majorHAnsi"/>
          <w:sz w:val="24"/>
          <w:szCs w:val="24"/>
        </w:rPr>
      </w:pPr>
      <w:r>
        <w:rPr>
          <w:rFonts w:asciiTheme="majorHAnsi" w:hAnsiTheme="majorHAnsi" w:cstheme="majorHAnsi"/>
          <w:sz w:val="24"/>
          <w:szCs w:val="24"/>
        </w:rPr>
        <w:t>Manter durante toda a vigência do contrato, em compatibilidade com as obrigações assumidas, todas as condições exigidas para habilitação na licitação.</w:t>
      </w:r>
    </w:p>
    <w:p>
      <w:pPr>
        <w:pStyle w:val="PargrafodaLista"/>
        <w:numPr>
          <w:ilvl w:val="0"/>
          <w:numId w:val="33"/>
        </w:numPr>
        <w:tabs>
          <w:tab w:val="left" w:pos="284"/>
        </w:tabs>
        <w:suppressAutoHyphens w:val="0"/>
        <w:spacing w:after="200" w:line="276" w:lineRule="auto"/>
        <w:ind w:left="0" w:firstLine="0"/>
        <w:jc w:val="both"/>
        <w:rPr>
          <w:rFonts w:asciiTheme="majorHAnsi" w:hAnsiTheme="majorHAnsi" w:cstheme="majorHAnsi"/>
          <w:sz w:val="24"/>
          <w:szCs w:val="24"/>
        </w:rPr>
      </w:pPr>
      <w:r>
        <w:rPr>
          <w:rFonts w:asciiTheme="majorHAnsi" w:hAnsiTheme="majorHAnsi" w:cstheme="majorHAnsi"/>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46" w:anchor="art116" w:history="1">
        <w:r>
          <w:rPr>
            <w:rStyle w:val="Hyperlink"/>
            <w:rFonts w:asciiTheme="majorHAnsi" w:hAnsiTheme="majorHAnsi" w:cstheme="majorHAnsi"/>
            <w:sz w:val="24"/>
            <w:szCs w:val="24"/>
          </w:rPr>
          <w:t>art. 116, da Lei n.º 14.133, de 2021</w:t>
        </w:r>
      </w:hyperlink>
      <w:r>
        <w:rPr>
          <w:rFonts w:asciiTheme="majorHAnsi" w:hAnsiTheme="majorHAnsi" w:cstheme="majorHAnsi"/>
          <w:sz w:val="24"/>
          <w:szCs w:val="24"/>
        </w:rPr>
        <w:t>).</w:t>
      </w:r>
    </w:p>
    <w:p>
      <w:pPr>
        <w:pStyle w:val="PargrafodaLista"/>
        <w:numPr>
          <w:ilvl w:val="0"/>
          <w:numId w:val="33"/>
        </w:numPr>
        <w:tabs>
          <w:tab w:val="left" w:pos="426"/>
        </w:tabs>
        <w:suppressAutoHyphens w:val="0"/>
        <w:spacing w:after="200" w:line="276" w:lineRule="auto"/>
        <w:ind w:left="0" w:firstLine="0"/>
        <w:jc w:val="both"/>
        <w:rPr>
          <w:rFonts w:asciiTheme="majorHAnsi" w:hAnsiTheme="majorHAnsi" w:cstheme="majorHAnsi"/>
          <w:sz w:val="24"/>
          <w:szCs w:val="24"/>
        </w:rPr>
      </w:pPr>
      <w:r>
        <w:rPr>
          <w:rFonts w:asciiTheme="majorHAnsi" w:hAnsiTheme="majorHAnsi" w:cstheme="majorHAnsi"/>
          <w:sz w:val="24"/>
          <w:szCs w:val="24"/>
        </w:rPr>
        <w:t>Comprovar a reserva de cargos a que se refere a cláusula acima, no prazo fixado pelo fiscal do contrato, com a indicação dos empregados que preencheram as referidas vagas (</w:t>
      </w:r>
      <w:hyperlink r:id="rId47" w:anchor="art116" w:history="1">
        <w:r>
          <w:rPr>
            <w:rStyle w:val="Hyperlink"/>
            <w:rFonts w:asciiTheme="majorHAnsi" w:hAnsiTheme="majorHAnsi" w:cstheme="majorHAnsi"/>
            <w:sz w:val="24"/>
            <w:szCs w:val="24"/>
          </w:rPr>
          <w:t>art. 116, parágrafo único, da Lei n.º 14.133, de 2021</w:t>
        </w:r>
      </w:hyperlink>
      <w:r>
        <w:rPr>
          <w:rFonts w:asciiTheme="majorHAnsi" w:hAnsiTheme="majorHAnsi" w:cstheme="majorHAnsi"/>
          <w:sz w:val="24"/>
          <w:szCs w:val="24"/>
        </w:rPr>
        <w:t>).</w:t>
      </w:r>
    </w:p>
    <w:p>
      <w:pPr>
        <w:pStyle w:val="PargrafodaLista"/>
        <w:numPr>
          <w:ilvl w:val="0"/>
          <w:numId w:val="33"/>
        </w:numPr>
        <w:tabs>
          <w:tab w:val="left" w:pos="426"/>
        </w:tabs>
        <w:suppressAutoHyphens w:val="0"/>
        <w:spacing w:after="200" w:line="276" w:lineRule="auto"/>
        <w:ind w:left="0" w:firstLine="0"/>
        <w:jc w:val="both"/>
        <w:rPr>
          <w:rFonts w:asciiTheme="majorHAnsi" w:hAnsiTheme="majorHAnsi" w:cstheme="majorHAnsi"/>
          <w:sz w:val="24"/>
          <w:szCs w:val="24"/>
        </w:rPr>
      </w:pPr>
      <w:r>
        <w:rPr>
          <w:rFonts w:asciiTheme="majorHAnsi" w:hAnsiTheme="majorHAnsi" w:cstheme="majorHAnsi"/>
          <w:sz w:val="24"/>
          <w:szCs w:val="24"/>
        </w:rPr>
        <w:t>Guardar sigilo sobre todas as informações obtidas em decorrência do cumprimento do contrato.</w:t>
      </w:r>
    </w:p>
    <w:p>
      <w:pPr>
        <w:pStyle w:val="PargrafodaLista"/>
        <w:numPr>
          <w:ilvl w:val="0"/>
          <w:numId w:val="33"/>
        </w:numPr>
        <w:tabs>
          <w:tab w:val="left" w:pos="284"/>
        </w:tabs>
        <w:suppressAutoHyphens w:val="0"/>
        <w:spacing w:after="200" w:line="276" w:lineRule="auto"/>
        <w:ind w:left="0" w:firstLine="0"/>
        <w:jc w:val="both"/>
        <w:rPr>
          <w:rFonts w:asciiTheme="majorHAnsi" w:hAnsiTheme="majorHAnsi" w:cstheme="majorHAnsi"/>
          <w:sz w:val="24"/>
          <w:szCs w:val="24"/>
        </w:rPr>
      </w:pPr>
      <w:r>
        <w:rPr>
          <w:rFonts w:asciiTheme="majorHAnsi" w:hAnsiTheme="majorHAnsi" w:cstheme="majorHAnsi"/>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8" w:anchor="art124" w:history="1">
        <w:r>
          <w:rPr>
            <w:rStyle w:val="Hyperlink"/>
            <w:rFonts w:asciiTheme="majorHAnsi" w:hAnsiTheme="majorHAnsi" w:cstheme="majorHAnsi"/>
            <w:sz w:val="24"/>
            <w:szCs w:val="24"/>
          </w:rPr>
          <w:t>art. 124, II, d, da Lei nº 14.133, de 2021</w:t>
        </w:r>
      </w:hyperlink>
      <w:r>
        <w:rPr>
          <w:rFonts w:asciiTheme="majorHAnsi" w:hAnsiTheme="majorHAnsi" w:cstheme="majorHAnsi"/>
          <w:sz w:val="24"/>
          <w:szCs w:val="24"/>
        </w:rPr>
        <w:t>.</w:t>
      </w:r>
    </w:p>
    <w:p>
      <w:pPr>
        <w:pStyle w:val="PargrafodaLista"/>
        <w:numPr>
          <w:ilvl w:val="0"/>
          <w:numId w:val="33"/>
        </w:numPr>
        <w:tabs>
          <w:tab w:val="left" w:pos="284"/>
        </w:tabs>
        <w:suppressAutoHyphens w:val="0"/>
        <w:spacing w:after="200" w:line="276" w:lineRule="auto"/>
        <w:ind w:left="0" w:firstLine="0"/>
        <w:jc w:val="both"/>
        <w:rPr>
          <w:rFonts w:asciiTheme="majorHAnsi" w:hAnsiTheme="majorHAnsi" w:cstheme="majorHAnsi"/>
          <w:sz w:val="24"/>
          <w:szCs w:val="24"/>
        </w:rPr>
      </w:pPr>
      <w:r>
        <w:rPr>
          <w:rFonts w:asciiTheme="majorHAnsi" w:hAnsiTheme="majorHAnsi" w:cstheme="majorHAnsi"/>
          <w:sz w:val="24"/>
          <w:szCs w:val="24"/>
        </w:rPr>
        <w:t>Cumprir, além dos postulados legais vigentes de âmbito federal, estadual ou municipal, as normas de segurança do contratante.</w:t>
      </w:r>
    </w:p>
    <w:p>
      <w:pPr>
        <w:pStyle w:val="PargrafodaLista"/>
        <w:numPr>
          <w:ilvl w:val="0"/>
          <w:numId w:val="33"/>
        </w:numPr>
        <w:tabs>
          <w:tab w:val="left" w:pos="284"/>
        </w:tabs>
        <w:suppressAutoHyphens w:val="0"/>
        <w:spacing w:after="200" w:line="276" w:lineRule="auto"/>
        <w:ind w:left="0" w:firstLine="0"/>
        <w:jc w:val="both"/>
        <w:rPr>
          <w:rFonts w:asciiTheme="majorHAnsi" w:hAnsiTheme="majorHAnsi" w:cstheme="majorHAnsi"/>
          <w:sz w:val="24"/>
          <w:szCs w:val="24"/>
        </w:rPr>
      </w:pPr>
      <w:bookmarkStart w:id="72" w:name="_Ref118293001"/>
      <w:r>
        <w:rPr>
          <w:rFonts w:asciiTheme="majorHAnsi" w:hAnsiTheme="majorHAnsi" w:cstheme="majorHAnsi"/>
          <w:sz w:val="24"/>
          <w:szCs w:val="24"/>
        </w:rPr>
        <w:t xml:space="preserve">Alocar os empregados necessários, com habilitação e conhecimento adequados, ao perfeito cumprimento das cláusulas deste contrato, fornecendo os materiais, equipamentos, </w:t>
      </w:r>
      <w:r>
        <w:rPr>
          <w:rFonts w:asciiTheme="majorHAnsi" w:hAnsiTheme="majorHAnsi" w:cstheme="majorHAnsi"/>
          <w:sz w:val="24"/>
          <w:szCs w:val="24"/>
        </w:rPr>
        <w:lastRenderedPageBreak/>
        <w:t>ferramentas e utensílios demandados, cuja quantidade, qualidade e tecnologia deverão atender às recomendações de boa técnica e a legislação de regência</w:t>
      </w:r>
      <w:bookmarkEnd w:id="72"/>
      <w:r>
        <w:rPr>
          <w:rFonts w:asciiTheme="majorHAnsi" w:hAnsiTheme="majorHAnsi" w:cstheme="majorHAnsi"/>
          <w:sz w:val="24"/>
          <w:szCs w:val="24"/>
        </w:rPr>
        <w:t>.</w:t>
      </w:r>
    </w:p>
    <w:p>
      <w:pPr>
        <w:pStyle w:val="PargrafodaLista"/>
        <w:numPr>
          <w:ilvl w:val="0"/>
          <w:numId w:val="33"/>
        </w:numPr>
        <w:tabs>
          <w:tab w:val="left" w:pos="284"/>
        </w:tabs>
        <w:suppressAutoHyphens w:val="0"/>
        <w:spacing w:after="200" w:line="276" w:lineRule="auto"/>
        <w:ind w:left="0" w:firstLine="0"/>
        <w:jc w:val="both"/>
        <w:rPr>
          <w:rFonts w:asciiTheme="majorHAnsi" w:hAnsiTheme="majorHAnsi" w:cstheme="majorHAnsi"/>
          <w:sz w:val="24"/>
          <w:szCs w:val="24"/>
        </w:rPr>
      </w:pPr>
      <w:r>
        <w:rPr>
          <w:rFonts w:asciiTheme="majorHAnsi" w:hAnsiTheme="majorHAnsi" w:cstheme="majorHAnsi"/>
          <w:sz w:val="24"/>
          <w:szCs w:val="24"/>
        </w:rPr>
        <w:t>Orientar e treinar seus empregados sobre os deveres previstos na Lei nº 13.709, de 14 de agosto de 2018, se for o caso, adotando medidas eficazes para proteção de dados pessoais a que tenha acesso por força da execução deste contrato.</w:t>
      </w:r>
    </w:p>
    <w:p>
      <w:pPr>
        <w:pStyle w:val="PargrafodaLista"/>
        <w:numPr>
          <w:ilvl w:val="0"/>
          <w:numId w:val="33"/>
        </w:numPr>
        <w:tabs>
          <w:tab w:val="left" w:pos="284"/>
        </w:tabs>
        <w:suppressAutoHyphens w:val="0"/>
        <w:spacing w:after="200" w:line="276" w:lineRule="auto"/>
        <w:ind w:left="0" w:firstLine="0"/>
        <w:jc w:val="both"/>
        <w:rPr>
          <w:rFonts w:asciiTheme="majorHAnsi" w:hAnsiTheme="majorHAnsi" w:cstheme="majorHAnsi"/>
          <w:sz w:val="24"/>
          <w:szCs w:val="24"/>
        </w:rPr>
      </w:pPr>
      <w:r>
        <w:rPr>
          <w:rFonts w:asciiTheme="majorHAnsi" w:hAnsiTheme="majorHAnsi" w:cstheme="majorHAnsi"/>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PargrafodaLista"/>
        <w:numPr>
          <w:ilvl w:val="0"/>
          <w:numId w:val="33"/>
        </w:numPr>
        <w:tabs>
          <w:tab w:val="left" w:pos="284"/>
        </w:tabs>
        <w:suppressAutoHyphens w:val="0"/>
        <w:spacing w:after="200" w:line="276" w:lineRule="auto"/>
        <w:ind w:left="0" w:firstLine="0"/>
        <w:jc w:val="both"/>
        <w:rPr>
          <w:rFonts w:asciiTheme="majorHAnsi" w:hAnsiTheme="majorHAnsi" w:cstheme="majorHAnsi"/>
          <w:sz w:val="24"/>
          <w:szCs w:val="24"/>
        </w:rPr>
      </w:pPr>
      <w:r>
        <w:rPr>
          <w:rFonts w:asciiTheme="majorHAnsi" w:hAnsiTheme="majorHAnsi" w:cstheme="majorHAnsi"/>
          <w:sz w:val="24"/>
          <w:szCs w:val="24"/>
        </w:rPr>
        <w:t>Submeter previamente, por escrito, ao contratante, para análise e aprovação, quaisquer mudanças nos métodos executivos que fujam às especificações do memorial descritivo ou instrumento congênere.</w:t>
      </w:r>
    </w:p>
    <w:p>
      <w:pPr>
        <w:pStyle w:val="PargrafodaLista"/>
        <w:numPr>
          <w:ilvl w:val="0"/>
          <w:numId w:val="33"/>
        </w:numPr>
        <w:tabs>
          <w:tab w:val="left" w:pos="284"/>
        </w:tabs>
        <w:suppressAutoHyphens w:val="0"/>
        <w:spacing w:after="200" w:line="276" w:lineRule="auto"/>
        <w:ind w:left="0" w:firstLine="0"/>
        <w:jc w:val="both"/>
        <w:rPr>
          <w:rFonts w:asciiTheme="majorHAnsi" w:hAnsiTheme="majorHAnsi" w:cstheme="majorHAnsi"/>
          <w:sz w:val="24"/>
          <w:szCs w:val="24"/>
        </w:rPr>
      </w:pPr>
      <w:bookmarkStart w:id="73" w:name="_Ref118293030"/>
      <w:r>
        <w:rPr>
          <w:rFonts w:asciiTheme="majorHAnsi" w:hAnsiTheme="majorHAnsi" w:cstheme="majorHAnsi"/>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73"/>
    </w:p>
    <w:p>
      <w:pPr>
        <w:pStyle w:val="PargrafodaLista"/>
        <w:numPr>
          <w:ilvl w:val="0"/>
          <w:numId w:val="33"/>
        </w:numPr>
        <w:tabs>
          <w:tab w:val="left" w:pos="284"/>
        </w:tabs>
        <w:suppressAutoHyphens w:val="0"/>
        <w:spacing w:after="200" w:line="276" w:lineRule="auto"/>
        <w:ind w:left="0" w:firstLine="0"/>
        <w:jc w:val="both"/>
        <w:rPr>
          <w:rFonts w:asciiTheme="majorHAnsi" w:hAnsiTheme="majorHAnsi" w:cstheme="majorHAnsi"/>
          <w:sz w:val="24"/>
          <w:szCs w:val="24"/>
        </w:rPr>
      </w:pPr>
      <w:r>
        <w:rPr>
          <w:rFonts w:asciiTheme="majorHAnsi" w:hAnsiTheme="majorHAnsi" w:cstheme="majorHAnsi"/>
          <w:sz w:val="24"/>
          <w:szCs w:val="24"/>
        </w:rPr>
        <w:t>Assinar e devolver a ordem de compra ao Município de Miraíma/CE no prazo máximo de 24 (vinte e quatro) horas, a contar da data do seu recebimento.</w:t>
      </w:r>
    </w:p>
    <w:p>
      <w:pPr>
        <w:pStyle w:val="PargrafodaLista"/>
        <w:numPr>
          <w:ilvl w:val="0"/>
          <w:numId w:val="33"/>
        </w:numPr>
        <w:tabs>
          <w:tab w:val="left" w:pos="284"/>
        </w:tabs>
        <w:suppressAutoHyphens w:val="0"/>
        <w:spacing w:after="200" w:line="276" w:lineRule="auto"/>
        <w:ind w:left="0" w:firstLine="0"/>
        <w:jc w:val="both"/>
        <w:rPr>
          <w:rFonts w:asciiTheme="majorHAnsi" w:hAnsiTheme="majorHAnsi" w:cstheme="majorHAnsi"/>
          <w:sz w:val="24"/>
          <w:szCs w:val="24"/>
        </w:rPr>
      </w:pPr>
      <w:r>
        <w:rPr>
          <w:rFonts w:asciiTheme="majorHAnsi" w:hAnsiTheme="majorHAnsi" w:cstheme="majorHAnsi"/>
          <w:sz w:val="24"/>
          <w:szCs w:val="24"/>
        </w:rPr>
        <w:t>Entregar os itens licitados no prazo máximo estabelecido no termo de referência, contados do recebimento da ordem de compra, nos locais determinados pelo órgão solicitante,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da execução do contrato que lhes sejam imputáveis, inclusive com relação a terceiros, em decorrência da celebração do contrato.</w:t>
      </w:r>
    </w:p>
    <w:p>
      <w:pPr>
        <w:pStyle w:val="PargrafodaLista"/>
        <w:numPr>
          <w:ilvl w:val="0"/>
          <w:numId w:val="33"/>
        </w:numPr>
        <w:tabs>
          <w:tab w:val="left" w:pos="426"/>
        </w:tabs>
        <w:suppressAutoHyphens w:val="0"/>
        <w:spacing w:after="200" w:line="276" w:lineRule="auto"/>
        <w:ind w:left="0" w:firstLine="0"/>
        <w:jc w:val="both"/>
        <w:rPr>
          <w:rFonts w:asciiTheme="majorHAnsi" w:hAnsiTheme="majorHAnsi" w:cstheme="majorHAnsi"/>
          <w:sz w:val="24"/>
          <w:szCs w:val="24"/>
        </w:rPr>
      </w:pPr>
      <w:r>
        <w:rPr>
          <w:rFonts w:asciiTheme="majorHAnsi" w:hAnsiTheme="majorHAnsi" w:cstheme="majorHAnsi"/>
          <w:sz w:val="24"/>
          <w:szCs w:val="24"/>
        </w:rPr>
        <w:t>A reparar, corrigir, remover ou substituir, às suas expensas, no total ou em parte, o objeto do contrato em que se verificarem vícios, defeitos ou incorreções.</w:t>
      </w:r>
    </w:p>
    <w:p>
      <w:pPr>
        <w:pStyle w:val="PargrafodaLista"/>
        <w:numPr>
          <w:ilvl w:val="0"/>
          <w:numId w:val="33"/>
        </w:numPr>
        <w:tabs>
          <w:tab w:val="left" w:pos="284"/>
        </w:tabs>
        <w:suppressAutoHyphens w:val="0"/>
        <w:spacing w:after="200" w:line="276" w:lineRule="auto"/>
        <w:ind w:left="0" w:firstLine="0"/>
        <w:jc w:val="both"/>
        <w:rPr>
          <w:rFonts w:asciiTheme="majorHAnsi" w:hAnsiTheme="majorHAnsi" w:cstheme="majorHAnsi"/>
          <w:sz w:val="24"/>
          <w:szCs w:val="24"/>
        </w:rPr>
      </w:pPr>
      <w:r>
        <w:rPr>
          <w:rFonts w:asciiTheme="majorHAnsi" w:hAnsiTheme="majorHAnsi" w:cstheme="majorHAnsi"/>
          <w:sz w:val="24"/>
          <w:szCs w:val="24"/>
        </w:rPr>
        <w:t>Responsabilizar-se pelos danos causados diretamente à Administração ou a terceiros, decorrentes de sua culpa ou dolo na execução do contrato, não excluindo ou reduzindo essa responsabilidade a fiscalização ou o acompanhamento pelo órgão interessado.</w:t>
      </w:r>
    </w:p>
    <w:p>
      <w:pPr>
        <w:pStyle w:val="PargrafodaLista"/>
        <w:numPr>
          <w:ilvl w:val="0"/>
          <w:numId w:val="33"/>
        </w:numPr>
        <w:tabs>
          <w:tab w:val="left" w:pos="284"/>
        </w:tabs>
        <w:suppressAutoHyphens w:val="0"/>
        <w:spacing w:after="200" w:line="276" w:lineRule="auto"/>
        <w:ind w:left="0" w:firstLine="0"/>
        <w:jc w:val="both"/>
        <w:rPr>
          <w:rFonts w:asciiTheme="majorHAnsi" w:hAnsiTheme="majorHAnsi" w:cstheme="majorHAnsi"/>
          <w:sz w:val="24"/>
          <w:szCs w:val="24"/>
        </w:rPr>
      </w:pPr>
      <w:r>
        <w:rPr>
          <w:rFonts w:asciiTheme="majorHAnsi" w:hAnsiTheme="majorHAnsi" w:cstheme="majorHAnsi"/>
          <w:sz w:val="24"/>
          <w:szCs w:val="24"/>
        </w:rPr>
        <w:t>Aceitar, nas mesmas condições contratuais, os acréscimos ou supressões que se fizerem no fornecimento, até 25% (vinte e cinco por cento) do valor inicial atualizado do contrato, na forma do art. 125º da Lei n.º 14.133/21.</w:t>
      </w:r>
    </w:p>
    <w:p>
      <w:pPr>
        <w:pStyle w:val="PargrafodaLista"/>
        <w:numPr>
          <w:ilvl w:val="0"/>
          <w:numId w:val="33"/>
        </w:numPr>
        <w:tabs>
          <w:tab w:val="left" w:pos="426"/>
        </w:tabs>
        <w:suppressAutoHyphens w:val="0"/>
        <w:spacing w:after="200" w:line="276" w:lineRule="auto"/>
        <w:ind w:left="0" w:firstLine="0"/>
        <w:jc w:val="both"/>
        <w:rPr>
          <w:rFonts w:asciiTheme="majorHAnsi" w:hAnsiTheme="majorHAnsi" w:cstheme="majorHAnsi"/>
          <w:sz w:val="24"/>
          <w:szCs w:val="24"/>
        </w:rPr>
      </w:pPr>
      <w:r>
        <w:rPr>
          <w:rFonts w:asciiTheme="majorHAnsi" w:hAnsiTheme="majorHAnsi" w:cstheme="majorHAnsi"/>
          <w:sz w:val="24"/>
          <w:szCs w:val="24"/>
        </w:rPr>
        <w:t>Prestar os esclarecimentos que forem solicitados pelo Município de Miraíma/CE, cujas reclamações se obriga a atender prontamente, bem como dar ciência ao mesmo, imediatamente e por escrito, de qualquer anormalidade que verificar quando da execução do contrato.</w:t>
      </w:r>
    </w:p>
    <w:p>
      <w:pPr>
        <w:pStyle w:val="PargrafodaLista"/>
        <w:numPr>
          <w:ilvl w:val="0"/>
          <w:numId w:val="33"/>
        </w:numPr>
        <w:tabs>
          <w:tab w:val="left" w:pos="426"/>
        </w:tabs>
        <w:suppressAutoHyphens w:val="0"/>
        <w:spacing w:after="200" w:line="276" w:lineRule="auto"/>
        <w:ind w:left="0" w:firstLine="0"/>
        <w:jc w:val="both"/>
        <w:rPr>
          <w:rFonts w:asciiTheme="majorHAnsi" w:hAnsiTheme="majorHAnsi" w:cstheme="majorHAnsi"/>
          <w:sz w:val="24"/>
          <w:szCs w:val="24"/>
        </w:rPr>
      </w:pPr>
      <w:r>
        <w:rPr>
          <w:rFonts w:asciiTheme="majorHAnsi" w:hAnsiTheme="majorHAnsi" w:cstheme="majorHAnsi"/>
          <w:sz w:val="24"/>
          <w:szCs w:val="24"/>
        </w:rPr>
        <w:t xml:space="preserve">No caso de constatação da inadequação do objeto licitado às normas e exigências especificadas no termo de referência, no edital ou na proposta de preços da CONTRATADA, a </w:t>
      </w:r>
      <w:r>
        <w:rPr>
          <w:rFonts w:asciiTheme="majorHAnsi" w:hAnsiTheme="majorHAnsi" w:cstheme="majorHAnsi"/>
          <w:sz w:val="24"/>
          <w:szCs w:val="24"/>
        </w:rPr>
        <w:lastRenderedPageBreak/>
        <w:t>CONTRATANTE os recusará, devendo no prazo máximo de 24 (vinte e quatro) horas ser adequados às supracitadas condições.</w:t>
      </w:r>
    </w:p>
    <w:p>
      <w:pPr>
        <w:pStyle w:val="PargrafodaLista"/>
        <w:tabs>
          <w:tab w:val="left" w:pos="851"/>
        </w:tabs>
        <w:ind w:left="0"/>
        <w:jc w:val="both"/>
        <w:rPr>
          <w:rFonts w:asciiTheme="majorHAnsi" w:hAnsiTheme="majorHAnsi" w:cstheme="majorHAnsi"/>
          <w:sz w:val="24"/>
          <w:szCs w:val="24"/>
          <w:highlight w:val="yellow"/>
        </w:rPr>
      </w:pPr>
    </w:p>
    <w:p>
      <w:pPr>
        <w:pStyle w:val="PargrafodaLista"/>
        <w:numPr>
          <w:ilvl w:val="0"/>
          <w:numId w:val="58"/>
        </w:num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F2F2F2" w:themeFill="background1" w:themeFillShade="F2"/>
        <w:tabs>
          <w:tab w:val="left" w:pos="426"/>
          <w:tab w:val="left" w:pos="851"/>
          <w:tab w:val="left" w:pos="2525"/>
          <w:tab w:val="center" w:pos="4873"/>
        </w:tabs>
        <w:suppressAutoHyphens w:val="0"/>
        <w:spacing w:after="200" w:line="276" w:lineRule="auto"/>
        <w:ind w:left="0" w:firstLine="0"/>
        <w:jc w:val="both"/>
        <w:rPr>
          <w:rFonts w:asciiTheme="majorHAnsi" w:hAnsiTheme="majorHAnsi" w:cstheme="majorHAnsi"/>
          <w:b/>
          <w:sz w:val="24"/>
          <w:szCs w:val="24"/>
        </w:rPr>
      </w:pPr>
      <w:r>
        <w:rPr>
          <w:rFonts w:asciiTheme="majorHAnsi" w:hAnsiTheme="majorHAnsi" w:cstheme="majorHAnsi"/>
          <w:b/>
          <w:sz w:val="24"/>
          <w:szCs w:val="24"/>
        </w:rPr>
        <w:t>INFRAÇÕES E SANÇÕES ADMINISTRATIVAS (</w:t>
      </w:r>
      <w:hyperlink r:id="rId49" w:anchor="art92" w:history="1">
        <w:r>
          <w:rPr>
            <w:rStyle w:val="Hyperlink"/>
            <w:rFonts w:asciiTheme="majorHAnsi" w:hAnsiTheme="majorHAnsi" w:cstheme="majorHAnsi"/>
            <w:b/>
            <w:sz w:val="24"/>
            <w:szCs w:val="24"/>
          </w:rPr>
          <w:t>art. 92, XIV</w:t>
        </w:r>
      </w:hyperlink>
      <w:r>
        <w:rPr>
          <w:rFonts w:asciiTheme="majorHAnsi" w:hAnsiTheme="majorHAnsi" w:cstheme="majorHAnsi"/>
          <w:b/>
          <w:sz w:val="24"/>
          <w:szCs w:val="24"/>
        </w:rPr>
        <w:t>)</w:t>
      </w:r>
    </w:p>
    <w:p>
      <w:pPr>
        <w:pStyle w:val="PargrafodaLista"/>
        <w:numPr>
          <w:ilvl w:val="1"/>
          <w:numId w:val="58"/>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
          <w:sz w:val="24"/>
          <w:szCs w:val="24"/>
        </w:rPr>
      </w:pPr>
      <w:r>
        <w:rPr>
          <w:rFonts w:asciiTheme="majorHAnsi" w:hAnsiTheme="majorHAnsi" w:cstheme="majorHAnsi"/>
          <w:b/>
          <w:sz w:val="24"/>
          <w:szCs w:val="24"/>
        </w:rPr>
        <w:t xml:space="preserve">Comete infração administrativa, nos termos da </w:t>
      </w:r>
      <w:hyperlink r:id="rId50" w:history="1">
        <w:r>
          <w:rPr>
            <w:rStyle w:val="Hyperlink"/>
            <w:rFonts w:asciiTheme="majorHAnsi" w:hAnsiTheme="majorHAnsi" w:cstheme="majorHAnsi"/>
            <w:b/>
            <w:sz w:val="24"/>
            <w:szCs w:val="24"/>
          </w:rPr>
          <w:t>Lei nº 14.133, de 2021</w:t>
        </w:r>
      </w:hyperlink>
      <w:r>
        <w:rPr>
          <w:rFonts w:asciiTheme="majorHAnsi" w:hAnsiTheme="majorHAnsi" w:cstheme="majorHAnsi"/>
          <w:b/>
          <w:sz w:val="24"/>
          <w:szCs w:val="24"/>
        </w:rPr>
        <w:t>, o licitante/adjudicatário que, com dolo ou culpa:</w:t>
      </w:r>
    </w:p>
    <w:p>
      <w:pPr>
        <w:pStyle w:val="PargrafodaLista"/>
        <w:numPr>
          <w:ilvl w:val="2"/>
          <w:numId w:val="34"/>
        </w:numPr>
        <w:tabs>
          <w:tab w:val="left" w:pos="142"/>
          <w:tab w:val="left" w:pos="284"/>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Deixar de entregar a documentação exigida para o certame ou não entregar qualquer documento que tenha sido solicitado pelo/a pregoeiro/a durante o certame;</w:t>
      </w:r>
    </w:p>
    <w:p>
      <w:pPr>
        <w:pStyle w:val="PargrafodaLista"/>
        <w:numPr>
          <w:ilvl w:val="2"/>
          <w:numId w:val="34"/>
        </w:numPr>
        <w:tabs>
          <w:tab w:val="left" w:pos="284"/>
          <w:tab w:val="left" w:pos="1276"/>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Salvo em decorrência de fato superveniente devidamente justificado, não mantiver a proposta em especial quando:</w:t>
      </w:r>
    </w:p>
    <w:p>
      <w:pPr>
        <w:pStyle w:val="PargrafodaLista"/>
        <w:tabs>
          <w:tab w:val="left" w:pos="851"/>
          <w:tab w:val="left" w:pos="1276"/>
          <w:tab w:val="left" w:pos="2525"/>
          <w:tab w:val="center" w:pos="4873"/>
        </w:tabs>
        <w:ind w:left="0"/>
        <w:jc w:val="both"/>
        <w:rPr>
          <w:rFonts w:asciiTheme="majorHAnsi" w:hAnsiTheme="majorHAnsi" w:cstheme="majorHAnsi"/>
          <w:bCs/>
          <w:sz w:val="24"/>
          <w:szCs w:val="24"/>
        </w:rPr>
      </w:pPr>
      <w:r>
        <w:rPr>
          <w:rFonts w:asciiTheme="majorHAnsi" w:hAnsiTheme="majorHAnsi" w:cstheme="majorHAnsi"/>
          <w:bCs/>
          <w:sz w:val="24"/>
          <w:szCs w:val="24"/>
        </w:rPr>
        <w:t xml:space="preserve">b.1) não enviar a proposta adequada ao último lance ofertado ou após a negociação; </w:t>
      </w:r>
    </w:p>
    <w:p>
      <w:pPr>
        <w:pStyle w:val="PargrafodaLista"/>
        <w:tabs>
          <w:tab w:val="left" w:pos="851"/>
          <w:tab w:val="left" w:pos="1276"/>
          <w:tab w:val="left" w:pos="2525"/>
          <w:tab w:val="center" w:pos="4873"/>
        </w:tabs>
        <w:ind w:left="0"/>
        <w:jc w:val="both"/>
        <w:rPr>
          <w:rFonts w:asciiTheme="majorHAnsi" w:hAnsiTheme="majorHAnsi" w:cstheme="majorHAnsi"/>
          <w:bCs/>
          <w:sz w:val="24"/>
          <w:szCs w:val="24"/>
        </w:rPr>
      </w:pPr>
      <w:r>
        <w:rPr>
          <w:rFonts w:asciiTheme="majorHAnsi" w:hAnsiTheme="majorHAnsi" w:cstheme="majorHAnsi"/>
          <w:bCs/>
          <w:sz w:val="24"/>
          <w:szCs w:val="24"/>
        </w:rPr>
        <w:t xml:space="preserve">b.2) recusar-se a enviar o detalhamento da proposta quando exigível; </w:t>
      </w:r>
    </w:p>
    <w:p>
      <w:pPr>
        <w:pStyle w:val="PargrafodaLista"/>
        <w:tabs>
          <w:tab w:val="left" w:pos="851"/>
          <w:tab w:val="left" w:pos="1276"/>
          <w:tab w:val="left" w:pos="2525"/>
          <w:tab w:val="center" w:pos="4873"/>
        </w:tabs>
        <w:ind w:left="0"/>
        <w:jc w:val="both"/>
        <w:rPr>
          <w:rFonts w:asciiTheme="majorHAnsi" w:hAnsiTheme="majorHAnsi" w:cstheme="majorHAnsi"/>
          <w:bCs/>
          <w:sz w:val="24"/>
          <w:szCs w:val="24"/>
        </w:rPr>
      </w:pPr>
      <w:r>
        <w:rPr>
          <w:rFonts w:asciiTheme="majorHAnsi" w:hAnsiTheme="majorHAnsi" w:cstheme="majorHAnsi"/>
          <w:bCs/>
          <w:sz w:val="24"/>
          <w:szCs w:val="24"/>
        </w:rPr>
        <w:t xml:space="preserve">b.3) pedir para ser desclassificado quando encerrada a etapa competitiva; ou </w:t>
      </w:r>
    </w:p>
    <w:p>
      <w:pPr>
        <w:pStyle w:val="PargrafodaLista"/>
        <w:tabs>
          <w:tab w:val="left" w:pos="851"/>
          <w:tab w:val="left" w:pos="1276"/>
          <w:tab w:val="left" w:pos="2525"/>
          <w:tab w:val="center" w:pos="4873"/>
        </w:tabs>
        <w:ind w:left="0"/>
        <w:jc w:val="both"/>
        <w:rPr>
          <w:rFonts w:asciiTheme="majorHAnsi" w:hAnsiTheme="majorHAnsi" w:cstheme="majorHAnsi"/>
          <w:bCs/>
          <w:sz w:val="24"/>
          <w:szCs w:val="24"/>
        </w:rPr>
      </w:pPr>
      <w:r>
        <w:rPr>
          <w:rFonts w:asciiTheme="majorHAnsi" w:hAnsiTheme="majorHAnsi" w:cstheme="majorHAnsi"/>
          <w:bCs/>
          <w:sz w:val="24"/>
          <w:szCs w:val="24"/>
        </w:rPr>
        <w:t>b.4) deixar de apresentar amostra;</w:t>
      </w:r>
    </w:p>
    <w:p>
      <w:pPr>
        <w:pStyle w:val="PargrafodaLista"/>
        <w:tabs>
          <w:tab w:val="left" w:pos="851"/>
          <w:tab w:val="left" w:pos="1276"/>
          <w:tab w:val="left" w:pos="2525"/>
          <w:tab w:val="center" w:pos="4873"/>
        </w:tabs>
        <w:ind w:left="0"/>
        <w:jc w:val="both"/>
        <w:rPr>
          <w:rFonts w:asciiTheme="majorHAnsi" w:hAnsiTheme="majorHAnsi" w:cstheme="majorHAnsi"/>
          <w:bCs/>
          <w:sz w:val="24"/>
          <w:szCs w:val="24"/>
        </w:rPr>
      </w:pPr>
      <w:r>
        <w:rPr>
          <w:rFonts w:asciiTheme="majorHAnsi" w:hAnsiTheme="majorHAnsi" w:cstheme="majorHAnsi"/>
          <w:bCs/>
          <w:sz w:val="24"/>
          <w:szCs w:val="24"/>
        </w:rPr>
        <w:t xml:space="preserve">b.5) apresentar proposta ou amostra em desacordo com as especificações do edital; </w:t>
      </w:r>
    </w:p>
    <w:p>
      <w:pPr>
        <w:pStyle w:val="PargrafodaLista"/>
        <w:numPr>
          <w:ilvl w:val="2"/>
          <w:numId w:val="34"/>
        </w:numPr>
        <w:tabs>
          <w:tab w:val="left" w:pos="426"/>
          <w:tab w:val="left" w:pos="1276"/>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não celebrar ata de registro de preços e o contrato ou não entregar a documentação exigida para a assinatura de tais instrumentos, quando convocado dentro do prazo de validade de sua proposta;</w:t>
      </w:r>
    </w:p>
    <w:p>
      <w:pPr>
        <w:pStyle w:val="PargrafodaLista"/>
        <w:numPr>
          <w:ilvl w:val="2"/>
          <w:numId w:val="34"/>
        </w:numPr>
        <w:tabs>
          <w:tab w:val="left" w:pos="426"/>
          <w:tab w:val="left" w:pos="1276"/>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recusar-se, sem justificativa, a assinar a ata de registro de preço ou contrato, ou a aceitar ou retirar o instrumento equivalente no prazo estabelecido pela Administração;</w:t>
      </w:r>
    </w:p>
    <w:p>
      <w:pPr>
        <w:pStyle w:val="PargrafodaLista"/>
        <w:numPr>
          <w:ilvl w:val="2"/>
          <w:numId w:val="34"/>
        </w:numPr>
        <w:tabs>
          <w:tab w:val="left" w:pos="426"/>
          <w:tab w:val="left" w:pos="1276"/>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apresentar declaração ou documentação falsa exigida para o certame ou prestar declaração falsa durante a licitação;</w:t>
      </w:r>
    </w:p>
    <w:p>
      <w:pPr>
        <w:pStyle w:val="PargrafodaLista"/>
        <w:numPr>
          <w:ilvl w:val="2"/>
          <w:numId w:val="34"/>
        </w:numPr>
        <w:tabs>
          <w:tab w:val="left" w:pos="426"/>
          <w:tab w:val="left" w:pos="1276"/>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fraudar a licitação;</w:t>
      </w:r>
    </w:p>
    <w:p>
      <w:pPr>
        <w:pStyle w:val="PargrafodaLista"/>
        <w:numPr>
          <w:ilvl w:val="2"/>
          <w:numId w:val="34"/>
        </w:numPr>
        <w:tabs>
          <w:tab w:val="left" w:pos="426"/>
          <w:tab w:val="left" w:pos="1276"/>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comportar-se de modo inidôneo ou cometer fraude de qualquer natureza, em especial quando:</w:t>
      </w:r>
    </w:p>
    <w:p>
      <w:pPr>
        <w:pStyle w:val="PargrafodaLista"/>
        <w:numPr>
          <w:ilvl w:val="2"/>
          <w:numId w:val="34"/>
        </w:numPr>
        <w:tabs>
          <w:tab w:val="left" w:pos="426"/>
          <w:tab w:val="left" w:pos="1276"/>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agir em conluio ou em desconformidade com a lei; </w:t>
      </w:r>
    </w:p>
    <w:p>
      <w:pPr>
        <w:pStyle w:val="PargrafodaLista"/>
        <w:numPr>
          <w:ilvl w:val="2"/>
          <w:numId w:val="34"/>
        </w:numPr>
        <w:tabs>
          <w:tab w:val="left" w:pos="426"/>
          <w:tab w:val="left" w:pos="1276"/>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induzir deliberadamente a erro no julgamento; </w:t>
      </w:r>
    </w:p>
    <w:p>
      <w:pPr>
        <w:pStyle w:val="PargrafodaLista"/>
        <w:numPr>
          <w:ilvl w:val="2"/>
          <w:numId w:val="34"/>
        </w:numPr>
        <w:tabs>
          <w:tab w:val="left" w:pos="426"/>
          <w:tab w:val="left" w:pos="1276"/>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apresentar amostra falsificada ou deteriorada; </w:t>
      </w:r>
    </w:p>
    <w:p>
      <w:pPr>
        <w:pStyle w:val="PargrafodaLista"/>
        <w:numPr>
          <w:ilvl w:val="2"/>
          <w:numId w:val="34"/>
        </w:numPr>
        <w:tabs>
          <w:tab w:val="left" w:pos="426"/>
          <w:tab w:val="left" w:pos="1276"/>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praticar atos ilícitos com vistas a frustrar os objetivos da licitação;</w:t>
      </w:r>
    </w:p>
    <w:p>
      <w:pPr>
        <w:pStyle w:val="PargrafodaLista"/>
        <w:numPr>
          <w:ilvl w:val="2"/>
          <w:numId w:val="34"/>
        </w:numPr>
        <w:tabs>
          <w:tab w:val="left" w:pos="426"/>
          <w:tab w:val="left" w:pos="1276"/>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praticar ato lesivo previsto no </w:t>
      </w:r>
      <w:hyperlink r:id="rId51" w:anchor="art5" w:history="1">
        <w:r>
          <w:rPr>
            <w:rStyle w:val="Hyperlink"/>
            <w:rFonts w:asciiTheme="majorHAnsi" w:hAnsiTheme="majorHAnsi" w:cstheme="majorHAnsi"/>
            <w:bCs/>
            <w:sz w:val="24"/>
            <w:szCs w:val="24"/>
          </w:rPr>
          <w:t>art. 5º da Lei n.º 12.846, de 2013</w:t>
        </w:r>
      </w:hyperlink>
      <w:r>
        <w:rPr>
          <w:rFonts w:asciiTheme="majorHAnsi" w:hAnsiTheme="majorHAnsi" w:cstheme="majorHAnsi"/>
          <w:bCs/>
          <w:sz w:val="24"/>
          <w:szCs w:val="24"/>
        </w:rPr>
        <w:t>.</w:t>
      </w:r>
    </w:p>
    <w:p>
      <w:pPr>
        <w:pStyle w:val="PargrafodaLista"/>
        <w:numPr>
          <w:ilvl w:val="2"/>
          <w:numId w:val="58"/>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Serão aplicadas ao licitante/adjudicatário que incorrer nas infrações acima descritas, garantida a defesa prévia, sem prejuízo das responsabilidades civil e criminal, as seguintes sanções:</w:t>
      </w:r>
    </w:p>
    <w:p>
      <w:pPr>
        <w:pStyle w:val="PargrafodaLista"/>
        <w:numPr>
          <w:ilvl w:val="2"/>
          <w:numId w:val="35"/>
        </w:numPr>
        <w:tabs>
          <w:tab w:val="left" w:pos="426"/>
          <w:tab w:val="left" w:pos="1276"/>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advertência; </w:t>
      </w:r>
    </w:p>
    <w:p>
      <w:pPr>
        <w:pStyle w:val="PargrafodaLista"/>
        <w:numPr>
          <w:ilvl w:val="2"/>
          <w:numId w:val="35"/>
        </w:numPr>
        <w:tabs>
          <w:tab w:val="left" w:pos="426"/>
          <w:tab w:val="left" w:pos="1276"/>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multa;</w:t>
      </w:r>
    </w:p>
    <w:p>
      <w:pPr>
        <w:pStyle w:val="PargrafodaLista"/>
        <w:numPr>
          <w:ilvl w:val="2"/>
          <w:numId w:val="35"/>
        </w:numPr>
        <w:tabs>
          <w:tab w:val="left" w:pos="426"/>
          <w:tab w:val="left" w:pos="1276"/>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impedimento de licitar e contratar e</w:t>
      </w:r>
    </w:p>
    <w:p>
      <w:pPr>
        <w:pStyle w:val="PargrafodaLista"/>
        <w:numPr>
          <w:ilvl w:val="2"/>
          <w:numId w:val="35"/>
        </w:numPr>
        <w:tabs>
          <w:tab w:val="left" w:pos="426"/>
          <w:tab w:val="left" w:pos="1276"/>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declaração de inidoneidade para licitar ou contratar, enquanto perdurarem os motivos determinantes da punição ou até que seja promovida sua reabilitação perante a própria autoridade que aplicou a penalidade.</w:t>
      </w:r>
    </w:p>
    <w:p>
      <w:pPr>
        <w:pStyle w:val="PargrafodaLista"/>
        <w:numPr>
          <w:ilvl w:val="2"/>
          <w:numId w:val="58"/>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Na aplicação das sanções serão considerados:</w:t>
      </w:r>
    </w:p>
    <w:p>
      <w:pPr>
        <w:pStyle w:val="PargrafodaLista"/>
        <w:numPr>
          <w:ilvl w:val="2"/>
          <w:numId w:val="36"/>
        </w:numPr>
        <w:tabs>
          <w:tab w:val="left" w:pos="426"/>
          <w:tab w:val="left" w:pos="851"/>
          <w:tab w:val="left" w:pos="1276"/>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lastRenderedPageBreak/>
        <w:t>a natureza e a gravidade da infração cometida.</w:t>
      </w:r>
    </w:p>
    <w:p>
      <w:pPr>
        <w:pStyle w:val="PargrafodaLista"/>
        <w:numPr>
          <w:ilvl w:val="2"/>
          <w:numId w:val="36"/>
        </w:numPr>
        <w:tabs>
          <w:tab w:val="left" w:pos="426"/>
          <w:tab w:val="left" w:pos="851"/>
          <w:tab w:val="left" w:pos="1276"/>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as peculiaridades do caso concreto</w:t>
      </w:r>
    </w:p>
    <w:p>
      <w:pPr>
        <w:pStyle w:val="PargrafodaLista"/>
        <w:numPr>
          <w:ilvl w:val="2"/>
          <w:numId w:val="36"/>
        </w:numPr>
        <w:tabs>
          <w:tab w:val="left" w:pos="426"/>
          <w:tab w:val="left" w:pos="851"/>
          <w:tab w:val="left" w:pos="1276"/>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as circunstâncias agravantes ou atenuantes</w:t>
      </w:r>
    </w:p>
    <w:p>
      <w:pPr>
        <w:pStyle w:val="PargrafodaLista"/>
        <w:numPr>
          <w:ilvl w:val="2"/>
          <w:numId w:val="36"/>
        </w:numPr>
        <w:tabs>
          <w:tab w:val="left" w:pos="426"/>
          <w:tab w:val="left" w:pos="851"/>
          <w:tab w:val="left" w:pos="1276"/>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os danos que dela provierem para a Administração Pública</w:t>
      </w:r>
    </w:p>
    <w:p>
      <w:pPr>
        <w:pStyle w:val="PargrafodaLista"/>
        <w:numPr>
          <w:ilvl w:val="2"/>
          <w:numId w:val="36"/>
        </w:numPr>
        <w:tabs>
          <w:tab w:val="left" w:pos="426"/>
          <w:tab w:val="left" w:pos="851"/>
          <w:tab w:val="left" w:pos="1276"/>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a implantação ou o aperfeiçoamento de programa de integridade, conforme normas e orientações dos órgãos de controle.</w:t>
      </w:r>
    </w:p>
    <w:p>
      <w:pPr>
        <w:pStyle w:val="PargrafodaLista"/>
        <w:numPr>
          <w:ilvl w:val="2"/>
          <w:numId w:val="58"/>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Para fins de dosimetria e cálculo das penalidades acima impostas, estas tomarão como base os parâmetros delineados no tópico a seguir.</w:t>
      </w:r>
    </w:p>
    <w:p>
      <w:pPr>
        <w:pStyle w:val="PargrafodaLista"/>
        <w:numPr>
          <w:ilvl w:val="1"/>
          <w:numId w:val="58"/>
        </w:numPr>
        <w:tabs>
          <w:tab w:val="left" w:pos="567"/>
          <w:tab w:val="left" w:pos="851"/>
          <w:tab w:val="left" w:pos="2525"/>
          <w:tab w:val="center" w:pos="4873"/>
        </w:tabs>
        <w:suppressAutoHyphens w:val="0"/>
        <w:spacing w:line="276" w:lineRule="auto"/>
        <w:ind w:left="0" w:firstLine="0"/>
        <w:jc w:val="both"/>
        <w:rPr>
          <w:rFonts w:asciiTheme="majorHAnsi" w:hAnsiTheme="majorHAnsi" w:cstheme="majorHAnsi"/>
          <w:b/>
          <w:sz w:val="24"/>
          <w:szCs w:val="24"/>
        </w:rPr>
      </w:pPr>
      <w:r>
        <w:rPr>
          <w:rFonts w:asciiTheme="majorHAnsi" w:hAnsiTheme="majorHAnsi" w:cstheme="majorHAnsi"/>
          <w:b/>
          <w:sz w:val="24"/>
          <w:szCs w:val="24"/>
        </w:rPr>
        <w:t xml:space="preserve">Comete infração administrativa, nos termos da </w:t>
      </w:r>
      <w:hyperlink r:id="rId52" w:history="1">
        <w:r>
          <w:rPr>
            <w:rStyle w:val="Hyperlink"/>
            <w:rFonts w:asciiTheme="majorHAnsi" w:hAnsiTheme="majorHAnsi" w:cstheme="majorHAnsi"/>
            <w:b/>
            <w:sz w:val="24"/>
            <w:szCs w:val="24"/>
          </w:rPr>
          <w:t>Lei nº 14.133, de 2021</w:t>
        </w:r>
      </w:hyperlink>
      <w:r>
        <w:rPr>
          <w:rFonts w:asciiTheme="majorHAnsi" w:hAnsiTheme="majorHAnsi" w:cstheme="majorHAnsi"/>
          <w:b/>
          <w:sz w:val="24"/>
          <w:szCs w:val="24"/>
        </w:rPr>
        <w:t>, o contratado que, com dolo ou culpa:</w:t>
      </w:r>
    </w:p>
    <w:p>
      <w:pPr>
        <w:pStyle w:val="PargrafodaLista"/>
        <w:numPr>
          <w:ilvl w:val="2"/>
          <w:numId w:val="37"/>
        </w:numPr>
        <w:tabs>
          <w:tab w:val="left" w:pos="426"/>
          <w:tab w:val="left" w:pos="851"/>
          <w:tab w:val="left" w:pos="1276"/>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der causa à inexecução parcial do contrato;</w:t>
      </w:r>
    </w:p>
    <w:p>
      <w:pPr>
        <w:pStyle w:val="PargrafodaLista"/>
        <w:numPr>
          <w:ilvl w:val="2"/>
          <w:numId w:val="37"/>
        </w:numPr>
        <w:tabs>
          <w:tab w:val="left" w:pos="426"/>
          <w:tab w:val="left" w:pos="851"/>
          <w:tab w:val="left" w:pos="1276"/>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der causa à inexecução parcial do contrato que cause grave dano à Administração ou ao funcionamento dos serviços públicos ou ao interesse coletivo;</w:t>
      </w:r>
    </w:p>
    <w:p>
      <w:pPr>
        <w:pStyle w:val="PargrafodaLista"/>
        <w:numPr>
          <w:ilvl w:val="2"/>
          <w:numId w:val="37"/>
        </w:numPr>
        <w:tabs>
          <w:tab w:val="left" w:pos="426"/>
          <w:tab w:val="left" w:pos="851"/>
          <w:tab w:val="left" w:pos="1276"/>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der causa à inexecução total do contrato;</w:t>
      </w:r>
    </w:p>
    <w:p>
      <w:pPr>
        <w:pStyle w:val="PargrafodaLista"/>
        <w:numPr>
          <w:ilvl w:val="2"/>
          <w:numId w:val="37"/>
        </w:numPr>
        <w:tabs>
          <w:tab w:val="left" w:pos="426"/>
          <w:tab w:val="left" w:pos="851"/>
          <w:tab w:val="left" w:pos="1276"/>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ensejar o retardamento da execução ou da entrega do objeto da contratação sem motivo justificado;</w:t>
      </w:r>
    </w:p>
    <w:p>
      <w:pPr>
        <w:pStyle w:val="PargrafodaLista"/>
        <w:numPr>
          <w:ilvl w:val="2"/>
          <w:numId w:val="37"/>
        </w:numPr>
        <w:tabs>
          <w:tab w:val="left" w:pos="426"/>
          <w:tab w:val="left" w:pos="851"/>
          <w:tab w:val="left" w:pos="1276"/>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apresentar documentação falsa ou prestar declaração falsa durante a execução do contrato;</w:t>
      </w:r>
    </w:p>
    <w:p>
      <w:pPr>
        <w:pStyle w:val="PargrafodaLista"/>
        <w:numPr>
          <w:ilvl w:val="2"/>
          <w:numId w:val="37"/>
        </w:numPr>
        <w:tabs>
          <w:tab w:val="left" w:pos="426"/>
          <w:tab w:val="left" w:pos="851"/>
          <w:tab w:val="left" w:pos="1276"/>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praticar ato fraudulento na execução do contrato;</w:t>
      </w:r>
    </w:p>
    <w:p>
      <w:pPr>
        <w:pStyle w:val="PargrafodaLista"/>
        <w:numPr>
          <w:ilvl w:val="2"/>
          <w:numId w:val="37"/>
        </w:numPr>
        <w:tabs>
          <w:tab w:val="left" w:pos="426"/>
          <w:tab w:val="left" w:pos="851"/>
          <w:tab w:val="left" w:pos="1276"/>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comportar-se de modo inidôneo ou cometer fraude de qualquer natureza;</w:t>
      </w:r>
    </w:p>
    <w:p>
      <w:pPr>
        <w:pStyle w:val="PargrafodaLista"/>
        <w:numPr>
          <w:ilvl w:val="2"/>
          <w:numId w:val="37"/>
        </w:numPr>
        <w:tabs>
          <w:tab w:val="left" w:pos="426"/>
          <w:tab w:val="left" w:pos="851"/>
          <w:tab w:val="left" w:pos="1276"/>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praticar ato lesivo previsto no </w:t>
      </w:r>
      <w:hyperlink r:id="rId53" w:anchor="art5" w:history="1">
        <w:r>
          <w:rPr>
            <w:rStyle w:val="Hyperlink"/>
            <w:rFonts w:asciiTheme="majorHAnsi" w:hAnsiTheme="majorHAnsi" w:cstheme="majorHAnsi"/>
            <w:bCs/>
            <w:sz w:val="24"/>
            <w:szCs w:val="24"/>
          </w:rPr>
          <w:t>art. 5º da Lei nº 12.846, de 1º de agosto de 2013</w:t>
        </w:r>
      </w:hyperlink>
      <w:r>
        <w:rPr>
          <w:rFonts w:asciiTheme="majorHAnsi" w:hAnsiTheme="majorHAnsi" w:cstheme="majorHAnsi"/>
          <w:bCs/>
          <w:sz w:val="24"/>
          <w:szCs w:val="24"/>
        </w:rPr>
        <w:t>.</w:t>
      </w:r>
    </w:p>
    <w:p>
      <w:pPr>
        <w:pStyle w:val="PargrafodaLista"/>
        <w:numPr>
          <w:ilvl w:val="2"/>
          <w:numId w:val="58"/>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Serão aplicadas ao contratado que incorrer nas infrações acima descritas as seguintes sanções:</w:t>
      </w:r>
    </w:p>
    <w:p>
      <w:pPr>
        <w:pStyle w:val="PargrafodaLista"/>
        <w:numPr>
          <w:ilvl w:val="2"/>
          <w:numId w:val="38"/>
        </w:numPr>
        <w:tabs>
          <w:tab w:val="left" w:pos="284"/>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
          <w:sz w:val="24"/>
          <w:szCs w:val="24"/>
        </w:rPr>
        <w:t>Advertência</w:t>
      </w:r>
      <w:r>
        <w:rPr>
          <w:rFonts w:asciiTheme="majorHAnsi" w:hAnsiTheme="majorHAnsi" w:cstheme="majorHAnsi"/>
          <w:bCs/>
          <w:sz w:val="24"/>
          <w:szCs w:val="24"/>
        </w:rPr>
        <w:t>, quando o contratado der causa à inexecução parcial do contrato, sempre que não se justificar a imposição de penalidade mais grave (</w:t>
      </w:r>
      <w:hyperlink r:id="rId54" w:anchor="art156§2" w:history="1">
        <w:r>
          <w:rPr>
            <w:rStyle w:val="Hyperlink"/>
            <w:rFonts w:asciiTheme="majorHAnsi" w:hAnsiTheme="majorHAnsi" w:cstheme="majorHAnsi"/>
            <w:bCs/>
            <w:sz w:val="24"/>
            <w:szCs w:val="24"/>
          </w:rPr>
          <w:t xml:space="preserve">art. 156, §2º, da </w:t>
        </w:r>
        <w:bookmarkStart w:id="74" w:name="_Hlk114504069"/>
        <w:r>
          <w:rPr>
            <w:rStyle w:val="Hyperlink"/>
            <w:rFonts w:asciiTheme="majorHAnsi" w:hAnsiTheme="majorHAnsi" w:cstheme="majorHAnsi"/>
            <w:bCs/>
            <w:sz w:val="24"/>
            <w:szCs w:val="24"/>
          </w:rPr>
          <w:t>Lei nº 14.133, de 2021</w:t>
        </w:r>
        <w:bookmarkEnd w:id="74"/>
      </w:hyperlink>
      <w:r>
        <w:rPr>
          <w:rFonts w:asciiTheme="majorHAnsi" w:hAnsiTheme="majorHAnsi" w:cstheme="majorHAnsi"/>
          <w:bCs/>
          <w:sz w:val="24"/>
          <w:szCs w:val="24"/>
        </w:rPr>
        <w:t>);</w:t>
      </w:r>
    </w:p>
    <w:p>
      <w:pPr>
        <w:pStyle w:val="PargrafodaLista"/>
        <w:numPr>
          <w:ilvl w:val="2"/>
          <w:numId w:val="38"/>
        </w:numPr>
        <w:tabs>
          <w:tab w:val="left" w:pos="284"/>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
          <w:sz w:val="24"/>
          <w:szCs w:val="24"/>
        </w:rPr>
        <w:t>Impedimento de licitar e contratar</w:t>
      </w:r>
      <w:r>
        <w:rPr>
          <w:rFonts w:asciiTheme="majorHAnsi" w:hAnsiTheme="majorHAnsi" w:cstheme="majorHAnsi"/>
          <w:bCs/>
          <w:sz w:val="24"/>
          <w:szCs w:val="24"/>
        </w:rPr>
        <w:t>, quando praticadas as condutas descritas nas alíneas “b”, “c” e “d” do subitem acima, sempre que não se justificar a imposição de penalidade mais grave (</w:t>
      </w:r>
      <w:hyperlink r:id="rId55" w:anchor="art156§4" w:history="1">
        <w:r>
          <w:rPr>
            <w:rStyle w:val="Hyperlink"/>
            <w:rFonts w:asciiTheme="majorHAnsi" w:hAnsiTheme="majorHAnsi" w:cstheme="majorHAnsi"/>
            <w:bCs/>
            <w:sz w:val="24"/>
            <w:szCs w:val="24"/>
          </w:rPr>
          <w:t>art. 156, § 4º, da Lei nº 14.133, de 2021</w:t>
        </w:r>
      </w:hyperlink>
      <w:r>
        <w:rPr>
          <w:rFonts w:asciiTheme="majorHAnsi" w:hAnsiTheme="majorHAnsi" w:cstheme="majorHAnsi"/>
          <w:bCs/>
          <w:sz w:val="24"/>
          <w:szCs w:val="24"/>
        </w:rPr>
        <w:t>);</w:t>
      </w:r>
    </w:p>
    <w:p>
      <w:pPr>
        <w:pStyle w:val="PargrafodaLista"/>
        <w:numPr>
          <w:ilvl w:val="2"/>
          <w:numId w:val="38"/>
        </w:numPr>
        <w:tabs>
          <w:tab w:val="left" w:pos="284"/>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
          <w:sz w:val="24"/>
          <w:szCs w:val="24"/>
        </w:rPr>
        <w:t>Declaração de inidoneidade para licitar e contratar</w:t>
      </w:r>
      <w:r>
        <w:rPr>
          <w:rFonts w:asciiTheme="majorHAnsi" w:hAnsiTheme="majorHAnsi" w:cstheme="majorHAnsi"/>
          <w:bCs/>
          <w:sz w:val="24"/>
          <w:szCs w:val="24"/>
        </w:rPr>
        <w:t>, quando praticadas as condutas descritas nas alíneas “e”, “f”, “g” e “h” do subitem acima, bem como nas alíneas “b”, “c” e “d”, que justifiquem a imposição de penalidade mais grave (</w:t>
      </w:r>
      <w:hyperlink r:id="rId56" w:anchor="art156§5" w:history="1">
        <w:r>
          <w:rPr>
            <w:rStyle w:val="Hyperlink"/>
            <w:rFonts w:asciiTheme="majorHAnsi" w:hAnsiTheme="majorHAnsi" w:cstheme="majorHAnsi"/>
            <w:bCs/>
            <w:sz w:val="24"/>
            <w:szCs w:val="24"/>
          </w:rPr>
          <w:t>art. 156, §5º, da Lei nº 14.133, de 2021</w:t>
        </w:r>
      </w:hyperlink>
      <w:r>
        <w:rPr>
          <w:rFonts w:asciiTheme="majorHAnsi" w:hAnsiTheme="majorHAnsi" w:cstheme="majorHAnsi"/>
          <w:bCs/>
          <w:sz w:val="24"/>
          <w:szCs w:val="24"/>
        </w:rPr>
        <w:t>).</w:t>
      </w:r>
    </w:p>
    <w:p>
      <w:pPr>
        <w:pStyle w:val="PargrafodaLista"/>
        <w:numPr>
          <w:ilvl w:val="2"/>
          <w:numId w:val="38"/>
        </w:numPr>
        <w:tabs>
          <w:tab w:val="left" w:pos="284"/>
          <w:tab w:val="left" w:pos="1276"/>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
          <w:sz w:val="24"/>
          <w:szCs w:val="24"/>
        </w:rPr>
        <w:t>Multa</w:t>
      </w:r>
      <w:r>
        <w:rPr>
          <w:rFonts w:asciiTheme="majorHAnsi" w:hAnsiTheme="majorHAnsi" w:cstheme="majorHAnsi"/>
          <w:bCs/>
          <w:sz w:val="24"/>
          <w:szCs w:val="24"/>
        </w:rPr>
        <w:t>:</w:t>
      </w:r>
    </w:p>
    <w:p>
      <w:pPr>
        <w:tabs>
          <w:tab w:val="left" w:pos="851"/>
          <w:tab w:val="left" w:pos="1276"/>
          <w:tab w:val="left" w:pos="2525"/>
          <w:tab w:val="center" w:pos="4873"/>
        </w:tabs>
        <w:jc w:val="both"/>
        <w:rPr>
          <w:rFonts w:asciiTheme="majorHAnsi" w:hAnsiTheme="majorHAnsi" w:cstheme="majorHAnsi"/>
          <w:bCs/>
          <w:sz w:val="24"/>
          <w:szCs w:val="24"/>
        </w:rPr>
      </w:pPr>
      <w:r>
        <w:rPr>
          <w:rFonts w:asciiTheme="majorHAnsi" w:hAnsiTheme="majorHAnsi" w:cstheme="majorHAnsi"/>
          <w:bCs/>
          <w:sz w:val="24"/>
          <w:szCs w:val="24"/>
        </w:rPr>
        <w:t>d.1) Moratória de 1% (um por cento) por dia de atraso injustificado sobre o valor da parcela inadimplida, até o limite de 30 (trinta) dias;</w:t>
      </w:r>
    </w:p>
    <w:p>
      <w:pPr>
        <w:pStyle w:val="PargrafodaLista"/>
        <w:tabs>
          <w:tab w:val="left" w:pos="851"/>
          <w:tab w:val="left" w:pos="1276"/>
          <w:tab w:val="left" w:pos="2525"/>
          <w:tab w:val="center" w:pos="4873"/>
        </w:tabs>
        <w:ind w:left="0"/>
        <w:jc w:val="both"/>
        <w:rPr>
          <w:rFonts w:asciiTheme="majorHAnsi" w:hAnsiTheme="majorHAnsi" w:cstheme="majorHAnsi"/>
          <w:bCs/>
          <w:sz w:val="24"/>
          <w:szCs w:val="24"/>
        </w:rPr>
      </w:pPr>
      <w:r>
        <w:rPr>
          <w:rFonts w:asciiTheme="majorHAnsi" w:hAnsiTheme="majorHAnsi" w:cstheme="majorHAnsi"/>
          <w:bCs/>
          <w:sz w:val="24"/>
          <w:szCs w:val="24"/>
        </w:rPr>
        <w:t>d.2) Compensatória de 30% (trinta por cento) sobre o valor total do contrato, no caso de inexecução total do objeto.</w:t>
      </w:r>
    </w:p>
    <w:p>
      <w:pPr>
        <w:pStyle w:val="PargrafodaLista"/>
        <w:numPr>
          <w:ilvl w:val="2"/>
          <w:numId w:val="58"/>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A aplicação das sanções previstas neste Contrato não exclui, em hipótese alguma, a obrigação de reparação integral do dano causado ao Contratante (</w:t>
      </w:r>
      <w:hyperlink r:id="rId57" w:anchor="art156§9" w:history="1">
        <w:r>
          <w:rPr>
            <w:rStyle w:val="Hyperlink"/>
            <w:rFonts w:asciiTheme="majorHAnsi" w:hAnsiTheme="majorHAnsi" w:cstheme="majorHAnsi"/>
            <w:bCs/>
            <w:sz w:val="24"/>
            <w:szCs w:val="24"/>
          </w:rPr>
          <w:t>art. 156, §9º, da Lei nº 14.133, de 2021</w:t>
        </w:r>
      </w:hyperlink>
      <w:r>
        <w:rPr>
          <w:rFonts w:asciiTheme="majorHAnsi" w:hAnsiTheme="majorHAnsi" w:cstheme="majorHAnsi"/>
          <w:bCs/>
          <w:sz w:val="24"/>
          <w:szCs w:val="24"/>
        </w:rPr>
        <w:t>)</w:t>
      </w:r>
    </w:p>
    <w:p>
      <w:pPr>
        <w:pStyle w:val="PargrafodaLista"/>
        <w:numPr>
          <w:ilvl w:val="2"/>
          <w:numId w:val="58"/>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lastRenderedPageBreak/>
        <w:t>Todas as sanções previstas neste Contrato poderão ser aplicadas cumulativamente com a multa (</w:t>
      </w:r>
      <w:hyperlink r:id="rId58" w:anchor="art156§7" w:history="1">
        <w:r>
          <w:rPr>
            <w:rStyle w:val="Hyperlink"/>
            <w:rFonts w:asciiTheme="majorHAnsi" w:hAnsiTheme="majorHAnsi" w:cstheme="majorHAnsi"/>
            <w:bCs/>
            <w:sz w:val="24"/>
            <w:szCs w:val="24"/>
          </w:rPr>
          <w:t>art. 156, §7º, da Lei nº 14.133, de 2021</w:t>
        </w:r>
      </w:hyperlink>
      <w:r>
        <w:rPr>
          <w:rFonts w:asciiTheme="majorHAnsi" w:hAnsiTheme="majorHAnsi" w:cstheme="majorHAnsi"/>
          <w:bCs/>
          <w:sz w:val="24"/>
          <w:szCs w:val="24"/>
        </w:rPr>
        <w:t>).</w:t>
      </w:r>
    </w:p>
    <w:p>
      <w:pPr>
        <w:pStyle w:val="PargrafodaLista"/>
        <w:numPr>
          <w:ilvl w:val="2"/>
          <w:numId w:val="58"/>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Antes da aplicação da multa será facultada a defesa do interessado no prazo de 05 (CINCO) DIAS úteis, contado da data de sua intimação (</w:t>
      </w:r>
      <w:hyperlink r:id="rId59" w:anchor="art157" w:history="1">
        <w:r>
          <w:rPr>
            <w:rStyle w:val="Hyperlink"/>
            <w:rFonts w:asciiTheme="majorHAnsi" w:hAnsiTheme="majorHAnsi" w:cstheme="majorHAnsi"/>
            <w:bCs/>
            <w:sz w:val="24"/>
            <w:szCs w:val="24"/>
          </w:rPr>
          <w:t>art. 157, da Lei nº 14.133, de 2021</w:t>
        </w:r>
      </w:hyperlink>
      <w:r>
        <w:rPr>
          <w:rFonts w:asciiTheme="majorHAnsi" w:hAnsiTheme="majorHAnsi" w:cstheme="majorHAnsi"/>
          <w:bCs/>
          <w:sz w:val="24"/>
          <w:szCs w:val="24"/>
        </w:rPr>
        <w:t>)</w:t>
      </w:r>
    </w:p>
    <w:p>
      <w:pPr>
        <w:pStyle w:val="PargrafodaLista"/>
        <w:numPr>
          <w:ilvl w:val="2"/>
          <w:numId w:val="58"/>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0" w:anchor="art156§8" w:history="1">
        <w:r>
          <w:rPr>
            <w:rStyle w:val="Hyperlink"/>
            <w:rFonts w:asciiTheme="majorHAnsi" w:hAnsiTheme="majorHAnsi" w:cstheme="majorHAnsi"/>
            <w:bCs/>
            <w:sz w:val="24"/>
            <w:szCs w:val="24"/>
          </w:rPr>
          <w:t>art. 156, §8º, da Lei nº 14.133, de 2021</w:t>
        </w:r>
      </w:hyperlink>
      <w:r>
        <w:rPr>
          <w:rFonts w:asciiTheme="majorHAnsi" w:hAnsiTheme="majorHAnsi" w:cstheme="majorHAnsi"/>
          <w:bCs/>
          <w:sz w:val="24"/>
          <w:szCs w:val="24"/>
        </w:rPr>
        <w:t>).</w:t>
      </w:r>
    </w:p>
    <w:p>
      <w:pPr>
        <w:pStyle w:val="PargrafodaLista"/>
        <w:numPr>
          <w:ilvl w:val="2"/>
          <w:numId w:val="58"/>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Previamente ao encaminhamento à cobrança judicial, a multa poderá ser recolhida administrativamente no prazo máximo de 30 (trinta) dias, a contar da data do recebimento da comunicação enviada pela autoridade competente.</w:t>
      </w:r>
      <w:bookmarkStart w:id="75" w:name="_Hlk78351618"/>
      <w:bookmarkEnd w:id="75"/>
    </w:p>
    <w:p>
      <w:pPr>
        <w:pStyle w:val="PargrafodaLista"/>
        <w:numPr>
          <w:ilvl w:val="2"/>
          <w:numId w:val="58"/>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A aplicação das sanções realizar-se-á em processo administrativo que assegure o contraditório e a ampla defesa ao Contratado, observando-se o procedimento previsto no caput e parágrafos do </w:t>
      </w:r>
      <w:hyperlink r:id="rId61" w:anchor="art158" w:history="1">
        <w:r>
          <w:rPr>
            <w:rStyle w:val="Hyperlink"/>
            <w:rFonts w:asciiTheme="majorHAnsi" w:hAnsiTheme="majorHAnsi" w:cstheme="majorHAnsi"/>
            <w:bCs/>
            <w:sz w:val="24"/>
            <w:szCs w:val="24"/>
          </w:rPr>
          <w:t>art. 158 da Lei nº 14.133, de 2021</w:t>
        </w:r>
      </w:hyperlink>
      <w:r>
        <w:rPr>
          <w:rFonts w:asciiTheme="majorHAnsi" w:hAnsiTheme="majorHAnsi" w:cstheme="majorHAnsi"/>
          <w:bCs/>
          <w:sz w:val="24"/>
          <w:szCs w:val="24"/>
        </w:rPr>
        <w:t>, para as penalidades de impedimento de licitar e contratar e de declaração de inidoneidade para licitar ou contratar.</w:t>
      </w:r>
    </w:p>
    <w:p>
      <w:pPr>
        <w:pStyle w:val="PargrafodaLista"/>
        <w:numPr>
          <w:ilvl w:val="2"/>
          <w:numId w:val="58"/>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Na aplicação das sanções serão considerados (</w:t>
      </w:r>
      <w:hyperlink r:id="rId62" w:anchor="art156§1" w:history="1">
        <w:r>
          <w:rPr>
            <w:rStyle w:val="Hyperlink"/>
            <w:rFonts w:asciiTheme="majorHAnsi" w:hAnsiTheme="majorHAnsi" w:cstheme="majorHAnsi"/>
            <w:bCs/>
            <w:sz w:val="24"/>
            <w:szCs w:val="24"/>
          </w:rPr>
          <w:t>art. 156, §1º, da Lei nº 14.133, de 2021</w:t>
        </w:r>
      </w:hyperlink>
      <w:r>
        <w:rPr>
          <w:rFonts w:asciiTheme="majorHAnsi" w:hAnsiTheme="majorHAnsi" w:cstheme="majorHAnsi"/>
          <w:bCs/>
          <w:sz w:val="24"/>
          <w:szCs w:val="24"/>
        </w:rPr>
        <w:t>):</w:t>
      </w:r>
    </w:p>
    <w:p>
      <w:pPr>
        <w:pStyle w:val="PargrafodaLista"/>
        <w:numPr>
          <w:ilvl w:val="2"/>
          <w:numId w:val="39"/>
        </w:numPr>
        <w:tabs>
          <w:tab w:val="left" w:pos="426"/>
          <w:tab w:val="left" w:pos="851"/>
          <w:tab w:val="left" w:pos="1276"/>
          <w:tab w:val="center" w:pos="4873"/>
        </w:tabs>
        <w:suppressAutoHyphens w:val="0"/>
        <w:spacing w:line="276" w:lineRule="auto"/>
        <w:jc w:val="both"/>
        <w:rPr>
          <w:rFonts w:asciiTheme="majorHAnsi" w:hAnsiTheme="majorHAnsi" w:cstheme="majorHAnsi"/>
          <w:bCs/>
          <w:sz w:val="24"/>
          <w:szCs w:val="24"/>
        </w:rPr>
      </w:pPr>
      <w:r>
        <w:rPr>
          <w:rFonts w:asciiTheme="majorHAnsi" w:hAnsiTheme="majorHAnsi" w:cstheme="majorHAnsi"/>
          <w:bCs/>
          <w:sz w:val="24"/>
          <w:szCs w:val="24"/>
        </w:rPr>
        <w:t>a natureza e a gravidade da infração cometida;</w:t>
      </w:r>
    </w:p>
    <w:p>
      <w:pPr>
        <w:pStyle w:val="PargrafodaLista"/>
        <w:numPr>
          <w:ilvl w:val="2"/>
          <w:numId w:val="39"/>
        </w:numPr>
        <w:tabs>
          <w:tab w:val="left" w:pos="426"/>
          <w:tab w:val="left" w:pos="851"/>
          <w:tab w:val="left" w:pos="1276"/>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as peculiaridades do caso concreto;</w:t>
      </w:r>
    </w:p>
    <w:p>
      <w:pPr>
        <w:pStyle w:val="PargrafodaLista"/>
        <w:numPr>
          <w:ilvl w:val="2"/>
          <w:numId w:val="39"/>
        </w:numPr>
        <w:tabs>
          <w:tab w:val="left" w:pos="426"/>
          <w:tab w:val="left" w:pos="851"/>
          <w:tab w:val="left" w:pos="1276"/>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as circunstâncias agravantes ou atenuantes;</w:t>
      </w:r>
    </w:p>
    <w:p>
      <w:pPr>
        <w:pStyle w:val="PargrafodaLista"/>
        <w:numPr>
          <w:ilvl w:val="2"/>
          <w:numId w:val="39"/>
        </w:numPr>
        <w:tabs>
          <w:tab w:val="left" w:pos="426"/>
          <w:tab w:val="left" w:pos="851"/>
          <w:tab w:val="left" w:pos="1276"/>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os danos que dela provierem para o Contratante;</w:t>
      </w:r>
    </w:p>
    <w:p>
      <w:pPr>
        <w:pStyle w:val="PargrafodaLista"/>
        <w:numPr>
          <w:ilvl w:val="2"/>
          <w:numId w:val="39"/>
        </w:numPr>
        <w:tabs>
          <w:tab w:val="left" w:pos="426"/>
          <w:tab w:val="left" w:pos="851"/>
          <w:tab w:val="left" w:pos="1276"/>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a implantação ou o aperfeiçoamento de programa de integridade, conforme normas e orientações dos órgãos de controle</w:t>
      </w:r>
    </w:p>
    <w:p>
      <w:pPr>
        <w:pStyle w:val="PargrafodaLista"/>
        <w:numPr>
          <w:ilvl w:val="2"/>
          <w:numId w:val="58"/>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Os atos previstos como infrações administrativas na </w:t>
      </w:r>
      <w:hyperlink r:id="rId63" w:history="1">
        <w:r>
          <w:rPr>
            <w:rStyle w:val="Hyperlink"/>
            <w:rFonts w:asciiTheme="majorHAnsi" w:hAnsiTheme="majorHAnsi" w:cstheme="majorHAnsi"/>
            <w:bCs/>
            <w:sz w:val="24"/>
            <w:szCs w:val="24"/>
          </w:rPr>
          <w:t>Lei nº 14.133, de 2021</w:t>
        </w:r>
      </w:hyperlink>
      <w:r>
        <w:rPr>
          <w:rFonts w:asciiTheme="majorHAnsi" w:hAnsiTheme="majorHAnsi" w:cstheme="majorHAnsi"/>
          <w:bCs/>
          <w:sz w:val="24"/>
          <w:szCs w:val="24"/>
        </w:rPr>
        <w:t xml:space="preserve">, ou em outras leis de licitações e contratos da Administração Pública que também sejam tipificados como atos lesivos na </w:t>
      </w:r>
      <w:hyperlink r:id="rId64" w:history="1">
        <w:r>
          <w:rPr>
            <w:rStyle w:val="Hyperlink"/>
            <w:rFonts w:asciiTheme="majorHAnsi" w:hAnsiTheme="majorHAnsi" w:cstheme="majorHAnsi"/>
            <w:bCs/>
            <w:sz w:val="24"/>
            <w:szCs w:val="24"/>
          </w:rPr>
          <w:t>Lei nº 12.846, de 2013</w:t>
        </w:r>
      </w:hyperlink>
      <w:r>
        <w:rPr>
          <w:rFonts w:asciiTheme="majorHAnsi" w:hAnsiTheme="majorHAnsi" w:cstheme="majorHAnsi"/>
          <w:bCs/>
          <w:sz w:val="24"/>
          <w:szCs w:val="24"/>
        </w:rPr>
        <w:t>, serão apurados e julgados conjuntamente, nos mesmos autos, observados o rito procedimental e autoridade competente definidos na referida Lei (</w:t>
      </w:r>
      <w:hyperlink r:id="rId65" w:history="1">
        <w:r>
          <w:rPr>
            <w:rStyle w:val="Hyperlink"/>
            <w:rFonts w:asciiTheme="majorHAnsi" w:hAnsiTheme="majorHAnsi" w:cstheme="majorHAnsi"/>
            <w:bCs/>
            <w:sz w:val="24"/>
            <w:szCs w:val="24"/>
          </w:rPr>
          <w:t>art. 159</w:t>
        </w:r>
      </w:hyperlink>
      <w:r>
        <w:rPr>
          <w:rFonts w:asciiTheme="majorHAnsi" w:hAnsiTheme="majorHAnsi" w:cstheme="majorHAnsi"/>
          <w:bCs/>
          <w:sz w:val="24"/>
          <w:szCs w:val="24"/>
        </w:rPr>
        <w:t>).</w:t>
      </w:r>
    </w:p>
    <w:p>
      <w:pPr>
        <w:pStyle w:val="PargrafodaLista"/>
        <w:numPr>
          <w:ilvl w:val="2"/>
          <w:numId w:val="58"/>
        </w:numPr>
        <w:tabs>
          <w:tab w:val="left" w:pos="567"/>
          <w:tab w:val="left" w:pos="709"/>
          <w:tab w:val="left" w:pos="851"/>
          <w:tab w:val="left" w:pos="993"/>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6" w:anchor="art160" w:history="1">
        <w:r>
          <w:rPr>
            <w:rStyle w:val="Hyperlink"/>
            <w:rFonts w:asciiTheme="majorHAnsi" w:hAnsiTheme="majorHAnsi" w:cstheme="majorHAnsi"/>
            <w:bCs/>
            <w:sz w:val="24"/>
            <w:szCs w:val="24"/>
          </w:rPr>
          <w:t>art. 160, da Lei nº 14.133, de 2021</w:t>
        </w:r>
      </w:hyperlink>
      <w:r>
        <w:rPr>
          <w:rFonts w:asciiTheme="majorHAnsi" w:hAnsiTheme="majorHAnsi" w:cstheme="majorHAnsi"/>
          <w:bCs/>
          <w:sz w:val="24"/>
          <w:szCs w:val="24"/>
        </w:rPr>
        <w:t>).</w:t>
      </w:r>
    </w:p>
    <w:p>
      <w:pPr>
        <w:pStyle w:val="PargrafodaLista"/>
        <w:numPr>
          <w:ilvl w:val="2"/>
          <w:numId w:val="58"/>
        </w:numPr>
        <w:tabs>
          <w:tab w:val="left" w:pos="567"/>
          <w:tab w:val="left" w:pos="709"/>
          <w:tab w:val="left" w:pos="851"/>
          <w:tab w:val="left" w:pos="993"/>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 O Contratante deverá, no prazo máximo 05 (CINCO) DIAS úteis, contado da data de aplicação da sanção, informar e manter atualizados os dados relativos às sanções por ela aplicadas, para fins de publicidade no Cadastro Nacional de Empresas Inidôneas e Suspensas </w:t>
      </w:r>
      <w:r>
        <w:rPr>
          <w:rFonts w:asciiTheme="majorHAnsi" w:hAnsiTheme="majorHAnsi" w:cstheme="majorHAnsi"/>
          <w:bCs/>
          <w:sz w:val="24"/>
          <w:szCs w:val="24"/>
        </w:rPr>
        <w:lastRenderedPageBreak/>
        <w:t>(Ceis) e no Cadastro Nacional de Empresas Punidas (Cnep), instituídos no âmbito do Poder Executivo Federal. (</w:t>
      </w:r>
      <w:hyperlink r:id="rId67" w:anchor="art161" w:history="1">
        <w:r>
          <w:rPr>
            <w:rStyle w:val="Hyperlink"/>
            <w:rFonts w:asciiTheme="majorHAnsi" w:hAnsiTheme="majorHAnsi" w:cstheme="majorHAnsi"/>
            <w:bCs/>
            <w:sz w:val="24"/>
            <w:szCs w:val="24"/>
          </w:rPr>
          <w:t>Art. 161, da Lei nº 14.133, de 2021</w:t>
        </w:r>
      </w:hyperlink>
      <w:r>
        <w:rPr>
          <w:rFonts w:asciiTheme="majorHAnsi" w:hAnsiTheme="majorHAnsi" w:cstheme="majorHAnsi"/>
          <w:bCs/>
          <w:sz w:val="24"/>
          <w:szCs w:val="24"/>
        </w:rPr>
        <w:t>).</w:t>
      </w:r>
    </w:p>
    <w:p>
      <w:pPr>
        <w:pStyle w:val="PargrafodaLista"/>
        <w:numPr>
          <w:ilvl w:val="2"/>
          <w:numId w:val="58"/>
        </w:numPr>
        <w:tabs>
          <w:tab w:val="left" w:pos="567"/>
          <w:tab w:val="left" w:pos="709"/>
          <w:tab w:val="left" w:pos="851"/>
          <w:tab w:val="left" w:pos="993"/>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As sanções de impedimento de licitar e contratar e declaração de inidoneidade para licitar ou contratar são passíveis de reabilitação na forma do </w:t>
      </w:r>
      <w:hyperlink r:id="rId68" w:anchor="163" w:history="1">
        <w:r>
          <w:rPr>
            <w:rStyle w:val="Hyperlink"/>
            <w:rFonts w:asciiTheme="majorHAnsi" w:hAnsiTheme="majorHAnsi" w:cstheme="majorHAnsi"/>
            <w:bCs/>
            <w:sz w:val="24"/>
            <w:szCs w:val="24"/>
          </w:rPr>
          <w:t>art. 163 da Lei nº 14.133/21</w:t>
        </w:r>
      </w:hyperlink>
      <w:r>
        <w:rPr>
          <w:rFonts w:asciiTheme="majorHAnsi" w:hAnsiTheme="majorHAnsi" w:cstheme="majorHAnsi"/>
          <w:bCs/>
          <w:sz w:val="24"/>
          <w:szCs w:val="24"/>
        </w:rPr>
        <w:t>.</w:t>
      </w:r>
    </w:p>
    <w:p>
      <w:pPr>
        <w:pStyle w:val="PargrafodaLista"/>
        <w:numPr>
          <w:ilvl w:val="2"/>
          <w:numId w:val="58"/>
        </w:numPr>
        <w:tabs>
          <w:tab w:val="left" w:pos="567"/>
          <w:tab w:val="left" w:pos="709"/>
          <w:tab w:val="left" w:pos="851"/>
          <w:tab w:val="left" w:pos="993"/>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pPr>
        <w:pStyle w:val="PargrafodaLista"/>
        <w:tabs>
          <w:tab w:val="left" w:pos="567"/>
          <w:tab w:val="left" w:pos="709"/>
          <w:tab w:val="left" w:pos="851"/>
          <w:tab w:val="left" w:pos="2525"/>
          <w:tab w:val="center" w:pos="4873"/>
        </w:tabs>
        <w:ind w:left="0"/>
        <w:jc w:val="both"/>
        <w:rPr>
          <w:rFonts w:asciiTheme="majorHAnsi" w:hAnsiTheme="majorHAnsi" w:cstheme="majorHAnsi"/>
          <w:bCs/>
          <w:sz w:val="24"/>
          <w:szCs w:val="24"/>
        </w:rPr>
      </w:pPr>
    </w:p>
    <w:p>
      <w:pPr>
        <w:pStyle w:val="PargrafodaLista"/>
        <w:numPr>
          <w:ilvl w:val="0"/>
          <w:numId w:val="58"/>
        </w:num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F2F2F2" w:themeFill="background1" w:themeFillShade="F2"/>
        <w:tabs>
          <w:tab w:val="left" w:pos="426"/>
          <w:tab w:val="left" w:pos="851"/>
          <w:tab w:val="left" w:pos="2525"/>
          <w:tab w:val="center" w:pos="4873"/>
        </w:tabs>
        <w:suppressAutoHyphens w:val="0"/>
        <w:spacing w:after="200" w:line="276" w:lineRule="auto"/>
        <w:ind w:left="0" w:firstLine="0"/>
        <w:jc w:val="both"/>
        <w:rPr>
          <w:rFonts w:asciiTheme="majorHAnsi" w:hAnsiTheme="majorHAnsi" w:cstheme="majorHAnsi"/>
          <w:b/>
          <w:sz w:val="24"/>
          <w:szCs w:val="24"/>
        </w:rPr>
      </w:pPr>
      <w:r>
        <w:rPr>
          <w:rFonts w:asciiTheme="majorHAnsi" w:hAnsiTheme="majorHAnsi" w:cstheme="majorHAnsi"/>
          <w:b/>
          <w:sz w:val="24"/>
          <w:szCs w:val="24"/>
        </w:rPr>
        <w:t>DA EXTINÇÃO CONTRATUAL (</w:t>
      </w:r>
      <w:hyperlink r:id="rId69" w:anchor="art92" w:history="1">
        <w:r>
          <w:rPr>
            <w:rStyle w:val="Hyperlink"/>
            <w:rFonts w:asciiTheme="majorHAnsi" w:hAnsiTheme="majorHAnsi" w:cstheme="majorHAnsi"/>
            <w:b/>
            <w:sz w:val="24"/>
            <w:szCs w:val="24"/>
          </w:rPr>
          <w:t>art. 92, XIX</w:t>
        </w:r>
      </w:hyperlink>
      <w:r>
        <w:rPr>
          <w:rFonts w:asciiTheme="majorHAnsi" w:hAnsiTheme="majorHAnsi" w:cstheme="majorHAnsi"/>
          <w:b/>
          <w:sz w:val="24"/>
          <w:szCs w:val="24"/>
        </w:rPr>
        <w:t>)</w:t>
      </w:r>
    </w:p>
    <w:p>
      <w:pPr>
        <w:pStyle w:val="PargrafodaLista"/>
        <w:numPr>
          <w:ilvl w:val="1"/>
          <w:numId w:val="40"/>
        </w:numPr>
        <w:tabs>
          <w:tab w:val="left" w:pos="567"/>
          <w:tab w:val="left" w:pos="851"/>
          <w:tab w:val="left" w:pos="993"/>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O contrato se extingue quando vencido o prazo nele estipulado, independentemente de terem sido cumpridas ou não as obrigações de ambas as partes contraentes.</w:t>
      </w:r>
    </w:p>
    <w:p>
      <w:pPr>
        <w:pStyle w:val="PargrafodaLista"/>
        <w:numPr>
          <w:ilvl w:val="2"/>
          <w:numId w:val="40"/>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O contrato pode ser extinto antes do prazo nele fixado, sem ônus para o Contratante, quando esta não dispuser de créditos orçamentários para sua continuidade ou quando entender que o contrato não mais lhe oferece vantagem.</w:t>
      </w:r>
    </w:p>
    <w:p>
      <w:pPr>
        <w:pStyle w:val="PargrafodaLista"/>
        <w:numPr>
          <w:ilvl w:val="2"/>
          <w:numId w:val="40"/>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A extinção nesta hipótese ocorrerá na próxima data de aniversário do contrato, desde que haja a notificação do contratado pelo contratante nesse sentido com pelo menos 2 (dois) meses de antecedência desse dia.</w:t>
      </w:r>
    </w:p>
    <w:p>
      <w:pPr>
        <w:pStyle w:val="PargrafodaLista"/>
        <w:numPr>
          <w:ilvl w:val="2"/>
          <w:numId w:val="40"/>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Caso a notificação da não-continuidade do contrato de que trata este subitem ocorra com menos de 2 (dois) meses da data de aniversário, a extinção contratual ocorrerá após 2 (dois) meses da data da comunicação.</w:t>
      </w:r>
    </w:p>
    <w:p>
      <w:pPr>
        <w:pStyle w:val="PargrafodaLista"/>
        <w:numPr>
          <w:ilvl w:val="1"/>
          <w:numId w:val="40"/>
        </w:numPr>
        <w:tabs>
          <w:tab w:val="left" w:pos="567"/>
          <w:tab w:val="left" w:pos="851"/>
          <w:tab w:val="left" w:pos="993"/>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O contrato pode ser extinto antes de cumpridas as obrigações nele estipuladas, ou antes do prazo nele fixado, por algum dos motivos previstos no </w:t>
      </w:r>
      <w:hyperlink r:id="rId70" w:anchor="art137" w:history="1">
        <w:r>
          <w:rPr>
            <w:rStyle w:val="Hyperlink"/>
            <w:rFonts w:asciiTheme="majorHAnsi" w:hAnsiTheme="majorHAnsi" w:cstheme="majorHAnsi"/>
            <w:bCs/>
            <w:sz w:val="24"/>
            <w:szCs w:val="24"/>
          </w:rPr>
          <w:t>artigo 137 da Lei nº 14.133/21</w:t>
        </w:r>
      </w:hyperlink>
      <w:r>
        <w:rPr>
          <w:rFonts w:asciiTheme="majorHAnsi" w:hAnsiTheme="majorHAnsi" w:cstheme="majorHAnsi"/>
          <w:bCs/>
          <w:sz w:val="24"/>
          <w:szCs w:val="24"/>
        </w:rPr>
        <w:t>, bem como amigavelmente, assegurados o contraditório e a ampla defesa.</w:t>
      </w:r>
    </w:p>
    <w:p>
      <w:pPr>
        <w:pStyle w:val="PargrafodaLista"/>
        <w:numPr>
          <w:ilvl w:val="2"/>
          <w:numId w:val="40"/>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Nesta hipótese, aplicam-se também os </w:t>
      </w:r>
      <w:hyperlink r:id="rId71" w:anchor="art138" w:history="1">
        <w:r>
          <w:rPr>
            <w:rStyle w:val="Hyperlink"/>
            <w:rFonts w:asciiTheme="majorHAnsi" w:hAnsiTheme="majorHAnsi" w:cstheme="majorHAnsi"/>
            <w:bCs/>
            <w:sz w:val="24"/>
            <w:szCs w:val="24"/>
          </w:rPr>
          <w:t>artigos 138 e 139 da mesma Lei</w:t>
        </w:r>
      </w:hyperlink>
      <w:r>
        <w:rPr>
          <w:rFonts w:asciiTheme="majorHAnsi" w:hAnsiTheme="majorHAnsi" w:cstheme="majorHAnsi"/>
          <w:bCs/>
          <w:sz w:val="24"/>
          <w:szCs w:val="24"/>
        </w:rPr>
        <w:t>.</w:t>
      </w:r>
    </w:p>
    <w:p>
      <w:pPr>
        <w:pStyle w:val="PargrafodaLista"/>
        <w:numPr>
          <w:ilvl w:val="2"/>
          <w:numId w:val="40"/>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A alteração social ou a modificação da finalidade ou da estrutura da empresa não ensejará a rescisão se não restringir sua capacidade de concluir o contrato.</w:t>
      </w:r>
    </w:p>
    <w:p>
      <w:pPr>
        <w:pStyle w:val="PargrafodaLista"/>
        <w:numPr>
          <w:ilvl w:val="3"/>
          <w:numId w:val="40"/>
        </w:numPr>
        <w:tabs>
          <w:tab w:val="left" w:pos="567"/>
          <w:tab w:val="left" w:pos="851"/>
          <w:tab w:val="left" w:pos="993"/>
          <w:tab w:val="left" w:pos="2525"/>
          <w:tab w:val="left" w:pos="3119"/>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Se a operação implicar mudança da pessoa jurídica contratada, deverá ser formalizado termo aditivo para alteração subjetiva.</w:t>
      </w:r>
    </w:p>
    <w:p>
      <w:pPr>
        <w:pStyle w:val="PargrafodaLista"/>
        <w:numPr>
          <w:ilvl w:val="1"/>
          <w:numId w:val="40"/>
        </w:numPr>
        <w:tabs>
          <w:tab w:val="left" w:pos="567"/>
          <w:tab w:val="left" w:pos="851"/>
          <w:tab w:val="left" w:pos="993"/>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O termo de rescisão, sempre que possível, será precedido:</w:t>
      </w:r>
    </w:p>
    <w:p>
      <w:pPr>
        <w:pStyle w:val="PargrafodaLista"/>
        <w:numPr>
          <w:ilvl w:val="2"/>
          <w:numId w:val="40"/>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Balanço dos eventos contratuais já cumpridos ou parcialmente cumpridos;</w:t>
      </w:r>
    </w:p>
    <w:p>
      <w:pPr>
        <w:pStyle w:val="PargrafodaLista"/>
        <w:numPr>
          <w:ilvl w:val="2"/>
          <w:numId w:val="40"/>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Relação dos pagamentos já efetuados e ainda devidos;</w:t>
      </w:r>
    </w:p>
    <w:p>
      <w:pPr>
        <w:pStyle w:val="PargrafodaLista"/>
        <w:numPr>
          <w:ilvl w:val="2"/>
          <w:numId w:val="40"/>
        </w:numPr>
        <w:tabs>
          <w:tab w:val="left" w:pos="567"/>
          <w:tab w:val="left" w:pos="709"/>
          <w:tab w:val="left" w:pos="851"/>
          <w:tab w:val="left" w:pos="2525"/>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Indenizações e multas.</w:t>
      </w:r>
    </w:p>
    <w:p>
      <w:pPr>
        <w:pStyle w:val="PargrafodaLista"/>
        <w:numPr>
          <w:ilvl w:val="1"/>
          <w:numId w:val="40"/>
        </w:numPr>
        <w:tabs>
          <w:tab w:val="left" w:pos="567"/>
          <w:tab w:val="left" w:pos="851"/>
          <w:tab w:val="left" w:pos="993"/>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A extinção do contrato não configura óbice para o reconhecimento do desequilíbrio econômico-financeiro, hipótese em que será concedida indenização por meio de termo indenizatório (</w:t>
      </w:r>
      <w:hyperlink r:id="rId72" w:anchor="art131" w:history="1">
        <w:r>
          <w:rPr>
            <w:rStyle w:val="Hyperlink"/>
            <w:rFonts w:asciiTheme="majorHAnsi" w:hAnsiTheme="majorHAnsi" w:cstheme="majorHAnsi"/>
            <w:bCs/>
            <w:sz w:val="24"/>
            <w:szCs w:val="24"/>
          </w:rPr>
          <w:t>art. 131, caput, da Lei n.º 14.133, de 2021</w:t>
        </w:r>
      </w:hyperlink>
      <w:r>
        <w:rPr>
          <w:rFonts w:asciiTheme="majorHAnsi" w:hAnsiTheme="majorHAnsi" w:cstheme="majorHAnsi"/>
          <w:bCs/>
          <w:sz w:val="24"/>
          <w:szCs w:val="24"/>
        </w:rPr>
        <w:t xml:space="preserve">). </w:t>
      </w:r>
    </w:p>
    <w:p>
      <w:pPr>
        <w:pStyle w:val="PargrafodaLista"/>
        <w:numPr>
          <w:ilvl w:val="1"/>
          <w:numId w:val="40"/>
        </w:numPr>
        <w:tabs>
          <w:tab w:val="left" w:pos="567"/>
          <w:tab w:val="left" w:pos="851"/>
          <w:tab w:val="left" w:pos="993"/>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lastRenderedPageBreak/>
        <w:t>A dotação relativa aos exercícios financeiros subsequentes será indicada após aprovação da Lei Orçamentária respectiva e liberação dos créditos correspondentes, mediante apostilamento.</w:t>
      </w:r>
    </w:p>
    <w:p>
      <w:pPr>
        <w:pStyle w:val="PargrafodaLista"/>
        <w:tabs>
          <w:tab w:val="left" w:pos="567"/>
          <w:tab w:val="left" w:pos="851"/>
          <w:tab w:val="left" w:pos="993"/>
          <w:tab w:val="center" w:pos="4873"/>
        </w:tabs>
        <w:ind w:left="0"/>
        <w:jc w:val="both"/>
        <w:rPr>
          <w:rFonts w:asciiTheme="majorHAnsi" w:hAnsiTheme="majorHAnsi" w:cstheme="majorHAnsi"/>
          <w:bCs/>
          <w:sz w:val="24"/>
          <w:szCs w:val="24"/>
        </w:rPr>
      </w:pPr>
    </w:p>
    <w:p>
      <w:pPr>
        <w:pStyle w:val="PargrafodaLista"/>
        <w:numPr>
          <w:ilvl w:val="0"/>
          <w:numId w:val="58"/>
        </w:num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F2F2F2" w:themeFill="background1" w:themeFillShade="F2"/>
        <w:tabs>
          <w:tab w:val="left" w:pos="426"/>
          <w:tab w:val="left" w:pos="851"/>
          <w:tab w:val="left" w:pos="2525"/>
          <w:tab w:val="center" w:pos="4873"/>
        </w:tabs>
        <w:suppressAutoHyphens w:val="0"/>
        <w:spacing w:after="200" w:line="276" w:lineRule="auto"/>
        <w:ind w:left="0" w:firstLine="0"/>
        <w:jc w:val="both"/>
        <w:rPr>
          <w:rFonts w:asciiTheme="majorHAnsi" w:hAnsiTheme="majorHAnsi" w:cstheme="majorHAnsi"/>
          <w:b/>
          <w:sz w:val="24"/>
          <w:szCs w:val="24"/>
        </w:rPr>
      </w:pPr>
      <w:r>
        <w:rPr>
          <w:rFonts w:asciiTheme="majorHAnsi" w:hAnsiTheme="majorHAnsi" w:cstheme="majorHAnsi"/>
          <w:b/>
          <w:sz w:val="24"/>
          <w:szCs w:val="24"/>
        </w:rPr>
        <w:t>DOS CASOS OMISSOS (</w:t>
      </w:r>
      <w:hyperlink r:id="rId73" w:anchor="art92" w:history="1">
        <w:r>
          <w:rPr>
            <w:rStyle w:val="Hyperlink"/>
            <w:rFonts w:asciiTheme="majorHAnsi" w:hAnsiTheme="majorHAnsi" w:cstheme="majorHAnsi"/>
            <w:b/>
            <w:sz w:val="24"/>
            <w:szCs w:val="24"/>
          </w:rPr>
          <w:t>art. 92, III</w:t>
        </w:r>
      </w:hyperlink>
      <w:r>
        <w:rPr>
          <w:rFonts w:asciiTheme="majorHAnsi" w:hAnsiTheme="majorHAnsi" w:cstheme="majorHAnsi"/>
          <w:b/>
          <w:sz w:val="24"/>
          <w:szCs w:val="24"/>
        </w:rPr>
        <w:t>)</w:t>
      </w:r>
    </w:p>
    <w:p>
      <w:pPr>
        <w:pStyle w:val="PargrafodaLista"/>
        <w:numPr>
          <w:ilvl w:val="1"/>
          <w:numId w:val="40"/>
        </w:numPr>
        <w:tabs>
          <w:tab w:val="left" w:pos="567"/>
          <w:tab w:val="left" w:pos="851"/>
          <w:tab w:val="left" w:pos="993"/>
          <w:tab w:val="center" w:pos="4873"/>
        </w:tabs>
        <w:suppressAutoHyphens w:val="0"/>
        <w:spacing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Os casos omissos serão decididos pelo(s) órgão(s) demandante(s), segundo as disposições contidas na Lei </w:t>
      </w:r>
      <w:hyperlink r:id="rId74" w:history="1">
        <w:r>
          <w:rPr>
            <w:rStyle w:val="Hyperlink"/>
            <w:rFonts w:asciiTheme="majorHAnsi" w:hAnsiTheme="majorHAnsi" w:cstheme="majorHAnsi"/>
            <w:bCs/>
            <w:sz w:val="24"/>
            <w:szCs w:val="24"/>
          </w:rPr>
          <w:t>nº 14.133, de 2021</w:t>
        </w:r>
      </w:hyperlink>
      <w:r>
        <w:rPr>
          <w:rFonts w:asciiTheme="majorHAnsi" w:hAnsiTheme="majorHAnsi" w:cstheme="majorHAnsi"/>
          <w:bCs/>
          <w:sz w:val="24"/>
          <w:szCs w:val="24"/>
        </w:rPr>
        <w:t>, nos regulamentos e normas locais específicas, nas normas federais aplicáveis e, subsidiariamente, pelas normas e princípios gerais em Direito Admitidas.</w:t>
      </w:r>
    </w:p>
    <w:p>
      <w:pPr>
        <w:pStyle w:val="PargrafodaLista"/>
        <w:tabs>
          <w:tab w:val="left" w:pos="851"/>
        </w:tabs>
        <w:autoSpaceDE w:val="0"/>
        <w:autoSpaceDN w:val="0"/>
        <w:adjustRightInd w:val="0"/>
        <w:ind w:left="0"/>
        <w:jc w:val="center"/>
        <w:rPr>
          <w:rFonts w:asciiTheme="majorHAnsi" w:hAnsiTheme="majorHAnsi" w:cstheme="majorHAnsi"/>
          <w:b/>
          <w:sz w:val="24"/>
          <w:szCs w:val="24"/>
        </w:rPr>
      </w:pPr>
      <w:r>
        <w:rPr>
          <w:rFonts w:asciiTheme="majorHAnsi" w:hAnsiTheme="majorHAnsi" w:cstheme="majorHAnsi"/>
          <w:b/>
          <w:sz w:val="24"/>
          <w:szCs w:val="24"/>
        </w:rPr>
        <w:br w:type="page"/>
      </w:r>
    </w:p>
    <w:p>
      <w:pPr>
        <w:pStyle w:val="PargrafodaLista"/>
        <w:tabs>
          <w:tab w:val="left" w:pos="851"/>
        </w:tabs>
        <w:autoSpaceDE w:val="0"/>
        <w:autoSpaceDN w:val="0"/>
        <w:adjustRightInd w:val="0"/>
        <w:ind w:left="0"/>
        <w:jc w:val="center"/>
        <w:rPr>
          <w:rFonts w:asciiTheme="majorHAnsi" w:hAnsiTheme="majorHAnsi" w:cstheme="majorHAnsi"/>
          <w:b/>
          <w:sz w:val="24"/>
          <w:szCs w:val="24"/>
        </w:rPr>
      </w:pPr>
    </w:p>
    <w:p>
      <w:pPr>
        <w:pStyle w:val="PargrafodaLista"/>
        <w:tabs>
          <w:tab w:val="left" w:pos="851"/>
        </w:tabs>
        <w:autoSpaceDE w:val="0"/>
        <w:autoSpaceDN w:val="0"/>
        <w:adjustRightInd w:val="0"/>
        <w:ind w:left="0"/>
        <w:jc w:val="center"/>
        <w:rPr>
          <w:rFonts w:asciiTheme="majorHAnsi" w:hAnsiTheme="majorHAnsi" w:cstheme="majorHAnsi"/>
          <w:b/>
          <w:sz w:val="24"/>
          <w:szCs w:val="24"/>
        </w:rPr>
      </w:pPr>
      <w:r>
        <w:rPr>
          <w:rFonts w:asciiTheme="majorHAnsi" w:hAnsiTheme="majorHAnsi" w:cstheme="majorHAnsi"/>
          <w:b/>
          <w:sz w:val="24"/>
          <w:szCs w:val="24"/>
        </w:rPr>
        <w:t>ANEXO I</w:t>
      </w:r>
    </w:p>
    <w:p>
      <w:pPr>
        <w:pStyle w:val="PargrafodaLista"/>
        <w:tabs>
          <w:tab w:val="left" w:pos="851"/>
        </w:tabs>
        <w:autoSpaceDE w:val="0"/>
        <w:autoSpaceDN w:val="0"/>
        <w:adjustRightInd w:val="0"/>
        <w:ind w:left="0"/>
        <w:jc w:val="center"/>
        <w:rPr>
          <w:rFonts w:asciiTheme="majorHAnsi" w:hAnsiTheme="majorHAnsi" w:cstheme="majorHAnsi"/>
          <w:b/>
          <w:sz w:val="24"/>
          <w:szCs w:val="24"/>
        </w:rPr>
      </w:pPr>
    </w:p>
    <w:p>
      <w:pPr>
        <w:pStyle w:val="PargrafodaLista"/>
        <w:tabs>
          <w:tab w:val="left" w:pos="851"/>
        </w:tabs>
        <w:ind w:left="0"/>
        <w:rPr>
          <w:rFonts w:asciiTheme="majorHAnsi" w:hAnsiTheme="majorHAnsi" w:cstheme="majorHAnsi"/>
          <w:b/>
          <w:sz w:val="24"/>
          <w:szCs w:val="24"/>
        </w:rPr>
      </w:pPr>
      <w:r>
        <w:rPr>
          <w:rFonts w:asciiTheme="majorHAnsi" w:hAnsiTheme="majorHAnsi" w:cstheme="majorHAnsi"/>
          <w:b/>
          <w:sz w:val="24"/>
          <w:szCs w:val="24"/>
        </w:rPr>
        <w:t>1. DOS ITENS/LOTES:</w:t>
      </w:r>
    </w:p>
    <w:p>
      <w:pPr>
        <w:pStyle w:val="PargrafodaLista"/>
        <w:tabs>
          <w:tab w:val="left" w:pos="284"/>
        </w:tabs>
        <w:autoSpaceDE w:val="0"/>
        <w:autoSpaceDN w:val="0"/>
        <w:adjustRightInd w:val="0"/>
        <w:ind w:left="0"/>
        <w:jc w:val="both"/>
        <w:rPr>
          <w:rFonts w:asciiTheme="majorHAnsi" w:hAnsiTheme="majorHAnsi" w:cstheme="majorHAnsi"/>
          <w:bCs/>
          <w:sz w:val="24"/>
          <w:szCs w:val="24"/>
        </w:rPr>
      </w:pPr>
      <w:r>
        <w:rPr>
          <w:rFonts w:asciiTheme="majorHAnsi" w:hAnsiTheme="majorHAnsi" w:cstheme="majorHAnsi"/>
          <w:bCs/>
          <w:sz w:val="24"/>
          <w:szCs w:val="24"/>
        </w:rPr>
        <w:t xml:space="preserve">1.1. </w:t>
      </w:r>
      <w:r>
        <w:rPr>
          <w:rFonts w:asciiTheme="majorHAnsi" w:hAnsiTheme="majorHAnsi" w:cstheme="majorHAnsi"/>
          <w:b/>
          <w:sz w:val="24"/>
          <w:szCs w:val="24"/>
        </w:rPr>
        <w:t>Justificativa quanto ao quantitativo:</w:t>
      </w:r>
      <w:r>
        <w:rPr>
          <w:rFonts w:asciiTheme="majorHAnsi" w:hAnsiTheme="majorHAnsi" w:cstheme="majorHAnsi"/>
          <w:bCs/>
          <w:sz w:val="24"/>
          <w:szCs w:val="24"/>
        </w:rPr>
        <w:t xml:space="preserve"> A definição dos quantitativos deu-se com base em levantamento pautado pelo histórico de utilização de exercícios anteriores e/ou em consonância com as necessidades das possíveis contratação prospectadas a longo prazo de vigência contratual, estipuladas por este(s) órgãos(s).</w:t>
      </w:r>
    </w:p>
    <w:p>
      <w:pPr>
        <w:pStyle w:val="PargrafodaLista"/>
        <w:tabs>
          <w:tab w:val="left" w:pos="284"/>
        </w:tabs>
        <w:autoSpaceDE w:val="0"/>
        <w:autoSpaceDN w:val="0"/>
        <w:adjustRightInd w:val="0"/>
        <w:ind w:left="0"/>
        <w:jc w:val="both"/>
        <w:rPr>
          <w:rFonts w:asciiTheme="majorHAnsi" w:hAnsiTheme="majorHAnsi" w:cstheme="majorHAnsi"/>
          <w:bCs/>
          <w:sz w:val="24"/>
          <w:szCs w:val="24"/>
        </w:rPr>
      </w:pPr>
      <w:r>
        <w:rPr>
          <w:rFonts w:asciiTheme="majorHAnsi" w:hAnsiTheme="majorHAnsi" w:cstheme="majorHAnsi"/>
          <w:bCs/>
          <w:sz w:val="24"/>
          <w:szCs w:val="24"/>
        </w:rPr>
        <w:t>1.2. Os quantitativos totais estipulados, bem como, a definição dos parâmetros e quantitativos para efeitos de formulação de proposta de preços constam do Anexo I deste Projeto Básico/Termo de Referência.</w:t>
      </w:r>
    </w:p>
    <w:p>
      <w:pPr>
        <w:pStyle w:val="PargrafodaLista"/>
        <w:tabs>
          <w:tab w:val="left" w:pos="284"/>
        </w:tabs>
        <w:autoSpaceDE w:val="0"/>
        <w:autoSpaceDN w:val="0"/>
        <w:adjustRightInd w:val="0"/>
        <w:ind w:left="0"/>
        <w:jc w:val="both"/>
        <w:rPr>
          <w:rFonts w:asciiTheme="majorHAnsi" w:hAnsiTheme="majorHAnsi" w:cstheme="majorHAnsi"/>
          <w:bCs/>
          <w:sz w:val="24"/>
          <w:szCs w:val="24"/>
        </w:rPr>
      </w:pPr>
    </w:p>
    <w:p>
      <w:pPr>
        <w:pStyle w:val="PargrafodaLista"/>
        <w:numPr>
          <w:ilvl w:val="2"/>
          <w:numId w:val="32"/>
        </w:numPr>
        <w:tabs>
          <w:tab w:val="left" w:pos="851"/>
        </w:tabs>
        <w:autoSpaceDE w:val="0"/>
        <w:autoSpaceDN w:val="0"/>
        <w:adjustRightInd w:val="0"/>
        <w:ind w:left="0" w:firstLine="0"/>
        <w:rPr>
          <w:rFonts w:asciiTheme="majorHAnsi" w:hAnsiTheme="majorHAnsi" w:cstheme="majorHAnsi"/>
          <w:b/>
          <w:sz w:val="24"/>
          <w:szCs w:val="24"/>
        </w:rPr>
      </w:pPr>
      <w:r>
        <w:rPr>
          <w:rFonts w:asciiTheme="majorHAnsi" w:hAnsiTheme="majorHAnsi" w:cstheme="majorHAnsi"/>
          <w:b/>
          <w:sz w:val="24"/>
          <w:szCs w:val="24"/>
        </w:rPr>
        <w:t>DOS QUANTITATIVOS TOTAIS DA LICITAÇÃO</w:t>
      </w:r>
    </w:p>
    <w:p>
      <w:pPr>
        <w:tabs>
          <w:tab w:val="left" w:pos="851"/>
        </w:tabs>
        <w:autoSpaceDE w:val="0"/>
        <w:autoSpaceDN w:val="0"/>
        <w:adjustRightInd w:val="0"/>
        <w:rPr>
          <w:rFonts w:asciiTheme="majorHAnsi" w:hAnsiTheme="majorHAnsi" w:cstheme="majorHAnsi"/>
          <w:b/>
          <w:sz w:val="24"/>
          <w:szCs w:val="24"/>
        </w:rPr>
      </w:pPr>
    </w:p>
    <w:tbl>
      <w:tblPr>
        <w:tblStyle w:val="Tabelacomgrade"/>
        <w:tblW w:w="0" w:type="auto"/>
        <w:jc w:val="center"/>
        <w:tblLook w:val="04A0" w:firstRow="1" w:lastRow="0" w:firstColumn="1" w:lastColumn="0" w:noHBand="0" w:noVBand="1"/>
      </w:tblPr>
      <w:tblGrid>
        <w:gridCol w:w="777"/>
        <w:gridCol w:w="4530"/>
        <w:gridCol w:w="670"/>
        <w:gridCol w:w="759"/>
        <w:gridCol w:w="994"/>
        <w:gridCol w:w="1330"/>
      </w:tblGrid>
      <w:tr>
        <w:trPr>
          <w:jc w:val="center"/>
        </w:trPr>
        <w:tc>
          <w:tcPr>
            <w:tcW w:w="777" w:type="dxa"/>
            <w:shd w:val="clear" w:color="auto" w:fill="17365D" w:themeFill="text2" w:themeFillShade="BF"/>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ITEM</w:t>
            </w:r>
          </w:p>
        </w:tc>
        <w:tc>
          <w:tcPr>
            <w:tcW w:w="4530" w:type="dxa"/>
            <w:shd w:val="clear" w:color="auto" w:fill="17365D" w:themeFill="text2" w:themeFillShade="BF"/>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ESPECIFICAÇÃO / RECARGA</w:t>
            </w:r>
          </w:p>
        </w:tc>
        <w:tc>
          <w:tcPr>
            <w:tcW w:w="670" w:type="dxa"/>
            <w:shd w:val="clear" w:color="auto" w:fill="17365D" w:themeFill="text2" w:themeFillShade="BF"/>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UND</w:t>
            </w:r>
          </w:p>
        </w:tc>
        <w:tc>
          <w:tcPr>
            <w:tcW w:w="759" w:type="dxa"/>
            <w:shd w:val="clear" w:color="auto" w:fill="17365D" w:themeFill="text2" w:themeFillShade="BF"/>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QTD</w:t>
            </w:r>
          </w:p>
        </w:tc>
        <w:tc>
          <w:tcPr>
            <w:tcW w:w="994" w:type="dxa"/>
            <w:shd w:val="clear" w:color="auto" w:fill="17365D" w:themeFill="text2" w:themeFillShade="BF"/>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 xml:space="preserve">VALOR UNIT. </w:t>
            </w:r>
          </w:p>
        </w:tc>
        <w:tc>
          <w:tcPr>
            <w:tcW w:w="1330" w:type="dxa"/>
            <w:shd w:val="clear" w:color="auto" w:fill="17365D" w:themeFill="text2" w:themeFillShade="BF"/>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VALOR GLOBAL</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01</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RECARGA DE TINTA PARA IMPRESSORA EPSON ECOTANK L3250</w:t>
            </w:r>
          </w:p>
        </w:tc>
        <w:tc>
          <w:tcPr>
            <w:tcW w:w="670" w:type="dxa"/>
            <w:vAlign w:val="center"/>
          </w:tcPr>
          <w:p>
            <w:pPr>
              <w:suppressAutoHyphens/>
              <w:jc w:val="both"/>
              <w:rPr>
                <w:rFonts w:asciiTheme="majorHAnsi" w:hAnsiTheme="majorHAnsi" w:cstheme="majorHAnsi"/>
                <w:sz w:val="18"/>
                <w:szCs w:val="18"/>
                <w:lang w:eastAsia="zh-CN"/>
              </w:rPr>
            </w:pPr>
            <w:r>
              <w:rPr>
                <w:rFonts w:asciiTheme="majorHAnsi" w:hAnsiTheme="majorHAnsi" w:cstheme="majorHAnsi"/>
                <w:sz w:val="18"/>
                <w:szCs w:val="18"/>
                <w:lang w:eastAsia="zh-CN"/>
              </w:rPr>
              <w:t>UND</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2460</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R$ 85,63</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R$ 210.649,80</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02</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RECARGA DE TINTA PARA IMPRESSORA EPSON L6490</w:t>
            </w:r>
          </w:p>
        </w:tc>
        <w:tc>
          <w:tcPr>
            <w:tcW w:w="670" w:type="dxa"/>
            <w:vAlign w:val="center"/>
          </w:tcPr>
          <w:p>
            <w:pPr>
              <w:suppressAutoHyphens/>
              <w:jc w:val="both"/>
              <w:rPr>
                <w:rFonts w:asciiTheme="majorHAnsi" w:hAnsiTheme="majorHAnsi" w:cstheme="majorHAnsi"/>
                <w:sz w:val="18"/>
                <w:szCs w:val="18"/>
                <w:lang w:eastAsia="zh-CN"/>
              </w:rPr>
            </w:pPr>
            <w:r>
              <w:rPr>
                <w:rFonts w:asciiTheme="majorHAnsi" w:hAnsiTheme="majorHAnsi" w:cstheme="majorHAnsi"/>
                <w:sz w:val="18"/>
                <w:szCs w:val="18"/>
                <w:lang w:eastAsia="zh-CN"/>
              </w:rPr>
              <w:t>UND</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480</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R$ 61,57</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R$ 29.553,60</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03</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RECARGA DE TINTA PARA IMPRESSORA EPSON L4160</w:t>
            </w:r>
          </w:p>
        </w:tc>
        <w:tc>
          <w:tcPr>
            <w:tcW w:w="670" w:type="dxa"/>
            <w:vAlign w:val="center"/>
          </w:tcPr>
          <w:p>
            <w:pPr>
              <w:suppressAutoHyphens/>
              <w:jc w:val="both"/>
              <w:rPr>
                <w:rFonts w:asciiTheme="majorHAnsi" w:hAnsiTheme="majorHAnsi" w:cstheme="majorHAnsi"/>
                <w:sz w:val="18"/>
                <w:szCs w:val="18"/>
                <w:lang w:eastAsia="zh-CN"/>
              </w:rPr>
            </w:pPr>
            <w:r>
              <w:rPr>
                <w:rFonts w:asciiTheme="majorHAnsi" w:hAnsiTheme="majorHAnsi" w:cstheme="majorHAnsi"/>
                <w:sz w:val="18"/>
                <w:szCs w:val="18"/>
                <w:lang w:eastAsia="zh-CN"/>
              </w:rPr>
              <w:t>UND</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60</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R$ 81,67</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R$ 4.900,20</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04</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RECARGA DE TINTA PARA IMPRESSORA EPSON L3150</w:t>
            </w:r>
          </w:p>
        </w:tc>
        <w:tc>
          <w:tcPr>
            <w:tcW w:w="670" w:type="dxa"/>
            <w:vAlign w:val="center"/>
          </w:tcPr>
          <w:p>
            <w:pPr>
              <w:suppressAutoHyphens/>
              <w:jc w:val="both"/>
              <w:rPr>
                <w:rFonts w:asciiTheme="majorHAnsi" w:hAnsiTheme="majorHAnsi" w:cstheme="majorHAnsi"/>
                <w:sz w:val="18"/>
                <w:szCs w:val="18"/>
                <w:lang w:eastAsia="zh-CN"/>
              </w:rPr>
            </w:pPr>
            <w:r>
              <w:rPr>
                <w:rFonts w:asciiTheme="majorHAnsi" w:hAnsiTheme="majorHAnsi" w:cstheme="majorHAnsi"/>
                <w:sz w:val="18"/>
                <w:szCs w:val="18"/>
                <w:lang w:eastAsia="zh-CN"/>
              </w:rPr>
              <w:t>UND</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120</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R$ 83,67</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R$ 10.040,40</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05</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RECARGA DE TINTA PARA IMPRESSORA EPSON L4150</w:t>
            </w:r>
          </w:p>
        </w:tc>
        <w:tc>
          <w:tcPr>
            <w:tcW w:w="670" w:type="dxa"/>
            <w:vAlign w:val="center"/>
          </w:tcPr>
          <w:p>
            <w:pPr>
              <w:suppressAutoHyphens/>
              <w:jc w:val="both"/>
              <w:rPr>
                <w:rFonts w:asciiTheme="majorHAnsi" w:hAnsiTheme="majorHAnsi" w:cstheme="majorHAnsi"/>
                <w:sz w:val="18"/>
                <w:szCs w:val="18"/>
                <w:lang w:eastAsia="zh-CN"/>
              </w:rPr>
            </w:pPr>
            <w:r>
              <w:rPr>
                <w:rFonts w:asciiTheme="majorHAnsi" w:hAnsiTheme="majorHAnsi" w:cstheme="majorHAnsi"/>
                <w:sz w:val="18"/>
                <w:szCs w:val="18"/>
                <w:lang w:eastAsia="zh-CN"/>
              </w:rPr>
              <w:t>UND</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60</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R$ 88,75</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R$ 5.325,00</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06</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RECARGA DE TINTA PARA IMPRESSORA EPSON L375</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UND</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60</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R$ 60,67</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R$ 3.640,20</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07</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RECARGA DE TINTA PARA IMPRESSORA EPSON L1250</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UND</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240</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R$ 86,30</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R$ 20.712,00</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08</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RECARGA DE TINTA PARA IMPRESSORA EPSON J26H006</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UND</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60</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R$ 94,33</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R$ 5.659,80</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09</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RECARGA DE TINTA PARA IMPRESSORA EPSON L5590</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UND</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60</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R$ 104,00</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R$ 6.240,00</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10</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RECARGA DE TINTA PARA IMPRESSORA EPSON L3210</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UND</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180</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R$ 90,48</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R$ 16.286,40</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11</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RECARGA DE TINTA PARA IMPRESSORA EPSON M2120</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UND</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60</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R$ 91,75</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R$ 5.505,00</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12</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RECARGA DE TINTA PARA IMPRESSORA EPSON ECOTANK L396</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UND</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60</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R$ 81,04</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R$ 4.862,40</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13</w:t>
            </w:r>
          </w:p>
        </w:tc>
        <w:tc>
          <w:tcPr>
            <w:tcW w:w="4530" w:type="dxa"/>
            <w:vAlign w:val="center"/>
          </w:tcPr>
          <w:p>
            <w:pPr>
              <w:suppressAutoHyphens/>
              <w:jc w:val="both"/>
              <w:rPr>
                <w:rFonts w:asciiTheme="majorHAnsi" w:hAnsiTheme="majorHAnsi" w:cs="Arial"/>
                <w:sz w:val="18"/>
                <w:szCs w:val="18"/>
              </w:rPr>
            </w:pPr>
            <w:r>
              <w:rPr>
                <w:rFonts w:asciiTheme="majorHAnsi" w:hAnsiTheme="majorHAnsi" w:cs="Arial"/>
                <w:sz w:val="18"/>
                <w:szCs w:val="18"/>
              </w:rPr>
              <w:t>RECARGA DE TINTA PARA IMPRESSORA EPSON L260 DUPLEX</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UND</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60</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R$ 96,50</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R$ 5.790,00</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14</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RECARGA DE TONER PARA IMPRESSORA HP LASER MFP 135A</w:t>
            </w:r>
          </w:p>
        </w:tc>
        <w:tc>
          <w:tcPr>
            <w:tcW w:w="670" w:type="dxa"/>
            <w:vAlign w:val="center"/>
          </w:tcPr>
          <w:p>
            <w:pPr>
              <w:suppressAutoHyphens/>
              <w:jc w:val="both"/>
              <w:rPr>
                <w:rFonts w:asciiTheme="majorHAnsi" w:hAnsiTheme="majorHAnsi" w:cstheme="majorHAnsi"/>
                <w:sz w:val="18"/>
                <w:szCs w:val="18"/>
                <w:lang w:eastAsia="zh-CN"/>
              </w:rPr>
            </w:pPr>
            <w:r>
              <w:rPr>
                <w:rFonts w:asciiTheme="majorHAnsi" w:hAnsiTheme="majorHAnsi" w:cstheme="majorHAnsi"/>
                <w:sz w:val="18"/>
                <w:szCs w:val="18"/>
                <w:lang w:eastAsia="zh-CN"/>
              </w:rPr>
              <w:t>UND</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60</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R$ 70,20</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R$ 4.212,00</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15</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RECARGA DE TONER PARA IMPRESSORA SAMSUNG PROXPRESS M4075FR</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UND</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60</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R$ 68,06</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R$ 4.083,60</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16</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RECARGA DE TONER PARA IMPRESSORA PANTUM M7105DW</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UND</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180</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R$ 74,23</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R$ 13.361,40</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17</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RECARGA DE TONER PARA IMPRESSORA BROTHER DCPL254DW</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UND</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60</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R$ 85,80</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R$ 5.148,00</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18</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RECARGA DE TONER PARA IMPRESSORA HP MEPM125A</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UND</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60</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R$ 78,16</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R$ 4.689,60</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19</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RECARGA DE TONER PARA IMPRESSORA BROTHER DCP765DN</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UND</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60</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R$ 85,80</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R$ 5.148,00</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20</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RECARGA DE TONER PARA IMPRESSORA BROTHER DCP1617NW</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UND</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60</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R$ 85,80</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R$ 5.148,00</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21</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SERVIÇO DE MANUTENÇÃO PREVENTIVA E CORRETIVA COM SUBSTITUIÇÃO DE PEÇAS PARA IMPRESSORA EPSON ECOTANK L3250</w:t>
            </w:r>
          </w:p>
        </w:tc>
        <w:tc>
          <w:tcPr>
            <w:tcW w:w="670" w:type="dxa"/>
            <w:vAlign w:val="center"/>
          </w:tcPr>
          <w:p>
            <w:pPr>
              <w:suppressAutoHyphens/>
              <w:jc w:val="both"/>
              <w:rPr>
                <w:rFonts w:asciiTheme="majorHAnsi" w:hAnsiTheme="majorHAnsi" w:cstheme="majorHAnsi"/>
                <w:sz w:val="18"/>
                <w:szCs w:val="18"/>
                <w:lang w:eastAsia="zh-CN"/>
              </w:rPr>
            </w:pPr>
            <w:r>
              <w:rPr>
                <w:rFonts w:asciiTheme="majorHAnsi" w:hAnsiTheme="majorHAnsi" w:cstheme="majorHAnsi"/>
                <w:sz w:val="18"/>
                <w:szCs w:val="18"/>
                <w:lang w:eastAsia="zh-CN"/>
              </w:rPr>
              <w:t>SERV</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164</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R$ 112,13</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R$ 18.389,32</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22</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SERVIÇO DE MANUTENÇÃO PREVENTIVA E CORRETIVA COM SUBSTITUIÇÃO DE PEÇAS PARA IMPRESSORA EPSON L6490</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SERV</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32</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R$ 113,30</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R$ 3.625,60</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23</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 xml:space="preserve">SERVIÇO DE MANUTENÇÃO PREVENTIVA E CORRETIVA COM SUBSTITUIÇÃO DE PEÇAS PARA </w:t>
            </w:r>
            <w:r>
              <w:rPr>
                <w:rFonts w:asciiTheme="majorHAnsi" w:hAnsiTheme="majorHAnsi" w:cs="Arial"/>
                <w:sz w:val="18"/>
                <w:szCs w:val="18"/>
              </w:rPr>
              <w:lastRenderedPageBreak/>
              <w:t>IMPRESSORA EPSON L4160</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lastRenderedPageBreak/>
              <w:t>SERV</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4</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R$ 113,30</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R$ 453,20</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lastRenderedPageBreak/>
              <w:t>24</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SERVIÇO DE MANUTENÇÃO PREVENTIVA E CORRETIVA COM SUBSTITUIÇÃO DE PEÇAS PARA IMPRESSORA EPSON L3150</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SERV</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8</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R$ 119,06</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R$ 952,48</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25</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SERVIÇO DE MANUTENÇÃO PREVENTIVA E CORRETIVA COM SUBSTITUIÇÃO DE PEÇAS PARA IMPRESSORA HP LASER MFP 135A</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SERV</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4</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R$ 133,33</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R$ 533,32</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26</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SERVIÇO DE MANUTENÇÃO PREVENTIVA E CORRETIVA COM SUBSTITUIÇÃO DE PEÇAS PARA IMPRESSORA EPSON L4150</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SERV</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4</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R$ 109,02</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R$ 436,08</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27</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SERVIÇO DE MANUTENÇÃO PREVENTIVA E CORRETIVA COM SUBSTITUIÇÃO DE PEÇAS PARA IMPRESSORA EPSON L375</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SERV</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4</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R$ 102,39</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R$ 409,56</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28</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SERVIÇO DE MANUTENÇÃO PREVENTIVA E CORRETIVA COM SUBSTITUIÇÃO DE PEÇAS PARA IMPRESSORA EPSON L1250</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SERV</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16</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R$ 105,49</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R$ 1.687,84</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29</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SERVIÇO DE MANUTENÇÃO PREVENTIVA E CORRETIVA COM SUBSTITUIÇÃO DE PEÇAS PARA IMPRESSORA EPSON J26H006</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SERV</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4</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R$ 108,16</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R$ 432,64</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30</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SERVIÇO DE MANUTENÇÃO PREVENTIVA E CORRETIVA COM SUBSTITUIÇÃO DE PEÇAS PARA IMPRESSORA EPSON L5590</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SERV</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4</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R$ 112,60</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R$ 450,40</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31</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SERVIÇO DE MANUTENÇÃO PREVENTIVA E CORRETIVA COM SUBSTITUIÇÃO DE PEÇAS PARA IMPRESSORA SAMSUNG PROXPRESS M4075FR</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SERV</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4</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R$ 119,30</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R$ 477,20</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32</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SERVIÇO DE MANUTENÇÃO PREVENTIVA E CORRETIVA COM SUBSTITUIÇÃO DE PEÇAS PARA IMPRESSORA PANTUM M7105DW</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SERV</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12</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R$ 118,71</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R$ 1.424,52</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33</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SERVIÇO DE MANUTENÇÃO PREVENTIVA E CORRETIVA COM SUBSTITUIÇÃO DE PEÇAS PARA IMPRESSORA EPSON L3210</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SERV</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12</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R$ 107,95</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R$ 1.295,40</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34</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SERVIÇO DE MANUTENÇÃO PREVENTIVA E CORRETIVA COM SUBSTITUIÇÃO DE PEÇAS PARA IMPRESSORA BROTHER DCPL254DW</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SERV</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4</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R$ 120,28</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R$ 481,12</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35</w:t>
            </w:r>
          </w:p>
        </w:tc>
        <w:tc>
          <w:tcPr>
            <w:tcW w:w="4530" w:type="dxa"/>
            <w:vAlign w:val="center"/>
          </w:tcPr>
          <w:p>
            <w:pPr>
              <w:suppressAutoHyphens/>
              <w:jc w:val="both"/>
              <w:rPr>
                <w:rFonts w:asciiTheme="majorHAnsi" w:hAnsiTheme="majorHAnsi" w:cs="Arial"/>
                <w:sz w:val="18"/>
                <w:szCs w:val="18"/>
              </w:rPr>
            </w:pPr>
            <w:r>
              <w:rPr>
                <w:rFonts w:asciiTheme="majorHAnsi" w:hAnsiTheme="majorHAnsi" w:cs="Arial"/>
                <w:sz w:val="18"/>
                <w:szCs w:val="18"/>
              </w:rPr>
              <w:t>SERVIÇO DE MANUTENÇÃO PREVENTIVA E CORRETIVA COM SUBSTITUIÇÃO DE PEÇAS PARA IMPRESSORA EPSON M2120</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SERV</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4</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R$ 123,30</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R$ 493,20</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36</w:t>
            </w:r>
          </w:p>
        </w:tc>
        <w:tc>
          <w:tcPr>
            <w:tcW w:w="4530" w:type="dxa"/>
            <w:vAlign w:val="center"/>
          </w:tcPr>
          <w:p>
            <w:pPr>
              <w:autoSpaceDE w:val="0"/>
              <w:autoSpaceDN w:val="0"/>
              <w:adjustRightInd w:val="0"/>
              <w:rPr>
                <w:rFonts w:asciiTheme="majorHAnsi" w:hAnsiTheme="majorHAnsi" w:cstheme="majorHAnsi"/>
                <w:b/>
                <w:sz w:val="18"/>
                <w:szCs w:val="18"/>
                <w:lang w:eastAsia="zh-CN"/>
              </w:rPr>
            </w:pPr>
            <w:r>
              <w:rPr>
                <w:rFonts w:asciiTheme="majorHAnsi" w:hAnsiTheme="majorHAnsi" w:cs="Arial"/>
                <w:sz w:val="18"/>
                <w:szCs w:val="18"/>
              </w:rPr>
              <w:t xml:space="preserve">SERVIÇO DE MANUTENÇÃO PREVENTIVA E CORRETIVA COM SUBSTITUIÇÃO DE PEÇAS PARA IMPRESSORA HP MEPM125A </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SERV</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4</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R$ 106,67</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R$ 426,68</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37</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SERVIÇO DE MANUTENÇÃO PREVENTIVA E CORRETIVA COM SUBSTITUIÇÃO DE PEÇAS PARA IMPRESSORA BROTHER DCP765DN</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SERV</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4</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R$ 124,39</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R$ 497,56</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38</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SERVIÇO DE MANUTENÇÃO PREVENTIVA E CORRETIVA COM SUBSTITUIÇÃO DE PEÇAS PARA IMPRESSORA EPSON ECOTANK L396</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SERV</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4</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R$ 114,22</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R$ 456,88</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39</w:t>
            </w:r>
          </w:p>
        </w:tc>
        <w:tc>
          <w:tcPr>
            <w:tcW w:w="4530" w:type="dxa"/>
            <w:vAlign w:val="center"/>
          </w:tcPr>
          <w:p>
            <w:pPr>
              <w:suppressAutoHyphens/>
              <w:jc w:val="both"/>
              <w:rPr>
                <w:rFonts w:asciiTheme="majorHAnsi" w:hAnsiTheme="majorHAnsi" w:cstheme="majorHAnsi"/>
                <w:b/>
                <w:sz w:val="18"/>
                <w:szCs w:val="18"/>
                <w:lang w:eastAsia="zh-CN"/>
              </w:rPr>
            </w:pPr>
            <w:r>
              <w:rPr>
                <w:rFonts w:asciiTheme="majorHAnsi" w:hAnsiTheme="majorHAnsi" w:cs="Arial"/>
                <w:sz w:val="18"/>
                <w:szCs w:val="18"/>
              </w:rPr>
              <w:t>SERVIÇO DE MANUTENÇÃO PREVENTIVA E CORRETIVA COM SUBSTITUIÇÃO DE PEÇAS PARA IMPRESSORA BROTHER DCP1617NW</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SERV</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4</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R$ 167,63</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R$ 670,52</w:t>
            </w:r>
          </w:p>
        </w:tc>
      </w:tr>
      <w:tr>
        <w:trPr>
          <w:jc w:val="center"/>
        </w:trPr>
        <w:tc>
          <w:tcPr>
            <w:tcW w:w="777" w:type="dxa"/>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40</w:t>
            </w:r>
          </w:p>
        </w:tc>
        <w:tc>
          <w:tcPr>
            <w:tcW w:w="4530" w:type="dxa"/>
            <w:vAlign w:val="center"/>
          </w:tcPr>
          <w:p>
            <w:pPr>
              <w:suppressAutoHyphens/>
              <w:jc w:val="both"/>
              <w:rPr>
                <w:rFonts w:asciiTheme="majorHAnsi" w:hAnsiTheme="majorHAnsi" w:cs="Arial"/>
                <w:sz w:val="18"/>
                <w:szCs w:val="18"/>
              </w:rPr>
            </w:pPr>
            <w:r>
              <w:rPr>
                <w:rFonts w:asciiTheme="majorHAnsi" w:hAnsiTheme="majorHAnsi" w:cs="Arial"/>
                <w:sz w:val="18"/>
                <w:szCs w:val="18"/>
              </w:rPr>
              <w:t>SERVIÇO DE MANUTENÇÃO PREVENTIVA E CORRETIVA COM SUBSTITUIÇÃO DE PEÇAS PARA IMPRESSORA EPSON L260 DUPLEX</w:t>
            </w:r>
          </w:p>
        </w:tc>
        <w:tc>
          <w:tcPr>
            <w:tcW w:w="670" w:type="dxa"/>
            <w:vAlign w:val="center"/>
          </w:tcPr>
          <w:p>
            <w:pPr>
              <w:rPr>
                <w:rFonts w:asciiTheme="majorHAnsi" w:hAnsiTheme="majorHAnsi"/>
                <w:sz w:val="18"/>
                <w:szCs w:val="18"/>
              </w:rPr>
            </w:pPr>
            <w:r>
              <w:rPr>
                <w:rFonts w:asciiTheme="majorHAnsi" w:hAnsiTheme="majorHAnsi" w:cstheme="majorHAnsi"/>
                <w:sz w:val="18"/>
                <w:szCs w:val="18"/>
                <w:lang w:eastAsia="zh-CN"/>
              </w:rPr>
              <w:t>SERV</w:t>
            </w:r>
          </w:p>
        </w:tc>
        <w:tc>
          <w:tcPr>
            <w:tcW w:w="759"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4</w:t>
            </w:r>
          </w:p>
        </w:tc>
        <w:tc>
          <w:tcPr>
            <w:tcW w:w="994"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R$ 107,95</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R$ 431,80</w:t>
            </w:r>
          </w:p>
        </w:tc>
      </w:tr>
      <w:tr>
        <w:trPr>
          <w:jc w:val="center"/>
        </w:trPr>
        <w:tc>
          <w:tcPr>
            <w:tcW w:w="7730" w:type="dxa"/>
            <w:gridSpan w:val="5"/>
            <w:vAlign w:val="center"/>
          </w:tcPr>
          <w:p>
            <w:pPr>
              <w:suppressAutoHyphens/>
              <w:jc w:val="center"/>
              <w:rPr>
                <w:rFonts w:asciiTheme="majorHAnsi" w:hAnsiTheme="majorHAnsi" w:cstheme="majorHAnsi"/>
                <w:b/>
                <w:sz w:val="18"/>
                <w:szCs w:val="18"/>
                <w:lang w:eastAsia="zh-CN"/>
              </w:rPr>
            </w:pPr>
            <w:r>
              <w:rPr>
                <w:rFonts w:asciiTheme="majorHAnsi" w:hAnsiTheme="majorHAnsi" w:cstheme="majorHAnsi"/>
                <w:b/>
                <w:sz w:val="18"/>
                <w:szCs w:val="18"/>
                <w:lang w:eastAsia="zh-CN"/>
              </w:rPr>
              <w:t>TOTAL</w:t>
            </w:r>
          </w:p>
        </w:tc>
        <w:tc>
          <w:tcPr>
            <w:tcW w:w="1330" w:type="dxa"/>
            <w:vAlign w:val="center"/>
          </w:tcPr>
          <w:p>
            <w:pPr>
              <w:suppressAutoHyphens/>
              <w:jc w:val="center"/>
              <w:rPr>
                <w:rFonts w:asciiTheme="majorHAnsi" w:hAnsiTheme="majorHAnsi" w:cstheme="majorHAnsi"/>
                <w:sz w:val="18"/>
                <w:szCs w:val="18"/>
                <w:lang w:eastAsia="zh-CN"/>
              </w:rPr>
            </w:pPr>
            <w:r>
              <w:rPr>
                <w:rFonts w:asciiTheme="majorHAnsi" w:hAnsiTheme="majorHAnsi" w:cstheme="majorHAnsi"/>
                <w:sz w:val="18"/>
                <w:szCs w:val="18"/>
                <w:lang w:eastAsia="zh-CN"/>
              </w:rPr>
              <w:t>R$ 404.980,72</w:t>
            </w:r>
          </w:p>
        </w:tc>
      </w:tr>
    </w:tbl>
    <w:p>
      <w:pPr>
        <w:tabs>
          <w:tab w:val="left" w:pos="851"/>
          <w:tab w:val="left" w:pos="2525"/>
          <w:tab w:val="center" w:pos="4873"/>
        </w:tabs>
        <w:rPr>
          <w:rFonts w:asciiTheme="majorHAnsi" w:hAnsiTheme="majorHAnsi" w:cstheme="majorHAnsi"/>
          <w:b/>
          <w:sz w:val="24"/>
          <w:szCs w:val="24"/>
        </w:rPr>
      </w:pPr>
    </w:p>
    <w:p>
      <w:pPr>
        <w:tabs>
          <w:tab w:val="left" w:pos="851"/>
          <w:tab w:val="left" w:pos="2525"/>
          <w:tab w:val="center" w:pos="4873"/>
        </w:tabs>
        <w:rPr>
          <w:rFonts w:asciiTheme="majorHAnsi" w:hAnsiTheme="majorHAnsi" w:cstheme="majorHAnsi"/>
          <w:b/>
          <w:sz w:val="24"/>
          <w:szCs w:val="24"/>
        </w:rPr>
      </w:pPr>
    </w:p>
    <w:p>
      <w:pPr>
        <w:tabs>
          <w:tab w:val="left" w:pos="851"/>
          <w:tab w:val="left" w:pos="2525"/>
          <w:tab w:val="center" w:pos="4873"/>
        </w:tabs>
        <w:jc w:val="both"/>
        <w:rPr>
          <w:rFonts w:asciiTheme="majorHAnsi" w:hAnsiTheme="majorHAnsi" w:cstheme="majorHAnsi"/>
          <w:b/>
          <w:sz w:val="24"/>
          <w:szCs w:val="24"/>
        </w:rPr>
      </w:pPr>
      <w:r>
        <w:rPr>
          <w:rFonts w:asciiTheme="majorHAnsi" w:hAnsiTheme="majorHAnsi" w:cstheme="majorHAnsi"/>
          <w:b/>
          <w:sz w:val="24"/>
          <w:szCs w:val="24"/>
        </w:rPr>
        <w:t xml:space="preserve">VALOR: </w:t>
      </w:r>
      <w:r>
        <w:rPr>
          <w:rFonts w:asciiTheme="majorHAnsi" w:hAnsiTheme="majorHAnsi" w:cstheme="majorHAnsi"/>
          <w:sz w:val="24"/>
          <w:szCs w:val="24"/>
        </w:rPr>
        <w:t>R$ 404.980,72 (quatrocentos e quatro mil, novecentos e oitenta reais e setenta e dois centavos).</w:t>
      </w:r>
    </w:p>
    <w:p>
      <w:pPr>
        <w:rPr>
          <w:rFonts w:asciiTheme="majorHAnsi" w:hAnsiTheme="majorHAnsi" w:cstheme="majorHAnsi"/>
          <w:b/>
          <w:sz w:val="24"/>
          <w:szCs w:val="24"/>
        </w:rPr>
      </w:pPr>
      <w:r>
        <w:rPr>
          <w:rFonts w:asciiTheme="majorHAnsi" w:hAnsiTheme="majorHAnsi" w:cstheme="majorHAnsi"/>
          <w:b/>
          <w:sz w:val="24"/>
          <w:szCs w:val="24"/>
        </w:rPr>
        <w:br w:type="page"/>
      </w:r>
    </w:p>
    <w:p>
      <w:pPr>
        <w:tabs>
          <w:tab w:val="left" w:pos="851"/>
        </w:tabs>
        <w:jc w:val="center"/>
        <w:rPr>
          <w:rFonts w:asciiTheme="majorHAnsi" w:hAnsiTheme="majorHAnsi" w:cstheme="majorHAnsi"/>
          <w:b/>
          <w:sz w:val="24"/>
          <w:szCs w:val="24"/>
        </w:rPr>
      </w:pPr>
      <w:r>
        <w:rPr>
          <w:rFonts w:asciiTheme="majorHAnsi" w:hAnsiTheme="majorHAnsi" w:cstheme="majorHAnsi"/>
          <w:b/>
          <w:sz w:val="24"/>
          <w:szCs w:val="24"/>
        </w:rPr>
        <w:lastRenderedPageBreak/>
        <w:t>ANEXO II</w:t>
      </w:r>
    </w:p>
    <w:p>
      <w:pPr>
        <w:tabs>
          <w:tab w:val="left" w:pos="851"/>
        </w:tabs>
        <w:jc w:val="center"/>
        <w:rPr>
          <w:rFonts w:asciiTheme="majorHAnsi" w:hAnsiTheme="majorHAnsi" w:cstheme="majorHAnsi"/>
          <w:b/>
          <w:sz w:val="24"/>
          <w:szCs w:val="24"/>
        </w:rPr>
      </w:pPr>
      <w:r>
        <w:rPr>
          <w:rFonts w:asciiTheme="majorHAnsi" w:hAnsiTheme="majorHAnsi" w:cstheme="majorHAnsi"/>
          <w:b/>
          <w:sz w:val="24"/>
          <w:szCs w:val="24"/>
        </w:rPr>
        <w:t>RELAÇÃO DOS DOCUMENTOS DE HABILITAÇÃO</w:t>
      </w:r>
    </w:p>
    <w:p>
      <w:pPr>
        <w:tabs>
          <w:tab w:val="left" w:pos="851"/>
        </w:tabs>
        <w:jc w:val="center"/>
        <w:rPr>
          <w:rFonts w:asciiTheme="majorHAnsi" w:hAnsiTheme="majorHAnsi" w:cstheme="majorHAnsi"/>
          <w:b/>
          <w:sz w:val="24"/>
          <w:szCs w:val="24"/>
        </w:rPr>
      </w:pPr>
    </w:p>
    <w:p>
      <w:pPr>
        <w:jc w:val="both"/>
        <w:rPr>
          <w:rFonts w:asciiTheme="majorHAnsi" w:hAnsiTheme="majorHAnsi" w:cstheme="majorHAnsi"/>
          <w:sz w:val="24"/>
          <w:szCs w:val="24"/>
        </w:rPr>
      </w:pPr>
      <w:r>
        <w:rPr>
          <w:rFonts w:asciiTheme="majorHAnsi" w:hAnsiTheme="majorHAnsi" w:cstheme="majorHAnsi"/>
          <w:sz w:val="24"/>
          <w:szCs w:val="24"/>
        </w:rPr>
        <w:t>Para fins de licitação, o(s) licitante(s) deverão comprovar o atendimento aos seguintes requisitos:</w:t>
      </w:r>
    </w:p>
    <w:p>
      <w:pPr>
        <w:pStyle w:val="PargrafodaLista"/>
        <w:numPr>
          <w:ilvl w:val="0"/>
          <w:numId w:val="47"/>
        </w:numPr>
        <w:tabs>
          <w:tab w:val="left" w:pos="284"/>
        </w:tabs>
        <w:suppressAutoHyphens w:val="0"/>
        <w:spacing w:line="276" w:lineRule="auto"/>
        <w:rPr>
          <w:rFonts w:asciiTheme="majorHAnsi" w:hAnsiTheme="majorHAnsi" w:cstheme="majorHAnsi"/>
          <w:b/>
          <w:bCs/>
          <w:sz w:val="24"/>
          <w:szCs w:val="24"/>
        </w:rPr>
      </w:pPr>
      <w:bookmarkStart w:id="76" w:name="_Hlk155179860"/>
      <w:r>
        <w:rPr>
          <w:rFonts w:asciiTheme="majorHAnsi" w:hAnsiTheme="majorHAnsi" w:cstheme="majorHAnsi"/>
          <w:b/>
          <w:bCs/>
          <w:sz w:val="24"/>
          <w:szCs w:val="24"/>
        </w:rPr>
        <w:t>Habilitação jurídica</w:t>
      </w:r>
    </w:p>
    <w:p>
      <w:pPr>
        <w:tabs>
          <w:tab w:val="left" w:pos="284"/>
        </w:tabs>
        <w:jc w:val="both"/>
        <w:rPr>
          <w:rFonts w:asciiTheme="majorHAnsi" w:hAnsiTheme="majorHAnsi" w:cstheme="majorHAnsi"/>
          <w:sz w:val="24"/>
          <w:szCs w:val="24"/>
        </w:rPr>
      </w:pPr>
      <w:r>
        <w:rPr>
          <w:rFonts w:asciiTheme="majorHAnsi" w:hAnsiTheme="majorHAnsi" w:cstheme="majorHAnsi"/>
          <w:sz w:val="24"/>
          <w:szCs w:val="24"/>
        </w:rPr>
        <w:t xml:space="preserve">A habilitação jurídica visa a demonstrar a capacidade de o licitante exercer direitos e assumir obrigações, e a documentação a ser apresentada por ele limita-se à </w:t>
      </w:r>
      <w:r>
        <w:rPr>
          <w:rFonts w:asciiTheme="majorHAnsi" w:hAnsiTheme="majorHAnsi" w:cstheme="majorHAnsi"/>
          <w:b/>
          <w:bCs/>
          <w:sz w:val="24"/>
          <w:szCs w:val="24"/>
        </w:rPr>
        <w:t>comprovação de existência jurídica da pessoa</w:t>
      </w:r>
      <w:r>
        <w:rPr>
          <w:rFonts w:asciiTheme="majorHAnsi" w:hAnsiTheme="majorHAnsi" w:cstheme="majorHAnsi"/>
          <w:sz w:val="24"/>
          <w:szCs w:val="24"/>
        </w:rPr>
        <w:t xml:space="preserve"> e, quando cabível, de autorização para o exercício da atividade a ser contratada (Art. 66 da Lei Federal nº 14.133/21), devendo ser observado e apresentado, se for:</w:t>
      </w:r>
    </w:p>
    <w:p>
      <w:pPr>
        <w:pStyle w:val="PargrafodaLista"/>
        <w:numPr>
          <w:ilvl w:val="1"/>
          <w:numId w:val="47"/>
        </w:numPr>
        <w:tabs>
          <w:tab w:val="left" w:pos="426"/>
        </w:tabs>
        <w:suppressAutoHyphens w:val="0"/>
        <w:spacing w:after="200"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Pessoa física: cédula de identidade (RG) ou documento equivalente que, por força de lei, tenha validade para fins de identificação em todo o território nacional;</w:t>
      </w:r>
    </w:p>
    <w:p>
      <w:pPr>
        <w:pStyle w:val="PargrafodaLista"/>
        <w:numPr>
          <w:ilvl w:val="1"/>
          <w:numId w:val="47"/>
        </w:numPr>
        <w:tabs>
          <w:tab w:val="left" w:pos="426"/>
        </w:tabs>
        <w:suppressAutoHyphens w:val="0"/>
        <w:spacing w:after="200"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Empresário individual: inscrição no Registro Público de Empresas Mercantis, a cargo da Junta Comercial da respectiva sede; </w:t>
      </w:r>
    </w:p>
    <w:p>
      <w:pPr>
        <w:pStyle w:val="PargrafodaLista"/>
        <w:numPr>
          <w:ilvl w:val="1"/>
          <w:numId w:val="47"/>
        </w:numPr>
        <w:tabs>
          <w:tab w:val="left" w:pos="426"/>
        </w:tabs>
        <w:suppressAutoHyphens w:val="0"/>
        <w:spacing w:after="200"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 xml:space="preserve">Microempreendedor Individual - MEI: Certificado da Condição de Microempreendedor Individual - CCMEI, cuja aceitação ficará condicionada à verificação da autenticidade no sítio https://www.gov.br/empresas-e-negocios/pt-br/empreendedor; </w:t>
      </w:r>
    </w:p>
    <w:p>
      <w:pPr>
        <w:pStyle w:val="PargrafodaLista"/>
        <w:numPr>
          <w:ilvl w:val="1"/>
          <w:numId w:val="47"/>
        </w:numPr>
        <w:tabs>
          <w:tab w:val="left" w:pos="426"/>
        </w:tabs>
        <w:suppressAutoHyphens w:val="0"/>
        <w:spacing w:after="200"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pPr>
        <w:pStyle w:val="PargrafodaLista"/>
        <w:numPr>
          <w:ilvl w:val="1"/>
          <w:numId w:val="47"/>
        </w:numPr>
        <w:tabs>
          <w:tab w:val="left" w:pos="426"/>
        </w:tabs>
        <w:suppressAutoHyphens w:val="0"/>
        <w:spacing w:after="200"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pPr>
        <w:pStyle w:val="PargrafodaLista"/>
        <w:numPr>
          <w:ilvl w:val="1"/>
          <w:numId w:val="47"/>
        </w:numPr>
        <w:tabs>
          <w:tab w:val="left" w:pos="426"/>
        </w:tabs>
        <w:suppressAutoHyphens w:val="0"/>
        <w:spacing w:after="200"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Sociedade simples: inscrição do ato constitutivo no Registro Civil de Pessoas Jurídicas do local de sua sede, acompanhada de documento comprobatório de seus administradores;</w:t>
      </w:r>
    </w:p>
    <w:p>
      <w:pPr>
        <w:pStyle w:val="PargrafodaLista"/>
        <w:numPr>
          <w:ilvl w:val="1"/>
          <w:numId w:val="47"/>
        </w:numPr>
        <w:tabs>
          <w:tab w:val="left" w:pos="426"/>
        </w:tabs>
        <w:suppressAutoHyphens w:val="0"/>
        <w:spacing w:after="200"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PargrafodaLista"/>
        <w:numPr>
          <w:ilvl w:val="1"/>
          <w:numId w:val="47"/>
        </w:numPr>
        <w:tabs>
          <w:tab w:val="left" w:pos="426"/>
        </w:tabs>
        <w:suppressAutoHyphens w:val="0"/>
        <w:spacing w:after="200"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pPr>
        <w:pStyle w:val="PargrafodaLista"/>
        <w:numPr>
          <w:ilvl w:val="1"/>
          <w:numId w:val="47"/>
        </w:numPr>
        <w:tabs>
          <w:tab w:val="left" w:pos="426"/>
        </w:tabs>
        <w:suppressAutoHyphens w:val="0"/>
        <w:spacing w:after="200"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Ato de autorização para o exercício da atividade.</w:t>
      </w:r>
    </w:p>
    <w:p>
      <w:pPr>
        <w:pStyle w:val="PargrafodaLista"/>
        <w:tabs>
          <w:tab w:val="left" w:pos="567"/>
          <w:tab w:val="left" w:pos="851"/>
          <w:tab w:val="left" w:pos="2525"/>
          <w:tab w:val="center" w:pos="4873"/>
        </w:tabs>
        <w:ind w:left="0"/>
        <w:jc w:val="both"/>
        <w:rPr>
          <w:rFonts w:asciiTheme="majorHAnsi" w:hAnsiTheme="majorHAnsi" w:cstheme="majorHAnsi"/>
          <w:bCs/>
          <w:sz w:val="24"/>
          <w:szCs w:val="24"/>
        </w:rPr>
      </w:pPr>
    </w:p>
    <w:p>
      <w:pPr>
        <w:pStyle w:val="PargrafodaLista"/>
        <w:tabs>
          <w:tab w:val="left" w:pos="567"/>
          <w:tab w:val="left" w:pos="851"/>
          <w:tab w:val="left" w:pos="2525"/>
          <w:tab w:val="center" w:pos="4873"/>
        </w:tabs>
        <w:ind w:left="0"/>
        <w:jc w:val="both"/>
        <w:rPr>
          <w:rFonts w:asciiTheme="majorHAnsi" w:hAnsiTheme="majorHAnsi" w:cstheme="majorHAnsi"/>
          <w:b/>
          <w:sz w:val="24"/>
          <w:szCs w:val="24"/>
        </w:rPr>
      </w:pPr>
      <w:r>
        <w:rPr>
          <w:rFonts w:asciiTheme="majorHAnsi" w:hAnsiTheme="majorHAnsi" w:cstheme="majorHAnsi"/>
          <w:b/>
          <w:sz w:val="24"/>
          <w:szCs w:val="24"/>
        </w:rPr>
        <w:t>Os documentos apresentados deverão estar acompanhados de todas as alterações ou da consolidação respectiva.</w:t>
      </w:r>
    </w:p>
    <w:p>
      <w:pPr>
        <w:pStyle w:val="PargrafodaLista"/>
        <w:tabs>
          <w:tab w:val="left" w:pos="567"/>
          <w:tab w:val="left" w:pos="851"/>
          <w:tab w:val="left" w:pos="2525"/>
          <w:tab w:val="center" w:pos="4873"/>
        </w:tabs>
        <w:ind w:left="0"/>
        <w:jc w:val="both"/>
        <w:rPr>
          <w:rFonts w:asciiTheme="majorHAnsi" w:hAnsiTheme="majorHAnsi" w:cstheme="majorHAnsi"/>
          <w:b/>
          <w:sz w:val="24"/>
          <w:szCs w:val="24"/>
        </w:rPr>
      </w:pPr>
    </w:p>
    <w:p>
      <w:pPr>
        <w:pStyle w:val="PargrafodaLista"/>
        <w:numPr>
          <w:ilvl w:val="0"/>
          <w:numId w:val="47"/>
        </w:numPr>
        <w:tabs>
          <w:tab w:val="left" w:pos="284"/>
        </w:tabs>
        <w:suppressAutoHyphens w:val="0"/>
        <w:spacing w:line="276" w:lineRule="auto"/>
        <w:rPr>
          <w:rFonts w:asciiTheme="majorHAnsi" w:hAnsiTheme="majorHAnsi" w:cstheme="majorHAnsi"/>
          <w:b/>
          <w:bCs/>
          <w:sz w:val="24"/>
          <w:szCs w:val="24"/>
        </w:rPr>
      </w:pPr>
      <w:r>
        <w:rPr>
          <w:rFonts w:asciiTheme="majorHAnsi" w:hAnsiTheme="majorHAnsi" w:cstheme="majorHAnsi"/>
          <w:b/>
          <w:bCs/>
          <w:sz w:val="24"/>
          <w:szCs w:val="24"/>
        </w:rPr>
        <w:t>Habilitação fiscal, social e trabalhista</w:t>
      </w:r>
    </w:p>
    <w:p>
      <w:pPr>
        <w:pStyle w:val="PargrafodaLista"/>
        <w:numPr>
          <w:ilvl w:val="1"/>
          <w:numId w:val="47"/>
        </w:numPr>
        <w:tabs>
          <w:tab w:val="left" w:pos="426"/>
        </w:tabs>
        <w:suppressAutoHyphens w:val="0"/>
        <w:spacing w:after="200"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Prova de inscrição no Cadastro Nacional de Pessoas Jurídicas (CNPJ);</w:t>
      </w:r>
      <w:bookmarkStart w:id="77" w:name="art68ii"/>
      <w:bookmarkEnd w:id="77"/>
    </w:p>
    <w:p>
      <w:pPr>
        <w:pStyle w:val="PargrafodaLista"/>
        <w:numPr>
          <w:ilvl w:val="1"/>
          <w:numId w:val="47"/>
        </w:numPr>
        <w:tabs>
          <w:tab w:val="left" w:pos="426"/>
        </w:tabs>
        <w:suppressAutoHyphens w:val="0"/>
        <w:spacing w:after="200"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Prova de inscrição no cadastro de contribuintes estadual e/ou municipal, se houver, relativo ao domicílio ou sede do licitante, pertinente ao seu ramo de atividade e compatível com o objeto contratual</w:t>
      </w:r>
      <w:bookmarkStart w:id="78" w:name="art68iii"/>
      <w:bookmarkEnd w:id="78"/>
      <w:r>
        <w:rPr>
          <w:rFonts w:asciiTheme="majorHAnsi" w:hAnsiTheme="majorHAnsi" w:cstheme="majorHAnsi"/>
          <w:bCs/>
          <w:sz w:val="24"/>
          <w:szCs w:val="24"/>
        </w:rPr>
        <w:t>;</w:t>
      </w:r>
    </w:p>
    <w:p>
      <w:pPr>
        <w:pStyle w:val="PargrafodaLista"/>
        <w:numPr>
          <w:ilvl w:val="1"/>
          <w:numId w:val="47"/>
        </w:numPr>
        <w:tabs>
          <w:tab w:val="left" w:pos="426"/>
        </w:tabs>
        <w:suppressAutoHyphens w:val="0"/>
        <w:spacing w:after="200"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Prova de regularidade com a Fazenda federal, estadual e municipal do domicílio ou sede do licitante, ou outra equivalente, na forma da lei</w:t>
      </w:r>
      <w:bookmarkStart w:id="79" w:name="art68iv"/>
      <w:bookmarkEnd w:id="79"/>
      <w:r>
        <w:rPr>
          <w:rFonts w:asciiTheme="majorHAnsi" w:hAnsiTheme="majorHAnsi" w:cstheme="majorHAnsi"/>
          <w:bCs/>
          <w:sz w:val="24"/>
          <w:szCs w:val="24"/>
        </w:rPr>
        <w:t>;</w:t>
      </w:r>
    </w:p>
    <w:p>
      <w:pPr>
        <w:pStyle w:val="PargrafodaLista"/>
        <w:numPr>
          <w:ilvl w:val="1"/>
          <w:numId w:val="47"/>
        </w:numPr>
        <w:tabs>
          <w:tab w:val="left" w:pos="426"/>
        </w:tabs>
        <w:suppressAutoHyphens w:val="0"/>
        <w:spacing w:after="200"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Prova de regularidade relativa à Seguridade Social e ao FGTS, que demonstre cumprimento dos encargos sociais instituídos por lei;</w:t>
      </w:r>
      <w:bookmarkStart w:id="80" w:name="art68v"/>
      <w:bookmarkEnd w:id="80"/>
    </w:p>
    <w:p>
      <w:pPr>
        <w:pStyle w:val="PargrafodaLista"/>
        <w:numPr>
          <w:ilvl w:val="1"/>
          <w:numId w:val="47"/>
        </w:numPr>
        <w:tabs>
          <w:tab w:val="left" w:pos="426"/>
        </w:tabs>
        <w:suppressAutoHyphens w:val="0"/>
        <w:spacing w:after="200"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Prova de regularidade perante a Justiça do Trabalho (Mediante a apresentação de certidão negativa ou positiva com efeito de negativa, nos termos do Título VII-A da Consolidação das Leis do Trabalho, aprovada pelo Decreto-Lei nº 5.452, de 1º de maio de 1943).</w:t>
      </w:r>
      <w:bookmarkStart w:id="81" w:name="art68vi"/>
      <w:bookmarkEnd w:id="81"/>
    </w:p>
    <w:p>
      <w:pPr>
        <w:pStyle w:val="PargrafodaLista"/>
        <w:numPr>
          <w:ilvl w:val="1"/>
          <w:numId w:val="47"/>
        </w:numPr>
        <w:tabs>
          <w:tab w:val="left" w:pos="426"/>
        </w:tabs>
        <w:suppressAutoHyphens w:val="0"/>
        <w:spacing w:after="200"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Declaração quanto ao cumprimento do disposto no </w:t>
      </w:r>
      <w:hyperlink r:id="rId75" w:anchor="art7xxxiii" w:history="1">
        <w:r>
          <w:rPr>
            <w:rFonts w:asciiTheme="majorHAnsi" w:hAnsiTheme="majorHAnsi" w:cstheme="majorHAnsi"/>
            <w:bCs/>
            <w:sz w:val="24"/>
            <w:szCs w:val="24"/>
          </w:rPr>
          <w:t>inciso XXXIII do art. 7º da Constituição Federal (Esta declaração ficará dispensada em caso de procedimento eletrônico onde o proponente opte por assinalar a opção constante do sistema).</w:t>
        </w:r>
      </w:hyperlink>
    </w:p>
    <w:p>
      <w:pPr>
        <w:pStyle w:val="PargrafodaLista"/>
        <w:numPr>
          <w:ilvl w:val="1"/>
          <w:numId w:val="47"/>
        </w:numPr>
        <w:tabs>
          <w:tab w:val="left" w:pos="426"/>
        </w:tabs>
        <w:suppressAutoHyphens w:val="0"/>
        <w:spacing w:after="200"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pPr>
        <w:pStyle w:val="PargrafodaLista"/>
        <w:tabs>
          <w:tab w:val="left" w:pos="426"/>
        </w:tabs>
        <w:ind w:left="0"/>
        <w:jc w:val="both"/>
        <w:rPr>
          <w:rFonts w:asciiTheme="majorHAnsi" w:hAnsiTheme="majorHAnsi" w:cstheme="majorHAnsi"/>
          <w:bCs/>
          <w:sz w:val="24"/>
          <w:szCs w:val="24"/>
        </w:rPr>
      </w:pPr>
    </w:p>
    <w:p>
      <w:pPr>
        <w:pStyle w:val="PargrafodaLista"/>
        <w:numPr>
          <w:ilvl w:val="0"/>
          <w:numId w:val="47"/>
        </w:numPr>
        <w:tabs>
          <w:tab w:val="left" w:pos="284"/>
        </w:tabs>
        <w:suppressAutoHyphens w:val="0"/>
        <w:spacing w:line="276" w:lineRule="auto"/>
        <w:rPr>
          <w:rFonts w:asciiTheme="majorHAnsi" w:hAnsiTheme="majorHAnsi" w:cstheme="majorHAnsi"/>
          <w:b/>
          <w:bCs/>
          <w:sz w:val="24"/>
          <w:szCs w:val="24"/>
        </w:rPr>
      </w:pPr>
      <w:r>
        <w:rPr>
          <w:rFonts w:asciiTheme="majorHAnsi" w:hAnsiTheme="majorHAnsi" w:cstheme="majorHAnsi"/>
          <w:b/>
          <w:bCs/>
          <w:sz w:val="24"/>
          <w:szCs w:val="24"/>
        </w:rPr>
        <w:t>Qualificação Econômico-Financeira</w:t>
      </w:r>
    </w:p>
    <w:p>
      <w:pPr>
        <w:pStyle w:val="PargrafodaLista"/>
        <w:numPr>
          <w:ilvl w:val="1"/>
          <w:numId w:val="47"/>
        </w:numPr>
        <w:tabs>
          <w:tab w:val="left" w:pos="426"/>
        </w:tabs>
        <w:suppressAutoHyphens w:val="0"/>
        <w:spacing w:after="200"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Balanço patrimonial, demonstração de resultado de exercício e demais demonstrações contábeis dos 2 (dois) últimos exercícios sociais (já exigíveis e apresentados na forma da lei, devidamente registrado no órgão competente de origem)</w:t>
      </w:r>
    </w:p>
    <w:p>
      <w:pPr>
        <w:pStyle w:val="PargrafodaLista"/>
        <w:numPr>
          <w:ilvl w:val="1"/>
          <w:numId w:val="47"/>
        </w:numPr>
        <w:tabs>
          <w:tab w:val="left" w:pos="426"/>
        </w:tabs>
        <w:suppressAutoHyphens w:val="0"/>
        <w:spacing w:after="200"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pPr>
        <w:pStyle w:val="PargrafodaLista"/>
        <w:tabs>
          <w:tab w:val="left" w:pos="426"/>
        </w:tabs>
        <w:ind w:left="426"/>
        <w:jc w:val="both"/>
        <w:rPr>
          <w:rFonts w:asciiTheme="majorHAnsi" w:hAnsiTheme="majorHAnsi" w:cstheme="majorHAnsi"/>
          <w:bCs/>
          <w:sz w:val="24"/>
          <w:szCs w:val="24"/>
        </w:rPr>
      </w:pPr>
      <w:r>
        <w:rPr>
          <w:rFonts w:asciiTheme="majorHAnsi" w:hAnsiTheme="majorHAnsi" w:cstheme="majorHAnsi"/>
          <w:bCs/>
          <w:sz w:val="24"/>
          <w:szCs w:val="24"/>
        </w:rPr>
        <w:t>I - Liquidez Geral (LG) = (Ativo Circulante + Realizável a Longo Prazo)/( Passivo Circulante + Passivo Não Circulante);</w:t>
      </w:r>
    </w:p>
    <w:p>
      <w:pPr>
        <w:pStyle w:val="PargrafodaLista"/>
        <w:tabs>
          <w:tab w:val="left" w:pos="426"/>
        </w:tabs>
        <w:ind w:left="426"/>
        <w:jc w:val="both"/>
        <w:rPr>
          <w:rFonts w:asciiTheme="majorHAnsi" w:hAnsiTheme="majorHAnsi" w:cstheme="majorHAnsi"/>
          <w:bCs/>
          <w:sz w:val="24"/>
          <w:szCs w:val="24"/>
        </w:rPr>
      </w:pPr>
      <w:r>
        <w:rPr>
          <w:rFonts w:asciiTheme="majorHAnsi" w:hAnsiTheme="majorHAnsi" w:cstheme="majorHAnsi"/>
          <w:bCs/>
          <w:sz w:val="24"/>
          <w:szCs w:val="24"/>
        </w:rPr>
        <w:t>II - Solvência Geral (SG)= (Ativo Total)/(Passivo Circulante +Passivo não Circulante); e</w:t>
      </w:r>
    </w:p>
    <w:p>
      <w:pPr>
        <w:pStyle w:val="PargrafodaLista"/>
        <w:tabs>
          <w:tab w:val="left" w:pos="426"/>
        </w:tabs>
        <w:ind w:left="426"/>
        <w:jc w:val="both"/>
        <w:rPr>
          <w:rFonts w:asciiTheme="majorHAnsi" w:hAnsiTheme="majorHAnsi" w:cstheme="majorHAnsi"/>
          <w:bCs/>
          <w:sz w:val="24"/>
          <w:szCs w:val="24"/>
        </w:rPr>
      </w:pPr>
      <w:r>
        <w:rPr>
          <w:rFonts w:asciiTheme="majorHAnsi" w:hAnsiTheme="majorHAnsi" w:cstheme="majorHAnsi"/>
          <w:bCs/>
          <w:sz w:val="24"/>
          <w:szCs w:val="24"/>
        </w:rPr>
        <w:t>III - Liquidez Corrente (LC) = (Ativo Circulante)/(Passivo Circulante).</w:t>
      </w:r>
    </w:p>
    <w:p>
      <w:pPr>
        <w:pStyle w:val="PargrafodaLista"/>
        <w:numPr>
          <w:ilvl w:val="1"/>
          <w:numId w:val="47"/>
        </w:numPr>
        <w:tabs>
          <w:tab w:val="left" w:pos="426"/>
        </w:tabs>
        <w:suppressAutoHyphens w:val="0"/>
        <w:spacing w:after="200"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Certidão negativa de feitos sobre falência expedida pelo distribuidor da sede do licitante ou, Certidão negativa de insolvência civil expedida pelo distribuidor do domicílio ou sede do licitante, caso se trate de pessoa física, desde que admitida a sua participação na licitação.</w:t>
      </w:r>
    </w:p>
    <w:p>
      <w:pPr>
        <w:pStyle w:val="PargrafodaLista"/>
        <w:numPr>
          <w:ilvl w:val="1"/>
          <w:numId w:val="47"/>
        </w:numPr>
        <w:tabs>
          <w:tab w:val="left" w:pos="426"/>
        </w:tabs>
        <w:suppressAutoHyphens w:val="0"/>
        <w:spacing w:after="200"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Caso a empresa licitante apresente resultado inferior ou igual a 1 (um) em qualquer dos índices de Liquidez Geral (LG), Solvência Geral (SG) e Liquidez Corrente (LC), será exigido para fins de habilitação patrimônio líquido mínimo de 10% do valor total estimado do item/grupo que a licitante for sagrada vencedora.</w:t>
      </w:r>
    </w:p>
    <w:p>
      <w:pPr>
        <w:pStyle w:val="PargrafodaLista"/>
        <w:numPr>
          <w:ilvl w:val="1"/>
          <w:numId w:val="47"/>
        </w:numPr>
        <w:tabs>
          <w:tab w:val="left" w:pos="426"/>
        </w:tabs>
        <w:suppressAutoHyphens w:val="0"/>
        <w:spacing w:after="200"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lastRenderedPageBreak/>
        <w:t>As empresas criadas no exercício financeiro da licitação deverão atender a todas as exigências da habilitação e poderão substituir os demonstrativos contábeis pelo balanço de abertura. (Lei nº 14.133, de 2021, art. 65, §1º).</w:t>
      </w:r>
    </w:p>
    <w:p>
      <w:pPr>
        <w:pStyle w:val="PargrafodaLista"/>
        <w:numPr>
          <w:ilvl w:val="1"/>
          <w:numId w:val="47"/>
        </w:numPr>
        <w:tabs>
          <w:tab w:val="left" w:pos="426"/>
        </w:tabs>
        <w:suppressAutoHyphens w:val="0"/>
        <w:spacing w:after="200"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O balanço patrimonial, demonstração de resultado de exercício e demais demonstrações contábeis limitar-se-ão ao último exercício no caso de a pessoa jurídica ter sido constituída há menos de 2 (dois) anos. (Lei nº 14.133, de 2021, art. 69, §6º)</w:t>
      </w:r>
    </w:p>
    <w:p>
      <w:pPr>
        <w:pStyle w:val="PargrafodaLista"/>
        <w:numPr>
          <w:ilvl w:val="1"/>
          <w:numId w:val="47"/>
        </w:numPr>
        <w:tabs>
          <w:tab w:val="left" w:pos="426"/>
        </w:tabs>
        <w:suppressAutoHyphens w:val="0"/>
        <w:spacing w:after="200" w:line="276" w:lineRule="auto"/>
        <w:ind w:left="0" w:firstLine="0"/>
        <w:jc w:val="both"/>
        <w:rPr>
          <w:rFonts w:asciiTheme="majorHAnsi" w:hAnsiTheme="majorHAnsi" w:cstheme="majorHAnsi"/>
          <w:bCs/>
          <w:sz w:val="24"/>
          <w:szCs w:val="24"/>
        </w:rPr>
      </w:pPr>
      <w:r>
        <w:rPr>
          <w:rFonts w:asciiTheme="majorHAnsi" w:hAnsiTheme="majorHAnsi" w:cstheme="majorHAnsi"/>
          <w:bCs/>
          <w:sz w:val="24"/>
          <w:szCs w:val="24"/>
        </w:rPr>
        <w:t>O atendimento dos índices econômicos previstos neste item deverá ser atestado mediante declaração assinada por profissional habilitado da área contábil, apresentada pelo fornecedor.</w:t>
      </w:r>
    </w:p>
    <w:bookmarkEnd w:id="76"/>
    <w:p>
      <w:pPr>
        <w:tabs>
          <w:tab w:val="left" w:pos="284"/>
        </w:tabs>
        <w:jc w:val="both"/>
        <w:rPr>
          <w:rFonts w:asciiTheme="majorHAnsi" w:hAnsiTheme="majorHAnsi" w:cstheme="majorHAnsi"/>
          <w:b/>
          <w:sz w:val="24"/>
          <w:szCs w:val="24"/>
        </w:rPr>
      </w:pPr>
      <w:r>
        <w:rPr>
          <w:rFonts w:asciiTheme="majorHAnsi" w:hAnsiTheme="majorHAnsi" w:cstheme="majorHAnsi"/>
          <w:b/>
          <w:bCs/>
          <w:sz w:val="24"/>
          <w:szCs w:val="24"/>
        </w:rPr>
        <w:t>d. Qualificação Técnica</w:t>
      </w:r>
    </w:p>
    <w:p>
      <w:pPr>
        <w:tabs>
          <w:tab w:val="left" w:pos="284"/>
        </w:tabs>
        <w:jc w:val="both"/>
        <w:rPr>
          <w:rFonts w:asciiTheme="majorHAnsi" w:hAnsiTheme="majorHAnsi" w:cstheme="majorHAnsi"/>
          <w:b/>
          <w:sz w:val="24"/>
          <w:szCs w:val="24"/>
        </w:rPr>
      </w:pPr>
      <w:r>
        <w:rPr>
          <w:rFonts w:asciiTheme="majorHAnsi" w:hAnsiTheme="majorHAnsi" w:cstheme="majorHAnsi"/>
          <w:b/>
          <w:bCs/>
          <w:sz w:val="24"/>
          <w:szCs w:val="24"/>
        </w:rPr>
        <w:t xml:space="preserve">d.1. </w:t>
      </w:r>
      <w:r>
        <w:rPr>
          <w:rFonts w:asciiTheme="majorHAnsi" w:hAnsiTheme="majorHAnsi" w:cstheme="majorHAnsi"/>
          <w:sz w:val="24"/>
          <w:szCs w:val="24"/>
        </w:rPr>
        <w:t>Capacitação Técnica Operacional</w:t>
      </w:r>
    </w:p>
    <w:p>
      <w:pPr>
        <w:tabs>
          <w:tab w:val="left" w:pos="284"/>
        </w:tabs>
        <w:jc w:val="both"/>
        <w:rPr>
          <w:rFonts w:asciiTheme="majorHAnsi" w:hAnsiTheme="majorHAnsi" w:cstheme="majorHAnsi"/>
          <w:b/>
          <w:sz w:val="24"/>
          <w:szCs w:val="24"/>
        </w:rPr>
      </w:pPr>
      <w:r>
        <w:rPr>
          <w:rFonts w:asciiTheme="majorHAnsi" w:hAnsiTheme="majorHAnsi" w:cstheme="majorHAnsi"/>
          <w:b/>
          <w:bCs/>
          <w:sz w:val="24"/>
          <w:szCs w:val="24"/>
        </w:rPr>
        <w:t>d.1.1.</w:t>
      </w:r>
      <w:r>
        <w:rPr>
          <w:rFonts w:asciiTheme="majorHAnsi" w:hAnsiTheme="majorHAnsi" w:cstheme="majorHAnsi"/>
          <w:b/>
          <w:sz w:val="24"/>
          <w:szCs w:val="24"/>
        </w:rPr>
        <w:t xml:space="preserve"> </w:t>
      </w:r>
      <w:r>
        <w:rPr>
          <w:rFonts w:asciiTheme="majorHAnsi" w:hAnsiTheme="majorHAnsi" w:cstheme="majorHAnsi"/>
          <w:bCs/>
          <w:sz w:val="24"/>
          <w:szCs w:val="24"/>
        </w:rPr>
        <w:t>Comprovação de capacidade técnico-operacional da licitante para desempenho de atividade pertinente e compatível com o objeto da licitação, através de atestado fornecido por pessoa jurídica de direito público ou privado, que figure o nome da empresa como contratada, comprovando a execução satisfatória de serviços de recarga de suprimentos de impressão, manutenção preventiva e corretiva de impressoras, ou serviços compatíveis em características, quantidades e complexidade com o objeto licitado.</w:t>
      </w:r>
    </w:p>
    <w:p>
      <w:pPr>
        <w:tabs>
          <w:tab w:val="left" w:pos="284"/>
        </w:tabs>
        <w:jc w:val="both"/>
        <w:rPr>
          <w:rFonts w:asciiTheme="majorHAnsi" w:hAnsiTheme="majorHAnsi" w:cstheme="majorHAnsi"/>
          <w:b/>
          <w:sz w:val="24"/>
          <w:szCs w:val="24"/>
        </w:rPr>
      </w:pPr>
      <w:r>
        <w:rPr>
          <w:rFonts w:asciiTheme="majorHAnsi" w:hAnsiTheme="majorHAnsi" w:cstheme="majorHAnsi"/>
          <w:b/>
          <w:bCs/>
          <w:sz w:val="24"/>
          <w:szCs w:val="24"/>
        </w:rPr>
        <w:t>d.1.2.</w:t>
      </w:r>
      <w:r>
        <w:rPr>
          <w:rFonts w:asciiTheme="majorHAnsi" w:hAnsiTheme="majorHAnsi" w:cstheme="majorHAnsi"/>
          <w:b/>
          <w:sz w:val="24"/>
          <w:szCs w:val="24"/>
        </w:rPr>
        <w:t xml:space="preserve"> </w:t>
      </w:r>
      <w:r>
        <w:rPr>
          <w:rFonts w:asciiTheme="majorHAnsi" w:hAnsiTheme="majorHAnsi" w:cstheme="majorHAnsi"/>
          <w:bCs/>
          <w:sz w:val="24"/>
          <w:szCs w:val="24"/>
        </w:rPr>
        <w:t>Declaração de que dispõe ou disporá, quando da execução contratual, de equipe técnica, equipamentos, ferramentas e estrutura operacional suficientes para a adequada prestação dos serviços objeto da contratação.</w:t>
      </w:r>
    </w:p>
    <w:p>
      <w:pPr>
        <w:tabs>
          <w:tab w:val="left" w:pos="284"/>
        </w:tabs>
        <w:jc w:val="both"/>
        <w:rPr>
          <w:rFonts w:asciiTheme="majorHAnsi" w:hAnsiTheme="majorHAnsi" w:cstheme="majorHAnsi"/>
          <w:b/>
          <w:sz w:val="24"/>
          <w:szCs w:val="24"/>
        </w:rPr>
      </w:pPr>
      <w:r>
        <w:rPr>
          <w:rFonts w:asciiTheme="majorHAnsi" w:hAnsiTheme="majorHAnsi" w:cstheme="majorHAnsi"/>
          <w:b/>
          <w:sz w:val="24"/>
          <w:szCs w:val="24"/>
        </w:rPr>
        <w:t xml:space="preserve">d.2 - Capacitação Técnica profissional </w:t>
      </w:r>
    </w:p>
    <w:p>
      <w:pPr>
        <w:tabs>
          <w:tab w:val="left" w:pos="284"/>
        </w:tabs>
        <w:jc w:val="both"/>
        <w:rPr>
          <w:rFonts w:asciiTheme="majorHAnsi" w:hAnsiTheme="majorHAnsi" w:cstheme="majorHAnsi"/>
          <w:bCs/>
          <w:sz w:val="24"/>
          <w:szCs w:val="24"/>
        </w:rPr>
      </w:pPr>
      <w:r>
        <w:rPr>
          <w:rFonts w:asciiTheme="majorHAnsi" w:hAnsiTheme="majorHAnsi" w:cstheme="majorHAnsi"/>
          <w:bCs/>
          <w:sz w:val="24"/>
          <w:szCs w:val="24"/>
        </w:rPr>
        <w:t xml:space="preserve">d.2.1 - Indicação do pessoal técnico adequado e disponível para a realização do objeto da licitação, bem como a qualificação profissional de cada um dos membros da equipe técnica que se responsabilizará pelos trabalhos. </w:t>
      </w:r>
    </w:p>
    <w:p>
      <w:pPr>
        <w:tabs>
          <w:tab w:val="left" w:pos="284"/>
        </w:tabs>
        <w:jc w:val="both"/>
        <w:rPr>
          <w:rFonts w:asciiTheme="majorHAnsi" w:hAnsiTheme="majorHAnsi" w:cstheme="majorHAnsi"/>
          <w:bCs/>
          <w:sz w:val="24"/>
          <w:szCs w:val="24"/>
        </w:rPr>
      </w:pPr>
      <w:r>
        <w:rPr>
          <w:rFonts w:asciiTheme="majorHAnsi" w:hAnsiTheme="majorHAnsi" w:cstheme="majorHAnsi"/>
          <w:bCs/>
          <w:sz w:val="24"/>
          <w:szCs w:val="24"/>
        </w:rPr>
        <w:t xml:space="preserve">d.2.3.1 - A comprovação de vinculação ao quadro permanente da licitante será feita: </w:t>
      </w:r>
    </w:p>
    <w:p>
      <w:pPr>
        <w:tabs>
          <w:tab w:val="left" w:pos="284"/>
        </w:tabs>
        <w:jc w:val="both"/>
        <w:rPr>
          <w:rFonts w:asciiTheme="majorHAnsi" w:hAnsiTheme="majorHAnsi" w:cstheme="majorHAnsi"/>
          <w:bCs/>
          <w:sz w:val="24"/>
          <w:szCs w:val="24"/>
        </w:rPr>
      </w:pPr>
      <w:r>
        <w:rPr>
          <w:rFonts w:asciiTheme="majorHAnsi" w:hAnsiTheme="majorHAnsi" w:cstheme="majorHAnsi"/>
          <w:bCs/>
          <w:sz w:val="24"/>
          <w:szCs w:val="24"/>
        </w:rPr>
        <w:t xml:space="preserve">a) Para sócio, mediante a apresentação do contrato social ou estatuto social e aditivos. </w:t>
      </w:r>
    </w:p>
    <w:p>
      <w:pPr>
        <w:tabs>
          <w:tab w:val="left" w:pos="284"/>
        </w:tabs>
        <w:jc w:val="both"/>
        <w:rPr>
          <w:rFonts w:asciiTheme="majorHAnsi" w:hAnsiTheme="majorHAnsi" w:cstheme="majorHAnsi"/>
          <w:bCs/>
          <w:sz w:val="24"/>
          <w:szCs w:val="24"/>
        </w:rPr>
      </w:pPr>
      <w:r>
        <w:rPr>
          <w:rFonts w:asciiTheme="majorHAnsi" w:hAnsiTheme="majorHAnsi" w:cstheme="majorHAnsi"/>
          <w:bCs/>
          <w:sz w:val="24"/>
          <w:szCs w:val="24"/>
        </w:rPr>
        <w:t xml:space="preserve">b) Para diretor, mediante a apresentação da ata de eleição e posse da atual diretoria, devidamente registrada junto ao órgão competente. </w:t>
      </w:r>
    </w:p>
    <w:p>
      <w:pPr>
        <w:tabs>
          <w:tab w:val="left" w:pos="284"/>
        </w:tabs>
        <w:jc w:val="both"/>
        <w:rPr>
          <w:rFonts w:asciiTheme="majorHAnsi" w:hAnsiTheme="majorHAnsi" w:cstheme="majorHAnsi"/>
          <w:bCs/>
          <w:sz w:val="24"/>
          <w:szCs w:val="24"/>
        </w:rPr>
      </w:pPr>
      <w:r>
        <w:rPr>
          <w:rFonts w:asciiTheme="majorHAnsi" w:hAnsiTheme="majorHAnsi" w:cstheme="majorHAnsi"/>
          <w:bCs/>
          <w:sz w:val="24"/>
          <w:szCs w:val="24"/>
        </w:rPr>
        <w:t xml:space="preserve">c) Se o responsável técnico não for sócio e/ou diretor da empresa, a comprovação será atendida mediante a apresentação da cópia da Carteira de Trabalho e Previdência Social (CTPS) devidamente assinada ou Contrato de Prestação de Serviço celebrado de acordo com a legislação civil comum. </w:t>
      </w:r>
    </w:p>
    <w:p>
      <w:pPr>
        <w:tabs>
          <w:tab w:val="left" w:pos="284"/>
        </w:tabs>
        <w:jc w:val="both"/>
        <w:rPr>
          <w:rFonts w:asciiTheme="majorHAnsi" w:hAnsiTheme="majorHAnsi" w:cstheme="majorHAnsi"/>
          <w:bCs/>
          <w:sz w:val="24"/>
          <w:szCs w:val="24"/>
        </w:rPr>
      </w:pPr>
      <w:r>
        <w:rPr>
          <w:rFonts w:asciiTheme="majorHAnsi" w:hAnsiTheme="majorHAnsi" w:cstheme="majorHAnsi"/>
          <w:bCs/>
          <w:sz w:val="24"/>
          <w:szCs w:val="24"/>
        </w:rPr>
        <w:t>d) Declaração de contratação futura do profissional detentor do atestado, acompanhado de anuência deste (Acórdão 1446/2015 Plenário).</w:t>
      </w:r>
    </w:p>
    <w:p>
      <w:pPr>
        <w:spacing w:after="200" w:line="276" w:lineRule="auto"/>
        <w:rPr>
          <w:rFonts w:asciiTheme="majorHAnsi" w:hAnsiTheme="majorHAnsi" w:cstheme="majorHAnsi"/>
          <w:bCs/>
          <w:sz w:val="24"/>
          <w:szCs w:val="24"/>
        </w:rPr>
      </w:pPr>
      <w:r>
        <w:rPr>
          <w:rFonts w:asciiTheme="majorHAnsi" w:hAnsiTheme="majorHAnsi" w:cstheme="majorHAnsi"/>
          <w:bCs/>
          <w:sz w:val="24"/>
          <w:szCs w:val="24"/>
        </w:rPr>
        <w:br w:type="page"/>
      </w:r>
    </w:p>
    <w:p>
      <w:pPr>
        <w:tabs>
          <w:tab w:val="left" w:pos="284"/>
        </w:tabs>
        <w:jc w:val="center"/>
        <w:rPr>
          <w:rFonts w:asciiTheme="majorHAnsi" w:hAnsiTheme="majorHAnsi" w:cstheme="majorHAnsi"/>
          <w:b/>
          <w:bCs/>
          <w:sz w:val="24"/>
          <w:szCs w:val="24"/>
        </w:rPr>
      </w:pPr>
      <w:r>
        <w:rPr>
          <w:rFonts w:asciiTheme="majorHAnsi" w:hAnsiTheme="majorHAnsi" w:cstheme="majorHAnsi"/>
          <w:b/>
          <w:bCs/>
          <w:sz w:val="24"/>
          <w:szCs w:val="24"/>
        </w:rPr>
        <w:lastRenderedPageBreak/>
        <w:t>APÊNDICE DO ANEXO I</w:t>
      </w:r>
    </w:p>
    <w:p>
      <w:pPr>
        <w:tabs>
          <w:tab w:val="left" w:pos="284"/>
        </w:tabs>
        <w:jc w:val="center"/>
        <w:rPr>
          <w:rFonts w:asciiTheme="majorHAnsi" w:hAnsiTheme="majorHAnsi" w:cstheme="majorHAnsi"/>
          <w:b/>
          <w:bCs/>
          <w:sz w:val="24"/>
          <w:szCs w:val="24"/>
        </w:rPr>
      </w:pPr>
    </w:p>
    <w:p>
      <w:pPr>
        <w:jc w:val="center"/>
        <w:rPr>
          <w:rFonts w:asciiTheme="majorHAnsi" w:hAnsiTheme="majorHAnsi" w:cstheme="majorHAnsi"/>
          <w:b/>
          <w:sz w:val="24"/>
          <w:szCs w:val="24"/>
        </w:rPr>
      </w:pPr>
      <w:r>
        <w:rPr>
          <w:rFonts w:asciiTheme="majorHAnsi" w:hAnsiTheme="majorHAnsi" w:cstheme="majorHAnsi"/>
          <w:b/>
          <w:sz w:val="24"/>
          <w:szCs w:val="24"/>
        </w:rPr>
        <w:t>ESTUDO TÉCNICO PRELIMINAR – ETP</w:t>
      </w:r>
    </w:p>
    <w:p>
      <w:pPr>
        <w:jc w:val="center"/>
        <w:rPr>
          <w:rFonts w:asciiTheme="majorHAnsi" w:hAnsiTheme="majorHAnsi" w:cstheme="majorHAnsi"/>
          <w:b/>
          <w:sz w:val="24"/>
          <w:szCs w:val="24"/>
        </w:rPr>
      </w:pPr>
    </w:p>
    <w:p>
      <w:pPr>
        <w:shd w:val="clear" w:color="auto" w:fill="FFFFFF"/>
        <w:tabs>
          <w:tab w:val="left" w:pos="284"/>
        </w:tabs>
        <w:jc w:val="both"/>
        <w:rPr>
          <w:rFonts w:asciiTheme="majorHAnsi" w:hAnsiTheme="majorHAnsi" w:cstheme="majorHAnsi"/>
          <w:bCs/>
          <w:color w:val="000000"/>
          <w:sz w:val="24"/>
          <w:szCs w:val="24"/>
        </w:rPr>
      </w:pPr>
      <w:r>
        <w:rPr>
          <w:rFonts w:asciiTheme="majorHAnsi" w:hAnsiTheme="majorHAnsi" w:cstheme="majorHAnsi"/>
          <w:b/>
          <w:sz w:val="24"/>
          <w:szCs w:val="24"/>
        </w:rPr>
        <w:t xml:space="preserve">OBJETO: </w:t>
      </w:r>
      <w:r>
        <w:rPr>
          <w:rFonts w:asciiTheme="majorHAnsi" w:hAnsiTheme="majorHAnsi" w:cstheme="majorHAnsi"/>
          <w:bCs/>
          <w:color w:val="000000"/>
          <w:sz w:val="24"/>
          <w:szCs w:val="24"/>
        </w:rPr>
        <w:t xml:space="preserve">CONTRATAÇÃO DE EMPRESA ESPECIALIZADA PARA PRESTAÇÃO DE SERVIÇOS DE RECARGA DE SUPRIMENTOS DE IMPRESSÃO, MANUTENÇÃO PREVENTIVA E CORRETIVA DE IMPRESSORAS, INCLUINDO O FORNECIMENTO E SUBSTITUIÇÃO DE PEÇAS, SERVIÇOS, VISANDO ATENDER ÀS NECESSIDADES DA SECRETARIA DE EDUCAÇÃO DO MUNICÍPIO DE MIRAÍMA/CE. </w:t>
      </w:r>
    </w:p>
    <w:p>
      <w:pPr>
        <w:shd w:val="clear" w:color="auto" w:fill="FFFFFF"/>
        <w:tabs>
          <w:tab w:val="left" w:pos="284"/>
        </w:tabs>
        <w:jc w:val="both"/>
        <w:rPr>
          <w:rFonts w:asciiTheme="majorHAnsi" w:hAnsiTheme="majorHAnsi" w:cstheme="majorHAnsi"/>
          <w:bCs/>
          <w:color w:val="000000"/>
          <w:sz w:val="24"/>
          <w:szCs w:val="24"/>
        </w:rPr>
      </w:pPr>
    </w:p>
    <w:p>
      <w:pPr>
        <w:pStyle w:val="NormalWeb"/>
        <w:numPr>
          <w:ilvl w:val="0"/>
          <w:numId w:val="41"/>
        </w:numPr>
        <w:tabs>
          <w:tab w:val="left" w:pos="284"/>
        </w:tabs>
        <w:spacing w:before="0" w:beforeAutospacing="0" w:after="0" w:afterAutospacing="0"/>
        <w:ind w:left="0" w:firstLine="0"/>
        <w:jc w:val="both"/>
        <w:rPr>
          <w:rFonts w:asciiTheme="majorHAnsi" w:hAnsiTheme="majorHAnsi" w:cstheme="majorHAnsi"/>
          <w:b/>
          <w:bCs/>
          <w:color w:val="000000"/>
        </w:rPr>
      </w:pPr>
      <w:r>
        <w:rPr>
          <w:rFonts w:asciiTheme="majorHAnsi" w:hAnsiTheme="majorHAnsi" w:cstheme="majorHAnsi"/>
          <w:b/>
          <w:bCs/>
          <w:color w:val="000000"/>
        </w:rPr>
        <w:t>DESCRIÇÃO DA NECESSIDADE DA CONTRATAÇÃO, CONSIDERADO O PROBLEMA A SER RESOLVIDO SOB A PERSPECTIVA DO INTERESSE PÚBLICO (ART.18º, §1º, INCISO I DA LEI FEDERAL N.º 14.133, DE 1º DE ABRIL DE 2021)</w:t>
      </w:r>
    </w:p>
    <w:p>
      <w:pPr>
        <w:pStyle w:val="NormalWeb"/>
        <w:tabs>
          <w:tab w:val="left" w:pos="284"/>
        </w:tabs>
        <w:spacing w:before="0" w:beforeAutospacing="0" w:after="0" w:afterAutospacing="0"/>
        <w:ind w:firstLine="709"/>
        <w:jc w:val="both"/>
        <w:rPr>
          <w:rFonts w:asciiTheme="majorHAnsi" w:hAnsiTheme="majorHAnsi" w:cstheme="majorHAnsi"/>
          <w:color w:val="000000"/>
        </w:rPr>
      </w:pPr>
      <w:r>
        <w:rPr>
          <w:rFonts w:asciiTheme="majorHAnsi" w:hAnsiTheme="majorHAnsi" w:cstheme="majorHAnsi"/>
          <w:color w:val="000000"/>
        </w:rPr>
        <w:t>A Secretaria Municipal de Educação utiliza diariamente equipamentos de impressão para execução de atividades administrativas e pedagógicas, tais como impressão de documentos oficiais, relatórios, provas, atividades escolares, registros acadêmicos, comunicados e demais materiais indispensáveis ao funcionamento das unidades escolares e setores administrativos.</w:t>
      </w:r>
    </w:p>
    <w:p>
      <w:pPr>
        <w:pStyle w:val="NormalWeb"/>
        <w:tabs>
          <w:tab w:val="left" w:pos="284"/>
        </w:tabs>
        <w:spacing w:before="0" w:beforeAutospacing="0" w:after="0" w:afterAutospacing="0"/>
        <w:ind w:firstLine="709"/>
        <w:jc w:val="both"/>
        <w:rPr>
          <w:rFonts w:asciiTheme="majorHAnsi" w:hAnsiTheme="majorHAnsi" w:cstheme="majorHAnsi"/>
          <w:color w:val="000000"/>
        </w:rPr>
      </w:pPr>
      <w:r>
        <w:rPr>
          <w:rFonts w:asciiTheme="majorHAnsi" w:hAnsiTheme="majorHAnsi" w:cstheme="majorHAnsi"/>
          <w:color w:val="000000"/>
        </w:rPr>
        <w:t>Os equipamentos de impressão estão sujeitos ao desgaste natural decorrente do uso contínuo, exigindo serviços periódicos de manutenção preventiva e corretiva, bem como recarga de toners e cartuchos, substituição de peças e componentes danificados.</w:t>
      </w:r>
    </w:p>
    <w:p>
      <w:pPr>
        <w:pStyle w:val="NormalWeb"/>
        <w:tabs>
          <w:tab w:val="left" w:pos="284"/>
        </w:tabs>
        <w:spacing w:before="0" w:beforeAutospacing="0" w:after="0" w:afterAutospacing="0"/>
        <w:ind w:firstLine="709"/>
        <w:jc w:val="both"/>
        <w:rPr>
          <w:rFonts w:asciiTheme="majorHAnsi" w:hAnsiTheme="majorHAnsi" w:cstheme="majorHAnsi"/>
          <w:color w:val="000000"/>
        </w:rPr>
      </w:pPr>
      <w:r>
        <w:rPr>
          <w:rFonts w:asciiTheme="majorHAnsi" w:hAnsiTheme="majorHAnsi" w:cstheme="majorHAnsi"/>
          <w:color w:val="000000"/>
        </w:rPr>
        <w:t>A ausência desses serviços pode ocasionar interrupções nas atividades educacionais e administrativas, comprometendo a prestação dos serviços públicos e causando prejuízos à eficiência da gestão educacional.</w:t>
      </w:r>
    </w:p>
    <w:p>
      <w:pPr>
        <w:pStyle w:val="NormalWeb"/>
        <w:tabs>
          <w:tab w:val="left" w:pos="284"/>
        </w:tabs>
        <w:spacing w:before="0" w:beforeAutospacing="0" w:after="0" w:afterAutospacing="0"/>
        <w:ind w:firstLine="709"/>
        <w:jc w:val="both"/>
        <w:rPr>
          <w:rFonts w:asciiTheme="majorHAnsi" w:hAnsiTheme="majorHAnsi" w:cstheme="majorHAnsi"/>
          <w:color w:val="000000"/>
        </w:rPr>
      </w:pPr>
      <w:r>
        <w:rPr>
          <w:rFonts w:asciiTheme="majorHAnsi" w:hAnsiTheme="majorHAnsi" w:cstheme="majorHAnsi"/>
          <w:color w:val="000000"/>
        </w:rPr>
        <w:t>Dessa forma, torna-se necessária a contratação de empresa especializada para garantir o pleno funcionamento do parque de impressoras da Secretaria Municipal de Educação.</w:t>
      </w:r>
    </w:p>
    <w:p>
      <w:pPr>
        <w:pStyle w:val="NormalWeb"/>
        <w:numPr>
          <w:ilvl w:val="0"/>
          <w:numId w:val="41"/>
        </w:numPr>
        <w:tabs>
          <w:tab w:val="left" w:pos="284"/>
        </w:tabs>
        <w:spacing w:before="225" w:beforeAutospacing="0" w:after="0" w:afterAutospacing="0"/>
        <w:ind w:left="0" w:firstLine="0"/>
        <w:jc w:val="both"/>
        <w:rPr>
          <w:rFonts w:asciiTheme="majorHAnsi" w:hAnsiTheme="majorHAnsi" w:cstheme="majorHAnsi"/>
          <w:b/>
          <w:bCs/>
          <w:color w:val="000000"/>
        </w:rPr>
      </w:pPr>
      <w:r>
        <w:rPr>
          <w:rFonts w:asciiTheme="majorHAnsi" w:hAnsiTheme="majorHAnsi" w:cstheme="majorHAnsi"/>
          <w:b/>
          <w:bCs/>
          <w:color w:val="000000"/>
        </w:rPr>
        <w:t>DEMONSTRAÇÃO DA PREVISÃO DA CONTRATAÇÃO NO PLANO DE CONTRATAÇÕES ANUAL, SEMPRE QUE ELABORADO, DE MODO A INDICAR O SEU ALINHAMENTO COM O PLANEJAMENTO DA ADMINISTRAÇÃO (ART.18º, §1º, INCISO II DA LEI FEDERAL N.º 14.133, DE 1º DE ABRIL DE 2021)</w:t>
      </w:r>
    </w:p>
    <w:p>
      <w:pPr>
        <w:pStyle w:val="NormalWeb"/>
        <w:tabs>
          <w:tab w:val="left" w:pos="284"/>
        </w:tabs>
        <w:spacing w:before="0" w:beforeAutospacing="0" w:after="0" w:afterAutospacing="0"/>
        <w:jc w:val="both"/>
        <w:rPr>
          <w:rFonts w:asciiTheme="majorHAnsi" w:hAnsiTheme="majorHAnsi"/>
        </w:rPr>
      </w:pPr>
      <w:bookmarkStart w:id="82" w:name="art18§1iii"/>
      <w:bookmarkEnd w:id="82"/>
      <w:r>
        <w:rPr>
          <w:rFonts w:asciiTheme="majorHAnsi" w:hAnsiTheme="majorHAnsi"/>
        </w:rPr>
        <w:tab/>
        <w:t>A presente contratação encontra-se alinhada ao planejamento estratégico da Administração Municipal e consta no Plano de Contratações Anual (PCA), por se tratar de serviço essencial ao funcionamento das atividades administrativas e educacionais da Secretaria de Educação.</w:t>
      </w:r>
    </w:p>
    <w:p>
      <w:pPr>
        <w:pStyle w:val="NormalWeb"/>
        <w:tabs>
          <w:tab w:val="left" w:pos="284"/>
        </w:tabs>
        <w:spacing w:before="0" w:beforeAutospacing="0" w:after="0" w:afterAutospacing="0"/>
        <w:jc w:val="both"/>
        <w:rPr>
          <w:rFonts w:asciiTheme="majorHAnsi" w:hAnsiTheme="majorHAnsi" w:cstheme="majorHAnsi"/>
          <w:bCs/>
          <w:color w:val="000000"/>
        </w:rPr>
      </w:pPr>
      <w:r>
        <w:rPr>
          <w:rFonts w:asciiTheme="majorHAnsi" w:hAnsiTheme="majorHAnsi"/>
        </w:rPr>
        <w:tab/>
        <w:t>A inclusão desta demanda no PCA demonstra que a aquisição foi devidamente planejada e programada pela Administração, em conformidade com o cronograma e as necessidades identificadas pela Secretaria, reforçando o compromisso com a transparência, eficiência e economicidade na execução dos recursos públicos.</w:t>
      </w:r>
    </w:p>
    <w:p>
      <w:pPr>
        <w:pStyle w:val="NormalWeb"/>
        <w:numPr>
          <w:ilvl w:val="0"/>
          <w:numId w:val="41"/>
        </w:numPr>
        <w:tabs>
          <w:tab w:val="left" w:pos="284"/>
        </w:tabs>
        <w:spacing w:before="225" w:beforeAutospacing="0" w:after="225" w:afterAutospacing="0"/>
        <w:ind w:left="0" w:firstLine="0"/>
        <w:jc w:val="both"/>
        <w:rPr>
          <w:rFonts w:asciiTheme="majorHAnsi" w:hAnsiTheme="majorHAnsi" w:cstheme="majorHAnsi"/>
          <w:b/>
          <w:bCs/>
          <w:color w:val="000000"/>
        </w:rPr>
      </w:pPr>
      <w:r>
        <w:rPr>
          <w:rFonts w:asciiTheme="majorHAnsi" w:hAnsiTheme="majorHAnsi" w:cstheme="majorHAnsi"/>
          <w:b/>
          <w:bCs/>
          <w:color w:val="000000"/>
        </w:rPr>
        <w:t>REQUISITOS DA CONTRATAÇÃO (ART.18º, §1º, INCISO III DA LEI FEDERAL N.º 14.133, DE 1º DE ABRIL DE 2021)</w:t>
      </w:r>
    </w:p>
    <w:p>
      <w:pPr>
        <w:pStyle w:val="NormalWeb"/>
        <w:tabs>
          <w:tab w:val="left" w:pos="284"/>
        </w:tabs>
        <w:spacing w:before="225" w:beforeAutospacing="0" w:after="225" w:afterAutospacing="0"/>
        <w:jc w:val="both"/>
        <w:rPr>
          <w:rFonts w:asciiTheme="majorHAnsi" w:hAnsiTheme="majorHAnsi" w:cstheme="majorHAnsi"/>
          <w:b/>
          <w:bCs/>
          <w:color w:val="000000"/>
          <w:u w:val="single"/>
        </w:rPr>
      </w:pPr>
      <w:bookmarkStart w:id="83" w:name="art18§1iv"/>
      <w:bookmarkStart w:id="84" w:name="_Hlk155615931"/>
      <w:bookmarkEnd w:id="83"/>
      <w:r>
        <w:rPr>
          <w:rFonts w:asciiTheme="majorHAnsi" w:hAnsiTheme="majorHAnsi" w:cstheme="majorHAnsi"/>
          <w:b/>
          <w:bCs/>
          <w:color w:val="000000"/>
          <w:u w:val="single"/>
        </w:rPr>
        <w:t>3.1. REQUISITOS DA CONTRATAÇÃO:</w:t>
      </w:r>
    </w:p>
    <w:bookmarkEnd w:id="84"/>
    <w:p>
      <w:pPr>
        <w:ind w:firstLine="851"/>
        <w:jc w:val="both"/>
        <w:rPr>
          <w:rFonts w:asciiTheme="majorHAnsi" w:hAnsiTheme="majorHAnsi" w:cstheme="majorHAnsi"/>
          <w:sz w:val="24"/>
          <w:szCs w:val="24"/>
        </w:rPr>
      </w:pPr>
      <w:r>
        <w:rPr>
          <w:rFonts w:asciiTheme="majorHAnsi" w:hAnsiTheme="majorHAnsi" w:cstheme="majorHAnsi"/>
          <w:sz w:val="24"/>
          <w:szCs w:val="24"/>
        </w:rPr>
        <w:t xml:space="preserve">A contratação deverá atender aos requisitos técnicos e administrativos necessários para garantir a adequada prestação dos serviços de recarga de suprimentos de impressão, </w:t>
      </w:r>
      <w:r>
        <w:rPr>
          <w:rFonts w:asciiTheme="majorHAnsi" w:hAnsiTheme="majorHAnsi" w:cstheme="majorHAnsi"/>
          <w:sz w:val="24"/>
          <w:szCs w:val="24"/>
        </w:rPr>
        <w:lastRenderedPageBreak/>
        <w:t>manutenção preventiva e corretiva de impressoras, incluindo o fornecimento e substituição de peças, componentes e materiais necessários à execução dos serviços.</w:t>
      </w:r>
    </w:p>
    <w:p>
      <w:pPr>
        <w:ind w:firstLine="851"/>
        <w:jc w:val="both"/>
        <w:rPr>
          <w:rFonts w:asciiTheme="majorHAnsi" w:hAnsiTheme="majorHAnsi" w:cstheme="majorHAnsi"/>
          <w:sz w:val="24"/>
          <w:szCs w:val="24"/>
        </w:rPr>
      </w:pPr>
      <w:r>
        <w:rPr>
          <w:rFonts w:asciiTheme="majorHAnsi" w:hAnsiTheme="majorHAnsi" w:cstheme="majorHAnsi"/>
          <w:sz w:val="24"/>
          <w:szCs w:val="24"/>
        </w:rPr>
        <w:t>A futura contratada deverá possuir capacidade técnica para realizar os serviços de forma eficiente, utilizando insumos, peças e componentes compatíveis com os equipamentos atendidos, observando padrões de qualidade que assegurem o pleno funcionamento das impressoras e a qualidade das impressões.</w:t>
      </w:r>
    </w:p>
    <w:p>
      <w:pPr>
        <w:ind w:firstLine="851"/>
        <w:jc w:val="both"/>
        <w:rPr>
          <w:rFonts w:asciiTheme="majorHAnsi" w:hAnsiTheme="majorHAnsi" w:cstheme="majorHAnsi"/>
          <w:sz w:val="24"/>
          <w:szCs w:val="24"/>
        </w:rPr>
      </w:pPr>
      <w:r>
        <w:rPr>
          <w:rFonts w:asciiTheme="majorHAnsi" w:hAnsiTheme="majorHAnsi" w:cstheme="majorHAnsi"/>
          <w:sz w:val="24"/>
          <w:szCs w:val="24"/>
        </w:rPr>
        <w:t>Os serviços de manutenção preventiva deverão contemplar procedimentos de inspeção, limpeza, regulagem e testes de funcionamento, enquanto a manutenção corretiva deverá ser realizada sempre que necessário para restabelecer as condições normais de operação dos equipamentos.</w:t>
      </w:r>
    </w:p>
    <w:p>
      <w:pPr>
        <w:ind w:firstLine="851"/>
        <w:jc w:val="both"/>
        <w:rPr>
          <w:rFonts w:asciiTheme="majorHAnsi" w:hAnsiTheme="majorHAnsi" w:cstheme="majorHAnsi"/>
          <w:sz w:val="24"/>
          <w:szCs w:val="24"/>
        </w:rPr>
      </w:pPr>
      <w:r>
        <w:rPr>
          <w:rFonts w:asciiTheme="majorHAnsi" w:hAnsiTheme="majorHAnsi" w:cstheme="majorHAnsi"/>
          <w:sz w:val="24"/>
          <w:szCs w:val="24"/>
        </w:rPr>
        <w:t>A contratada será responsável pelo fornecimento dos materiais necessários à execução dos serviços, bem como pela substituição de peças defeituosas ou inadequadas, sem ônus adicional para a Administração quando decorrentes da execução contratual.</w:t>
      </w:r>
    </w:p>
    <w:p>
      <w:pPr>
        <w:ind w:firstLine="851"/>
        <w:jc w:val="both"/>
        <w:rPr>
          <w:rFonts w:asciiTheme="majorHAnsi" w:hAnsiTheme="majorHAnsi" w:cstheme="majorHAnsi"/>
          <w:sz w:val="24"/>
          <w:szCs w:val="24"/>
        </w:rPr>
      </w:pPr>
      <w:r>
        <w:rPr>
          <w:rFonts w:asciiTheme="majorHAnsi" w:hAnsiTheme="majorHAnsi" w:cstheme="majorHAnsi"/>
          <w:sz w:val="24"/>
          <w:szCs w:val="24"/>
        </w:rPr>
        <w:t>Quanto aos requisitos administrativos, a empresa deverá comprovar regularidade jurídica, fiscal, trabalhista e qualificação técnica compatível com o objeto da contratação, conforme exigências da legislação vigente.</w:t>
      </w:r>
    </w:p>
    <w:p>
      <w:pPr>
        <w:ind w:firstLine="851"/>
        <w:jc w:val="both"/>
        <w:rPr>
          <w:rFonts w:asciiTheme="majorHAnsi" w:hAnsiTheme="majorHAnsi" w:cstheme="majorHAnsi"/>
          <w:sz w:val="24"/>
          <w:szCs w:val="24"/>
        </w:rPr>
      </w:pPr>
      <w:r>
        <w:rPr>
          <w:rFonts w:asciiTheme="majorHAnsi" w:hAnsiTheme="majorHAnsi" w:cstheme="majorHAnsi"/>
          <w:sz w:val="24"/>
          <w:szCs w:val="24"/>
        </w:rPr>
        <w:t>A execução dos serviços ocorrerá de forma parcelada, conforme a demanda da Secretaria Municipal de Educação, visando assegurar a continuidade das atividades administrativas e o adequado funcionamento dos equipamentos de impressão.</w:t>
      </w:r>
    </w:p>
    <w:p>
      <w:pPr>
        <w:ind w:firstLine="851"/>
        <w:jc w:val="both"/>
        <w:rPr>
          <w:rFonts w:asciiTheme="majorHAnsi" w:hAnsiTheme="majorHAnsi" w:cstheme="majorHAnsi"/>
          <w:sz w:val="24"/>
          <w:szCs w:val="24"/>
        </w:rPr>
      </w:pPr>
      <w:r>
        <w:rPr>
          <w:rFonts w:asciiTheme="majorHAnsi" w:hAnsiTheme="majorHAnsi" w:cstheme="majorHAnsi"/>
          <w:sz w:val="24"/>
          <w:szCs w:val="24"/>
        </w:rPr>
        <w:t>Por fim, a contratação deverá observar os princípios da economicidade, eficiência e continuidade dos serviços públicos, garantindo o atendimento das necessidades da Administração Municipal.</w:t>
      </w:r>
    </w:p>
    <w:p>
      <w:pPr>
        <w:jc w:val="both"/>
        <w:rPr>
          <w:rFonts w:asciiTheme="majorHAnsi" w:hAnsiTheme="majorHAnsi" w:cstheme="majorHAnsi"/>
          <w:b/>
          <w:bCs/>
          <w:sz w:val="24"/>
          <w:szCs w:val="24"/>
        </w:rPr>
      </w:pPr>
    </w:p>
    <w:p>
      <w:pPr>
        <w:pStyle w:val="NormalWeb"/>
        <w:numPr>
          <w:ilvl w:val="0"/>
          <w:numId w:val="41"/>
        </w:numPr>
        <w:tabs>
          <w:tab w:val="left" w:pos="284"/>
        </w:tabs>
        <w:spacing w:before="225" w:beforeAutospacing="0" w:after="0" w:afterAutospacing="0"/>
        <w:ind w:left="0" w:firstLine="0"/>
        <w:jc w:val="both"/>
        <w:rPr>
          <w:rFonts w:asciiTheme="majorHAnsi" w:hAnsiTheme="majorHAnsi" w:cstheme="majorHAnsi"/>
          <w:b/>
          <w:bCs/>
          <w:color w:val="000000"/>
        </w:rPr>
      </w:pPr>
      <w:r>
        <w:rPr>
          <w:rFonts w:asciiTheme="majorHAnsi" w:hAnsiTheme="majorHAnsi" w:cstheme="majorHAnsi"/>
          <w:b/>
          <w:bCs/>
          <w:color w:val="000000"/>
        </w:rPr>
        <w:t>ESTIMATIVAS DAS QUANTIDADES PARA A CONTRATAÇÃO, ACOMPANHADAS DAS MEMÓRIAS DE CÁLCULO E DOS DOCUMENTOS QUE LHES DÃO SUPORTE, QUE CONSIDEREM INTERDEPENDÊNCIAS COM OUTRAS CONTRATAÇÕES, DE MODO A POSSIBILITAR ECONOMIA DE ESCALA (ART.18º, §1º, INCISO IV DA LEI FEDERAL N.º 14.133, DE 1º DE ABRIL DE 2021).</w:t>
      </w:r>
    </w:p>
    <w:p>
      <w:pPr>
        <w:pStyle w:val="NormalWeb"/>
        <w:spacing w:before="0" w:beforeAutospacing="0" w:after="0" w:afterAutospacing="0" w:line="276" w:lineRule="auto"/>
        <w:ind w:firstLine="720"/>
        <w:jc w:val="both"/>
        <w:rPr>
          <w:rFonts w:asciiTheme="majorHAnsi" w:hAnsiTheme="majorHAnsi"/>
        </w:rPr>
      </w:pPr>
      <w:r>
        <w:rPr>
          <w:rFonts w:asciiTheme="majorHAnsi" w:hAnsiTheme="majorHAnsi"/>
        </w:rPr>
        <w:t>As quantidades estimadas foram definidas com base no histórico de consumo dos últimos 12 meses, considerando a quantidade de impressoras em funcionamento, a média mensal de recargas realizadas por equipamento, os registros de manutenções preventivas e corretivas executadas no período anterior e a projeção de crescimento das demandas da rede municipal de ensino.</w:t>
      </w:r>
    </w:p>
    <w:p>
      <w:pPr>
        <w:pStyle w:val="NormalWeb"/>
        <w:spacing w:before="0" w:beforeAutospacing="0" w:after="0" w:afterAutospacing="0" w:line="276" w:lineRule="auto"/>
        <w:ind w:firstLine="720"/>
        <w:jc w:val="both"/>
        <w:rPr>
          <w:rFonts w:asciiTheme="majorHAnsi" w:hAnsiTheme="majorHAnsi"/>
        </w:rPr>
      </w:pPr>
      <w:r>
        <w:rPr>
          <w:rFonts w:asciiTheme="majorHAnsi" w:hAnsiTheme="majorHAnsi"/>
        </w:rPr>
        <w:t>Atualmente a Secretaria de Educação possui aproximadamente 20 impressoras distribuídas entre a sede administrativa e as unidades escolares, sendo estimada a necessidade de 4500 recargas e 300 manutenções durante o período de vigência contratual.</w:t>
      </w:r>
    </w:p>
    <w:p>
      <w:pPr>
        <w:pStyle w:val="NormalWeb"/>
        <w:numPr>
          <w:ilvl w:val="0"/>
          <w:numId w:val="41"/>
        </w:numPr>
        <w:tabs>
          <w:tab w:val="left" w:pos="284"/>
        </w:tabs>
        <w:spacing w:before="225" w:beforeAutospacing="0" w:after="0" w:afterAutospacing="0"/>
        <w:ind w:left="0" w:firstLine="0"/>
        <w:jc w:val="both"/>
        <w:rPr>
          <w:rFonts w:asciiTheme="majorHAnsi" w:hAnsiTheme="majorHAnsi" w:cstheme="majorHAnsi"/>
          <w:b/>
          <w:bCs/>
          <w:color w:val="000000"/>
        </w:rPr>
      </w:pPr>
      <w:r>
        <w:rPr>
          <w:rFonts w:asciiTheme="majorHAnsi" w:hAnsiTheme="majorHAnsi" w:cstheme="majorHAnsi"/>
          <w:b/>
          <w:bCs/>
          <w:color w:val="000000"/>
        </w:rPr>
        <w:t>LEVANTAMENTO DE MERCADO, QUE CONSISTE NA ANÁLISE DAS ALTERNATIVAS POSSÍVEIS, E JUSTIFICATIVA TÉCNICA E ECONÔMICA DA ESCOLHA DO TIPO DE SOLUÇÃO A CONTRATAR (ART.18º, §1º, INCISO V DA LEI FEDERAL N.º 14.133, DE 1º DE ABRIL DE 2021)</w:t>
      </w:r>
    </w:p>
    <w:p>
      <w:pPr>
        <w:pStyle w:val="NormalWeb"/>
        <w:spacing w:before="0" w:beforeAutospacing="0" w:after="0" w:afterAutospacing="0"/>
        <w:jc w:val="both"/>
        <w:rPr>
          <w:rFonts w:asciiTheme="majorHAnsi" w:hAnsiTheme="majorHAnsi"/>
        </w:rPr>
      </w:pPr>
      <w:r>
        <w:rPr>
          <w:rFonts w:asciiTheme="majorHAnsi" w:hAnsiTheme="majorHAnsi"/>
        </w:rPr>
        <w:t xml:space="preserve">Em atendimento ao disposto no art. 18, §1º, inciso V, da Lei Federal nº 14.133/2021, foi realizado levantamento de mercado visando identificar as alternativas disponíveis para suprir </w:t>
      </w:r>
      <w:r>
        <w:rPr>
          <w:rFonts w:asciiTheme="majorHAnsi" w:hAnsiTheme="majorHAnsi"/>
        </w:rPr>
        <w:lastRenderedPageBreak/>
        <w:t>a necessidade da Secretaria Municipal de Educação quanto à manutenção do parque de impressoras e ao fornecimento de suprimentos de impressão.</w:t>
      </w:r>
    </w:p>
    <w:p>
      <w:pPr>
        <w:pStyle w:val="NormalWeb"/>
        <w:spacing w:before="0" w:beforeAutospacing="0" w:after="0" w:afterAutospacing="0"/>
        <w:jc w:val="both"/>
        <w:rPr>
          <w:rFonts w:asciiTheme="majorHAnsi" w:hAnsiTheme="majorHAnsi"/>
        </w:rPr>
      </w:pPr>
      <w:r>
        <w:rPr>
          <w:rFonts w:asciiTheme="majorHAnsi" w:hAnsiTheme="majorHAnsi"/>
        </w:rPr>
        <w:t>Foram analisadas as seguintes soluções:</w:t>
      </w:r>
    </w:p>
    <w:p>
      <w:pPr>
        <w:pStyle w:val="Ttulo4"/>
        <w:rPr>
          <w:rFonts w:asciiTheme="majorHAnsi" w:hAnsiTheme="majorHAnsi"/>
          <w:szCs w:val="24"/>
        </w:rPr>
      </w:pPr>
      <w:r>
        <w:rPr>
          <w:rFonts w:asciiTheme="majorHAnsi" w:hAnsiTheme="majorHAnsi"/>
          <w:szCs w:val="24"/>
        </w:rPr>
        <w:t>Alternativa 1 – Aquisição de impressoras novas em substituição aos equipamentos que apresentarem defeitos</w:t>
      </w:r>
    </w:p>
    <w:p>
      <w:pPr>
        <w:pStyle w:val="NormalWeb"/>
        <w:spacing w:before="0" w:beforeAutospacing="0" w:after="0" w:afterAutospacing="0"/>
        <w:jc w:val="both"/>
        <w:rPr>
          <w:rFonts w:asciiTheme="majorHAnsi" w:hAnsiTheme="majorHAnsi"/>
        </w:rPr>
      </w:pPr>
      <w:r>
        <w:rPr>
          <w:rFonts w:asciiTheme="majorHAnsi" w:hAnsiTheme="majorHAnsi"/>
        </w:rPr>
        <w:t>Esta alternativa consiste na substituição dos equipamentos que apresentarem falhas ou desgaste por novos equipamentos.</w:t>
      </w:r>
    </w:p>
    <w:p>
      <w:pPr>
        <w:pStyle w:val="NormalWeb"/>
        <w:spacing w:before="0" w:beforeAutospacing="0" w:after="0" w:afterAutospacing="0"/>
        <w:jc w:val="both"/>
        <w:rPr>
          <w:rFonts w:asciiTheme="majorHAnsi" w:hAnsiTheme="majorHAnsi"/>
        </w:rPr>
      </w:pPr>
      <w:r>
        <w:rPr>
          <w:rStyle w:val="Forte"/>
          <w:rFonts w:asciiTheme="majorHAnsi" w:hAnsiTheme="majorHAnsi"/>
        </w:rPr>
        <w:t>Vantagens:</w:t>
      </w:r>
    </w:p>
    <w:p>
      <w:pPr>
        <w:numPr>
          <w:ilvl w:val="0"/>
          <w:numId w:val="48"/>
        </w:numPr>
        <w:jc w:val="both"/>
        <w:rPr>
          <w:rFonts w:asciiTheme="majorHAnsi" w:hAnsiTheme="majorHAnsi"/>
          <w:sz w:val="24"/>
          <w:szCs w:val="24"/>
        </w:rPr>
      </w:pPr>
      <w:r>
        <w:rPr>
          <w:rFonts w:asciiTheme="majorHAnsi" w:hAnsiTheme="majorHAnsi"/>
          <w:sz w:val="24"/>
          <w:szCs w:val="24"/>
        </w:rPr>
        <w:t xml:space="preserve">Renovação do parque tecnológico; </w:t>
      </w:r>
    </w:p>
    <w:p>
      <w:pPr>
        <w:numPr>
          <w:ilvl w:val="0"/>
          <w:numId w:val="48"/>
        </w:numPr>
        <w:jc w:val="both"/>
        <w:rPr>
          <w:rFonts w:asciiTheme="majorHAnsi" w:hAnsiTheme="majorHAnsi"/>
          <w:sz w:val="24"/>
          <w:szCs w:val="24"/>
        </w:rPr>
      </w:pPr>
      <w:r>
        <w:rPr>
          <w:rFonts w:asciiTheme="majorHAnsi" w:hAnsiTheme="majorHAnsi"/>
          <w:sz w:val="24"/>
          <w:szCs w:val="24"/>
        </w:rPr>
        <w:t xml:space="preserve">Redução temporária das ocorrências de manutenção. </w:t>
      </w:r>
    </w:p>
    <w:p>
      <w:pPr>
        <w:pStyle w:val="NormalWeb"/>
        <w:spacing w:before="0" w:beforeAutospacing="0" w:after="0" w:afterAutospacing="0"/>
        <w:jc w:val="both"/>
        <w:rPr>
          <w:rFonts w:asciiTheme="majorHAnsi" w:hAnsiTheme="majorHAnsi"/>
        </w:rPr>
      </w:pPr>
      <w:r>
        <w:rPr>
          <w:rStyle w:val="Forte"/>
          <w:rFonts w:asciiTheme="majorHAnsi" w:hAnsiTheme="majorHAnsi"/>
        </w:rPr>
        <w:t>Desvantagens:</w:t>
      </w:r>
    </w:p>
    <w:p>
      <w:pPr>
        <w:numPr>
          <w:ilvl w:val="0"/>
          <w:numId w:val="49"/>
        </w:numPr>
        <w:jc w:val="both"/>
        <w:rPr>
          <w:rFonts w:asciiTheme="majorHAnsi" w:hAnsiTheme="majorHAnsi"/>
          <w:sz w:val="24"/>
          <w:szCs w:val="24"/>
        </w:rPr>
      </w:pPr>
      <w:r>
        <w:rPr>
          <w:rFonts w:asciiTheme="majorHAnsi" w:hAnsiTheme="majorHAnsi"/>
          <w:sz w:val="24"/>
          <w:szCs w:val="24"/>
        </w:rPr>
        <w:t xml:space="preserve">Elevado custo de aquisição; </w:t>
      </w:r>
    </w:p>
    <w:p>
      <w:pPr>
        <w:numPr>
          <w:ilvl w:val="0"/>
          <w:numId w:val="49"/>
        </w:numPr>
        <w:jc w:val="both"/>
        <w:rPr>
          <w:rFonts w:asciiTheme="majorHAnsi" w:hAnsiTheme="majorHAnsi"/>
          <w:sz w:val="24"/>
          <w:szCs w:val="24"/>
        </w:rPr>
      </w:pPr>
      <w:r>
        <w:rPr>
          <w:rFonts w:asciiTheme="majorHAnsi" w:hAnsiTheme="majorHAnsi"/>
          <w:sz w:val="24"/>
          <w:szCs w:val="24"/>
        </w:rPr>
        <w:t xml:space="preserve">Descarte prematuro de equipamentos ainda passíveis de recuperação; </w:t>
      </w:r>
    </w:p>
    <w:p>
      <w:pPr>
        <w:numPr>
          <w:ilvl w:val="0"/>
          <w:numId w:val="49"/>
        </w:numPr>
        <w:jc w:val="both"/>
        <w:rPr>
          <w:rFonts w:asciiTheme="majorHAnsi" w:hAnsiTheme="majorHAnsi"/>
          <w:sz w:val="24"/>
          <w:szCs w:val="24"/>
        </w:rPr>
      </w:pPr>
      <w:r>
        <w:rPr>
          <w:rFonts w:asciiTheme="majorHAnsi" w:hAnsiTheme="majorHAnsi"/>
          <w:sz w:val="24"/>
          <w:szCs w:val="24"/>
        </w:rPr>
        <w:t xml:space="preserve">Necessidade contínua de aquisição de suprimentos; </w:t>
      </w:r>
    </w:p>
    <w:p>
      <w:pPr>
        <w:numPr>
          <w:ilvl w:val="0"/>
          <w:numId w:val="49"/>
        </w:numPr>
        <w:jc w:val="both"/>
        <w:rPr>
          <w:rFonts w:asciiTheme="majorHAnsi" w:hAnsiTheme="majorHAnsi"/>
          <w:sz w:val="24"/>
          <w:szCs w:val="24"/>
        </w:rPr>
      </w:pPr>
      <w:r>
        <w:rPr>
          <w:rFonts w:asciiTheme="majorHAnsi" w:hAnsiTheme="majorHAnsi"/>
          <w:sz w:val="24"/>
          <w:szCs w:val="24"/>
        </w:rPr>
        <w:t xml:space="preserve">Solução economicamente inviável para falhas de baixa complexidade. </w:t>
      </w:r>
    </w:p>
    <w:p>
      <w:pPr>
        <w:pStyle w:val="NormalWeb"/>
        <w:spacing w:before="0" w:beforeAutospacing="0" w:after="0" w:afterAutospacing="0"/>
        <w:jc w:val="both"/>
        <w:rPr>
          <w:rFonts w:asciiTheme="majorHAnsi" w:hAnsiTheme="majorHAnsi"/>
        </w:rPr>
      </w:pPr>
      <w:r>
        <w:rPr>
          <w:rStyle w:val="Forte"/>
          <w:rFonts w:asciiTheme="majorHAnsi" w:hAnsiTheme="majorHAnsi"/>
        </w:rPr>
        <w:t>Conclusão:</w:t>
      </w:r>
      <w:r>
        <w:rPr>
          <w:rFonts w:asciiTheme="majorHAnsi" w:hAnsiTheme="majorHAnsi"/>
        </w:rPr>
        <w:t xml:space="preserve"> A alternativa não se mostra economicamente vantajosa, uma vez que grande parte dos defeitos apresentados pelos equipamentos pode ser solucionada mediante manutenção especializada com custo significativamente inferior ao da substituição integral dos equipamentos.</w:t>
      </w:r>
    </w:p>
    <w:p>
      <w:pPr>
        <w:pStyle w:val="NormalWeb"/>
        <w:spacing w:before="0" w:beforeAutospacing="0" w:after="0" w:afterAutospacing="0"/>
        <w:jc w:val="both"/>
        <w:rPr>
          <w:rFonts w:asciiTheme="majorHAnsi" w:hAnsiTheme="majorHAnsi"/>
        </w:rPr>
      </w:pPr>
    </w:p>
    <w:p>
      <w:pPr>
        <w:pStyle w:val="Ttulo4"/>
        <w:rPr>
          <w:rFonts w:asciiTheme="majorHAnsi" w:hAnsiTheme="majorHAnsi"/>
          <w:szCs w:val="24"/>
        </w:rPr>
      </w:pPr>
      <w:r>
        <w:rPr>
          <w:rFonts w:asciiTheme="majorHAnsi" w:hAnsiTheme="majorHAnsi"/>
          <w:szCs w:val="24"/>
        </w:rPr>
        <w:t>Alternativa 2 – Contratação separada dos serviços de recarga de suprimentos e dos serviços de manutenção</w:t>
      </w:r>
    </w:p>
    <w:p>
      <w:pPr>
        <w:pStyle w:val="NormalWeb"/>
        <w:spacing w:before="0" w:beforeAutospacing="0" w:after="0" w:afterAutospacing="0"/>
        <w:jc w:val="both"/>
        <w:rPr>
          <w:rFonts w:asciiTheme="majorHAnsi" w:hAnsiTheme="majorHAnsi"/>
        </w:rPr>
      </w:pPr>
      <w:r>
        <w:rPr>
          <w:rFonts w:asciiTheme="majorHAnsi" w:hAnsiTheme="majorHAnsi"/>
        </w:rPr>
        <w:t>Nesta hipótese, seriam realizados processos distintos para contratação dos serviços de recarga de toners e cartuchos e para manutenção preventiva e corretiva dos equipamentos.</w:t>
      </w:r>
    </w:p>
    <w:p>
      <w:pPr>
        <w:pStyle w:val="NormalWeb"/>
        <w:spacing w:before="0" w:beforeAutospacing="0" w:after="0" w:afterAutospacing="0"/>
        <w:jc w:val="both"/>
        <w:rPr>
          <w:rFonts w:asciiTheme="majorHAnsi" w:hAnsiTheme="majorHAnsi"/>
        </w:rPr>
      </w:pPr>
      <w:r>
        <w:rPr>
          <w:rStyle w:val="Forte"/>
          <w:rFonts w:asciiTheme="majorHAnsi" w:hAnsiTheme="majorHAnsi"/>
        </w:rPr>
        <w:t>Vantagens:</w:t>
      </w:r>
    </w:p>
    <w:p>
      <w:pPr>
        <w:numPr>
          <w:ilvl w:val="0"/>
          <w:numId w:val="50"/>
        </w:numPr>
        <w:jc w:val="both"/>
        <w:rPr>
          <w:rFonts w:asciiTheme="majorHAnsi" w:hAnsiTheme="majorHAnsi"/>
          <w:sz w:val="24"/>
          <w:szCs w:val="24"/>
        </w:rPr>
      </w:pPr>
      <w:r>
        <w:rPr>
          <w:rFonts w:asciiTheme="majorHAnsi" w:hAnsiTheme="majorHAnsi"/>
          <w:sz w:val="24"/>
          <w:szCs w:val="24"/>
        </w:rPr>
        <w:t xml:space="preserve">Possibilidade de contratação de fornecedores especializados em cada segmento. </w:t>
      </w:r>
    </w:p>
    <w:p>
      <w:pPr>
        <w:pStyle w:val="NormalWeb"/>
        <w:spacing w:before="0" w:beforeAutospacing="0" w:after="0" w:afterAutospacing="0"/>
        <w:jc w:val="both"/>
        <w:rPr>
          <w:rFonts w:asciiTheme="majorHAnsi" w:hAnsiTheme="majorHAnsi"/>
        </w:rPr>
      </w:pPr>
      <w:r>
        <w:rPr>
          <w:rStyle w:val="Forte"/>
          <w:rFonts w:asciiTheme="majorHAnsi" w:hAnsiTheme="majorHAnsi"/>
        </w:rPr>
        <w:t>Desvantagens:</w:t>
      </w:r>
    </w:p>
    <w:p>
      <w:pPr>
        <w:numPr>
          <w:ilvl w:val="0"/>
          <w:numId w:val="51"/>
        </w:numPr>
        <w:jc w:val="both"/>
        <w:rPr>
          <w:rFonts w:asciiTheme="majorHAnsi" w:hAnsiTheme="majorHAnsi"/>
          <w:sz w:val="24"/>
          <w:szCs w:val="24"/>
        </w:rPr>
      </w:pPr>
      <w:r>
        <w:rPr>
          <w:rFonts w:asciiTheme="majorHAnsi" w:hAnsiTheme="majorHAnsi"/>
          <w:sz w:val="24"/>
          <w:szCs w:val="24"/>
        </w:rPr>
        <w:t xml:space="preserve">Aumento dos custos administrativos decorrentes da gestão de múltiplos contratos; </w:t>
      </w:r>
    </w:p>
    <w:p>
      <w:pPr>
        <w:numPr>
          <w:ilvl w:val="0"/>
          <w:numId w:val="51"/>
        </w:numPr>
        <w:jc w:val="both"/>
        <w:rPr>
          <w:rFonts w:asciiTheme="majorHAnsi" w:hAnsiTheme="majorHAnsi"/>
          <w:sz w:val="24"/>
          <w:szCs w:val="24"/>
        </w:rPr>
      </w:pPr>
      <w:r>
        <w:rPr>
          <w:rFonts w:asciiTheme="majorHAnsi" w:hAnsiTheme="majorHAnsi"/>
          <w:sz w:val="24"/>
          <w:szCs w:val="24"/>
        </w:rPr>
        <w:t xml:space="preserve">Dificuldade na definição de responsabilidades em casos de falhas relacionadas aos suprimentos ou aos equipamentos; </w:t>
      </w:r>
    </w:p>
    <w:p>
      <w:pPr>
        <w:numPr>
          <w:ilvl w:val="0"/>
          <w:numId w:val="51"/>
        </w:numPr>
        <w:jc w:val="both"/>
        <w:rPr>
          <w:rFonts w:asciiTheme="majorHAnsi" w:hAnsiTheme="majorHAnsi"/>
          <w:sz w:val="24"/>
          <w:szCs w:val="24"/>
        </w:rPr>
      </w:pPr>
      <w:r>
        <w:rPr>
          <w:rFonts w:asciiTheme="majorHAnsi" w:hAnsiTheme="majorHAnsi"/>
          <w:sz w:val="24"/>
          <w:szCs w:val="24"/>
        </w:rPr>
        <w:t xml:space="preserve">Maior tempo de resposta para solução de problemas; </w:t>
      </w:r>
    </w:p>
    <w:p>
      <w:pPr>
        <w:numPr>
          <w:ilvl w:val="0"/>
          <w:numId w:val="51"/>
        </w:numPr>
        <w:jc w:val="both"/>
        <w:rPr>
          <w:rFonts w:asciiTheme="majorHAnsi" w:hAnsiTheme="majorHAnsi"/>
          <w:sz w:val="24"/>
          <w:szCs w:val="24"/>
        </w:rPr>
      </w:pPr>
      <w:r>
        <w:rPr>
          <w:rFonts w:asciiTheme="majorHAnsi" w:hAnsiTheme="majorHAnsi"/>
          <w:sz w:val="24"/>
          <w:szCs w:val="24"/>
        </w:rPr>
        <w:t xml:space="preserve">Potencial aumento dos custos operacionais. </w:t>
      </w:r>
    </w:p>
    <w:p>
      <w:pPr>
        <w:pStyle w:val="NormalWeb"/>
        <w:spacing w:before="0" w:beforeAutospacing="0" w:after="0" w:afterAutospacing="0"/>
        <w:jc w:val="both"/>
        <w:rPr>
          <w:rFonts w:asciiTheme="majorHAnsi" w:hAnsiTheme="majorHAnsi"/>
        </w:rPr>
      </w:pPr>
      <w:r>
        <w:rPr>
          <w:rStyle w:val="Forte"/>
          <w:rFonts w:asciiTheme="majorHAnsi" w:hAnsiTheme="majorHAnsi"/>
        </w:rPr>
        <w:t>Conclusão:</w:t>
      </w:r>
      <w:r>
        <w:rPr>
          <w:rFonts w:asciiTheme="majorHAnsi" w:hAnsiTheme="majorHAnsi"/>
        </w:rPr>
        <w:t xml:space="preserve"> Embora viável, esta alternativa apresenta menor eficiência administrativa e operacional, além de gerar maior complexidade na fiscalização contratual.</w:t>
      </w:r>
    </w:p>
    <w:p>
      <w:pPr>
        <w:pStyle w:val="NormalWeb"/>
        <w:spacing w:before="0" w:beforeAutospacing="0" w:after="0" w:afterAutospacing="0"/>
        <w:jc w:val="both"/>
        <w:rPr>
          <w:rFonts w:asciiTheme="majorHAnsi" w:hAnsiTheme="majorHAnsi"/>
        </w:rPr>
      </w:pPr>
    </w:p>
    <w:p>
      <w:pPr>
        <w:pStyle w:val="Ttulo4"/>
        <w:rPr>
          <w:rFonts w:asciiTheme="majorHAnsi" w:hAnsiTheme="majorHAnsi"/>
          <w:szCs w:val="24"/>
        </w:rPr>
      </w:pPr>
      <w:r>
        <w:rPr>
          <w:rFonts w:asciiTheme="majorHAnsi" w:hAnsiTheme="majorHAnsi"/>
          <w:szCs w:val="24"/>
        </w:rPr>
        <w:t>Alternativa 3 – Execução dos serviços por equipe própria da Administração</w:t>
      </w:r>
    </w:p>
    <w:p>
      <w:pPr>
        <w:pStyle w:val="NormalWeb"/>
        <w:spacing w:before="0" w:beforeAutospacing="0" w:after="0" w:afterAutospacing="0"/>
        <w:jc w:val="both"/>
        <w:rPr>
          <w:rFonts w:asciiTheme="majorHAnsi" w:hAnsiTheme="majorHAnsi"/>
        </w:rPr>
      </w:pPr>
      <w:r>
        <w:rPr>
          <w:rFonts w:asciiTheme="majorHAnsi" w:hAnsiTheme="majorHAnsi"/>
        </w:rPr>
        <w:t>A Administração poderia estruturar equipe própria para realizar os serviços de recarga, manutenção preventiva, manutenção corretiva e substituição de peças.</w:t>
      </w:r>
    </w:p>
    <w:p>
      <w:pPr>
        <w:pStyle w:val="NormalWeb"/>
        <w:spacing w:before="0" w:beforeAutospacing="0" w:after="0" w:afterAutospacing="0"/>
        <w:jc w:val="both"/>
        <w:rPr>
          <w:rFonts w:asciiTheme="majorHAnsi" w:hAnsiTheme="majorHAnsi"/>
        </w:rPr>
      </w:pPr>
      <w:r>
        <w:rPr>
          <w:rStyle w:val="Forte"/>
          <w:rFonts w:asciiTheme="majorHAnsi" w:hAnsiTheme="majorHAnsi"/>
        </w:rPr>
        <w:t>Vantagens:</w:t>
      </w:r>
    </w:p>
    <w:p>
      <w:pPr>
        <w:numPr>
          <w:ilvl w:val="0"/>
          <w:numId w:val="52"/>
        </w:numPr>
        <w:jc w:val="both"/>
        <w:rPr>
          <w:rFonts w:asciiTheme="majorHAnsi" w:hAnsiTheme="majorHAnsi"/>
          <w:sz w:val="24"/>
          <w:szCs w:val="24"/>
        </w:rPr>
      </w:pPr>
      <w:r>
        <w:rPr>
          <w:rFonts w:asciiTheme="majorHAnsi" w:hAnsiTheme="majorHAnsi"/>
          <w:sz w:val="24"/>
          <w:szCs w:val="24"/>
        </w:rPr>
        <w:t xml:space="preserve">Controle direto da execução dos serviços. </w:t>
      </w:r>
    </w:p>
    <w:p>
      <w:pPr>
        <w:pStyle w:val="NormalWeb"/>
        <w:spacing w:before="0" w:beforeAutospacing="0" w:after="0" w:afterAutospacing="0"/>
        <w:jc w:val="both"/>
        <w:rPr>
          <w:rFonts w:asciiTheme="majorHAnsi" w:hAnsiTheme="majorHAnsi"/>
        </w:rPr>
      </w:pPr>
      <w:r>
        <w:rPr>
          <w:rStyle w:val="Forte"/>
          <w:rFonts w:asciiTheme="majorHAnsi" w:hAnsiTheme="majorHAnsi"/>
        </w:rPr>
        <w:t>Desvantagens:</w:t>
      </w:r>
    </w:p>
    <w:p>
      <w:pPr>
        <w:numPr>
          <w:ilvl w:val="0"/>
          <w:numId w:val="53"/>
        </w:numPr>
        <w:jc w:val="both"/>
        <w:rPr>
          <w:rFonts w:asciiTheme="majorHAnsi" w:hAnsiTheme="majorHAnsi"/>
          <w:sz w:val="24"/>
          <w:szCs w:val="24"/>
        </w:rPr>
      </w:pPr>
      <w:r>
        <w:rPr>
          <w:rFonts w:asciiTheme="majorHAnsi" w:hAnsiTheme="majorHAnsi"/>
          <w:sz w:val="24"/>
          <w:szCs w:val="24"/>
        </w:rPr>
        <w:t xml:space="preserve">Necessidade de contratação ou capacitação de servidores especializados; </w:t>
      </w:r>
    </w:p>
    <w:p>
      <w:pPr>
        <w:numPr>
          <w:ilvl w:val="0"/>
          <w:numId w:val="53"/>
        </w:numPr>
        <w:jc w:val="both"/>
        <w:rPr>
          <w:rFonts w:asciiTheme="majorHAnsi" w:hAnsiTheme="majorHAnsi"/>
          <w:sz w:val="24"/>
          <w:szCs w:val="24"/>
        </w:rPr>
      </w:pPr>
      <w:r>
        <w:rPr>
          <w:rFonts w:asciiTheme="majorHAnsi" w:hAnsiTheme="majorHAnsi"/>
          <w:sz w:val="24"/>
          <w:szCs w:val="24"/>
        </w:rPr>
        <w:t xml:space="preserve">Aquisição de ferramentas, equipamentos e insumos específicos; </w:t>
      </w:r>
    </w:p>
    <w:p>
      <w:pPr>
        <w:numPr>
          <w:ilvl w:val="0"/>
          <w:numId w:val="53"/>
        </w:numPr>
        <w:jc w:val="both"/>
        <w:rPr>
          <w:rFonts w:asciiTheme="majorHAnsi" w:hAnsiTheme="majorHAnsi"/>
          <w:sz w:val="24"/>
          <w:szCs w:val="24"/>
        </w:rPr>
      </w:pPr>
      <w:r>
        <w:rPr>
          <w:rFonts w:asciiTheme="majorHAnsi" w:hAnsiTheme="majorHAnsi"/>
          <w:sz w:val="24"/>
          <w:szCs w:val="24"/>
        </w:rPr>
        <w:t xml:space="preserve">Custos permanentes de estrutura e pessoal; </w:t>
      </w:r>
    </w:p>
    <w:p>
      <w:pPr>
        <w:numPr>
          <w:ilvl w:val="0"/>
          <w:numId w:val="53"/>
        </w:numPr>
        <w:jc w:val="both"/>
        <w:rPr>
          <w:rFonts w:asciiTheme="majorHAnsi" w:hAnsiTheme="majorHAnsi"/>
          <w:sz w:val="24"/>
          <w:szCs w:val="24"/>
        </w:rPr>
      </w:pPr>
      <w:r>
        <w:rPr>
          <w:rFonts w:asciiTheme="majorHAnsi" w:hAnsiTheme="majorHAnsi"/>
          <w:sz w:val="24"/>
          <w:szCs w:val="24"/>
        </w:rPr>
        <w:lastRenderedPageBreak/>
        <w:t xml:space="preserve">Inviabilidade operacional diante da ausência de quadro técnico especializado para a execução dos serviços. </w:t>
      </w:r>
    </w:p>
    <w:p>
      <w:pPr>
        <w:pStyle w:val="NormalWeb"/>
        <w:spacing w:before="0" w:beforeAutospacing="0" w:after="0" w:afterAutospacing="0"/>
        <w:jc w:val="both"/>
        <w:rPr>
          <w:rFonts w:asciiTheme="majorHAnsi" w:hAnsiTheme="majorHAnsi"/>
        </w:rPr>
      </w:pPr>
      <w:r>
        <w:rPr>
          <w:rStyle w:val="Forte"/>
          <w:rFonts w:asciiTheme="majorHAnsi" w:hAnsiTheme="majorHAnsi"/>
        </w:rPr>
        <w:t>Conclusão:</w:t>
      </w:r>
      <w:r>
        <w:rPr>
          <w:rFonts w:asciiTheme="majorHAnsi" w:hAnsiTheme="majorHAnsi"/>
        </w:rPr>
        <w:t xml:space="preserve"> A alternativa não se mostra vantajosa, considerando os custos de implantação e manutenção da estrutura necessária, bem como a inexistência de equipe técnica especializada no âmbito da Administração.</w:t>
      </w:r>
    </w:p>
    <w:p>
      <w:pPr>
        <w:pStyle w:val="Ttulo4"/>
        <w:rPr>
          <w:rFonts w:asciiTheme="majorHAnsi" w:hAnsiTheme="majorHAnsi"/>
          <w:szCs w:val="24"/>
        </w:rPr>
      </w:pPr>
      <w:r>
        <w:rPr>
          <w:rFonts w:asciiTheme="majorHAnsi" w:hAnsiTheme="majorHAnsi"/>
          <w:szCs w:val="24"/>
        </w:rPr>
        <w:t>Alternativa 4 – Contratação de empresa especializada para prestação integrada dos serviços de recarga de suprimentos, manutenção preventiva e corretiva de impressoras, com fornecimento e substituição de peças</w:t>
      </w:r>
    </w:p>
    <w:p>
      <w:pPr>
        <w:pStyle w:val="NormalWeb"/>
        <w:spacing w:before="0" w:beforeAutospacing="0" w:after="0" w:afterAutospacing="0"/>
        <w:jc w:val="both"/>
        <w:rPr>
          <w:rFonts w:asciiTheme="majorHAnsi" w:hAnsiTheme="majorHAnsi"/>
        </w:rPr>
      </w:pPr>
      <w:r>
        <w:rPr>
          <w:rFonts w:asciiTheme="majorHAnsi" w:hAnsiTheme="majorHAnsi"/>
        </w:rPr>
        <w:t>Esta solução contempla a contratação de empresa especializada para execução dos serviços sob demanda, abrangendo recarga de toners e cartuchos, manutenção preventiva e corretiva dos equipamentos, bem como fornecimento e substituição das peças necessárias.</w:t>
      </w:r>
    </w:p>
    <w:p>
      <w:pPr>
        <w:pStyle w:val="NormalWeb"/>
        <w:spacing w:before="0" w:beforeAutospacing="0" w:after="0" w:afterAutospacing="0"/>
        <w:jc w:val="both"/>
        <w:rPr>
          <w:rFonts w:asciiTheme="majorHAnsi" w:hAnsiTheme="majorHAnsi"/>
        </w:rPr>
      </w:pPr>
      <w:r>
        <w:rPr>
          <w:rStyle w:val="Forte"/>
          <w:rFonts w:asciiTheme="majorHAnsi" w:hAnsiTheme="majorHAnsi"/>
        </w:rPr>
        <w:t>Vantagens:</w:t>
      </w:r>
    </w:p>
    <w:p>
      <w:pPr>
        <w:numPr>
          <w:ilvl w:val="0"/>
          <w:numId w:val="54"/>
        </w:numPr>
        <w:jc w:val="both"/>
        <w:rPr>
          <w:rFonts w:asciiTheme="majorHAnsi" w:hAnsiTheme="majorHAnsi"/>
          <w:sz w:val="24"/>
          <w:szCs w:val="24"/>
        </w:rPr>
      </w:pPr>
      <w:r>
        <w:rPr>
          <w:rFonts w:asciiTheme="majorHAnsi" w:hAnsiTheme="majorHAnsi"/>
          <w:sz w:val="24"/>
          <w:szCs w:val="24"/>
        </w:rPr>
        <w:t xml:space="preserve">Centralização da responsabilidade contratual em um único fornecedor; </w:t>
      </w:r>
    </w:p>
    <w:p>
      <w:pPr>
        <w:numPr>
          <w:ilvl w:val="0"/>
          <w:numId w:val="54"/>
        </w:numPr>
        <w:jc w:val="both"/>
        <w:rPr>
          <w:rFonts w:asciiTheme="majorHAnsi" w:hAnsiTheme="majorHAnsi"/>
          <w:sz w:val="24"/>
          <w:szCs w:val="24"/>
        </w:rPr>
      </w:pPr>
      <w:r>
        <w:rPr>
          <w:rFonts w:asciiTheme="majorHAnsi" w:hAnsiTheme="majorHAnsi"/>
          <w:sz w:val="24"/>
          <w:szCs w:val="24"/>
        </w:rPr>
        <w:t xml:space="preserve">Maior agilidade no atendimento das demandas; </w:t>
      </w:r>
    </w:p>
    <w:p>
      <w:pPr>
        <w:numPr>
          <w:ilvl w:val="0"/>
          <w:numId w:val="54"/>
        </w:numPr>
        <w:jc w:val="both"/>
        <w:rPr>
          <w:rFonts w:asciiTheme="majorHAnsi" w:hAnsiTheme="majorHAnsi"/>
          <w:sz w:val="24"/>
          <w:szCs w:val="24"/>
        </w:rPr>
      </w:pPr>
      <w:r>
        <w:rPr>
          <w:rFonts w:asciiTheme="majorHAnsi" w:hAnsiTheme="majorHAnsi"/>
          <w:sz w:val="24"/>
          <w:szCs w:val="24"/>
        </w:rPr>
        <w:t xml:space="preserve">Redução do tempo de indisponibilidade dos equipamentos; </w:t>
      </w:r>
    </w:p>
    <w:p>
      <w:pPr>
        <w:numPr>
          <w:ilvl w:val="0"/>
          <w:numId w:val="54"/>
        </w:numPr>
        <w:jc w:val="both"/>
        <w:rPr>
          <w:rFonts w:asciiTheme="majorHAnsi" w:hAnsiTheme="majorHAnsi"/>
          <w:sz w:val="24"/>
          <w:szCs w:val="24"/>
        </w:rPr>
      </w:pPr>
      <w:r>
        <w:rPr>
          <w:rFonts w:asciiTheme="majorHAnsi" w:hAnsiTheme="majorHAnsi"/>
          <w:sz w:val="24"/>
          <w:szCs w:val="24"/>
        </w:rPr>
        <w:t xml:space="preserve">Melhor controle e fiscalização da execução contratual; </w:t>
      </w:r>
    </w:p>
    <w:p>
      <w:pPr>
        <w:numPr>
          <w:ilvl w:val="0"/>
          <w:numId w:val="54"/>
        </w:numPr>
        <w:jc w:val="both"/>
        <w:rPr>
          <w:rFonts w:asciiTheme="majorHAnsi" w:hAnsiTheme="majorHAnsi"/>
          <w:sz w:val="24"/>
          <w:szCs w:val="24"/>
        </w:rPr>
      </w:pPr>
      <w:r>
        <w:rPr>
          <w:rFonts w:asciiTheme="majorHAnsi" w:hAnsiTheme="majorHAnsi"/>
          <w:sz w:val="24"/>
          <w:szCs w:val="24"/>
        </w:rPr>
        <w:t xml:space="preserve">Eliminação da necessidade de estrutura técnica própria; </w:t>
      </w:r>
    </w:p>
    <w:p>
      <w:pPr>
        <w:numPr>
          <w:ilvl w:val="0"/>
          <w:numId w:val="54"/>
        </w:numPr>
        <w:jc w:val="both"/>
        <w:rPr>
          <w:rFonts w:asciiTheme="majorHAnsi" w:hAnsiTheme="majorHAnsi"/>
          <w:sz w:val="24"/>
          <w:szCs w:val="24"/>
        </w:rPr>
      </w:pPr>
      <w:r>
        <w:rPr>
          <w:rFonts w:asciiTheme="majorHAnsi" w:hAnsiTheme="majorHAnsi"/>
          <w:sz w:val="24"/>
          <w:szCs w:val="24"/>
        </w:rPr>
        <w:t xml:space="preserve">Maior economicidade em comparação à substituição frequente de equipamentos; </w:t>
      </w:r>
    </w:p>
    <w:p>
      <w:pPr>
        <w:numPr>
          <w:ilvl w:val="0"/>
          <w:numId w:val="54"/>
        </w:numPr>
        <w:jc w:val="both"/>
        <w:rPr>
          <w:rFonts w:asciiTheme="majorHAnsi" w:hAnsiTheme="majorHAnsi"/>
          <w:sz w:val="24"/>
          <w:szCs w:val="24"/>
        </w:rPr>
      </w:pPr>
      <w:r>
        <w:rPr>
          <w:rFonts w:asciiTheme="majorHAnsi" w:hAnsiTheme="majorHAnsi"/>
          <w:sz w:val="24"/>
          <w:szCs w:val="24"/>
        </w:rPr>
        <w:t xml:space="preserve">Garantia dos serviços executados e das peças substituídas. </w:t>
      </w:r>
    </w:p>
    <w:p>
      <w:pPr>
        <w:pStyle w:val="NormalWeb"/>
        <w:spacing w:before="0" w:beforeAutospacing="0" w:after="0" w:afterAutospacing="0"/>
        <w:jc w:val="both"/>
        <w:rPr>
          <w:rFonts w:asciiTheme="majorHAnsi" w:hAnsiTheme="majorHAnsi"/>
        </w:rPr>
      </w:pPr>
      <w:r>
        <w:rPr>
          <w:rStyle w:val="Forte"/>
          <w:rFonts w:asciiTheme="majorHAnsi" w:hAnsiTheme="majorHAnsi"/>
        </w:rPr>
        <w:t>Desvantagens:</w:t>
      </w:r>
    </w:p>
    <w:p>
      <w:pPr>
        <w:numPr>
          <w:ilvl w:val="0"/>
          <w:numId w:val="55"/>
        </w:numPr>
        <w:jc w:val="both"/>
        <w:rPr>
          <w:rFonts w:asciiTheme="majorHAnsi" w:hAnsiTheme="majorHAnsi"/>
          <w:sz w:val="24"/>
          <w:szCs w:val="24"/>
        </w:rPr>
      </w:pPr>
      <w:r>
        <w:rPr>
          <w:rFonts w:asciiTheme="majorHAnsi" w:hAnsiTheme="majorHAnsi"/>
          <w:sz w:val="24"/>
          <w:szCs w:val="24"/>
        </w:rPr>
        <w:t>Dependência da adequada execução contratual pela empresa contratada.</w:t>
      </w:r>
    </w:p>
    <w:p>
      <w:pPr>
        <w:ind w:left="720"/>
        <w:jc w:val="both"/>
        <w:rPr>
          <w:rFonts w:asciiTheme="majorHAnsi" w:hAnsiTheme="majorHAnsi"/>
          <w:sz w:val="24"/>
          <w:szCs w:val="24"/>
        </w:rPr>
      </w:pPr>
    </w:p>
    <w:p>
      <w:pPr>
        <w:jc w:val="both"/>
        <w:rPr>
          <w:rFonts w:asciiTheme="majorHAnsi" w:hAnsiTheme="majorHAnsi" w:cstheme="majorHAnsi"/>
          <w:b/>
          <w:bCs/>
          <w:sz w:val="24"/>
          <w:szCs w:val="24"/>
        </w:rPr>
      </w:pPr>
      <w:r>
        <w:rPr>
          <w:rFonts w:asciiTheme="majorHAnsi" w:hAnsiTheme="majorHAnsi" w:cstheme="majorHAnsi"/>
          <w:b/>
          <w:bCs/>
          <w:sz w:val="24"/>
          <w:szCs w:val="24"/>
        </w:rPr>
        <w:t>Conclusão do Levantamento de Mercado</w:t>
      </w:r>
    </w:p>
    <w:p>
      <w:pPr>
        <w:ind w:firstLine="851"/>
        <w:jc w:val="both"/>
        <w:rPr>
          <w:rFonts w:asciiTheme="majorHAnsi" w:hAnsiTheme="majorHAnsi" w:cstheme="majorHAnsi"/>
          <w:sz w:val="24"/>
          <w:szCs w:val="24"/>
        </w:rPr>
      </w:pPr>
      <w:r>
        <w:rPr>
          <w:rFonts w:asciiTheme="majorHAnsi" w:hAnsiTheme="majorHAnsi" w:cstheme="majorHAnsi"/>
          <w:sz w:val="24"/>
          <w:szCs w:val="24"/>
        </w:rPr>
        <w:t>Após a análise das alternativas disponíveis, conclui-se que a contratação de empresa especializada para prestação de serviços de recarga de suprimentos de impressão, manutenção preventiva e corretiva de impressoras, incluindo o fornecimento de peças, componentes e materiais necessários, representa a solução mais vantajosa para atender às necessidades da Secretaria Municipal de Educação do Município de Miraíma/CE.</w:t>
      </w:r>
    </w:p>
    <w:p>
      <w:pPr>
        <w:ind w:firstLine="851"/>
        <w:jc w:val="both"/>
        <w:rPr>
          <w:rFonts w:asciiTheme="majorHAnsi" w:hAnsiTheme="majorHAnsi" w:cstheme="majorHAnsi"/>
          <w:sz w:val="24"/>
          <w:szCs w:val="24"/>
        </w:rPr>
      </w:pPr>
      <w:r>
        <w:rPr>
          <w:rFonts w:asciiTheme="majorHAnsi" w:hAnsiTheme="majorHAnsi" w:cstheme="majorHAnsi"/>
          <w:sz w:val="24"/>
          <w:szCs w:val="24"/>
        </w:rPr>
        <w:t>A solução escolhida proporciona maior eficiência operacional, economicidade, continuidade dos serviços e melhor conservação dos equipamentos, atendendo aos princípios da Administração Pública e ao interesse público.</w:t>
      </w:r>
    </w:p>
    <w:p>
      <w:pPr>
        <w:jc w:val="both"/>
        <w:rPr>
          <w:rFonts w:asciiTheme="majorHAnsi" w:hAnsiTheme="majorHAnsi" w:cstheme="majorHAnsi"/>
          <w:b/>
          <w:bCs/>
          <w:sz w:val="24"/>
          <w:szCs w:val="24"/>
        </w:rPr>
      </w:pPr>
    </w:p>
    <w:p>
      <w:pPr>
        <w:pStyle w:val="NormalWeb"/>
        <w:numPr>
          <w:ilvl w:val="0"/>
          <w:numId w:val="41"/>
        </w:numPr>
        <w:tabs>
          <w:tab w:val="left" w:pos="284"/>
        </w:tabs>
        <w:spacing w:before="225" w:beforeAutospacing="0" w:after="0" w:afterAutospacing="0"/>
        <w:ind w:left="0" w:firstLine="0"/>
        <w:jc w:val="both"/>
        <w:rPr>
          <w:rFonts w:asciiTheme="majorHAnsi" w:hAnsiTheme="majorHAnsi" w:cstheme="majorHAnsi"/>
          <w:b/>
          <w:bCs/>
          <w:color w:val="000000"/>
        </w:rPr>
      </w:pPr>
      <w:r>
        <w:rPr>
          <w:rFonts w:asciiTheme="majorHAnsi" w:hAnsiTheme="majorHAnsi" w:cstheme="majorHAnsi"/>
          <w:b/>
          <w:bCs/>
          <w:color w:val="000000"/>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 (ART.18º, §1º, INCISO VI DA LEI FEDERAL N.º 14.133, DE 1º DE ABRIL DE 2021)</w:t>
      </w:r>
    </w:p>
    <w:p>
      <w:pPr>
        <w:ind w:firstLine="720"/>
        <w:jc w:val="both"/>
        <w:rPr>
          <w:rFonts w:asciiTheme="majorHAnsi" w:hAnsiTheme="majorHAnsi" w:cstheme="majorHAnsi"/>
          <w:sz w:val="24"/>
          <w:szCs w:val="24"/>
        </w:rPr>
      </w:pPr>
      <w:bookmarkStart w:id="85" w:name="art18§1vii"/>
      <w:bookmarkEnd w:id="85"/>
      <w:r>
        <w:rPr>
          <w:rFonts w:asciiTheme="majorHAnsi" w:hAnsiTheme="majorHAnsi" w:cstheme="majorHAnsi"/>
          <w:sz w:val="24"/>
          <w:szCs w:val="24"/>
        </w:rPr>
        <w:t>Conforme previsto no Plano de Contratações Anual (PCA) 2026, sob o ID nº 712, referente à contratação de empresa especializada para prestação de serviços de recarga de suprimentos de impressão, manutenção preventiva e corretiva de impressoras, incluindo o fornecimento e substituição de peças, componentes e materiais necessários à execução dos serviços.</w:t>
      </w:r>
    </w:p>
    <w:p>
      <w:pPr>
        <w:ind w:firstLine="720"/>
        <w:jc w:val="both"/>
        <w:rPr>
          <w:rFonts w:asciiTheme="majorHAnsi" w:hAnsiTheme="majorHAnsi" w:cstheme="majorHAnsi"/>
          <w:sz w:val="24"/>
          <w:szCs w:val="24"/>
        </w:rPr>
      </w:pPr>
      <w:r>
        <w:rPr>
          <w:rFonts w:asciiTheme="majorHAnsi" w:hAnsiTheme="majorHAnsi" w:cstheme="majorHAnsi"/>
          <w:sz w:val="24"/>
          <w:szCs w:val="24"/>
        </w:rPr>
        <w:t xml:space="preserve">A estimativa do valor da contratação considera os quantitativos estimados de recargas de toners e tintas, serviços de manutenção preventiva e corretiva, bem como o fornecimento e </w:t>
      </w:r>
      <w:r>
        <w:rPr>
          <w:rFonts w:asciiTheme="majorHAnsi" w:hAnsiTheme="majorHAnsi" w:cstheme="majorHAnsi"/>
          <w:sz w:val="24"/>
          <w:szCs w:val="24"/>
        </w:rPr>
        <w:lastRenderedPageBreak/>
        <w:t>substituição de peças, componentes e materiais necessários ao adequado funcionamento dos equipamentos de impressão pertencentes à Secretaria Municipal de Educação, conforme levantamento prévio das necessidades da Administração para o período de 12 (doze) meses.</w:t>
      </w:r>
    </w:p>
    <w:p>
      <w:pPr>
        <w:ind w:firstLine="720"/>
        <w:jc w:val="both"/>
        <w:rPr>
          <w:rFonts w:asciiTheme="majorHAnsi" w:hAnsiTheme="majorHAnsi" w:cstheme="majorHAnsi"/>
          <w:sz w:val="24"/>
          <w:szCs w:val="24"/>
        </w:rPr>
      </w:pPr>
      <w:r>
        <w:rPr>
          <w:rFonts w:asciiTheme="majorHAnsi" w:hAnsiTheme="majorHAnsi" w:cstheme="majorHAnsi"/>
          <w:sz w:val="24"/>
          <w:szCs w:val="24"/>
        </w:rPr>
        <w:t>O valor estimado foi definido com base no levantamento de mercado realizado pela Administração, servindo como parâmetro para o planejamento da contratação, previsão da despesa e verificação da compatibilidade com a disponibilidade orçamentária da Secretaria Municipal de Educação.</w:t>
      </w:r>
    </w:p>
    <w:p>
      <w:pPr>
        <w:suppressAutoHyphens/>
        <w:ind w:firstLine="720"/>
        <w:jc w:val="both"/>
        <w:rPr>
          <w:rFonts w:asciiTheme="majorHAnsi" w:hAnsiTheme="majorHAnsi" w:cstheme="majorHAnsi"/>
          <w:bCs/>
          <w:sz w:val="24"/>
          <w:szCs w:val="24"/>
          <w:lang w:eastAsia="zh-CN"/>
        </w:rPr>
      </w:pPr>
      <w:r>
        <w:rPr>
          <w:rFonts w:asciiTheme="majorHAnsi" w:hAnsiTheme="majorHAnsi" w:cstheme="majorHAnsi"/>
          <w:sz w:val="24"/>
          <w:szCs w:val="24"/>
        </w:rPr>
        <w:t>Ressalta-se que o valor estimado corresponde ao montante máximo previsto para a contratação e foi obtido a partir dos preços médios apurados na pesquisa de mercado, observando-se os critérios e metodologias estabelecidos na legislação vigente, podendo a contratação ser efetivada por valor inferior em razão da competitividade do certame licitatório</w:t>
      </w:r>
      <w:r>
        <w:rPr>
          <w:rFonts w:asciiTheme="majorHAnsi" w:hAnsiTheme="majorHAnsi"/>
          <w:sz w:val="24"/>
          <w:szCs w:val="24"/>
        </w:rPr>
        <w:t>.</w:t>
      </w:r>
    </w:p>
    <w:p>
      <w:pPr>
        <w:tabs>
          <w:tab w:val="left" w:pos="284"/>
        </w:tabs>
        <w:suppressAutoHyphens/>
        <w:jc w:val="both"/>
        <w:rPr>
          <w:rFonts w:asciiTheme="majorHAnsi" w:hAnsiTheme="majorHAnsi" w:cstheme="majorHAnsi"/>
          <w:b/>
          <w:bCs/>
          <w:sz w:val="24"/>
          <w:szCs w:val="24"/>
          <w:lang w:eastAsia="zh-CN"/>
        </w:rPr>
      </w:pPr>
    </w:p>
    <w:p>
      <w:pPr>
        <w:pStyle w:val="NormalWeb"/>
        <w:numPr>
          <w:ilvl w:val="0"/>
          <w:numId w:val="41"/>
        </w:numPr>
        <w:tabs>
          <w:tab w:val="left" w:pos="284"/>
        </w:tabs>
        <w:spacing w:before="0" w:beforeAutospacing="0" w:after="0" w:afterAutospacing="0"/>
        <w:ind w:left="0" w:firstLine="0"/>
        <w:jc w:val="both"/>
        <w:rPr>
          <w:rFonts w:asciiTheme="majorHAnsi" w:hAnsiTheme="majorHAnsi" w:cstheme="majorHAnsi"/>
          <w:b/>
          <w:bCs/>
          <w:color w:val="000000"/>
        </w:rPr>
      </w:pPr>
      <w:r>
        <w:rPr>
          <w:rFonts w:asciiTheme="majorHAnsi" w:hAnsiTheme="majorHAnsi" w:cstheme="majorHAnsi"/>
          <w:b/>
          <w:bCs/>
          <w:color w:val="000000"/>
        </w:rPr>
        <w:t>DESCRIÇÃO DA SOLUÇÃO COMO UM TODO, INCLUSIVE DAS EXIGÊNCIAS RELACIONADAS À MANUTENÇÃO E À ASSISTÊNCIA TÉCNICA, QUANDO FOR O CASO (ART.18º, §1º, INCISO VII DA LEI FEDERAL N.º 14.133, DE 1º DE ABRIL DE 2021), conforme informações gerais a serem seguidas quanto ao procedimento:</w:t>
      </w:r>
    </w:p>
    <w:p>
      <w:pPr>
        <w:pStyle w:val="NormalWeb"/>
        <w:tabs>
          <w:tab w:val="left" w:pos="284"/>
        </w:tabs>
        <w:spacing w:before="0" w:beforeAutospacing="0" w:after="0" w:afterAutospacing="0"/>
        <w:ind w:firstLine="709"/>
        <w:jc w:val="both"/>
        <w:rPr>
          <w:rFonts w:asciiTheme="majorHAnsi" w:hAnsiTheme="majorHAnsi" w:cstheme="majorHAnsi"/>
          <w:b/>
          <w:bCs/>
          <w:color w:val="000000"/>
        </w:rPr>
      </w:pPr>
      <w:r>
        <w:rPr>
          <w:rFonts w:asciiTheme="majorHAnsi" w:hAnsiTheme="majorHAnsi" w:cstheme="majorHAnsi"/>
          <w:b/>
          <w:bCs/>
          <w:color w:val="000000"/>
        </w:rPr>
        <w:tab/>
      </w:r>
      <w:r>
        <w:rPr>
          <w:rFonts w:asciiTheme="majorHAnsi" w:hAnsiTheme="majorHAnsi" w:cstheme="majorHAnsi"/>
        </w:rPr>
        <w:t>A solução proposta consiste na contratação de empresa especializada para prestação de serviços de recarga de suprimentos de impressão (toners e cartuchos de tinta), manutenção preventiva e corretiva de impressoras, incluindo o fornecimento e substituição de peças, componentes e materiais necessários à execução dos serviços, destinados ao atendimento das necessidades da Secretaria Municipal de Educação do Município de Miraíma/CE.</w:t>
      </w:r>
    </w:p>
    <w:p>
      <w:pPr>
        <w:ind w:firstLine="709"/>
        <w:jc w:val="both"/>
        <w:rPr>
          <w:rFonts w:asciiTheme="majorHAnsi" w:hAnsiTheme="majorHAnsi" w:cstheme="majorHAnsi"/>
          <w:sz w:val="24"/>
          <w:szCs w:val="24"/>
        </w:rPr>
      </w:pPr>
      <w:r>
        <w:rPr>
          <w:rFonts w:asciiTheme="majorHAnsi" w:hAnsiTheme="majorHAnsi" w:cstheme="majorHAnsi"/>
          <w:sz w:val="24"/>
          <w:szCs w:val="24"/>
        </w:rPr>
        <w:t>A execução dos serviços deverá ocorrer de forma parcelada, conforme a demanda da Secretaria, contemplando intervenções preventivas e corretivas nos equipamentos, bem como a reposição dos suprimentos necessários ao seu funcionamento.</w:t>
      </w:r>
    </w:p>
    <w:p>
      <w:pPr>
        <w:ind w:firstLine="709"/>
        <w:jc w:val="both"/>
        <w:rPr>
          <w:rFonts w:asciiTheme="majorHAnsi" w:hAnsiTheme="majorHAnsi" w:cstheme="majorHAnsi"/>
          <w:sz w:val="24"/>
          <w:szCs w:val="24"/>
        </w:rPr>
      </w:pPr>
      <w:r>
        <w:rPr>
          <w:rFonts w:asciiTheme="majorHAnsi" w:hAnsiTheme="majorHAnsi" w:cstheme="majorHAnsi"/>
          <w:sz w:val="24"/>
          <w:szCs w:val="24"/>
        </w:rPr>
        <w:t>A contratada deverá disponibilizar mão de obra qualificada, materiais e peças compatíveis com os equipamentos atendidos, garantindo a qualidade dos serviços prestados e o adequado funcionamento das impressoras utilizadas nas atividades administrativas da Secretaria.</w:t>
      </w:r>
    </w:p>
    <w:p>
      <w:pPr>
        <w:ind w:firstLine="709"/>
        <w:jc w:val="both"/>
        <w:rPr>
          <w:rFonts w:asciiTheme="majorHAnsi" w:hAnsiTheme="majorHAnsi" w:cstheme="majorHAnsi"/>
          <w:sz w:val="24"/>
          <w:szCs w:val="24"/>
        </w:rPr>
      </w:pPr>
      <w:r>
        <w:rPr>
          <w:rFonts w:asciiTheme="majorHAnsi" w:hAnsiTheme="majorHAnsi" w:cstheme="majorHAnsi"/>
          <w:sz w:val="24"/>
          <w:szCs w:val="24"/>
        </w:rPr>
        <w:t>A solução adotada assegura maior eficiência na manutenção dos equipamentos, continuidade das atividades administrativas, redução de interrupções operacionais e melhor aproveitamento dos recursos públicos.</w:t>
      </w:r>
    </w:p>
    <w:p>
      <w:pPr>
        <w:pStyle w:val="NormalWeb"/>
        <w:spacing w:before="0" w:beforeAutospacing="0" w:after="0" w:afterAutospacing="0"/>
        <w:jc w:val="both"/>
        <w:rPr>
          <w:rFonts w:asciiTheme="majorHAnsi" w:hAnsiTheme="majorHAnsi"/>
        </w:rPr>
      </w:pPr>
    </w:p>
    <w:p>
      <w:pPr>
        <w:pStyle w:val="NormalWeb"/>
        <w:numPr>
          <w:ilvl w:val="0"/>
          <w:numId w:val="41"/>
        </w:numPr>
        <w:tabs>
          <w:tab w:val="left" w:pos="284"/>
        </w:tabs>
        <w:spacing w:before="225" w:beforeAutospacing="0" w:after="0" w:afterAutospacing="0"/>
        <w:ind w:left="0" w:firstLine="0"/>
        <w:jc w:val="both"/>
        <w:rPr>
          <w:rFonts w:asciiTheme="majorHAnsi" w:hAnsiTheme="majorHAnsi" w:cstheme="majorHAnsi"/>
          <w:b/>
          <w:bCs/>
          <w:color w:val="000000"/>
        </w:rPr>
      </w:pPr>
      <w:r>
        <w:rPr>
          <w:rFonts w:asciiTheme="majorHAnsi" w:hAnsiTheme="majorHAnsi" w:cstheme="majorHAnsi"/>
          <w:b/>
          <w:bCs/>
          <w:color w:val="000000"/>
        </w:rPr>
        <w:t>JUSTIFICATIVAS PARA O PARCELAMENTO OU NÃO DA CONTRATAÇÃO (ART.18º, §1º, INCISO VIII DA LEI FEDERAL N.º 14.133, DE 1º DE ABRIL DE 2021).</w:t>
      </w:r>
    </w:p>
    <w:p>
      <w:pPr>
        <w:spacing w:line="259" w:lineRule="auto"/>
        <w:ind w:firstLine="851"/>
        <w:jc w:val="both"/>
        <w:rPr>
          <w:rFonts w:asciiTheme="majorHAnsi" w:hAnsiTheme="majorHAnsi" w:cstheme="majorHAnsi"/>
          <w:sz w:val="24"/>
          <w:szCs w:val="24"/>
        </w:rPr>
      </w:pPr>
      <w:r>
        <w:rPr>
          <w:rFonts w:asciiTheme="majorHAnsi" w:hAnsiTheme="majorHAnsi" w:cstheme="majorHAnsi"/>
          <w:sz w:val="24"/>
          <w:szCs w:val="24"/>
        </w:rPr>
        <w:t>Nos termos da Lei nº 14.133/2021, o parcelamento do objeto deve ser adotado sempre que tecnicamente viável e economicamente vantajoso para a Administração Pública.</w:t>
      </w:r>
    </w:p>
    <w:p>
      <w:pPr>
        <w:spacing w:line="259" w:lineRule="auto"/>
        <w:ind w:firstLine="851"/>
        <w:jc w:val="both"/>
        <w:rPr>
          <w:rFonts w:asciiTheme="majorHAnsi" w:hAnsiTheme="majorHAnsi" w:cstheme="majorHAnsi"/>
          <w:sz w:val="24"/>
          <w:szCs w:val="24"/>
        </w:rPr>
      </w:pPr>
      <w:r>
        <w:rPr>
          <w:rFonts w:asciiTheme="majorHAnsi" w:hAnsiTheme="majorHAnsi" w:cstheme="majorHAnsi"/>
          <w:sz w:val="24"/>
          <w:szCs w:val="24"/>
        </w:rPr>
        <w:t>No presente caso, verifica-se que o objeto contempla serviços de recarga de suprimentos de impressão, manutenção preventiva e corretiva de impressoras, bem como o fornecimento de peças e componentes necessários à execução dos serviços, os quais possuem natureza integrada e complementar.</w:t>
      </w:r>
    </w:p>
    <w:p>
      <w:pPr>
        <w:spacing w:line="259" w:lineRule="auto"/>
        <w:ind w:firstLine="851"/>
        <w:jc w:val="both"/>
        <w:rPr>
          <w:rFonts w:asciiTheme="majorHAnsi" w:hAnsiTheme="majorHAnsi" w:cstheme="majorHAnsi"/>
          <w:sz w:val="24"/>
          <w:szCs w:val="24"/>
        </w:rPr>
      </w:pPr>
      <w:r>
        <w:rPr>
          <w:rFonts w:asciiTheme="majorHAnsi" w:hAnsiTheme="majorHAnsi" w:cstheme="majorHAnsi"/>
          <w:sz w:val="24"/>
          <w:szCs w:val="24"/>
        </w:rPr>
        <w:t xml:space="preserve">Dessa forma, embora a execução ocorra de forma parcelada conforme a demanda da Secretaria Municipal de Educação, o agrupamento dos serviços em um único lote mostra-se mais vantajoso, uma vez que possibilita maior controle da execução contratual, padronização </w:t>
      </w:r>
      <w:r>
        <w:rPr>
          <w:rFonts w:asciiTheme="majorHAnsi" w:hAnsiTheme="majorHAnsi" w:cstheme="majorHAnsi"/>
          <w:sz w:val="24"/>
          <w:szCs w:val="24"/>
        </w:rPr>
        <w:lastRenderedPageBreak/>
        <w:t>dos serviços, agilidade no atendimento das demandas e atribuição clara das responsabilidades à contratada.</w:t>
      </w:r>
    </w:p>
    <w:p>
      <w:pPr>
        <w:spacing w:line="259" w:lineRule="auto"/>
        <w:ind w:firstLine="851"/>
        <w:jc w:val="both"/>
        <w:rPr>
          <w:rFonts w:asciiTheme="majorHAnsi" w:hAnsiTheme="majorHAnsi" w:cstheme="majorHAnsi"/>
          <w:sz w:val="24"/>
          <w:szCs w:val="24"/>
        </w:rPr>
      </w:pPr>
      <w:r>
        <w:rPr>
          <w:rFonts w:asciiTheme="majorHAnsi" w:hAnsiTheme="majorHAnsi" w:cstheme="majorHAnsi"/>
          <w:sz w:val="24"/>
          <w:szCs w:val="24"/>
        </w:rPr>
        <w:t>Além disso, a contratação de uma única empresa especializada reduz dificuldades de coordenação entre múltiplos fornecedores, evita incompatibilidades técnicas e contribui para maior eficiência na manutenção dos equipamentos de impressão.</w:t>
      </w:r>
    </w:p>
    <w:p>
      <w:pPr>
        <w:pStyle w:val="NormalWeb"/>
        <w:tabs>
          <w:tab w:val="left" w:pos="284"/>
        </w:tabs>
        <w:spacing w:before="0" w:beforeAutospacing="0" w:after="0" w:afterAutospacing="0"/>
        <w:ind w:firstLine="709"/>
        <w:jc w:val="both"/>
        <w:rPr>
          <w:rFonts w:asciiTheme="majorHAnsi" w:hAnsiTheme="majorHAnsi" w:cstheme="majorHAnsi"/>
          <w:color w:val="000000"/>
        </w:rPr>
      </w:pPr>
      <w:r>
        <w:rPr>
          <w:rFonts w:asciiTheme="majorHAnsi" w:hAnsiTheme="majorHAnsi" w:cstheme="majorHAnsi"/>
        </w:rPr>
        <w:tab/>
        <w:t>Assim, conclui-se que a execução deverá ocorrer de forma parcelada, conforme a necessidade da Administração, permanecendo o objeto agrupado em lote único, por se tratar de serviços interdependentes cuja divisão poderá comprometer a economicidade e a adequada execução contratual.</w:t>
      </w:r>
    </w:p>
    <w:p>
      <w:pPr>
        <w:pStyle w:val="NormalWeb"/>
        <w:numPr>
          <w:ilvl w:val="0"/>
          <w:numId w:val="41"/>
        </w:numPr>
        <w:tabs>
          <w:tab w:val="left" w:pos="284"/>
        </w:tabs>
        <w:spacing w:before="225" w:beforeAutospacing="0" w:after="0" w:afterAutospacing="0"/>
        <w:ind w:left="0" w:firstLine="0"/>
        <w:jc w:val="both"/>
        <w:rPr>
          <w:rFonts w:asciiTheme="majorHAnsi" w:hAnsiTheme="majorHAnsi" w:cstheme="majorHAnsi"/>
          <w:b/>
          <w:bCs/>
          <w:color w:val="000000"/>
        </w:rPr>
      </w:pPr>
      <w:bookmarkStart w:id="86" w:name="art18§1ix"/>
      <w:bookmarkEnd w:id="86"/>
      <w:r>
        <w:rPr>
          <w:rFonts w:asciiTheme="majorHAnsi" w:hAnsiTheme="majorHAnsi" w:cstheme="majorHAnsi"/>
          <w:b/>
          <w:bCs/>
          <w:color w:val="000000"/>
        </w:rPr>
        <w:t>DEMONSTRATIVO DOS RESULTADOS PRETENDIDOS EM TERMOS DE ECONOMICIDADE E DE MELHOR APROVEITAMENTO DOS RECURSOS HUMANOS, MATERIAIS E FINANCEIROS DISPONÍVEIS (ART.18º, §1º, INCISO IX DA LEI FEDERAL N.º 14.133, DE 1º DE ABRIL DE 2021)</w:t>
      </w:r>
    </w:p>
    <w:p>
      <w:pPr>
        <w:pStyle w:val="NormalWeb"/>
        <w:tabs>
          <w:tab w:val="left" w:pos="284"/>
        </w:tabs>
        <w:spacing w:before="0" w:beforeAutospacing="0" w:after="0" w:afterAutospacing="0"/>
        <w:ind w:firstLine="851"/>
        <w:jc w:val="both"/>
        <w:rPr>
          <w:rFonts w:asciiTheme="majorHAnsi" w:hAnsiTheme="majorHAnsi" w:cstheme="majorHAnsi"/>
          <w:color w:val="000000"/>
        </w:rPr>
      </w:pPr>
      <w:r>
        <w:rPr>
          <w:rFonts w:asciiTheme="majorHAnsi" w:hAnsiTheme="majorHAnsi"/>
        </w:rPr>
        <w:t>A contratação de empresa especializada para prestação de serviços de recarga de suprimentos de impressão, manutenção preventiva e corretiva de impressoras, incluindo o fornecimento e substituição de peças, tem como objetivo assegurar a continuidade e a eficiência dos serviços administrativos e pedagógicos desenvolvidos pela Secretaria Municipal de Educação e suas unidades vinculadas. É esperado que a empresa contratada assegure a segurança e a qualidade em todos os serviços prestados, seguindo todas as normas legais e de biossegurança. Também se espera que a empresa seja capaz de oferecer um atendimento ágil e eficiente, realizando os serviços dentro dos prazos estabelecidos e atendendo às demandas emergenciais. Dessa forma, a contratação contribuirá para a melhoria da infraestrutura de apoio às atividades educacionais e administrativas do Município, garantindo maior confiabilidade dos equipamentos e melhor utilização dos recursos públicos disponíveis</w:t>
      </w:r>
      <w:r>
        <w:rPr>
          <w:rFonts w:asciiTheme="majorHAnsi" w:hAnsiTheme="majorHAnsi" w:cstheme="majorHAnsi"/>
          <w:color w:val="000000"/>
        </w:rPr>
        <w:t>.</w:t>
      </w:r>
    </w:p>
    <w:p>
      <w:pPr>
        <w:pStyle w:val="NormalWeb"/>
        <w:tabs>
          <w:tab w:val="left" w:pos="284"/>
        </w:tabs>
        <w:spacing w:before="0" w:beforeAutospacing="0" w:after="0" w:afterAutospacing="0"/>
        <w:ind w:firstLine="851"/>
        <w:jc w:val="both"/>
        <w:rPr>
          <w:rFonts w:asciiTheme="majorHAnsi" w:hAnsiTheme="majorHAnsi" w:cstheme="majorHAnsi"/>
          <w:color w:val="000000"/>
        </w:rPr>
      </w:pPr>
    </w:p>
    <w:p>
      <w:pPr>
        <w:pStyle w:val="NormalWeb"/>
        <w:numPr>
          <w:ilvl w:val="0"/>
          <w:numId w:val="41"/>
        </w:numPr>
        <w:tabs>
          <w:tab w:val="left" w:pos="284"/>
          <w:tab w:val="left" w:pos="426"/>
        </w:tabs>
        <w:spacing w:before="0" w:beforeAutospacing="0" w:after="0" w:afterAutospacing="0"/>
        <w:ind w:left="0" w:firstLine="0"/>
        <w:jc w:val="both"/>
        <w:rPr>
          <w:rFonts w:asciiTheme="majorHAnsi" w:hAnsiTheme="majorHAnsi" w:cstheme="majorHAnsi"/>
          <w:b/>
          <w:bCs/>
          <w:color w:val="000000"/>
        </w:rPr>
      </w:pPr>
      <w:r>
        <w:rPr>
          <w:rFonts w:asciiTheme="majorHAnsi" w:hAnsiTheme="majorHAnsi" w:cstheme="majorHAnsi"/>
          <w:b/>
          <w:bCs/>
          <w:color w:val="000000"/>
        </w:rPr>
        <w:t>PROVIDÊNCIAS A SEREM ADOTADAS PELA ADMINISTRAÇÃO PREVIAMENTE À CELEBRAÇÃO DO CONTRATO, INCLUSIVE QUANTO À CAPACITAÇÃO DE SERVIDORES OU DE EMPREGADOS PARA FISCALIZAÇÃO E GESTÃO CONTRATUAL (ART.18º, §1º, INCISO X DA LEI FEDERAL N.º 14.133, DE 1º DE ABRIL DE 2021)</w:t>
      </w:r>
    </w:p>
    <w:p>
      <w:pPr>
        <w:ind w:firstLine="708"/>
        <w:jc w:val="both"/>
        <w:rPr>
          <w:rFonts w:asciiTheme="majorHAnsi" w:eastAsia="Times New Roman" w:hAnsiTheme="majorHAnsi"/>
          <w:sz w:val="24"/>
          <w:szCs w:val="24"/>
        </w:rPr>
      </w:pPr>
      <w:r>
        <w:rPr>
          <w:rFonts w:asciiTheme="majorHAnsi" w:eastAsia="Times New Roman" w:hAnsiTheme="majorHAnsi"/>
          <w:sz w:val="24"/>
          <w:szCs w:val="24"/>
        </w:rPr>
        <w:t xml:space="preserve">Para viabilizar a </w:t>
      </w:r>
      <w:r>
        <w:rPr>
          <w:rFonts w:asciiTheme="majorHAnsi" w:hAnsiTheme="majorHAnsi" w:cstheme="majorHAnsi"/>
          <w:bCs/>
          <w:color w:val="000000"/>
          <w:sz w:val="24"/>
          <w:szCs w:val="24"/>
        </w:rPr>
        <w:t xml:space="preserve">contratação de empresa especializada para prestação de serviços de recarga de suprimentos de impressão, manutenção preventiva e corretiva de impressoras, incluindo o fornecimento e substituição de peças, serviços, </w:t>
      </w:r>
      <w:r>
        <w:rPr>
          <w:rFonts w:asciiTheme="majorHAnsi" w:eastAsia="Times New Roman" w:hAnsiTheme="majorHAnsi"/>
          <w:sz w:val="24"/>
          <w:szCs w:val="24"/>
        </w:rPr>
        <w:t>a Administração deverá adotar as seguintes providências:</w:t>
      </w:r>
    </w:p>
    <w:p>
      <w:pPr>
        <w:numPr>
          <w:ilvl w:val="0"/>
          <w:numId w:val="56"/>
        </w:numPr>
        <w:jc w:val="both"/>
        <w:rPr>
          <w:rFonts w:asciiTheme="majorHAnsi" w:eastAsia="Times New Roman" w:hAnsiTheme="majorHAnsi"/>
          <w:sz w:val="24"/>
          <w:szCs w:val="24"/>
        </w:rPr>
      </w:pPr>
      <w:r>
        <w:rPr>
          <w:rFonts w:asciiTheme="majorHAnsi" w:eastAsia="Times New Roman" w:hAnsiTheme="majorHAnsi"/>
          <w:b/>
          <w:bCs/>
          <w:sz w:val="24"/>
          <w:szCs w:val="24"/>
        </w:rPr>
        <w:t>Elaboração do Termo de Referência</w:t>
      </w:r>
      <w:r>
        <w:rPr>
          <w:rFonts w:asciiTheme="majorHAnsi" w:eastAsia="Times New Roman" w:hAnsiTheme="majorHAnsi"/>
          <w:sz w:val="24"/>
          <w:szCs w:val="24"/>
        </w:rPr>
        <w:t>, contendo a descrição detalhada do objeto, as especificações técnicas dos sistemas, as condições de execução dos serviços e os critérios de seleção da empresa contratada.</w:t>
      </w:r>
    </w:p>
    <w:p>
      <w:pPr>
        <w:numPr>
          <w:ilvl w:val="0"/>
          <w:numId w:val="56"/>
        </w:numPr>
        <w:jc w:val="both"/>
        <w:rPr>
          <w:rFonts w:asciiTheme="majorHAnsi" w:eastAsia="Times New Roman" w:hAnsiTheme="majorHAnsi"/>
          <w:sz w:val="24"/>
          <w:szCs w:val="24"/>
        </w:rPr>
      </w:pPr>
      <w:r>
        <w:rPr>
          <w:rFonts w:asciiTheme="majorHAnsi" w:eastAsia="Times New Roman" w:hAnsiTheme="majorHAnsi"/>
          <w:b/>
          <w:bCs/>
          <w:sz w:val="24"/>
          <w:szCs w:val="24"/>
        </w:rPr>
        <w:t>Abertura do procedimento licitatório</w:t>
      </w:r>
      <w:r>
        <w:rPr>
          <w:rFonts w:asciiTheme="majorHAnsi" w:eastAsia="Times New Roman" w:hAnsiTheme="majorHAnsi"/>
          <w:sz w:val="24"/>
          <w:szCs w:val="24"/>
        </w:rPr>
        <w:t>, observando as disposições da legislação vigente, em especial a Lei nº 14.133/2021 (Nova Lei de Licitações e Contratos Administrativos).</w:t>
      </w:r>
    </w:p>
    <w:p>
      <w:pPr>
        <w:numPr>
          <w:ilvl w:val="0"/>
          <w:numId w:val="56"/>
        </w:numPr>
        <w:jc w:val="both"/>
        <w:rPr>
          <w:rFonts w:asciiTheme="majorHAnsi" w:eastAsia="Times New Roman" w:hAnsiTheme="majorHAnsi"/>
          <w:sz w:val="24"/>
          <w:szCs w:val="24"/>
        </w:rPr>
      </w:pPr>
      <w:r>
        <w:rPr>
          <w:rFonts w:asciiTheme="majorHAnsi" w:eastAsia="Times New Roman" w:hAnsiTheme="majorHAnsi"/>
          <w:b/>
          <w:bCs/>
          <w:sz w:val="24"/>
          <w:szCs w:val="24"/>
        </w:rPr>
        <w:t>Reserva orçamentária</w:t>
      </w:r>
      <w:r>
        <w:rPr>
          <w:rFonts w:asciiTheme="majorHAnsi" w:eastAsia="Times New Roman" w:hAnsiTheme="majorHAnsi"/>
          <w:sz w:val="24"/>
          <w:szCs w:val="24"/>
        </w:rPr>
        <w:t xml:space="preserve"> necessária para a contratação dos serviços, garantindo a disponibilidade dos recursos financeiros.</w:t>
      </w:r>
    </w:p>
    <w:p>
      <w:pPr>
        <w:numPr>
          <w:ilvl w:val="0"/>
          <w:numId w:val="56"/>
        </w:numPr>
        <w:jc w:val="both"/>
        <w:rPr>
          <w:rFonts w:asciiTheme="majorHAnsi" w:eastAsia="Times New Roman" w:hAnsiTheme="majorHAnsi"/>
          <w:sz w:val="24"/>
          <w:szCs w:val="24"/>
        </w:rPr>
      </w:pPr>
      <w:r>
        <w:rPr>
          <w:rFonts w:asciiTheme="majorHAnsi" w:eastAsia="Times New Roman" w:hAnsiTheme="majorHAnsi"/>
          <w:b/>
          <w:bCs/>
          <w:sz w:val="24"/>
          <w:szCs w:val="24"/>
        </w:rPr>
        <w:t>Definição da equipe de fiscalização contratual</w:t>
      </w:r>
      <w:r>
        <w:rPr>
          <w:rFonts w:asciiTheme="majorHAnsi" w:eastAsia="Times New Roman" w:hAnsiTheme="majorHAnsi"/>
          <w:sz w:val="24"/>
          <w:szCs w:val="24"/>
        </w:rPr>
        <w:t>, composta por servidores qualificados para acompanhar, fiscalizar e atestar a execução do objeto contratado.</w:t>
      </w:r>
    </w:p>
    <w:p>
      <w:pPr>
        <w:numPr>
          <w:ilvl w:val="0"/>
          <w:numId w:val="56"/>
        </w:numPr>
        <w:jc w:val="both"/>
        <w:rPr>
          <w:rFonts w:asciiTheme="majorHAnsi" w:eastAsia="Times New Roman" w:hAnsiTheme="majorHAnsi"/>
          <w:sz w:val="24"/>
          <w:szCs w:val="24"/>
        </w:rPr>
      </w:pPr>
      <w:r>
        <w:rPr>
          <w:rFonts w:asciiTheme="majorHAnsi" w:eastAsia="Times New Roman" w:hAnsiTheme="majorHAnsi"/>
          <w:b/>
          <w:bCs/>
          <w:sz w:val="24"/>
          <w:szCs w:val="24"/>
        </w:rPr>
        <w:lastRenderedPageBreak/>
        <w:t>Acompanhamento contínuo da execução contratual</w:t>
      </w:r>
      <w:r>
        <w:rPr>
          <w:rFonts w:asciiTheme="majorHAnsi" w:eastAsia="Times New Roman" w:hAnsiTheme="majorHAnsi"/>
          <w:sz w:val="24"/>
          <w:szCs w:val="24"/>
        </w:rPr>
        <w:t>, a fim de garantir a entrega de serviços de qualidade e a satisfação das necessidades da Secretaria Municipal de Educação de Miraíma/CE.</w:t>
      </w:r>
    </w:p>
    <w:p>
      <w:pPr>
        <w:pStyle w:val="NormalWeb"/>
        <w:tabs>
          <w:tab w:val="left" w:pos="284"/>
        </w:tabs>
        <w:spacing w:before="0" w:beforeAutospacing="0" w:after="0" w:afterAutospacing="0"/>
        <w:jc w:val="both"/>
        <w:rPr>
          <w:rFonts w:asciiTheme="majorHAnsi" w:hAnsiTheme="majorHAnsi" w:cstheme="majorHAnsi"/>
          <w:color w:val="000000"/>
        </w:rPr>
      </w:pPr>
    </w:p>
    <w:p>
      <w:pPr>
        <w:pStyle w:val="NormalWeb"/>
        <w:numPr>
          <w:ilvl w:val="0"/>
          <w:numId w:val="41"/>
        </w:numPr>
        <w:tabs>
          <w:tab w:val="left" w:pos="284"/>
          <w:tab w:val="left" w:pos="426"/>
        </w:tabs>
        <w:spacing w:before="0" w:beforeAutospacing="0" w:after="0" w:afterAutospacing="0"/>
        <w:ind w:left="0" w:firstLine="0"/>
        <w:jc w:val="both"/>
        <w:rPr>
          <w:rFonts w:asciiTheme="majorHAnsi" w:hAnsiTheme="majorHAnsi" w:cstheme="majorHAnsi"/>
          <w:b/>
          <w:bCs/>
          <w:color w:val="000000"/>
        </w:rPr>
      </w:pPr>
      <w:bookmarkStart w:id="87" w:name="art18§1xi"/>
      <w:bookmarkEnd w:id="87"/>
      <w:r>
        <w:rPr>
          <w:rFonts w:asciiTheme="majorHAnsi" w:hAnsiTheme="majorHAnsi" w:cstheme="majorHAnsi"/>
          <w:b/>
          <w:bCs/>
          <w:color w:val="000000"/>
        </w:rPr>
        <w:t>CONTRATAÇÕES CORRELATAS E/OU INTERDEPENDENTES (ART.18º, §1º, INCISO XI)</w:t>
      </w:r>
    </w:p>
    <w:p>
      <w:pPr>
        <w:pStyle w:val="NormalWeb"/>
        <w:tabs>
          <w:tab w:val="left" w:pos="284"/>
        </w:tabs>
        <w:spacing w:before="0" w:beforeAutospacing="0" w:after="225" w:afterAutospacing="0"/>
        <w:jc w:val="both"/>
        <w:rPr>
          <w:rFonts w:asciiTheme="majorHAnsi" w:hAnsiTheme="majorHAnsi" w:cstheme="majorHAnsi"/>
          <w:color w:val="000000"/>
        </w:rPr>
      </w:pPr>
      <w:r>
        <w:rPr>
          <w:rFonts w:asciiTheme="majorHAnsi" w:hAnsiTheme="majorHAnsi" w:cstheme="majorHAnsi"/>
          <w:color w:val="000000"/>
        </w:rPr>
        <w:t xml:space="preserve">Não há contratações correlatas ou interdependentes para o presente objeto. </w:t>
      </w:r>
    </w:p>
    <w:p>
      <w:pPr>
        <w:rPr>
          <w:rFonts w:asciiTheme="majorHAnsi" w:eastAsia="Times New Roman" w:hAnsiTheme="majorHAnsi" w:cstheme="majorHAnsi"/>
          <w:color w:val="000000"/>
          <w:sz w:val="24"/>
          <w:szCs w:val="24"/>
        </w:rPr>
      </w:pPr>
      <w:r>
        <w:rPr>
          <w:rFonts w:asciiTheme="majorHAnsi" w:hAnsiTheme="majorHAnsi" w:cstheme="majorHAnsi"/>
          <w:color w:val="000000"/>
          <w:sz w:val="24"/>
          <w:szCs w:val="24"/>
        </w:rPr>
        <w:br w:type="page"/>
      </w:r>
    </w:p>
    <w:p>
      <w:pPr>
        <w:pStyle w:val="NormalWeb"/>
        <w:tabs>
          <w:tab w:val="left" w:pos="284"/>
        </w:tabs>
        <w:spacing w:before="0" w:beforeAutospacing="0" w:after="225" w:afterAutospacing="0"/>
        <w:jc w:val="both"/>
        <w:rPr>
          <w:rFonts w:asciiTheme="majorHAnsi" w:hAnsiTheme="majorHAnsi" w:cstheme="majorHAnsi"/>
          <w:color w:val="000000"/>
        </w:rPr>
      </w:pPr>
    </w:p>
    <w:p>
      <w:pPr>
        <w:pStyle w:val="NormalWeb"/>
        <w:numPr>
          <w:ilvl w:val="0"/>
          <w:numId w:val="41"/>
        </w:numPr>
        <w:tabs>
          <w:tab w:val="left" w:pos="284"/>
          <w:tab w:val="left" w:pos="426"/>
        </w:tabs>
        <w:spacing w:before="0" w:beforeAutospacing="0" w:after="0" w:afterAutospacing="0"/>
        <w:ind w:left="0" w:firstLine="0"/>
        <w:jc w:val="both"/>
        <w:rPr>
          <w:rFonts w:asciiTheme="majorHAnsi" w:hAnsiTheme="majorHAnsi" w:cstheme="majorHAnsi"/>
          <w:b/>
          <w:bCs/>
          <w:color w:val="000000"/>
        </w:rPr>
      </w:pPr>
      <w:r>
        <w:rPr>
          <w:rFonts w:asciiTheme="majorHAnsi" w:hAnsiTheme="majorHAnsi" w:cstheme="majorHAnsi"/>
          <w:b/>
          <w:bCs/>
          <w:color w:val="000000"/>
        </w:rPr>
        <w:t>DESCRIÇÃO DE POSSÍVEIS IMPACTOS AMBIENTAIS E RESPECTIVAS MEDIDAS MITIGADORAS, INCLUÍDOS REQUISITOS DE BAIXO CONSUMO DE ENERGIA E DE OUTROS RECURSOS, BEM COMO LOGÍSTICA REVERSA PARA DESFAZIMENTO E RECICLAGEM DE BENS E REFUGOS, QUANDO APLICÁVEL (ART.18º, §1º, INCISO XII)</w:t>
      </w:r>
    </w:p>
    <w:p>
      <w:pPr>
        <w:pStyle w:val="NormalWeb"/>
        <w:tabs>
          <w:tab w:val="left" w:pos="284"/>
        </w:tabs>
        <w:spacing w:before="0" w:beforeAutospacing="0" w:after="0" w:afterAutospacing="0"/>
        <w:ind w:firstLine="567"/>
        <w:jc w:val="both"/>
        <w:rPr>
          <w:rFonts w:asciiTheme="majorHAnsi" w:hAnsiTheme="majorHAnsi" w:cstheme="majorHAnsi"/>
          <w:color w:val="000000"/>
        </w:rPr>
      </w:pPr>
      <w:r>
        <w:rPr>
          <w:rFonts w:asciiTheme="majorHAnsi" w:hAnsiTheme="majorHAnsi" w:cstheme="majorHAnsi"/>
          <w:color w:val="000000"/>
        </w:rPr>
        <w:t>A execução dos serviços de recarga de suprimentos de impressão e manutenção de impressoras poderá gerar resíduos provenientes de cartuchos, toners, cilindros, peças substituídas e demais componentes eletrônicos descartados durante a prestação dos serviços.</w:t>
      </w:r>
    </w:p>
    <w:p>
      <w:pPr>
        <w:pStyle w:val="NormalWeb"/>
        <w:tabs>
          <w:tab w:val="left" w:pos="284"/>
        </w:tabs>
        <w:spacing w:before="0" w:beforeAutospacing="0" w:after="0" w:afterAutospacing="0"/>
        <w:ind w:firstLine="567"/>
        <w:jc w:val="both"/>
        <w:rPr>
          <w:rFonts w:asciiTheme="majorHAnsi" w:hAnsiTheme="majorHAnsi" w:cstheme="majorHAnsi"/>
          <w:color w:val="000000"/>
        </w:rPr>
      </w:pPr>
      <w:r>
        <w:rPr>
          <w:rFonts w:asciiTheme="majorHAnsi" w:hAnsiTheme="majorHAnsi" w:cstheme="majorHAnsi"/>
          <w:color w:val="000000"/>
        </w:rPr>
        <w:t>Considerando os princípios do desenvolvimento sustentável previstos na Lei Federal nº 14.133/2021, a contratação deverá observar práticas que minimizem os impactos ambientais decorrentes da execução contratual.</w:t>
      </w:r>
    </w:p>
    <w:p>
      <w:pPr>
        <w:pStyle w:val="NormalWeb"/>
        <w:tabs>
          <w:tab w:val="left" w:pos="284"/>
        </w:tabs>
        <w:spacing w:before="0" w:beforeAutospacing="0" w:after="0" w:afterAutospacing="0"/>
        <w:ind w:firstLine="567"/>
        <w:jc w:val="both"/>
        <w:rPr>
          <w:rFonts w:asciiTheme="majorHAnsi" w:hAnsiTheme="majorHAnsi" w:cstheme="majorHAnsi"/>
          <w:color w:val="000000"/>
        </w:rPr>
      </w:pPr>
      <w:r>
        <w:rPr>
          <w:rFonts w:asciiTheme="majorHAnsi" w:hAnsiTheme="majorHAnsi" w:cstheme="majorHAnsi"/>
          <w:color w:val="000000"/>
        </w:rPr>
        <w:t>Como medidas mitigadoras, a contratada deverá:</w:t>
      </w:r>
    </w:p>
    <w:p>
      <w:pPr>
        <w:pStyle w:val="NormalWeb"/>
        <w:tabs>
          <w:tab w:val="left" w:pos="284"/>
        </w:tabs>
        <w:spacing w:before="0" w:beforeAutospacing="0" w:after="0" w:afterAutospacing="0"/>
        <w:ind w:firstLine="567"/>
        <w:jc w:val="both"/>
        <w:rPr>
          <w:rFonts w:asciiTheme="majorHAnsi" w:hAnsiTheme="majorHAnsi" w:cstheme="majorHAnsi"/>
          <w:color w:val="000000"/>
        </w:rPr>
      </w:pPr>
      <w:r>
        <w:rPr>
          <w:rFonts w:asciiTheme="majorHAnsi" w:hAnsiTheme="majorHAnsi" w:cstheme="majorHAnsi"/>
          <w:color w:val="000000"/>
        </w:rPr>
        <w:t>• Realizar o descarte ambientalmente adequado de cartuchos, toners, peças e demais resíduos gerados durante a execução dos serviços, em conformidade com a legislação ambiental vigente;</w:t>
      </w:r>
    </w:p>
    <w:p>
      <w:pPr>
        <w:pStyle w:val="NormalWeb"/>
        <w:tabs>
          <w:tab w:val="left" w:pos="284"/>
        </w:tabs>
        <w:spacing w:before="0" w:beforeAutospacing="0" w:after="0" w:afterAutospacing="0"/>
        <w:ind w:firstLine="567"/>
        <w:jc w:val="both"/>
        <w:rPr>
          <w:rFonts w:asciiTheme="majorHAnsi" w:hAnsiTheme="majorHAnsi" w:cstheme="majorHAnsi"/>
          <w:color w:val="000000"/>
        </w:rPr>
      </w:pPr>
      <w:r>
        <w:rPr>
          <w:rFonts w:asciiTheme="majorHAnsi" w:hAnsiTheme="majorHAnsi" w:cstheme="majorHAnsi"/>
          <w:color w:val="000000"/>
        </w:rPr>
        <w:t>• Promover, sempre que possível, a reutilização, reciclagem ou destinação final ambientalmente adequada dos materiais substituídos;</w:t>
      </w:r>
    </w:p>
    <w:p>
      <w:pPr>
        <w:pStyle w:val="NormalWeb"/>
        <w:tabs>
          <w:tab w:val="left" w:pos="284"/>
        </w:tabs>
        <w:spacing w:before="0" w:beforeAutospacing="0" w:after="0" w:afterAutospacing="0"/>
        <w:ind w:firstLine="567"/>
        <w:jc w:val="both"/>
        <w:rPr>
          <w:rFonts w:asciiTheme="majorHAnsi" w:hAnsiTheme="majorHAnsi" w:cstheme="majorHAnsi"/>
          <w:color w:val="000000"/>
        </w:rPr>
      </w:pPr>
      <w:r>
        <w:rPr>
          <w:rFonts w:asciiTheme="majorHAnsi" w:hAnsiTheme="majorHAnsi" w:cstheme="majorHAnsi"/>
          <w:color w:val="000000"/>
        </w:rPr>
        <w:t>• Adotar procedimentos que reduzam o desperdício de insumos e materiais utilizados nos serviços de manutenção e recarga;</w:t>
      </w:r>
    </w:p>
    <w:p>
      <w:pPr>
        <w:pStyle w:val="NormalWeb"/>
        <w:tabs>
          <w:tab w:val="left" w:pos="284"/>
        </w:tabs>
        <w:spacing w:before="0" w:beforeAutospacing="0" w:after="0" w:afterAutospacing="0"/>
        <w:ind w:firstLine="567"/>
        <w:jc w:val="both"/>
        <w:rPr>
          <w:rFonts w:asciiTheme="majorHAnsi" w:hAnsiTheme="majorHAnsi" w:cstheme="majorHAnsi"/>
          <w:color w:val="000000"/>
        </w:rPr>
      </w:pPr>
      <w:r>
        <w:rPr>
          <w:rFonts w:asciiTheme="majorHAnsi" w:hAnsiTheme="majorHAnsi" w:cstheme="majorHAnsi"/>
          <w:color w:val="000000"/>
        </w:rPr>
        <w:t>• Utilizar materiais e componentes compatíveis com os equipamentos, de forma a aumentar sua vida útil e reduzir a geração de resíduos decorrentes de substituições prematuras;</w:t>
      </w:r>
    </w:p>
    <w:p>
      <w:pPr>
        <w:pStyle w:val="NormalWeb"/>
        <w:tabs>
          <w:tab w:val="left" w:pos="284"/>
        </w:tabs>
        <w:spacing w:before="0" w:beforeAutospacing="0" w:after="0" w:afterAutospacing="0"/>
        <w:ind w:firstLine="567"/>
        <w:jc w:val="both"/>
        <w:rPr>
          <w:rFonts w:asciiTheme="majorHAnsi" w:hAnsiTheme="majorHAnsi" w:cstheme="majorHAnsi"/>
          <w:color w:val="000000"/>
        </w:rPr>
      </w:pPr>
      <w:r>
        <w:rPr>
          <w:rFonts w:asciiTheme="majorHAnsi" w:hAnsiTheme="majorHAnsi" w:cstheme="majorHAnsi"/>
          <w:color w:val="000000"/>
        </w:rPr>
        <w:t>• Observar as normas ambientais aplicáveis ao transporte, armazenamento e descarte dos resíduos gerados durante a execução contratual.</w:t>
      </w:r>
    </w:p>
    <w:p>
      <w:pPr>
        <w:pStyle w:val="NormalWeb"/>
        <w:tabs>
          <w:tab w:val="left" w:pos="284"/>
        </w:tabs>
        <w:spacing w:before="0" w:beforeAutospacing="0" w:after="0" w:afterAutospacing="0"/>
        <w:ind w:firstLine="567"/>
        <w:jc w:val="both"/>
        <w:rPr>
          <w:rFonts w:asciiTheme="majorHAnsi" w:hAnsiTheme="majorHAnsi" w:cstheme="majorHAnsi"/>
          <w:color w:val="000000"/>
        </w:rPr>
      </w:pPr>
      <w:r>
        <w:rPr>
          <w:rFonts w:asciiTheme="majorHAnsi" w:hAnsiTheme="majorHAnsi" w:cstheme="majorHAnsi"/>
          <w:color w:val="000000"/>
        </w:rPr>
        <w:t>A adoção dessas medidas contribuirá para a redução dos impactos ambientais associados à prestação dos serviços, promovendo o uso racional dos recursos, a correta destinação dos resíduos e o atendimento às boas práticas de sustentabilidade na Administração Pública.</w:t>
      </w:r>
    </w:p>
    <w:p>
      <w:pPr>
        <w:pStyle w:val="NormalWeb"/>
        <w:tabs>
          <w:tab w:val="left" w:pos="284"/>
        </w:tabs>
        <w:spacing w:before="0" w:beforeAutospacing="0" w:after="0" w:afterAutospacing="0"/>
        <w:ind w:firstLine="567"/>
        <w:jc w:val="both"/>
        <w:rPr>
          <w:rFonts w:asciiTheme="majorHAnsi" w:hAnsiTheme="majorHAnsi" w:cstheme="majorHAnsi"/>
          <w:color w:val="000000"/>
        </w:rPr>
      </w:pPr>
    </w:p>
    <w:p>
      <w:pPr>
        <w:pStyle w:val="NormalWeb"/>
        <w:numPr>
          <w:ilvl w:val="0"/>
          <w:numId w:val="41"/>
        </w:numPr>
        <w:tabs>
          <w:tab w:val="left" w:pos="284"/>
          <w:tab w:val="left" w:pos="426"/>
        </w:tabs>
        <w:spacing w:before="0" w:beforeAutospacing="0" w:after="0" w:afterAutospacing="0" w:line="276" w:lineRule="auto"/>
        <w:ind w:left="0" w:firstLine="0"/>
        <w:jc w:val="both"/>
        <w:rPr>
          <w:rFonts w:asciiTheme="majorHAnsi" w:hAnsiTheme="majorHAnsi" w:cstheme="majorHAnsi"/>
          <w:b/>
          <w:bCs/>
          <w:color w:val="000000"/>
        </w:rPr>
      </w:pPr>
      <w:r>
        <w:rPr>
          <w:rFonts w:asciiTheme="majorHAnsi" w:hAnsiTheme="majorHAnsi" w:cstheme="majorHAnsi"/>
          <w:b/>
          <w:bCs/>
          <w:color w:val="000000"/>
        </w:rPr>
        <w:t>POSICIONAMENTO CONCLUSIVO SOBRE A ADEQUAÇÃO DA CONTRATAÇÃO PARA O ATENDIMENTO DA NECESSIDADE A QUE SE DESTINA (ART.18º, §1º, INCISO XIII DA LEI FEDERAL N.º 14.133, DE 1º DE ABRIL DE 2021)</w:t>
      </w:r>
    </w:p>
    <w:p>
      <w:pPr>
        <w:ind w:firstLine="720"/>
        <w:jc w:val="both"/>
        <w:rPr>
          <w:rFonts w:asciiTheme="majorHAnsi" w:eastAsia="Times New Roman" w:hAnsiTheme="majorHAnsi"/>
          <w:sz w:val="24"/>
          <w:szCs w:val="24"/>
        </w:rPr>
      </w:pPr>
      <w:bookmarkStart w:id="88" w:name="art18§2"/>
      <w:bookmarkEnd w:id="88"/>
      <w:r>
        <w:rPr>
          <w:rFonts w:asciiTheme="majorHAnsi" w:eastAsia="Times New Roman" w:hAnsiTheme="majorHAnsi"/>
          <w:sz w:val="24"/>
          <w:szCs w:val="24"/>
        </w:rPr>
        <w:t>Após a análise da necessidade administrativa, das alternativas disponíveis no mercado e dos requisitos técnicos e operacionais demandados pela Secretaria de Educação do Município de Miraíma/CE, conclui-se que a contratação de empresa especializada para prestação de serviços de recarga de suprimentos de impressão, manutenção preventiva e corretiva de impressoras, incluindo o fornecimento e substituição de peças e demais serviços correlatos, mostra-se adequada, necessária e vantajosa para o atendimento do interesse público.</w:t>
      </w:r>
    </w:p>
    <w:p>
      <w:pPr>
        <w:ind w:firstLine="720"/>
        <w:jc w:val="both"/>
        <w:rPr>
          <w:rFonts w:asciiTheme="majorHAnsi" w:eastAsia="Times New Roman" w:hAnsiTheme="majorHAnsi"/>
          <w:sz w:val="24"/>
          <w:szCs w:val="24"/>
        </w:rPr>
      </w:pPr>
      <w:r>
        <w:rPr>
          <w:rFonts w:asciiTheme="majorHAnsi" w:eastAsia="Times New Roman" w:hAnsiTheme="majorHAnsi"/>
          <w:sz w:val="24"/>
          <w:szCs w:val="24"/>
        </w:rPr>
        <w:t>A solução proposta atende de forma eficiente às necessidades das unidades administrativas e escolares vinculadas à Secretaria de Educação, assegurando a continuidade dos serviços de impressão indispensáveis ao desenvolvimento das atividades pedagógicas, administrativas e de gestão educacional.</w:t>
      </w:r>
    </w:p>
    <w:p>
      <w:pPr>
        <w:ind w:firstLine="720"/>
        <w:jc w:val="both"/>
        <w:rPr>
          <w:rFonts w:asciiTheme="majorHAnsi" w:eastAsia="Times New Roman" w:hAnsiTheme="majorHAnsi"/>
          <w:sz w:val="24"/>
          <w:szCs w:val="24"/>
        </w:rPr>
      </w:pPr>
      <w:r>
        <w:rPr>
          <w:rFonts w:asciiTheme="majorHAnsi" w:eastAsia="Times New Roman" w:hAnsiTheme="majorHAnsi"/>
          <w:sz w:val="24"/>
          <w:szCs w:val="24"/>
        </w:rPr>
        <w:t xml:space="preserve">Dessa forma, considerando os benefícios esperados, a compatibilidade da solução com as necessidades identificadas e a observância dos princípios da eficiência, economicidade, continuidade do serviço público e interesse público, conclui-se pela viabilidade e adequação da </w:t>
      </w:r>
      <w:r>
        <w:rPr>
          <w:rFonts w:asciiTheme="majorHAnsi" w:eastAsia="Times New Roman" w:hAnsiTheme="majorHAnsi"/>
          <w:sz w:val="24"/>
          <w:szCs w:val="24"/>
        </w:rPr>
        <w:lastRenderedPageBreak/>
        <w:t>contratação pretendida, recomendando-se o prosseguimento do processo licitatório para a formalização da contratação, nos termos da legislação vigente.</w:t>
      </w:r>
    </w:p>
    <w:p>
      <w:pPr>
        <w:tabs>
          <w:tab w:val="left" w:pos="284"/>
        </w:tabs>
        <w:jc w:val="center"/>
        <w:rPr>
          <w:rFonts w:asciiTheme="majorHAnsi" w:hAnsiTheme="majorHAnsi" w:cstheme="majorHAnsi"/>
          <w:b/>
          <w:bCs/>
          <w:sz w:val="24"/>
          <w:szCs w:val="24"/>
        </w:rPr>
      </w:pPr>
    </w:p>
    <w:p>
      <w:pPr>
        <w:pStyle w:val="Ttulo1"/>
        <w:numPr>
          <w:ilvl w:val="0"/>
          <w:numId w:val="0"/>
        </w:numPr>
        <w:shd w:val="clear" w:color="auto" w:fill="F2F2F2"/>
        <w:jc w:val="center"/>
        <w:rPr>
          <w:rFonts w:ascii="Cambria" w:hAnsi="Cambria" w:cstheme="minorHAnsi"/>
          <w:sz w:val="24"/>
          <w:szCs w:val="24"/>
        </w:rPr>
      </w:pPr>
      <w:bookmarkStart w:id="89" w:name="_Toc161741815"/>
      <w:bookmarkStart w:id="90" w:name="_Toc164093674"/>
      <w:r>
        <w:rPr>
          <w:rFonts w:ascii="Cambria" w:hAnsi="Cambria" w:cstheme="minorHAnsi"/>
          <w:sz w:val="24"/>
          <w:szCs w:val="24"/>
        </w:rPr>
        <w:t>ANEXO II - MODELO DA PROPOSTA DE PREÇOS</w:t>
      </w:r>
      <w:bookmarkEnd w:id="89"/>
      <w:bookmarkEnd w:id="90"/>
    </w:p>
    <w:p>
      <w:pPr>
        <w:ind w:right="283"/>
        <w:jc w:val="both"/>
        <w:rPr>
          <w:rFonts w:ascii="Cambria" w:hAnsi="Cambria" w:cstheme="minorHAnsi"/>
          <w:sz w:val="24"/>
          <w:szCs w:val="24"/>
        </w:rPr>
      </w:pPr>
    </w:p>
    <w:p>
      <w:pPr>
        <w:spacing w:line="276" w:lineRule="auto"/>
        <w:ind w:right="283"/>
        <w:jc w:val="both"/>
        <w:rPr>
          <w:rFonts w:ascii="Cambria" w:hAnsi="Cambria" w:cstheme="minorHAnsi"/>
          <w:sz w:val="24"/>
          <w:szCs w:val="24"/>
        </w:rPr>
      </w:pPr>
      <w:r>
        <w:rPr>
          <w:rFonts w:ascii="Cambria" w:hAnsi="Cambria" w:cstheme="minorHAnsi"/>
          <w:sz w:val="24"/>
          <w:szCs w:val="24"/>
        </w:rPr>
        <w:t>A(O) PREGOEIRO(A) DA PREFEITURA MUNICIPAL DE [MUNICÍPIO].</w:t>
      </w:r>
    </w:p>
    <w:p>
      <w:pPr>
        <w:spacing w:line="276" w:lineRule="auto"/>
        <w:ind w:left="142" w:right="283" w:firstLine="1134"/>
        <w:jc w:val="both"/>
        <w:rPr>
          <w:rFonts w:ascii="Cambria" w:hAnsi="Cambria" w:cstheme="minorHAnsi"/>
          <w:b/>
          <w:sz w:val="24"/>
          <w:szCs w:val="24"/>
        </w:rPr>
      </w:pPr>
    </w:p>
    <w:p>
      <w:pPr>
        <w:spacing w:line="276" w:lineRule="auto"/>
        <w:jc w:val="both"/>
        <w:rPr>
          <w:rFonts w:ascii="Cambria" w:hAnsi="Cambria" w:cstheme="minorHAnsi"/>
          <w:b/>
          <w:bCs/>
          <w:sz w:val="24"/>
          <w:szCs w:val="24"/>
        </w:rPr>
      </w:pPr>
      <w:r>
        <w:rPr>
          <w:rFonts w:ascii="Cambria" w:hAnsi="Cambria" w:cstheme="minorHAnsi"/>
          <w:sz w:val="24"/>
          <w:szCs w:val="24"/>
        </w:rPr>
        <w:t>Processo: PREGÃO ELETRÔNICO Nº [</w:t>
      </w:r>
      <w:r>
        <w:rPr>
          <w:rFonts w:ascii="Cambria" w:hAnsi="Cambria" w:cstheme="minorHAnsi"/>
          <w:b/>
          <w:sz w:val="24"/>
          <w:szCs w:val="24"/>
        </w:rPr>
        <w:t>NÚMERO DO PREGÃO</w:t>
      </w:r>
      <w:r>
        <w:rPr>
          <w:rFonts w:ascii="Cambria" w:hAnsi="Cambria" w:cstheme="minorHAnsi"/>
          <w:sz w:val="24"/>
          <w:szCs w:val="24"/>
        </w:rPr>
        <w:t>]</w:t>
      </w:r>
    </w:p>
    <w:p>
      <w:pPr>
        <w:spacing w:line="276" w:lineRule="auto"/>
        <w:jc w:val="both"/>
        <w:rPr>
          <w:rFonts w:ascii="Cambria" w:hAnsi="Cambria" w:cstheme="minorHAnsi"/>
          <w:sz w:val="24"/>
          <w:szCs w:val="24"/>
        </w:rPr>
      </w:pPr>
      <w:r>
        <w:rPr>
          <w:rFonts w:ascii="Cambria" w:hAnsi="Cambria" w:cstheme="minorHAnsi"/>
          <w:sz w:val="24"/>
          <w:szCs w:val="24"/>
        </w:rPr>
        <w:t>Data e Hora de Abertura: ___________________ às ________ horas</w:t>
      </w:r>
    </w:p>
    <w:p>
      <w:pPr>
        <w:spacing w:line="276" w:lineRule="auto"/>
        <w:jc w:val="both"/>
        <w:rPr>
          <w:rFonts w:ascii="Cambria" w:hAnsi="Cambria" w:cstheme="minorHAnsi"/>
          <w:sz w:val="24"/>
          <w:szCs w:val="24"/>
        </w:rPr>
      </w:pPr>
      <w:r>
        <w:rPr>
          <w:rFonts w:ascii="Cambria" w:hAnsi="Cambria" w:cstheme="minorHAnsi"/>
          <w:sz w:val="24"/>
          <w:szCs w:val="24"/>
        </w:rPr>
        <w:t>Razão Social: ____ CNPJ: ___________</w:t>
      </w:r>
    </w:p>
    <w:p>
      <w:pPr>
        <w:spacing w:line="276" w:lineRule="auto"/>
        <w:jc w:val="both"/>
        <w:rPr>
          <w:rFonts w:ascii="Cambria" w:hAnsi="Cambria" w:cstheme="minorHAnsi"/>
          <w:sz w:val="24"/>
          <w:szCs w:val="24"/>
        </w:rPr>
      </w:pPr>
      <w:r>
        <w:rPr>
          <w:rFonts w:ascii="Cambria" w:hAnsi="Cambria" w:cstheme="minorHAnsi"/>
          <w:sz w:val="24"/>
          <w:szCs w:val="24"/>
        </w:rPr>
        <w:t>Endereço: ______ CEP: ___</w:t>
      </w:r>
    </w:p>
    <w:p>
      <w:pPr>
        <w:spacing w:line="276" w:lineRule="auto"/>
        <w:jc w:val="both"/>
        <w:rPr>
          <w:rFonts w:ascii="Cambria" w:hAnsi="Cambria" w:cstheme="minorHAnsi"/>
          <w:sz w:val="24"/>
          <w:szCs w:val="24"/>
        </w:rPr>
      </w:pPr>
      <w:r>
        <w:rPr>
          <w:rFonts w:ascii="Cambria" w:hAnsi="Cambria" w:cstheme="minorHAnsi"/>
          <w:sz w:val="24"/>
          <w:szCs w:val="24"/>
        </w:rPr>
        <w:t>Fone: _____ Fax: ________</w:t>
      </w:r>
    </w:p>
    <w:p>
      <w:pPr>
        <w:spacing w:line="276" w:lineRule="auto"/>
        <w:jc w:val="both"/>
        <w:rPr>
          <w:rFonts w:ascii="Cambria" w:hAnsi="Cambria" w:cstheme="minorHAnsi"/>
          <w:sz w:val="24"/>
          <w:szCs w:val="24"/>
        </w:rPr>
      </w:pPr>
      <w:r>
        <w:rPr>
          <w:rFonts w:ascii="Cambria" w:hAnsi="Cambria" w:cstheme="minorHAnsi"/>
          <w:sz w:val="24"/>
          <w:szCs w:val="24"/>
        </w:rPr>
        <w:t>Banco: ____ Agência N.º: _______ Conta Corrente n.º: ___</w:t>
      </w:r>
    </w:p>
    <w:p>
      <w:pPr>
        <w:spacing w:line="276" w:lineRule="auto"/>
        <w:jc w:val="both"/>
        <w:rPr>
          <w:rFonts w:ascii="Cambria" w:hAnsi="Cambria" w:cstheme="minorHAnsi"/>
          <w:b/>
          <w:sz w:val="24"/>
          <w:szCs w:val="24"/>
        </w:rPr>
      </w:pPr>
      <w:r>
        <w:rPr>
          <w:rFonts w:ascii="Cambria" w:hAnsi="Cambria" w:cstheme="minorHAnsi"/>
          <w:b/>
          <w:sz w:val="24"/>
          <w:szCs w:val="24"/>
        </w:rPr>
        <w:t>E-mail:________________________________________</w:t>
      </w:r>
    </w:p>
    <w:p>
      <w:pPr>
        <w:spacing w:line="276" w:lineRule="auto"/>
        <w:jc w:val="both"/>
        <w:rPr>
          <w:rFonts w:ascii="Cambria" w:hAnsi="Cambria" w:cstheme="minorHAnsi"/>
          <w:b/>
          <w:sz w:val="24"/>
          <w:szCs w:val="24"/>
        </w:rPr>
      </w:pPr>
    </w:p>
    <w:p>
      <w:pPr>
        <w:spacing w:line="276" w:lineRule="auto"/>
        <w:jc w:val="both"/>
        <w:rPr>
          <w:rFonts w:ascii="Cambria" w:hAnsi="Cambria" w:cstheme="minorHAnsi"/>
          <w:b/>
          <w:sz w:val="24"/>
          <w:szCs w:val="24"/>
        </w:rPr>
      </w:pPr>
      <w:r>
        <w:rPr>
          <w:rFonts w:ascii="Cambria" w:hAnsi="Cambria" w:cstheme="minorHAnsi"/>
          <w:b/>
          <w:sz w:val="24"/>
          <w:szCs w:val="24"/>
        </w:rPr>
        <w:t xml:space="preserve">OBJETO: </w:t>
      </w:r>
      <w:r>
        <w:rPr>
          <w:rFonts w:ascii="Cambria" w:hAnsi="Cambria" w:cstheme="minorHAnsi"/>
          <w:sz w:val="24"/>
          <w:szCs w:val="24"/>
        </w:rPr>
        <w:t>&lt;OBJETO&gt;.</w:t>
      </w:r>
    </w:p>
    <w:p>
      <w:pPr>
        <w:spacing w:line="276" w:lineRule="auto"/>
        <w:jc w:val="both"/>
        <w:rPr>
          <w:rFonts w:ascii="Cambria" w:hAnsi="Cambria" w:cstheme="minorHAnsi"/>
          <w:b/>
          <w:sz w:val="24"/>
          <w:szCs w:val="24"/>
        </w:rPr>
      </w:pPr>
    </w:p>
    <w:tbl>
      <w:tblPr>
        <w:tblW w:w="9776" w:type="dxa"/>
        <w:jc w:val="center"/>
        <w:tblCellMar>
          <w:left w:w="70" w:type="dxa"/>
          <w:right w:w="70" w:type="dxa"/>
        </w:tblCellMar>
        <w:tblLook w:val="04A0" w:firstRow="1" w:lastRow="0" w:firstColumn="1" w:lastColumn="0" w:noHBand="0" w:noVBand="1"/>
      </w:tblPr>
      <w:tblGrid>
        <w:gridCol w:w="782"/>
        <w:gridCol w:w="4175"/>
        <w:gridCol w:w="811"/>
        <w:gridCol w:w="1007"/>
        <w:gridCol w:w="1364"/>
        <w:gridCol w:w="1637"/>
      </w:tblGrid>
      <w:tr>
        <w:trPr>
          <w:trHeight w:val="109"/>
          <w:jc w:val="center"/>
        </w:trPr>
        <w:tc>
          <w:tcPr>
            <w:tcW w:w="7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spacing w:line="276" w:lineRule="auto"/>
              <w:jc w:val="center"/>
              <w:rPr>
                <w:rFonts w:ascii="Cambria" w:hAnsi="Cambria" w:cstheme="minorHAnsi"/>
                <w:b/>
                <w:bCs/>
                <w:sz w:val="24"/>
                <w:szCs w:val="24"/>
              </w:rPr>
            </w:pPr>
            <w:r>
              <w:rPr>
                <w:rFonts w:ascii="Cambria" w:hAnsi="Cambria" w:cstheme="minorHAnsi"/>
                <w:b/>
                <w:bCs/>
                <w:sz w:val="24"/>
                <w:szCs w:val="24"/>
              </w:rPr>
              <w:t>ITEM</w:t>
            </w:r>
          </w:p>
        </w:tc>
        <w:tc>
          <w:tcPr>
            <w:tcW w:w="417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pPr>
              <w:spacing w:line="276" w:lineRule="auto"/>
              <w:jc w:val="center"/>
              <w:rPr>
                <w:rFonts w:ascii="Cambria" w:hAnsi="Cambria" w:cstheme="minorHAnsi"/>
                <w:b/>
                <w:bCs/>
                <w:sz w:val="24"/>
                <w:szCs w:val="24"/>
              </w:rPr>
            </w:pPr>
            <w:r>
              <w:rPr>
                <w:rFonts w:ascii="Cambria" w:hAnsi="Cambria" w:cstheme="minorHAnsi"/>
                <w:b/>
                <w:sz w:val="24"/>
                <w:szCs w:val="24"/>
              </w:rPr>
              <w:t>ESPECIFICAÇÕES</w:t>
            </w:r>
          </w:p>
        </w:tc>
        <w:tc>
          <w:tcPr>
            <w:tcW w:w="81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pPr>
              <w:spacing w:line="276" w:lineRule="auto"/>
              <w:jc w:val="center"/>
              <w:rPr>
                <w:rFonts w:ascii="Cambria" w:hAnsi="Cambria" w:cstheme="minorHAnsi"/>
                <w:b/>
                <w:bCs/>
                <w:sz w:val="24"/>
                <w:szCs w:val="24"/>
              </w:rPr>
            </w:pPr>
            <w:r>
              <w:rPr>
                <w:rFonts w:ascii="Cambria" w:hAnsi="Cambria" w:cstheme="minorHAnsi"/>
                <w:b/>
                <w:bCs/>
                <w:sz w:val="24"/>
                <w:szCs w:val="24"/>
              </w:rPr>
              <w:t>UNID</w:t>
            </w:r>
          </w:p>
        </w:tc>
        <w:tc>
          <w:tcPr>
            <w:tcW w:w="100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pPr>
              <w:spacing w:line="276" w:lineRule="auto"/>
              <w:jc w:val="center"/>
              <w:rPr>
                <w:rFonts w:ascii="Cambria" w:hAnsi="Cambria" w:cstheme="minorHAnsi"/>
                <w:b/>
                <w:bCs/>
                <w:sz w:val="24"/>
                <w:szCs w:val="24"/>
              </w:rPr>
            </w:pPr>
            <w:r>
              <w:rPr>
                <w:rFonts w:ascii="Cambria" w:hAnsi="Cambria" w:cstheme="minorHAnsi"/>
                <w:b/>
                <w:bCs/>
                <w:sz w:val="24"/>
                <w:szCs w:val="24"/>
              </w:rPr>
              <w:t>QUANT</w:t>
            </w:r>
          </w:p>
        </w:tc>
        <w:tc>
          <w:tcPr>
            <w:tcW w:w="136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pPr>
              <w:spacing w:line="276" w:lineRule="auto"/>
              <w:jc w:val="center"/>
              <w:rPr>
                <w:rFonts w:ascii="Cambria" w:hAnsi="Cambria" w:cstheme="minorHAnsi"/>
                <w:b/>
                <w:bCs/>
                <w:sz w:val="24"/>
                <w:szCs w:val="24"/>
              </w:rPr>
            </w:pPr>
            <w:r>
              <w:rPr>
                <w:rFonts w:ascii="Cambria" w:hAnsi="Cambria" w:cstheme="minorHAnsi"/>
                <w:b/>
                <w:bCs/>
                <w:sz w:val="24"/>
                <w:szCs w:val="24"/>
              </w:rPr>
              <w:t>VLR UNIT</w:t>
            </w:r>
          </w:p>
        </w:tc>
        <w:tc>
          <w:tcPr>
            <w:tcW w:w="1637" w:type="dxa"/>
            <w:tcBorders>
              <w:top w:val="single" w:sz="4" w:space="0" w:color="auto"/>
              <w:left w:val="nil"/>
              <w:bottom w:val="single" w:sz="4" w:space="0" w:color="auto"/>
              <w:right w:val="single" w:sz="4" w:space="0" w:color="auto"/>
            </w:tcBorders>
            <w:shd w:val="clear" w:color="auto" w:fill="D9D9D9" w:themeFill="background1" w:themeFillShade="D9"/>
            <w:hideMark/>
          </w:tcPr>
          <w:p>
            <w:pPr>
              <w:spacing w:line="276" w:lineRule="auto"/>
              <w:jc w:val="center"/>
              <w:rPr>
                <w:rFonts w:ascii="Cambria" w:hAnsi="Cambria" w:cstheme="minorHAnsi"/>
                <w:b/>
                <w:bCs/>
                <w:sz w:val="24"/>
                <w:szCs w:val="24"/>
              </w:rPr>
            </w:pPr>
            <w:r>
              <w:rPr>
                <w:rFonts w:ascii="Cambria" w:hAnsi="Cambria" w:cstheme="minorHAnsi"/>
                <w:b/>
                <w:bCs/>
                <w:sz w:val="24"/>
                <w:szCs w:val="24"/>
              </w:rPr>
              <w:t>VLR TOTAL</w:t>
            </w:r>
          </w:p>
        </w:tc>
      </w:tr>
      <w:tr>
        <w:trPr>
          <w:trHeight w:val="300"/>
          <w:jc w:val="center"/>
        </w:trPr>
        <w:tc>
          <w:tcPr>
            <w:tcW w:w="782"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rFonts w:ascii="Cambria" w:hAnsi="Cambria" w:cstheme="minorHAnsi"/>
                <w:bCs/>
                <w:sz w:val="24"/>
                <w:szCs w:val="24"/>
              </w:rPr>
            </w:pPr>
            <w:r>
              <w:rPr>
                <w:rFonts w:ascii="Cambria" w:hAnsi="Cambria" w:cstheme="minorHAnsi"/>
                <w:bCs/>
                <w:sz w:val="24"/>
                <w:szCs w:val="24"/>
              </w:rPr>
              <w:t>01</w:t>
            </w:r>
          </w:p>
        </w:tc>
        <w:tc>
          <w:tcPr>
            <w:tcW w:w="4175" w:type="dxa"/>
            <w:tcBorders>
              <w:top w:val="single" w:sz="4" w:space="0" w:color="auto"/>
              <w:left w:val="nil"/>
              <w:bottom w:val="single" w:sz="4" w:space="0" w:color="auto"/>
              <w:right w:val="single" w:sz="4" w:space="0" w:color="auto"/>
            </w:tcBorders>
            <w:vAlign w:val="center"/>
            <w:hideMark/>
          </w:tcPr>
          <w:p>
            <w:pPr>
              <w:spacing w:line="276" w:lineRule="auto"/>
              <w:jc w:val="both"/>
              <w:rPr>
                <w:rFonts w:ascii="Cambria" w:hAnsi="Cambria" w:cstheme="minorHAnsi"/>
                <w:bCs/>
                <w:sz w:val="24"/>
                <w:szCs w:val="24"/>
              </w:rPr>
            </w:pPr>
          </w:p>
        </w:tc>
        <w:tc>
          <w:tcPr>
            <w:tcW w:w="811" w:type="dxa"/>
            <w:tcBorders>
              <w:top w:val="single" w:sz="4" w:space="0" w:color="auto"/>
              <w:left w:val="nil"/>
              <w:bottom w:val="single" w:sz="4" w:space="0" w:color="auto"/>
              <w:right w:val="single" w:sz="4" w:space="0" w:color="auto"/>
            </w:tcBorders>
            <w:vAlign w:val="center"/>
            <w:hideMark/>
          </w:tcPr>
          <w:p>
            <w:pPr>
              <w:spacing w:line="276" w:lineRule="auto"/>
              <w:jc w:val="center"/>
              <w:rPr>
                <w:rFonts w:ascii="Cambria" w:hAnsi="Cambria" w:cstheme="minorHAnsi"/>
                <w:bCs/>
                <w:sz w:val="24"/>
                <w:szCs w:val="24"/>
              </w:rPr>
            </w:pPr>
            <w:r>
              <w:rPr>
                <w:rFonts w:ascii="Cambria" w:hAnsi="Cambria" w:cstheme="minorHAnsi"/>
                <w:bCs/>
                <w:sz w:val="24"/>
                <w:szCs w:val="24"/>
              </w:rPr>
              <w:t>CHP</w:t>
            </w:r>
          </w:p>
        </w:tc>
        <w:tc>
          <w:tcPr>
            <w:tcW w:w="1007" w:type="dxa"/>
            <w:tcBorders>
              <w:top w:val="single" w:sz="4" w:space="0" w:color="auto"/>
              <w:left w:val="nil"/>
              <w:bottom w:val="single" w:sz="4" w:space="0" w:color="auto"/>
              <w:right w:val="single" w:sz="4" w:space="0" w:color="auto"/>
            </w:tcBorders>
            <w:vAlign w:val="center"/>
            <w:hideMark/>
          </w:tcPr>
          <w:p>
            <w:pPr>
              <w:spacing w:line="276" w:lineRule="auto"/>
              <w:jc w:val="center"/>
              <w:rPr>
                <w:rFonts w:ascii="Cambria" w:hAnsi="Cambria" w:cstheme="minorHAnsi"/>
                <w:bCs/>
                <w:sz w:val="24"/>
                <w:szCs w:val="24"/>
              </w:rPr>
            </w:pPr>
            <w:r>
              <w:rPr>
                <w:rFonts w:ascii="Cambria" w:hAnsi="Cambria" w:cstheme="minorHAnsi"/>
                <w:bCs/>
                <w:sz w:val="24"/>
                <w:szCs w:val="24"/>
              </w:rPr>
              <w:t>500</w:t>
            </w:r>
          </w:p>
        </w:tc>
        <w:tc>
          <w:tcPr>
            <w:tcW w:w="1364" w:type="dxa"/>
            <w:tcBorders>
              <w:top w:val="single" w:sz="4" w:space="0" w:color="auto"/>
              <w:left w:val="nil"/>
              <w:bottom w:val="single" w:sz="4" w:space="0" w:color="auto"/>
              <w:right w:val="single" w:sz="4" w:space="0" w:color="auto"/>
            </w:tcBorders>
            <w:vAlign w:val="center"/>
            <w:hideMark/>
          </w:tcPr>
          <w:p>
            <w:pPr>
              <w:spacing w:line="276" w:lineRule="auto"/>
              <w:jc w:val="center"/>
              <w:rPr>
                <w:rFonts w:ascii="Cambria" w:hAnsi="Cambria" w:cstheme="minorHAnsi"/>
                <w:bCs/>
                <w:sz w:val="24"/>
                <w:szCs w:val="24"/>
              </w:rPr>
            </w:pPr>
          </w:p>
        </w:tc>
        <w:tc>
          <w:tcPr>
            <w:tcW w:w="1637" w:type="dxa"/>
            <w:tcBorders>
              <w:top w:val="single" w:sz="4" w:space="0" w:color="auto"/>
              <w:left w:val="nil"/>
              <w:bottom w:val="single" w:sz="4" w:space="0" w:color="auto"/>
              <w:right w:val="single" w:sz="4" w:space="0" w:color="auto"/>
            </w:tcBorders>
            <w:vAlign w:val="center"/>
            <w:hideMark/>
          </w:tcPr>
          <w:p>
            <w:pPr>
              <w:spacing w:line="276" w:lineRule="auto"/>
              <w:jc w:val="center"/>
              <w:rPr>
                <w:rFonts w:ascii="Cambria" w:hAnsi="Cambria" w:cstheme="minorHAnsi"/>
                <w:bCs/>
                <w:sz w:val="24"/>
                <w:szCs w:val="24"/>
              </w:rPr>
            </w:pPr>
          </w:p>
        </w:tc>
      </w:tr>
      <w:tr>
        <w:trPr>
          <w:trHeight w:val="300"/>
          <w:jc w:val="center"/>
        </w:trPr>
        <w:tc>
          <w:tcPr>
            <w:tcW w:w="9776" w:type="dxa"/>
            <w:gridSpan w:val="6"/>
            <w:tcBorders>
              <w:top w:val="single" w:sz="4" w:space="0" w:color="auto"/>
              <w:left w:val="single" w:sz="4" w:space="0" w:color="auto"/>
              <w:bottom w:val="single" w:sz="4" w:space="0" w:color="auto"/>
              <w:right w:val="single" w:sz="4" w:space="0" w:color="auto"/>
            </w:tcBorders>
            <w:vAlign w:val="center"/>
            <w:hideMark/>
          </w:tcPr>
          <w:p>
            <w:pPr>
              <w:spacing w:line="276" w:lineRule="auto"/>
              <w:jc w:val="both"/>
              <w:rPr>
                <w:rFonts w:ascii="Cambria" w:hAnsi="Cambria" w:cstheme="minorHAnsi"/>
                <w:b/>
                <w:sz w:val="24"/>
                <w:szCs w:val="24"/>
              </w:rPr>
            </w:pPr>
            <w:r>
              <w:rPr>
                <w:rFonts w:ascii="Cambria" w:hAnsi="Cambria" w:cstheme="minorHAnsi"/>
                <w:b/>
                <w:sz w:val="24"/>
                <w:szCs w:val="24"/>
              </w:rPr>
              <w:t>Valor:</w:t>
            </w:r>
          </w:p>
        </w:tc>
      </w:tr>
    </w:tbl>
    <w:p>
      <w:pPr>
        <w:spacing w:line="276" w:lineRule="auto"/>
        <w:jc w:val="both"/>
        <w:rPr>
          <w:rFonts w:ascii="Cambria" w:hAnsi="Cambria" w:cstheme="minorHAnsi"/>
          <w:b/>
          <w:sz w:val="24"/>
          <w:szCs w:val="24"/>
        </w:rPr>
      </w:pPr>
    </w:p>
    <w:p>
      <w:pPr>
        <w:spacing w:line="276" w:lineRule="auto"/>
        <w:jc w:val="both"/>
        <w:rPr>
          <w:rFonts w:ascii="Cambria" w:hAnsi="Cambria" w:cstheme="minorHAnsi"/>
          <w:sz w:val="24"/>
          <w:szCs w:val="24"/>
        </w:rPr>
      </w:pPr>
      <w:r>
        <w:rPr>
          <w:rFonts w:ascii="Cambria" w:hAnsi="Cambria" w:cstheme="minorHAnsi"/>
          <w:b/>
          <w:sz w:val="24"/>
          <w:szCs w:val="24"/>
        </w:rPr>
        <w:t xml:space="preserve">VALOR DO LOTE: </w:t>
      </w:r>
      <w:r>
        <w:rPr>
          <w:rFonts w:ascii="Cambria" w:hAnsi="Cambria" w:cstheme="minorHAnsi"/>
          <w:sz w:val="24"/>
          <w:szCs w:val="24"/>
        </w:rPr>
        <w:t>R$ .......................</w:t>
      </w:r>
    </w:p>
    <w:p>
      <w:pPr>
        <w:spacing w:line="276" w:lineRule="auto"/>
        <w:rPr>
          <w:rFonts w:ascii="Cambria" w:hAnsi="Cambria" w:cstheme="minorHAnsi"/>
          <w:sz w:val="24"/>
          <w:szCs w:val="24"/>
        </w:rPr>
      </w:pPr>
      <w:r>
        <w:rPr>
          <w:rFonts w:ascii="Cambria" w:hAnsi="Cambria" w:cstheme="minorHAnsi"/>
          <w:b/>
          <w:sz w:val="24"/>
          <w:szCs w:val="24"/>
        </w:rPr>
        <w:t xml:space="preserve">VALIDADE DA PROPOSTA: </w:t>
      </w:r>
      <w:r>
        <w:rPr>
          <w:rFonts w:ascii="Cambria" w:hAnsi="Cambria" w:cstheme="minorHAnsi"/>
          <w:sz w:val="24"/>
          <w:szCs w:val="24"/>
        </w:rPr>
        <w:t>60 (sessenta) dias.</w:t>
      </w:r>
    </w:p>
    <w:p>
      <w:pPr>
        <w:spacing w:line="276" w:lineRule="auto"/>
        <w:jc w:val="both"/>
        <w:rPr>
          <w:rFonts w:ascii="Cambria" w:hAnsi="Cambria" w:cstheme="minorHAnsi"/>
          <w:sz w:val="24"/>
          <w:szCs w:val="24"/>
        </w:rPr>
      </w:pPr>
    </w:p>
    <w:p>
      <w:pPr>
        <w:tabs>
          <w:tab w:val="left" w:pos="3726"/>
        </w:tabs>
        <w:spacing w:line="276" w:lineRule="auto"/>
        <w:rPr>
          <w:rFonts w:ascii="Cambria" w:hAnsi="Cambria" w:cstheme="minorHAnsi"/>
          <w:b/>
          <w:sz w:val="24"/>
          <w:szCs w:val="24"/>
        </w:rPr>
      </w:pPr>
      <w:r>
        <w:rPr>
          <w:rFonts w:ascii="Cambria" w:hAnsi="Cambria" w:cstheme="minorHAnsi"/>
          <w:b/>
          <w:sz w:val="24"/>
          <w:szCs w:val="24"/>
        </w:rPr>
        <w:t>Observações:</w:t>
      </w:r>
    </w:p>
    <w:p>
      <w:pPr>
        <w:pStyle w:val="Cabealho"/>
        <w:numPr>
          <w:ilvl w:val="0"/>
          <w:numId w:val="42"/>
        </w:numPr>
        <w:spacing w:line="276" w:lineRule="auto"/>
        <w:jc w:val="both"/>
        <w:rPr>
          <w:rFonts w:ascii="Cambria" w:hAnsi="Cambria" w:cstheme="minorHAnsi"/>
          <w:szCs w:val="24"/>
        </w:rPr>
      </w:pPr>
      <w:r>
        <w:rPr>
          <w:rFonts w:ascii="Cambria" w:hAnsi="Cambria" w:cstheme="minorHAnsi"/>
          <w:szCs w:val="24"/>
        </w:rPr>
        <w:t>O proponente declara que tem o pleno conhecimento, aceitação e cumprirá todas as obrigações contidas no anexo 01 –Termo de Referência deste edital.</w:t>
      </w:r>
    </w:p>
    <w:p>
      <w:pPr>
        <w:pStyle w:val="Cabealho"/>
        <w:numPr>
          <w:ilvl w:val="0"/>
          <w:numId w:val="42"/>
        </w:numPr>
        <w:spacing w:line="276" w:lineRule="auto"/>
        <w:jc w:val="both"/>
        <w:rPr>
          <w:rFonts w:ascii="Cambria" w:hAnsi="Cambria" w:cstheme="minorHAnsi"/>
          <w:szCs w:val="24"/>
        </w:rPr>
      </w:pPr>
      <w:r>
        <w:rPr>
          <w:rFonts w:ascii="Cambria" w:hAnsi="Cambria" w:cstheme="minorHAnsi"/>
          <w:szCs w:val="24"/>
        </w:rPr>
        <w:t>Independente de declaração expressa, fica subentendida que no valor proposto estão incluídas todas as despesas necessárias ao fornecimento, inclusive as relacionadas com:</w:t>
      </w:r>
    </w:p>
    <w:p>
      <w:pPr>
        <w:spacing w:line="276" w:lineRule="auto"/>
        <w:ind w:left="284"/>
        <w:jc w:val="both"/>
        <w:rPr>
          <w:rFonts w:ascii="Cambria" w:hAnsi="Cambria" w:cstheme="minorHAnsi"/>
          <w:sz w:val="24"/>
          <w:szCs w:val="24"/>
        </w:rPr>
      </w:pPr>
      <w:r>
        <w:rPr>
          <w:rFonts w:ascii="Cambria" w:hAnsi="Cambria" w:cstheme="minorHAnsi"/>
          <w:sz w:val="24"/>
          <w:szCs w:val="24"/>
        </w:rPr>
        <w:t>- Encargos sociais, trabalhistas, previdenciários e outros;</w:t>
      </w:r>
    </w:p>
    <w:p>
      <w:pPr>
        <w:spacing w:line="276" w:lineRule="auto"/>
        <w:ind w:left="284"/>
        <w:jc w:val="both"/>
        <w:rPr>
          <w:rFonts w:ascii="Cambria" w:hAnsi="Cambria" w:cstheme="minorHAnsi"/>
          <w:sz w:val="24"/>
          <w:szCs w:val="24"/>
        </w:rPr>
      </w:pPr>
      <w:r>
        <w:rPr>
          <w:rFonts w:ascii="Cambria" w:hAnsi="Cambria" w:cstheme="minorHAnsi"/>
          <w:sz w:val="24"/>
          <w:szCs w:val="24"/>
        </w:rPr>
        <w:t>- tributos, taxas E tarifas, emolumentos, licenças, alvarás, multas e/ou qualquer infrações;</w:t>
      </w:r>
    </w:p>
    <w:p>
      <w:pPr>
        <w:spacing w:line="276" w:lineRule="auto"/>
        <w:ind w:left="284"/>
        <w:jc w:val="both"/>
        <w:rPr>
          <w:rFonts w:ascii="Cambria" w:hAnsi="Cambria" w:cstheme="minorHAnsi"/>
          <w:sz w:val="24"/>
          <w:szCs w:val="24"/>
        </w:rPr>
      </w:pPr>
      <w:r>
        <w:rPr>
          <w:rFonts w:ascii="Cambria" w:hAnsi="Cambria" w:cstheme="minorHAnsi"/>
          <w:sz w:val="24"/>
          <w:szCs w:val="24"/>
        </w:rPr>
        <w:t>- seguros em geral, da infortunística e de responsabilidade civil para quaisquer danos e prejuízos causados à Contratante e/ou a terceiros, gerados direta ou indiretamente pelo fornecimento.</w:t>
      </w:r>
    </w:p>
    <w:p>
      <w:pPr>
        <w:spacing w:line="276" w:lineRule="auto"/>
        <w:jc w:val="center"/>
        <w:rPr>
          <w:rFonts w:ascii="Cambria" w:hAnsi="Cambria" w:cstheme="minorHAnsi"/>
          <w:b/>
          <w:sz w:val="24"/>
          <w:szCs w:val="24"/>
        </w:rPr>
      </w:pPr>
    </w:p>
    <w:p>
      <w:pPr>
        <w:jc w:val="center"/>
        <w:rPr>
          <w:rFonts w:ascii="Cambria" w:hAnsi="Cambria" w:cstheme="minorHAnsi"/>
          <w:b/>
          <w:sz w:val="24"/>
          <w:szCs w:val="24"/>
        </w:rPr>
      </w:pPr>
      <w:r>
        <w:rPr>
          <w:rFonts w:ascii="Cambria" w:hAnsi="Cambria" w:cstheme="minorHAnsi"/>
          <w:b/>
          <w:sz w:val="24"/>
          <w:szCs w:val="24"/>
        </w:rPr>
        <w:t>Local/Data: ...................., ........... de ............................ de ......................</w:t>
      </w:r>
    </w:p>
    <w:p>
      <w:pPr>
        <w:tabs>
          <w:tab w:val="left" w:pos="1427"/>
        </w:tabs>
        <w:rPr>
          <w:rFonts w:ascii="Cambria" w:hAnsi="Cambria" w:cstheme="minorHAnsi"/>
          <w:sz w:val="24"/>
          <w:szCs w:val="24"/>
        </w:rPr>
      </w:pPr>
      <w:r>
        <w:rPr>
          <w:rFonts w:ascii="Cambria" w:hAnsi="Cambria" w:cstheme="minorHAnsi"/>
          <w:b/>
          <w:sz w:val="24"/>
          <w:szCs w:val="24"/>
        </w:rPr>
        <w:tab/>
      </w:r>
      <w:r>
        <w:rPr>
          <w:rFonts w:ascii="Cambria" w:hAnsi="Cambria" w:cstheme="minorHAnsi"/>
          <w:sz w:val="24"/>
          <w:szCs w:val="24"/>
        </w:rPr>
        <w:tab/>
      </w:r>
      <w:r>
        <w:rPr>
          <w:rFonts w:ascii="Cambria" w:hAnsi="Cambria" w:cstheme="minorHAnsi"/>
          <w:sz w:val="24"/>
          <w:szCs w:val="24"/>
        </w:rPr>
        <w:tab/>
      </w:r>
    </w:p>
    <w:p>
      <w:pPr>
        <w:pStyle w:val="Cabealho"/>
        <w:tabs>
          <w:tab w:val="left" w:pos="708"/>
        </w:tabs>
        <w:jc w:val="center"/>
        <w:rPr>
          <w:rFonts w:ascii="Cambria" w:hAnsi="Cambria" w:cstheme="minorHAnsi"/>
          <w:b/>
          <w:bCs/>
          <w:szCs w:val="24"/>
        </w:rPr>
      </w:pPr>
      <w:r>
        <w:rPr>
          <w:rFonts w:ascii="Cambria" w:hAnsi="Cambria" w:cstheme="minorHAnsi"/>
          <w:b/>
          <w:bCs/>
          <w:szCs w:val="24"/>
        </w:rPr>
        <w:t>Assinatura Proponente</w:t>
      </w:r>
    </w:p>
    <w:p>
      <w:pPr>
        <w:pStyle w:val="Cabealho"/>
        <w:tabs>
          <w:tab w:val="left" w:pos="708"/>
        </w:tabs>
        <w:jc w:val="center"/>
        <w:rPr>
          <w:rFonts w:ascii="Cambria" w:hAnsi="Cambria" w:cstheme="minorHAnsi"/>
          <w:b/>
          <w:bCs/>
          <w:szCs w:val="24"/>
        </w:rPr>
      </w:pPr>
      <w:r>
        <w:rPr>
          <w:rFonts w:ascii="Cambria" w:hAnsi="Cambria" w:cstheme="minorHAnsi"/>
          <w:b/>
          <w:bCs/>
          <w:szCs w:val="24"/>
        </w:rPr>
        <w:t>Carimbo da empresa/Assinatura do responsável legal</w:t>
      </w:r>
    </w:p>
    <w:p>
      <w:pPr>
        <w:pStyle w:val="Cabealho"/>
        <w:tabs>
          <w:tab w:val="left" w:pos="708"/>
        </w:tabs>
        <w:jc w:val="center"/>
        <w:rPr>
          <w:rFonts w:ascii="Cambria" w:hAnsi="Cambria" w:cstheme="minorHAnsi"/>
          <w:b/>
          <w:bCs/>
          <w:szCs w:val="24"/>
        </w:rPr>
        <w:sectPr>
          <w:headerReference w:type="default" r:id="rId76"/>
          <w:footerReference w:type="default" r:id="rId77"/>
          <w:pgSz w:w="11907" w:h="16840" w:code="9"/>
          <w:pgMar w:top="2410" w:right="1080" w:bottom="1560" w:left="1080" w:header="284" w:footer="0" w:gutter="0"/>
          <w:cols w:space="708"/>
          <w:docGrid w:linePitch="360"/>
        </w:sectPr>
      </w:pPr>
    </w:p>
    <w:p>
      <w:pPr>
        <w:pStyle w:val="Cabealho"/>
        <w:tabs>
          <w:tab w:val="left" w:pos="708"/>
        </w:tabs>
        <w:jc w:val="center"/>
        <w:rPr>
          <w:rFonts w:ascii="Cambria" w:hAnsi="Cambria" w:cstheme="minorHAnsi"/>
          <w:b/>
          <w:bCs/>
          <w:szCs w:val="24"/>
        </w:rPr>
      </w:pPr>
    </w:p>
    <w:p>
      <w:pPr>
        <w:pStyle w:val="Ttulo1"/>
        <w:numPr>
          <w:ilvl w:val="0"/>
          <w:numId w:val="0"/>
        </w:numPr>
        <w:shd w:val="clear" w:color="auto" w:fill="F2F2F2"/>
        <w:autoSpaceDE w:val="0"/>
        <w:autoSpaceDN w:val="0"/>
        <w:adjustRightInd w:val="0"/>
        <w:jc w:val="center"/>
        <w:rPr>
          <w:rFonts w:ascii="Cambria" w:hAnsi="Cambria" w:cstheme="minorHAnsi"/>
          <w:sz w:val="24"/>
          <w:szCs w:val="24"/>
        </w:rPr>
      </w:pPr>
      <w:bookmarkStart w:id="93" w:name="_Toc161741816"/>
      <w:bookmarkStart w:id="94" w:name="_Toc164093675"/>
      <w:r>
        <w:rPr>
          <w:rFonts w:ascii="Cambria" w:hAnsi="Cambria" w:cstheme="minorHAnsi"/>
          <w:sz w:val="24"/>
          <w:szCs w:val="24"/>
        </w:rPr>
        <w:t>ANEXO III - MINUTA DO CONTRATO</w:t>
      </w:r>
      <w:bookmarkEnd w:id="93"/>
      <w:bookmarkEnd w:id="94"/>
    </w:p>
    <w:p>
      <w:pPr>
        <w:pStyle w:val="Ttulo"/>
        <w:rPr>
          <w:rFonts w:ascii="Cambria" w:hAnsi="Cambria" w:cstheme="minorHAnsi"/>
          <w:color w:val="auto"/>
          <w:sz w:val="24"/>
          <w:szCs w:val="24"/>
        </w:rPr>
      </w:pPr>
    </w:p>
    <w:p>
      <w:pPr>
        <w:pStyle w:val="Ttulo"/>
        <w:rPr>
          <w:rFonts w:ascii="Cambria" w:hAnsi="Cambria" w:cstheme="minorHAnsi"/>
          <w:color w:val="auto"/>
          <w:sz w:val="24"/>
          <w:szCs w:val="24"/>
        </w:rPr>
      </w:pPr>
      <w:r>
        <w:rPr>
          <w:rFonts w:ascii="Cambria" w:hAnsi="Cambria" w:cstheme="minorHAnsi"/>
          <w:color w:val="auto"/>
          <w:sz w:val="24"/>
          <w:szCs w:val="24"/>
        </w:rPr>
        <w:t>MINUTA DO CONTRATO</w:t>
      </w:r>
    </w:p>
    <w:p>
      <w:pPr>
        <w:autoSpaceDE w:val="0"/>
        <w:autoSpaceDN w:val="0"/>
        <w:adjustRightInd w:val="0"/>
        <w:jc w:val="both"/>
        <w:rPr>
          <w:rFonts w:ascii="Cambria" w:hAnsi="Cambria" w:cstheme="minorHAnsi"/>
          <w:sz w:val="24"/>
          <w:szCs w:val="24"/>
        </w:rPr>
      </w:pPr>
    </w:p>
    <w:p>
      <w:pPr>
        <w:autoSpaceDE w:val="0"/>
        <w:autoSpaceDN w:val="0"/>
        <w:adjustRightInd w:val="0"/>
        <w:jc w:val="both"/>
        <w:rPr>
          <w:rFonts w:ascii="Cambria" w:hAnsi="Cambria" w:cstheme="minorHAnsi"/>
          <w:b/>
          <w:sz w:val="24"/>
          <w:szCs w:val="24"/>
        </w:rPr>
      </w:pPr>
      <w:r>
        <w:rPr>
          <w:rFonts w:ascii="Cambria" w:hAnsi="Cambria" w:cstheme="minorHAnsi"/>
          <w:b/>
          <w:sz w:val="24"/>
          <w:szCs w:val="24"/>
        </w:rPr>
        <w:t>CONTRATO Nº _____________</w:t>
      </w:r>
    </w:p>
    <w:p>
      <w:pPr>
        <w:rPr>
          <w:rFonts w:ascii="Cambria" w:hAnsi="Cambria" w:cstheme="minorHAnsi"/>
          <w:b/>
          <w:sz w:val="24"/>
          <w:szCs w:val="24"/>
        </w:rPr>
      </w:pPr>
      <w:r>
        <w:rPr>
          <w:rFonts w:ascii="Cambria" w:hAnsi="Cambria" w:cstheme="minorHAnsi"/>
          <w:b/>
          <w:sz w:val="24"/>
          <w:szCs w:val="24"/>
        </w:rPr>
        <w:t xml:space="preserve">PREGÃO ELETRÔNICO Nº </w:t>
      </w:r>
      <w:r>
        <w:rPr>
          <w:rFonts w:ascii="Cambria" w:hAnsi="Cambria" w:cstheme="minorHAnsi"/>
          <w:b/>
          <w:bCs/>
          <w:sz w:val="24"/>
          <w:szCs w:val="24"/>
        </w:rPr>
        <w:t>____.__.__.__</w:t>
      </w:r>
    </w:p>
    <w:p>
      <w:pPr>
        <w:jc w:val="both"/>
        <w:rPr>
          <w:rFonts w:ascii="Cambria" w:hAnsi="Cambria" w:cstheme="minorHAnsi"/>
          <w:sz w:val="24"/>
          <w:szCs w:val="24"/>
        </w:rPr>
      </w:pPr>
    </w:p>
    <w:p>
      <w:pPr>
        <w:autoSpaceDE w:val="0"/>
        <w:ind w:left="5103"/>
        <w:jc w:val="both"/>
        <w:rPr>
          <w:rFonts w:ascii="Cambria" w:hAnsi="Cambria" w:cstheme="minorHAnsi"/>
          <w:sz w:val="24"/>
          <w:szCs w:val="24"/>
        </w:rPr>
      </w:pPr>
      <w:r>
        <w:rPr>
          <w:rFonts w:ascii="Cambria" w:hAnsi="Cambria" w:cstheme="minorHAnsi"/>
          <w:sz w:val="24"/>
          <w:szCs w:val="24"/>
        </w:rPr>
        <w:t xml:space="preserve">CONTRATO QUE ENTRE SI CELEBRAM, DE UM LADO A </w:t>
      </w:r>
      <w:r>
        <w:rPr>
          <w:rFonts w:ascii="Cambria" w:hAnsi="Cambria" w:cstheme="minorHAnsi"/>
          <w:b/>
          <w:sz w:val="24"/>
          <w:szCs w:val="24"/>
        </w:rPr>
        <w:t>PREFEITURA MUNICIPAL DE MIRAÍMA-CE, ATRAVÉS DA SECRETARIA MUNICIPAL DE _____________________</w:t>
      </w:r>
      <w:r>
        <w:rPr>
          <w:rFonts w:ascii="Cambria" w:hAnsi="Cambria" w:cstheme="minorHAnsi"/>
          <w:sz w:val="24"/>
          <w:szCs w:val="24"/>
        </w:rPr>
        <w:t xml:space="preserve"> E DO OUTRO </w:t>
      </w:r>
      <w:r>
        <w:rPr>
          <w:rFonts w:ascii="Cambria" w:hAnsi="Cambria" w:cstheme="minorHAnsi"/>
          <w:b/>
          <w:sz w:val="24"/>
          <w:szCs w:val="24"/>
        </w:rPr>
        <w:t>A EMPRESA______________</w:t>
      </w:r>
      <w:r>
        <w:rPr>
          <w:rFonts w:ascii="Cambria" w:hAnsi="Cambria" w:cstheme="minorHAnsi"/>
          <w:sz w:val="24"/>
          <w:szCs w:val="24"/>
        </w:rPr>
        <w:t>PARA O FIM QUE NELE SE DECLARA.</w:t>
      </w:r>
    </w:p>
    <w:p>
      <w:pPr>
        <w:autoSpaceDE w:val="0"/>
        <w:ind w:left="5103"/>
        <w:jc w:val="both"/>
        <w:rPr>
          <w:rFonts w:ascii="Cambria" w:hAnsi="Cambria" w:cstheme="minorHAnsi"/>
          <w:sz w:val="24"/>
          <w:szCs w:val="24"/>
        </w:rPr>
      </w:pPr>
    </w:p>
    <w:p>
      <w:pPr>
        <w:tabs>
          <w:tab w:val="left" w:pos="8100"/>
        </w:tabs>
        <w:autoSpaceDE w:val="0"/>
        <w:jc w:val="both"/>
        <w:rPr>
          <w:rFonts w:ascii="Cambria" w:hAnsi="Cambria" w:cstheme="minorHAnsi"/>
          <w:sz w:val="24"/>
          <w:szCs w:val="24"/>
        </w:rPr>
      </w:pPr>
    </w:p>
    <w:p>
      <w:pPr>
        <w:tabs>
          <w:tab w:val="left" w:pos="8100"/>
        </w:tabs>
        <w:autoSpaceDE w:val="0"/>
        <w:jc w:val="both"/>
        <w:rPr>
          <w:rFonts w:ascii="Cambria" w:hAnsi="Cambria" w:cstheme="minorHAnsi"/>
          <w:b/>
          <w:sz w:val="24"/>
          <w:szCs w:val="24"/>
        </w:rPr>
      </w:pPr>
      <w:r>
        <w:rPr>
          <w:rFonts w:ascii="Cambria" w:hAnsi="Cambria" w:cstheme="minorHAnsi"/>
          <w:sz w:val="24"/>
          <w:szCs w:val="24"/>
          <w:lang w:val="pt-PT" w:eastAsia="ar-SA"/>
        </w:rPr>
        <w:t xml:space="preserve">O município de MIRAÍMA/CE, por meio da </w:t>
      </w:r>
      <w:r>
        <w:rPr>
          <w:rFonts w:ascii="Cambria" w:hAnsi="Cambria" w:cstheme="minorHAnsi"/>
          <w:b/>
          <w:spacing w:val="-4"/>
          <w:sz w:val="24"/>
          <w:szCs w:val="24"/>
        </w:rPr>
        <w:t xml:space="preserve">PREFEITURA MUNICIPAL DE </w:t>
      </w:r>
      <w:r>
        <w:rPr>
          <w:rFonts w:ascii="Cambria" w:hAnsi="Cambria" w:cstheme="minorHAnsi"/>
          <w:b/>
          <w:spacing w:val="-2"/>
          <w:sz w:val="24"/>
          <w:szCs w:val="24"/>
        </w:rPr>
        <w:t>MIRAÍMA</w:t>
      </w:r>
      <w:r>
        <w:rPr>
          <w:rFonts w:ascii="Cambria" w:hAnsi="Cambria" w:cstheme="minorHAnsi"/>
          <w:b/>
          <w:spacing w:val="-4"/>
          <w:sz w:val="24"/>
          <w:szCs w:val="24"/>
        </w:rPr>
        <w:t xml:space="preserve">, </w:t>
      </w:r>
      <w:r>
        <w:rPr>
          <w:rFonts w:ascii="Cambria" w:hAnsi="Cambria" w:cstheme="minorHAnsi"/>
          <w:spacing w:val="-4"/>
          <w:sz w:val="24"/>
          <w:szCs w:val="24"/>
        </w:rPr>
        <w:t xml:space="preserve">Estado do Ceará, pessoa jurídica de direito público interno, inscrita no </w:t>
      </w:r>
      <w:r>
        <w:rPr>
          <w:rFonts w:ascii="Cambria" w:hAnsi="Cambria" w:cstheme="minorHAnsi"/>
          <w:sz w:val="24"/>
          <w:szCs w:val="24"/>
        </w:rPr>
        <w:t xml:space="preserve">CNPJ sob o </w:t>
      </w:r>
      <w:r>
        <w:rPr>
          <w:rFonts w:ascii="Cambria" w:hAnsi="Cambria" w:cstheme="minorHAnsi"/>
          <w:spacing w:val="-4"/>
          <w:sz w:val="24"/>
          <w:szCs w:val="24"/>
        </w:rPr>
        <w:t xml:space="preserve">N.º 10.517.563/0001-05, com sede localizada à Esplanada da Estação, 433 – Centro – Miraíma – CE, </w:t>
      </w:r>
      <w:r>
        <w:rPr>
          <w:rFonts w:ascii="Cambria" w:hAnsi="Cambria" w:cstheme="minorHAnsi"/>
          <w:sz w:val="24"/>
          <w:szCs w:val="24"/>
          <w:lang w:val="pt-PT" w:eastAsia="ar-SA"/>
        </w:rPr>
        <w:t xml:space="preserve">através da </w:t>
      </w:r>
      <w:r>
        <w:rPr>
          <w:rFonts w:ascii="Cambria" w:hAnsi="Cambria" w:cstheme="minorHAnsi"/>
          <w:b/>
          <w:caps/>
          <w:sz w:val="24"/>
          <w:szCs w:val="24"/>
          <w:lang w:val="pt-PT" w:eastAsia="ar-SA"/>
        </w:rPr>
        <w:t>SecretAria MUnicipal de ___________</w:t>
      </w:r>
      <w:r>
        <w:rPr>
          <w:rFonts w:ascii="Cambria" w:hAnsi="Cambria" w:cstheme="minorHAnsi"/>
          <w:sz w:val="24"/>
          <w:szCs w:val="24"/>
          <w:lang w:val="pt-PT" w:eastAsia="ar-SA"/>
        </w:rPr>
        <w:t xml:space="preserve">, </w:t>
      </w:r>
      <w:r>
        <w:rPr>
          <w:rFonts w:ascii="Cambria" w:hAnsi="Cambria" w:cstheme="minorHAnsi"/>
          <w:spacing w:val="-4"/>
          <w:sz w:val="24"/>
          <w:szCs w:val="24"/>
        </w:rPr>
        <w:t xml:space="preserve">neste ato representado (a) pelo (a) Sr(a).__________________ , Secretária Municipal de ________________, inscrita no C.P.F. sob o N° </w:t>
      </w:r>
      <w:r>
        <w:rPr>
          <w:rFonts w:ascii="Cambria" w:hAnsi="Cambria" w:cstheme="minorHAnsi"/>
          <w:sz w:val="24"/>
          <w:szCs w:val="24"/>
        </w:rPr>
        <w:t xml:space="preserve">___________ </w:t>
      </w:r>
      <w:r>
        <w:rPr>
          <w:rFonts w:ascii="Cambria" w:hAnsi="Cambria" w:cstheme="minorHAnsi"/>
          <w:spacing w:val="-4"/>
          <w:sz w:val="24"/>
          <w:szCs w:val="24"/>
        </w:rPr>
        <w:t xml:space="preserve">aqui denominado(a) de </w:t>
      </w:r>
      <w:r>
        <w:rPr>
          <w:rFonts w:ascii="Cambria" w:hAnsi="Cambria" w:cstheme="minorHAnsi"/>
          <w:b/>
          <w:spacing w:val="-4"/>
          <w:sz w:val="24"/>
          <w:szCs w:val="24"/>
        </w:rPr>
        <w:t>CONTRATANTE</w:t>
      </w:r>
      <w:r>
        <w:rPr>
          <w:rFonts w:ascii="Cambria" w:hAnsi="Cambria" w:cstheme="minorHAnsi"/>
          <w:spacing w:val="-4"/>
          <w:sz w:val="24"/>
          <w:szCs w:val="24"/>
        </w:rPr>
        <w:t xml:space="preserve">, e de </w:t>
      </w:r>
      <w:r>
        <w:rPr>
          <w:rFonts w:ascii="Cambria" w:hAnsi="Cambria" w:cstheme="minorHAnsi"/>
          <w:sz w:val="24"/>
          <w:szCs w:val="24"/>
          <w:lang w:eastAsia="ar-SA"/>
        </w:rPr>
        <w:t xml:space="preserve">outro lado a Empresa </w:t>
      </w:r>
      <w:r>
        <w:rPr>
          <w:rFonts w:ascii="Cambria" w:hAnsi="Cambria" w:cstheme="minorHAnsi"/>
          <w:sz w:val="24"/>
          <w:szCs w:val="24"/>
        </w:rPr>
        <w:t>______________________</w:t>
      </w:r>
      <w:r>
        <w:rPr>
          <w:rFonts w:ascii="Cambria" w:hAnsi="Cambria" w:cstheme="minorHAnsi"/>
          <w:sz w:val="24"/>
          <w:szCs w:val="24"/>
          <w:lang w:eastAsia="ar-SA"/>
        </w:rPr>
        <w:t xml:space="preserve">, estabelecida na </w:t>
      </w:r>
      <w:r>
        <w:rPr>
          <w:rFonts w:ascii="Cambria" w:hAnsi="Cambria" w:cstheme="minorHAnsi"/>
          <w:sz w:val="24"/>
          <w:szCs w:val="24"/>
        </w:rPr>
        <w:t>_________________</w:t>
      </w:r>
      <w:r>
        <w:rPr>
          <w:rFonts w:ascii="Cambria" w:hAnsi="Cambria" w:cstheme="minorHAnsi"/>
          <w:sz w:val="24"/>
          <w:szCs w:val="24"/>
          <w:lang w:eastAsia="ar-SA"/>
        </w:rPr>
        <w:t xml:space="preserve">, inscrita no CNPJ/MF sob o n.º </w:t>
      </w:r>
      <w:r>
        <w:rPr>
          <w:rFonts w:ascii="Cambria" w:hAnsi="Cambria" w:cstheme="minorHAnsi"/>
          <w:sz w:val="24"/>
          <w:szCs w:val="24"/>
        </w:rPr>
        <w:t>_________________________</w:t>
      </w:r>
      <w:r>
        <w:rPr>
          <w:rFonts w:ascii="Cambria" w:hAnsi="Cambria" w:cstheme="minorHAnsi"/>
          <w:sz w:val="24"/>
          <w:szCs w:val="24"/>
          <w:lang w:eastAsia="ar-SA"/>
        </w:rPr>
        <w:t>, neste ato representada pelo (a) Sr(a).</w:t>
      </w:r>
      <w:r>
        <w:rPr>
          <w:rFonts w:ascii="Cambria" w:hAnsi="Cambria" w:cstheme="minorHAnsi"/>
          <w:sz w:val="24"/>
          <w:szCs w:val="24"/>
        </w:rPr>
        <w:t xml:space="preserve"> ______________________</w:t>
      </w:r>
      <w:r>
        <w:rPr>
          <w:rFonts w:ascii="Cambria" w:hAnsi="Cambria" w:cstheme="minorHAnsi"/>
          <w:spacing w:val="-4"/>
          <w:sz w:val="24"/>
          <w:szCs w:val="24"/>
        </w:rPr>
        <w:t xml:space="preserve">, portador (a) do CPF nº </w:t>
      </w:r>
      <w:r>
        <w:rPr>
          <w:rFonts w:ascii="Cambria" w:hAnsi="Cambria" w:cstheme="minorHAnsi"/>
          <w:sz w:val="24"/>
          <w:szCs w:val="24"/>
        </w:rPr>
        <w:t>_____________</w:t>
      </w:r>
      <w:r>
        <w:rPr>
          <w:rFonts w:ascii="Cambria" w:hAnsi="Cambria" w:cstheme="minorHAnsi"/>
          <w:spacing w:val="-4"/>
          <w:sz w:val="24"/>
          <w:szCs w:val="24"/>
        </w:rPr>
        <w:t xml:space="preserve">, apenas denominada de </w:t>
      </w:r>
      <w:r>
        <w:rPr>
          <w:rFonts w:ascii="Cambria" w:hAnsi="Cambria" w:cstheme="minorHAnsi"/>
          <w:b/>
          <w:spacing w:val="-4"/>
          <w:sz w:val="24"/>
          <w:szCs w:val="24"/>
        </w:rPr>
        <w:t>CONTRATADA</w:t>
      </w:r>
      <w:r>
        <w:rPr>
          <w:rFonts w:ascii="Cambria" w:hAnsi="Cambria" w:cstheme="minorHAnsi"/>
          <w:spacing w:val="-4"/>
          <w:sz w:val="24"/>
          <w:szCs w:val="24"/>
        </w:rPr>
        <w:t>, firmam entre si o presente TERMO DE CONTRATO mediante as cláusulas e condições a seguir estabelecidas:</w:t>
      </w:r>
    </w:p>
    <w:p>
      <w:pPr>
        <w:jc w:val="both"/>
        <w:rPr>
          <w:rFonts w:ascii="Cambria" w:hAnsi="Cambria" w:cstheme="minorHAnsi"/>
          <w:b/>
          <w:sz w:val="24"/>
          <w:szCs w:val="24"/>
        </w:rPr>
      </w:pPr>
    </w:p>
    <w:p>
      <w:pPr>
        <w:jc w:val="both"/>
        <w:rPr>
          <w:rFonts w:ascii="Cambria" w:hAnsi="Cambria" w:cstheme="minorHAnsi"/>
          <w:b/>
          <w:sz w:val="24"/>
          <w:szCs w:val="24"/>
        </w:rPr>
      </w:pPr>
      <w:r>
        <w:rPr>
          <w:rFonts w:ascii="Cambria" w:hAnsi="Cambria" w:cstheme="minorHAnsi"/>
          <w:b/>
          <w:sz w:val="24"/>
          <w:szCs w:val="24"/>
        </w:rPr>
        <w:t>CLÁUSULA PRIMEIRA - DO FUNDAMENTO LEGAL</w:t>
      </w:r>
    </w:p>
    <w:p>
      <w:pPr>
        <w:jc w:val="both"/>
        <w:rPr>
          <w:rFonts w:ascii="Cambria" w:hAnsi="Cambria" w:cstheme="minorHAnsi"/>
          <w:sz w:val="24"/>
          <w:szCs w:val="24"/>
        </w:rPr>
      </w:pPr>
      <w:r>
        <w:rPr>
          <w:rFonts w:ascii="Cambria" w:hAnsi="Cambria" w:cstheme="minorHAnsi"/>
          <w:b/>
          <w:sz w:val="24"/>
          <w:szCs w:val="24"/>
        </w:rPr>
        <w:t>1.1.</w:t>
      </w:r>
      <w:r>
        <w:rPr>
          <w:rFonts w:ascii="Cambria" w:hAnsi="Cambria" w:cstheme="minorHAnsi"/>
          <w:sz w:val="24"/>
          <w:szCs w:val="24"/>
        </w:rPr>
        <w:t xml:space="preserve"> Processo de Licitação, na modalidade Pregão Eletrônico tombado sob o nº </w:t>
      </w:r>
      <w:r>
        <w:rPr>
          <w:rFonts w:ascii="Cambria" w:hAnsi="Cambria" w:cstheme="minorHAnsi"/>
          <w:b/>
          <w:bCs/>
          <w:sz w:val="24"/>
          <w:szCs w:val="24"/>
        </w:rPr>
        <w:t xml:space="preserve">____.__.__.__ </w:t>
      </w:r>
      <w:r>
        <w:rPr>
          <w:rFonts w:ascii="Cambria" w:hAnsi="Cambria" w:cstheme="minorHAnsi"/>
          <w:sz w:val="24"/>
          <w:szCs w:val="24"/>
        </w:rPr>
        <w:t>em conformidade com a Lei Federal Nº 14.133/2021 de 1º de abril de 2021 - Lei das Licitações Públicas, c/c os termos da Lei Federal nº 14.133/2021.</w:t>
      </w:r>
    </w:p>
    <w:p>
      <w:pPr>
        <w:jc w:val="both"/>
        <w:rPr>
          <w:rFonts w:ascii="Cambria" w:hAnsi="Cambria" w:cstheme="minorHAnsi"/>
          <w:sz w:val="24"/>
          <w:szCs w:val="24"/>
        </w:rPr>
      </w:pPr>
    </w:p>
    <w:p>
      <w:pPr>
        <w:jc w:val="both"/>
        <w:rPr>
          <w:rFonts w:ascii="Cambria" w:hAnsi="Cambria" w:cstheme="minorHAnsi"/>
          <w:b/>
          <w:sz w:val="24"/>
          <w:szCs w:val="24"/>
        </w:rPr>
      </w:pPr>
      <w:r>
        <w:rPr>
          <w:rFonts w:ascii="Cambria" w:hAnsi="Cambria" w:cstheme="minorHAnsi"/>
          <w:b/>
          <w:sz w:val="24"/>
          <w:szCs w:val="24"/>
        </w:rPr>
        <w:t>CLÁUSULA SEGUNDA - DO OBJETO</w:t>
      </w:r>
    </w:p>
    <w:p>
      <w:pPr>
        <w:shd w:val="clear" w:color="auto" w:fill="FFFFFF"/>
        <w:tabs>
          <w:tab w:val="left" w:pos="284"/>
        </w:tabs>
        <w:spacing w:after="200"/>
        <w:jc w:val="both"/>
        <w:rPr>
          <w:rFonts w:ascii="Cambria" w:hAnsi="Cambria" w:cstheme="minorHAnsi"/>
          <w:sz w:val="24"/>
          <w:szCs w:val="24"/>
        </w:rPr>
      </w:pPr>
      <w:r>
        <w:rPr>
          <w:rFonts w:ascii="Cambria" w:hAnsi="Cambria" w:cstheme="minorHAnsi"/>
          <w:b/>
          <w:sz w:val="24"/>
          <w:szCs w:val="24"/>
        </w:rPr>
        <w:t>2.1.</w:t>
      </w:r>
      <w:r>
        <w:rPr>
          <w:rFonts w:ascii="Cambria" w:hAnsi="Cambria" w:cstheme="minorHAnsi"/>
          <w:sz w:val="24"/>
          <w:szCs w:val="24"/>
        </w:rPr>
        <w:t xml:space="preserve"> Constitui objeto do presente o </w:t>
      </w:r>
      <w:r>
        <w:rPr>
          <w:rFonts w:ascii="Cambria" w:hAnsi="Cambria" w:cstheme="minorHAnsi"/>
          <w:b/>
          <w:sz w:val="24"/>
          <w:szCs w:val="24"/>
        </w:rPr>
        <w:t>&lt;OBJETO&gt;</w:t>
      </w:r>
      <w:r>
        <w:rPr>
          <w:rFonts w:ascii="Cambria" w:hAnsi="Cambria" w:cstheme="minorHAnsi"/>
          <w:sz w:val="24"/>
          <w:szCs w:val="24"/>
        </w:rPr>
        <w:t>, tudo conforme especificações contidas no Projeto Básico/Termo de Referência, constante do ANEXO 01 do Edital.</w:t>
      </w:r>
    </w:p>
    <w:p>
      <w:pPr>
        <w:ind w:right="-5"/>
        <w:jc w:val="both"/>
        <w:rPr>
          <w:rFonts w:ascii="Cambria" w:hAnsi="Cambria" w:cstheme="minorHAnsi"/>
          <w:b/>
          <w:sz w:val="24"/>
          <w:szCs w:val="24"/>
        </w:rPr>
      </w:pPr>
      <w:r>
        <w:rPr>
          <w:rFonts w:ascii="Cambria" w:hAnsi="Cambria" w:cstheme="minorHAnsi"/>
          <w:b/>
          <w:sz w:val="24"/>
          <w:szCs w:val="24"/>
        </w:rPr>
        <w:t>CLÁUSULA TERCEIRA - DO VALOR, DO REAJUSTE E DO REEQUILÍBRIO ECONÔMICO-FINANCEIRO</w:t>
      </w:r>
    </w:p>
    <w:p>
      <w:pPr>
        <w:ind w:right="-5"/>
        <w:jc w:val="both"/>
        <w:rPr>
          <w:rFonts w:ascii="Cambria" w:hAnsi="Cambria" w:cstheme="minorHAnsi"/>
          <w:sz w:val="24"/>
          <w:szCs w:val="24"/>
        </w:rPr>
      </w:pPr>
      <w:r>
        <w:rPr>
          <w:rFonts w:ascii="Cambria" w:hAnsi="Cambria" w:cstheme="minorHAnsi"/>
          <w:b/>
          <w:sz w:val="24"/>
          <w:szCs w:val="24"/>
        </w:rPr>
        <w:t>3.1.</w:t>
      </w:r>
      <w:r>
        <w:rPr>
          <w:rFonts w:ascii="Cambria" w:hAnsi="Cambria" w:cstheme="minorHAnsi"/>
          <w:sz w:val="24"/>
          <w:szCs w:val="24"/>
        </w:rPr>
        <w:t xml:space="preserve"> O valor global da presente avença é de R$ ____ (___), a ser pago na proporção da entrega dos serviços licitados, segundo as ordens de compras/autorizações de fornecimento expedidas pela Administração, de conformidade com as notas fiscais/faturas devidamente atestadas pelo Gestor da despesa, acompanhadas das Certidões Federal, Estadual, Municipal, FGTS e CNDT do proponente vencedor, todas atualizadas, observadas as condições da proposta.</w:t>
      </w:r>
    </w:p>
    <w:p>
      <w:pPr>
        <w:jc w:val="both"/>
        <w:rPr>
          <w:rFonts w:ascii="Cambria" w:hAnsi="Cambria" w:cstheme="minorHAnsi"/>
          <w:sz w:val="24"/>
          <w:szCs w:val="24"/>
        </w:rPr>
      </w:pPr>
      <w:r>
        <w:rPr>
          <w:rFonts w:ascii="Cambria" w:hAnsi="Cambria" w:cstheme="minorHAnsi"/>
          <w:b/>
          <w:sz w:val="24"/>
          <w:szCs w:val="24"/>
        </w:rPr>
        <w:t>3.2.</w:t>
      </w:r>
      <w:r>
        <w:rPr>
          <w:rFonts w:ascii="Cambria" w:hAnsi="Cambria" w:cstheme="minorHAnsi"/>
          <w:sz w:val="24"/>
          <w:szCs w:val="24"/>
        </w:rPr>
        <w:t xml:space="preserve"> O valor do presente Contrato não será objeto de reajuste, antes de decorridos 12 (doze) meses da contratação, hipótese na qual poderá ser utilizado o índice IGP-M da Fundação Getúlio Vargas.</w:t>
      </w:r>
    </w:p>
    <w:p>
      <w:pPr>
        <w:jc w:val="both"/>
        <w:rPr>
          <w:rFonts w:ascii="Cambria" w:hAnsi="Cambria" w:cstheme="minorHAnsi"/>
          <w:sz w:val="24"/>
          <w:szCs w:val="24"/>
        </w:rPr>
      </w:pPr>
      <w:r>
        <w:rPr>
          <w:rFonts w:ascii="Cambria" w:hAnsi="Cambria" w:cstheme="minorHAnsi"/>
          <w:b/>
          <w:sz w:val="24"/>
          <w:szCs w:val="24"/>
        </w:rPr>
        <w:lastRenderedPageBreak/>
        <w:t>3.3.</w:t>
      </w:r>
      <w:r>
        <w:rPr>
          <w:rFonts w:ascii="Cambria" w:hAnsi="Cambria" w:cstheme="minorHAnsi"/>
          <w:sz w:val="24"/>
          <w:szCs w:val="24"/>
        </w:rPr>
        <w:t xml:space="preserve"> O pagamento será efetuado em até 30 (trinta) dias, após adimplemento da obrigação e encaminhamento da documentação tratada no subitem 3.1, observadas as disposições editalícias, através de crédito na Conta Bancária do fornecedor ou através de cheque nominal.</w:t>
      </w:r>
    </w:p>
    <w:p>
      <w:pPr>
        <w:jc w:val="both"/>
        <w:rPr>
          <w:rFonts w:ascii="Cambria" w:hAnsi="Cambria" w:cstheme="minorHAnsi"/>
          <w:sz w:val="24"/>
          <w:szCs w:val="24"/>
        </w:rPr>
      </w:pPr>
      <w:r>
        <w:rPr>
          <w:rFonts w:ascii="Cambria" w:hAnsi="Cambria" w:cstheme="minorHAnsi"/>
          <w:b/>
          <w:sz w:val="24"/>
          <w:szCs w:val="24"/>
        </w:rPr>
        <w:t>3.4.</w:t>
      </w:r>
      <w:r>
        <w:rPr>
          <w:rFonts w:ascii="Cambria" w:hAnsi="Cambria" w:cstheme="minorHAnsi"/>
          <w:sz w:val="24"/>
          <w:szCs w:val="24"/>
        </w:rPr>
        <w:t xml:space="preserve"> Por ocasião da entrega dos serviços, o contratado deverá apresentar recibo em 02 (duas) vias e a respectiva Nota Fiscal. A Fatura e Nota Fiscal deverá ser emitida em nome da Secretaria de *****, com endereço na ************************** CNPJ/MF sob o nº **********************.</w:t>
      </w:r>
    </w:p>
    <w:p>
      <w:pPr>
        <w:jc w:val="both"/>
        <w:rPr>
          <w:rFonts w:ascii="Cambria" w:hAnsi="Cambria" w:cstheme="minorHAnsi"/>
          <w:b/>
          <w:sz w:val="24"/>
          <w:szCs w:val="24"/>
        </w:rPr>
      </w:pPr>
    </w:p>
    <w:p>
      <w:pPr>
        <w:jc w:val="both"/>
        <w:rPr>
          <w:rFonts w:ascii="Cambria" w:hAnsi="Cambria" w:cstheme="minorHAnsi"/>
          <w:b/>
          <w:sz w:val="24"/>
          <w:szCs w:val="24"/>
        </w:rPr>
      </w:pPr>
      <w:r>
        <w:rPr>
          <w:rFonts w:ascii="Cambria" w:hAnsi="Cambria" w:cstheme="minorHAnsi"/>
          <w:b/>
          <w:sz w:val="24"/>
          <w:szCs w:val="24"/>
        </w:rPr>
        <w:t>CLÁUSULA QUARTA – DO PRAZO DE VIGÊNCIA</w:t>
      </w:r>
    </w:p>
    <w:p>
      <w:pPr>
        <w:jc w:val="both"/>
        <w:rPr>
          <w:rFonts w:ascii="Cambria" w:hAnsi="Cambria" w:cstheme="minorHAnsi"/>
          <w:sz w:val="24"/>
          <w:szCs w:val="24"/>
        </w:rPr>
      </w:pPr>
      <w:r>
        <w:rPr>
          <w:rFonts w:ascii="Cambria" w:hAnsi="Cambria" w:cstheme="minorHAnsi"/>
          <w:b/>
          <w:sz w:val="24"/>
          <w:szCs w:val="24"/>
        </w:rPr>
        <w:t>4.1.</w:t>
      </w:r>
      <w:r>
        <w:rPr>
          <w:rFonts w:ascii="Cambria" w:hAnsi="Cambria" w:cstheme="minorHAnsi"/>
          <w:sz w:val="24"/>
          <w:szCs w:val="24"/>
        </w:rPr>
        <w:t xml:space="preserve"> O presente Instrumento produzirá seus jurídicos e legais efeitos a partir da data de sua assinatura e vigerá até ___ de _______ do ano firmado, podendo ter a sua duração prorrogada na forma do artigo 114 da lei 14.133/2021 de 1º de abril de 2021.</w:t>
      </w:r>
    </w:p>
    <w:p>
      <w:pPr>
        <w:jc w:val="both"/>
        <w:rPr>
          <w:rFonts w:ascii="Cambria" w:hAnsi="Cambria" w:cstheme="minorHAnsi"/>
          <w:sz w:val="24"/>
          <w:szCs w:val="24"/>
        </w:rPr>
      </w:pPr>
    </w:p>
    <w:p>
      <w:pPr>
        <w:jc w:val="both"/>
        <w:rPr>
          <w:rFonts w:ascii="Cambria" w:hAnsi="Cambria" w:cstheme="minorHAnsi"/>
          <w:b/>
          <w:sz w:val="24"/>
          <w:szCs w:val="24"/>
        </w:rPr>
      </w:pPr>
      <w:r>
        <w:rPr>
          <w:rFonts w:ascii="Cambria" w:hAnsi="Cambria" w:cstheme="minorHAnsi"/>
          <w:b/>
          <w:sz w:val="24"/>
          <w:szCs w:val="24"/>
        </w:rPr>
        <w:t>CLÁUSULA QUINTA - DA ORIGEM DOS RECURSOS</w:t>
      </w:r>
    </w:p>
    <w:p>
      <w:pPr>
        <w:jc w:val="both"/>
        <w:rPr>
          <w:rFonts w:ascii="Cambria" w:hAnsi="Cambria" w:cstheme="minorHAnsi"/>
          <w:bCs/>
          <w:sz w:val="24"/>
          <w:szCs w:val="24"/>
        </w:rPr>
      </w:pPr>
      <w:r>
        <w:rPr>
          <w:rFonts w:ascii="Cambria" w:hAnsi="Cambria" w:cstheme="minorHAnsi"/>
          <w:b/>
          <w:sz w:val="24"/>
          <w:szCs w:val="24"/>
        </w:rPr>
        <w:t>5.1.</w:t>
      </w:r>
      <w:r>
        <w:rPr>
          <w:rFonts w:ascii="Cambria" w:hAnsi="Cambria" w:cstheme="minorHAnsi"/>
          <w:sz w:val="24"/>
          <w:szCs w:val="24"/>
        </w:rPr>
        <w:t xml:space="preserve"> As despesas decorrentes desta contratação correrão à conta de recursos específicos consignados no respectivo Orçamento Municipal, inerentes a</w:t>
      </w:r>
      <w:r>
        <w:rPr>
          <w:rFonts w:ascii="Cambria" w:hAnsi="Cambria" w:cstheme="minorHAnsi"/>
          <w:b/>
          <w:bCs/>
          <w:sz w:val="24"/>
          <w:szCs w:val="24"/>
        </w:rPr>
        <w:t>: _________________________: DOTAÇÕES ORÇAMENTÁRIAS</w:t>
      </w:r>
      <w:r>
        <w:rPr>
          <w:rFonts w:ascii="Cambria" w:hAnsi="Cambria" w:cstheme="minorHAnsi"/>
          <w:bCs/>
          <w:sz w:val="24"/>
          <w:szCs w:val="24"/>
        </w:rPr>
        <w:t xml:space="preserve"> ____________________________. </w:t>
      </w:r>
      <w:r>
        <w:rPr>
          <w:rFonts w:ascii="Cambria" w:hAnsi="Cambria" w:cstheme="minorHAnsi"/>
          <w:b/>
          <w:bCs/>
          <w:sz w:val="24"/>
          <w:szCs w:val="24"/>
        </w:rPr>
        <w:t xml:space="preserve">ELEMENTO DESPESA: </w:t>
      </w:r>
      <w:r>
        <w:rPr>
          <w:rFonts w:ascii="Cambria" w:hAnsi="Cambria" w:cstheme="minorHAnsi"/>
          <w:bCs/>
          <w:sz w:val="24"/>
          <w:szCs w:val="24"/>
        </w:rPr>
        <w:t xml:space="preserve">___________________________ </w:t>
      </w:r>
      <w:r>
        <w:rPr>
          <w:rFonts w:ascii="Cambria" w:hAnsi="Cambria" w:cstheme="minorHAnsi"/>
          <w:b/>
          <w:bCs/>
          <w:sz w:val="24"/>
          <w:szCs w:val="24"/>
        </w:rPr>
        <w:t xml:space="preserve">SUB-ELEMENTO: </w:t>
      </w:r>
      <w:r>
        <w:rPr>
          <w:rFonts w:ascii="Cambria" w:hAnsi="Cambria" w:cstheme="minorHAnsi"/>
          <w:bCs/>
          <w:sz w:val="24"/>
          <w:szCs w:val="24"/>
        </w:rPr>
        <w:t xml:space="preserve">________________________. </w:t>
      </w:r>
      <w:r>
        <w:rPr>
          <w:rFonts w:ascii="Cambria" w:hAnsi="Cambria" w:cstheme="minorHAnsi"/>
          <w:b/>
          <w:bCs/>
          <w:sz w:val="24"/>
          <w:szCs w:val="24"/>
        </w:rPr>
        <w:t>FONTE</w:t>
      </w:r>
      <w:r>
        <w:rPr>
          <w:rFonts w:ascii="Cambria" w:hAnsi="Cambria" w:cstheme="minorHAnsi"/>
          <w:bCs/>
          <w:sz w:val="24"/>
          <w:szCs w:val="24"/>
        </w:rPr>
        <w:t>: ______________________.</w:t>
      </w:r>
      <w:r>
        <w:rPr>
          <w:rFonts w:ascii="Cambria" w:hAnsi="Cambria" w:cstheme="minorHAnsi"/>
          <w:sz w:val="24"/>
          <w:szCs w:val="24"/>
        </w:rPr>
        <w:t xml:space="preserve"> </w:t>
      </w:r>
    </w:p>
    <w:p>
      <w:pPr>
        <w:suppressAutoHyphens/>
        <w:jc w:val="both"/>
        <w:rPr>
          <w:rFonts w:ascii="Cambria" w:eastAsia="Times New Roman" w:hAnsi="Cambria" w:cstheme="minorHAnsi"/>
          <w:b/>
          <w:bCs/>
          <w:sz w:val="24"/>
          <w:szCs w:val="24"/>
          <w:lang w:eastAsia="pt-BR"/>
        </w:rPr>
      </w:pPr>
    </w:p>
    <w:p>
      <w:pPr>
        <w:jc w:val="both"/>
        <w:rPr>
          <w:rFonts w:ascii="Cambria" w:hAnsi="Cambria" w:cstheme="minorHAnsi"/>
          <w:b/>
          <w:sz w:val="24"/>
          <w:szCs w:val="24"/>
        </w:rPr>
      </w:pPr>
      <w:r>
        <w:rPr>
          <w:rFonts w:ascii="Cambria" w:hAnsi="Cambria" w:cstheme="minorHAnsi"/>
          <w:b/>
          <w:sz w:val="24"/>
          <w:szCs w:val="24"/>
        </w:rPr>
        <w:t>CLÁUSULA SEXTA - DA OBRIGAÇÃO DAS PARTES</w:t>
      </w:r>
    </w:p>
    <w:p>
      <w:pPr>
        <w:jc w:val="both"/>
        <w:rPr>
          <w:rFonts w:ascii="Cambria" w:hAnsi="Cambria" w:cstheme="minorHAnsi"/>
          <w:sz w:val="24"/>
          <w:szCs w:val="24"/>
        </w:rPr>
      </w:pPr>
      <w:r>
        <w:rPr>
          <w:rFonts w:ascii="Cambria" w:hAnsi="Cambria" w:cstheme="minorHAnsi"/>
          <w:b/>
          <w:sz w:val="24"/>
          <w:szCs w:val="24"/>
        </w:rPr>
        <w:t>6.1</w:t>
      </w:r>
      <w:r>
        <w:rPr>
          <w:rFonts w:ascii="Cambria" w:hAnsi="Cambria" w:cstheme="minorHAnsi"/>
          <w:sz w:val="24"/>
          <w:szCs w:val="24"/>
        </w:rPr>
        <w:t>. As partes se obrigam reciprocamente a cumprir integralmente as disposições do instrumento convocatório, da Lei Federal nº 14.133/2021 de 1º de abril de 2021, alterada e consolidada e da Lei Federal n.º 14.133/2021, do Decreto Municipal nº 1.195, de 10 de março de 2021 e da proposta adjudicada.</w:t>
      </w:r>
    </w:p>
    <w:p>
      <w:pPr>
        <w:jc w:val="both"/>
        <w:rPr>
          <w:rFonts w:ascii="Cambria" w:hAnsi="Cambria" w:cstheme="minorHAnsi"/>
          <w:sz w:val="24"/>
          <w:szCs w:val="24"/>
        </w:rPr>
      </w:pPr>
    </w:p>
    <w:p>
      <w:pPr>
        <w:jc w:val="both"/>
        <w:rPr>
          <w:rFonts w:ascii="Cambria" w:hAnsi="Cambria" w:cstheme="minorHAnsi"/>
          <w:sz w:val="24"/>
          <w:szCs w:val="24"/>
        </w:rPr>
      </w:pPr>
      <w:r>
        <w:rPr>
          <w:rFonts w:ascii="Cambria" w:hAnsi="Cambria" w:cstheme="minorHAnsi"/>
          <w:b/>
          <w:sz w:val="24"/>
          <w:szCs w:val="24"/>
        </w:rPr>
        <w:t>6.2.</w:t>
      </w:r>
      <w:r>
        <w:rPr>
          <w:rFonts w:ascii="Cambria" w:hAnsi="Cambria" w:cstheme="minorHAnsi"/>
          <w:sz w:val="24"/>
          <w:szCs w:val="24"/>
        </w:rPr>
        <w:t xml:space="preserve"> O CONTRATADO obriga-se a:</w:t>
      </w:r>
    </w:p>
    <w:p>
      <w:pPr>
        <w:jc w:val="both"/>
        <w:rPr>
          <w:rFonts w:ascii="Cambria" w:hAnsi="Cambria" w:cstheme="minorHAnsi"/>
          <w:sz w:val="24"/>
          <w:szCs w:val="24"/>
        </w:rPr>
      </w:pPr>
      <w:r>
        <w:rPr>
          <w:rFonts w:ascii="Cambria" w:hAnsi="Cambria" w:cstheme="minorHAnsi"/>
          <w:b/>
          <w:sz w:val="24"/>
          <w:szCs w:val="24"/>
        </w:rPr>
        <w:t>a)</w:t>
      </w:r>
      <w:r>
        <w:rPr>
          <w:rFonts w:ascii="Cambria" w:hAnsi="Cambria" w:cstheme="minorHAnsi"/>
          <w:sz w:val="24"/>
          <w:szCs w:val="24"/>
        </w:rPr>
        <w:t xml:space="preserve"> executar os serviços contratados dentro dos padrões estabelecidos pelo MUNICÍPIO, de acordo com o especificado no instrumento convocatório e no ANEXO 01, que fazem parte deste instrumento, observando, ainda, todas as normas técnicas que eventualmente regulem o fornecimento, responsabilizando-se por eventuais prejuízos decorrentes do descumprimento de qualquer cláusula ou condição aqui estabelecida;</w:t>
      </w:r>
    </w:p>
    <w:p>
      <w:pPr>
        <w:jc w:val="both"/>
        <w:rPr>
          <w:rFonts w:ascii="Cambria" w:hAnsi="Cambria" w:cstheme="minorHAnsi"/>
          <w:sz w:val="24"/>
          <w:szCs w:val="24"/>
          <w:lang w:val="pt-PT"/>
        </w:rPr>
      </w:pPr>
      <w:r>
        <w:rPr>
          <w:rFonts w:ascii="Cambria" w:hAnsi="Cambria" w:cstheme="minorHAnsi"/>
          <w:b/>
          <w:sz w:val="24"/>
          <w:szCs w:val="24"/>
          <w:lang w:val="pt-PT"/>
        </w:rPr>
        <w:t xml:space="preserve">b) </w:t>
      </w:r>
      <w:r>
        <w:rPr>
          <w:rFonts w:ascii="Cambria" w:hAnsi="Cambria" w:cstheme="minorHAnsi"/>
          <w:sz w:val="24"/>
          <w:szCs w:val="24"/>
          <w:lang w:val="pt-PT"/>
        </w:rPr>
        <w:t>assumir a responsabilidade pelo pagamento de todos os impostos, taxas e quaisquer ônus de origem federal, estadual e municipal, bem como, quaisquer encargos judiciais ou extrajudiciais, sejam trabalhistas, previdenciários, fiscais e comerciais resultantes da execução do contrato que lhes sejam imputáveis, inclusive com relação a terceiros, em decorrência do fornecimento;</w:t>
      </w:r>
    </w:p>
    <w:p>
      <w:pPr>
        <w:jc w:val="both"/>
        <w:rPr>
          <w:rFonts w:ascii="Cambria" w:hAnsi="Cambria" w:cstheme="minorHAnsi"/>
          <w:sz w:val="24"/>
          <w:szCs w:val="24"/>
          <w:lang w:val="pt-PT"/>
        </w:rPr>
      </w:pPr>
      <w:r>
        <w:rPr>
          <w:rFonts w:ascii="Cambria" w:hAnsi="Cambria" w:cstheme="minorHAnsi"/>
          <w:b/>
          <w:sz w:val="24"/>
          <w:szCs w:val="24"/>
          <w:lang w:val="pt-PT"/>
        </w:rPr>
        <w:t>c)</w:t>
      </w:r>
      <w:r>
        <w:rPr>
          <w:rFonts w:ascii="Cambria" w:hAnsi="Cambria" w:cstheme="minorHAnsi"/>
          <w:sz w:val="24"/>
          <w:szCs w:val="24"/>
          <w:lang w:val="pt-PT"/>
        </w:rPr>
        <w:t xml:space="preserve"> a reparar, corrigir, remover ou substituir, às suas expensas, no total ou em parte, os produtos em que se verificarem vícios, defeitos ou incorreções;</w:t>
      </w:r>
    </w:p>
    <w:p>
      <w:pPr>
        <w:jc w:val="both"/>
        <w:rPr>
          <w:rFonts w:ascii="Cambria" w:hAnsi="Cambria" w:cstheme="minorHAnsi"/>
          <w:sz w:val="24"/>
          <w:szCs w:val="24"/>
          <w:lang w:val="pt-PT"/>
        </w:rPr>
      </w:pPr>
      <w:r>
        <w:rPr>
          <w:rFonts w:ascii="Cambria" w:hAnsi="Cambria" w:cstheme="minorHAnsi"/>
          <w:b/>
          <w:sz w:val="24"/>
          <w:szCs w:val="24"/>
          <w:lang w:val="pt-PT"/>
        </w:rPr>
        <w:t>d)</w:t>
      </w:r>
      <w:r>
        <w:rPr>
          <w:rFonts w:ascii="Cambria" w:hAnsi="Cambria" w:cstheme="minorHAnsi"/>
          <w:sz w:val="24"/>
          <w:szCs w:val="24"/>
          <w:lang w:val="pt-PT"/>
        </w:rPr>
        <w:t xml:space="preserve"> responsabilizar-se pelos danos causados diretamente ao MUNICÍPIO ou a terceiros, decorrentes de sua culpa ou dolo na execução do fornecimento, não excluindo ou reduzindo essa responsabilidade a fiscalização ou o acompanhamento pelo órgão interessado;</w:t>
      </w:r>
    </w:p>
    <w:p>
      <w:pPr>
        <w:jc w:val="both"/>
        <w:rPr>
          <w:rFonts w:ascii="Cambria" w:hAnsi="Cambria" w:cstheme="minorHAnsi"/>
          <w:sz w:val="24"/>
          <w:szCs w:val="24"/>
          <w:lang w:val="pt-PT"/>
        </w:rPr>
      </w:pPr>
      <w:r>
        <w:rPr>
          <w:rFonts w:ascii="Cambria" w:hAnsi="Cambria" w:cstheme="minorHAnsi"/>
          <w:b/>
          <w:sz w:val="24"/>
          <w:szCs w:val="24"/>
          <w:lang w:val="pt-PT"/>
        </w:rPr>
        <w:t>e)</w:t>
      </w:r>
      <w:r>
        <w:rPr>
          <w:rFonts w:ascii="Cambria" w:hAnsi="Cambria" w:cstheme="minorHAnsi"/>
          <w:sz w:val="24"/>
          <w:szCs w:val="24"/>
          <w:lang w:val="pt-PT"/>
        </w:rPr>
        <w:t xml:space="preserve"> indicar preposto, aceito pela Administração, para representá-lo na execução do contrato. As decisões e providências que ultrapassarem a competência do representante do contratado deverão ser comunicadas a seus superiores em tempo hábil para a adoção das medidas convenientes;</w:t>
      </w:r>
    </w:p>
    <w:p>
      <w:pPr>
        <w:jc w:val="both"/>
        <w:rPr>
          <w:rFonts w:ascii="Cambria" w:hAnsi="Cambria" w:cstheme="minorHAnsi"/>
          <w:sz w:val="24"/>
          <w:szCs w:val="24"/>
          <w:lang w:val="pt-PT"/>
        </w:rPr>
      </w:pPr>
      <w:r>
        <w:rPr>
          <w:rFonts w:ascii="Cambria" w:hAnsi="Cambria" w:cstheme="minorHAnsi"/>
          <w:b/>
          <w:sz w:val="24"/>
          <w:szCs w:val="24"/>
          <w:lang w:val="pt-PT"/>
        </w:rPr>
        <w:t xml:space="preserve">f) </w:t>
      </w:r>
      <w:r>
        <w:rPr>
          <w:rFonts w:ascii="Cambria" w:hAnsi="Cambria" w:cstheme="minorHAnsi"/>
          <w:sz w:val="24"/>
          <w:szCs w:val="24"/>
          <w:lang w:val="pt-PT"/>
        </w:rPr>
        <w:t>aceitar, nas mesmas condições, os acréscimos ou supressões que se fizerem no fornecimento, até 25% (vinte e cinco por cento) do valor inicial atualizado do contrato, na forma do art. 125 da Lei nº 14.133/2021 de 1º de abril de 2021;</w:t>
      </w:r>
    </w:p>
    <w:p>
      <w:pPr>
        <w:jc w:val="both"/>
        <w:rPr>
          <w:rFonts w:ascii="Cambria" w:hAnsi="Cambria" w:cstheme="minorHAnsi"/>
          <w:sz w:val="24"/>
          <w:szCs w:val="24"/>
        </w:rPr>
      </w:pPr>
      <w:r>
        <w:rPr>
          <w:rFonts w:ascii="Cambria" w:hAnsi="Cambria" w:cstheme="minorHAnsi"/>
          <w:b/>
          <w:sz w:val="24"/>
          <w:szCs w:val="24"/>
          <w:lang w:val="pt-PT"/>
        </w:rPr>
        <w:lastRenderedPageBreak/>
        <w:t>g)</w:t>
      </w:r>
      <w:r>
        <w:rPr>
          <w:rFonts w:ascii="Cambria" w:hAnsi="Cambria" w:cstheme="minorHAnsi"/>
          <w:sz w:val="24"/>
          <w:szCs w:val="24"/>
        </w:rPr>
        <w:t>entregar os produtos de forma a não comprometer o funcionamento dos serviços do MUNICÍPIO;</w:t>
      </w:r>
    </w:p>
    <w:p>
      <w:pPr>
        <w:jc w:val="both"/>
        <w:rPr>
          <w:rFonts w:ascii="Cambria" w:hAnsi="Cambria" w:cstheme="minorHAnsi"/>
          <w:sz w:val="24"/>
          <w:szCs w:val="24"/>
        </w:rPr>
      </w:pPr>
      <w:r>
        <w:rPr>
          <w:rFonts w:ascii="Cambria" w:hAnsi="Cambria" w:cstheme="minorHAnsi"/>
          <w:b/>
          <w:sz w:val="24"/>
          <w:szCs w:val="24"/>
        </w:rPr>
        <w:t>h)</w:t>
      </w:r>
      <w:r>
        <w:rPr>
          <w:rFonts w:ascii="Cambria" w:hAnsi="Cambria" w:cstheme="minorHAnsi"/>
          <w:sz w:val="24"/>
          <w:szCs w:val="24"/>
        </w:rPr>
        <w:t xml:space="preserve"> comunicar antecipadamente a data e horário da entrega, não sendo aceitos os produtos que estiverem em desacordo com as especificações constantes deste instrumento, nem quaisquer pleitos de faturamentos extraordinários sob o pretexto de perfeito funcionamento e conclusão do objeto contratado.</w:t>
      </w:r>
    </w:p>
    <w:p>
      <w:pPr>
        <w:jc w:val="both"/>
        <w:rPr>
          <w:rFonts w:ascii="Cambria" w:hAnsi="Cambria" w:cstheme="minorHAnsi"/>
          <w:sz w:val="24"/>
          <w:szCs w:val="24"/>
        </w:rPr>
      </w:pPr>
      <w:r>
        <w:rPr>
          <w:rFonts w:ascii="Cambria" w:hAnsi="Cambria" w:cstheme="minorHAnsi"/>
          <w:b/>
          <w:sz w:val="24"/>
          <w:szCs w:val="24"/>
        </w:rPr>
        <w:t>i)</w:t>
      </w:r>
      <w:r>
        <w:rPr>
          <w:rFonts w:ascii="Cambria" w:hAnsi="Cambria" w:cstheme="minorHAnsi"/>
          <w:sz w:val="24"/>
          <w:szCs w:val="24"/>
        </w:rPr>
        <w:t xml:space="preserve"> prestar os esclarecimentos que forem solicitados pelo MUNICÍPIO, cujas reclamações se obriga a atender prontamente, bem como dar ciência ao MUNICÍPIO, imediatamente e por escrito, de qualquer anormalidade que verificar quando da execução do contrato;</w:t>
      </w:r>
    </w:p>
    <w:p>
      <w:pPr>
        <w:jc w:val="both"/>
        <w:rPr>
          <w:rFonts w:ascii="Cambria" w:hAnsi="Cambria" w:cstheme="minorHAnsi"/>
          <w:sz w:val="24"/>
          <w:szCs w:val="24"/>
        </w:rPr>
      </w:pPr>
      <w:r>
        <w:rPr>
          <w:rFonts w:ascii="Cambria" w:hAnsi="Cambria" w:cstheme="minorHAnsi"/>
          <w:b/>
          <w:sz w:val="24"/>
          <w:szCs w:val="24"/>
        </w:rPr>
        <w:t>j)</w:t>
      </w:r>
      <w:r>
        <w:rPr>
          <w:rFonts w:ascii="Cambria" w:hAnsi="Cambria" w:cstheme="minorHAnsi"/>
          <w:sz w:val="24"/>
          <w:szCs w:val="24"/>
        </w:rPr>
        <w:t xml:space="preserve"> dispor-se a toda e qualquer fiscalização do MUNICÍPIO, no tocante aos serviços, assim como ao cumprimento das obrigações previstas;</w:t>
      </w:r>
    </w:p>
    <w:p>
      <w:pPr>
        <w:jc w:val="both"/>
        <w:rPr>
          <w:rFonts w:ascii="Cambria" w:hAnsi="Cambria" w:cstheme="minorHAnsi"/>
          <w:sz w:val="24"/>
          <w:szCs w:val="24"/>
        </w:rPr>
      </w:pPr>
      <w:r>
        <w:rPr>
          <w:rFonts w:ascii="Cambria" w:hAnsi="Cambria" w:cstheme="minorHAnsi"/>
          <w:b/>
          <w:sz w:val="24"/>
          <w:szCs w:val="24"/>
        </w:rPr>
        <w:t>k)</w:t>
      </w:r>
      <w:r>
        <w:rPr>
          <w:rFonts w:ascii="Cambria" w:hAnsi="Cambria" w:cstheme="minorHAnsi"/>
          <w:sz w:val="24"/>
          <w:szCs w:val="24"/>
        </w:rPr>
        <w:t xml:space="preserve"> prover todos os meios necessários à garantia da plena operacionalidade do fornecimento, inclusive considerados os casos de greve ou paralisação de qualquer natureza;</w:t>
      </w:r>
    </w:p>
    <w:p>
      <w:pPr>
        <w:jc w:val="both"/>
        <w:rPr>
          <w:rFonts w:ascii="Cambria" w:hAnsi="Cambria" w:cstheme="minorHAnsi"/>
          <w:sz w:val="24"/>
          <w:szCs w:val="24"/>
        </w:rPr>
      </w:pPr>
      <w:r>
        <w:rPr>
          <w:rFonts w:ascii="Cambria" w:hAnsi="Cambria" w:cstheme="minorHAnsi"/>
          <w:b/>
          <w:sz w:val="24"/>
          <w:szCs w:val="24"/>
        </w:rPr>
        <w:t>l)</w:t>
      </w:r>
      <w:r>
        <w:rPr>
          <w:rFonts w:ascii="Cambria" w:hAnsi="Cambria" w:cstheme="minorHAnsi"/>
          <w:sz w:val="24"/>
          <w:szCs w:val="24"/>
        </w:rPr>
        <w:t xml:space="preserve"> comunicar imediatamente ao MUNICÍPIO qualquer alteração ocorrida no endereço, conta bancária e outros considerados necessários para recebimento de correspondência;</w:t>
      </w:r>
    </w:p>
    <w:p>
      <w:pPr>
        <w:jc w:val="both"/>
        <w:rPr>
          <w:rFonts w:ascii="Cambria" w:hAnsi="Cambria" w:cstheme="minorHAnsi"/>
          <w:sz w:val="24"/>
          <w:szCs w:val="24"/>
        </w:rPr>
      </w:pPr>
      <w:r>
        <w:rPr>
          <w:rFonts w:ascii="Cambria" w:hAnsi="Cambria" w:cstheme="minorHAnsi"/>
          <w:b/>
          <w:sz w:val="24"/>
          <w:szCs w:val="24"/>
        </w:rPr>
        <w:t>m)</w:t>
      </w:r>
      <w:r>
        <w:rPr>
          <w:rFonts w:ascii="Cambria" w:hAnsi="Cambria" w:cstheme="minorHAnsi"/>
          <w:sz w:val="24"/>
          <w:szCs w:val="24"/>
        </w:rPr>
        <w:t xml:space="preserve"> possibilitar ao MUNICÍPIO efetuar vistoria nas suas instalações, a fim de verificar as condições para atendimento do objeto contratual;</w:t>
      </w:r>
    </w:p>
    <w:p>
      <w:pPr>
        <w:jc w:val="both"/>
        <w:rPr>
          <w:rFonts w:ascii="Cambria" w:hAnsi="Cambria" w:cstheme="minorHAnsi"/>
          <w:sz w:val="24"/>
          <w:szCs w:val="24"/>
        </w:rPr>
      </w:pPr>
      <w:r>
        <w:rPr>
          <w:rFonts w:ascii="Cambria" w:hAnsi="Cambria" w:cstheme="minorHAnsi"/>
          <w:b/>
          <w:sz w:val="24"/>
          <w:szCs w:val="24"/>
        </w:rPr>
        <w:t>n)</w:t>
      </w:r>
      <w:r>
        <w:rPr>
          <w:rFonts w:ascii="Cambria" w:hAnsi="Cambria" w:cstheme="minorHAnsi"/>
          <w:sz w:val="24"/>
          <w:szCs w:val="24"/>
        </w:rPr>
        <w:t xml:space="preserve"> manter, sob as penas da lei, o mais completo e absoluto sigilo sobre quaisquer dados, informações, documentos, especificações técnicas e comerciais dos materiais do MUNICÍPIO, de que venha a tomar conhecimento ou ter acesso, ou que venham a ser confiados, sejam relacionados ou não com o fornecimento do objeto deste contrato;</w:t>
      </w:r>
    </w:p>
    <w:p>
      <w:pPr>
        <w:jc w:val="both"/>
        <w:rPr>
          <w:rFonts w:ascii="Cambria" w:hAnsi="Cambria" w:cstheme="minorHAnsi"/>
          <w:sz w:val="24"/>
          <w:szCs w:val="24"/>
        </w:rPr>
      </w:pPr>
      <w:r>
        <w:rPr>
          <w:rFonts w:ascii="Cambria" w:hAnsi="Cambria" w:cstheme="minorHAnsi"/>
          <w:b/>
          <w:sz w:val="24"/>
          <w:szCs w:val="24"/>
        </w:rPr>
        <w:t>o)</w:t>
      </w:r>
      <w:r>
        <w:rPr>
          <w:rFonts w:ascii="Cambria" w:hAnsi="Cambria" w:cstheme="minorHAnsi"/>
          <w:sz w:val="24"/>
          <w:szCs w:val="24"/>
        </w:rPr>
        <w:t xml:space="preserve"> manter seus empregados, quando nas dependências do MUNICÍPIO, devidamente identificados com crachá subscrito pela CONTRATADA, no qual constará, no mínimo, sua razão social, nome completo do empregado e fotografia 3x4;</w:t>
      </w:r>
    </w:p>
    <w:p>
      <w:pPr>
        <w:jc w:val="both"/>
        <w:rPr>
          <w:rFonts w:ascii="Cambria" w:hAnsi="Cambria" w:cstheme="minorHAnsi"/>
          <w:sz w:val="24"/>
          <w:szCs w:val="24"/>
        </w:rPr>
      </w:pPr>
      <w:r>
        <w:rPr>
          <w:rFonts w:ascii="Cambria" w:hAnsi="Cambria" w:cstheme="minorHAnsi"/>
          <w:b/>
          <w:sz w:val="24"/>
          <w:szCs w:val="24"/>
        </w:rPr>
        <w:t>p)</w:t>
      </w:r>
      <w:r>
        <w:rPr>
          <w:rFonts w:ascii="Cambria" w:hAnsi="Cambria" w:cstheme="minorHAnsi"/>
          <w:sz w:val="24"/>
          <w:szCs w:val="24"/>
        </w:rPr>
        <w:t xml:space="preserve"> Arcar com as despesas da entrega do produto no local indicado na autorização de fornecimento.</w:t>
      </w:r>
    </w:p>
    <w:p>
      <w:pPr>
        <w:spacing w:after="240"/>
        <w:jc w:val="both"/>
        <w:rPr>
          <w:rFonts w:ascii="Cambria" w:hAnsi="Cambria" w:cstheme="minorHAnsi"/>
          <w:sz w:val="24"/>
          <w:szCs w:val="24"/>
        </w:rPr>
      </w:pPr>
      <w:r>
        <w:rPr>
          <w:rFonts w:ascii="Cambria" w:hAnsi="Cambria" w:cstheme="minorHAnsi"/>
          <w:b/>
          <w:sz w:val="24"/>
          <w:szCs w:val="24"/>
        </w:rPr>
        <w:t>6.2.2.</w:t>
      </w:r>
      <w:r>
        <w:rPr>
          <w:rFonts w:ascii="Cambria" w:hAnsi="Cambria" w:cstheme="minorHAnsi"/>
          <w:sz w:val="24"/>
          <w:szCs w:val="24"/>
        </w:rPr>
        <w:t xml:space="preserve"> No caso de constatação da inadequação dos serviços fornecidos às normas e exigências especificadas no Termo de Referência, no Edital ou na Proposta do Contratado, o Contratante os recusará, devendo no prazo máximo de 24 (vinte e quatro) horas ser adequados às supracitadas condições;</w:t>
      </w:r>
    </w:p>
    <w:p>
      <w:pPr>
        <w:spacing w:after="240"/>
        <w:jc w:val="both"/>
        <w:rPr>
          <w:rFonts w:ascii="Cambria" w:hAnsi="Cambria" w:cstheme="minorHAnsi"/>
          <w:sz w:val="24"/>
          <w:szCs w:val="24"/>
        </w:rPr>
      </w:pPr>
      <w:r>
        <w:rPr>
          <w:rFonts w:ascii="Cambria" w:hAnsi="Cambria" w:cstheme="minorHAnsi"/>
          <w:b/>
          <w:sz w:val="24"/>
          <w:szCs w:val="24"/>
        </w:rPr>
        <w:t>6.4</w:t>
      </w:r>
      <w:r>
        <w:rPr>
          <w:rFonts w:ascii="Cambria" w:hAnsi="Cambria" w:cstheme="minorHAnsi"/>
          <w:sz w:val="24"/>
          <w:szCs w:val="24"/>
        </w:rPr>
        <w:t xml:space="preserve">. </w:t>
      </w:r>
      <w:r>
        <w:rPr>
          <w:rFonts w:ascii="Cambria" w:hAnsi="Cambria" w:cstheme="minorHAnsi"/>
          <w:b/>
          <w:sz w:val="24"/>
          <w:szCs w:val="24"/>
        </w:rPr>
        <w:t>O CONTRATANTE obriga-se a:</w:t>
      </w:r>
    </w:p>
    <w:p>
      <w:pPr>
        <w:jc w:val="both"/>
        <w:rPr>
          <w:rFonts w:ascii="Cambria" w:hAnsi="Cambria" w:cstheme="minorHAnsi"/>
          <w:sz w:val="24"/>
          <w:szCs w:val="24"/>
        </w:rPr>
      </w:pPr>
      <w:r>
        <w:rPr>
          <w:rFonts w:ascii="Cambria" w:hAnsi="Cambria" w:cstheme="minorHAnsi"/>
          <w:b/>
          <w:sz w:val="24"/>
          <w:szCs w:val="24"/>
        </w:rPr>
        <w:t>6.4.1.</w:t>
      </w:r>
      <w:r>
        <w:rPr>
          <w:rFonts w:ascii="Cambria" w:hAnsi="Cambria" w:cstheme="minorHAnsi"/>
          <w:sz w:val="24"/>
          <w:szCs w:val="24"/>
        </w:rPr>
        <w:t xml:space="preserve"> Assegurar o livre acesso do CONTRATADO e de seus prepostos, devidamente identificados, a todos os locais onde se fizer necessário a execução dos sistemas, prestando-lhe todas as informações e esclarecimentos que, eventualmente, forem solicitados;</w:t>
      </w:r>
    </w:p>
    <w:p>
      <w:pPr>
        <w:jc w:val="both"/>
        <w:rPr>
          <w:rFonts w:ascii="Cambria" w:hAnsi="Cambria" w:cstheme="minorHAnsi"/>
          <w:sz w:val="24"/>
          <w:szCs w:val="24"/>
        </w:rPr>
      </w:pPr>
      <w:r>
        <w:rPr>
          <w:rFonts w:ascii="Cambria" w:hAnsi="Cambria" w:cstheme="minorHAnsi"/>
          <w:b/>
          <w:sz w:val="24"/>
          <w:szCs w:val="24"/>
        </w:rPr>
        <w:t>6.4.2.</w:t>
      </w:r>
      <w:r>
        <w:rPr>
          <w:rFonts w:ascii="Cambria" w:hAnsi="Cambria" w:cstheme="minorHAnsi"/>
          <w:sz w:val="24"/>
          <w:szCs w:val="24"/>
        </w:rPr>
        <w:t xml:space="preserve"> Efetuar o pagamento ao CONTRATADO na forma prevista neste instrumento.</w:t>
      </w:r>
    </w:p>
    <w:p>
      <w:pPr>
        <w:jc w:val="both"/>
        <w:rPr>
          <w:rFonts w:ascii="Cambria" w:hAnsi="Cambria" w:cstheme="minorHAnsi"/>
          <w:b/>
          <w:sz w:val="24"/>
          <w:szCs w:val="24"/>
        </w:rPr>
      </w:pPr>
    </w:p>
    <w:p>
      <w:pPr>
        <w:tabs>
          <w:tab w:val="left" w:pos="426"/>
        </w:tabs>
        <w:rPr>
          <w:rFonts w:ascii="Cambria" w:hAnsi="Cambria" w:cstheme="minorHAnsi"/>
          <w:b/>
          <w:sz w:val="24"/>
          <w:szCs w:val="24"/>
        </w:rPr>
      </w:pPr>
      <w:r>
        <w:rPr>
          <w:rFonts w:ascii="Cambria" w:hAnsi="Cambria" w:cstheme="minorHAnsi"/>
          <w:b/>
          <w:sz w:val="24"/>
          <w:szCs w:val="24"/>
        </w:rPr>
        <w:t>6.5. LOCAL DA PRESTAÇÃO DOS SERVIÇOS</w:t>
      </w:r>
    </w:p>
    <w:p>
      <w:pPr>
        <w:jc w:val="both"/>
        <w:rPr>
          <w:rFonts w:ascii="Cambria" w:hAnsi="Cambria" w:cstheme="minorHAnsi"/>
          <w:sz w:val="24"/>
          <w:szCs w:val="24"/>
        </w:rPr>
      </w:pPr>
      <w:r>
        <w:rPr>
          <w:rFonts w:ascii="Cambria" w:hAnsi="Cambria" w:cstheme="minorHAnsi"/>
          <w:b/>
          <w:sz w:val="24"/>
          <w:szCs w:val="24"/>
        </w:rPr>
        <w:t>6.5.1.</w:t>
      </w:r>
      <w:r>
        <w:rPr>
          <w:rFonts w:ascii="Cambria" w:hAnsi="Cambria" w:cstheme="minorHAnsi"/>
          <w:sz w:val="24"/>
          <w:szCs w:val="24"/>
        </w:rPr>
        <w:t xml:space="preserve"> Os serviços deverão ser executados em </w:t>
      </w:r>
      <w:r>
        <w:rPr>
          <w:rFonts w:ascii="Cambria" w:hAnsi="Cambria" w:cstheme="minorHAnsi"/>
          <w:b/>
          <w:sz w:val="24"/>
          <w:szCs w:val="24"/>
        </w:rPr>
        <w:t>12 (doze) meses</w:t>
      </w:r>
      <w:r>
        <w:rPr>
          <w:rFonts w:ascii="Cambria" w:hAnsi="Cambria" w:cstheme="minorHAnsi"/>
          <w:sz w:val="24"/>
          <w:szCs w:val="24"/>
        </w:rPr>
        <w:t xml:space="preserve">, a contar da emissão da </w:t>
      </w:r>
      <w:r>
        <w:rPr>
          <w:rFonts w:ascii="Cambria" w:hAnsi="Cambria" w:cstheme="minorHAnsi"/>
          <w:b/>
          <w:sz w:val="24"/>
          <w:szCs w:val="24"/>
        </w:rPr>
        <w:t>ORDEM DE SERVIÇOS</w:t>
      </w:r>
      <w:r>
        <w:rPr>
          <w:rFonts w:ascii="Cambria" w:hAnsi="Cambria" w:cstheme="minorHAnsi"/>
          <w:sz w:val="24"/>
          <w:szCs w:val="24"/>
        </w:rPr>
        <w:t>.</w:t>
      </w:r>
    </w:p>
    <w:p>
      <w:pPr>
        <w:jc w:val="both"/>
        <w:rPr>
          <w:rFonts w:ascii="Cambria" w:hAnsi="Cambria" w:cstheme="minorHAnsi"/>
          <w:sz w:val="24"/>
          <w:szCs w:val="24"/>
        </w:rPr>
      </w:pPr>
      <w:r>
        <w:rPr>
          <w:rFonts w:ascii="Cambria" w:hAnsi="Cambria" w:cstheme="minorHAnsi"/>
          <w:b/>
          <w:sz w:val="24"/>
          <w:szCs w:val="24"/>
        </w:rPr>
        <w:t>6.5.2.</w:t>
      </w:r>
      <w:r>
        <w:rPr>
          <w:rFonts w:ascii="Cambria" w:hAnsi="Cambria" w:cstheme="minorHAnsi"/>
          <w:sz w:val="24"/>
          <w:szCs w:val="24"/>
        </w:rPr>
        <w:t xml:space="preserve"> Os serviços deverão ser prestados no(a) sede da Secretaria ou nos locais determinados pela CONTRATANTE, através da ordem de serviços e/ou nas unidades a serem designadas pela secretaria contratante.</w:t>
      </w:r>
    </w:p>
    <w:p>
      <w:pPr>
        <w:jc w:val="both"/>
        <w:rPr>
          <w:rFonts w:ascii="Cambria" w:hAnsi="Cambria" w:cstheme="minorHAnsi"/>
          <w:sz w:val="24"/>
          <w:szCs w:val="24"/>
        </w:rPr>
      </w:pPr>
    </w:p>
    <w:p>
      <w:pPr>
        <w:tabs>
          <w:tab w:val="left" w:pos="284"/>
          <w:tab w:val="left" w:pos="426"/>
        </w:tabs>
        <w:rPr>
          <w:rFonts w:ascii="Cambria" w:hAnsi="Cambria" w:cstheme="minorHAnsi"/>
          <w:b/>
          <w:sz w:val="24"/>
          <w:szCs w:val="24"/>
        </w:rPr>
      </w:pPr>
      <w:r>
        <w:rPr>
          <w:rFonts w:ascii="Cambria" w:hAnsi="Cambria" w:cstheme="minorHAnsi"/>
          <w:b/>
          <w:sz w:val="24"/>
          <w:szCs w:val="24"/>
        </w:rPr>
        <w:t>6.6. FORMA DE EXECUÇÃO DOS SERVIÇOS</w:t>
      </w:r>
    </w:p>
    <w:p>
      <w:pPr>
        <w:jc w:val="both"/>
        <w:rPr>
          <w:rFonts w:ascii="Cambria" w:hAnsi="Cambria" w:cstheme="minorHAnsi"/>
          <w:sz w:val="24"/>
          <w:szCs w:val="24"/>
        </w:rPr>
      </w:pPr>
      <w:r>
        <w:rPr>
          <w:rFonts w:ascii="Cambria" w:hAnsi="Cambria" w:cstheme="minorHAnsi"/>
          <w:b/>
          <w:sz w:val="24"/>
          <w:szCs w:val="24"/>
        </w:rPr>
        <w:lastRenderedPageBreak/>
        <w:t>6.6.1.</w:t>
      </w:r>
      <w:r>
        <w:rPr>
          <w:rFonts w:ascii="Cambria" w:hAnsi="Cambria" w:cstheme="minorHAnsi"/>
          <w:sz w:val="24"/>
          <w:szCs w:val="24"/>
        </w:rPr>
        <w:t xml:space="preserve"> Execução dos serviços terá o prazo de </w:t>
      </w:r>
      <w:r>
        <w:rPr>
          <w:rFonts w:ascii="Cambria" w:hAnsi="Cambria" w:cstheme="minorHAnsi"/>
          <w:b/>
          <w:sz w:val="24"/>
          <w:szCs w:val="24"/>
        </w:rPr>
        <w:t>12 (doze) meses</w:t>
      </w:r>
      <w:r>
        <w:rPr>
          <w:rFonts w:ascii="Cambria" w:hAnsi="Cambria" w:cstheme="minorHAnsi"/>
          <w:sz w:val="24"/>
          <w:szCs w:val="24"/>
        </w:rPr>
        <w:t xml:space="preserve">, nas localidades a serem indicados pela Secretaria demandante, mediante a expedição de </w:t>
      </w:r>
      <w:r>
        <w:rPr>
          <w:rFonts w:ascii="Cambria" w:hAnsi="Cambria" w:cstheme="minorHAnsi"/>
          <w:b/>
          <w:sz w:val="24"/>
          <w:szCs w:val="24"/>
        </w:rPr>
        <w:t>ORDENS DE SERVIÇO</w:t>
      </w:r>
      <w:r>
        <w:rPr>
          <w:rFonts w:ascii="Cambria" w:hAnsi="Cambria" w:cstheme="minorHAnsi"/>
          <w:sz w:val="24"/>
          <w:szCs w:val="24"/>
        </w:rPr>
        <w:t>, pelo órgão demandante, constando a relação e a quantidade de serviços a serem executados.</w:t>
      </w:r>
    </w:p>
    <w:p>
      <w:pPr>
        <w:jc w:val="both"/>
        <w:rPr>
          <w:rFonts w:ascii="Cambria" w:hAnsi="Cambria" w:cstheme="minorHAnsi"/>
          <w:sz w:val="24"/>
          <w:szCs w:val="24"/>
        </w:rPr>
      </w:pPr>
      <w:r>
        <w:rPr>
          <w:rFonts w:ascii="Cambria" w:hAnsi="Cambria" w:cstheme="minorHAnsi"/>
          <w:b/>
          <w:sz w:val="24"/>
          <w:szCs w:val="24"/>
        </w:rPr>
        <w:t>6.6.2</w:t>
      </w:r>
      <w:r>
        <w:rPr>
          <w:rFonts w:ascii="Cambria" w:hAnsi="Cambria" w:cstheme="minorHAnsi"/>
          <w:sz w:val="24"/>
          <w:szCs w:val="24"/>
        </w:rPr>
        <w:t>. A execução dos serviços será acompanhada e fiscalizada por servidor do órgão demandante, como FISCAL DE CONTATO o (a) Sr.(a) ___________________________ CPF Nº ______________________ Portaria Designação __________________ o qual  deverá atestar os documentos da despesa, quando comprovada a fiel e correta entrega para fins de pagamento.</w:t>
      </w:r>
    </w:p>
    <w:p>
      <w:pPr>
        <w:jc w:val="both"/>
        <w:rPr>
          <w:rFonts w:ascii="Cambria" w:hAnsi="Cambria" w:cstheme="minorHAnsi"/>
          <w:sz w:val="24"/>
          <w:szCs w:val="24"/>
        </w:rPr>
      </w:pPr>
      <w:r>
        <w:rPr>
          <w:rFonts w:ascii="Cambria" w:hAnsi="Cambria" w:cstheme="minorHAnsi"/>
          <w:b/>
          <w:sz w:val="24"/>
          <w:szCs w:val="24"/>
        </w:rPr>
        <w:t>6.6.3.</w:t>
      </w:r>
      <w:r>
        <w:rPr>
          <w:rFonts w:ascii="Cambria" w:hAnsi="Cambria" w:cstheme="minorHAnsi"/>
          <w:sz w:val="24"/>
          <w:szCs w:val="24"/>
        </w:rPr>
        <w:t xml:space="preserve"> A presença da fiscalização do órgão demandante não elide nem diminui a responsabilidade da empresa contratada.</w:t>
      </w:r>
    </w:p>
    <w:p>
      <w:pPr>
        <w:jc w:val="both"/>
        <w:rPr>
          <w:rFonts w:ascii="Cambria" w:hAnsi="Cambria" w:cstheme="minorHAnsi"/>
          <w:sz w:val="24"/>
          <w:szCs w:val="24"/>
        </w:rPr>
      </w:pPr>
      <w:r>
        <w:rPr>
          <w:rFonts w:ascii="Cambria" w:hAnsi="Cambria" w:cstheme="minorHAnsi"/>
          <w:b/>
          <w:sz w:val="24"/>
          <w:szCs w:val="24"/>
        </w:rPr>
        <w:t>6.6.4.</w:t>
      </w:r>
      <w:r>
        <w:rPr>
          <w:rFonts w:ascii="Cambria" w:hAnsi="Cambria" w:cstheme="minorHAnsi"/>
          <w:sz w:val="24"/>
          <w:szCs w:val="24"/>
        </w:rPr>
        <w:t xml:space="preserve"> Caberá ao servidor designado rejeitar totalmente ou em parte, qualquer bem que não esteja de acordo com as exigências, bem como, determinar prazo para substituição do item eventualmente fora de especificação.</w:t>
      </w:r>
    </w:p>
    <w:p>
      <w:pPr>
        <w:jc w:val="both"/>
        <w:rPr>
          <w:rFonts w:ascii="Cambria" w:hAnsi="Cambria" w:cstheme="minorHAnsi"/>
          <w:sz w:val="24"/>
          <w:szCs w:val="24"/>
        </w:rPr>
      </w:pPr>
      <w:r>
        <w:rPr>
          <w:rFonts w:ascii="Cambria" w:hAnsi="Cambria" w:cstheme="minorHAnsi"/>
          <w:b/>
          <w:sz w:val="24"/>
          <w:szCs w:val="24"/>
        </w:rPr>
        <w:t>6.6.5.</w:t>
      </w:r>
      <w:r>
        <w:rPr>
          <w:rFonts w:ascii="Cambria" w:hAnsi="Cambria" w:cstheme="minorHAnsi"/>
          <w:sz w:val="24"/>
          <w:szCs w:val="24"/>
        </w:rPr>
        <w:t xml:space="preserve"> Os serviços deverão ser iniciados em até </w:t>
      </w:r>
      <w:r>
        <w:rPr>
          <w:rFonts w:ascii="Cambria" w:hAnsi="Cambria" w:cstheme="minorHAnsi"/>
          <w:b/>
          <w:sz w:val="24"/>
          <w:szCs w:val="24"/>
        </w:rPr>
        <w:t>05 (CINCO) DIAS ÚTEIS</w:t>
      </w:r>
      <w:r>
        <w:rPr>
          <w:rFonts w:ascii="Cambria" w:hAnsi="Cambria" w:cstheme="minorHAnsi"/>
          <w:sz w:val="24"/>
          <w:szCs w:val="24"/>
        </w:rPr>
        <w:t xml:space="preserve">, a contar da emissão da Ordem de Serviço, que </w:t>
      </w:r>
      <w:r>
        <w:rPr>
          <w:rFonts w:ascii="Cambria" w:hAnsi="Cambria" w:cstheme="minorHAnsi"/>
          <w:b/>
          <w:sz w:val="24"/>
          <w:szCs w:val="24"/>
        </w:rPr>
        <w:t>será enviada à contratada através de e-mail</w:t>
      </w:r>
      <w:r>
        <w:rPr>
          <w:rFonts w:ascii="Cambria" w:hAnsi="Cambria" w:cstheme="minorHAnsi"/>
          <w:sz w:val="24"/>
          <w:szCs w:val="24"/>
        </w:rPr>
        <w:t xml:space="preserve"> ou outro meio que comprove o seu recebimento.</w:t>
      </w:r>
    </w:p>
    <w:p>
      <w:pPr>
        <w:jc w:val="both"/>
        <w:rPr>
          <w:rFonts w:ascii="Cambria" w:hAnsi="Cambria" w:cstheme="minorHAnsi"/>
          <w:sz w:val="24"/>
          <w:szCs w:val="24"/>
        </w:rPr>
      </w:pPr>
      <w:r>
        <w:rPr>
          <w:rFonts w:ascii="Cambria" w:hAnsi="Cambria" w:cstheme="minorHAnsi"/>
          <w:b/>
          <w:sz w:val="24"/>
          <w:szCs w:val="24"/>
        </w:rPr>
        <w:t>6.6.6.</w:t>
      </w:r>
      <w:r>
        <w:rPr>
          <w:rFonts w:ascii="Cambria" w:hAnsi="Cambria" w:cstheme="minorHAnsi"/>
          <w:sz w:val="24"/>
          <w:szCs w:val="24"/>
        </w:rPr>
        <w:t xml:space="preserve"> A demanda correspondente a </w:t>
      </w:r>
      <w:r>
        <w:rPr>
          <w:rFonts w:ascii="Cambria" w:hAnsi="Cambria" w:cstheme="minorHAnsi"/>
          <w:b/>
          <w:sz w:val="24"/>
          <w:szCs w:val="24"/>
        </w:rPr>
        <w:t>ORDEM DE SERVIÇOS</w:t>
      </w:r>
      <w:r>
        <w:rPr>
          <w:rFonts w:ascii="Cambria" w:hAnsi="Cambria" w:cstheme="minorHAnsi"/>
          <w:sz w:val="24"/>
          <w:szCs w:val="24"/>
        </w:rPr>
        <w:t xml:space="preserve"> deverá ser realizada em remessa única.</w:t>
      </w:r>
    </w:p>
    <w:p>
      <w:pPr>
        <w:tabs>
          <w:tab w:val="left" w:pos="284"/>
          <w:tab w:val="left" w:pos="426"/>
        </w:tabs>
        <w:rPr>
          <w:rFonts w:ascii="Cambria" w:hAnsi="Cambria" w:cstheme="minorHAnsi"/>
          <w:b/>
          <w:sz w:val="24"/>
          <w:szCs w:val="24"/>
        </w:rPr>
      </w:pPr>
    </w:p>
    <w:p>
      <w:pPr>
        <w:jc w:val="both"/>
        <w:rPr>
          <w:rFonts w:ascii="Cambria" w:hAnsi="Cambria" w:cstheme="minorHAnsi"/>
          <w:b/>
          <w:sz w:val="24"/>
          <w:szCs w:val="24"/>
        </w:rPr>
      </w:pPr>
      <w:r>
        <w:rPr>
          <w:rFonts w:ascii="Cambria" w:hAnsi="Cambria" w:cstheme="minorHAnsi"/>
          <w:b/>
          <w:sz w:val="24"/>
          <w:szCs w:val="24"/>
        </w:rPr>
        <w:t>CLÁUSULA SÉTIMA - DAS SANÇÕES</w:t>
      </w:r>
    </w:p>
    <w:p>
      <w:pPr>
        <w:jc w:val="both"/>
        <w:rPr>
          <w:rFonts w:ascii="Cambria" w:hAnsi="Cambria" w:cstheme="minorHAnsi"/>
          <w:sz w:val="24"/>
          <w:szCs w:val="24"/>
        </w:rPr>
      </w:pPr>
      <w:r>
        <w:rPr>
          <w:rFonts w:ascii="Cambria" w:hAnsi="Cambria" w:cstheme="minorHAnsi"/>
          <w:b/>
          <w:sz w:val="24"/>
          <w:szCs w:val="24"/>
        </w:rPr>
        <w:t>7.1.</w:t>
      </w:r>
      <w:r>
        <w:rPr>
          <w:rFonts w:ascii="Cambria" w:hAnsi="Cambria" w:cstheme="minorHAnsi"/>
          <w:sz w:val="24"/>
          <w:szCs w:val="24"/>
        </w:rPr>
        <w:t xml:space="preserve"> Comete infração administrativa, a Contratada que:</w:t>
      </w:r>
    </w:p>
    <w:p>
      <w:pPr>
        <w:pStyle w:val="PargrafodaLista"/>
        <w:numPr>
          <w:ilvl w:val="1"/>
          <w:numId w:val="45"/>
        </w:numPr>
        <w:ind w:left="0" w:firstLine="0"/>
        <w:jc w:val="both"/>
        <w:rPr>
          <w:rFonts w:ascii="Cambria" w:hAnsi="Cambria" w:cstheme="minorHAnsi"/>
          <w:sz w:val="24"/>
          <w:szCs w:val="24"/>
        </w:rPr>
      </w:pPr>
      <w:r>
        <w:rPr>
          <w:rFonts w:ascii="Cambria" w:hAnsi="Cambria" w:cstheme="minorHAnsi"/>
          <w:sz w:val="24"/>
          <w:szCs w:val="24"/>
        </w:rPr>
        <w:t>Der causa à inexecução parcial do contrato;</w:t>
      </w:r>
    </w:p>
    <w:p>
      <w:pPr>
        <w:pStyle w:val="PargrafodaLista"/>
        <w:numPr>
          <w:ilvl w:val="1"/>
          <w:numId w:val="45"/>
        </w:numPr>
        <w:ind w:left="0" w:firstLine="0"/>
        <w:jc w:val="both"/>
        <w:rPr>
          <w:rFonts w:ascii="Cambria" w:hAnsi="Cambria" w:cstheme="minorHAnsi"/>
          <w:sz w:val="24"/>
          <w:szCs w:val="24"/>
        </w:rPr>
      </w:pPr>
      <w:r>
        <w:rPr>
          <w:rFonts w:ascii="Cambria" w:hAnsi="Cambria" w:cstheme="minorHAnsi"/>
          <w:sz w:val="24"/>
          <w:szCs w:val="24"/>
        </w:rPr>
        <w:t>Der causa à inexecução parcial do contrato que cause grave dano à Administração ou ao funcionamento dos serviços públicos ou ao interesse coletivo;</w:t>
      </w:r>
    </w:p>
    <w:p>
      <w:pPr>
        <w:pStyle w:val="PargrafodaLista"/>
        <w:numPr>
          <w:ilvl w:val="1"/>
          <w:numId w:val="45"/>
        </w:numPr>
        <w:ind w:left="0" w:firstLine="0"/>
        <w:jc w:val="both"/>
        <w:rPr>
          <w:rFonts w:ascii="Cambria" w:hAnsi="Cambria" w:cstheme="minorHAnsi"/>
          <w:sz w:val="24"/>
          <w:szCs w:val="24"/>
        </w:rPr>
      </w:pPr>
      <w:r>
        <w:rPr>
          <w:rFonts w:ascii="Cambria" w:hAnsi="Cambria" w:cstheme="minorHAnsi"/>
          <w:sz w:val="24"/>
          <w:szCs w:val="24"/>
        </w:rPr>
        <w:t>Der causa à inexecução total do contrato;</w:t>
      </w:r>
    </w:p>
    <w:p>
      <w:pPr>
        <w:pStyle w:val="PargrafodaLista"/>
        <w:numPr>
          <w:ilvl w:val="1"/>
          <w:numId w:val="45"/>
        </w:numPr>
        <w:ind w:left="0" w:firstLine="0"/>
        <w:jc w:val="both"/>
        <w:rPr>
          <w:rFonts w:ascii="Cambria" w:hAnsi="Cambria" w:cstheme="minorHAnsi"/>
          <w:sz w:val="24"/>
          <w:szCs w:val="24"/>
        </w:rPr>
      </w:pPr>
      <w:r>
        <w:rPr>
          <w:rFonts w:ascii="Cambria" w:hAnsi="Cambria" w:cstheme="minorHAnsi"/>
          <w:sz w:val="24"/>
          <w:szCs w:val="24"/>
        </w:rPr>
        <w:t>Deixar de entregar a documentação exigida para o certame;</w:t>
      </w:r>
    </w:p>
    <w:p>
      <w:pPr>
        <w:pStyle w:val="PargrafodaLista"/>
        <w:numPr>
          <w:ilvl w:val="1"/>
          <w:numId w:val="45"/>
        </w:numPr>
        <w:ind w:left="0" w:firstLine="0"/>
        <w:jc w:val="both"/>
        <w:rPr>
          <w:rFonts w:ascii="Cambria" w:hAnsi="Cambria" w:cstheme="minorHAnsi"/>
          <w:sz w:val="24"/>
          <w:szCs w:val="24"/>
        </w:rPr>
      </w:pPr>
      <w:r>
        <w:rPr>
          <w:rFonts w:ascii="Cambria" w:hAnsi="Cambria" w:cstheme="minorHAnsi"/>
          <w:sz w:val="24"/>
          <w:szCs w:val="24"/>
        </w:rPr>
        <w:t>Não manter a proposta, salvo em decorrência de fato superveniente devidamente justificado;</w:t>
      </w:r>
    </w:p>
    <w:p>
      <w:pPr>
        <w:pStyle w:val="PargrafodaLista"/>
        <w:numPr>
          <w:ilvl w:val="1"/>
          <w:numId w:val="45"/>
        </w:numPr>
        <w:ind w:left="0" w:firstLine="0"/>
        <w:jc w:val="both"/>
        <w:rPr>
          <w:rFonts w:ascii="Cambria" w:hAnsi="Cambria" w:cstheme="minorHAnsi"/>
          <w:sz w:val="24"/>
          <w:szCs w:val="24"/>
        </w:rPr>
      </w:pPr>
      <w:r>
        <w:rPr>
          <w:rFonts w:ascii="Cambria" w:hAnsi="Cambria" w:cstheme="minorHAnsi"/>
          <w:sz w:val="24"/>
          <w:szCs w:val="24"/>
        </w:rPr>
        <w:t>Não celebrar o contrato ou não entregar a documentação exigida para a contratação, quando convocado dentro do prazo de validade de sua proposta;</w:t>
      </w:r>
    </w:p>
    <w:p>
      <w:pPr>
        <w:pStyle w:val="PargrafodaLista"/>
        <w:numPr>
          <w:ilvl w:val="1"/>
          <w:numId w:val="45"/>
        </w:numPr>
        <w:ind w:left="0" w:firstLine="0"/>
        <w:jc w:val="both"/>
        <w:rPr>
          <w:rFonts w:ascii="Cambria" w:hAnsi="Cambria" w:cstheme="minorHAnsi"/>
          <w:sz w:val="24"/>
          <w:szCs w:val="24"/>
        </w:rPr>
      </w:pPr>
      <w:r>
        <w:rPr>
          <w:rFonts w:ascii="Cambria" w:hAnsi="Cambria" w:cstheme="minorHAnsi"/>
          <w:sz w:val="24"/>
          <w:szCs w:val="24"/>
        </w:rPr>
        <w:t>Ensejar o retardamento da execução ou da entrega do objeto da contratação sem motivo justificado;</w:t>
      </w:r>
    </w:p>
    <w:p>
      <w:pPr>
        <w:pStyle w:val="PargrafodaLista"/>
        <w:numPr>
          <w:ilvl w:val="1"/>
          <w:numId w:val="45"/>
        </w:numPr>
        <w:ind w:left="0" w:firstLine="0"/>
        <w:jc w:val="both"/>
        <w:rPr>
          <w:rFonts w:ascii="Cambria" w:hAnsi="Cambria" w:cstheme="minorHAnsi"/>
          <w:sz w:val="24"/>
          <w:szCs w:val="24"/>
        </w:rPr>
      </w:pPr>
      <w:r>
        <w:rPr>
          <w:rFonts w:ascii="Cambria" w:hAnsi="Cambria" w:cstheme="minorHAnsi"/>
          <w:sz w:val="24"/>
          <w:szCs w:val="24"/>
        </w:rPr>
        <w:t>Apresentar declaração ou documentação falsa exigida para o certame ou prestar declaração falsa durante a dispensa eletrônica ou execução do contrato;</w:t>
      </w:r>
    </w:p>
    <w:p>
      <w:pPr>
        <w:pStyle w:val="PargrafodaLista"/>
        <w:numPr>
          <w:ilvl w:val="1"/>
          <w:numId w:val="45"/>
        </w:numPr>
        <w:ind w:left="0" w:firstLine="0"/>
        <w:jc w:val="both"/>
        <w:rPr>
          <w:rFonts w:ascii="Cambria" w:hAnsi="Cambria" w:cstheme="minorHAnsi"/>
          <w:sz w:val="24"/>
          <w:szCs w:val="24"/>
        </w:rPr>
      </w:pPr>
      <w:r>
        <w:rPr>
          <w:rFonts w:ascii="Cambria" w:hAnsi="Cambria" w:cstheme="minorHAnsi"/>
          <w:sz w:val="24"/>
          <w:szCs w:val="24"/>
        </w:rPr>
        <w:t>Fraudar a contratação ou praticar ato fraudulento na execução do contrato;</w:t>
      </w:r>
    </w:p>
    <w:p>
      <w:pPr>
        <w:pStyle w:val="PargrafodaLista"/>
        <w:numPr>
          <w:ilvl w:val="1"/>
          <w:numId w:val="45"/>
        </w:numPr>
        <w:ind w:left="0" w:firstLine="0"/>
        <w:jc w:val="both"/>
        <w:rPr>
          <w:rFonts w:ascii="Cambria" w:hAnsi="Cambria" w:cstheme="minorHAnsi"/>
          <w:sz w:val="24"/>
          <w:szCs w:val="24"/>
        </w:rPr>
      </w:pPr>
      <w:r>
        <w:rPr>
          <w:rFonts w:ascii="Cambria" w:hAnsi="Cambria" w:cstheme="minorHAnsi"/>
          <w:sz w:val="24"/>
          <w:szCs w:val="24"/>
        </w:rPr>
        <w:t>Comportar-se de modo inidôneo ou cometer fraude de qualquer natureza;</w:t>
      </w:r>
    </w:p>
    <w:p>
      <w:pPr>
        <w:pStyle w:val="PargrafodaLista"/>
        <w:numPr>
          <w:ilvl w:val="1"/>
          <w:numId w:val="45"/>
        </w:numPr>
        <w:ind w:left="0" w:firstLine="0"/>
        <w:jc w:val="both"/>
        <w:rPr>
          <w:rFonts w:ascii="Cambria" w:hAnsi="Cambria" w:cstheme="minorHAnsi"/>
          <w:sz w:val="24"/>
          <w:szCs w:val="24"/>
        </w:rPr>
      </w:pPr>
      <w:r>
        <w:rPr>
          <w:rFonts w:ascii="Cambria" w:hAnsi="Cambria" w:cstheme="minorHAnsi"/>
          <w:sz w:val="24"/>
          <w:szCs w:val="24"/>
        </w:rPr>
        <w:t>Praticar atos ilícitos com vistas a frustrar os objetivos da contratação;</w:t>
      </w:r>
    </w:p>
    <w:p>
      <w:pPr>
        <w:pStyle w:val="PargrafodaLista"/>
        <w:numPr>
          <w:ilvl w:val="1"/>
          <w:numId w:val="45"/>
        </w:numPr>
        <w:ind w:left="0" w:firstLine="0"/>
        <w:jc w:val="both"/>
        <w:rPr>
          <w:rFonts w:ascii="Cambria" w:hAnsi="Cambria" w:cstheme="minorHAnsi"/>
          <w:sz w:val="24"/>
          <w:szCs w:val="24"/>
        </w:rPr>
      </w:pPr>
      <w:r>
        <w:rPr>
          <w:rFonts w:ascii="Cambria" w:hAnsi="Cambria" w:cstheme="minorHAnsi"/>
          <w:sz w:val="24"/>
          <w:szCs w:val="24"/>
        </w:rPr>
        <w:t>Praticar ato lesivo previsto no art. 5º da Lei nº 12.846, de 1º de agosto de 2013.</w:t>
      </w:r>
    </w:p>
    <w:p>
      <w:pPr>
        <w:jc w:val="both"/>
        <w:rPr>
          <w:rFonts w:ascii="Cambria" w:hAnsi="Cambria" w:cstheme="minorHAnsi"/>
          <w:sz w:val="24"/>
          <w:szCs w:val="24"/>
        </w:rPr>
      </w:pPr>
    </w:p>
    <w:p>
      <w:pPr>
        <w:jc w:val="both"/>
        <w:rPr>
          <w:rFonts w:ascii="Cambria" w:hAnsi="Cambria" w:cstheme="minorHAnsi"/>
          <w:sz w:val="24"/>
          <w:szCs w:val="24"/>
        </w:rPr>
      </w:pPr>
      <w:r>
        <w:rPr>
          <w:rFonts w:ascii="Cambria" w:hAnsi="Cambria" w:cstheme="minorHAnsi"/>
          <w:b/>
          <w:bCs/>
          <w:sz w:val="24"/>
          <w:szCs w:val="24"/>
        </w:rPr>
        <w:t>7.2.</w:t>
      </w:r>
      <w:r>
        <w:rPr>
          <w:rFonts w:ascii="Cambria" w:hAnsi="Cambria" w:cstheme="minorHAnsi"/>
          <w:sz w:val="24"/>
          <w:szCs w:val="24"/>
        </w:rPr>
        <w:t xml:space="preserve"> Serão aplicadas à responsável pelas infrações administrativas acima descritas as seguintes sanções:</w:t>
      </w:r>
    </w:p>
    <w:p>
      <w:pPr>
        <w:jc w:val="both"/>
        <w:rPr>
          <w:rFonts w:ascii="Cambria" w:hAnsi="Cambria" w:cstheme="minorHAnsi"/>
          <w:sz w:val="24"/>
          <w:szCs w:val="24"/>
        </w:rPr>
      </w:pPr>
      <w:r>
        <w:rPr>
          <w:rFonts w:ascii="Cambria" w:hAnsi="Cambria" w:cstheme="minorHAnsi"/>
          <w:b/>
          <w:sz w:val="24"/>
          <w:szCs w:val="24"/>
        </w:rPr>
        <w:t>a)</w:t>
      </w:r>
      <w:r>
        <w:rPr>
          <w:rFonts w:ascii="Cambria" w:hAnsi="Cambria" w:cstheme="minorHAnsi"/>
          <w:sz w:val="24"/>
          <w:szCs w:val="24"/>
        </w:rPr>
        <w:t xml:space="preserve"> Advertência, quando a Contratada der causa à inexecução parcial do contrato, sempre que não se justificar a imposição de penalidade mais grave);</w:t>
      </w:r>
    </w:p>
    <w:p>
      <w:pPr>
        <w:jc w:val="both"/>
        <w:rPr>
          <w:rFonts w:ascii="Cambria" w:hAnsi="Cambria" w:cstheme="minorHAnsi"/>
          <w:sz w:val="24"/>
          <w:szCs w:val="24"/>
        </w:rPr>
      </w:pPr>
      <w:r>
        <w:rPr>
          <w:rFonts w:ascii="Cambria" w:hAnsi="Cambria" w:cstheme="minorHAnsi"/>
          <w:b/>
          <w:sz w:val="24"/>
          <w:szCs w:val="24"/>
        </w:rPr>
        <w:t>b)</w:t>
      </w:r>
      <w:r>
        <w:rPr>
          <w:rFonts w:ascii="Cambria" w:hAnsi="Cambria" w:cstheme="minorHAnsi"/>
          <w:sz w:val="24"/>
          <w:szCs w:val="24"/>
        </w:rPr>
        <w:t xml:space="preserve"> Impedimento de licitar e contratar, quando praticadas as condutas descritas nas alíneas b, c, d, e, f e g do subitem acima deste contrato, sempre que não se justificar a imposição de penalidade mais grave. </w:t>
      </w:r>
    </w:p>
    <w:p>
      <w:pPr>
        <w:jc w:val="both"/>
        <w:rPr>
          <w:rFonts w:ascii="Cambria" w:hAnsi="Cambria" w:cstheme="minorHAnsi"/>
          <w:sz w:val="24"/>
          <w:szCs w:val="24"/>
        </w:rPr>
      </w:pPr>
      <w:r>
        <w:rPr>
          <w:rFonts w:ascii="Cambria" w:hAnsi="Cambria" w:cstheme="minorHAnsi"/>
          <w:b/>
          <w:sz w:val="24"/>
          <w:szCs w:val="24"/>
        </w:rPr>
        <w:lastRenderedPageBreak/>
        <w:t>c)</w:t>
      </w:r>
      <w:r>
        <w:rPr>
          <w:rFonts w:ascii="Cambria" w:hAnsi="Cambria" w:cstheme="minorHAnsi"/>
          <w:sz w:val="24"/>
          <w:szCs w:val="24"/>
        </w:rPr>
        <w:t xml:space="preserve"> Declaração de inidoneidade para licitar e contratar, quando praticadas as condutas descritas nas alíneas h, i, j, k e l do subitem acima deste contrato, bem como nas alíneas b, c, d, e, f e g, que justifiquem a imposição de penalidade mais grave</w:t>
      </w:r>
    </w:p>
    <w:p>
      <w:pPr>
        <w:jc w:val="both"/>
        <w:rPr>
          <w:rFonts w:ascii="Cambria" w:hAnsi="Cambria" w:cstheme="minorHAnsi"/>
          <w:sz w:val="24"/>
          <w:szCs w:val="24"/>
        </w:rPr>
      </w:pPr>
      <w:r>
        <w:rPr>
          <w:rFonts w:ascii="Cambria" w:hAnsi="Cambria" w:cstheme="minorHAnsi"/>
          <w:b/>
          <w:sz w:val="24"/>
          <w:szCs w:val="24"/>
        </w:rPr>
        <w:t>d)</w:t>
      </w:r>
      <w:r>
        <w:rPr>
          <w:rFonts w:ascii="Cambria" w:hAnsi="Cambria" w:cstheme="minorHAnsi"/>
          <w:sz w:val="24"/>
          <w:szCs w:val="24"/>
        </w:rPr>
        <w:t xml:space="preserve"> Multa:</w:t>
      </w:r>
    </w:p>
    <w:p>
      <w:pPr>
        <w:jc w:val="both"/>
        <w:rPr>
          <w:rFonts w:ascii="Cambria" w:hAnsi="Cambria" w:cstheme="minorHAnsi"/>
          <w:sz w:val="24"/>
          <w:szCs w:val="24"/>
        </w:rPr>
      </w:pPr>
      <w:r>
        <w:rPr>
          <w:rFonts w:ascii="Cambria" w:hAnsi="Cambria" w:cstheme="minorHAnsi"/>
          <w:sz w:val="24"/>
          <w:szCs w:val="24"/>
        </w:rPr>
        <w:t>(1) moratória de 1% (um décimos por cento) por dia de atraso injustificado sobre o valor da parcela inadimplida, até o limite de 30% (trinta por cento) do contrato ou instrumento equivalente;</w:t>
      </w:r>
    </w:p>
    <w:p>
      <w:pPr>
        <w:jc w:val="both"/>
        <w:rPr>
          <w:rFonts w:ascii="Cambria" w:hAnsi="Cambria" w:cstheme="minorHAnsi"/>
          <w:sz w:val="24"/>
          <w:szCs w:val="24"/>
        </w:rPr>
      </w:pPr>
      <w:r>
        <w:rPr>
          <w:rFonts w:ascii="Cambria" w:hAnsi="Cambria" w:cstheme="minorHAnsi"/>
          <w:sz w:val="24"/>
          <w:szCs w:val="24"/>
        </w:rPr>
        <w:t>(2) compensatória de 5% (cinco por cento) sobre o valor da parcela inadimplida à Contratada que entregar o objeto contratual em desacordo com as especificações, condições e qualidade contratadas ou com irregularidades ou defeitos ocultos que o tornem impróprio para o fim a que se destina;</w:t>
      </w:r>
    </w:p>
    <w:p>
      <w:pPr>
        <w:jc w:val="both"/>
        <w:rPr>
          <w:rFonts w:ascii="Cambria" w:hAnsi="Cambria" w:cstheme="minorHAnsi"/>
          <w:sz w:val="24"/>
          <w:szCs w:val="24"/>
        </w:rPr>
      </w:pPr>
      <w:r>
        <w:rPr>
          <w:rFonts w:ascii="Cambria" w:hAnsi="Cambria" w:cstheme="minorHAnsi"/>
          <w:sz w:val="24"/>
          <w:szCs w:val="24"/>
        </w:rPr>
        <w:t>(3) compensatória de até 3% (três por cento) sobre o valor de referência ao licitante ou contratada que retardar o procedimento de contratação, descumprir preceito normativo ou obrigações assumidas, tais como:</w:t>
      </w:r>
    </w:p>
    <w:p>
      <w:pPr>
        <w:jc w:val="both"/>
        <w:rPr>
          <w:rFonts w:ascii="Cambria" w:hAnsi="Cambria" w:cstheme="minorHAnsi"/>
          <w:sz w:val="24"/>
          <w:szCs w:val="24"/>
        </w:rPr>
      </w:pPr>
      <w:r>
        <w:rPr>
          <w:rFonts w:ascii="Cambria" w:hAnsi="Cambria" w:cstheme="minorHAnsi"/>
          <w:sz w:val="24"/>
          <w:szCs w:val="24"/>
        </w:rPr>
        <w:t>I – Propor recursos manifestamente protelatórios em sede de contratação direta;</w:t>
      </w:r>
    </w:p>
    <w:p>
      <w:pPr>
        <w:jc w:val="both"/>
        <w:rPr>
          <w:rFonts w:ascii="Cambria" w:hAnsi="Cambria" w:cstheme="minorHAnsi"/>
          <w:sz w:val="24"/>
          <w:szCs w:val="24"/>
        </w:rPr>
      </w:pPr>
      <w:r>
        <w:rPr>
          <w:rFonts w:ascii="Cambria" w:hAnsi="Cambria" w:cstheme="minorHAnsi"/>
          <w:sz w:val="24"/>
          <w:szCs w:val="24"/>
        </w:rPr>
        <w:t>II – Deixar de providenciar o cadastramento da empresa vencedora da licitação ou da contratação direta junto ao Sistema de Cadastro de Fornecedores dentro do prazo concedido, salvo por motivo justificado e aceito pela administração;</w:t>
      </w:r>
    </w:p>
    <w:p>
      <w:pPr>
        <w:jc w:val="both"/>
        <w:rPr>
          <w:rFonts w:ascii="Cambria" w:hAnsi="Cambria" w:cstheme="minorHAnsi"/>
          <w:sz w:val="24"/>
          <w:szCs w:val="24"/>
        </w:rPr>
      </w:pPr>
      <w:r>
        <w:rPr>
          <w:rFonts w:ascii="Cambria" w:hAnsi="Cambria" w:cstheme="minorHAnsi"/>
          <w:sz w:val="24"/>
          <w:szCs w:val="24"/>
        </w:rPr>
        <w:t>III – Deixar de cumprir as exigências de reserva de cargos previstas em lei, bem como em outras normas específicas, para pessoa com deficiência, para reabilitado da Previdência Social e para aprendiz;</w:t>
      </w:r>
    </w:p>
    <w:p>
      <w:pPr>
        <w:jc w:val="both"/>
        <w:rPr>
          <w:rFonts w:ascii="Cambria" w:hAnsi="Cambria" w:cstheme="minorHAnsi"/>
          <w:sz w:val="24"/>
          <w:szCs w:val="24"/>
        </w:rPr>
      </w:pPr>
      <w:r>
        <w:rPr>
          <w:rFonts w:ascii="Cambria" w:hAnsi="Cambria" w:cstheme="minorHAnsi"/>
          <w:sz w:val="24"/>
          <w:szCs w:val="24"/>
        </w:rPr>
        <w:t>IV – Deixar de cumprir o modelo de gestão do contrato;</w:t>
      </w:r>
    </w:p>
    <w:p>
      <w:pPr>
        <w:jc w:val="both"/>
        <w:rPr>
          <w:rFonts w:ascii="Cambria" w:hAnsi="Cambria" w:cstheme="minorHAnsi"/>
          <w:sz w:val="24"/>
          <w:szCs w:val="24"/>
        </w:rPr>
      </w:pPr>
      <w:r>
        <w:rPr>
          <w:rFonts w:ascii="Cambria" w:hAnsi="Cambria" w:cstheme="minorHAnsi"/>
          <w:sz w:val="24"/>
          <w:szCs w:val="24"/>
        </w:rPr>
        <w:t>V – Deixar de complementar o valor da garantia recolhida após solicitação do Contratante;</w:t>
      </w:r>
    </w:p>
    <w:p>
      <w:pPr>
        <w:jc w:val="both"/>
        <w:rPr>
          <w:rFonts w:ascii="Cambria" w:hAnsi="Cambria" w:cstheme="minorHAnsi"/>
          <w:sz w:val="24"/>
          <w:szCs w:val="24"/>
        </w:rPr>
      </w:pPr>
      <w:r>
        <w:rPr>
          <w:rFonts w:ascii="Cambria" w:hAnsi="Cambria" w:cstheme="minorHAnsi"/>
          <w:sz w:val="24"/>
          <w:szCs w:val="24"/>
        </w:rPr>
        <w:t>VI – Não devolver os valores pagos indevidamente pelo Contratante;</w:t>
      </w:r>
    </w:p>
    <w:p>
      <w:pPr>
        <w:jc w:val="both"/>
        <w:rPr>
          <w:rFonts w:ascii="Cambria" w:hAnsi="Cambria" w:cstheme="minorHAnsi"/>
          <w:sz w:val="24"/>
          <w:szCs w:val="24"/>
        </w:rPr>
      </w:pPr>
      <w:r>
        <w:rPr>
          <w:rFonts w:ascii="Cambria" w:hAnsi="Cambria" w:cstheme="minorHAnsi"/>
          <w:sz w:val="24"/>
          <w:szCs w:val="24"/>
        </w:rPr>
        <w:t>VII – Não manter, durante a execução do contrato, todas as condições exigidas para a habilitação, em caso de licitação, ou para a qualificação, em caso de contratação direta, ou, ainda, quaisquer outras obrigações;</w:t>
      </w:r>
    </w:p>
    <w:p>
      <w:pPr>
        <w:jc w:val="both"/>
        <w:rPr>
          <w:rFonts w:ascii="Cambria" w:hAnsi="Cambria" w:cstheme="minorHAnsi"/>
          <w:sz w:val="24"/>
          <w:szCs w:val="24"/>
        </w:rPr>
      </w:pPr>
      <w:r>
        <w:rPr>
          <w:rFonts w:ascii="Cambria" w:hAnsi="Cambria" w:cstheme="minorHAnsi"/>
          <w:sz w:val="24"/>
          <w:szCs w:val="24"/>
        </w:rPr>
        <w:t>VIII – deixar de regularizar, no prazo definido pela administração, os documentos exigidos pela legislação para fins de liquidação e pagamento da despesa;</w:t>
      </w:r>
    </w:p>
    <w:p>
      <w:pPr>
        <w:jc w:val="both"/>
        <w:rPr>
          <w:rFonts w:ascii="Cambria" w:hAnsi="Cambria" w:cstheme="minorHAnsi"/>
          <w:sz w:val="24"/>
          <w:szCs w:val="24"/>
        </w:rPr>
      </w:pPr>
      <w:r>
        <w:rPr>
          <w:rFonts w:ascii="Cambria" w:hAnsi="Cambria" w:cstheme="minorHAnsi"/>
          <w:sz w:val="24"/>
          <w:szCs w:val="24"/>
        </w:rPr>
        <w:t>IX – Manter funcionário sem qualificação para a execução do objeto;</w:t>
      </w:r>
    </w:p>
    <w:p>
      <w:pPr>
        <w:jc w:val="both"/>
        <w:rPr>
          <w:rFonts w:ascii="Cambria" w:hAnsi="Cambria" w:cstheme="minorHAnsi"/>
          <w:sz w:val="24"/>
          <w:szCs w:val="24"/>
        </w:rPr>
      </w:pPr>
      <w:r>
        <w:rPr>
          <w:rFonts w:ascii="Cambria" w:hAnsi="Cambria" w:cstheme="minorHAnsi"/>
          <w:sz w:val="24"/>
          <w:szCs w:val="24"/>
        </w:rPr>
        <w:t>X – Utilizar as dependências do Contratante para fins diversos do objeto do contrato;</w:t>
      </w:r>
    </w:p>
    <w:p>
      <w:pPr>
        <w:jc w:val="both"/>
        <w:rPr>
          <w:rFonts w:ascii="Cambria" w:hAnsi="Cambria" w:cstheme="minorHAnsi"/>
          <w:sz w:val="24"/>
          <w:szCs w:val="24"/>
        </w:rPr>
      </w:pPr>
      <w:r>
        <w:rPr>
          <w:rFonts w:ascii="Cambria" w:hAnsi="Cambria" w:cstheme="minorHAnsi"/>
          <w:sz w:val="24"/>
          <w:szCs w:val="24"/>
        </w:rPr>
        <w:t>XI – deixar de substituir empregado cujo comportamento for incompatível com o interesse público, em especial quando solicitado pela administração;</w:t>
      </w:r>
    </w:p>
    <w:p>
      <w:pPr>
        <w:jc w:val="both"/>
        <w:rPr>
          <w:rFonts w:ascii="Cambria" w:hAnsi="Cambria" w:cstheme="minorHAnsi"/>
          <w:sz w:val="24"/>
          <w:szCs w:val="24"/>
        </w:rPr>
      </w:pPr>
      <w:r>
        <w:rPr>
          <w:rFonts w:ascii="Cambria" w:hAnsi="Cambria" w:cstheme="minorHAnsi"/>
          <w:sz w:val="24"/>
          <w:szCs w:val="24"/>
        </w:rPr>
        <w:t>XII – deixar de efetuar o pagamento de salários, vale-transporte, vale-refeição, seguros, encargos fiscais e sociais, bem como deixar de arcar com quaisquer outras despesas relacionadas à execução do contrato nas datas avençadas;</w:t>
      </w:r>
    </w:p>
    <w:p>
      <w:pPr>
        <w:jc w:val="both"/>
        <w:rPr>
          <w:rFonts w:ascii="Cambria" w:hAnsi="Cambria" w:cstheme="minorHAnsi"/>
          <w:sz w:val="24"/>
          <w:szCs w:val="24"/>
        </w:rPr>
      </w:pPr>
      <w:r>
        <w:rPr>
          <w:rFonts w:ascii="Cambria" w:hAnsi="Cambria" w:cstheme="minorHAnsi"/>
          <w:sz w:val="24"/>
          <w:szCs w:val="24"/>
        </w:rPr>
        <w:t>XIII – deixar de apresentar, quando solicitado, documentação fiscal, trabalhista e previdenciária regularizada;</w:t>
      </w:r>
    </w:p>
    <w:p>
      <w:pPr>
        <w:jc w:val="both"/>
        <w:rPr>
          <w:rFonts w:ascii="Cambria" w:hAnsi="Cambria" w:cstheme="minorHAnsi"/>
          <w:sz w:val="24"/>
          <w:szCs w:val="24"/>
        </w:rPr>
      </w:pPr>
      <w:r>
        <w:rPr>
          <w:rFonts w:ascii="Cambria" w:hAnsi="Cambria" w:cstheme="minorHAnsi"/>
          <w:sz w:val="24"/>
          <w:szCs w:val="24"/>
        </w:rPr>
        <w:t>XIV – deixar de regularizar os documentos fiscais no prazo concedido na hipótese de a Contratada enquadrar-se como Microempresa, Empresa de Pequeno Porte ou equiparados, nos termos da Lei Complementar Federal nº 123, de 14 de dezembro de 2006;</w:t>
      </w:r>
    </w:p>
    <w:p>
      <w:pPr>
        <w:jc w:val="both"/>
        <w:rPr>
          <w:rFonts w:ascii="Cambria" w:hAnsi="Cambria" w:cstheme="minorHAnsi"/>
          <w:sz w:val="24"/>
          <w:szCs w:val="24"/>
        </w:rPr>
      </w:pPr>
      <w:r>
        <w:rPr>
          <w:rFonts w:ascii="Cambria" w:hAnsi="Cambria" w:cstheme="minorHAnsi"/>
          <w:sz w:val="24"/>
          <w:szCs w:val="24"/>
        </w:rPr>
        <w:t>XV – Não manter atualizado e-mail para contato, sobretudo dos prepostos, nem informar à gestão e à fiscalização do contrato, no prazo de dois dias, a alteração de endereços, sobretudo quando este ato frustrar a regular notificação de instauração de processo sancionador;</w:t>
      </w:r>
    </w:p>
    <w:p>
      <w:pPr>
        <w:jc w:val="both"/>
        <w:rPr>
          <w:rFonts w:ascii="Cambria" w:hAnsi="Cambria" w:cstheme="minorHAnsi"/>
          <w:sz w:val="24"/>
          <w:szCs w:val="24"/>
        </w:rPr>
      </w:pPr>
      <w:r>
        <w:rPr>
          <w:rFonts w:ascii="Cambria" w:hAnsi="Cambria" w:cstheme="minorHAnsi"/>
          <w:sz w:val="24"/>
          <w:szCs w:val="24"/>
        </w:rPr>
        <w:t>XVI – subcontratar o objeto ou a execução de serviços em percentual superior ao permitido no contrato, ou de forma que configure inexistência de condições reais de prestação do serviço ou fornecimento do bem.</w:t>
      </w:r>
    </w:p>
    <w:p>
      <w:pPr>
        <w:jc w:val="both"/>
        <w:rPr>
          <w:rFonts w:ascii="Cambria" w:hAnsi="Cambria" w:cstheme="minorHAnsi"/>
          <w:sz w:val="24"/>
          <w:szCs w:val="24"/>
        </w:rPr>
      </w:pPr>
    </w:p>
    <w:p>
      <w:pPr>
        <w:jc w:val="both"/>
        <w:rPr>
          <w:rFonts w:ascii="Cambria" w:hAnsi="Cambria" w:cstheme="minorHAnsi"/>
          <w:sz w:val="24"/>
          <w:szCs w:val="24"/>
        </w:rPr>
      </w:pPr>
      <w:r>
        <w:rPr>
          <w:rFonts w:ascii="Cambria" w:hAnsi="Cambria" w:cstheme="minorHAnsi"/>
          <w:b/>
          <w:sz w:val="24"/>
          <w:szCs w:val="24"/>
        </w:rPr>
        <w:t>Nota Explicativa:</w:t>
      </w:r>
      <w:r>
        <w:rPr>
          <w:rFonts w:ascii="Cambria" w:hAnsi="Cambria" w:cstheme="minorHAnsi"/>
          <w:sz w:val="24"/>
          <w:szCs w:val="24"/>
        </w:rPr>
        <w:t xml:space="preserve"> É possível inserir hipóteses de multa e percentuais específicos para o fornecimento indicado, conforme detalhamento e especificidades indicadas no ETP ou TR, inclusive com periodicidade de atraso diferente do indicado no decreto (hora, quinzena etc)</w:t>
      </w:r>
    </w:p>
    <w:p>
      <w:pPr>
        <w:jc w:val="both"/>
        <w:rPr>
          <w:rFonts w:ascii="Cambria" w:hAnsi="Cambria" w:cstheme="minorHAnsi"/>
          <w:sz w:val="24"/>
          <w:szCs w:val="24"/>
        </w:rPr>
      </w:pPr>
      <w:r>
        <w:rPr>
          <w:rFonts w:ascii="Cambria" w:hAnsi="Cambria" w:cstheme="minorHAnsi"/>
          <w:b/>
          <w:sz w:val="24"/>
          <w:szCs w:val="24"/>
        </w:rPr>
        <w:t>e)</w:t>
      </w:r>
      <w:r>
        <w:rPr>
          <w:rFonts w:ascii="Cambria" w:hAnsi="Cambria" w:cstheme="minorHAnsi"/>
          <w:sz w:val="24"/>
          <w:szCs w:val="24"/>
        </w:rPr>
        <w:t xml:space="preserve"> O atraso superior a 20(vinte) dias, ou a manutenção da irregularidade, autoriza a Administração a promover a rescisão do contrato por descumprimento ou cumprimento irregular de suas cláusulas, conforme dispõe o inciso I do art. 137 da Lei n. 14.133, de 2021. </w:t>
      </w:r>
    </w:p>
    <w:p>
      <w:pPr>
        <w:jc w:val="both"/>
        <w:rPr>
          <w:rFonts w:ascii="Cambria" w:hAnsi="Cambria" w:cstheme="minorHAnsi"/>
          <w:sz w:val="24"/>
          <w:szCs w:val="24"/>
        </w:rPr>
      </w:pPr>
    </w:p>
    <w:p>
      <w:pPr>
        <w:jc w:val="both"/>
        <w:rPr>
          <w:rFonts w:ascii="Cambria" w:hAnsi="Cambria" w:cstheme="minorHAnsi"/>
          <w:sz w:val="24"/>
          <w:szCs w:val="24"/>
        </w:rPr>
      </w:pPr>
      <w:r>
        <w:rPr>
          <w:rFonts w:ascii="Cambria" w:hAnsi="Cambria" w:cstheme="minorHAnsi"/>
          <w:b/>
          <w:bCs/>
          <w:sz w:val="24"/>
          <w:szCs w:val="24"/>
        </w:rPr>
        <w:t>7.3.</w:t>
      </w:r>
      <w:r>
        <w:rPr>
          <w:rFonts w:ascii="Cambria" w:hAnsi="Cambria" w:cstheme="minorHAnsi"/>
          <w:sz w:val="24"/>
          <w:szCs w:val="24"/>
        </w:rPr>
        <w:t xml:space="preserve"> A aplicação das sanções previstas neste contrato não exclui, em hipótese alguma, a obrigação de reparação integral do dano causado ao Contratante.</w:t>
      </w:r>
    </w:p>
    <w:p>
      <w:pPr>
        <w:jc w:val="both"/>
        <w:rPr>
          <w:rFonts w:ascii="Cambria" w:hAnsi="Cambria" w:cstheme="minorHAnsi"/>
          <w:sz w:val="24"/>
          <w:szCs w:val="24"/>
        </w:rPr>
      </w:pPr>
    </w:p>
    <w:p>
      <w:pPr>
        <w:jc w:val="both"/>
        <w:rPr>
          <w:rFonts w:ascii="Cambria" w:hAnsi="Cambria" w:cstheme="minorHAnsi"/>
          <w:sz w:val="24"/>
          <w:szCs w:val="24"/>
        </w:rPr>
      </w:pPr>
      <w:r>
        <w:rPr>
          <w:rFonts w:ascii="Cambria" w:hAnsi="Cambria" w:cstheme="minorHAnsi"/>
          <w:b/>
          <w:bCs/>
          <w:sz w:val="24"/>
          <w:szCs w:val="24"/>
        </w:rPr>
        <w:t>7.4.</w:t>
      </w:r>
      <w:r>
        <w:rPr>
          <w:rFonts w:ascii="Cambria" w:hAnsi="Cambria" w:cstheme="minorHAnsi"/>
          <w:sz w:val="24"/>
          <w:szCs w:val="24"/>
        </w:rPr>
        <w:t xml:space="preserve"> Todas as sanções previstas neste contrato poderão ser aplicadas cumulativamente com a multa </w:t>
      </w:r>
    </w:p>
    <w:p>
      <w:pPr>
        <w:jc w:val="both"/>
        <w:rPr>
          <w:rFonts w:ascii="Cambria" w:hAnsi="Cambria" w:cstheme="minorHAnsi"/>
          <w:sz w:val="24"/>
          <w:szCs w:val="24"/>
        </w:rPr>
      </w:pPr>
      <w:r>
        <w:rPr>
          <w:rFonts w:ascii="Cambria" w:hAnsi="Cambria" w:cstheme="minorHAnsi"/>
          <w:b/>
          <w:bCs/>
          <w:sz w:val="24"/>
          <w:szCs w:val="24"/>
        </w:rPr>
        <w:t>7.4.1.</w:t>
      </w:r>
      <w:r>
        <w:rPr>
          <w:rFonts w:ascii="Cambria" w:hAnsi="Cambria" w:cstheme="minorHAnsi"/>
          <w:sz w:val="24"/>
          <w:szCs w:val="24"/>
        </w:rPr>
        <w:t xml:space="preserve"> Se a multa aplicada e as indenizações cabíveis forem superiores ao valor do pagamento eventualmente devido pelo Contratante à Contratada, além da perda desse valor, a diferença será descontada da garantia prestada ou será cobrada judicialmente.</w:t>
      </w:r>
    </w:p>
    <w:p>
      <w:pPr>
        <w:jc w:val="both"/>
        <w:rPr>
          <w:rFonts w:ascii="Cambria" w:hAnsi="Cambria" w:cstheme="minorHAnsi"/>
          <w:sz w:val="24"/>
          <w:szCs w:val="24"/>
        </w:rPr>
      </w:pPr>
    </w:p>
    <w:p>
      <w:pPr>
        <w:jc w:val="both"/>
        <w:rPr>
          <w:rFonts w:ascii="Cambria" w:hAnsi="Cambria" w:cstheme="minorHAnsi"/>
          <w:sz w:val="24"/>
          <w:szCs w:val="24"/>
        </w:rPr>
      </w:pPr>
      <w:r>
        <w:rPr>
          <w:rFonts w:ascii="Cambria" w:hAnsi="Cambria" w:cstheme="minorHAnsi"/>
          <w:b/>
          <w:bCs/>
          <w:sz w:val="24"/>
          <w:szCs w:val="24"/>
        </w:rPr>
        <w:t>7.4.2.</w:t>
      </w:r>
      <w:r>
        <w:rPr>
          <w:rFonts w:ascii="Cambria" w:hAnsi="Cambria" w:cstheme="minorHAnsi"/>
          <w:sz w:val="24"/>
          <w:szCs w:val="24"/>
        </w:rPr>
        <w:t xml:space="preserve"> Previamente ao encaminhamento à cobrança judicial, a multa poderá ser recolhida administrativamente no prazo máximo de 05 (cinco) dias, a contar da data do recebimento da comunicação enviada pela autoridade competente.</w:t>
      </w:r>
    </w:p>
    <w:p>
      <w:pPr>
        <w:jc w:val="both"/>
        <w:rPr>
          <w:rFonts w:ascii="Cambria" w:hAnsi="Cambria" w:cstheme="minorHAnsi"/>
          <w:sz w:val="24"/>
          <w:szCs w:val="24"/>
        </w:rPr>
      </w:pPr>
    </w:p>
    <w:p>
      <w:pPr>
        <w:jc w:val="both"/>
        <w:rPr>
          <w:rFonts w:ascii="Cambria" w:hAnsi="Cambria" w:cstheme="minorHAnsi"/>
          <w:sz w:val="24"/>
          <w:szCs w:val="24"/>
        </w:rPr>
      </w:pPr>
      <w:r>
        <w:rPr>
          <w:rFonts w:ascii="Cambria" w:hAnsi="Cambria" w:cstheme="minorHAnsi"/>
          <w:b/>
          <w:bCs/>
          <w:sz w:val="24"/>
          <w:szCs w:val="24"/>
        </w:rPr>
        <w:t>7.5.</w:t>
      </w:r>
      <w:r>
        <w:rPr>
          <w:rFonts w:ascii="Cambria" w:hAnsi="Cambria" w:cstheme="minorHAnsi"/>
          <w:sz w:val="24"/>
          <w:szCs w:val="24"/>
        </w:rPr>
        <w:t xml:space="preserve"> A aplicação das sanções realizar-se-á em processo administrativo que assegure o contraditório e a ampla defesa à Contratada, observando-se o procedimento previsto no caput e parágrafos do art. 158 da Lei nº 14.133, de 2021, para as penalidades de impedimento de licitar e contratar e de declaração de inidoneidade para licitar ou contratar.</w:t>
      </w:r>
    </w:p>
    <w:p>
      <w:pPr>
        <w:jc w:val="both"/>
        <w:rPr>
          <w:rFonts w:ascii="Cambria" w:hAnsi="Cambria" w:cstheme="minorHAnsi"/>
          <w:b/>
          <w:bCs/>
          <w:sz w:val="24"/>
          <w:szCs w:val="24"/>
        </w:rPr>
      </w:pPr>
    </w:p>
    <w:p>
      <w:pPr>
        <w:jc w:val="both"/>
        <w:rPr>
          <w:rFonts w:ascii="Cambria" w:hAnsi="Cambria" w:cstheme="minorHAnsi"/>
          <w:sz w:val="24"/>
          <w:szCs w:val="24"/>
        </w:rPr>
      </w:pPr>
      <w:r>
        <w:rPr>
          <w:rFonts w:ascii="Cambria" w:hAnsi="Cambria" w:cstheme="minorHAnsi"/>
          <w:b/>
          <w:bCs/>
          <w:sz w:val="24"/>
          <w:szCs w:val="24"/>
        </w:rPr>
        <w:t>7.6.</w:t>
      </w:r>
      <w:r>
        <w:rPr>
          <w:rFonts w:ascii="Cambria" w:hAnsi="Cambria" w:cstheme="minorHAnsi"/>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pPr>
        <w:jc w:val="both"/>
        <w:rPr>
          <w:rFonts w:ascii="Cambria" w:hAnsi="Cambria" w:cstheme="minorHAnsi"/>
          <w:b/>
          <w:bCs/>
          <w:sz w:val="24"/>
          <w:szCs w:val="24"/>
        </w:rPr>
      </w:pPr>
    </w:p>
    <w:p>
      <w:pPr>
        <w:jc w:val="both"/>
        <w:rPr>
          <w:rFonts w:ascii="Cambria" w:hAnsi="Cambria" w:cstheme="minorHAnsi"/>
          <w:sz w:val="24"/>
          <w:szCs w:val="24"/>
        </w:rPr>
      </w:pPr>
      <w:r>
        <w:rPr>
          <w:rFonts w:ascii="Cambria" w:hAnsi="Cambria" w:cstheme="minorHAnsi"/>
          <w:b/>
          <w:bCs/>
          <w:sz w:val="24"/>
          <w:szCs w:val="24"/>
        </w:rPr>
        <w:t>7.7.</w:t>
      </w:r>
      <w:r>
        <w:rPr>
          <w:rFonts w:ascii="Cambria" w:hAnsi="Cambria" w:cstheme="minorHAnsi"/>
          <w:sz w:val="24"/>
          <w:szCs w:val="24"/>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w:t>
      </w:r>
    </w:p>
    <w:p>
      <w:pPr>
        <w:jc w:val="both"/>
        <w:rPr>
          <w:rFonts w:ascii="Cambria" w:hAnsi="Cambria" w:cstheme="minorHAnsi"/>
          <w:b/>
          <w:bCs/>
          <w:sz w:val="24"/>
          <w:szCs w:val="24"/>
        </w:rPr>
      </w:pPr>
    </w:p>
    <w:p>
      <w:pPr>
        <w:jc w:val="both"/>
        <w:rPr>
          <w:rFonts w:ascii="Cambria" w:hAnsi="Cambria" w:cstheme="minorHAnsi"/>
          <w:sz w:val="24"/>
          <w:szCs w:val="24"/>
        </w:rPr>
      </w:pPr>
      <w:r>
        <w:rPr>
          <w:rFonts w:ascii="Cambria" w:hAnsi="Cambria" w:cstheme="minorHAnsi"/>
          <w:b/>
          <w:bCs/>
          <w:sz w:val="24"/>
          <w:szCs w:val="24"/>
        </w:rPr>
        <w:t>7.8.</w:t>
      </w:r>
      <w:r>
        <w:rPr>
          <w:rFonts w:ascii="Cambria" w:hAnsi="Cambria" w:cstheme="minorHAnsi"/>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pPr>
        <w:jc w:val="both"/>
        <w:rPr>
          <w:rFonts w:ascii="Cambria" w:hAnsi="Cambria" w:cstheme="minorHAnsi"/>
          <w:b/>
          <w:bCs/>
          <w:sz w:val="24"/>
          <w:szCs w:val="24"/>
        </w:rPr>
      </w:pPr>
    </w:p>
    <w:p>
      <w:pPr>
        <w:jc w:val="both"/>
        <w:rPr>
          <w:rFonts w:ascii="Cambria" w:hAnsi="Cambria" w:cstheme="minorHAnsi"/>
          <w:sz w:val="24"/>
          <w:szCs w:val="24"/>
        </w:rPr>
      </w:pPr>
      <w:r>
        <w:rPr>
          <w:rFonts w:ascii="Cambria" w:hAnsi="Cambria" w:cstheme="minorHAnsi"/>
          <w:b/>
          <w:bCs/>
          <w:sz w:val="24"/>
          <w:szCs w:val="24"/>
        </w:rPr>
        <w:t>7.9.</w:t>
      </w:r>
      <w:r>
        <w:rPr>
          <w:rFonts w:ascii="Cambria" w:hAnsi="Cambria" w:cstheme="minorHAnsi"/>
          <w:sz w:val="24"/>
          <w:szCs w:val="24"/>
        </w:rPr>
        <w:t xml:space="preserve"> As sanções de impedimento de licitar e contratar e declaração de inidoneidade para licitar ou contratar são passíveis de reabilitação na forma do Decreto municipal vigente.</w:t>
      </w:r>
    </w:p>
    <w:p>
      <w:pPr>
        <w:jc w:val="both"/>
        <w:rPr>
          <w:rFonts w:ascii="Cambria" w:hAnsi="Cambria" w:cstheme="minorHAnsi"/>
          <w:b/>
          <w:sz w:val="24"/>
          <w:szCs w:val="24"/>
        </w:rPr>
      </w:pPr>
    </w:p>
    <w:p>
      <w:pPr>
        <w:jc w:val="both"/>
        <w:rPr>
          <w:rFonts w:ascii="Cambria" w:hAnsi="Cambria" w:cstheme="minorHAnsi"/>
          <w:b/>
          <w:sz w:val="24"/>
          <w:szCs w:val="24"/>
        </w:rPr>
      </w:pPr>
      <w:r>
        <w:rPr>
          <w:rFonts w:ascii="Cambria" w:hAnsi="Cambria" w:cstheme="minorHAnsi"/>
          <w:b/>
          <w:sz w:val="24"/>
          <w:szCs w:val="24"/>
        </w:rPr>
        <w:t>CLÁUSULA OITAVA - DA EXTINÇÃO CONTRATUAL</w:t>
      </w:r>
    </w:p>
    <w:p>
      <w:pPr>
        <w:jc w:val="both"/>
        <w:rPr>
          <w:rFonts w:ascii="Cambria" w:hAnsi="Cambria" w:cstheme="minorHAnsi"/>
          <w:sz w:val="24"/>
          <w:szCs w:val="24"/>
        </w:rPr>
      </w:pPr>
      <w:r>
        <w:rPr>
          <w:rFonts w:ascii="Cambria" w:hAnsi="Cambria" w:cstheme="minorHAnsi"/>
          <w:b/>
          <w:sz w:val="24"/>
          <w:szCs w:val="24"/>
        </w:rPr>
        <w:t>8.1.</w:t>
      </w:r>
      <w:r>
        <w:rPr>
          <w:rFonts w:ascii="Cambria" w:hAnsi="Cambria" w:cstheme="minorHAnsi"/>
          <w:sz w:val="24"/>
          <w:szCs w:val="24"/>
        </w:rPr>
        <w:t>O contrato pode ser extinto antes de cumpridas as obrigações nele estipuladas, ou antes do prazo nele fixado, por algum dos motivos previstos no artigo 137 da Lei nº 14.133/2021, bem como amigavelmente, assegurados o contraditório e a ampla defesa.</w:t>
      </w:r>
    </w:p>
    <w:p>
      <w:pPr>
        <w:jc w:val="both"/>
        <w:rPr>
          <w:rFonts w:ascii="Cambria" w:hAnsi="Cambria" w:cstheme="minorHAnsi"/>
          <w:sz w:val="24"/>
          <w:szCs w:val="24"/>
        </w:rPr>
      </w:pPr>
      <w:r>
        <w:rPr>
          <w:rFonts w:ascii="Cambria" w:hAnsi="Cambria" w:cstheme="minorHAnsi"/>
          <w:b/>
          <w:bCs/>
          <w:sz w:val="24"/>
          <w:szCs w:val="24"/>
        </w:rPr>
        <w:t>8.1.1.</w:t>
      </w:r>
      <w:r>
        <w:rPr>
          <w:rFonts w:ascii="Cambria" w:hAnsi="Cambria" w:cstheme="minorHAnsi"/>
          <w:sz w:val="24"/>
          <w:szCs w:val="24"/>
        </w:rPr>
        <w:t xml:space="preserve"> Nesta hipótese, aplicam-se também os artigos 138 e 139 da mesma Lei.</w:t>
      </w:r>
    </w:p>
    <w:p>
      <w:pPr>
        <w:jc w:val="both"/>
        <w:rPr>
          <w:rFonts w:ascii="Cambria" w:hAnsi="Cambria" w:cstheme="minorHAnsi"/>
          <w:sz w:val="24"/>
          <w:szCs w:val="24"/>
        </w:rPr>
      </w:pPr>
      <w:r>
        <w:rPr>
          <w:rFonts w:ascii="Cambria" w:hAnsi="Cambria" w:cstheme="minorHAnsi"/>
          <w:b/>
          <w:bCs/>
          <w:sz w:val="24"/>
          <w:szCs w:val="24"/>
        </w:rPr>
        <w:t>8.1.2.</w:t>
      </w:r>
      <w:r>
        <w:rPr>
          <w:rFonts w:ascii="Cambria" w:hAnsi="Cambria" w:cstheme="minorHAnsi"/>
          <w:sz w:val="24"/>
          <w:szCs w:val="24"/>
        </w:rPr>
        <w:t xml:space="preserve"> A alteração social ou modificação da finalidade ou da estrutura da empresa não ensejará rescisão se não restringir sua capacidade de concluir o contrato.</w:t>
      </w:r>
    </w:p>
    <w:p>
      <w:pPr>
        <w:jc w:val="both"/>
        <w:rPr>
          <w:rFonts w:ascii="Cambria" w:hAnsi="Cambria" w:cstheme="minorHAnsi"/>
          <w:sz w:val="24"/>
          <w:szCs w:val="24"/>
        </w:rPr>
      </w:pPr>
      <w:r>
        <w:rPr>
          <w:rFonts w:ascii="Cambria" w:hAnsi="Cambria" w:cstheme="minorHAnsi"/>
          <w:b/>
          <w:bCs/>
          <w:sz w:val="24"/>
          <w:szCs w:val="24"/>
        </w:rPr>
        <w:t>8.1.2.1.</w:t>
      </w:r>
      <w:r>
        <w:rPr>
          <w:rFonts w:ascii="Cambria" w:hAnsi="Cambria" w:cstheme="minorHAnsi"/>
          <w:sz w:val="24"/>
          <w:szCs w:val="24"/>
        </w:rPr>
        <w:t xml:space="preserve"> Se a operação implicar mudança da pessoa jurídica contratada, deverá ser formalizado termo aditivo para alteração subjetiva.</w:t>
      </w:r>
    </w:p>
    <w:p>
      <w:pPr>
        <w:jc w:val="both"/>
        <w:rPr>
          <w:rFonts w:ascii="Cambria" w:hAnsi="Cambria" w:cstheme="minorHAnsi"/>
          <w:b/>
          <w:bCs/>
          <w:sz w:val="24"/>
          <w:szCs w:val="24"/>
        </w:rPr>
      </w:pPr>
    </w:p>
    <w:p>
      <w:pPr>
        <w:jc w:val="both"/>
        <w:rPr>
          <w:rFonts w:ascii="Cambria" w:hAnsi="Cambria" w:cstheme="minorHAnsi"/>
          <w:sz w:val="24"/>
          <w:szCs w:val="24"/>
        </w:rPr>
      </w:pPr>
      <w:r>
        <w:rPr>
          <w:rFonts w:ascii="Cambria" w:hAnsi="Cambria" w:cstheme="minorHAnsi"/>
          <w:b/>
          <w:bCs/>
          <w:sz w:val="24"/>
          <w:szCs w:val="24"/>
        </w:rPr>
        <w:t>8.2.</w:t>
      </w:r>
      <w:r>
        <w:rPr>
          <w:rFonts w:ascii="Cambria" w:hAnsi="Cambria" w:cstheme="minorHAnsi"/>
          <w:sz w:val="24"/>
          <w:szCs w:val="24"/>
        </w:rPr>
        <w:t xml:space="preserve"> O termo de rescisão, sempre que possível, será precedido:</w:t>
      </w:r>
    </w:p>
    <w:p>
      <w:pPr>
        <w:jc w:val="both"/>
        <w:rPr>
          <w:rFonts w:ascii="Cambria" w:hAnsi="Cambria" w:cstheme="minorHAnsi"/>
          <w:sz w:val="24"/>
          <w:szCs w:val="24"/>
        </w:rPr>
      </w:pPr>
      <w:r>
        <w:rPr>
          <w:rFonts w:ascii="Cambria" w:hAnsi="Cambria" w:cstheme="minorHAnsi"/>
          <w:b/>
          <w:bCs/>
          <w:sz w:val="24"/>
          <w:szCs w:val="24"/>
        </w:rPr>
        <w:t>8.2.1.</w:t>
      </w:r>
      <w:r>
        <w:rPr>
          <w:rFonts w:ascii="Cambria" w:hAnsi="Cambria" w:cstheme="minorHAnsi"/>
          <w:sz w:val="24"/>
          <w:szCs w:val="24"/>
        </w:rPr>
        <w:t xml:space="preserve"> Balanço dos eventos contratuais já cumpridos ou parcialmente cumpridos;</w:t>
      </w:r>
    </w:p>
    <w:p>
      <w:pPr>
        <w:jc w:val="both"/>
        <w:rPr>
          <w:rFonts w:ascii="Cambria" w:hAnsi="Cambria" w:cstheme="minorHAnsi"/>
          <w:sz w:val="24"/>
          <w:szCs w:val="24"/>
        </w:rPr>
      </w:pPr>
      <w:r>
        <w:rPr>
          <w:rFonts w:ascii="Cambria" w:hAnsi="Cambria" w:cstheme="minorHAnsi"/>
          <w:b/>
          <w:bCs/>
          <w:sz w:val="24"/>
          <w:szCs w:val="24"/>
        </w:rPr>
        <w:t>8.2.2.</w:t>
      </w:r>
      <w:r>
        <w:rPr>
          <w:rFonts w:ascii="Cambria" w:hAnsi="Cambria" w:cstheme="minorHAnsi"/>
          <w:sz w:val="24"/>
          <w:szCs w:val="24"/>
        </w:rPr>
        <w:t xml:space="preserve"> Relação dos pagamentos já efetuados e ainda devidos;</w:t>
      </w:r>
    </w:p>
    <w:p>
      <w:pPr>
        <w:jc w:val="both"/>
        <w:rPr>
          <w:rFonts w:ascii="Cambria" w:hAnsi="Cambria" w:cstheme="minorHAnsi"/>
          <w:sz w:val="24"/>
          <w:szCs w:val="24"/>
        </w:rPr>
      </w:pPr>
      <w:r>
        <w:rPr>
          <w:rFonts w:ascii="Cambria" w:hAnsi="Cambria" w:cstheme="minorHAnsi"/>
          <w:b/>
          <w:bCs/>
          <w:sz w:val="24"/>
          <w:szCs w:val="24"/>
        </w:rPr>
        <w:t>8.2.3.</w:t>
      </w:r>
      <w:r>
        <w:rPr>
          <w:rFonts w:ascii="Cambria" w:hAnsi="Cambria" w:cstheme="minorHAnsi"/>
          <w:sz w:val="24"/>
          <w:szCs w:val="24"/>
        </w:rPr>
        <w:t xml:space="preserve"> Indenizações e multas.</w:t>
      </w:r>
    </w:p>
    <w:p>
      <w:pPr>
        <w:jc w:val="both"/>
        <w:rPr>
          <w:rFonts w:ascii="Cambria" w:hAnsi="Cambria" w:cstheme="minorHAnsi"/>
          <w:b/>
          <w:bCs/>
          <w:sz w:val="24"/>
          <w:szCs w:val="24"/>
        </w:rPr>
      </w:pPr>
    </w:p>
    <w:p>
      <w:pPr>
        <w:jc w:val="both"/>
        <w:rPr>
          <w:rFonts w:ascii="Cambria" w:hAnsi="Cambria" w:cstheme="minorHAnsi"/>
          <w:sz w:val="24"/>
          <w:szCs w:val="24"/>
        </w:rPr>
      </w:pPr>
      <w:r>
        <w:rPr>
          <w:rFonts w:ascii="Cambria" w:hAnsi="Cambria" w:cstheme="minorHAnsi"/>
          <w:b/>
          <w:bCs/>
          <w:sz w:val="24"/>
          <w:szCs w:val="24"/>
        </w:rPr>
        <w:t>8.3.</w:t>
      </w:r>
      <w:r>
        <w:rPr>
          <w:rFonts w:ascii="Cambria" w:hAnsi="Cambria" w:cstheme="minorHAnsi"/>
          <w:sz w:val="24"/>
          <w:szCs w:val="24"/>
        </w:rPr>
        <w:t xml:space="preserve"> A extinção do contrato não configura óbice para o reconhecimento do desequilíbrio econômico-financeiro, hipótese em que será concedida indenização por meio de termo indenizatório, obedecidas as condicionantes legais.</w:t>
      </w:r>
    </w:p>
    <w:p>
      <w:pPr>
        <w:jc w:val="both"/>
        <w:rPr>
          <w:rFonts w:ascii="Cambria" w:hAnsi="Cambria" w:cstheme="minorHAnsi"/>
          <w:b/>
          <w:bCs/>
          <w:sz w:val="24"/>
          <w:szCs w:val="24"/>
        </w:rPr>
      </w:pPr>
    </w:p>
    <w:p>
      <w:pPr>
        <w:jc w:val="both"/>
        <w:rPr>
          <w:rFonts w:ascii="Cambria" w:hAnsi="Cambria" w:cstheme="minorHAnsi"/>
          <w:sz w:val="24"/>
          <w:szCs w:val="24"/>
        </w:rPr>
      </w:pPr>
      <w:r>
        <w:rPr>
          <w:rFonts w:ascii="Cambria" w:hAnsi="Cambria" w:cstheme="minorHAnsi"/>
          <w:b/>
          <w:bCs/>
          <w:sz w:val="24"/>
          <w:szCs w:val="24"/>
        </w:rPr>
        <w:t>8.4.</w:t>
      </w:r>
      <w:r>
        <w:rPr>
          <w:rFonts w:ascii="Cambria" w:hAnsi="Cambria" w:cstheme="minorHAnsi"/>
          <w:sz w:val="24"/>
          <w:szCs w:val="24"/>
        </w:rPr>
        <w:t xml:space="preserve"> O contrato poderá ser extinto caso se constate que a Contratada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pPr>
        <w:jc w:val="both"/>
        <w:rPr>
          <w:rFonts w:ascii="Cambria" w:hAnsi="Cambria" w:cstheme="minorHAnsi"/>
          <w:b/>
          <w:sz w:val="24"/>
          <w:szCs w:val="24"/>
        </w:rPr>
      </w:pPr>
    </w:p>
    <w:p>
      <w:pPr>
        <w:jc w:val="both"/>
        <w:rPr>
          <w:rFonts w:ascii="Cambria" w:hAnsi="Cambria" w:cstheme="minorHAnsi"/>
          <w:b/>
          <w:sz w:val="24"/>
          <w:szCs w:val="24"/>
        </w:rPr>
      </w:pPr>
      <w:r>
        <w:rPr>
          <w:rFonts w:ascii="Cambria" w:hAnsi="Cambria" w:cstheme="minorHAnsi"/>
          <w:b/>
          <w:sz w:val="24"/>
          <w:szCs w:val="24"/>
        </w:rPr>
        <w:t>CLÁUSULA NONA - DAS DISPOSIÇÕES FINAIS</w:t>
      </w:r>
    </w:p>
    <w:p>
      <w:pPr>
        <w:jc w:val="both"/>
        <w:rPr>
          <w:rFonts w:ascii="Cambria" w:hAnsi="Cambria" w:cstheme="minorHAnsi"/>
          <w:sz w:val="24"/>
          <w:szCs w:val="24"/>
        </w:rPr>
      </w:pPr>
      <w:r>
        <w:rPr>
          <w:rFonts w:ascii="Cambria" w:hAnsi="Cambria" w:cstheme="minorHAnsi"/>
          <w:b/>
          <w:sz w:val="24"/>
          <w:szCs w:val="24"/>
        </w:rPr>
        <w:t>9.1.</w:t>
      </w:r>
      <w:r>
        <w:rPr>
          <w:rFonts w:ascii="Cambria" w:hAnsi="Cambria" w:cstheme="minorHAnsi"/>
          <w:sz w:val="24"/>
          <w:szCs w:val="24"/>
        </w:rPr>
        <w:t xml:space="preserve"> O CONTRATADO se obriga a manter, durante toda a execução do contrato, em compatibilidade com as obrigações por ele assumidas, todas as condições de habilitação e qualificação exigidas na licitação.</w:t>
      </w:r>
    </w:p>
    <w:p>
      <w:pPr>
        <w:jc w:val="both"/>
        <w:rPr>
          <w:rFonts w:ascii="Cambria" w:hAnsi="Cambria" w:cstheme="minorHAnsi"/>
          <w:b/>
          <w:sz w:val="24"/>
          <w:szCs w:val="24"/>
        </w:rPr>
      </w:pPr>
    </w:p>
    <w:p>
      <w:pPr>
        <w:jc w:val="both"/>
        <w:rPr>
          <w:rFonts w:ascii="Cambria" w:hAnsi="Cambria" w:cstheme="minorHAnsi"/>
          <w:sz w:val="24"/>
          <w:szCs w:val="24"/>
        </w:rPr>
      </w:pPr>
      <w:r>
        <w:rPr>
          <w:rFonts w:ascii="Cambria" w:hAnsi="Cambria" w:cstheme="minorHAnsi"/>
          <w:b/>
          <w:sz w:val="24"/>
          <w:szCs w:val="24"/>
        </w:rPr>
        <w:t>9.2.</w:t>
      </w:r>
      <w:r>
        <w:rPr>
          <w:rFonts w:ascii="Cambria" w:hAnsi="Cambria" w:cstheme="minorHAnsi"/>
          <w:sz w:val="24"/>
          <w:szCs w:val="24"/>
        </w:rPr>
        <w:t xml:space="preserve"> O presente contrato tem seus termos e sua execução vinculada ao edital de licitação e à proposta licitatória. </w:t>
      </w:r>
    </w:p>
    <w:p>
      <w:pPr>
        <w:jc w:val="both"/>
        <w:rPr>
          <w:rFonts w:ascii="Cambria" w:hAnsi="Cambria" w:cstheme="minorHAnsi"/>
          <w:b/>
          <w:sz w:val="24"/>
          <w:szCs w:val="24"/>
        </w:rPr>
      </w:pPr>
    </w:p>
    <w:p>
      <w:pPr>
        <w:jc w:val="both"/>
        <w:rPr>
          <w:rFonts w:ascii="Cambria" w:hAnsi="Cambria" w:cstheme="minorHAnsi"/>
          <w:sz w:val="24"/>
          <w:szCs w:val="24"/>
        </w:rPr>
      </w:pPr>
      <w:r>
        <w:rPr>
          <w:rFonts w:ascii="Cambria" w:hAnsi="Cambria" w:cstheme="minorHAnsi"/>
          <w:b/>
          <w:sz w:val="24"/>
          <w:szCs w:val="24"/>
        </w:rPr>
        <w:t>9.3.</w:t>
      </w:r>
      <w:r>
        <w:rPr>
          <w:rFonts w:ascii="Cambria" w:hAnsi="Cambria" w:cstheme="minorHAnsi"/>
          <w:sz w:val="24"/>
          <w:szCs w:val="24"/>
        </w:rPr>
        <w:t xml:space="preserve"> O CONTRATANTE se reserva o direito de fazer uso de qualquer das prerrogativas dispostas no artigo 104 da Lei nº 14.133/2021 de 1º de abril de 2021, alterada e consolidada.</w:t>
      </w:r>
    </w:p>
    <w:p>
      <w:pPr>
        <w:jc w:val="both"/>
        <w:rPr>
          <w:rFonts w:ascii="Cambria" w:hAnsi="Cambria" w:cstheme="minorHAnsi"/>
          <w:b/>
          <w:sz w:val="24"/>
          <w:szCs w:val="24"/>
        </w:rPr>
      </w:pPr>
    </w:p>
    <w:p>
      <w:pPr>
        <w:jc w:val="both"/>
        <w:rPr>
          <w:rFonts w:ascii="Cambria" w:hAnsi="Cambria" w:cstheme="minorHAnsi"/>
          <w:sz w:val="24"/>
          <w:szCs w:val="24"/>
        </w:rPr>
      </w:pPr>
      <w:r>
        <w:rPr>
          <w:rFonts w:ascii="Cambria" w:hAnsi="Cambria" w:cstheme="minorHAnsi"/>
          <w:b/>
          <w:sz w:val="24"/>
          <w:szCs w:val="24"/>
        </w:rPr>
        <w:t>9.4.</w:t>
      </w:r>
      <w:r>
        <w:rPr>
          <w:rFonts w:ascii="Cambria" w:hAnsi="Cambria" w:cstheme="minorHAnsi"/>
          <w:sz w:val="24"/>
          <w:szCs w:val="24"/>
        </w:rPr>
        <w:t xml:space="preserve"> O presente contrato poderá ser alterado unilateralmente pela Administração ou por acordo das partes, com as devidas justificativas, nos casos previstos na Lei.</w:t>
      </w:r>
    </w:p>
    <w:p>
      <w:pPr>
        <w:jc w:val="both"/>
        <w:rPr>
          <w:rFonts w:ascii="Cambria" w:hAnsi="Cambria" w:cstheme="minorHAnsi"/>
          <w:b/>
          <w:sz w:val="24"/>
          <w:szCs w:val="24"/>
        </w:rPr>
      </w:pPr>
    </w:p>
    <w:p>
      <w:pPr>
        <w:jc w:val="both"/>
        <w:rPr>
          <w:rFonts w:ascii="Cambria" w:hAnsi="Cambria" w:cstheme="minorHAnsi"/>
          <w:sz w:val="24"/>
          <w:szCs w:val="24"/>
        </w:rPr>
      </w:pPr>
      <w:r>
        <w:rPr>
          <w:rFonts w:ascii="Cambria" w:hAnsi="Cambria" w:cstheme="minorHAnsi"/>
          <w:b/>
          <w:sz w:val="24"/>
          <w:szCs w:val="24"/>
        </w:rPr>
        <w:t>9.5.</w:t>
      </w:r>
      <w:r>
        <w:rPr>
          <w:rFonts w:ascii="Cambria" w:hAnsi="Cambria" w:cstheme="minorHAnsi"/>
          <w:sz w:val="24"/>
          <w:szCs w:val="24"/>
        </w:rPr>
        <w:t xml:space="preserve"> A inadimplência do contratado com referência aos encargos trabalhistas, fiscais e comerciais não transfere ao CONTRATANTE a responsabilidade por seu pagamento, nem poderá onerar o objeto do contrato ou restringir a regularização e o uso dos serviços pela Administração.</w:t>
      </w:r>
    </w:p>
    <w:p>
      <w:pPr>
        <w:jc w:val="both"/>
        <w:rPr>
          <w:rFonts w:ascii="Cambria" w:hAnsi="Cambria" w:cstheme="minorHAnsi"/>
          <w:b/>
          <w:sz w:val="24"/>
          <w:szCs w:val="24"/>
        </w:rPr>
      </w:pPr>
    </w:p>
    <w:p>
      <w:pPr>
        <w:jc w:val="both"/>
        <w:rPr>
          <w:rFonts w:ascii="Cambria" w:hAnsi="Cambria" w:cstheme="minorHAnsi"/>
          <w:sz w:val="24"/>
          <w:szCs w:val="24"/>
        </w:rPr>
      </w:pPr>
      <w:r>
        <w:rPr>
          <w:rFonts w:ascii="Cambria" w:hAnsi="Cambria" w:cstheme="minorHAnsi"/>
          <w:b/>
          <w:sz w:val="24"/>
          <w:szCs w:val="24"/>
        </w:rPr>
        <w:lastRenderedPageBreak/>
        <w:t>9.6.</w:t>
      </w:r>
      <w:r>
        <w:rPr>
          <w:rFonts w:ascii="Cambria" w:hAnsi="Cambria" w:cstheme="minorHAnsi"/>
          <w:sz w:val="24"/>
          <w:szCs w:val="24"/>
        </w:rPr>
        <w:t xml:space="preserve"> O contratado, na execução do contrato, sem prejuízo das responsabilidades contratuais e legais, não poderá subcontratar partes do contrato sem a expressa autorização da Administração.</w:t>
      </w:r>
    </w:p>
    <w:p>
      <w:pPr>
        <w:jc w:val="both"/>
        <w:rPr>
          <w:rFonts w:ascii="Cambria" w:hAnsi="Cambria" w:cstheme="minorHAnsi"/>
          <w:b/>
          <w:sz w:val="24"/>
          <w:szCs w:val="24"/>
        </w:rPr>
      </w:pPr>
    </w:p>
    <w:p>
      <w:pPr>
        <w:jc w:val="both"/>
        <w:rPr>
          <w:rFonts w:ascii="Cambria" w:hAnsi="Cambria" w:cstheme="minorHAnsi"/>
          <w:sz w:val="24"/>
          <w:szCs w:val="24"/>
        </w:rPr>
      </w:pPr>
      <w:r>
        <w:rPr>
          <w:rFonts w:ascii="Cambria" w:hAnsi="Cambria" w:cstheme="minorHAnsi"/>
          <w:b/>
          <w:sz w:val="24"/>
          <w:szCs w:val="24"/>
        </w:rPr>
        <w:t>9.7.</w:t>
      </w:r>
      <w:r>
        <w:rPr>
          <w:rFonts w:ascii="Cambria" w:hAnsi="Cambria" w:cstheme="minorHAnsi"/>
          <w:sz w:val="24"/>
          <w:szCs w:val="24"/>
        </w:rPr>
        <w:t xml:space="preserve"> A Administração rejeitará, no todo ou em parte, os bens fornecidos em desacordo com os termos do Processo Licitatório, da proposta e deste contrato.</w:t>
      </w:r>
    </w:p>
    <w:p>
      <w:pPr>
        <w:jc w:val="both"/>
        <w:rPr>
          <w:rFonts w:ascii="Cambria" w:hAnsi="Cambria" w:cstheme="minorHAnsi"/>
          <w:sz w:val="24"/>
          <w:szCs w:val="24"/>
        </w:rPr>
      </w:pPr>
      <w:r>
        <w:rPr>
          <w:rFonts w:ascii="Cambria" w:hAnsi="Cambria" w:cstheme="minorHAnsi"/>
          <w:b/>
          <w:sz w:val="24"/>
          <w:szCs w:val="24"/>
        </w:rPr>
        <w:t>9.8.</w:t>
      </w:r>
      <w:r>
        <w:rPr>
          <w:rFonts w:ascii="Cambria" w:hAnsi="Cambria" w:cstheme="minorHAnsi"/>
          <w:sz w:val="24"/>
          <w:szCs w:val="24"/>
        </w:rPr>
        <w:t xml:space="preserve"> Integram o presente contrato, independente de transcrição, todas as peças que formam o procedimento licitatório e a proposta adjudicada.</w:t>
      </w:r>
    </w:p>
    <w:p>
      <w:pPr>
        <w:jc w:val="both"/>
        <w:rPr>
          <w:rFonts w:ascii="Cambria" w:hAnsi="Cambria" w:cstheme="minorHAnsi"/>
          <w:b/>
          <w:sz w:val="24"/>
          <w:szCs w:val="24"/>
        </w:rPr>
      </w:pPr>
    </w:p>
    <w:p>
      <w:pPr>
        <w:jc w:val="both"/>
        <w:rPr>
          <w:rFonts w:ascii="Cambria" w:hAnsi="Cambria" w:cstheme="minorHAnsi"/>
          <w:sz w:val="24"/>
          <w:szCs w:val="24"/>
        </w:rPr>
      </w:pPr>
      <w:r>
        <w:rPr>
          <w:rFonts w:ascii="Cambria" w:hAnsi="Cambria" w:cstheme="minorHAnsi"/>
          <w:b/>
          <w:sz w:val="24"/>
          <w:szCs w:val="24"/>
        </w:rPr>
        <w:t>9.9.</w:t>
      </w:r>
      <w:r>
        <w:rPr>
          <w:rFonts w:ascii="Cambria" w:hAnsi="Cambria" w:cstheme="minorHAnsi"/>
          <w:sz w:val="24"/>
          <w:szCs w:val="24"/>
        </w:rPr>
        <w:t xml:space="preserve"> A Contratada, na vigência do Contrato, será a única responsável perante terceiros pelos atos praticados por seu pessoal, eximida a Contratante de quaisquer reclamações e indenizações.</w:t>
      </w:r>
    </w:p>
    <w:p>
      <w:pPr>
        <w:jc w:val="both"/>
        <w:rPr>
          <w:rFonts w:ascii="Cambria" w:hAnsi="Cambria" w:cstheme="minorHAnsi"/>
          <w:b/>
          <w:sz w:val="24"/>
          <w:szCs w:val="24"/>
        </w:rPr>
      </w:pPr>
    </w:p>
    <w:p>
      <w:pPr>
        <w:jc w:val="both"/>
        <w:rPr>
          <w:rFonts w:ascii="Cambria" w:hAnsi="Cambria" w:cstheme="minorHAnsi"/>
          <w:b/>
          <w:sz w:val="24"/>
          <w:szCs w:val="24"/>
        </w:rPr>
      </w:pPr>
      <w:r>
        <w:rPr>
          <w:rFonts w:ascii="Cambria" w:hAnsi="Cambria" w:cstheme="minorHAnsi"/>
          <w:b/>
          <w:sz w:val="24"/>
          <w:szCs w:val="24"/>
        </w:rPr>
        <w:t>CLÁUSULA DÉCIMA - DO FORO</w:t>
      </w:r>
    </w:p>
    <w:p>
      <w:pPr>
        <w:jc w:val="both"/>
        <w:rPr>
          <w:rFonts w:ascii="Cambria" w:hAnsi="Cambria" w:cstheme="minorHAnsi"/>
          <w:b/>
          <w:sz w:val="24"/>
          <w:szCs w:val="24"/>
        </w:rPr>
      </w:pPr>
    </w:p>
    <w:p>
      <w:pPr>
        <w:jc w:val="both"/>
        <w:rPr>
          <w:rFonts w:ascii="Cambria" w:hAnsi="Cambria" w:cstheme="minorHAnsi"/>
          <w:sz w:val="24"/>
          <w:szCs w:val="24"/>
        </w:rPr>
      </w:pPr>
      <w:r>
        <w:rPr>
          <w:rFonts w:ascii="Cambria" w:hAnsi="Cambria" w:cstheme="minorHAnsi"/>
          <w:b/>
          <w:sz w:val="24"/>
          <w:szCs w:val="24"/>
        </w:rPr>
        <w:t>10.1.</w:t>
      </w:r>
      <w:r>
        <w:rPr>
          <w:rFonts w:ascii="Cambria" w:hAnsi="Cambria" w:cstheme="minorHAnsi"/>
          <w:sz w:val="24"/>
          <w:szCs w:val="24"/>
        </w:rPr>
        <w:t xml:space="preserve"> O foro da Comarca de Miraíma/CE é o competente para dirimir questões decorrentes da execução deste Contrato, em obediência ao disposto no § 1º do artigo 99 da Lei 14.133/2021 de 1º de abril de 2021, alterada e consolidada.</w:t>
      </w:r>
    </w:p>
    <w:p>
      <w:pPr>
        <w:jc w:val="both"/>
        <w:rPr>
          <w:rFonts w:ascii="Cambria" w:hAnsi="Cambria" w:cstheme="minorHAnsi"/>
          <w:sz w:val="24"/>
          <w:szCs w:val="24"/>
        </w:rPr>
      </w:pPr>
    </w:p>
    <w:p>
      <w:pPr>
        <w:jc w:val="both"/>
        <w:rPr>
          <w:rFonts w:ascii="Cambria" w:hAnsi="Cambria" w:cstheme="minorHAnsi"/>
          <w:sz w:val="24"/>
          <w:szCs w:val="24"/>
        </w:rPr>
      </w:pPr>
      <w:r>
        <w:rPr>
          <w:rFonts w:ascii="Cambria" w:hAnsi="Cambria" w:cstheme="minorHAnsi"/>
          <w:sz w:val="24"/>
          <w:szCs w:val="24"/>
        </w:rPr>
        <w:t xml:space="preserve">Assim pactuadas, as partes firmam o presente Instrumento, lavrado na </w:t>
      </w:r>
      <w:r>
        <w:rPr>
          <w:rFonts w:ascii="Cambria" w:eastAsia="TimesNewRoman" w:hAnsi="Cambria" w:cstheme="minorHAnsi"/>
          <w:sz w:val="24"/>
          <w:szCs w:val="24"/>
        </w:rPr>
        <w:t>Prefeitura Municipal de Miraíma/CE</w:t>
      </w:r>
      <w:r>
        <w:rPr>
          <w:rFonts w:ascii="Cambria" w:hAnsi="Cambria" w:cstheme="minorHAnsi"/>
          <w:sz w:val="24"/>
          <w:szCs w:val="24"/>
        </w:rPr>
        <w:t>, perante testemunhas que também o assinam, para que produza os seus jurídicos e legais efeitos.</w:t>
      </w:r>
    </w:p>
    <w:p>
      <w:pPr>
        <w:jc w:val="right"/>
        <w:rPr>
          <w:rFonts w:ascii="Cambria" w:hAnsi="Cambria" w:cstheme="minorHAnsi"/>
          <w:sz w:val="24"/>
          <w:szCs w:val="24"/>
        </w:rPr>
      </w:pPr>
    </w:p>
    <w:p>
      <w:pPr>
        <w:jc w:val="right"/>
        <w:rPr>
          <w:rFonts w:ascii="Cambria" w:hAnsi="Cambria" w:cstheme="minorHAnsi"/>
          <w:sz w:val="24"/>
          <w:szCs w:val="24"/>
        </w:rPr>
      </w:pPr>
    </w:p>
    <w:p>
      <w:pPr>
        <w:jc w:val="center"/>
        <w:rPr>
          <w:rFonts w:ascii="Cambria" w:hAnsi="Cambria" w:cstheme="minorHAnsi"/>
          <w:sz w:val="24"/>
          <w:szCs w:val="24"/>
        </w:rPr>
      </w:pPr>
      <w:r>
        <w:rPr>
          <w:rFonts w:ascii="Cambria" w:hAnsi="Cambria" w:cstheme="minorHAnsi"/>
          <w:sz w:val="24"/>
          <w:szCs w:val="24"/>
        </w:rPr>
        <w:t>Miraíma - CE, ____ de __________ de  2026.</w:t>
      </w:r>
    </w:p>
    <w:p>
      <w:pPr>
        <w:jc w:val="center"/>
        <w:rPr>
          <w:rFonts w:ascii="Cambria" w:hAnsi="Cambria" w:cstheme="minorHAnsi"/>
          <w:sz w:val="24"/>
          <w:szCs w:val="24"/>
        </w:rPr>
      </w:pPr>
    </w:p>
    <w:p>
      <w:pPr>
        <w:jc w:val="center"/>
        <w:rPr>
          <w:rFonts w:ascii="Cambria" w:hAnsi="Cambria" w:cstheme="minorHAnsi"/>
          <w:sz w:val="24"/>
          <w:szCs w:val="24"/>
        </w:rPr>
      </w:pPr>
    </w:p>
    <w:p>
      <w:pPr>
        <w:rPr>
          <w:rFonts w:ascii="Cambria" w:hAnsi="Cambria" w:cstheme="minorHAnsi"/>
          <w:sz w:val="24"/>
          <w:szCs w:val="24"/>
        </w:rPr>
      </w:pPr>
      <w:r>
        <w:rPr>
          <w:rFonts w:ascii="Cambria" w:hAnsi="Cambria" w:cstheme="minorHAnsi"/>
          <w:sz w:val="24"/>
          <w:szCs w:val="24"/>
        </w:rPr>
        <w:t xml:space="preserve">                _______________________                                        ______________________</w:t>
      </w:r>
    </w:p>
    <w:tbl>
      <w:tblPr>
        <w:tblW w:w="9606" w:type="dxa"/>
        <w:jc w:val="center"/>
        <w:tblLook w:val="04A0" w:firstRow="1" w:lastRow="0" w:firstColumn="1" w:lastColumn="0" w:noHBand="0" w:noVBand="1"/>
      </w:tblPr>
      <w:tblGrid>
        <w:gridCol w:w="4361"/>
        <w:gridCol w:w="5245"/>
      </w:tblGrid>
      <w:tr>
        <w:trPr>
          <w:jc w:val="center"/>
        </w:trPr>
        <w:tc>
          <w:tcPr>
            <w:tcW w:w="4361" w:type="dxa"/>
          </w:tcPr>
          <w:p>
            <w:pPr>
              <w:autoSpaceDE w:val="0"/>
              <w:autoSpaceDN w:val="0"/>
              <w:adjustRightInd w:val="0"/>
              <w:jc w:val="center"/>
              <w:rPr>
                <w:rFonts w:ascii="Cambria" w:hAnsi="Cambria" w:cstheme="minorHAnsi"/>
                <w:b/>
                <w:bCs/>
                <w:sz w:val="24"/>
                <w:szCs w:val="24"/>
              </w:rPr>
            </w:pPr>
            <w:r>
              <w:rPr>
                <w:rFonts w:ascii="Cambria" w:hAnsi="Cambria" w:cstheme="minorHAnsi"/>
                <w:b/>
                <w:bCs/>
                <w:sz w:val="24"/>
                <w:szCs w:val="24"/>
              </w:rPr>
              <w:t>xxxxxxxxxxxxxxxx</w:t>
            </w:r>
          </w:p>
          <w:p>
            <w:pPr>
              <w:autoSpaceDE w:val="0"/>
              <w:autoSpaceDN w:val="0"/>
              <w:adjustRightInd w:val="0"/>
              <w:jc w:val="center"/>
              <w:rPr>
                <w:rFonts w:ascii="Cambria" w:hAnsi="Cambria" w:cstheme="minorHAnsi"/>
                <w:bCs/>
                <w:sz w:val="24"/>
                <w:szCs w:val="24"/>
              </w:rPr>
            </w:pPr>
            <w:r>
              <w:rPr>
                <w:rFonts w:ascii="Cambria" w:hAnsi="Cambria" w:cstheme="minorHAnsi"/>
                <w:bCs/>
                <w:sz w:val="24"/>
                <w:szCs w:val="24"/>
              </w:rPr>
              <w:t>SECRETARIA MUNICIPAL DE xxxxxxxxxxxxxx</w:t>
            </w:r>
          </w:p>
          <w:p>
            <w:pPr>
              <w:pStyle w:val="WW-Corpodetexto3"/>
              <w:autoSpaceDE w:val="0"/>
              <w:spacing w:after="0"/>
              <w:jc w:val="center"/>
              <w:rPr>
                <w:rFonts w:ascii="Cambria" w:hAnsi="Cambria" w:cstheme="minorHAnsi"/>
                <w:sz w:val="24"/>
                <w:szCs w:val="24"/>
                <w:lang w:eastAsia="pt-BR"/>
              </w:rPr>
            </w:pPr>
            <w:r>
              <w:rPr>
                <w:rFonts w:ascii="Cambria" w:hAnsi="Cambria" w:cstheme="minorHAnsi"/>
                <w:sz w:val="24"/>
                <w:szCs w:val="24"/>
                <w:lang w:eastAsia="pt-BR"/>
              </w:rPr>
              <w:t>CONTRATANTE</w:t>
            </w:r>
          </w:p>
          <w:p>
            <w:pPr>
              <w:autoSpaceDE w:val="0"/>
              <w:autoSpaceDN w:val="0"/>
              <w:adjustRightInd w:val="0"/>
              <w:jc w:val="center"/>
              <w:rPr>
                <w:rFonts w:ascii="Cambria" w:hAnsi="Cambria" w:cstheme="minorHAnsi"/>
                <w:spacing w:val="-4"/>
                <w:sz w:val="24"/>
                <w:szCs w:val="24"/>
              </w:rPr>
            </w:pPr>
          </w:p>
        </w:tc>
        <w:tc>
          <w:tcPr>
            <w:tcW w:w="5245" w:type="dxa"/>
          </w:tcPr>
          <w:p>
            <w:pPr>
              <w:jc w:val="center"/>
              <w:rPr>
                <w:rFonts w:ascii="Cambria" w:hAnsi="Cambria" w:cstheme="minorHAnsi"/>
                <w:iCs/>
                <w:sz w:val="24"/>
                <w:szCs w:val="24"/>
              </w:rPr>
            </w:pPr>
            <w:r>
              <w:rPr>
                <w:rFonts w:ascii="Cambria" w:hAnsi="Cambria" w:cstheme="minorHAnsi"/>
                <w:b/>
                <w:iCs/>
                <w:sz w:val="24"/>
                <w:szCs w:val="24"/>
              </w:rPr>
              <w:t>EMPRESA:</w:t>
            </w:r>
            <w:r>
              <w:rPr>
                <w:rFonts w:ascii="Cambria" w:hAnsi="Cambria" w:cstheme="minorHAnsi"/>
                <w:iCs/>
                <w:sz w:val="24"/>
                <w:szCs w:val="24"/>
              </w:rPr>
              <w:t xml:space="preserve"> </w:t>
            </w:r>
            <w:r>
              <w:rPr>
                <w:rFonts w:ascii="Cambria" w:hAnsi="Cambria" w:cstheme="minorHAnsi"/>
                <w:sz w:val="24"/>
                <w:szCs w:val="24"/>
              </w:rPr>
              <w:t>______________</w:t>
            </w:r>
          </w:p>
          <w:p>
            <w:pPr>
              <w:jc w:val="center"/>
              <w:rPr>
                <w:rFonts w:ascii="Cambria" w:hAnsi="Cambria" w:cstheme="minorHAnsi"/>
                <w:iCs/>
                <w:sz w:val="24"/>
                <w:szCs w:val="24"/>
              </w:rPr>
            </w:pPr>
            <w:r>
              <w:rPr>
                <w:rFonts w:ascii="Cambria" w:hAnsi="Cambria" w:cstheme="minorHAnsi"/>
                <w:iCs/>
                <w:sz w:val="24"/>
                <w:szCs w:val="24"/>
              </w:rPr>
              <w:t xml:space="preserve">Sr(a). </w:t>
            </w:r>
            <w:r>
              <w:rPr>
                <w:rFonts w:ascii="Cambria" w:hAnsi="Cambria" w:cstheme="minorHAnsi"/>
                <w:sz w:val="24"/>
                <w:szCs w:val="24"/>
              </w:rPr>
              <w:t>______________</w:t>
            </w:r>
          </w:p>
          <w:p>
            <w:pPr>
              <w:jc w:val="center"/>
              <w:rPr>
                <w:rFonts w:ascii="Cambria" w:hAnsi="Cambria" w:cstheme="minorHAnsi"/>
                <w:spacing w:val="-4"/>
                <w:sz w:val="24"/>
                <w:szCs w:val="24"/>
              </w:rPr>
            </w:pPr>
            <w:r>
              <w:rPr>
                <w:rFonts w:ascii="Cambria" w:eastAsia="TimesNewRoman" w:hAnsi="Cambria" w:cstheme="minorHAnsi"/>
                <w:sz w:val="24"/>
                <w:szCs w:val="24"/>
              </w:rPr>
              <w:t>CONTRATADA</w:t>
            </w:r>
          </w:p>
        </w:tc>
      </w:tr>
    </w:tbl>
    <w:p>
      <w:pPr>
        <w:rPr>
          <w:rFonts w:ascii="Cambria" w:hAnsi="Cambria" w:cstheme="minorHAnsi"/>
          <w:b/>
          <w:bCs/>
          <w:sz w:val="24"/>
          <w:szCs w:val="24"/>
        </w:rPr>
      </w:pPr>
    </w:p>
    <w:p>
      <w:pPr>
        <w:rPr>
          <w:rFonts w:ascii="Cambria" w:hAnsi="Cambria" w:cstheme="minorHAnsi"/>
          <w:b/>
          <w:sz w:val="24"/>
          <w:szCs w:val="24"/>
        </w:rPr>
      </w:pPr>
      <w:r>
        <w:rPr>
          <w:rFonts w:ascii="Cambria" w:hAnsi="Cambria" w:cstheme="minorHAnsi"/>
          <w:b/>
          <w:sz w:val="24"/>
          <w:szCs w:val="24"/>
        </w:rPr>
        <w:t>TESTEMUNHAS:</w:t>
      </w:r>
    </w:p>
    <w:p>
      <w:pPr>
        <w:rPr>
          <w:rFonts w:ascii="Cambria" w:hAnsi="Cambria" w:cstheme="minorHAnsi"/>
          <w:b/>
          <w:sz w:val="24"/>
          <w:szCs w:val="24"/>
        </w:rPr>
      </w:pPr>
    </w:p>
    <w:p>
      <w:pPr>
        <w:rPr>
          <w:rFonts w:ascii="Cambria" w:hAnsi="Cambria" w:cstheme="minorHAnsi"/>
          <w:sz w:val="24"/>
          <w:szCs w:val="24"/>
        </w:rPr>
      </w:pPr>
      <w:r>
        <w:rPr>
          <w:rFonts w:ascii="Cambria" w:hAnsi="Cambria" w:cstheme="minorHAnsi"/>
          <w:b/>
          <w:sz w:val="24"/>
          <w:szCs w:val="24"/>
        </w:rPr>
        <w:t>1</w:t>
      </w:r>
      <w:r>
        <w:rPr>
          <w:rFonts w:ascii="Cambria" w:hAnsi="Cambria" w:cstheme="minorHAnsi"/>
          <w:sz w:val="24"/>
          <w:szCs w:val="24"/>
        </w:rPr>
        <w:t>.____________________________________________ CPF nº __________________________</w:t>
      </w:r>
    </w:p>
    <w:p>
      <w:pPr>
        <w:rPr>
          <w:rFonts w:ascii="Cambria" w:hAnsi="Cambria" w:cstheme="minorHAnsi"/>
          <w:b/>
          <w:sz w:val="24"/>
          <w:szCs w:val="24"/>
        </w:rPr>
      </w:pPr>
    </w:p>
    <w:p>
      <w:pPr>
        <w:rPr>
          <w:rFonts w:ascii="Cambria" w:hAnsi="Cambria" w:cstheme="minorHAnsi"/>
          <w:sz w:val="24"/>
          <w:szCs w:val="24"/>
        </w:rPr>
      </w:pPr>
      <w:r>
        <w:rPr>
          <w:rFonts w:ascii="Cambria" w:hAnsi="Cambria" w:cstheme="minorHAnsi"/>
          <w:b/>
          <w:sz w:val="24"/>
          <w:szCs w:val="24"/>
        </w:rPr>
        <w:t>2</w:t>
      </w:r>
      <w:r>
        <w:rPr>
          <w:rFonts w:ascii="Cambria" w:hAnsi="Cambria" w:cstheme="minorHAnsi"/>
          <w:sz w:val="24"/>
          <w:szCs w:val="24"/>
        </w:rPr>
        <w:t>.____________________________________________ CPF nº ________________________</w:t>
      </w:r>
    </w:p>
    <w:p>
      <w:pPr>
        <w:spacing w:after="200" w:line="276" w:lineRule="auto"/>
        <w:rPr>
          <w:rFonts w:ascii="Cambria" w:hAnsi="Cambria" w:cstheme="minorHAnsi"/>
          <w:sz w:val="24"/>
          <w:szCs w:val="24"/>
        </w:rPr>
      </w:pPr>
      <w:r>
        <w:rPr>
          <w:rFonts w:ascii="Cambria" w:hAnsi="Cambria" w:cstheme="minorHAnsi"/>
          <w:sz w:val="24"/>
          <w:szCs w:val="24"/>
        </w:rPr>
        <w:br w:type="page"/>
      </w:r>
    </w:p>
    <w:p>
      <w:pPr>
        <w:jc w:val="center"/>
        <w:rPr>
          <w:rFonts w:asciiTheme="majorHAnsi" w:hAnsiTheme="majorHAnsi" w:cstheme="majorHAnsi"/>
          <w:b/>
          <w:bCs/>
          <w:sz w:val="24"/>
          <w:szCs w:val="24"/>
        </w:rPr>
      </w:pPr>
      <w:r>
        <w:rPr>
          <w:rFonts w:asciiTheme="majorHAnsi" w:hAnsiTheme="majorHAnsi" w:cstheme="majorHAnsi"/>
          <w:b/>
          <w:bCs/>
          <w:sz w:val="24"/>
          <w:szCs w:val="24"/>
        </w:rPr>
        <w:lastRenderedPageBreak/>
        <w:t>AVISO DE PREGÃO ELETRÔNICO N° 90012/2026-PE</w:t>
      </w:r>
    </w:p>
    <w:p>
      <w:pPr>
        <w:jc w:val="both"/>
        <w:rPr>
          <w:rFonts w:asciiTheme="majorHAnsi" w:hAnsiTheme="majorHAnsi" w:cstheme="majorHAnsi"/>
          <w:sz w:val="24"/>
          <w:szCs w:val="24"/>
        </w:rPr>
      </w:pPr>
    </w:p>
    <w:p>
      <w:pPr>
        <w:ind w:right="331"/>
        <w:jc w:val="both"/>
        <w:rPr>
          <w:rFonts w:asciiTheme="majorHAnsi" w:eastAsia="Times New Roman" w:hAnsiTheme="majorHAnsi" w:cstheme="majorHAnsi"/>
          <w:bCs/>
          <w:sz w:val="24"/>
          <w:szCs w:val="24"/>
        </w:rPr>
      </w:pPr>
      <w:r>
        <w:rPr>
          <w:rFonts w:asciiTheme="majorHAnsi" w:hAnsiTheme="majorHAnsi" w:cstheme="majorHAnsi"/>
          <w:b/>
          <w:bCs/>
          <w:sz w:val="24"/>
          <w:szCs w:val="24"/>
        </w:rPr>
        <w:t>ESTADO DO CEARÁ – PREFEITURA MUNICIPAL DE MIRAÍMA – SECRETARIA DE EDUCAÇÃO – AVISO DE PREGÃO ELETRÔNICO N° 90012/2026-PE</w:t>
      </w:r>
      <w:r>
        <w:rPr>
          <w:rFonts w:asciiTheme="majorHAnsi" w:hAnsiTheme="majorHAnsi" w:cstheme="majorHAnsi"/>
          <w:sz w:val="24"/>
          <w:szCs w:val="24"/>
        </w:rPr>
        <w:t xml:space="preserve">. A Prefeitura Municipal de Miraíma-CE, por meio do Secretário de Educação, torna público que se encontra à disposição dos interessados o EDITAL DO PREGÃO ELETRÔNICO Nº. 90012/2026-PE, que tem como objeto a </w:t>
      </w:r>
      <w:r>
        <w:rPr>
          <w:rFonts w:asciiTheme="majorHAnsi" w:hAnsiTheme="majorHAnsi"/>
          <w:b/>
          <w:bCs/>
          <w:sz w:val="24"/>
          <w:szCs w:val="24"/>
        </w:rPr>
        <w:t xml:space="preserve">CONTRATAÇÃO DE </w:t>
      </w:r>
      <w:r>
        <w:rPr>
          <w:rFonts w:asciiTheme="majorHAnsi" w:hAnsiTheme="majorHAnsi"/>
          <w:b/>
          <w:bCs/>
          <w:color w:val="0D0D0D"/>
          <w:sz w:val="23"/>
          <w:szCs w:val="23"/>
        </w:rPr>
        <w:t>CONTRATAÇÃO DE EMPRESA ESPECIALIZADA PARA PRESTAÇÃO DE SERVIÇOS DE RECARGA DE SUPRIMENTOS DE IMPRESSÃO, MANUTENÇÃO PREVENTIVA E CORRETIVA DE IMPRESSORAS, INCLUINDO O FORNECIMENTO E SUBSTITUIÇÃO DE PEÇAS, SERVIÇOS, VISANDO ATENDER ÀS NECESSIDADES DA SECRETARIA DE EDUCAÇÃO DO MUNICÍPIO DE MIRAÍMA/CE</w:t>
      </w:r>
      <w:r>
        <w:rPr>
          <w:rFonts w:asciiTheme="majorHAnsi" w:hAnsiTheme="majorHAnsi" w:cstheme="majorHAnsi"/>
          <w:sz w:val="24"/>
          <w:szCs w:val="24"/>
        </w:rPr>
        <w:t xml:space="preserve">. Esta licitação está sujeita às disposições da Lei Federal nº 14.133/2021. O Edital poderá ser obtido no Compras Gov (Comprasnet) através dos endereços eletrônicos: </w:t>
      </w:r>
      <w:hyperlink r:id="rId78" w:history="1">
        <w:r>
          <w:rPr>
            <w:rStyle w:val="Hyperlink"/>
            <w:rFonts w:asciiTheme="majorHAnsi" w:hAnsiTheme="majorHAnsi" w:cstheme="majorHAnsi"/>
            <w:szCs w:val="24"/>
          </w:rPr>
          <w:t>www.comprasgov.gov.br</w:t>
        </w:r>
      </w:hyperlink>
      <w:r>
        <w:rPr>
          <w:rFonts w:asciiTheme="majorHAnsi" w:hAnsiTheme="majorHAnsi" w:cstheme="majorHAnsi"/>
          <w:sz w:val="24"/>
          <w:szCs w:val="24"/>
        </w:rPr>
        <w:t xml:space="preserve">,  </w:t>
      </w:r>
      <w:hyperlink r:id="rId79" w:history="1">
        <w:r>
          <w:rPr>
            <w:rStyle w:val="Hyperlink"/>
            <w:rFonts w:asciiTheme="majorHAnsi" w:hAnsiTheme="majorHAnsi" w:cstheme="majorHAnsi"/>
            <w:szCs w:val="24"/>
          </w:rPr>
          <w:t>www.miraima.ce.gov.br/</w:t>
        </w:r>
      </w:hyperlink>
      <w:r>
        <w:rPr>
          <w:rFonts w:asciiTheme="majorHAnsi" w:hAnsiTheme="majorHAnsi" w:cstheme="majorHAnsi"/>
          <w:sz w:val="24"/>
          <w:szCs w:val="24"/>
        </w:rPr>
        <w:t xml:space="preserve"> ou </w:t>
      </w:r>
      <w:hyperlink r:id="rId80" w:history="1">
        <w:r>
          <w:rPr>
            <w:rStyle w:val="Hyperlink"/>
            <w:rFonts w:asciiTheme="majorHAnsi" w:hAnsiTheme="majorHAnsi" w:cstheme="majorHAnsi"/>
            <w:szCs w:val="24"/>
          </w:rPr>
          <w:t>licitacoes.tce.ce.gov.br/</w:t>
        </w:r>
      </w:hyperlink>
      <w:r>
        <w:rPr>
          <w:rFonts w:asciiTheme="majorHAnsi" w:hAnsiTheme="majorHAnsi" w:cstheme="majorHAnsi"/>
          <w:sz w:val="24"/>
          <w:szCs w:val="24"/>
        </w:rPr>
        <w:t xml:space="preserve">. O recebimento das propostas através do site do Compras gov (Comprasnet) dar-se-á até às 08h59min do dia 21/07/2026. Abertura das Propostas: 21/07/2026 às 09h00min. Início da Disputa de Lances às 09h00min dia 21/07/2026 (horário de Brasília). Solicitações de esclarecimento acerca do edital deverão ser enviadas ao endereço eletrônico de e-mail: </w:t>
      </w:r>
      <w:hyperlink r:id="rId81" w:history="1">
        <w:r>
          <w:rPr>
            <w:rStyle w:val="Hyperlink"/>
            <w:rFonts w:asciiTheme="majorHAnsi" w:hAnsiTheme="majorHAnsi" w:cstheme="majorHAnsi"/>
            <w:szCs w:val="24"/>
          </w:rPr>
          <w:t>licitacao@miraima.ce.gov.br</w:t>
        </w:r>
      </w:hyperlink>
      <w:r>
        <w:rPr>
          <w:rFonts w:asciiTheme="majorHAnsi" w:hAnsiTheme="majorHAnsi" w:cstheme="majorHAnsi"/>
          <w:sz w:val="24"/>
          <w:szCs w:val="24"/>
        </w:rPr>
        <w:t>. Francisco Cicero Albuquerque Araujo – Secretário Municipal de Educação. Prefeitura Municipal de Miraíma, 06 de julho de 2026.</w:t>
      </w:r>
    </w:p>
    <w:p>
      <w:pPr>
        <w:jc w:val="both"/>
        <w:rPr>
          <w:rFonts w:asciiTheme="majorHAnsi" w:hAnsiTheme="majorHAnsi" w:cstheme="majorHAnsi"/>
          <w:sz w:val="24"/>
          <w:szCs w:val="24"/>
        </w:rPr>
      </w:pPr>
    </w:p>
    <w:p>
      <w:pPr>
        <w:jc w:val="both"/>
        <w:rPr>
          <w:rFonts w:asciiTheme="majorHAnsi" w:hAnsiTheme="majorHAnsi" w:cstheme="majorHAnsi"/>
          <w:sz w:val="24"/>
          <w:szCs w:val="24"/>
        </w:rPr>
      </w:pPr>
    </w:p>
    <w:p>
      <w:pPr>
        <w:jc w:val="both"/>
        <w:rPr>
          <w:rFonts w:asciiTheme="majorHAnsi" w:hAnsiTheme="majorHAnsi" w:cstheme="majorHAnsi"/>
          <w:sz w:val="24"/>
          <w:szCs w:val="24"/>
        </w:rPr>
      </w:pPr>
    </w:p>
    <w:p>
      <w:pPr>
        <w:jc w:val="both"/>
        <w:rPr>
          <w:rFonts w:asciiTheme="majorHAnsi" w:hAnsiTheme="majorHAnsi" w:cstheme="majorHAnsi"/>
          <w:sz w:val="24"/>
          <w:szCs w:val="24"/>
        </w:rPr>
      </w:pPr>
    </w:p>
    <w:p>
      <w:pPr>
        <w:jc w:val="both"/>
        <w:rPr>
          <w:rFonts w:asciiTheme="majorHAnsi" w:hAnsiTheme="majorHAnsi" w:cstheme="majorHAnsi"/>
          <w:sz w:val="24"/>
          <w:szCs w:val="24"/>
        </w:rPr>
      </w:pPr>
    </w:p>
    <w:p>
      <w:pPr>
        <w:jc w:val="center"/>
        <w:rPr>
          <w:rFonts w:asciiTheme="majorHAnsi" w:eastAsia="Times New Roman" w:hAnsiTheme="majorHAnsi"/>
          <w:b/>
          <w:sz w:val="24"/>
          <w:szCs w:val="24"/>
        </w:rPr>
      </w:pPr>
      <w:r>
        <w:rPr>
          <w:rFonts w:asciiTheme="majorHAnsi" w:eastAsia="Times New Roman" w:hAnsiTheme="majorHAnsi"/>
          <w:b/>
          <w:sz w:val="24"/>
          <w:szCs w:val="24"/>
        </w:rPr>
        <w:t>ANTONIO ROBSON ALVES DOS SANTOS</w:t>
      </w:r>
    </w:p>
    <w:p>
      <w:pPr>
        <w:jc w:val="center"/>
        <w:rPr>
          <w:rFonts w:asciiTheme="majorHAnsi" w:hAnsiTheme="majorHAnsi"/>
          <w:sz w:val="24"/>
          <w:szCs w:val="24"/>
        </w:rPr>
      </w:pPr>
      <w:r>
        <w:rPr>
          <w:rFonts w:asciiTheme="majorHAnsi" w:hAnsiTheme="majorHAnsi"/>
          <w:sz w:val="24"/>
          <w:szCs w:val="24"/>
        </w:rPr>
        <w:t>Agente de Contratação/Pregoeiro</w:t>
      </w:r>
    </w:p>
    <w:p>
      <w:pPr>
        <w:jc w:val="center"/>
        <w:rPr>
          <w:rFonts w:asciiTheme="majorHAnsi" w:eastAsia="Times New Roman" w:hAnsiTheme="majorHAnsi"/>
          <w:bCs/>
          <w:color w:val="000000"/>
          <w:sz w:val="24"/>
          <w:szCs w:val="24"/>
        </w:rPr>
      </w:pPr>
      <w:r>
        <w:rPr>
          <w:rFonts w:asciiTheme="majorHAnsi" w:eastAsia="Arial" w:hAnsiTheme="majorHAnsi"/>
          <w:bCs/>
          <w:sz w:val="24"/>
          <w:szCs w:val="24"/>
        </w:rPr>
        <w:t>PREFEITURA MUNICIPAL DE MIRAÍMA-CE</w:t>
      </w:r>
    </w:p>
    <w:p>
      <w:pPr>
        <w:rPr>
          <w:rFonts w:asciiTheme="majorHAnsi" w:hAnsiTheme="majorHAnsi" w:cstheme="minorHAnsi"/>
          <w:sz w:val="24"/>
          <w:szCs w:val="24"/>
        </w:rPr>
      </w:pPr>
    </w:p>
    <w:p>
      <w:pPr>
        <w:jc w:val="center"/>
        <w:rPr>
          <w:rFonts w:asciiTheme="majorHAnsi" w:hAnsiTheme="majorHAnsi"/>
        </w:rPr>
      </w:pPr>
    </w:p>
    <w:sectPr>
      <w:headerReference w:type="default" r:id="rId82"/>
      <w:footerReference w:type="default" r:id="rId83"/>
      <w:pgSz w:w="11907" w:h="16840" w:code="9"/>
      <w:pgMar w:top="1135" w:right="1080" w:bottom="1276" w:left="1080" w:header="510" w:footer="28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Rounded MT Bold">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ahoma-Bold">
    <w:altName w:val="Arial"/>
    <w:charset w:val="00"/>
    <w:family w:val="swiss"/>
    <w:pitch w:val="default"/>
  </w:font>
  <w:font w:name="Verdana">
    <w:panose1 w:val="020B0604030504040204"/>
    <w:charset w:val="00"/>
    <w:family w:val="swiss"/>
    <w:pitch w:val="variable"/>
    <w:sig w:usb0="A00006FF" w:usb1="4000205B" w:usb2="00000010" w:usb3="00000000" w:csb0="0000019F" w:csb1="00000000"/>
  </w:font>
  <w:font w:name="Verdana-Bold">
    <w:altName w:val="Arial"/>
    <w:panose1 w:val="00000000000000000000"/>
    <w:charset w:val="00"/>
    <w:family w:val="swiss"/>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imesNewRoman">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Rodap"/>
      <w:jc w:val="center"/>
    </w:pPr>
    <w:bookmarkStart w:id="91" w:name="_Hlk228977032"/>
    <w:bookmarkStart w:id="92" w:name="_Hlk228977033"/>
    <w:r>
      <w:rPr>
        <w:noProof/>
        <w:sz w:val="18"/>
        <w:lang w:eastAsia="pt-BR"/>
      </w:rPr>
      <w:drawing>
        <wp:anchor distT="0" distB="0" distL="114300" distR="114300" simplePos="0" relativeHeight="251663872" behindDoc="1" locked="0" layoutInCell="1" allowOverlap="1">
          <wp:simplePos x="0" y="0"/>
          <wp:positionH relativeFrom="column">
            <wp:posOffset>4528185</wp:posOffset>
          </wp:positionH>
          <wp:positionV relativeFrom="paragraph">
            <wp:posOffset>7840980</wp:posOffset>
          </wp:positionV>
          <wp:extent cx="2286000" cy="1447165"/>
          <wp:effectExtent l="0" t="0" r="0" b="635"/>
          <wp:wrapNone/>
          <wp:docPr id="437425825" name="Imagem 437425825"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8"/>
        <w:lang w:eastAsia="pt-BR"/>
      </w:rPr>
      <w:drawing>
        <wp:anchor distT="0" distB="0" distL="114300" distR="114300" simplePos="0" relativeHeight="251664896" behindDoc="1" locked="0" layoutInCell="1" allowOverlap="1">
          <wp:simplePos x="0" y="0"/>
          <wp:positionH relativeFrom="column">
            <wp:posOffset>4528185</wp:posOffset>
          </wp:positionH>
          <wp:positionV relativeFrom="paragraph">
            <wp:posOffset>7840980</wp:posOffset>
          </wp:positionV>
          <wp:extent cx="2286000" cy="1447165"/>
          <wp:effectExtent l="0" t="0" r="0" b="635"/>
          <wp:wrapNone/>
          <wp:docPr id="1417868532" name="Imagem 1417868532"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8"/>
        <w:lang w:eastAsia="pt-BR"/>
      </w:rPr>
      <w:drawing>
        <wp:anchor distT="0" distB="0" distL="114300" distR="114300" simplePos="0" relativeHeight="251665920" behindDoc="1" locked="0" layoutInCell="1" allowOverlap="1">
          <wp:simplePos x="0" y="0"/>
          <wp:positionH relativeFrom="column">
            <wp:posOffset>4528185</wp:posOffset>
          </wp:positionH>
          <wp:positionV relativeFrom="paragraph">
            <wp:posOffset>7840980</wp:posOffset>
          </wp:positionV>
          <wp:extent cx="2286000" cy="1447165"/>
          <wp:effectExtent l="0" t="0" r="0" b="635"/>
          <wp:wrapNone/>
          <wp:docPr id="1044929579" name="Imagem 1044929579"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t>Esplanada da Estação, 433 – Centro – Miraíma – CE</w:t>
    </w:r>
  </w:p>
  <w:p>
    <w:pPr>
      <w:pStyle w:val="Rodap"/>
      <w:jc w:val="center"/>
    </w:pPr>
    <w:r>
      <w:t xml:space="preserve">Telefone: 88 36301167 – E-mail: </w:t>
    </w:r>
    <w:hyperlink r:id="rId3" w:history="1">
      <w:r>
        <w:rPr>
          <w:rStyle w:val="Hyperlink"/>
        </w:rPr>
        <w:t>gabinete@miraima.ce.gov.br</w:t>
      </w:r>
    </w:hyperlink>
  </w:p>
  <w:p>
    <w:pPr>
      <w:pStyle w:val="Rodap"/>
      <w:jc w:val="center"/>
    </w:pPr>
    <w:r>
      <w:rPr>
        <w:b/>
      </w:rPr>
      <w:t>CNPJ/MF</w:t>
    </w:r>
    <w:r>
      <w:t xml:space="preserve"> nº 10.517.563/0001-05 - </w:t>
    </w:r>
    <w:r>
      <w:rPr>
        <w:b/>
      </w:rPr>
      <w:t>CGF nº</w:t>
    </w:r>
    <w:r>
      <w:t xml:space="preserve"> 06.920.294-0</w:t>
    </w:r>
    <w:bookmarkEnd w:id="91"/>
    <w:bookmarkEnd w:id="92"/>
  </w:p>
  <w:p>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Rodap"/>
      <w:jc w:val="center"/>
    </w:pPr>
    <w:bookmarkStart w:id="109" w:name="_Hlk209443317"/>
    <w:bookmarkStart w:id="110" w:name="_Hlk196904743"/>
    <w:bookmarkStart w:id="111" w:name="_Hlk196904744"/>
    <w:r>
      <w:rPr>
        <w:noProof/>
        <w:sz w:val="18"/>
        <w:lang w:eastAsia="pt-BR"/>
      </w:rPr>
      <w:drawing>
        <wp:anchor distT="0" distB="0" distL="114300" distR="114300" simplePos="0" relativeHeight="251653632" behindDoc="1" locked="0" layoutInCell="1" allowOverlap="1">
          <wp:simplePos x="0" y="0"/>
          <wp:positionH relativeFrom="column">
            <wp:posOffset>4528185</wp:posOffset>
          </wp:positionH>
          <wp:positionV relativeFrom="paragraph">
            <wp:posOffset>7840980</wp:posOffset>
          </wp:positionV>
          <wp:extent cx="2286000" cy="1447165"/>
          <wp:effectExtent l="0" t="0" r="0" b="635"/>
          <wp:wrapNone/>
          <wp:docPr id="708487271" name="Imagem 708487271"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8"/>
        <w:lang w:eastAsia="pt-BR"/>
      </w:rPr>
      <w:drawing>
        <wp:anchor distT="0" distB="0" distL="114300" distR="114300" simplePos="0" relativeHeight="251658752" behindDoc="1" locked="0" layoutInCell="1" allowOverlap="1">
          <wp:simplePos x="0" y="0"/>
          <wp:positionH relativeFrom="column">
            <wp:posOffset>4528185</wp:posOffset>
          </wp:positionH>
          <wp:positionV relativeFrom="paragraph">
            <wp:posOffset>7840980</wp:posOffset>
          </wp:positionV>
          <wp:extent cx="2286000" cy="1447165"/>
          <wp:effectExtent l="0" t="0" r="0" b="635"/>
          <wp:wrapNone/>
          <wp:docPr id="270994549" name="Imagem 270994549"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8"/>
        <w:lang w:eastAsia="pt-BR"/>
      </w:rPr>
      <w:drawing>
        <wp:anchor distT="0" distB="0" distL="114300" distR="114300" simplePos="0" relativeHeight="251660800" behindDoc="1" locked="0" layoutInCell="1" allowOverlap="1">
          <wp:simplePos x="0" y="0"/>
          <wp:positionH relativeFrom="column">
            <wp:posOffset>4528185</wp:posOffset>
          </wp:positionH>
          <wp:positionV relativeFrom="paragraph">
            <wp:posOffset>7840980</wp:posOffset>
          </wp:positionV>
          <wp:extent cx="2286000" cy="1447165"/>
          <wp:effectExtent l="0" t="0" r="0" b="635"/>
          <wp:wrapNone/>
          <wp:docPr id="959582041" name="Imagem 959582041"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t>Esplanada da Estação, 433 – Centro – Miraíma – CE</w:t>
    </w:r>
  </w:p>
  <w:p>
    <w:pPr>
      <w:pStyle w:val="Rodap"/>
      <w:jc w:val="center"/>
    </w:pPr>
    <w:r>
      <w:t xml:space="preserve">Telefone: 88 36301167 – E-mail: </w:t>
    </w:r>
    <w:hyperlink r:id="rId3" w:history="1">
      <w:r>
        <w:rPr>
          <w:rStyle w:val="Hyperlink"/>
        </w:rPr>
        <w:t>gabinete@miraima.ce.gov.br</w:t>
      </w:r>
    </w:hyperlink>
  </w:p>
  <w:p>
    <w:pPr>
      <w:pStyle w:val="Rodap"/>
      <w:jc w:val="center"/>
    </w:pPr>
    <w:r>
      <w:rPr>
        <w:b/>
      </w:rPr>
      <w:t>CNPJ/MF</w:t>
    </w:r>
    <w:r>
      <w:t xml:space="preserve"> nº 10.517.563/0001-05 - </w:t>
    </w:r>
    <w:r>
      <w:rPr>
        <w:b/>
      </w:rPr>
      <w:t>CGF nº</w:t>
    </w:r>
    <w:r>
      <w:t xml:space="preserve"> 06.920.294-0</w:t>
    </w:r>
    <w:bookmarkEnd w:id="109"/>
    <w:bookmarkEnd w:id="110"/>
    <w:bookmarkEnd w:id="111"/>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alho"/>
    </w:pPr>
    <w:r>
      <w:rPr>
        <w:b/>
        <w:noProof/>
        <w:color w:val="333399"/>
        <w:sz w:val="26"/>
        <w:szCs w:val="26"/>
        <w:lang w:eastAsia="pt-BR"/>
      </w:rPr>
      <w:drawing>
        <wp:anchor distT="0" distB="0" distL="114300" distR="114300" simplePos="0" relativeHeight="251662848" behindDoc="1" locked="0" layoutInCell="1" allowOverlap="1">
          <wp:simplePos x="0" y="0"/>
          <wp:positionH relativeFrom="column">
            <wp:posOffset>5610225</wp:posOffset>
          </wp:positionH>
          <wp:positionV relativeFrom="paragraph">
            <wp:posOffset>85090</wp:posOffset>
          </wp:positionV>
          <wp:extent cx="950595" cy="1021080"/>
          <wp:effectExtent l="0" t="0" r="1905" b="7620"/>
          <wp:wrapTight wrapText="bothSides">
            <wp:wrapPolygon edited="0">
              <wp:start x="6926" y="0"/>
              <wp:lineTo x="4329" y="1209"/>
              <wp:lineTo x="0" y="5239"/>
              <wp:lineTo x="0" y="14104"/>
              <wp:lineTo x="3463" y="19343"/>
              <wp:lineTo x="7359" y="21358"/>
              <wp:lineTo x="13852" y="21358"/>
              <wp:lineTo x="16882" y="19343"/>
              <wp:lineTo x="21210" y="15313"/>
              <wp:lineTo x="21210" y="5239"/>
              <wp:lineTo x="17315" y="1612"/>
              <wp:lineTo x="14717" y="0"/>
              <wp:lineTo x="6926" y="0"/>
            </wp:wrapPolygon>
          </wp:wrapTight>
          <wp:docPr id="1536677161" name="Imagem 1536677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0595" cy="102108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pt-BR"/>
      </w:rPr>
      <w:drawing>
        <wp:anchor distT="0" distB="0" distL="114300" distR="114300" simplePos="0" relativeHeight="251661824" behindDoc="0" locked="0" layoutInCell="1" allowOverlap="1">
          <wp:simplePos x="0" y="0"/>
          <wp:positionH relativeFrom="margin">
            <wp:posOffset>2228850</wp:posOffset>
          </wp:positionH>
          <wp:positionV relativeFrom="paragraph">
            <wp:posOffset>-180340</wp:posOffset>
          </wp:positionV>
          <wp:extent cx="1676400" cy="1651000"/>
          <wp:effectExtent l="0" t="0" r="0" b="0"/>
          <wp:wrapThrough wrapText="bothSides">
            <wp:wrapPolygon edited="0">
              <wp:start x="10064" y="2742"/>
              <wp:lineTo x="6873" y="4735"/>
              <wp:lineTo x="5400" y="5982"/>
              <wp:lineTo x="5400" y="11215"/>
              <wp:lineTo x="2700" y="12960"/>
              <wp:lineTo x="1964" y="13708"/>
              <wp:lineTo x="1718" y="17446"/>
              <wp:lineTo x="19391" y="17446"/>
              <wp:lineTo x="18900" y="15203"/>
              <wp:lineTo x="15709" y="11215"/>
              <wp:lineTo x="15955" y="5732"/>
              <wp:lineTo x="14727" y="4486"/>
              <wp:lineTo x="11291" y="2742"/>
              <wp:lineTo x="10064" y="2742"/>
            </wp:wrapPolygon>
          </wp:wrapThrough>
          <wp:docPr id="136843836" name="Imagem 136843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6400" cy="1651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alho"/>
      <w:jc w:val="right"/>
      <w:rPr>
        <w:b/>
        <w:noProof/>
        <w:color w:val="333399"/>
        <w:sz w:val="26"/>
        <w:szCs w:val="26"/>
      </w:rPr>
    </w:pPr>
    <w:bookmarkStart w:id="95" w:name="_Hlk209443332"/>
    <w:bookmarkStart w:id="96" w:name="_Hlk209443333"/>
    <w:bookmarkStart w:id="97" w:name="_Hlk211588335"/>
    <w:bookmarkStart w:id="98" w:name="_Hlk211588336"/>
    <w:bookmarkStart w:id="99" w:name="_Hlk211588691"/>
    <w:bookmarkStart w:id="100" w:name="_Hlk211588692"/>
    <w:bookmarkStart w:id="101" w:name="_Hlk211588721"/>
    <w:bookmarkStart w:id="102" w:name="_Hlk211588722"/>
    <w:bookmarkStart w:id="103" w:name="_Hlk211589883"/>
    <w:bookmarkStart w:id="104" w:name="_Hlk211589884"/>
    <w:bookmarkStart w:id="105" w:name="_Hlk211590178"/>
    <w:bookmarkStart w:id="106" w:name="_Hlk211590179"/>
    <w:bookmarkStart w:id="107" w:name="_Hlk211592525"/>
    <w:bookmarkStart w:id="108" w:name="_Hlk211592526"/>
    <w:r>
      <w:rPr>
        <w:noProof/>
        <w:lang w:eastAsia="pt-BR"/>
      </w:rPr>
      <w:drawing>
        <wp:anchor distT="0" distB="0" distL="114300" distR="114300" simplePos="0" relativeHeight="251649536" behindDoc="1" locked="0" layoutInCell="1" allowOverlap="1">
          <wp:simplePos x="0" y="0"/>
          <wp:positionH relativeFrom="margin">
            <wp:posOffset>2159264</wp:posOffset>
          </wp:positionH>
          <wp:positionV relativeFrom="paragraph">
            <wp:posOffset>-530860</wp:posOffset>
          </wp:positionV>
          <wp:extent cx="1885950" cy="1857375"/>
          <wp:effectExtent l="0" t="0" r="0" b="0"/>
          <wp:wrapNone/>
          <wp:docPr id="656223750" name="Imagem 656223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5950" cy="18573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color w:val="333399"/>
        <w:szCs w:val="24"/>
        <w:lang w:eastAsia="pt-BR"/>
      </w:rPr>
      <w:drawing>
        <wp:anchor distT="0" distB="0" distL="114300" distR="114300" simplePos="0" relativeHeight="251650560" behindDoc="1" locked="0" layoutInCell="1" allowOverlap="1">
          <wp:simplePos x="0" y="0"/>
          <wp:positionH relativeFrom="column">
            <wp:posOffset>5385064</wp:posOffset>
          </wp:positionH>
          <wp:positionV relativeFrom="paragraph">
            <wp:posOffset>-201930</wp:posOffset>
          </wp:positionV>
          <wp:extent cx="1172845" cy="1189990"/>
          <wp:effectExtent l="0" t="0" r="0" b="0"/>
          <wp:wrapTight wrapText="bothSides">
            <wp:wrapPolygon edited="0">
              <wp:start x="7718" y="0"/>
              <wp:lineTo x="5964" y="346"/>
              <wp:lineTo x="351" y="4495"/>
              <wp:lineTo x="0" y="8645"/>
              <wp:lineTo x="0" y="12794"/>
              <wp:lineTo x="1754" y="16598"/>
              <wp:lineTo x="1754" y="17635"/>
              <wp:lineTo x="7368" y="20401"/>
              <wp:lineTo x="9473" y="21093"/>
              <wp:lineTo x="12279" y="21093"/>
              <wp:lineTo x="14034" y="20401"/>
              <wp:lineTo x="19647" y="17289"/>
              <wp:lineTo x="19647" y="16598"/>
              <wp:lineTo x="21401" y="13140"/>
              <wp:lineTo x="21401" y="7261"/>
              <wp:lineTo x="21050" y="4495"/>
              <wp:lineTo x="16139" y="692"/>
              <wp:lineTo x="14034" y="0"/>
              <wp:lineTo x="7718" y="0"/>
            </wp:wrapPolygon>
          </wp:wrapTight>
          <wp:docPr id="1780550448" name="Imagem 1780550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72845" cy="1189990"/>
                  </a:xfrm>
                  <a:prstGeom prst="rect">
                    <a:avLst/>
                  </a:prstGeom>
                  <a:noFill/>
                </pic:spPr>
              </pic:pic>
            </a:graphicData>
          </a:graphic>
          <wp14:sizeRelH relativeFrom="margin">
            <wp14:pctWidth>0</wp14:pctWidth>
          </wp14:sizeRelH>
          <wp14:sizeRelV relativeFrom="margin">
            <wp14:pctHeight>0</wp14:pctHeight>
          </wp14:sizeRelV>
        </wp:anchor>
      </w:drawing>
    </w:r>
  </w:p>
  <w:p>
    <w:pPr>
      <w:pStyle w:val="Cabealho"/>
      <w:jc w:val="right"/>
    </w:pPr>
  </w:p>
  <w:p>
    <w:pPr>
      <w:pStyle w:val="Cabealho"/>
      <w:jc w:val="right"/>
    </w:pPr>
  </w:p>
  <w:p>
    <w:pPr>
      <w:pStyle w:val="Cabealho"/>
      <w:jc w:val="right"/>
    </w:pPr>
  </w:p>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Pr>
      <w:widowControl w:val="0"/>
      <w:tabs>
        <w:tab w:val="center" w:pos="4252"/>
        <w:tab w:val="right" w:pos="8504"/>
      </w:tabs>
      <w:autoSpaceDE w:val="0"/>
      <w:autoSpaceDN w:val="0"/>
      <w:jc w:val="right"/>
      <w:rPr>
        <w:lang w:val="en-US"/>
      </w:rPr>
    </w:pPr>
  </w:p>
  <w:p>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37E30"/>
    <w:multiLevelType w:val="multilevel"/>
    <w:tmpl w:val="762E43F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upperRoman"/>
      <w:lvlText w:val="%3."/>
      <w:lvlJc w:val="right"/>
      <w:pPr>
        <w:ind w:left="1080" w:hanging="720"/>
      </w:pPr>
      <w:rPr>
        <w:rFonts w:hint="default"/>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030F054B"/>
    <w:multiLevelType w:val="multilevel"/>
    <w:tmpl w:val="5AB6708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855"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0D9371ED"/>
    <w:multiLevelType w:val="multilevel"/>
    <w:tmpl w:val="677A19C4"/>
    <w:lvl w:ilvl="0">
      <w:start w:val="2"/>
      <w:numFmt w:val="decimal"/>
      <w:lvlText w:val="%1."/>
      <w:lvlJc w:val="left"/>
      <w:pPr>
        <w:ind w:left="1068"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1713" w:hanging="720"/>
      </w:pPr>
      <w:rPr>
        <w:rFonts w:hint="default"/>
        <w:b w:val="0"/>
        <w:bCs/>
      </w:rPr>
    </w:lvl>
    <w:lvl w:ilvl="3">
      <w:start w:val="1"/>
      <w:numFmt w:val="decimal"/>
      <w:lvlText w:val="%1.%2.%3.%4."/>
      <w:lvlJc w:val="left"/>
      <w:pPr>
        <w:ind w:left="1428" w:hanging="720"/>
      </w:pPr>
      <w:rPr>
        <w:rFonts w:hint="default"/>
        <w:b w:val="0"/>
        <w:bCs/>
      </w:rPr>
    </w:lvl>
    <w:lvl w:ilvl="4">
      <w:start w:val="1"/>
      <w:numFmt w:val="decimal"/>
      <w:lvlText w:val="%1.%2.%3.%4.%5."/>
      <w:lvlJc w:val="left"/>
      <w:pPr>
        <w:ind w:left="1788" w:hanging="1080"/>
      </w:pPr>
      <w:rPr>
        <w:rFonts w:hint="default"/>
      </w:rPr>
    </w:lvl>
    <w:lvl w:ilvl="5">
      <w:start w:val="1"/>
      <w:numFmt w:val="decimal"/>
      <w:lvlText w:val="%1.%2.%3.%4.%5.%6."/>
      <w:lvlJc w:val="left"/>
      <w:pPr>
        <w:ind w:left="1788"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148" w:hanging="1440"/>
      </w:pPr>
      <w:rPr>
        <w:rFonts w:hint="default"/>
      </w:rPr>
    </w:lvl>
    <w:lvl w:ilvl="8">
      <w:start w:val="1"/>
      <w:numFmt w:val="decimal"/>
      <w:lvlText w:val="%1.%2.%3.%4.%5.%6.%7.%8.%9."/>
      <w:lvlJc w:val="left"/>
      <w:pPr>
        <w:ind w:left="2508" w:hanging="1800"/>
      </w:pPr>
      <w:rPr>
        <w:rFonts w:hint="default"/>
      </w:rPr>
    </w:lvl>
  </w:abstractNum>
  <w:abstractNum w:abstractNumId="3">
    <w:nsid w:val="11BE4CF6"/>
    <w:multiLevelType w:val="multilevel"/>
    <w:tmpl w:val="61EE7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E54304"/>
    <w:multiLevelType w:val="multilevel"/>
    <w:tmpl w:val="246C9A56"/>
    <w:lvl w:ilvl="0">
      <w:start w:val="1"/>
      <w:numFmt w:val="lowerLetter"/>
      <w:lvlText w:val="%1."/>
      <w:lvlJc w:val="left"/>
      <w:pPr>
        <w:ind w:left="360" w:hanging="360"/>
      </w:pPr>
      <w:rPr>
        <w:rFonts w:hint="default"/>
        <w:b/>
        <w:bCs w:val="0"/>
      </w:rPr>
    </w:lvl>
    <w:lvl w:ilvl="1">
      <w:start w:val="1"/>
      <w:numFmt w:val="decimal"/>
      <w:lvlText w:val="%1.%2."/>
      <w:lvlJc w:val="left"/>
      <w:pPr>
        <w:ind w:left="862"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nsid w:val="19D5391A"/>
    <w:multiLevelType w:val="multilevel"/>
    <w:tmpl w:val="A6DA8182"/>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525"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A003718"/>
    <w:multiLevelType w:val="multilevel"/>
    <w:tmpl w:val="BF72069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decimal"/>
      <w:isLgl/>
      <w:lvlText w:val="%1.%2.%3."/>
      <w:lvlJc w:val="left"/>
      <w:pPr>
        <w:ind w:left="1080" w:hanging="720"/>
      </w:pPr>
      <w:rPr>
        <w:rFonts w:hint="default"/>
        <w:b w:val="0"/>
        <w:bCs w:val="0"/>
        <w:sz w:val="22"/>
        <w:szCs w:val="18"/>
      </w:rPr>
    </w:lvl>
    <w:lvl w:ilvl="3">
      <w:start w:val="1"/>
      <w:numFmt w:val="lowerLetter"/>
      <w:lvlText w:val="%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1B3E618E"/>
    <w:multiLevelType w:val="multilevel"/>
    <w:tmpl w:val="A6DA8182"/>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525"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B5969D4"/>
    <w:multiLevelType w:val="multilevel"/>
    <w:tmpl w:val="952E7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D33069"/>
    <w:multiLevelType w:val="multilevel"/>
    <w:tmpl w:val="5AB6708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855"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nsid w:val="1D306C58"/>
    <w:multiLevelType w:val="multilevel"/>
    <w:tmpl w:val="96526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0825959"/>
    <w:multiLevelType w:val="multilevel"/>
    <w:tmpl w:val="A6DA8182"/>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525"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2136FE5"/>
    <w:multiLevelType w:val="multilevel"/>
    <w:tmpl w:val="5AB6708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855"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227801AD"/>
    <w:multiLevelType w:val="multilevel"/>
    <w:tmpl w:val="08FE3FC2"/>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525"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2A26944"/>
    <w:multiLevelType w:val="hybridMultilevel"/>
    <w:tmpl w:val="F15E2ED6"/>
    <w:lvl w:ilvl="0" w:tplc="513E10CA">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3B04421"/>
    <w:multiLevelType w:val="multilevel"/>
    <w:tmpl w:val="4B94E500"/>
    <w:lvl w:ilvl="0">
      <w:start w:val="1"/>
      <w:numFmt w:val="decimal"/>
      <w:lvlText w:val="%1."/>
      <w:lvlJc w:val="left"/>
      <w:pPr>
        <w:ind w:left="720" w:hanging="360"/>
      </w:pPr>
      <w:rPr>
        <w:b/>
        <w:bCs/>
      </w:rPr>
    </w:lvl>
    <w:lvl w:ilvl="1">
      <w:start w:val="2"/>
      <w:numFmt w:val="decimal"/>
      <w:pStyle w:val="Nvel2-Red"/>
      <w:isLgl/>
      <w:lvlText w:val="%1.%2."/>
      <w:lvlJc w:val="left"/>
      <w:pPr>
        <w:ind w:left="435" w:hanging="435"/>
      </w:pPr>
      <w:rPr>
        <w:rFonts w:hint="default"/>
      </w:rPr>
    </w:lvl>
    <w:lvl w:ilvl="2">
      <w:start w:val="1"/>
      <w:numFmt w:val="decimal"/>
      <w:pStyle w:val="Nvel3-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6497BB4"/>
    <w:multiLevelType w:val="multilevel"/>
    <w:tmpl w:val="5AB6708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855"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nsid w:val="26EF5A39"/>
    <w:multiLevelType w:val="multilevel"/>
    <w:tmpl w:val="01DCB9B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855"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nsid w:val="282E35EA"/>
    <w:multiLevelType w:val="hybridMultilevel"/>
    <w:tmpl w:val="5E3467A0"/>
    <w:lvl w:ilvl="0" w:tplc="04160017">
      <w:start w:val="1"/>
      <w:numFmt w:val="lowerLetter"/>
      <w:lvlText w:val="%1)"/>
      <w:lvlJc w:val="left"/>
      <w:pPr>
        <w:ind w:left="1440" w:hanging="360"/>
      </w:pPr>
    </w:lvl>
    <w:lvl w:ilvl="1" w:tplc="04160017">
      <w:start w:val="1"/>
      <w:numFmt w:val="lowerLetter"/>
      <w:lvlText w:val="%2)"/>
      <w:lvlJc w:val="left"/>
      <w:pPr>
        <w:ind w:left="2160" w:hanging="360"/>
      </w:pPr>
      <w:rPr>
        <w:b/>
        <w:bCs w:val="0"/>
      </w:rPr>
    </w:lvl>
    <w:lvl w:ilvl="2" w:tplc="D960E54C">
      <w:start w:val="1"/>
      <w:numFmt w:val="upperLetter"/>
      <w:lvlText w:val="%3)"/>
      <w:lvlJc w:val="left"/>
      <w:pPr>
        <w:ind w:left="3060" w:hanging="360"/>
      </w:pPr>
      <w:rPr>
        <w:rFonts w:hint="default"/>
      </w:r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9">
    <w:nsid w:val="29EF760F"/>
    <w:multiLevelType w:val="multilevel"/>
    <w:tmpl w:val="A6DA8182"/>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525"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AFF2AAE"/>
    <w:multiLevelType w:val="multilevel"/>
    <w:tmpl w:val="A6DA8182"/>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525"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F701031"/>
    <w:multiLevelType w:val="multilevel"/>
    <w:tmpl w:val="0E66BA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decimal"/>
      <w:isLgl/>
      <w:lvlText w:val="%1.%2.%3."/>
      <w:lvlJc w:val="left"/>
      <w:pPr>
        <w:ind w:left="1080" w:hanging="720"/>
      </w:pPr>
      <w:rPr>
        <w:rFonts w:hint="default"/>
        <w:sz w:val="22"/>
        <w:szCs w:val="18"/>
      </w:rPr>
    </w:lvl>
    <w:lvl w:ilvl="3">
      <w:start w:val="1"/>
      <w:numFmt w:val="lowerLetter"/>
      <w:lvlText w:val="%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nsid w:val="34740B9B"/>
    <w:multiLevelType w:val="multilevel"/>
    <w:tmpl w:val="762E43F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upperRoman"/>
      <w:lvlText w:val="%3."/>
      <w:lvlJc w:val="right"/>
      <w:pPr>
        <w:ind w:left="1080" w:hanging="720"/>
      </w:pPr>
      <w:rPr>
        <w:rFonts w:hint="default"/>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nsid w:val="378C417C"/>
    <w:multiLevelType w:val="multilevel"/>
    <w:tmpl w:val="5AB6708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855"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nsid w:val="38F83D8E"/>
    <w:multiLevelType w:val="multilevel"/>
    <w:tmpl w:val="6AA48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BEC170B"/>
    <w:multiLevelType w:val="multilevel"/>
    <w:tmpl w:val="69542E24"/>
    <w:lvl w:ilvl="0">
      <w:start w:val="5"/>
      <w:numFmt w:val="decimal"/>
      <w:lvlText w:val="%1."/>
      <w:lvlJc w:val="left"/>
      <w:pPr>
        <w:ind w:left="540" w:hanging="540"/>
      </w:pPr>
      <w:rPr>
        <w:rFonts w:cs="Times New Roman" w:hint="default"/>
      </w:rPr>
    </w:lvl>
    <w:lvl w:ilvl="1">
      <w:start w:val="3"/>
      <w:numFmt w:val="decimal"/>
      <w:lvlText w:val="%1.%2."/>
      <w:lvlJc w:val="left"/>
      <w:pPr>
        <w:ind w:left="720" w:hanging="720"/>
      </w:pPr>
      <w:rPr>
        <w:rFonts w:cs="Times New Roman" w:hint="default"/>
      </w:rPr>
    </w:lvl>
    <w:lvl w:ilvl="2">
      <w:start w:val="3"/>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nsid w:val="3CB06982"/>
    <w:multiLevelType w:val="multilevel"/>
    <w:tmpl w:val="01DCB9B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855"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nsid w:val="3F86478B"/>
    <w:multiLevelType w:val="multilevel"/>
    <w:tmpl w:val="A10E2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0D85DCC"/>
    <w:multiLevelType w:val="hybridMultilevel"/>
    <w:tmpl w:val="08341302"/>
    <w:lvl w:ilvl="0" w:tplc="992834AC">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418A1457"/>
    <w:multiLevelType w:val="hybridMultilevel"/>
    <w:tmpl w:val="EB188926"/>
    <w:lvl w:ilvl="0" w:tplc="ADE4A646">
      <w:start w:val="1"/>
      <w:numFmt w:val="bullet"/>
      <w:pStyle w:val="NormalCourierNew"/>
      <w:lvlText w:val=""/>
      <w:lvlJc w:val="left"/>
      <w:pPr>
        <w:ind w:left="900" w:hanging="360"/>
      </w:pPr>
      <w:rPr>
        <w:rFonts w:ascii="Symbol" w:hAnsi="Symbol" w:hint="default"/>
      </w:rPr>
    </w:lvl>
    <w:lvl w:ilvl="1" w:tplc="04160001">
      <w:start w:val="1"/>
      <w:numFmt w:val="bullet"/>
      <w:lvlText w:val=""/>
      <w:lvlJc w:val="left"/>
      <w:pPr>
        <w:tabs>
          <w:tab w:val="num" w:pos="1620"/>
        </w:tabs>
        <w:ind w:left="1620" w:hanging="360"/>
      </w:pPr>
      <w:rPr>
        <w:rFonts w:ascii="Symbol" w:hAnsi="Symbol" w:hint="default"/>
      </w:rPr>
    </w:lvl>
    <w:lvl w:ilvl="2" w:tplc="04160005">
      <w:start w:val="1"/>
      <w:numFmt w:val="bullet"/>
      <w:lvlText w:val=""/>
      <w:lvlJc w:val="left"/>
      <w:pPr>
        <w:ind w:left="2340" w:hanging="360"/>
      </w:pPr>
      <w:rPr>
        <w:rFonts w:ascii="Wingdings" w:hAnsi="Wingdings" w:hint="default"/>
      </w:rPr>
    </w:lvl>
    <w:lvl w:ilvl="3" w:tplc="04160001">
      <w:start w:val="1"/>
      <w:numFmt w:val="bullet"/>
      <w:lvlText w:val=""/>
      <w:lvlJc w:val="left"/>
      <w:pPr>
        <w:ind w:left="3060" w:hanging="360"/>
      </w:pPr>
      <w:rPr>
        <w:rFonts w:ascii="Symbol" w:hAnsi="Symbol" w:hint="default"/>
      </w:rPr>
    </w:lvl>
    <w:lvl w:ilvl="4" w:tplc="04160003">
      <w:start w:val="1"/>
      <w:numFmt w:val="bullet"/>
      <w:lvlText w:val="o"/>
      <w:lvlJc w:val="left"/>
      <w:pPr>
        <w:ind w:left="3780" w:hanging="360"/>
      </w:pPr>
      <w:rPr>
        <w:rFonts w:ascii="Courier New" w:hAnsi="Courier New" w:cs="Courier New" w:hint="default"/>
      </w:rPr>
    </w:lvl>
    <w:lvl w:ilvl="5" w:tplc="04160005">
      <w:start w:val="1"/>
      <w:numFmt w:val="bullet"/>
      <w:lvlText w:val=""/>
      <w:lvlJc w:val="left"/>
      <w:pPr>
        <w:ind w:left="4500" w:hanging="360"/>
      </w:pPr>
      <w:rPr>
        <w:rFonts w:ascii="Wingdings" w:hAnsi="Wingdings" w:hint="default"/>
      </w:rPr>
    </w:lvl>
    <w:lvl w:ilvl="6" w:tplc="04160001">
      <w:start w:val="1"/>
      <w:numFmt w:val="bullet"/>
      <w:lvlText w:val=""/>
      <w:lvlJc w:val="left"/>
      <w:pPr>
        <w:ind w:left="5220" w:hanging="360"/>
      </w:pPr>
      <w:rPr>
        <w:rFonts w:ascii="Symbol" w:hAnsi="Symbol" w:hint="default"/>
      </w:rPr>
    </w:lvl>
    <w:lvl w:ilvl="7" w:tplc="04160003">
      <w:start w:val="1"/>
      <w:numFmt w:val="bullet"/>
      <w:lvlText w:val="o"/>
      <w:lvlJc w:val="left"/>
      <w:pPr>
        <w:ind w:left="5940" w:hanging="360"/>
      </w:pPr>
      <w:rPr>
        <w:rFonts w:ascii="Courier New" w:hAnsi="Courier New" w:cs="Courier New" w:hint="default"/>
      </w:rPr>
    </w:lvl>
    <w:lvl w:ilvl="8" w:tplc="04160005">
      <w:start w:val="1"/>
      <w:numFmt w:val="bullet"/>
      <w:lvlText w:val=""/>
      <w:lvlJc w:val="left"/>
      <w:pPr>
        <w:ind w:left="6660" w:hanging="360"/>
      </w:pPr>
      <w:rPr>
        <w:rFonts w:ascii="Wingdings" w:hAnsi="Wingdings" w:hint="default"/>
      </w:rPr>
    </w:lvl>
  </w:abstractNum>
  <w:abstractNum w:abstractNumId="30">
    <w:nsid w:val="427D73CE"/>
    <w:multiLevelType w:val="multilevel"/>
    <w:tmpl w:val="80C8ED14"/>
    <w:lvl w:ilvl="0">
      <w:start w:val="1"/>
      <w:numFmt w:val="decimal"/>
      <w:pStyle w:val="Ttulo1"/>
      <w:lvlText w:val="%1."/>
      <w:lvlJc w:val="left"/>
      <w:pPr>
        <w:ind w:left="1070" w:hanging="360"/>
      </w:pPr>
      <w:rPr>
        <w:rFonts w:hint="default"/>
      </w:rPr>
    </w:lvl>
    <w:lvl w:ilvl="1">
      <w:start w:val="1"/>
      <w:numFmt w:val="decimal"/>
      <w:isLgl/>
      <w:lvlText w:val="%1.%2."/>
      <w:lvlJc w:val="left"/>
      <w:pPr>
        <w:ind w:left="1855" w:hanging="720"/>
      </w:pPr>
      <w:rPr>
        <w:rFonts w:hint="default"/>
        <w:sz w:val="22"/>
        <w:szCs w:val="22"/>
      </w:rPr>
    </w:lvl>
    <w:lvl w:ilvl="2">
      <w:start w:val="1"/>
      <w:numFmt w:val="decimal"/>
      <w:isLgl/>
      <w:lvlText w:val="%1.%2.%3."/>
      <w:lvlJc w:val="left"/>
      <w:pPr>
        <w:ind w:left="1855" w:hanging="720"/>
      </w:pPr>
      <w:rPr>
        <w:rFonts w:hint="default"/>
        <w:b w:val="0"/>
        <w:bCs w:val="0"/>
        <w:sz w:val="22"/>
        <w:szCs w:val="18"/>
      </w:rPr>
    </w:lvl>
    <w:lvl w:ilvl="3">
      <w:start w:val="1"/>
      <w:numFmt w:val="decimal"/>
      <w:isLgl/>
      <w:lvlText w:val="%1.%2.%3.%4."/>
      <w:lvlJc w:val="left"/>
      <w:pPr>
        <w:ind w:left="1440" w:hanging="1080"/>
      </w:pPr>
      <w:rPr>
        <w:rFonts w:hint="default"/>
        <w:b w:val="0"/>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nsid w:val="4961628D"/>
    <w:multiLevelType w:val="hybridMultilevel"/>
    <w:tmpl w:val="92041778"/>
    <w:lvl w:ilvl="0" w:tplc="D7BCE01E">
      <w:start w:val="1"/>
      <w:numFmt w:val="upperRoman"/>
      <w:lvlText w:val="%1."/>
      <w:lvlJc w:val="right"/>
      <w:pPr>
        <w:ind w:left="720" w:hanging="360"/>
      </w:pPr>
      <w:rPr>
        <w:rFonts w:hint="default"/>
        <w:b w:val="0"/>
      </w:rPr>
    </w:lvl>
    <w:lvl w:ilvl="1" w:tplc="08DE997A">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4CBD39A9"/>
    <w:multiLevelType w:val="multilevel"/>
    <w:tmpl w:val="E822F2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080"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nsid w:val="50743529"/>
    <w:multiLevelType w:val="hybridMultilevel"/>
    <w:tmpl w:val="0E82CE78"/>
    <w:lvl w:ilvl="0" w:tplc="76F63F54">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53176CA0"/>
    <w:multiLevelType w:val="multilevel"/>
    <w:tmpl w:val="E826913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decimal"/>
      <w:isLgl/>
      <w:lvlText w:val="%1.%2.%3."/>
      <w:lvlJc w:val="left"/>
      <w:pPr>
        <w:ind w:left="1080" w:hanging="720"/>
      </w:pPr>
      <w:rPr>
        <w:rFonts w:hint="default"/>
        <w:b w:val="0"/>
        <w:bCs w:val="0"/>
        <w:sz w:val="22"/>
        <w:szCs w:val="18"/>
      </w:rPr>
    </w:lvl>
    <w:lvl w:ilvl="3">
      <w:start w:val="1"/>
      <w:numFmt w:val="lowerLetter"/>
      <w:lvlText w:val="%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nsid w:val="54811C7E"/>
    <w:multiLevelType w:val="multilevel"/>
    <w:tmpl w:val="E822F2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080"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nsid w:val="56D45986"/>
    <w:multiLevelType w:val="hybridMultilevel"/>
    <w:tmpl w:val="85987A1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57EC45CE"/>
    <w:multiLevelType w:val="multilevel"/>
    <w:tmpl w:val="7C9CDBA8"/>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nsid w:val="5B213F9A"/>
    <w:multiLevelType w:val="multilevel"/>
    <w:tmpl w:val="A6DA8182"/>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525"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B7B5377"/>
    <w:multiLevelType w:val="multilevel"/>
    <w:tmpl w:val="A6DA8182"/>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525"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E8F5952"/>
    <w:multiLevelType w:val="multilevel"/>
    <w:tmpl w:val="C1E05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0D10458"/>
    <w:multiLevelType w:val="multilevel"/>
    <w:tmpl w:val="5AB6708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855"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2">
    <w:nsid w:val="620A74B8"/>
    <w:multiLevelType w:val="hybridMultilevel"/>
    <w:tmpl w:val="E32EE11C"/>
    <w:lvl w:ilvl="0" w:tplc="7B6A105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633700DF"/>
    <w:multiLevelType w:val="hybridMultilevel"/>
    <w:tmpl w:val="B9A8FDD8"/>
    <w:lvl w:ilvl="0" w:tplc="0416000D">
      <w:start w:val="1"/>
      <w:numFmt w:val="bullet"/>
      <w:lvlText w:val=""/>
      <w:lvlJc w:val="left"/>
      <w:pPr>
        <w:tabs>
          <w:tab w:val="num" w:pos="720"/>
        </w:tabs>
        <w:ind w:left="720" w:hanging="360"/>
      </w:pPr>
      <w:rPr>
        <w:rFonts w:ascii="Wingdings" w:hAnsi="Wingdings" w:hint="default"/>
      </w:rPr>
    </w:lvl>
    <w:lvl w:ilvl="1" w:tplc="0EE232B6">
      <w:start w:val="1"/>
      <w:numFmt w:val="bullet"/>
      <w:pStyle w:val="Recuodecorpodetexto1"/>
      <w:lvlText w:val=""/>
      <w:lvlJc w:val="left"/>
      <w:pPr>
        <w:tabs>
          <w:tab w:val="num" w:pos="1440"/>
        </w:tabs>
        <w:ind w:left="1440" w:hanging="360"/>
      </w:pPr>
      <w:rPr>
        <w:rFonts w:ascii="Wingdings" w:hAnsi="Wingdings"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44">
    <w:nsid w:val="63F046E8"/>
    <w:multiLevelType w:val="multilevel"/>
    <w:tmpl w:val="01DCB9B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855"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nsid w:val="6B887ED2"/>
    <w:multiLevelType w:val="multilevel"/>
    <w:tmpl w:val="44D28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BAB5CCC"/>
    <w:multiLevelType w:val="multilevel"/>
    <w:tmpl w:val="9C560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DB57BE0"/>
    <w:multiLevelType w:val="hybridMultilevel"/>
    <w:tmpl w:val="11706756"/>
    <w:lvl w:ilvl="0" w:tplc="E24AD774">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nsid w:val="6E1E46DE"/>
    <w:multiLevelType w:val="hybridMultilevel"/>
    <w:tmpl w:val="5ECE951A"/>
    <w:lvl w:ilvl="0" w:tplc="04160017">
      <w:start w:val="1"/>
      <w:numFmt w:val="lowerLetter"/>
      <w:lvlText w:val="%1)"/>
      <w:lvlJc w:val="left"/>
      <w:pPr>
        <w:ind w:left="720" w:hanging="360"/>
      </w:pPr>
    </w:lvl>
    <w:lvl w:ilvl="1" w:tplc="7B04CAEE">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nsid w:val="74CF7CC1"/>
    <w:multiLevelType w:val="hybridMultilevel"/>
    <w:tmpl w:val="2CA8799A"/>
    <w:lvl w:ilvl="0" w:tplc="04160017">
      <w:start w:val="1"/>
      <w:numFmt w:val="lowerLetter"/>
      <w:lvlText w:val="%1)"/>
      <w:lvlJc w:val="left"/>
      <w:pPr>
        <w:ind w:left="720" w:hanging="360"/>
      </w:pPr>
    </w:lvl>
    <w:lvl w:ilvl="1" w:tplc="A8C8883C">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nsid w:val="765C0306"/>
    <w:multiLevelType w:val="hybridMultilevel"/>
    <w:tmpl w:val="52FE4AF6"/>
    <w:lvl w:ilvl="0" w:tplc="04160005">
      <w:start w:val="1"/>
      <w:numFmt w:val="bullet"/>
      <w:lvlText w:val=""/>
      <w:lvlJc w:val="left"/>
      <w:pPr>
        <w:ind w:left="1571" w:hanging="360"/>
      </w:pPr>
      <w:rPr>
        <w:rFonts w:ascii="Wingdings" w:hAnsi="Wingding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51">
    <w:nsid w:val="770F4F9F"/>
    <w:multiLevelType w:val="hybridMultilevel"/>
    <w:tmpl w:val="146495C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nsid w:val="77944092"/>
    <w:multiLevelType w:val="multilevel"/>
    <w:tmpl w:val="AD6EC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7D3396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54">
    <w:nsid w:val="7BD01C60"/>
    <w:multiLevelType w:val="hybridMultilevel"/>
    <w:tmpl w:val="B07AD0C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nsid w:val="7C2A320E"/>
    <w:multiLevelType w:val="multilevel"/>
    <w:tmpl w:val="14B2554A"/>
    <w:lvl w:ilvl="0">
      <w:start w:val="10"/>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6">
    <w:nsid w:val="7E317D47"/>
    <w:multiLevelType w:val="multilevel"/>
    <w:tmpl w:val="D6ECB66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3"/>
  </w:num>
  <w:num w:numId="2">
    <w:abstractNumId w:val="29"/>
  </w:num>
  <w:num w:numId="3">
    <w:abstractNumId w:val="37"/>
  </w:num>
  <w:num w:numId="4">
    <w:abstractNumId w:val="54"/>
  </w:num>
  <w:num w:numId="5">
    <w:abstractNumId w:val="30"/>
  </w:num>
  <w:num w:numId="6">
    <w:abstractNumId w:val="56"/>
  </w:num>
  <w:num w:numId="7">
    <w:abstractNumId w:val="51"/>
  </w:num>
  <w:num w:numId="8">
    <w:abstractNumId w:val="35"/>
  </w:num>
  <w:num w:numId="9">
    <w:abstractNumId w:val="32"/>
  </w:num>
  <w:num w:numId="10">
    <w:abstractNumId w:val="21"/>
  </w:num>
  <w:num w:numId="11">
    <w:abstractNumId w:val="14"/>
  </w:num>
  <w:num w:numId="12">
    <w:abstractNumId w:val="0"/>
  </w:num>
  <w:num w:numId="13">
    <w:abstractNumId w:val="22"/>
  </w:num>
  <w:num w:numId="14">
    <w:abstractNumId w:val="33"/>
  </w:num>
  <w:num w:numId="15">
    <w:abstractNumId w:val="48"/>
  </w:num>
  <w:num w:numId="16">
    <w:abstractNumId w:val="34"/>
  </w:num>
  <w:num w:numId="17">
    <w:abstractNumId w:val="6"/>
  </w:num>
  <w:num w:numId="18">
    <w:abstractNumId w:val="23"/>
  </w:num>
  <w:num w:numId="19">
    <w:abstractNumId w:val="1"/>
  </w:num>
  <w:num w:numId="20">
    <w:abstractNumId w:val="41"/>
  </w:num>
  <w:num w:numId="21">
    <w:abstractNumId w:val="12"/>
  </w:num>
  <w:num w:numId="22">
    <w:abstractNumId w:val="16"/>
  </w:num>
  <w:num w:numId="23">
    <w:abstractNumId w:val="9"/>
  </w:num>
  <w:num w:numId="24">
    <w:abstractNumId w:val="26"/>
  </w:num>
  <w:num w:numId="25">
    <w:abstractNumId w:val="44"/>
  </w:num>
  <w:num w:numId="26">
    <w:abstractNumId w:val="17"/>
  </w:num>
  <w:num w:numId="27">
    <w:abstractNumId w:val="7"/>
  </w:num>
  <w:num w:numId="28">
    <w:abstractNumId w:val="11"/>
  </w:num>
  <w:num w:numId="29">
    <w:abstractNumId w:val="42"/>
  </w:num>
  <w:num w:numId="3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num>
  <w:num w:numId="42">
    <w:abstractNumId w:val="53"/>
  </w:num>
  <w:num w:numId="43">
    <w:abstractNumId w:val="31"/>
  </w:num>
  <w:num w:numId="44">
    <w:abstractNumId w:val="15"/>
  </w:num>
  <w:num w:numId="45">
    <w:abstractNumId w:val="49"/>
  </w:num>
  <w:num w:numId="46">
    <w:abstractNumId w:val="50"/>
  </w:num>
  <w:num w:numId="47">
    <w:abstractNumId w:val="4"/>
  </w:num>
  <w:num w:numId="48">
    <w:abstractNumId w:val="27"/>
  </w:num>
  <w:num w:numId="49">
    <w:abstractNumId w:val="45"/>
  </w:num>
  <w:num w:numId="50">
    <w:abstractNumId w:val="46"/>
  </w:num>
  <w:num w:numId="51">
    <w:abstractNumId w:val="3"/>
  </w:num>
  <w:num w:numId="52">
    <w:abstractNumId w:val="24"/>
  </w:num>
  <w:num w:numId="53">
    <w:abstractNumId w:val="8"/>
  </w:num>
  <w:num w:numId="54">
    <w:abstractNumId w:val="10"/>
  </w:num>
  <w:num w:numId="55">
    <w:abstractNumId w:val="40"/>
  </w:num>
  <w:num w:numId="56">
    <w:abstractNumId w:val="52"/>
  </w:num>
  <w:num w:numId="57">
    <w:abstractNumId w:val="25"/>
  </w:num>
  <w:num w:numId="58">
    <w:abstractNumId w:val="55"/>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BEFB0-BA22-4997-967C-A6838F7F8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Calibri" w:eastAsia="Calibri" w:hAnsi="Calibri" w:cs="Times New Roman"/>
    </w:rPr>
  </w:style>
  <w:style w:type="paragraph" w:styleId="Ttulo1">
    <w:name w:val="heading 1"/>
    <w:basedOn w:val="PargrafodaLista"/>
    <w:next w:val="Normal"/>
    <w:link w:val="Ttulo1Char"/>
    <w:uiPriority w:val="9"/>
    <w:qFormat/>
    <w:pPr>
      <w:numPr>
        <w:numId w:val="5"/>
      </w:numPr>
      <w:tabs>
        <w:tab w:val="left" w:pos="284"/>
      </w:tabs>
      <w:jc w:val="both"/>
      <w:outlineLvl w:val="0"/>
    </w:pPr>
    <w:rPr>
      <w:rFonts w:ascii="Arial" w:hAnsi="Arial" w:cs="Arial"/>
      <w:b/>
      <w:bCs/>
      <w:sz w:val="22"/>
      <w:szCs w:val="22"/>
    </w:rPr>
  </w:style>
  <w:style w:type="paragraph" w:styleId="Ttulo2">
    <w:name w:val="heading 2"/>
    <w:basedOn w:val="Normal"/>
    <w:next w:val="Normal"/>
    <w:link w:val="Ttulo2Char"/>
    <w:qFormat/>
    <w:pPr>
      <w:keepNext/>
      <w:jc w:val="right"/>
      <w:outlineLvl w:val="1"/>
    </w:pPr>
    <w:rPr>
      <w:rFonts w:ascii="Times New Roman" w:eastAsia="Times New Roman" w:hAnsi="Times New Roman"/>
      <w:color w:val="000000"/>
      <w:sz w:val="24"/>
      <w:szCs w:val="20"/>
    </w:rPr>
  </w:style>
  <w:style w:type="paragraph" w:styleId="Ttulo3">
    <w:name w:val="heading 3"/>
    <w:basedOn w:val="Normal"/>
    <w:next w:val="Normal"/>
    <w:link w:val="Ttulo3Char"/>
    <w:qFormat/>
    <w:pPr>
      <w:keepNext/>
      <w:jc w:val="center"/>
      <w:outlineLvl w:val="2"/>
    </w:pPr>
    <w:rPr>
      <w:rFonts w:ascii="Arial Narrow" w:eastAsia="Times New Roman" w:hAnsi="Arial Narrow"/>
      <w:i/>
      <w:color w:val="000000"/>
      <w:sz w:val="38"/>
      <w:szCs w:val="20"/>
    </w:rPr>
  </w:style>
  <w:style w:type="paragraph" w:styleId="Ttulo4">
    <w:name w:val="heading 4"/>
    <w:basedOn w:val="Normal"/>
    <w:next w:val="Normal"/>
    <w:link w:val="Ttulo4Char"/>
    <w:qFormat/>
    <w:pPr>
      <w:keepNext/>
      <w:jc w:val="both"/>
      <w:outlineLvl w:val="3"/>
    </w:pPr>
    <w:rPr>
      <w:rFonts w:ascii="Times New Roman" w:eastAsia="Times New Roman" w:hAnsi="Times New Roman"/>
      <w:color w:val="000000"/>
      <w:sz w:val="24"/>
      <w:szCs w:val="20"/>
    </w:rPr>
  </w:style>
  <w:style w:type="paragraph" w:styleId="Ttulo5">
    <w:name w:val="heading 5"/>
    <w:basedOn w:val="Normal"/>
    <w:next w:val="Normal"/>
    <w:link w:val="Ttulo5Char"/>
    <w:qFormat/>
    <w:pPr>
      <w:keepNext/>
      <w:jc w:val="both"/>
      <w:outlineLvl w:val="4"/>
    </w:pPr>
    <w:rPr>
      <w:rFonts w:ascii="Times New Roman" w:eastAsia="Times New Roman" w:hAnsi="Times New Roman"/>
      <w:b/>
      <w:color w:val="000000"/>
      <w:sz w:val="24"/>
      <w:szCs w:val="20"/>
    </w:rPr>
  </w:style>
  <w:style w:type="paragraph" w:styleId="Ttulo6">
    <w:name w:val="heading 6"/>
    <w:basedOn w:val="Normal"/>
    <w:next w:val="Normal"/>
    <w:link w:val="Ttulo6Char"/>
    <w:qFormat/>
    <w:pPr>
      <w:keepNext/>
      <w:jc w:val="center"/>
      <w:outlineLvl w:val="5"/>
    </w:pPr>
    <w:rPr>
      <w:rFonts w:ascii="Arial Narrow" w:eastAsia="Times New Roman" w:hAnsi="Arial Narrow"/>
      <w:i/>
      <w:sz w:val="38"/>
      <w:szCs w:val="20"/>
    </w:rPr>
  </w:style>
  <w:style w:type="paragraph" w:styleId="Ttulo7">
    <w:name w:val="heading 7"/>
    <w:basedOn w:val="Normal"/>
    <w:next w:val="Normal"/>
    <w:link w:val="Ttulo7Char"/>
    <w:uiPriority w:val="9"/>
    <w:qFormat/>
    <w:pPr>
      <w:keepNext/>
      <w:jc w:val="center"/>
      <w:outlineLvl w:val="6"/>
    </w:pPr>
    <w:rPr>
      <w:rFonts w:ascii="Arial Rounded MT Bold" w:eastAsia="Times New Roman" w:hAnsi="Arial Rounded MT Bold"/>
      <w:b/>
      <w:sz w:val="28"/>
      <w:szCs w:val="20"/>
    </w:rPr>
  </w:style>
  <w:style w:type="paragraph" w:styleId="Ttulo8">
    <w:name w:val="heading 8"/>
    <w:basedOn w:val="Normal"/>
    <w:next w:val="Normal"/>
    <w:link w:val="Ttulo8Char"/>
    <w:uiPriority w:val="9"/>
    <w:qFormat/>
    <w:pPr>
      <w:keepNext/>
      <w:outlineLvl w:val="7"/>
    </w:pPr>
    <w:rPr>
      <w:rFonts w:ascii="Times New Roman" w:eastAsia="Times New Roman" w:hAnsi="Times New Roman"/>
      <w:sz w:val="24"/>
      <w:szCs w:val="20"/>
    </w:rPr>
  </w:style>
  <w:style w:type="paragraph" w:styleId="Ttulo9">
    <w:name w:val="heading 9"/>
    <w:basedOn w:val="Normal"/>
    <w:next w:val="Normal"/>
    <w:link w:val="Ttulo9Char"/>
    <w:uiPriority w:val="9"/>
    <w:qFormat/>
    <w:pPr>
      <w:keepNext/>
      <w:jc w:val="center"/>
      <w:outlineLvl w:val="8"/>
    </w:pPr>
    <w:rPr>
      <w:rFonts w:ascii="Times New Roman" w:eastAsia="Times New Roman" w:hAnsi="Times New Roman"/>
      <w:b/>
      <w:color w:val="000000"/>
      <w:sz w:val="3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Pr>
      <w:rFonts w:ascii="Arial" w:eastAsia="Times New Roman" w:hAnsi="Arial" w:cs="Arial"/>
      <w:b/>
      <w:bCs/>
      <w:lang w:eastAsia="ar-SA"/>
    </w:rPr>
  </w:style>
  <w:style w:type="character" w:customStyle="1" w:styleId="Ttulo2Char">
    <w:name w:val="Título 2 Char"/>
    <w:basedOn w:val="Fontepargpadro"/>
    <w:link w:val="Ttulo2"/>
    <w:rPr>
      <w:rFonts w:ascii="Times New Roman" w:eastAsia="Times New Roman" w:hAnsi="Times New Roman" w:cs="Times New Roman"/>
      <w:color w:val="000000"/>
      <w:sz w:val="24"/>
      <w:szCs w:val="20"/>
    </w:rPr>
  </w:style>
  <w:style w:type="character" w:customStyle="1" w:styleId="Ttulo3Char">
    <w:name w:val="Título 3 Char"/>
    <w:basedOn w:val="Fontepargpadro"/>
    <w:link w:val="Ttulo3"/>
    <w:rPr>
      <w:rFonts w:ascii="Arial Narrow" w:eastAsia="Times New Roman" w:hAnsi="Arial Narrow" w:cs="Times New Roman"/>
      <w:i/>
      <w:color w:val="000000"/>
      <w:sz w:val="38"/>
      <w:szCs w:val="20"/>
    </w:rPr>
  </w:style>
  <w:style w:type="character" w:customStyle="1" w:styleId="Ttulo4Char">
    <w:name w:val="Título 4 Char"/>
    <w:basedOn w:val="Fontepargpadro"/>
    <w:link w:val="Ttulo4"/>
    <w:rPr>
      <w:rFonts w:ascii="Times New Roman" w:eastAsia="Times New Roman" w:hAnsi="Times New Roman" w:cs="Times New Roman"/>
      <w:color w:val="000000"/>
      <w:sz w:val="24"/>
      <w:szCs w:val="20"/>
    </w:rPr>
  </w:style>
  <w:style w:type="character" w:customStyle="1" w:styleId="Ttulo5Char">
    <w:name w:val="Título 5 Char"/>
    <w:basedOn w:val="Fontepargpadro"/>
    <w:link w:val="Ttulo5"/>
    <w:rPr>
      <w:rFonts w:ascii="Times New Roman" w:eastAsia="Times New Roman" w:hAnsi="Times New Roman" w:cs="Times New Roman"/>
      <w:b/>
      <w:color w:val="000000"/>
      <w:sz w:val="24"/>
      <w:szCs w:val="20"/>
    </w:rPr>
  </w:style>
  <w:style w:type="character" w:customStyle="1" w:styleId="Ttulo6Char">
    <w:name w:val="Título 6 Char"/>
    <w:basedOn w:val="Fontepargpadro"/>
    <w:link w:val="Ttulo6"/>
    <w:rPr>
      <w:rFonts w:ascii="Arial Narrow" w:eastAsia="Times New Roman" w:hAnsi="Arial Narrow" w:cs="Times New Roman"/>
      <w:i/>
      <w:sz w:val="38"/>
      <w:szCs w:val="20"/>
    </w:rPr>
  </w:style>
  <w:style w:type="character" w:customStyle="1" w:styleId="Ttulo7Char">
    <w:name w:val="Título 7 Char"/>
    <w:basedOn w:val="Fontepargpadro"/>
    <w:link w:val="Ttulo7"/>
    <w:uiPriority w:val="9"/>
    <w:rPr>
      <w:rFonts w:ascii="Arial Rounded MT Bold" w:eastAsia="Times New Roman" w:hAnsi="Arial Rounded MT Bold" w:cs="Times New Roman"/>
      <w:b/>
      <w:sz w:val="28"/>
      <w:szCs w:val="20"/>
    </w:rPr>
  </w:style>
  <w:style w:type="character" w:customStyle="1" w:styleId="Ttulo8Char">
    <w:name w:val="Título 8 Char"/>
    <w:basedOn w:val="Fontepargpadro"/>
    <w:link w:val="Ttulo8"/>
    <w:uiPriority w:val="9"/>
    <w:rPr>
      <w:rFonts w:ascii="Times New Roman" w:eastAsia="Times New Roman" w:hAnsi="Times New Roman" w:cs="Times New Roman"/>
      <w:sz w:val="24"/>
      <w:szCs w:val="20"/>
    </w:rPr>
  </w:style>
  <w:style w:type="character" w:customStyle="1" w:styleId="Ttulo9Char">
    <w:name w:val="Título 9 Char"/>
    <w:basedOn w:val="Fontepargpadro"/>
    <w:link w:val="Ttulo9"/>
    <w:uiPriority w:val="9"/>
    <w:rPr>
      <w:rFonts w:ascii="Times New Roman" w:eastAsia="Times New Roman" w:hAnsi="Times New Roman" w:cs="Times New Roman"/>
      <w:b/>
      <w:color w:val="000000"/>
      <w:sz w:val="32"/>
      <w:szCs w:val="20"/>
    </w:rPr>
  </w:style>
  <w:style w:type="paragraph" w:styleId="Cabealho">
    <w:name w:val="header"/>
    <w:aliases w:val="encabezado,hd,he,Char, Char,Ofício Circular,Cabeçalho superior,Heading 1a,h,HeaderNN,Header Char,Cabeçalho1"/>
    <w:basedOn w:val="Normal"/>
    <w:link w:val="CabealhoChar"/>
    <w:uiPriority w:val="99"/>
    <w:pPr>
      <w:tabs>
        <w:tab w:val="center" w:pos="4419"/>
        <w:tab w:val="right" w:pos="8838"/>
      </w:tabs>
    </w:pPr>
    <w:rPr>
      <w:rFonts w:ascii="Times New Roman" w:eastAsia="Times New Roman" w:hAnsi="Times New Roman"/>
      <w:sz w:val="24"/>
      <w:szCs w:val="20"/>
    </w:rPr>
  </w:style>
  <w:style w:type="character" w:customStyle="1" w:styleId="CabealhoChar">
    <w:name w:val="Cabeçalho Char"/>
    <w:aliases w:val="encabezado Char,hd Char,he Char,Char Char, Char Char,Ofício Circular Char,Cabeçalho superior Char,Heading 1a Char,h Char,HeaderNN Char,Header Char Char,Cabeçalho1 Char"/>
    <w:basedOn w:val="Fontepargpadro"/>
    <w:link w:val="Cabealho"/>
    <w:uiPriority w:val="99"/>
    <w:qFormat/>
    <w:rPr>
      <w:rFonts w:ascii="Times New Roman" w:eastAsia="Times New Roman" w:hAnsi="Times New Roman" w:cs="Times New Roman"/>
      <w:sz w:val="24"/>
      <w:szCs w:val="20"/>
    </w:rPr>
  </w:style>
  <w:style w:type="paragraph" w:styleId="Rodap">
    <w:name w:val="footer"/>
    <w:basedOn w:val="Normal"/>
    <w:link w:val="RodapChar"/>
    <w:pPr>
      <w:tabs>
        <w:tab w:val="center" w:pos="4419"/>
        <w:tab w:val="right" w:pos="8838"/>
      </w:tabs>
    </w:pPr>
    <w:rPr>
      <w:rFonts w:ascii="Times New Roman" w:eastAsia="Times New Roman" w:hAnsi="Times New Roman"/>
      <w:sz w:val="24"/>
      <w:szCs w:val="20"/>
    </w:rPr>
  </w:style>
  <w:style w:type="character" w:customStyle="1" w:styleId="RodapChar">
    <w:name w:val="Rodapé Char"/>
    <w:basedOn w:val="Fontepargpadro"/>
    <w:link w:val="Rodap"/>
    <w:rPr>
      <w:rFonts w:ascii="Times New Roman" w:eastAsia="Times New Roman" w:hAnsi="Times New Roman" w:cs="Times New Roman"/>
      <w:sz w:val="24"/>
      <w:szCs w:val="20"/>
    </w:rPr>
  </w:style>
  <w:style w:type="paragraph" w:styleId="Corpodetexto2">
    <w:name w:val="Body Text 2"/>
    <w:basedOn w:val="Normal"/>
    <w:link w:val="Corpodetexto2Char"/>
    <w:pPr>
      <w:jc w:val="both"/>
    </w:pPr>
    <w:rPr>
      <w:rFonts w:ascii="Times New Roman" w:eastAsia="Times New Roman" w:hAnsi="Times New Roman"/>
      <w:sz w:val="28"/>
      <w:szCs w:val="20"/>
    </w:rPr>
  </w:style>
  <w:style w:type="character" w:customStyle="1" w:styleId="Corpodetexto2Char">
    <w:name w:val="Corpo de texto 2 Char"/>
    <w:basedOn w:val="Fontepargpadro"/>
    <w:link w:val="Corpodetexto2"/>
    <w:rPr>
      <w:rFonts w:ascii="Times New Roman" w:eastAsia="Times New Roman" w:hAnsi="Times New Roman" w:cs="Times New Roman"/>
      <w:sz w:val="28"/>
      <w:szCs w:val="20"/>
    </w:rPr>
  </w:style>
  <w:style w:type="character" w:styleId="Forte">
    <w:name w:val="Strong"/>
    <w:uiPriority w:val="22"/>
    <w:qFormat/>
    <w:rPr>
      <w:b/>
      <w:bCs/>
    </w:rPr>
  </w:style>
  <w:style w:type="paragraph" w:styleId="Recuodecorpodetexto">
    <w:name w:val="Body Text Indent"/>
    <w:basedOn w:val="Normal"/>
    <w:link w:val="RecuodecorpodetextoChar"/>
    <w:pPr>
      <w:tabs>
        <w:tab w:val="left" w:pos="-1440"/>
        <w:tab w:val="left" w:pos="-720"/>
      </w:tabs>
      <w:suppressAutoHyphens/>
      <w:ind w:firstLine="1985"/>
      <w:jc w:val="both"/>
    </w:pPr>
    <w:rPr>
      <w:rFonts w:ascii="Arial" w:eastAsia="Times New Roman" w:hAnsi="Arial"/>
      <w:spacing w:val="-3"/>
      <w:sz w:val="24"/>
      <w:szCs w:val="20"/>
    </w:rPr>
  </w:style>
  <w:style w:type="character" w:customStyle="1" w:styleId="RecuodecorpodetextoChar">
    <w:name w:val="Recuo de corpo de texto Char"/>
    <w:basedOn w:val="Fontepargpadro"/>
    <w:link w:val="Recuodecorpodetexto"/>
    <w:rPr>
      <w:rFonts w:ascii="Arial" w:eastAsia="Times New Roman" w:hAnsi="Arial" w:cs="Times New Roman"/>
      <w:spacing w:val="-3"/>
      <w:sz w:val="24"/>
      <w:szCs w:val="20"/>
    </w:rPr>
  </w:style>
  <w:style w:type="paragraph" w:styleId="Recuodecorpodetexto3">
    <w:name w:val="Body Text Indent 3"/>
    <w:basedOn w:val="Normal"/>
    <w:link w:val="Recuodecorpodetexto3Char"/>
    <w:pPr>
      <w:ind w:left="1985"/>
      <w:jc w:val="both"/>
    </w:pPr>
    <w:rPr>
      <w:rFonts w:ascii="Arial" w:eastAsia="Times New Roman" w:hAnsi="Arial"/>
      <w:szCs w:val="20"/>
    </w:rPr>
  </w:style>
  <w:style w:type="character" w:customStyle="1" w:styleId="Recuodecorpodetexto3Char">
    <w:name w:val="Recuo de corpo de texto 3 Char"/>
    <w:basedOn w:val="Fontepargpadro"/>
    <w:link w:val="Recuodecorpodetexto3"/>
    <w:rPr>
      <w:rFonts w:ascii="Arial" w:eastAsia="Times New Roman" w:hAnsi="Arial" w:cs="Times New Roman"/>
      <w:szCs w:val="20"/>
    </w:rPr>
  </w:style>
  <w:style w:type="paragraph" w:styleId="Recuodecorpodetexto2">
    <w:name w:val="Body Text Indent 2"/>
    <w:basedOn w:val="Normal"/>
    <w:link w:val="Recuodecorpodetexto2Char"/>
    <w:pPr>
      <w:ind w:firstLine="1985"/>
      <w:jc w:val="both"/>
    </w:pPr>
    <w:rPr>
      <w:rFonts w:ascii="Arial" w:eastAsia="Times New Roman" w:hAnsi="Arial"/>
      <w:color w:val="000000"/>
      <w:sz w:val="20"/>
      <w:szCs w:val="20"/>
    </w:rPr>
  </w:style>
  <w:style w:type="character" w:customStyle="1" w:styleId="Recuodecorpodetexto2Char">
    <w:name w:val="Recuo de corpo de texto 2 Char"/>
    <w:basedOn w:val="Fontepargpadro"/>
    <w:link w:val="Recuodecorpodetexto2"/>
    <w:rPr>
      <w:rFonts w:ascii="Arial" w:eastAsia="Times New Roman" w:hAnsi="Arial" w:cs="Times New Roman"/>
      <w:color w:val="000000"/>
      <w:sz w:val="20"/>
      <w:szCs w:val="20"/>
    </w:rPr>
  </w:style>
  <w:style w:type="paragraph" w:styleId="Corpodetexto">
    <w:name w:val="Body Text"/>
    <w:basedOn w:val="Normal"/>
    <w:link w:val="CorpodetextoChar"/>
    <w:uiPriority w:val="1"/>
    <w:qFormat/>
    <w:pPr>
      <w:jc w:val="both"/>
    </w:pPr>
    <w:rPr>
      <w:rFonts w:ascii="Arial" w:eastAsia="Times New Roman" w:hAnsi="Arial"/>
      <w:szCs w:val="20"/>
    </w:rPr>
  </w:style>
  <w:style w:type="character" w:customStyle="1" w:styleId="CorpodetextoChar">
    <w:name w:val="Corpo de texto Char"/>
    <w:basedOn w:val="Fontepargpadro"/>
    <w:link w:val="Corpodetexto"/>
    <w:uiPriority w:val="1"/>
    <w:rPr>
      <w:rFonts w:ascii="Arial" w:eastAsia="Times New Roman" w:hAnsi="Arial" w:cs="Times New Roman"/>
      <w:szCs w:val="20"/>
    </w:rPr>
  </w:style>
  <w:style w:type="paragraph" w:styleId="Corpodetexto3">
    <w:name w:val="Body Text 3"/>
    <w:basedOn w:val="Normal"/>
    <w:link w:val="Corpodetexto3Char"/>
    <w:rPr>
      <w:rFonts w:ascii="Times New Roman" w:eastAsia="Times New Roman" w:hAnsi="Times New Roman"/>
      <w:sz w:val="24"/>
      <w:szCs w:val="20"/>
    </w:rPr>
  </w:style>
  <w:style w:type="character" w:customStyle="1" w:styleId="Corpodetexto3Char">
    <w:name w:val="Corpo de texto 3 Char"/>
    <w:basedOn w:val="Fontepargpadro"/>
    <w:link w:val="Corpodetexto3"/>
    <w:rPr>
      <w:rFonts w:ascii="Times New Roman" w:eastAsia="Times New Roman" w:hAnsi="Times New Roman" w:cs="Times New Roman"/>
      <w:sz w:val="24"/>
      <w:szCs w:val="20"/>
    </w:rPr>
  </w:style>
  <w:style w:type="paragraph" w:customStyle="1" w:styleId="Corpodetexto21">
    <w:name w:val="Corpo de texto 21"/>
    <w:basedOn w:val="Normal"/>
    <w:pPr>
      <w:ind w:firstLine="851"/>
      <w:jc w:val="both"/>
    </w:pPr>
    <w:rPr>
      <w:rFonts w:ascii="Arial" w:eastAsia="Times New Roman" w:hAnsi="Arial"/>
      <w:szCs w:val="20"/>
      <w:lang w:eastAsia="pt-BR"/>
    </w:rPr>
  </w:style>
  <w:style w:type="paragraph" w:styleId="Ttulo">
    <w:name w:val="Title"/>
    <w:basedOn w:val="Normal"/>
    <w:link w:val="TtuloChar"/>
    <w:qFormat/>
    <w:pPr>
      <w:jc w:val="center"/>
    </w:pPr>
    <w:rPr>
      <w:rFonts w:ascii="Bookman Old Style" w:eastAsia="Times New Roman" w:hAnsi="Bookman Old Style"/>
      <w:b/>
      <w:color w:val="000000"/>
      <w:sz w:val="30"/>
      <w:szCs w:val="20"/>
    </w:rPr>
  </w:style>
  <w:style w:type="character" w:customStyle="1" w:styleId="TtuloChar">
    <w:name w:val="Título Char"/>
    <w:basedOn w:val="Fontepargpadro"/>
    <w:link w:val="Ttulo"/>
    <w:uiPriority w:val="99"/>
    <w:rPr>
      <w:rFonts w:ascii="Bookman Old Style" w:eastAsia="Times New Roman" w:hAnsi="Bookman Old Style" w:cs="Times New Roman"/>
      <w:b/>
      <w:color w:val="000000"/>
      <w:sz w:val="30"/>
      <w:szCs w:val="20"/>
    </w:rPr>
  </w:style>
  <w:style w:type="character" w:styleId="Nmerodepgina">
    <w:name w:val="page number"/>
  </w:style>
  <w:style w:type="paragraph" w:customStyle="1" w:styleId="BodyText22">
    <w:name w:val="Body Text 22"/>
    <w:basedOn w:val="Normal"/>
    <w:pPr>
      <w:jc w:val="both"/>
    </w:pPr>
    <w:rPr>
      <w:rFonts w:ascii="Bookman Old Style" w:eastAsia="Times New Roman" w:hAnsi="Bookman Old Style"/>
      <w:color w:val="000000"/>
      <w:sz w:val="28"/>
      <w:szCs w:val="20"/>
      <w:lang w:eastAsia="pt-BR"/>
    </w:rPr>
  </w:style>
  <w:style w:type="paragraph" w:styleId="Textoembloco">
    <w:name w:val="Block Text"/>
    <w:basedOn w:val="Normal"/>
    <w:uiPriority w:val="99"/>
    <w:pPr>
      <w:ind w:left="1701" w:right="3170"/>
      <w:jc w:val="both"/>
    </w:pPr>
    <w:rPr>
      <w:rFonts w:ascii="Times New Roman" w:eastAsia="Times New Roman" w:hAnsi="Times New Roman"/>
      <w:sz w:val="24"/>
      <w:szCs w:val="20"/>
      <w:lang w:eastAsia="pt-BR"/>
    </w:rPr>
  </w:style>
  <w:style w:type="paragraph" w:customStyle="1" w:styleId="WW-Corpodetexto3">
    <w:name w:val="WW-Corpo de texto 3"/>
    <w:basedOn w:val="Normal"/>
    <w:pPr>
      <w:suppressAutoHyphens/>
      <w:spacing w:after="120"/>
    </w:pPr>
    <w:rPr>
      <w:rFonts w:ascii="Times New Roman" w:eastAsia="Times New Roman" w:hAnsi="Times New Roman"/>
      <w:sz w:val="16"/>
      <w:szCs w:val="16"/>
      <w:lang w:eastAsia="ar-SA"/>
    </w:rPr>
  </w:style>
  <w:style w:type="paragraph" w:customStyle="1" w:styleId="WW-Recuodecorpodetexto2">
    <w:name w:val="WW-Recuo de corpo de texto 2"/>
    <w:basedOn w:val="Normal"/>
    <w:pPr>
      <w:suppressAutoHyphens/>
      <w:ind w:left="2552" w:hanging="567"/>
      <w:jc w:val="both"/>
    </w:pPr>
    <w:rPr>
      <w:rFonts w:ascii="Times New Roman" w:eastAsia="Times New Roman" w:hAnsi="Times New Roman"/>
      <w:sz w:val="24"/>
      <w:szCs w:val="20"/>
      <w:lang w:eastAsia="ar-SA"/>
    </w:rPr>
  </w:style>
  <w:style w:type="paragraph" w:customStyle="1" w:styleId="WW-Recuodecorpodetexto21">
    <w:name w:val="WW-Recuo de corpo de texto 21"/>
    <w:basedOn w:val="Normal"/>
    <w:pPr>
      <w:suppressAutoHyphens/>
      <w:ind w:firstLine="1418"/>
      <w:jc w:val="both"/>
    </w:pPr>
    <w:rPr>
      <w:rFonts w:ascii="Arial" w:eastAsia="Times New Roman" w:hAnsi="Arial"/>
      <w:sz w:val="24"/>
      <w:szCs w:val="20"/>
      <w:lang w:eastAsia="ar-SA"/>
    </w:rPr>
  </w:style>
  <w:style w:type="paragraph" w:customStyle="1" w:styleId="parag-1">
    <w:name w:val="parag-1"/>
    <w:basedOn w:val="Normal"/>
    <w:pPr>
      <w:suppressAutoHyphens/>
      <w:jc w:val="both"/>
    </w:pPr>
    <w:rPr>
      <w:rFonts w:ascii="Times New Roman" w:eastAsia="Times New Roman" w:hAnsi="Times New Roman"/>
      <w:sz w:val="24"/>
      <w:szCs w:val="20"/>
      <w:lang w:eastAsia="ar-SA"/>
    </w:rPr>
  </w:style>
  <w:style w:type="paragraph" w:customStyle="1" w:styleId="WW-Recuodecorpodetexto3">
    <w:name w:val="WW-Recuo de corpo de texto 3"/>
    <w:basedOn w:val="Normal"/>
    <w:pPr>
      <w:suppressAutoHyphens/>
      <w:ind w:left="1418"/>
      <w:jc w:val="both"/>
    </w:pPr>
    <w:rPr>
      <w:rFonts w:ascii="Times New Roman" w:eastAsia="Times New Roman" w:hAnsi="Times New Roman"/>
      <w:sz w:val="24"/>
      <w:szCs w:val="20"/>
      <w:lang w:eastAsia="ar-SA"/>
    </w:rPr>
  </w:style>
  <w:style w:type="paragraph" w:customStyle="1" w:styleId="WW-Textoembloco">
    <w:name w:val="WW-Texto em bloco"/>
    <w:basedOn w:val="Normal"/>
    <w:pPr>
      <w:suppressAutoHyphens/>
      <w:ind w:left="1701" w:right="3170"/>
      <w:jc w:val="both"/>
    </w:pPr>
    <w:rPr>
      <w:rFonts w:ascii="Times New Roman" w:eastAsia="Times New Roman" w:hAnsi="Times New Roman"/>
      <w:sz w:val="24"/>
      <w:szCs w:val="20"/>
      <w:lang w:eastAsia="ar-SA"/>
    </w:rPr>
  </w:style>
  <w:style w:type="paragraph" w:customStyle="1" w:styleId="WW-Corpodetexto2">
    <w:name w:val="WW-Corpo de texto 2"/>
    <w:basedOn w:val="Normal"/>
    <w:uiPriority w:val="99"/>
    <w:pPr>
      <w:tabs>
        <w:tab w:val="left" w:leader="underscore" w:pos="8789"/>
      </w:tabs>
      <w:suppressAutoHyphens/>
      <w:jc w:val="both"/>
    </w:pPr>
    <w:rPr>
      <w:rFonts w:ascii="Times New Roman" w:eastAsia="Times New Roman" w:hAnsi="Times New Roman"/>
      <w:sz w:val="24"/>
      <w:szCs w:val="20"/>
      <w:lang w:eastAsia="ar-SA"/>
    </w:rPr>
  </w:style>
  <w:style w:type="paragraph" w:customStyle="1" w:styleId="Contedodatabela">
    <w:name w:val="Conteúdo da tabela"/>
    <w:basedOn w:val="Normal"/>
    <w:pPr>
      <w:suppressLineNumbers/>
      <w:suppressAutoHyphens/>
    </w:pPr>
    <w:rPr>
      <w:rFonts w:ascii="Times New Roman" w:eastAsia="Times New Roman" w:hAnsi="Times New Roman"/>
      <w:sz w:val="20"/>
      <w:szCs w:val="20"/>
      <w:lang w:eastAsia="ar-SA"/>
    </w:rPr>
  </w:style>
  <w:style w:type="paragraph" w:customStyle="1" w:styleId="Ttulodatabela">
    <w:name w:val="Título da tabela"/>
    <w:basedOn w:val="Contedodatabela"/>
    <w:pPr>
      <w:jc w:val="center"/>
    </w:pPr>
    <w:rPr>
      <w:b/>
      <w:bCs/>
      <w:i/>
      <w:iCs/>
    </w:rPr>
  </w:style>
  <w:style w:type="paragraph" w:customStyle="1" w:styleId="WW-ContedodaTabela">
    <w:name w:val="WW-Conteúdo da Tabela"/>
    <w:basedOn w:val="Corpodetexto"/>
    <w:pPr>
      <w:suppressLineNumbers/>
      <w:suppressAutoHyphens/>
    </w:pPr>
    <w:rPr>
      <w:sz w:val="24"/>
      <w:lang w:eastAsia="ar-SA"/>
    </w:rPr>
  </w:style>
  <w:style w:type="paragraph" w:customStyle="1" w:styleId="WW-TtulodaTabela">
    <w:name w:val="WW-Título da Tabela"/>
    <w:basedOn w:val="WW-ContedodaTabela"/>
    <w:pPr>
      <w:jc w:val="center"/>
    </w:pPr>
    <w:rPr>
      <w:b/>
      <w:bCs/>
      <w:i/>
      <w:iCs/>
    </w:rPr>
  </w:style>
  <w:style w:type="paragraph" w:styleId="NormalWeb">
    <w:name w:val="Normal (Web)"/>
    <w:basedOn w:val="Normal"/>
    <w:uiPriority w:val="99"/>
    <w:unhideWhenUsed/>
    <w:pPr>
      <w:spacing w:before="100" w:beforeAutospacing="1" w:after="100" w:afterAutospacing="1"/>
    </w:pPr>
    <w:rPr>
      <w:rFonts w:ascii="Times New Roman" w:eastAsia="Times New Roman" w:hAnsi="Times New Roman"/>
      <w:sz w:val="24"/>
      <w:szCs w:val="24"/>
      <w:lang w:eastAsia="pt-BR"/>
    </w:rPr>
  </w:style>
  <w:style w:type="paragraph" w:styleId="PargrafodaLista">
    <w:name w:val="List Paragraph"/>
    <w:basedOn w:val="Normal"/>
    <w:link w:val="PargrafodaListaChar"/>
    <w:uiPriority w:val="34"/>
    <w:qFormat/>
    <w:pPr>
      <w:suppressAutoHyphens/>
      <w:ind w:left="720"/>
      <w:contextualSpacing/>
    </w:pPr>
    <w:rPr>
      <w:rFonts w:ascii="Times New Roman" w:eastAsia="Times New Roman" w:hAnsi="Times New Roman"/>
      <w:sz w:val="20"/>
      <w:szCs w:val="20"/>
      <w:lang w:eastAsia="ar-SA"/>
    </w:rPr>
  </w:style>
  <w:style w:type="character" w:customStyle="1" w:styleId="WW8Num49z0">
    <w:name w:val="WW8Num49z0"/>
    <w:rPr>
      <w:rFonts w:ascii="Times New Roman" w:hAnsi="Times New Roman"/>
    </w:rPr>
  </w:style>
  <w:style w:type="character" w:styleId="Hyperlink">
    <w:name w:val="Hyperlink"/>
    <w:uiPriority w:val="99"/>
    <w:rPr>
      <w:rFonts w:cs="Times New Roman"/>
      <w:color w:val="990000"/>
      <w:u w:val="single"/>
    </w:rPr>
  </w:style>
  <w:style w:type="character" w:customStyle="1" w:styleId="TextodebaloChar">
    <w:name w:val="Texto de balão Char"/>
    <w:link w:val="Textodebalo"/>
    <w:uiPriority w:val="99"/>
    <w:rPr>
      <w:rFonts w:ascii="Tahoma" w:eastAsia="Times New Roman" w:hAnsi="Tahoma" w:cs="Tahoma"/>
      <w:sz w:val="16"/>
      <w:szCs w:val="16"/>
    </w:rPr>
  </w:style>
  <w:style w:type="paragraph" w:styleId="Textodebalo">
    <w:name w:val="Balloon Text"/>
    <w:basedOn w:val="Normal"/>
    <w:link w:val="TextodebaloChar"/>
    <w:uiPriority w:val="99"/>
    <w:pPr>
      <w:spacing w:after="200" w:line="276" w:lineRule="auto"/>
    </w:pPr>
    <w:rPr>
      <w:rFonts w:ascii="Tahoma" w:eastAsia="Times New Roman" w:hAnsi="Tahoma" w:cs="Tahoma"/>
      <w:sz w:val="16"/>
      <w:szCs w:val="16"/>
    </w:rPr>
  </w:style>
  <w:style w:type="character" w:customStyle="1" w:styleId="TextodebaloChar1">
    <w:name w:val="Texto de balão Char1"/>
    <w:basedOn w:val="Fontepargpadro"/>
    <w:uiPriority w:val="99"/>
    <w:semiHidden/>
    <w:rPr>
      <w:rFonts w:ascii="Tahoma" w:eastAsia="Calibri" w:hAnsi="Tahoma" w:cs="Tahoma"/>
      <w:sz w:val="16"/>
      <w:szCs w:val="16"/>
    </w:rPr>
  </w:style>
  <w:style w:type="character" w:styleId="nfase">
    <w:name w:val="Emphasis"/>
    <w:uiPriority w:val="20"/>
    <w:qFormat/>
    <w:rPr>
      <w:rFonts w:cs="Times New Roman"/>
      <w:i/>
      <w:iCs/>
    </w:rPr>
  </w:style>
  <w:style w:type="paragraph" w:customStyle="1" w:styleId="Estilo4">
    <w:name w:val="Estilo4"/>
    <w:basedOn w:val="Normal"/>
    <w:autoRedefine/>
    <w:pPr>
      <w:tabs>
        <w:tab w:val="num" w:pos="1440"/>
      </w:tabs>
      <w:spacing w:after="200" w:line="276" w:lineRule="auto"/>
      <w:ind w:left="1080" w:hanging="360"/>
      <w:jc w:val="both"/>
    </w:pPr>
    <w:rPr>
      <w:rFonts w:ascii="Arial" w:eastAsia="Times New Roman" w:hAnsi="Arial" w:cs="Arial"/>
      <w:sz w:val="20"/>
      <w:szCs w:val="20"/>
    </w:rPr>
  </w:style>
  <w:style w:type="paragraph" w:customStyle="1" w:styleId="Recuodecorpodetexto1">
    <w:name w:val="Recuo de corpo de texto1"/>
    <w:basedOn w:val="Normal"/>
    <w:link w:val="BodyTextIndentChar"/>
    <w:pPr>
      <w:numPr>
        <w:ilvl w:val="1"/>
        <w:numId w:val="1"/>
      </w:numPr>
      <w:tabs>
        <w:tab w:val="clear" w:pos="1440"/>
      </w:tabs>
      <w:spacing w:after="120" w:line="276" w:lineRule="auto"/>
      <w:ind w:left="283" w:firstLine="0"/>
    </w:pPr>
    <w:rPr>
      <w:rFonts w:eastAsia="Times New Roman"/>
    </w:rPr>
  </w:style>
  <w:style w:type="character" w:customStyle="1" w:styleId="BodyTextIndentChar">
    <w:name w:val="Body Text Indent Char"/>
    <w:link w:val="Recuodecorpodetexto1"/>
    <w:rPr>
      <w:rFonts w:ascii="Calibri" w:eastAsia="Times New Roman" w:hAnsi="Calibri" w:cs="Times New Roman"/>
    </w:rPr>
  </w:style>
  <w:style w:type="paragraph" w:customStyle="1" w:styleId="p2">
    <w:name w:val="p2"/>
    <w:basedOn w:val="Normal"/>
    <w:pPr>
      <w:widowControl w:val="0"/>
      <w:tabs>
        <w:tab w:val="left" w:pos="720"/>
      </w:tabs>
      <w:spacing w:after="200" w:line="280" w:lineRule="atLeast"/>
    </w:pPr>
    <w:rPr>
      <w:rFonts w:eastAsia="Times New Roman"/>
      <w:szCs w:val="20"/>
    </w:rPr>
  </w:style>
  <w:style w:type="paragraph" w:styleId="SemEspaamento">
    <w:name w:val="No Spacing"/>
    <w:link w:val="SemEspaamentoChar"/>
    <w:uiPriority w:val="1"/>
    <w:qFormat/>
    <w:pPr>
      <w:spacing w:after="0" w:line="240" w:lineRule="auto"/>
    </w:pPr>
    <w:rPr>
      <w:rFonts w:ascii="Calibri" w:eastAsia="Times New Roman" w:hAnsi="Calibri" w:cs="Times New Roman"/>
    </w:rPr>
  </w:style>
  <w:style w:type="paragraph" w:customStyle="1" w:styleId="Default">
    <w:name w:val="Default"/>
    <w:pPr>
      <w:autoSpaceDE w:val="0"/>
      <w:autoSpaceDN w:val="0"/>
      <w:adjustRightInd w:val="0"/>
      <w:spacing w:after="0" w:line="240" w:lineRule="auto"/>
    </w:pPr>
    <w:rPr>
      <w:rFonts w:ascii="Tahoma-Bold" w:eastAsia="Times New Roman" w:hAnsi="Tahoma-Bold" w:cs="Times New Roman"/>
      <w:sz w:val="20"/>
      <w:szCs w:val="20"/>
      <w:lang w:eastAsia="pt-BR"/>
    </w:rPr>
  </w:style>
  <w:style w:type="paragraph" w:customStyle="1" w:styleId="WW-Recuodecorpodetexto31">
    <w:name w:val="WW-Recuo de corpo de texto 31"/>
    <w:basedOn w:val="Normal"/>
    <w:uiPriority w:val="99"/>
    <w:pPr>
      <w:suppressAutoHyphens/>
      <w:ind w:firstLine="567"/>
      <w:jc w:val="both"/>
    </w:pPr>
    <w:rPr>
      <w:rFonts w:ascii="Arial" w:eastAsia="Times New Roman" w:hAnsi="Arial"/>
      <w:sz w:val="20"/>
      <w:szCs w:val="24"/>
      <w:lang w:eastAsia="pt-BR"/>
    </w:rPr>
  </w:style>
  <w:style w:type="paragraph" w:styleId="Lista">
    <w:name w:val="List"/>
    <w:basedOn w:val="Normal"/>
    <w:pPr>
      <w:suppressAutoHyphens/>
      <w:ind w:left="283" w:hanging="283"/>
    </w:pPr>
    <w:rPr>
      <w:rFonts w:ascii="Arial" w:eastAsia="Times New Roman" w:hAnsi="Arial"/>
      <w:sz w:val="24"/>
      <w:szCs w:val="20"/>
      <w:lang w:eastAsia="ar-SA"/>
    </w:rPr>
  </w:style>
  <w:style w:type="paragraph" w:customStyle="1" w:styleId="style10">
    <w:name w:val="style10"/>
    <w:basedOn w:val="Normal"/>
    <w:pPr>
      <w:spacing w:before="100" w:beforeAutospacing="1" w:after="100" w:afterAutospacing="1"/>
    </w:pPr>
    <w:rPr>
      <w:rFonts w:ascii="Verdana" w:eastAsia="Times New Roman" w:hAnsi="Verdana"/>
      <w:sz w:val="17"/>
      <w:szCs w:val="17"/>
      <w:lang w:eastAsia="pt-BR"/>
    </w:rPr>
  </w:style>
  <w:style w:type="character" w:customStyle="1" w:styleId="style91">
    <w:name w:val="style91"/>
    <w:rPr>
      <w:rFonts w:ascii="Verdana" w:hAnsi="Verdana" w:cs="Times New Roman"/>
      <w:sz w:val="17"/>
      <w:szCs w:val="17"/>
    </w:rPr>
  </w:style>
  <w:style w:type="character" w:customStyle="1" w:styleId="textocur1">
    <w:name w:val="texto_cur1"/>
    <w:rPr>
      <w:rFonts w:ascii="Verdana" w:hAnsi="Verdana" w:cs="Verdana"/>
      <w:color w:val="000000"/>
      <w:sz w:val="14"/>
      <w:szCs w:val="14"/>
    </w:rPr>
  </w:style>
  <w:style w:type="paragraph" w:customStyle="1" w:styleId="WW-NormalWeb">
    <w:name w:val="WW-Normal (Web)"/>
    <w:basedOn w:val="Normal"/>
    <w:pPr>
      <w:suppressAutoHyphens/>
      <w:spacing w:before="100" w:after="100"/>
    </w:pPr>
    <w:rPr>
      <w:rFonts w:ascii="Arial" w:eastAsia="Times New Roman" w:hAnsi="Arial"/>
      <w:sz w:val="24"/>
      <w:szCs w:val="20"/>
      <w:lang w:eastAsia="ar-SA"/>
    </w:rPr>
  </w:style>
  <w:style w:type="paragraph" w:customStyle="1" w:styleId="Corpo">
    <w:name w:val="Corpo"/>
    <w:pPr>
      <w:widowControl w:val="0"/>
      <w:suppressAutoHyphens/>
      <w:spacing w:after="0" w:line="240" w:lineRule="auto"/>
      <w:jc w:val="both"/>
    </w:pPr>
    <w:rPr>
      <w:rFonts w:ascii="Arial" w:eastAsia="Times New Roman" w:hAnsi="Arial" w:cs="Times New Roman"/>
      <w:color w:val="000000"/>
      <w:sz w:val="24"/>
      <w:szCs w:val="20"/>
      <w:lang w:eastAsia="ar-SA"/>
    </w:rPr>
  </w:style>
  <w:style w:type="paragraph" w:customStyle="1" w:styleId="CAB12">
    <w:name w:val="CAB12"/>
    <w:pPr>
      <w:widowControl w:val="0"/>
      <w:spacing w:after="0" w:line="240" w:lineRule="auto"/>
      <w:ind w:left="144"/>
    </w:pPr>
    <w:rPr>
      <w:rFonts w:ascii="Times New Roman" w:eastAsia="Times New Roman" w:hAnsi="Times New Roman" w:cs="Times New Roman"/>
      <w:color w:val="000000"/>
      <w:sz w:val="20"/>
      <w:szCs w:val="20"/>
      <w:lang w:eastAsia="pt-BR"/>
    </w:rPr>
  </w:style>
  <w:style w:type="paragraph" w:customStyle="1" w:styleId="CAB15">
    <w:name w:val="CAB15"/>
    <w:pPr>
      <w:widowControl w:val="0"/>
      <w:spacing w:after="0" w:line="240" w:lineRule="auto"/>
      <w:ind w:left="144" w:right="2736"/>
    </w:pPr>
    <w:rPr>
      <w:rFonts w:ascii="Times New Roman" w:eastAsia="Times New Roman" w:hAnsi="Times New Roman" w:cs="Times New Roman"/>
      <w:color w:val="000000"/>
      <w:sz w:val="16"/>
      <w:szCs w:val="20"/>
      <w:lang w:eastAsia="pt-BR"/>
    </w:rPr>
  </w:style>
  <w:style w:type="paragraph" w:styleId="Lista2">
    <w:name w:val="List 2"/>
    <w:basedOn w:val="Normal"/>
    <w:pPr>
      <w:ind w:left="566" w:hanging="283"/>
    </w:pPr>
    <w:rPr>
      <w:rFonts w:ascii="Times New Roman" w:eastAsia="Times New Roman" w:hAnsi="Times New Roman"/>
      <w:sz w:val="20"/>
      <w:szCs w:val="20"/>
      <w:lang w:val="pt-PT" w:eastAsia="pt-BR"/>
    </w:rPr>
  </w:style>
  <w:style w:type="paragraph" w:customStyle="1" w:styleId="Subitem-2">
    <w:name w:val="Subitem-2"/>
    <w:pPr>
      <w:keepLines/>
      <w:widowControl w:val="0"/>
      <w:tabs>
        <w:tab w:val="left" w:pos="8784"/>
      </w:tabs>
      <w:spacing w:before="240" w:after="0" w:line="240" w:lineRule="auto"/>
      <w:ind w:left="1560" w:hanging="851"/>
      <w:jc w:val="both"/>
    </w:pPr>
    <w:rPr>
      <w:rFonts w:ascii="Arial" w:eastAsia="Times New Roman" w:hAnsi="Arial" w:cs="Times New Roman"/>
      <w:color w:val="000000"/>
      <w:sz w:val="24"/>
      <w:szCs w:val="20"/>
      <w:lang w:eastAsia="pt-BR"/>
    </w:rPr>
  </w:style>
  <w:style w:type="paragraph" w:customStyle="1" w:styleId="Subitem-1">
    <w:name w:val="Subitem-1"/>
    <w:basedOn w:val="Normal"/>
    <w:pPr>
      <w:keepLines/>
      <w:widowControl w:val="0"/>
      <w:tabs>
        <w:tab w:val="left" w:pos="8784"/>
      </w:tabs>
      <w:spacing w:before="180"/>
      <w:ind w:left="709" w:hanging="709"/>
      <w:jc w:val="both"/>
    </w:pPr>
    <w:rPr>
      <w:rFonts w:ascii="Arial" w:eastAsia="Times New Roman" w:hAnsi="Arial"/>
      <w:color w:val="000000"/>
      <w:sz w:val="24"/>
      <w:szCs w:val="20"/>
      <w:lang w:eastAsia="pt-BR"/>
    </w:rPr>
  </w:style>
  <w:style w:type="paragraph" w:customStyle="1" w:styleId="TCTtuloCentralizado">
    <w:name w:val="TC TítuloCentralizado"/>
    <w:next w:val="SCSubttuloCentralizado"/>
    <w:pPr>
      <w:widowControl w:val="0"/>
      <w:spacing w:before="720" w:after="360" w:line="240" w:lineRule="auto"/>
      <w:jc w:val="center"/>
    </w:pPr>
    <w:rPr>
      <w:rFonts w:ascii="Times New Roman" w:eastAsia="Times New Roman" w:hAnsi="Times New Roman" w:cs="Times New Roman"/>
      <w:b/>
      <w:caps/>
      <w:color w:val="000000"/>
      <w:sz w:val="36"/>
      <w:szCs w:val="20"/>
      <w:lang w:eastAsia="pt-BR"/>
    </w:rPr>
  </w:style>
  <w:style w:type="paragraph" w:customStyle="1" w:styleId="SCSubttuloCentralizado">
    <w:name w:val="SC SubtítuloCentralizado"/>
    <w:next w:val="Normal"/>
    <w:pPr>
      <w:widowControl w:val="0"/>
      <w:spacing w:before="260" w:after="390" w:line="240" w:lineRule="auto"/>
      <w:jc w:val="center"/>
    </w:pPr>
    <w:rPr>
      <w:rFonts w:ascii="Times New Roman" w:eastAsia="Times New Roman" w:hAnsi="Times New Roman" w:cs="Times New Roman"/>
      <w:b/>
      <w:caps/>
      <w:color w:val="000000"/>
      <w:sz w:val="26"/>
      <w:szCs w:val="20"/>
      <w:lang w:eastAsia="pt-BR"/>
    </w:rPr>
  </w:style>
  <w:style w:type="paragraph" w:customStyle="1" w:styleId="A101665">
    <w:name w:val="_A101665"/>
    <w:pPr>
      <w:widowControl w:val="0"/>
      <w:spacing w:after="0" w:line="240" w:lineRule="auto"/>
      <w:ind w:left="2304" w:right="5040" w:hanging="864"/>
      <w:jc w:val="both"/>
    </w:pPr>
    <w:rPr>
      <w:rFonts w:ascii="Times New Roman" w:eastAsia="Times New Roman" w:hAnsi="Times New Roman" w:cs="Times New Roman"/>
      <w:color w:val="000000"/>
      <w:sz w:val="24"/>
      <w:szCs w:val="20"/>
      <w:lang w:eastAsia="pt-BR"/>
    </w:rPr>
  </w:style>
  <w:style w:type="paragraph" w:customStyle="1" w:styleId="SUBITEM">
    <w:name w:val="SUBITEM"/>
    <w:basedOn w:val="Normal"/>
    <w:pPr>
      <w:widowControl w:val="0"/>
      <w:spacing w:before="180"/>
      <w:ind w:left="993" w:hanging="709"/>
      <w:jc w:val="both"/>
    </w:pPr>
    <w:rPr>
      <w:rFonts w:ascii="Arial" w:eastAsia="Times New Roman" w:hAnsi="Arial"/>
      <w:sz w:val="26"/>
      <w:szCs w:val="20"/>
      <w:lang w:val="pt-PT" w:eastAsia="pt-BR"/>
    </w:rPr>
  </w:style>
  <w:style w:type="paragraph" w:customStyle="1" w:styleId="tit3">
    <w:name w:val="tit_3"/>
    <w:basedOn w:val="Normal"/>
    <w:pPr>
      <w:spacing w:before="180"/>
      <w:ind w:left="1701" w:hanging="992"/>
      <w:jc w:val="both"/>
    </w:pPr>
    <w:rPr>
      <w:rFonts w:ascii="Courier New" w:eastAsia="Times New Roman" w:hAnsi="Courier New"/>
      <w:sz w:val="24"/>
      <w:szCs w:val="20"/>
      <w:lang w:eastAsia="pt-BR"/>
    </w:rPr>
  </w:style>
  <w:style w:type="paragraph" w:customStyle="1" w:styleId="SUBITEM1">
    <w:name w:val="SUBITEM1"/>
    <w:basedOn w:val="texto1"/>
    <w:pPr>
      <w:ind w:left="567" w:hanging="567"/>
    </w:pPr>
  </w:style>
  <w:style w:type="paragraph" w:customStyle="1" w:styleId="texto1">
    <w:name w:val="texto1"/>
    <w:basedOn w:val="Normal"/>
    <w:uiPriority w:val="99"/>
    <w:pPr>
      <w:spacing w:before="120"/>
      <w:ind w:firstLine="1701"/>
      <w:jc w:val="both"/>
    </w:pPr>
    <w:rPr>
      <w:rFonts w:ascii="Arial" w:eastAsia="Times New Roman" w:hAnsi="Arial"/>
      <w:szCs w:val="20"/>
      <w:lang w:val="pt-PT" w:eastAsia="pt-BR"/>
    </w:rPr>
  </w:style>
  <w:style w:type="paragraph" w:customStyle="1" w:styleId="A030370">
    <w:name w:val="_A030370"/>
    <w:pPr>
      <w:widowControl w:val="0"/>
      <w:spacing w:after="0" w:line="240" w:lineRule="auto"/>
      <w:ind w:left="432" w:right="5328"/>
      <w:jc w:val="both"/>
    </w:pPr>
    <w:rPr>
      <w:rFonts w:ascii="Times New Roman" w:eastAsia="Times New Roman" w:hAnsi="Times New Roman" w:cs="Times New Roman"/>
      <w:color w:val="000000"/>
      <w:sz w:val="24"/>
      <w:szCs w:val="20"/>
      <w:lang w:eastAsia="pt-BR"/>
    </w:rPr>
  </w:style>
  <w:style w:type="paragraph" w:customStyle="1" w:styleId="SUBITEM2">
    <w:name w:val="SUBITEM2"/>
    <w:basedOn w:val="Normal"/>
    <w:pPr>
      <w:widowControl w:val="0"/>
      <w:spacing w:before="180"/>
      <w:ind w:left="1418" w:hanging="851"/>
      <w:jc w:val="both"/>
    </w:pPr>
    <w:rPr>
      <w:rFonts w:ascii="Arial" w:eastAsia="Times New Roman" w:hAnsi="Arial"/>
      <w:szCs w:val="20"/>
      <w:lang w:val="pt-PT" w:eastAsia="pt-BR"/>
    </w:rPr>
  </w:style>
  <w:style w:type="paragraph" w:customStyle="1" w:styleId="A011770">
    <w:name w:val="_A011770"/>
    <w:pPr>
      <w:widowControl w:val="0"/>
      <w:spacing w:after="0" w:line="240" w:lineRule="auto"/>
      <w:ind w:left="2448" w:right="5328" w:hanging="2304"/>
      <w:jc w:val="both"/>
    </w:pPr>
    <w:rPr>
      <w:rFonts w:ascii="Times New Roman" w:eastAsia="Times New Roman" w:hAnsi="Times New Roman" w:cs="Times New Roman"/>
      <w:color w:val="000000"/>
      <w:sz w:val="24"/>
      <w:szCs w:val="20"/>
      <w:lang w:eastAsia="pt-BR"/>
    </w:rPr>
  </w:style>
  <w:style w:type="paragraph" w:customStyle="1" w:styleId="marc-1">
    <w:name w:val="marc-1"/>
    <w:basedOn w:val="Normal"/>
    <w:pPr>
      <w:keepLines/>
      <w:widowControl w:val="0"/>
      <w:tabs>
        <w:tab w:val="left" w:pos="8784"/>
      </w:tabs>
      <w:spacing w:before="120"/>
      <w:ind w:left="993" w:hanging="284"/>
      <w:jc w:val="both"/>
    </w:pPr>
    <w:rPr>
      <w:rFonts w:ascii="Arial" w:eastAsia="Times New Roman" w:hAnsi="Arial"/>
      <w:color w:val="000000"/>
      <w:sz w:val="24"/>
      <w:szCs w:val="20"/>
      <w:lang w:eastAsia="pt-BR"/>
    </w:rPr>
  </w:style>
  <w:style w:type="paragraph" w:customStyle="1" w:styleId="marc1">
    <w:name w:val="marc_1"/>
    <w:basedOn w:val="Normal"/>
    <w:pPr>
      <w:spacing w:before="180"/>
      <w:ind w:left="1134" w:hanging="431"/>
      <w:jc w:val="both"/>
    </w:pPr>
    <w:rPr>
      <w:rFonts w:ascii="Courier New" w:eastAsia="Times New Roman" w:hAnsi="Courier New"/>
      <w:sz w:val="24"/>
      <w:szCs w:val="20"/>
      <w:lang w:eastAsia="pt-BR"/>
    </w:rPr>
  </w:style>
  <w:style w:type="paragraph" w:customStyle="1" w:styleId="ITEM10">
    <w:name w:val="ITEM10"/>
    <w:pPr>
      <w:spacing w:after="0" w:line="240" w:lineRule="auto"/>
      <w:ind w:left="144" w:right="2736"/>
      <w:jc w:val="both"/>
    </w:pPr>
    <w:rPr>
      <w:rFonts w:ascii="Times New Roman" w:eastAsia="Times New Roman" w:hAnsi="Times New Roman" w:cs="Times New Roman"/>
      <w:color w:val="000000"/>
      <w:sz w:val="24"/>
      <w:szCs w:val="20"/>
      <w:lang w:eastAsia="pt-BR"/>
    </w:rPr>
  </w:style>
  <w:style w:type="paragraph" w:styleId="TextosemFormatao">
    <w:name w:val="Plain Text"/>
    <w:basedOn w:val="Normal"/>
    <w:link w:val="TextosemFormataoChar"/>
    <w:rPr>
      <w:rFonts w:ascii="Courier New" w:eastAsia="Times New Roman" w:hAnsi="Courier New"/>
      <w:sz w:val="20"/>
      <w:szCs w:val="20"/>
    </w:rPr>
  </w:style>
  <w:style w:type="character" w:customStyle="1" w:styleId="TextosemFormataoChar">
    <w:name w:val="Texto sem Formatação Char"/>
    <w:basedOn w:val="Fontepargpadro"/>
    <w:link w:val="TextosemFormatao"/>
    <w:rPr>
      <w:rFonts w:ascii="Courier New" w:eastAsia="Times New Roman" w:hAnsi="Courier New" w:cs="Times New Roman"/>
      <w:sz w:val="20"/>
      <w:szCs w:val="20"/>
    </w:rPr>
  </w:style>
  <w:style w:type="character" w:customStyle="1" w:styleId="HTMLMarkup">
    <w:name w:val="HTML Markup"/>
    <w:rPr>
      <w:vanish/>
      <w:color w:val="FF0000"/>
    </w:rPr>
  </w:style>
  <w:style w:type="paragraph" w:customStyle="1" w:styleId="H6">
    <w:name w:val="H6"/>
    <w:basedOn w:val="Normal"/>
    <w:next w:val="Normal"/>
    <w:pPr>
      <w:keepNext/>
      <w:widowControl w:val="0"/>
      <w:spacing w:before="100" w:after="100"/>
      <w:outlineLvl w:val="6"/>
    </w:pPr>
    <w:rPr>
      <w:rFonts w:ascii="Times New Roman" w:eastAsia="Times New Roman" w:hAnsi="Times New Roman"/>
      <w:b/>
      <w:snapToGrid w:val="0"/>
      <w:sz w:val="16"/>
      <w:szCs w:val="20"/>
      <w:lang w:eastAsia="pt-BR"/>
    </w:rPr>
  </w:style>
  <w:style w:type="paragraph" w:customStyle="1" w:styleId="DefinitionTerm">
    <w:name w:val="Definition Term"/>
    <w:basedOn w:val="Normal"/>
    <w:next w:val="DefinitionList"/>
    <w:pPr>
      <w:widowControl w:val="0"/>
    </w:pPr>
    <w:rPr>
      <w:rFonts w:ascii="Times New Roman" w:eastAsia="Times New Roman" w:hAnsi="Times New Roman"/>
      <w:snapToGrid w:val="0"/>
      <w:sz w:val="24"/>
      <w:szCs w:val="20"/>
      <w:lang w:eastAsia="pt-BR"/>
    </w:rPr>
  </w:style>
  <w:style w:type="paragraph" w:customStyle="1" w:styleId="DefinitionList">
    <w:name w:val="Definition List"/>
    <w:basedOn w:val="Normal"/>
    <w:next w:val="DefinitionTerm"/>
    <w:pPr>
      <w:widowControl w:val="0"/>
      <w:ind w:left="360"/>
    </w:pPr>
    <w:rPr>
      <w:rFonts w:ascii="Times New Roman" w:eastAsia="Times New Roman" w:hAnsi="Times New Roman"/>
      <w:snapToGrid w:val="0"/>
      <w:sz w:val="24"/>
      <w:szCs w:val="20"/>
      <w:lang w:eastAsia="pt-BR"/>
    </w:rPr>
  </w:style>
  <w:style w:type="character" w:customStyle="1" w:styleId="Definition">
    <w:name w:val="Definition"/>
    <w:rPr>
      <w:i/>
    </w:rPr>
  </w:style>
  <w:style w:type="paragraph" w:customStyle="1" w:styleId="H1">
    <w:name w:val="H1"/>
    <w:basedOn w:val="Normal"/>
    <w:next w:val="Normal"/>
    <w:pPr>
      <w:keepNext/>
      <w:widowControl w:val="0"/>
      <w:spacing w:before="100" w:after="100"/>
      <w:outlineLvl w:val="1"/>
    </w:pPr>
    <w:rPr>
      <w:rFonts w:ascii="Times New Roman" w:eastAsia="Times New Roman" w:hAnsi="Times New Roman"/>
      <w:b/>
      <w:snapToGrid w:val="0"/>
      <w:kern w:val="36"/>
      <w:sz w:val="48"/>
      <w:szCs w:val="20"/>
      <w:lang w:eastAsia="pt-BR"/>
    </w:rPr>
  </w:style>
  <w:style w:type="paragraph" w:customStyle="1" w:styleId="H2">
    <w:name w:val="H2"/>
    <w:basedOn w:val="Normal"/>
    <w:next w:val="Normal"/>
    <w:pPr>
      <w:keepNext/>
      <w:widowControl w:val="0"/>
      <w:spacing w:before="100" w:after="100"/>
      <w:outlineLvl w:val="2"/>
    </w:pPr>
    <w:rPr>
      <w:rFonts w:ascii="Times New Roman" w:eastAsia="Times New Roman" w:hAnsi="Times New Roman"/>
      <w:b/>
      <w:snapToGrid w:val="0"/>
      <w:sz w:val="36"/>
      <w:szCs w:val="20"/>
      <w:lang w:eastAsia="pt-BR"/>
    </w:rPr>
  </w:style>
  <w:style w:type="paragraph" w:customStyle="1" w:styleId="H3">
    <w:name w:val="H3"/>
    <w:basedOn w:val="Normal"/>
    <w:next w:val="Normal"/>
    <w:pPr>
      <w:keepNext/>
      <w:widowControl w:val="0"/>
      <w:spacing w:before="100" w:after="100"/>
      <w:outlineLvl w:val="3"/>
    </w:pPr>
    <w:rPr>
      <w:rFonts w:ascii="Times New Roman" w:eastAsia="Times New Roman" w:hAnsi="Times New Roman"/>
      <w:b/>
      <w:snapToGrid w:val="0"/>
      <w:sz w:val="28"/>
      <w:szCs w:val="20"/>
      <w:lang w:eastAsia="pt-BR"/>
    </w:rPr>
  </w:style>
  <w:style w:type="paragraph" w:customStyle="1" w:styleId="H4">
    <w:name w:val="H4"/>
    <w:basedOn w:val="Normal"/>
    <w:next w:val="Normal"/>
    <w:pPr>
      <w:keepNext/>
      <w:widowControl w:val="0"/>
      <w:spacing w:before="100" w:after="100"/>
      <w:outlineLvl w:val="4"/>
    </w:pPr>
    <w:rPr>
      <w:rFonts w:ascii="Times New Roman" w:eastAsia="Times New Roman" w:hAnsi="Times New Roman"/>
      <w:b/>
      <w:snapToGrid w:val="0"/>
      <w:sz w:val="24"/>
      <w:szCs w:val="20"/>
      <w:lang w:eastAsia="pt-BR"/>
    </w:rPr>
  </w:style>
  <w:style w:type="paragraph" w:customStyle="1" w:styleId="H5">
    <w:name w:val="H5"/>
    <w:basedOn w:val="Normal"/>
    <w:next w:val="Normal"/>
    <w:pPr>
      <w:keepNext/>
      <w:widowControl w:val="0"/>
      <w:spacing w:before="100" w:after="100"/>
      <w:outlineLvl w:val="5"/>
    </w:pPr>
    <w:rPr>
      <w:rFonts w:ascii="Times New Roman" w:eastAsia="Times New Roman" w:hAnsi="Times New Roman"/>
      <w:b/>
      <w:snapToGrid w:val="0"/>
      <w:sz w:val="20"/>
      <w:szCs w:val="20"/>
      <w:lang w:eastAsia="pt-BR"/>
    </w:rPr>
  </w:style>
  <w:style w:type="paragraph" w:customStyle="1" w:styleId="Address">
    <w:name w:val="Address"/>
    <w:basedOn w:val="Normal"/>
    <w:next w:val="Normal"/>
    <w:pPr>
      <w:widowControl w:val="0"/>
    </w:pPr>
    <w:rPr>
      <w:rFonts w:ascii="Times New Roman" w:eastAsia="Times New Roman" w:hAnsi="Times New Roman"/>
      <w:i/>
      <w:snapToGrid w:val="0"/>
      <w:sz w:val="24"/>
      <w:szCs w:val="20"/>
      <w:lang w:eastAsia="pt-BR"/>
    </w:rPr>
  </w:style>
  <w:style w:type="paragraph" w:customStyle="1" w:styleId="Blockquote">
    <w:name w:val="Blockquote"/>
    <w:basedOn w:val="Normal"/>
    <w:pPr>
      <w:widowControl w:val="0"/>
      <w:spacing w:before="100" w:after="100"/>
      <w:ind w:left="360" w:right="360"/>
    </w:pPr>
    <w:rPr>
      <w:rFonts w:ascii="Times New Roman" w:eastAsia="Times New Roman" w:hAnsi="Times New Roman"/>
      <w:snapToGrid w:val="0"/>
      <w:sz w:val="24"/>
      <w:szCs w:val="20"/>
      <w:lang w:eastAsia="pt-BR"/>
    </w:rPr>
  </w:style>
  <w:style w:type="character" w:customStyle="1" w:styleId="CITE">
    <w:name w:val="CITE"/>
    <w:rPr>
      <w:i/>
    </w:rPr>
  </w:style>
  <w:style w:type="character" w:customStyle="1" w:styleId="CODE">
    <w:name w:val="CODE"/>
    <w:rPr>
      <w:rFonts w:ascii="Courier New" w:hAnsi="Courier New"/>
      <w:sz w:val="20"/>
    </w:rPr>
  </w:style>
  <w:style w:type="character" w:customStyle="1" w:styleId="Keyboard">
    <w:name w:val="Keyboard"/>
    <w:rPr>
      <w:rFonts w:ascii="Courier New" w:hAnsi="Courier New"/>
      <w:b/>
      <w:sz w:val="20"/>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snapToGrid w:val="0"/>
      <w:sz w:val="20"/>
      <w:szCs w:val="20"/>
      <w:lang w:eastAsia="pt-BR"/>
    </w:rPr>
  </w:style>
  <w:style w:type="paragraph" w:customStyle="1" w:styleId="z-BottomofForm">
    <w:name w:val="z-Bottom of Form"/>
    <w:next w:val="Normal"/>
    <w:hidden/>
    <w:pPr>
      <w:widowControl w:val="0"/>
      <w:pBdr>
        <w:top w:val="double" w:sz="2" w:space="0" w:color="000000"/>
      </w:pBdr>
      <w:spacing w:after="0" w:line="240" w:lineRule="auto"/>
      <w:jc w:val="center"/>
    </w:pPr>
    <w:rPr>
      <w:rFonts w:ascii="Arial" w:eastAsia="Times New Roman" w:hAnsi="Arial" w:cs="Times New Roman"/>
      <w:snapToGrid w:val="0"/>
      <w:vanish/>
      <w:sz w:val="16"/>
      <w:szCs w:val="20"/>
      <w:lang w:eastAsia="pt-BR"/>
    </w:rPr>
  </w:style>
  <w:style w:type="paragraph" w:customStyle="1" w:styleId="z-TopofForm">
    <w:name w:val="z-Top of Form"/>
    <w:next w:val="Normal"/>
    <w:hidden/>
    <w:pPr>
      <w:widowControl w:val="0"/>
      <w:pBdr>
        <w:bottom w:val="double" w:sz="2" w:space="0" w:color="000000"/>
      </w:pBdr>
      <w:spacing w:after="0" w:line="240" w:lineRule="auto"/>
      <w:jc w:val="center"/>
    </w:pPr>
    <w:rPr>
      <w:rFonts w:ascii="Arial" w:eastAsia="Times New Roman" w:hAnsi="Arial" w:cs="Times New Roman"/>
      <w:snapToGrid w:val="0"/>
      <w:vanish/>
      <w:sz w:val="16"/>
      <w:szCs w:val="20"/>
      <w:lang w:eastAsia="pt-BR"/>
    </w:rPr>
  </w:style>
  <w:style w:type="character" w:customStyle="1" w:styleId="Sample">
    <w:name w:val="Sample"/>
    <w:rPr>
      <w:rFonts w:ascii="Courier New" w:hAnsi="Courier New"/>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Comment">
    <w:name w:val="Comment"/>
    <w:rPr>
      <w:vanish/>
    </w:rPr>
  </w:style>
  <w:style w:type="paragraph" w:customStyle="1" w:styleId="Corpodetexto31">
    <w:name w:val="Corpo de texto 31"/>
    <w:basedOn w:val="Normal"/>
    <w:uiPriority w:val="99"/>
    <w:pPr>
      <w:widowControl w:val="0"/>
      <w:suppressAutoHyphens/>
      <w:spacing w:before="240"/>
      <w:jc w:val="both"/>
    </w:pPr>
    <w:rPr>
      <w:rFonts w:ascii="Arial" w:eastAsia="Times New Roman" w:hAnsi="Arial"/>
      <w:sz w:val="24"/>
      <w:szCs w:val="20"/>
      <w:lang w:eastAsia="ar-SA"/>
    </w:rPr>
  </w:style>
  <w:style w:type="paragraph" w:customStyle="1" w:styleId="Recuodecorpodetexto21">
    <w:name w:val="Recuo de corpo de texto 21"/>
    <w:basedOn w:val="Normal"/>
    <w:pPr>
      <w:suppressAutoHyphens/>
      <w:ind w:left="3828"/>
      <w:jc w:val="both"/>
    </w:pPr>
    <w:rPr>
      <w:rFonts w:ascii="Arial" w:eastAsia="Times New Roman" w:hAnsi="Arial"/>
      <w:b/>
      <w:color w:val="000000"/>
      <w:szCs w:val="20"/>
      <w:lang w:eastAsia="ar-SA"/>
    </w:rPr>
  </w:style>
  <w:style w:type="paragraph" w:customStyle="1" w:styleId="Textoembloco1">
    <w:name w:val="Texto em bloco1"/>
    <w:basedOn w:val="Normal"/>
    <w:pPr>
      <w:suppressAutoHyphens/>
      <w:ind w:left="3402" w:right="23"/>
      <w:jc w:val="both"/>
    </w:pPr>
    <w:rPr>
      <w:rFonts w:ascii="Times New Roman" w:eastAsia="Times New Roman" w:hAnsi="Times New Roman"/>
      <w:b/>
      <w:szCs w:val="20"/>
      <w:lang w:eastAsia="ar-SA"/>
    </w:rPr>
  </w:style>
  <w:style w:type="paragraph" w:customStyle="1" w:styleId="p41">
    <w:name w:val="p41"/>
    <w:basedOn w:val="Normal"/>
    <w:pPr>
      <w:widowControl w:val="0"/>
      <w:tabs>
        <w:tab w:val="left" w:pos="660"/>
        <w:tab w:val="left" w:pos="1120"/>
      </w:tabs>
      <w:suppressAutoHyphens/>
      <w:spacing w:line="280" w:lineRule="atLeast"/>
      <w:ind w:left="1440" w:firstLine="720"/>
      <w:jc w:val="both"/>
    </w:pPr>
    <w:rPr>
      <w:rFonts w:ascii="Times New Roman" w:eastAsia="Times New Roman" w:hAnsi="Times New Roman"/>
      <w:sz w:val="24"/>
      <w:szCs w:val="20"/>
      <w:lang w:eastAsia="ar-SA"/>
    </w:rPr>
  </w:style>
  <w:style w:type="paragraph" w:customStyle="1" w:styleId="Recuodecorpodetexto31">
    <w:name w:val="Recuo de corpo de texto 31"/>
    <w:basedOn w:val="Normal"/>
    <w:pPr>
      <w:suppressAutoHyphens/>
      <w:spacing w:after="120"/>
      <w:ind w:left="283"/>
    </w:pPr>
    <w:rPr>
      <w:rFonts w:ascii="Times New Roman" w:eastAsia="Times New Roman" w:hAnsi="Times New Roman"/>
      <w:sz w:val="16"/>
      <w:szCs w:val="16"/>
    </w:rPr>
  </w:style>
  <w:style w:type="paragraph" w:customStyle="1" w:styleId="Corpodetexto211">
    <w:name w:val="Corpo de texto 211"/>
    <w:basedOn w:val="Normal"/>
    <w:uiPriority w:val="99"/>
    <w:pPr>
      <w:suppressAutoHyphens/>
      <w:spacing w:line="360" w:lineRule="auto"/>
      <w:jc w:val="both"/>
    </w:pPr>
    <w:rPr>
      <w:rFonts w:ascii="Courier New" w:eastAsia="Times New Roman" w:hAnsi="Courier New"/>
      <w:color w:val="000000"/>
      <w:szCs w:val="20"/>
    </w:rPr>
  </w:style>
  <w:style w:type="paragraph" w:customStyle="1" w:styleId="contrato">
    <w:name w:val="contrato"/>
    <w:basedOn w:val="Normal"/>
    <w:pPr>
      <w:jc w:val="both"/>
    </w:pPr>
    <w:rPr>
      <w:rFonts w:ascii="Arial" w:eastAsia="Times New Roman" w:hAnsi="Arial"/>
      <w:szCs w:val="20"/>
      <w:lang w:val="pt-PT" w:eastAsia="ar-SA"/>
    </w:rPr>
  </w:style>
  <w:style w:type="character" w:customStyle="1" w:styleId="consultalista1">
    <w:name w:val="consultalista1"/>
  </w:style>
  <w:style w:type="character" w:customStyle="1" w:styleId="pp-headline-item">
    <w:name w:val="pp-headline-item"/>
  </w:style>
  <w:style w:type="character" w:customStyle="1" w:styleId="telephone">
    <w:name w:val="telephone"/>
  </w:style>
  <w:style w:type="character" w:customStyle="1" w:styleId="pp-place-title">
    <w:name w:val="pp-place-title"/>
  </w:style>
  <w:style w:type="paragraph" w:customStyle="1" w:styleId="Standard">
    <w:name w:val="Standard"/>
    <w:pPr>
      <w:suppressAutoHyphens/>
      <w:autoSpaceDN w:val="0"/>
      <w:spacing w:after="0" w:line="240" w:lineRule="auto"/>
      <w:textAlignment w:val="baseline"/>
    </w:pPr>
    <w:rPr>
      <w:rFonts w:ascii="Times New Roman" w:eastAsia="Times New Roman" w:hAnsi="Times New Roman" w:cs="Times New Roman"/>
      <w:kern w:val="3"/>
      <w:sz w:val="24"/>
      <w:szCs w:val="24"/>
      <w:lang w:eastAsia="pt-BR"/>
    </w:rPr>
  </w:style>
  <w:style w:type="table" w:styleId="Tabelacomgrade">
    <w:name w:val="Table Grid"/>
    <w:basedOn w:val="Tabelanormal"/>
    <w:uiPriority w:val="39"/>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style>
  <w:style w:type="paragraph" w:customStyle="1" w:styleId="WW-ContedodaTabela11111111111111111111">
    <w:name w:val="WW-Conteúdo da Tabela11111111111111111111"/>
    <w:basedOn w:val="Corpodetexto"/>
    <w:pPr>
      <w:suppressLineNumbers/>
      <w:suppressAutoHyphens/>
    </w:pPr>
    <w:rPr>
      <w:rFonts w:ascii="Times New Roman" w:hAnsi="Times New Roman"/>
      <w:b/>
      <w:sz w:val="24"/>
      <w:lang w:eastAsia="ar-SA"/>
    </w:rPr>
  </w:style>
  <w:style w:type="paragraph" w:customStyle="1" w:styleId="WW-ContedodaTabela1111111111111111111">
    <w:name w:val="WW-Conteúdo da Tabela1111111111111111111"/>
    <w:basedOn w:val="Corpodetexto"/>
    <w:pPr>
      <w:suppressLineNumbers/>
      <w:suppressAutoHyphens/>
    </w:pPr>
    <w:rPr>
      <w:rFonts w:ascii="Times New Roman" w:hAnsi="Times New Roman"/>
      <w:b/>
      <w:sz w:val="24"/>
      <w:lang w:eastAsia="ar-SA"/>
    </w:rPr>
  </w:style>
  <w:style w:type="paragraph" w:customStyle="1" w:styleId="PORTUGUES">
    <w:name w:val="PORTUGUES"/>
    <w:basedOn w:val="Normal"/>
    <w:uiPriority w:val="99"/>
    <w:pPr>
      <w:widowControl w:val="0"/>
      <w:suppressAutoHyphens/>
    </w:pPr>
    <w:rPr>
      <w:rFonts w:ascii="Arial" w:eastAsia="Times New Roman" w:hAnsi="Arial" w:cs="Arial"/>
      <w:b/>
      <w:bCs/>
      <w:sz w:val="24"/>
      <w:szCs w:val="24"/>
      <w:lang w:eastAsia="ar-SA"/>
    </w:rPr>
  </w:style>
  <w:style w:type="paragraph" w:styleId="Subttulo">
    <w:name w:val="Subtitle"/>
    <w:basedOn w:val="Normal"/>
    <w:next w:val="Corpodetexto"/>
    <w:link w:val="SubttuloChar"/>
    <w:qFormat/>
    <w:pPr>
      <w:keepNext/>
      <w:suppressAutoHyphens/>
      <w:spacing w:before="240" w:after="120"/>
      <w:jc w:val="center"/>
    </w:pPr>
    <w:rPr>
      <w:rFonts w:ascii="Arial" w:hAnsi="Arial"/>
      <w:i/>
      <w:iCs/>
      <w:sz w:val="28"/>
      <w:szCs w:val="28"/>
      <w:lang w:eastAsia="ar-SA"/>
    </w:rPr>
  </w:style>
  <w:style w:type="character" w:customStyle="1" w:styleId="SubttuloChar">
    <w:name w:val="Subtítulo Char"/>
    <w:basedOn w:val="Fontepargpadro"/>
    <w:link w:val="Subttulo"/>
    <w:rPr>
      <w:rFonts w:ascii="Arial" w:eastAsia="Calibri" w:hAnsi="Arial" w:cs="Times New Roman"/>
      <w:i/>
      <w:iCs/>
      <w:sz w:val="28"/>
      <w:szCs w:val="28"/>
      <w:lang w:eastAsia="ar-SA"/>
    </w:rPr>
  </w:style>
  <w:style w:type="paragraph" w:customStyle="1" w:styleId="Normal1">
    <w:name w:val="Normal1"/>
    <w:basedOn w:val="Normal"/>
    <w:pPr>
      <w:widowControl w:val="0"/>
      <w:suppressAutoHyphens/>
      <w:autoSpaceDE w:val="0"/>
    </w:pPr>
    <w:rPr>
      <w:rFonts w:ascii="Verdana-Bold" w:hAnsi="Verdana-Bold" w:cs="Verdana-Bold"/>
      <w:sz w:val="20"/>
      <w:szCs w:val="20"/>
      <w:lang w:eastAsia="ar-SA"/>
    </w:rPr>
  </w:style>
  <w:style w:type="paragraph" w:customStyle="1" w:styleId="Corpodetexto22">
    <w:name w:val="Corpo de texto 22"/>
    <w:basedOn w:val="Normal"/>
    <w:uiPriority w:val="99"/>
    <w:pPr>
      <w:ind w:hanging="1134"/>
      <w:jc w:val="both"/>
    </w:pPr>
    <w:rPr>
      <w:rFonts w:ascii="Arial" w:eastAsia="Times New Roman" w:hAnsi="Arial" w:cs="Arial"/>
      <w:kern w:val="1"/>
      <w:sz w:val="20"/>
      <w:szCs w:val="20"/>
      <w:lang w:eastAsia="ar-SA"/>
    </w:rPr>
  </w:style>
  <w:style w:type="paragraph" w:customStyle="1" w:styleId="WW-Default">
    <w:name w:val="WW-Default"/>
    <w:basedOn w:val="Normal"/>
    <w:uiPriority w:val="99"/>
    <w:pPr>
      <w:widowControl w:val="0"/>
      <w:suppressAutoHyphens/>
      <w:autoSpaceDE w:val="0"/>
    </w:pPr>
    <w:rPr>
      <w:rFonts w:ascii="Verdana-Bold" w:eastAsia="Times New Roman" w:hAnsi="Verdana-Bold" w:cs="Verdana-Bold"/>
      <w:kern w:val="1"/>
      <w:sz w:val="20"/>
      <w:szCs w:val="20"/>
      <w:lang w:eastAsia="ar-SA"/>
    </w:rPr>
  </w:style>
  <w:style w:type="character" w:styleId="HiperlinkVisitado">
    <w:name w:val="FollowedHyperlink"/>
    <w:basedOn w:val="Fontepargpadro"/>
    <w:uiPriority w:val="99"/>
    <w:semiHidden/>
    <w:unhideWhenUsed/>
    <w:rPr>
      <w:color w:val="800080" w:themeColor="followedHyperlink"/>
      <w:u w:val="single"/>
    </w:rPr>
  </w:style>
  <w:style w:type="paragraph" w:customStyle="1" w:styleId="msonormal0">
    <w:name w:val="msonormal"/>
    <w:basedOn w:val="Normal"/>
    <w:pPr>
      <w:spacing w:before="100" w:beforeAutospacing="1" w:after="100" w:afterAutospacing="1"/>
    </w:pPr>
    <w:rPr>
      <w:rFonts w:ascii="Times New Roman" w:eastAsia="Times New Roman" w:hAnsi="Times New Roman"/>
      <w:sz w:val="24"/>
      <w:szCs w:val="24"/>
      <w:lang w:eastAsia="pt-BR"/>
    </w:rPr>
  </w:style>
  <w:style w:type="character" w:customStyle="1" w:styleId="CabealhoChar1">
    <w:name w:val="Cabeçalho Char1"/>
    <w:aliases w:val="encabezado Char1,hd Char1,he Char1"/>
    <w:basedOn w:val="Fontepargpadro"/>
    <w:uiPriority w:val="99"/>
    <w:semiHidden/>
    <w:rPr>
      <w:rFonts w:asciiTheme="minorHAnsi" w:eastAsiaTheme="minorHAnsi" w:hAnsiTheme="minorHAnsi" w:cstheme="minorBidi"/>
      <w:sz w:val="22"/>
      <w:szCs w:val="22"/>
      <w:lang w:val="en-US" w:eastAsia="en-US"/>
    </w:rPr>
  </w:style>
  <w:style w:type="paragraph" w:customStyle="1" w:styleId="TableParagraph">
    <w:name w:val="Table Paragraph"/>
    <w:basedOn w:val="Normal"/>
    <w:uiPriority w:val="1"/>
    <w:qFormat/>
    <w:pPr>
      <w:widowControl w:val="0"/>
    </w:pPr>
    <w:rPr>
      <w:rFonts w:asciiTheme="minorHAnsi" w:eastAsiaTheme="minorHAnsi" w:hAnsiTheme="minorHAnsi" w:cstheme="minorBidi"/>
      <w:lang w:val="en-US"/>
    </w:rPr>
  </w:style>
  <w:style w:type="paragraph" w:customStyle="1" w:styleId="Item111">
    <w:name w:val="Item 1.1.1"/>
    <w:basedOn w:val="Normal"/>
    <w:uiPriority w:val="99"/>
    <w:pPr>
      <w:widowControl w:val="0"/>
      <w:tabs>
        <w:tab w:val="left" w:pos="2127"/>
        <w:tab w:val="left" w:pos="3119"/>
      </w:tabs>
      <w:autoSpaceDE w:val="0"/>
      <w:spacing w:before="120"/>
      <w:jc w:val="both"/>
    </w:pPr>
    <w:rPr>
      <w:rFonts w:ascii="Arial" w:eastAsia="Times New Roman" w:hAnsi="Arial"/>
      <w:szCs w:val="20"/>
      <w:lang w:eastAsia="ar-SA"/>
    </w:rPr>
  </w:style>
  <w:style w:type="paragraph" w:customStyle="1" w:styleId="textbody">
    <w:name w:val="textbody"/>
    <w:basedOn w:val="Normal"/>
    <w:pPr>
      <w:spacing w:before="100" w:beforeAutospacing="1" w:after="100" w:afterAutospacing="1"/>
    </w:pPr>
    <w:rPr>
      <w:rFonts w:ascii="Times New Roman" w:eastAsia="Times New Roman" w:hAnsi="Times New Roman"/>
      <w:sz w:val="24"/>
      <w:szCs w:val="24"/>
      <w:lang w:eastAsia="pt-BR"/>
    </w:rPr>
  </w:style>
  <w:style w:type="paragraph" w:customStyle="1" w:styleId="Cabealhoencabezado">
    <w:name w:val="Cabeçalho.encabezado"/>
    <w:basedOn w:val="Normal"/>
    <w:pPr>
      <w:tabs>
        <w:tab w:val="center" w:pos="4419"/>
        <w:tab w:val="right" w:pos="8838"/>
      </w:tabs>
      <w:suppressAutoHyphens/>
    </w:pPr>
    <w:rPr>
      <w:rFonts w:ascii="Arial" w:eastAsia="Times New Roman" w:hAnsi="Arial"/>
      <w:sz w:val="24"/>
      <w:szCs w:val="20"/>
      <w:lang w:eastAsia="ar-SA"/>
    </w:rPr>
  </w:style>
  <w:style w:type="paragraph" w:customStyle="1" w:styleId="NormalCourierNew">
    <w:name w:val="Normal + Courier New"/>
    <w:aliases w:val="Justificado,À direita:  -0,96 cm"/>
    <w:basedOn w:val="Normal"/>
    <w:uiPriority w:val="99"/>
    <w:pPr>
      <w:numPr>
        <w:numId w:val="2"/>
      </w:numPr>
      <w:suppressAutoHyphens/>
      <w:ind w:right="-547"/>
      <w:jc w:val="both"/>
    </w:pPr>
    <w:rPr>
      <w:rFonts w:ascii="Courier New" w:eastAsia="Times New Roman" w:hAnsi="Courier New" w:cs="Courier New"/>
      <w:sz w:val="20"/>
      <w:szCs w:val="20"/>
      <w:lang w:eastAsia="ar-SA"/>
    </w:rPr>
  </w:style>
  <w:style w:type="character" w:customStyle="1" w:styleId="style381">
    <w:name w:val="style381"/>
    <w:rPr>
      <w:sz w:val="14"/>
      <w:szCs w:val="14"/>
    </w:rPr>
  </w:style>
  <w:style w:type="character" w:customStyle="1" w:styleId="headsmall">
    <w:name w:val="headsmall"/>
    <w:basedOn w:val="Fontepargpadro"/>
  </w:style>
  <w:style w:type="table" w:customStyle="1" w:styleId="TableNormal">
    <w:name w:val="Table Normal"/>
    <w:qFormat/>
    <w:pPr>
      <w:widowControl w:val="0"/>
      <w:spacing w:after="0" w:line="240" w:lineRule="auto"/>
    </w:pPr>
    <w:rPr>
      <w:lang w:val="en-US"/>
    </w:rPr>
    <w:tblPr>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Pr>
      <w:color w:val="605E5C"/>
      <w:shd w:val="clear" w:color="auto" w:fill="E1DFDD"/>
    </w:rPr>
  </w:style>
  <w:style w:type="paragraph" w:customStyle="1" w:styleId="PADRAO">
    <w:name w:val="PADRAO"/>
    <w:basedOn w:val="Normal"/>
    <w:pPr>
      <w:suppressAutoHyphens/>
      <w:jc w:val="both"/>
    </w:pPr>
    <w:rPr>
      <w:rFonts w:ascii="Tms Rmn" w:eastAsia="Times New Roman" w:hAnsi="Tms Rmn"/>
      <w:sz w:val="24"/>
      <w:szCs w:val="20"/>
      <w:lang w:eastAsia="ar-SA"/>
    </w:rPr>
  </w:style>
  <w:style w:type="character" w:styleId="Refdecomentrio">
    <w:name w:val="annotation reference"/>
    <w:uiPriority w:val="99"/>
    <w:qFormat/>
    <w:rPr>
      <w:sz w:val="16"/>
      <w:szCs w:val="16"/>
    </w:rPr>
  </w:style>
  <w:style w:type="paragraph" w:styleId="Textodecomentrio">
    <w:name w:val="annotation text"/>
    <w:basedOn w:val="Normal"/>
    <w:link w:val="TextodecomentrioChar"/>
    <w:uiPriority w:val="99"/>
    <w:qFormat/>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uiPriority w:val="99"/>
    <w:qFormat/>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Pr>
      <w:b/>
      <w:bCs/>
    </w:rPr>
  </w:style>
  <w:style w:type="character" w:customStyle="1" w:styleId="AssuntodocomentrioChar">
    <w:name w:val="Assunto do comentário Char"/>
    <w:basedOn w:val="TextodecomentrioChar"/>
    <w:link w:val="Assuntodocomentrio"/>
    <w:rPr>
      <w:rFonts w:ascii="Times New Roman" w:eastAsia="Times New Roman" w:hAnsi="Times New Roman" w:cs="Times New Roman"/>
      <w:b/>
      <w:bCs/>
      <w:sz w:val="20"/>
      <w:szCs w:val="20"/>
      <w:lang w:eastAsia="pt-BR"/>
    </w:rPr>
  </w:style>
  <w:style w:type="paragraph" w:customStyle="1" w:styleId="xl27">
    <w:name w:val="xl27"/>
    <w:basedOn w:val="Normal"/>
    <w:pPr>
      <w:spacing w:before="100" w:beforeAutospacing="1" w:after="100" w:afterAutospacing="1"/>
      <w:jc w:val="center"/>
    </w:pPr>
    <w:rPr>
      <w:rFonts w:ascii="Arial" w:eastAsia="Arial Unicode MS" w:hAnsi="Arial"/>
      <w:sz w:val="24"/>
      <w:szCs w:val="24"/>
      <w:lang w:eastAsia="pt-BR"/>
    </w:rPr>
  </w:style>
  <w:style w:type="paragraph" w:styleId="CitaoIntensa">
    <w:name w:val="Intense Quote"/>
    <w:basedOn w:val="Normal"/>
    <w:next w:val="Normal"/>
    <w:link w:val="CitaoIntensaChar"/>
    <w:uiPriority w:val="30"/>
    <w:qFormat/>
    <w:pPr>
      <w:pBdr>
        <w:bottom w:val="single" w:sz="4" w:space="4" w:color="4F81BD"/>
      </w:pBdr>
      <w:spacing w:before="200" w:after="280"/>
      <w:ind w:left="936" w:right="936"/>
    </w:pPr>
    <w:rPr>
      <w:rFonts w:ascii="Times New Roman" w:eastAsia="Times New Roman" w:hAnsi="Times New Roman"/>
      <w:b/>
      <w:bCs/>
      <w:i/>
      <w:iCs/>
      <w:color w:val="4F81BD"/>
      <w:sz w:val="20"/>
      <w:szCs w:val="20"/>
    </w:rPr>
  </w:style>
  <w:style w:type="character" w:customStyle="1" w:styleId="CitaoIntensaChar">
    <w:name w:val="Citação Intensa Char"/>
    <w:basedOn w:val="Fontepargpadro"/>
    <w:link w:val="CitaoIntensa"/>
    <w:uiPriority w:val="30"/>
    <w:rPr>
      <w:rFonts w:ascii="Times New Roman" w:eastAsia="Times New Roman" w:hAnsi="Times New Roman" w:cs="Times New Roman"/>
      <w:b/>
      <w:bCs/>
      <w:i/>
      <w:iCs/>
      <w:color w:val="4F81BD"/>
      <w:sz w:val="20"/>
      <w:szCs w:val="20"/>
    </w:rPr>
  </w:style>
  <w:style w:type="paragraph" w:customStyle="1" w:styleId="font5">
    <w:name w:val="font5"/>
    <w:basedOn w:val="Normal"/>
    <w:pPr>
      <w:spacing w:before="100" w:beforeAutospacing="1" w:after="100" w:afterAutospacing="1"/>
    </w:pPr>
    <w:rPr>
      <w:rFonts w:eastAsia="Times New Roman"/>
      <w:color w:val="000000"/>
      <w:sz w:val="18"/>
      <w:szCs w:val="18"/>
      <w:lang w:eastAsia="pt-BR"/>
    </w:rPr>
  </w:style>
  <w:style w:type="paragraph" w:customStyle="1" w:styleId="font6">
    <w:name w:val="font6"/>
    <w:basedOn w:val="Normal"/>
    <w:pPr>
      <w:spacing w:before="100" w:beforeAutospacing="1" w:after="100" w:afterAutospacing="1"/>
    </w:pPr>
    <w:rPr>
      <w:rFonts w:eastAsia="Times New Roman"/>
      <w:color w:val="000000"/>
      <w:sz w:val="18"/>
      <w:szCs w:val="18"/>
      <w:lang w:eastAsia="pt-BR"/>
    </w:rPr>
  </w:style>
  <w:style w:type="paragraph" w:customStyle="1" w:styleId="xl63">
    <w:name w:val="xl63"/>
    <w:basedOn w:val="Normal"/>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8"/>
      <w:szCs w:val="18"/>
      <w:lang w:eastAsia="pt-BR"/>
    </w:rPr>
  </w:style>
  <w:style w:type="paragraph" w:customStyle="1" w:styleId="xl64">
    <w:name w:val="xl64"/>
    <w:basedOn w:val="Normal"/>
    <w:pPr>
      <w:pBdr>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8"/>
      <w:szCs w:val="18"/>
      <w:lang w:eastAsia="pt-BR"/>
    </w:rPr>
  </w:style>
  <w:style w:type="paragraph" w:customStyle="1" w:styleId="xl65">
    <w:name w:val="xl65"/>
    <w:basedOn w:val="Normal"/>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8"/>
      <w:szCs w:val="18"/>
      <w:lang w:eastAsia="pt-BR"/>
    </w:rPr>
  </w:style>
  <w:style w:type="paragraph" w:customStyle="1" w:styleId="xl66">
    <w:name w:val="xl66"/>
    <w:basedOn w:val="Normal"/>
    <w:pPr>
      <w:pBdr>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olor w:val="000000"/>
      <w:sz w:val="18"/>
      <w:szCs w:val="18"/>
      <w:lang w:eastAsia="pt-BR"/>
    </w:rPr>
  </w:style>
  <w:style w:type="paragraph" w:customStyle="1" w:styleId="xl67">
    <w:name w:val="xl67"/>
    <w:basedOn w:val="Normal"/>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8"/>
      <w:szCs w:val="18"/>
      <w:lang w:eastAsia="pt-BR"/>
    </w:rPr>
  </w:style>
  <w:style w:type="paragraph" w:customStyle="1" w:styleId="xl68">
    <w:name w:val="xl68"/>
    <w:basedOn w:val="Normal"/>
    <w:pPr>
      <w:pBdr>
        <w:bottom w:val="single" w:sz="8" w:space="0" w:color="auto"/>
        <w:right w:val="single" w:sz="8" w:space="0" w:color="auto"/>
      </w:pBdr>
      <w:shd w:val="clear" w:color="000000" w:fill="FFFFFF"/>
      <w:spacing w:before="100" w:beforeAutospacing="1" w:after="100" w:afterAutospacing="1"/>
      <w:jc w:val="both"/>
      <w:textAlignment w:val="center"/>
    </w:pPr>
    <w:rPr>
      <w:rFonts w:ascii="Times New Roman" w:eastAsia="Times New Roman" w:hAnsi="Times New Roman"/>
      <w:color w:val="000000"/>
      <w:sz w:val="18"/>
      <w:szCs w:val="18"/>
      <w:lang w:eastAsia="pt-BR"/>
    </w:rPr>
  </w:style>
  <w:style w:type="paragraph" w:customStyle="1" w:styleId="xl69">
    <w:name w:val="xl69"/>
    <w:basedOn w:val="Normal"/>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8"/>
      <w:szCs w:val="18"/>
      <w:lang w:eastAsia="pt-BR"/>
    </w:rPr>
  </w:style>
  <w:style w:type="paragraph" w:customStyle="1" w:styleId="xl70">
    <w:name w:val="xl70"/>
    <w:basedOn w:val="Normal"/>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FF0000"/>
      <w:sz w:val="18"/>
      <w:szCs w:val="18"/>
      <w:lang w:eastAsia="pt-BR"/>
    </w:rPr>
  </w:style>
  <w:style w:type="paragraph" w:customStyle="1" w:styleId="xl71">
    <w:name w:val="xl71"/>
    <w:basedOn w:val="Normal"/>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8"/>
      <w:szCs w:val="18"/>
      <w:lang w:eastAsia="pt-BR"/>
    </w:rPr>
  </w:style>
  <w:style w:type="paragraph" w:customStyle="1" w:styleId="xl72">
    <w:name w:val="xl72"/>
    <w:basedOn w:val="Normal"/>
    <w:pPr>
      <w:pBdr>
        <w:top w:val="single" w:sz="8" w:space="0" w:color="auto"/>
        <w:bottom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8"/>
      <w:szCs w:val="18"/>
      <w:lang w:eastAsia="pt-BR"/>
    </w:rPr>
  </w:style>
  <w:style w:type="paragraph" w:customStyle="1" w:styleId="xl73">
    <w:name w:val="xl73"/>
    <w:basedOn w:val="Normal"/>
    <w:pPr>
      <w:pBdr>
        <w:top w:val="single" w:sz="8" w:space="0" w:color="auto"/>
        <w:lef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8"/>
      <w:szCs w:val="18"/>
      <w:lang w:eastAsia="pt-BR"/>
    </w:rPr>
  </w:style>
  <w:style w:type="paragraph" w:customStyle="1" w:styleId="xl74">
    <w:name w:val="xl74"/>
    <w:basedOn w:val="Normal"/>
    <w:pPr>
      <w:pBdr>
        <w:top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8"/>
      <w:szCs w:val="18"/>
      <w:lang w:eastAsia="pt-BR"/>
    </w:rPr>
  </w:style>
  <w:style w:type="paragraph" w:customStyle="1" w:styleId="xl75">
    <w:name w:val="xl75"/>
    <w:basedOn w:val="Normal"/>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8"/>
      <w:szCs w:val="18"/>
      <w:lang w:eastAsia="pt-BR"/>
    </w:rPr>
  </w:style>
  <w:style w:type="paragraph" w:customStyle="1" w:styleId="xl76">
    <w:name w:val="xl76"/>
    <w:basedOn w:val="Normal"/>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8"/>
      <w:szCs w:val="18"/>
      <w:lang w:eastAsia="pt-BR"/>
    </w:rPr>
  </w:style>
  <w:style w:type="character" w:customStyle="1" w:styleId="MenoPendente2">
    <w:name w:val="Menção Pendente2"/>
    <w:basedOn w:val="Fontepargpadro"/>
    <w:uiPriority w:val="99"/>
    <w:semiHidden/>
    <w:unhideWhenUsed/>
    <w:rPr>
      <w:color w:val="605E5C"/>
      <w:shd w:val="clear" w:color="auto" w:fill="E1DFDD"/>
    </w:rPr>
  </w:style>
  <w:style w:type="paragraph" w:customStyle="1" w:styleId="Pregaoquadromiolo">
    <w:name w:val="Pregao quadro miolo"/>
    <w:basedOn w:val="Normal"/>
    <w:pPr>
      <w:spacing w:line="260" w:lineRule="exact"/>
    </w:pPr>
    <w:rPr>
      <w:rFonts w:ascii="Arial" w:eastAsia="Times New Roman" w:hAnsi="Arial" w:cs="Arial"/>
      <w:sz w:val="20"/>
      <w:szCs w:val="24"/>
      <w:lang w:eastAsia="pt-BR"/>
    </w:rPr>
  </w:style>
  <w:style w:type="character" w:customStyle="1" w:styleId="SemEspaamentoChar">
    <w:name w:val="Sem Espaçamento Char"/>
    <w:link w:val="SemEspaamento"/>
    <w:uiPriority w:val="1"/>
    <w:rPr>
      <w:rFonts w:ascii="Calibri" w:eastAsia="Times New Roman" w:hAnsi="Calibri" w:cs="Times New Roman"/>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Wingdings" w:hAnsi="Wingdings" w:cs="Wingdings"/>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Wingdings" w:hAnsi="Wingdings" w:cs="Symbol"/>
      <w:sz w:val="18"/>
      <w:szCs w:val="18"/>
    </w:rPr>
  </w:style>
  <w:style w:type="character" w:customStyle="1" w:styleId="WW8Num4z1">
    <w:name w:val="WW8Num4z1"/>
    <w:rPr>
      <w:rFonts w:ascii="Wingdings 2" w:hAnsi="Wingdings 2" w:cs="Courier New"/>
    </w:rPr>
  </w:style>
  <w:style w:type="character" w:customStyle="1" w:styleId="WW8Num4z2">
    <w:name w:val="WW8Num4z2"/>
    <w:rPr>
      <w:rFonts w:ascii="OpenSymbol" w:hAnsi="OpenSymbol" w:cs="Wingdings"/>
    </w:rPr>
  </w:style>
  <w:style w:type="character" w:customStyle="1" w:styleId="WW8Num5z0">
    <w:name w:val="WW8Num5z0"/>
    <w:rPr>
      <w:rFonts w:ascii="Arial" w:hAnsi="Arial" w:cs="Symbol"/>
      <w:color w:val="222222"/>
      <w:lang w:val="en-US"/>
    </w:rPr>
  </w:style>
  <w:style w:type="character" w:customStyle="1" w:styleId="WW8Num5z1">
    <w:name w:val="WW8Num5z1"/>
    <w:rPr>
      <w:rFonts w:ascii="Arial" w:hAnsi="Arial" w:cs="Courier New"/>
      <w:color w:val="222222"/>
      <w:lang w:val="en-US"/>
    </w:rPr>
  </w:style>
  <w:style w:type="character" w:customStyle="1" w:styleId="WW8Num5z3">
    <w:name w:val="WW8Num5z3"/>
    <w:rPr>
      <w:rFonts w:ascii="Arial" w:hAnsi="Arial" w:cs="Arial"/>
      <w:b/>
      <w:i w:val="0"/>
      <w:color w:val="000000"/>
      <w:position w:val="0"/>
      <w:sz w:val="24"/>
      <w:vertAlign w:val="baseline"/>
    </w:rPr>
  </w:style>
  <w:style w:type="character" w:customStyle="1" w:styleId="WW8Num5z4">
    <w:name w:val="WW8Num5z4"/>
    <w:rPr>
      <w:rFonts w:ascii="Arial" w:hAnsi="Arial" w:cs="Arial"/>
      <w:position w:val="0"/>
      <w:sz w:val="18"/>
      <w:vertAlign w:val="baseline"/>
    </w:rPr>
  </w:style>
  <w:style w:type="character" w:customStyle="1" w:styleId="WW8Num6z0">
    <w:name w:val="WW8Num6z0"/>
    <w:rPr>
      <w:rFonts w:ascii="Wingdings" w:hAnsi="Wingdings" w:cs="Wingdings"/>
      <w:color w:val="222222"/>
    </w:rPr>
  </w:style>
  <w:style w:type="character" w:customStyle="1" w:styleId="WW8Num6z1">
    <w:name w:val="WW8Num6z1"/>
    <w:rPr>
      <w:rFonts w:ascii="Wingdings 2" w:hAnsi="Wingdings 2" w:cs="Wingdings 2"/>
    </w:rPr>
  </w:style>
  <w:style w:type="character" w:customStyle="1" w:styleId="WW8Num6z2">
    <w:name w:val="WW8Num6z2"/>
    <w:rPr>
      <w:rFonts w:ascii="OpenSymbol" w:hAnsi="OpenSymbol" w:cs="OpenSymbol"/>
    </w:rPr>
  </w:style>
  <w:style w:type="character" w:customStyle="1" w:styleId="WW8Num7z0">
    <w:name w:val="WW8Num7z0"/>
    <w:rPr>
      <w:rFonts w:ascii="Arial" w:hAnsi="Arial" w:cs="Symbol"/>
      <w:color w:val="auto"/>
    </w:rPr>
  </w:style>
  <w:style w:type="character" w:customStyle="1" w:styleId="WW8Num7z1">
    <w:name w:val="WW8Num7z1"/>
    <w:rPr>
      <w:rFonts w:ascii="Wingdings" w:hAnsi="Wingdings" w:cs="Courier New"/>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8Num1zfalse">
    <w:name w:val="WW8Num1zfalse"/>
  </w:style>
  <w:style w:type="character" w:customStyle="1" w:styleId="WW8Num1ztrue">
    <w:name w:val="WW8Num1ztrue"/>
  </w:style>
  <w:style w:type="character" w:customStyle="1" w:styleId="WW-WW8Num1ztrue">
    <w:name w:val="WW-WW8Num1ztrue"/>
  </w:style>
  <w:style w:type="character" w:customStyle="1" w:styleId="WW-WW8Num1ztrue1">
    <w:name w:val="WW-WW8Num1ztrue1"/>
  </w:style>
  <w:style w:type="character" w:customStyle="1" w:styleId="WW-WW8Num1ztrue12">
    <w:name w:val="WW-WW8Num1ztrue12"/>
  </w:style>
  <w:style w:type="character" w:customStyle="1" w:styleId="WW-WW8Num1ztrue123">
    <w:name w:val="WW-WW8Num1ztrue123"/>
  </w:style>
  <w:style w:type="character" w:customStyle="1" w:styleId="WW-WW8Num1ztrue1234">
    <w:name w:val="WW-WW8Num1ztrue1234"/>
  </w:style>
  <w:style w:type="character" w:customStyle="1" w:styleId="WW-WW8Num1ztrue12345">
    <w:name w:val="WW-WW8Num1ztrue12345"/>
  </w:style>
  <w:style w:type="character" w:customStyle="1" w:styleId="WW-WW8Num1ztrue123456">
    <w:name w:val="WW-WW8Num1ztrue123456"/>
  </w:style>
  <w:style w:type="character" w:customStyle="1" w:styleId="WW-Absatz-Standardschriftart111">
    <w:name w:val="WW-Absatz-Standardschriftart111"/>
  </w:style>
  <w:style w:type="character" w:customStyle="1" w:styleId="WW-WW8Num1ztrue1234567">
    <w:name w:val="WW-WW8Num1ztrue1234567"/>
  </w:style>
  <w:style w:type="character" w:customStyle="1" w:styleId="WW-WW8Num1ztrue11">
    <w:name w:val="WW-WW8Num1ztrue11"/>
  </w:style>
  <w:style w:type="character" w:customStyle="1" w:styleId="WW-WW8Num1ztrue121">
    <w:name w:val="WW-WW8Num1ztrue121"/>
  </w:style>
  <w:style w:type="character" w:customStyle="1" w:styleId="WW-WW8Num1ztrue1231">
    <w:name w:val="WW-WW8Num1ztrue1231"/>
  </w:style>
  <w:style w:type="character" w:customStyle="1" w:styleId="WW-WW8Num1ztrue12341">
    <w:name w:val="WW-WW8Num1ztrue12341"/>
  </w:style>
  <w:style w:type="character" w:customStyle="1" w:styleId="WW-WW8Num1ztrue123451">
    <w:name w:val="WW-WW8Num1ztrue123451"/>
  </w:style>
  <w:style w:type="character" w:customStyle="1" w:styleId="WW-WW8Num1ztrue1234561">
    <w:name w:val="WW-WW8Num1ztrue123456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Fontepargpadro2">
    <w:name w:val="Fonte parág. padrão2"/>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8Num4z3">
    <w:name w:val="WW8Num4z3"/>
    <w:rPr>
      <w:rFonts w:ascii="Symbol" w:hAnsi="Symbol" w:cs="Symbol"/>
    </w:rPr>
  </w:style>
  <w:style w:type="character" w:customStyle="1" w:styleId="WW8Num6z3">
    <w:name w:val="WW8Num6z3"/>
    <w:rPr>
      <w:rFonts w:ascii="Symbol" w:hAnsi="Symbol" w:cs="Symbol"/>
    </w:rPr>
  </w:style>
  <w:style w:type="character" w:customStyle="1" w:styleId="Fontepargpadro1">
    <w:name w:val="Fonte parág. padrão1"/>
  </w:style>
  <w:style w:type="character" w:customStyle="1" w:styleId="Smbolosdenumerao">
    <w:name w:val="Símbolos de numeração"/>
  </w:style>
  <w:style w:type="character" w:customStyle="1" w:styleId="WW8Num7z2">
    <w:name w:val="WW8Num7z2"/>
    <w:rPr>
      <w:rFonts w:ascii="OpenSymbol" w:hAnsi="OpenSymbol" w:cs="OpenSymbol"/>
    </w:rPr>
  </w:style>
  <w:style w:type="paragraph" w:customStyle="1" w:styleId="Ttulo10">
    <w:name w:val="Título1"/>
    <w:basedOn w:val="Normal"/>
    <w:next w:val="Corpodetexto"/>
    <w:pPr>
      <w:keepNext/>
      <w:suppressAutoHyphens/>
      <w:spacing w:before="240" w:after="120"/>
    </w:pPr>
    <w:rPr>
      <w:rFonts w:ascii="Arial" w:eastAsia="Lucida Sans Unicode" w:hAnsi="Arial" w:cs="Tahoma"/>
      <w:sz w:val="28"/>
      <w:szCs w:val="28"/>
      <w:lang w:eastAsia="ar-SA"/>
    </w:rPr>
  </w:style>
  <w:style w:type="paragraph" w:styleId="Legenda">
    <w:name w:val="caption"/>
    <w:basedOn w:val="Normal"/>
    <w:qFormat/>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pPr>
      <w:suppressLineNumbers/>
      <w:suppressAutoHyphens/>
    </w:pPr>
    <w:rPr>
      <w:rFonts w:ascii="Times New Roman" w:eastAsia="Times New Roman" w:hAnsi="Times New Roman" w:cs="Tahoma"/>
      <w:sz w:val="20"/>
      <w:szCs w:val="20"/>
      <w:lang w:eastAsia="ar-SA"/>
    </w:rPr>
  </w:style>
  <w:style w:type="paragraph" w:customStyle="1" w:styleId="Captulo">
    <w:name w:val="Capítulo"/>
    <w:basedOn w:val="Normal"/>
    <w:next w:val="Corpodetexto"/>
    <w:pPr>
      <w:keepNext/>
      <w:suppressAutoHyphens/>
      <w:spacing w:before="240" w:after="120"/>
    </w:pPr>
    <w:rPr>
      <w:rFonts w:ascii="Arial" w:eastAsia="Lucida Sans Unicode" w:hAnsi="Arial" w:cs="Tahoma"/>
      <w:sz w:val="28"/>
      <w:szCs w:val="28"/>
      <w:lang w:eastAsia="ar-SA"/>
    </w:rPr>
  </w:style>
  <w:style w:type="paragraph" w:customStyle="1" w:styleId="WW-Ttulo">
    <w:name w:val="WW-Título"/>
    <w:basedOn w:val="Normal"/>
    <w:next w:val="Corpodetexto"/>
    <w:pPr>
      <w:keepNext/>
      <w:suppressAutoHyphens/>
      <w:spacing w:before="240" w:after="120"/>
    </w:pPr>
    <w:rPr>
      <w:rFonts w:ascii="Arial" w:eastAsia="Arial Unicode MS" w:hAnsi="Arial" w:cs="Mangal"/>
      <w:sz w:val="28"/>
      <w:szCs w:val="28"/>
      <w:lang w:eastAsia="ar-SA"/>
    </w:rPr>
  </w:style>
  <w:style w:type="paragraph" w:customStyle="1" w:styleId="Legenda1">
    <w:name w:val="Legenda1"/>
    <w:basedOn w:val="Normal"/>
    <w:next w:val="Normal"/>
    <w:pPr>
      <w:suppressAutoHyphens/>
      <w:jc w:val="center"/>
    </w:pPr>
    <w:rPr>
      <w:rFonts w:ascii="Arial" w:eastAsia="Times New Roman" w:hAnsi="Arial" w:cs="Arial"/>
      <w:sz w:val="28"/>
      <w:szCs w:val="20"/>
      <w:lang w:eastAsia="ar-SA"/>
    </w:rPr>
  </w:style>
  <w:style w:type="paragraph" w:customStyle="1" w:styleId="Contedodetabela">
    <w:name w:val="Conteúdo de tabela"/>
    <w:basedOn w:val="Normal"/>
    <w:pPr>
      <w:suppressLineNumbers/>
      <w:suppressAutoHyphens/>
    </w:pPr>
    <w:rPr>
      <w:rFonts w:ascii="Times New Roman" w:eastAsia="Times New Roman" w:hAnsi="Times New Roman"/>
      <w:sz w:val="20"/>
      <w:szCs w:val="20"/>
      <w:lang w:eastAsia="ar-SA"/>
    </w:rPr>
  </w:style>
  <w:style w:type="paragraph" w:customStyle="1" w:styleId="Ttulodetabela">
    <w:name w:val="Título de tabela"/>
    <w:basedOn w:val="Contedodetabela"/>
    <w:pPr>
      <w:jc w:val="center"/>
    </w:pPr>
    <w:rPr>
      <w:b/>
      <w:bCs/>
    </w:rPr>
  </w:style>
  <w:style w:type="paragraph" w:customStyle="1" w:styleId="WW-ContedodaTabela111111">
    <w:name w:val="WW-Conteúdo da Tabela111111"/>
    <w:basedOn w:val="Corpodetexto"/>
    <w:pPr>
      <w:suppressLineNumbers/>
      <w:suppressAutoHyphens/>
    </w:pPr>
    <w:rPr>
      <w:rFonts w:cs="Arial"/>
      <w:sz w:val="24"/>
      <w:lang w:eastAsia="ar-SA"/>
    </w:rPr>
  </w:style>
  <w:style w:type="paragraph" w:customStyle="1" w:styleId="reservado3">
    <w:name w:val="reservado3"/>
    <w:basedOn w:val="Normal"/>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overflowPunct w:val="0"/>
      <w:autoSpaceDE w:val="0"/>
      <w:autoSpaceDN w:val="0"/>
      <w:adjustRightInd w:val="0"/>
      <w:jc w:val="both"/>
      <w:textAlignment w:val="baseline"/>
    </w:pPr>
    <w:rPr>
      <w:rFonts w:ascii="Arial" w:eastAsia="Times New Roman" w:hAnsi="Arial"/>
      <w:spacing w:val="-3"/>
      <w:sz w:val="24"/>
      <w:szCs w:val="20"/>
      <w:lang w:val="en-US" w:eastAsia="pt-BR"/>
    </w:rPr>
  </w:style>
  <w:style w:type="paragraph" w:customStyle="1" w:styleId="PargrafodaLista1">
    <w:name w:val="Parágrafo da Lista1"/>
    <w:basedOn w:val="Normal"/>
    <w:pPr>
      <w:spacing w:after="200" w:line="276" w:lineRule="auto"/>
      <w:ind w:left="720"/>
    </w:pPr>
    <w:rPr>
      <w:rFonts w:eastAsia="Times New Roman"/>
      <w:lang w:eastAsia="pt-BR"/>
    </w:rPr>
  </w:style>
  <w:style w:type="paragraph" w:customStyle="1" w:styleId="font7">
    <w:name w:val="font7"/>
    <w:basedOn w:val="Normal"/>
    <w:pPr>
      <w:spacing w:before="100" w:beforeAutospacing="1" w:after="100" w:afterAutospacing="1"/>
    </w:pPr>
    <w:rPr>
      <w:rFonts w:eastAsia="Times New Roman" w:cs="Calibri"/>
      <w:b/>
      <w:bCs/>
      <w:sz w:val="20"/>
      <w:szCs w:val="20"/>
      <w:u w:val="single"/>
      <w:lang w:eastAsia="pt-BR"/>
    </w:rPr>
  </w:style>
  <w:style w:type="paragraph" w:customStyle="1" w:styleId="font8">
    <w:name w:val="font8"/>
    <w:basedOn w:val="Normal"/>
    <w:pPr>
      <w:spacing w:before="100" w:beforeAutospacing="1" w:after="100" w:afterAutospacing="1"/>
    </w:pPr>
    <w:rPr>
      <w:rFonts w:eastAsia="Times New Roman" w:cs="Calibri"/>
      <w:b/>
      <w:bCs/>
      <w:sz w:val="20"/>
      <w:szCs w:val="20"/>
      <w:lang w:eastAsia="pt-BR"/>
    </w:rPr>
  </w:style>
  <w:style w:type="paragraph" w:customStyle="1" w:styleId="font9">
    <w:name w:val="font9"/>
    <w:basedOn w:val="Normal"/>
    <w:pPr>
      <w:spacing w:before="100" w:beforeAutospacing="1" w:after="100" w:afterAutospacing="1"/>
    </w:pPr>
    <w:rPr>
      <w:rFonts w:eastAsia="Times New Roman" w:cs="Calibri"/>
      <w:sz w:val="20"/>
      <w:szCs w:val="20"/>
      <w:u w:val="single"/>
      <w:lang w:eastAsia="pt-BR"/>
    </w:rPr>
  </w:style>
  <w:style w:type="paragraph" w:customStyle="1" w:styleId="xl77">
    <w:name w:val="xl77"/>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78">
    <w:name w:val="xl78"/>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80">
    <w:name w:val="xl80"/>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81">
    <w:name w:val="xl81"/>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82">
    <w:name w:val="xl8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pt-BR"/>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sz w:val="20"/>
      <w:szCs w:val="20"/>
      <w:lang w:eastAsia="pt-BR"/>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pt-BR"/>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pt-BR"/>
    </w:rPr>
  </w:style>
  <w:style w:type="paragraph" w:customStyle="1" w:styleId="xl88">
    <w:name w:val="xl88"/>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89">
    <w:name w:val="xl89"/>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90">
    <w:name w:val="xl90"/>
    <w:basedOn w:val="Normal"/>
    <w:pPr>
      <w:pBdr>
        <w:bottom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91">
    <w:name w:val="xl91"/>
    <w:basedOn w:val="Normal"/>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94">
    <w:name w:val="xl9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95">
    <w:name w:val="xl95"/>
    <w:basedOn w:val="Normal"/>
    <w:pPr>
      <w:spacing w:before="100" w:beforeAutospacing="1" w:after="100" w:afterAutospacing="1"/>
      <w:jc w:val="center"/>
      <w:textAlignment w:val="center"/>
    </w:pPr>
    <w:rPr>
      <w:rFonts w:ascii="Times New Roman" w:eastAsia="Times New Roman" w:hAnsi="Times New Roman"/>
      <w:b/>
      <w:bCs/>
      <w:color w:val="FF0000"/>
      <w:sz w:val="20"/>
      <w:szCs w:val="20"/>
      <w:lang w:eastAsia="pt-BR"/>
    </w:rPr>
  </w:style>
  <w:style w:type="paragraph" w:customStyle="1" w:styleId="xl96">
    <w:name w:val="xl96"/>
    <w:basedOn w:val="Normal"/>
    <w:pPr>
      <w:spacing w:before="100" w:beforeAutospacing="1" w:after="100" w:afterAutospacing="1"/>
      <w:jc w:val="center"/>
      <w:textAlignment w:val="center"/>
    </w:pPr>
    <w:rPr>
      <w:rFonts w:ascii="Times New Roman" w:eastAsia="Times New Roman" w:hAnsi="Times New Roman"/>
      <w:b/>
      <w:bCs/>
      <w:color w:val="FF0000"/>
      <w:sz w:val="20"/>
      <w:szCs w:val="20"/>
      <w:lang w:eastAsia="pt-BR"/>
    </w:rPr>
  </w:style>
  <w:style w:type="paragraph" w:customStyle="1" w:styleId="xl97">
    <w:name w:val="xl97"/>
    <w:basedOn w:val="Normal"/>
    <w:pPr>
      <w:spacing w:before="100" w:beforeAutospacing="1" w:after="100" w:afterAutospacing="1"/>
      <w:jc w:val="center"/>
      <w:textAlignment w:val="center"/>
    </w:pPr>
    <w:rPr>
      <w:rFonts w:ascii="Times New Roman" w:eastAsia="Times New Roman" w:hAnsi="Times New Roman"/>
      <w:b/>
      <w:bCs/>
      <w:color w:val="FF0000"/>
      <w:sz w:val="20"/>
      <w:szCs w:val="20"/>
      <w:lang w:eastAsia="pt-BR"/>
    </w:rPr>
  </w:style>
  <w:style w:type="paragraph" w:customStyle="1" w:styleId="xl98">
    <w:name w:val="xl98"/>
    <w:basedOn w:val="Normal"/>
    <w:pPr>
      <w:spacing w:before="100" w:beforeAutospacing="1" w:after="100" w:afterAutospacing="1"/>
      <w:jc w:val="center"/>
      <w:textAlignment w:val="center"/>
    </w:pPr>
    <w:rPr>
      <w:rFonts w:ascii="Times New Roman" w:eastAsia="Times New Roman" w:hAnsi="Times New Roman"/>
      <w:b/>
      <w:bCs/>
      <w:color w:val="FF0000"/>
      <w:sz w:val="20"/>
      <w:szCs w:val="20"/>
      <w:lang w:eastAsia="pt-BR"/>
    </w:rPr>
  </w:style>
  <w:style w:type="paragraph" w:customStyle="1" w:styleId="xl99">
    <w:name w:val="xl9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FF0000"/>
      <w:sz w:val="20"/>
      <w:szCs w:val="20"/>
      <w:lang w:eastAsia="pt-BR"/>
    </w:rPr>
  </w:style>
  <w:style w:type="paragraph" w:customStyle="1" w:styleId="xl100">
    <w:name w:val="xl10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FF0000"/>
      <w:sz w:val="20"/>
      <w:szCs w:val="20"/>
      <w:lang w:eastAsia="pt-BR"/>
    </w:rPr>
  </w:style>
  <w:style w:type="paragraph" w:customStyle="1" w:styleId="xl101">
    <w:name w:val="xl101"/>
    <w:basedOn w:val="Normal"/>
    <w:pPr>
      <w:spacing w:before="100" w:beforeAutospacing="1" w:after="100" w:afterAutospacing="1"/>
      <w:jc w:val="center"/>
    </w:pPr>
    <w:rPr>
      <w:rFonts w:ascii="Times New Roman" w:eastAsia="Times New Roman" w:hAnsi="Times New Roman"/>
      <w:color w:val="FF0000"/>
      <w:sz w:val="20"/>
      <w:szCs w:val="20"/>
      <w:lang w:eastAsia="pt-BR"/>
    </w:rPr>
  </w:style>
  <w:style w:type="paragraph" w:customStyle="1" w:styleId="xl102">
    <w:name w:val="xl102"/>
    <w:basedOn w:val="Normal"/>
    <w:pPr>
      <w:spacing w:before="100" w:beforeAutospacing="1" w:after="100" w:afterAutospacing="1"/>
      <w:jc w:val="both"/>
      <w:textAlignment w:val="center"/>
    </w:pPr>
    <w:rPr>
      <w:rFonts w:ascii="Times New Roman" w:eastAsia="Times New Roman" w:hAnsi="Times New Roman"/>
      <w:color w:val="FF0000"/>
      <w:sz w:val="20"/>
      <w:szCs w:val="20"/>
      <w:lang w:eastAsia="pt-BR"/>
    </w:rPr>
  </w:style>
  <w:style w:type="paragraph" w:customStyle="1" w:styleId="xl103">
    <w:name w:val="xl103"/>
    <w:basedOn w:val="Normal"/>
    <w:pPr>
      <w:spacing w:before="100" w:beforeAutospacing="1" w:after="100" w:afterAutospacing="1"/>
      <w:jc w:val="center"/>
    </w:pPr>
    <w:rPr>
      <w:rFonts w:ascii="Times New Roman" w:eastAsia="Times New Roman" w:hAnsi="Times New Roman"/>
      <w:color w:val="FF0000"/>
      <w:sz w:val="20"/>
      <w:szCs w:val="20"/>
      <w:lang w:eastAsia="pt-BR"/>
    </w:rPr>
  </w:style>
  <w:style w:type="paragraph" w:customStyle="1" w:styleId="xl104">
    <w:name w:val="xl10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05">
    <w:name w:val="xl105"/>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06">
    <w:name w:val="xl106"/>
    <w:basedOn w:val="Normal"/>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07">
    <w:name w:val="xl107"/>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b/>
      <w:bCs/>
      <w:sz w:val="20"/>
      <w:szCs w:val="20"/>
      <w:u w:val="single"/>
      <w:lang w:eastAsia="pt-BR"/>
    </w:rPr>
  </w:style>
  <w:style w:type="paragraph" w:customStyle="1" w:styleId="xl109">
    <w:name w:val="xl109"/>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10">
    <w:name w:val="xl110"/>
    <w:basedOn w:val="Normal"/>
    <w:pPr>
      <w:spacing w:before="100" w:beforeAutospacing="1" w:after="100" w:afterAutospacing="1"/>
      <w:jc w:val="center"/>
    </w:pPr>
    <w:rPr>
      <w:rFonts w:ascii="Times New Roman" w:eastAsia="Times New Roman" w:hAnsi="Times New Roman"/>
      <w:sz w:val="20"/>
      <w:szCs w:val="20"/>
      <w:lang w:eastAsia="pt-BR"/>
    </w:rPr>
  </w:style>
  <w:style w:type="paragraph" w:customStyle="1" w:styleId="xl111">
    <w:name w:val="xl111"/>
    <w:basedOn w:val="Normal"/>
    <w:pPr>
      <w:spacing w:before="100" w:beforeAutospacing="1" w:after="100" w:afterAutospacing="1"/>
      <w:jc w:val="both"/>
      <w:textAlignment w:val="center"/>
    </w:pPr>
    <w:rPr>
      <w:rFonts w:ascii="Times New Roman" w:eastAsia="Times New Roman" w:hAnsi="Times New Roman"/>
      <w:sz w:val="20"/>
      <w:szCs w:val="20"/>
      <w:lang w:eastAsia="pt-BR"/>
    </w:rPr>
  </w:style>
  <w:style w:type="paragraph" w:customStyle="1" w:styleId="xl112">
    <w:name w:val="xl112"/>
    <w:basedOn w:val="Normal"/>
    <w:pPr>
      <w:spacing w:before="100" w:beforeAutospacing="1" w:after="100" w:afterAutospacing="1"/>
    </w:pPr>
    <w:rPr>
      <w:rFonts w:ascii="Times New Roman" w:eastAsia="Times New Roman" w:hAnsi="Times New Roman"/>
      <w:sz w:val="20"/>
      <w:szCs w:val="20"/>
      <w:lang w:eastAsia="pt-BR"/>
    </w:rPr>
  </w:style>
  <w:style w:type="paragraph" w:customStyle="1" w:styleId="xl113">
    <w:name w:val="xl113"/>
    <w:basedOn w:val="Normal"/>
    <w:pPr>
      <w:spacing w:before="100" w:beforeAutospacing="1" w:after="100" w:afterAutospacing="1"/>
    </w:pPr>
    <w:rPr>
      <w:rFonts w:ascii="Times New Roman" w:eastAsia="Times New Roman" w:hAnsi="Times New Roman"/>
      <w:b/>
      <w:bCs/>
      <w:sz w:val="20"/>
      <w:szCs w:val="20"/>
      <w:lang w:eastAsia="pt-BR"/>
    </w:rPr>
  </w:style>
  <w:style w:type="paragraph" w:customStyle="1" w:styleId="xl114">
    <w:name w:val="xl114"/>
    <w:basedOn w:val="Normal"/>
    <w:pPr>
      <w:spacing w:before="100" w:beforeAutospacing="1" w:after="100" w:afterAutospacing="1"/>
      <w:jc w:val="center"/>
    </w:pPr>
    <w:rPr>
      <w:rFonts w:ascii="Times New Roman" w:eastAsia="Times New Roman" w:hAnsi="Times New Roman"/>
      <w:sz w:val="20"/>
      <w:szCs w:val="20"/>
      <w:lang w:eastAsia="pt-BR"/>
    </w:rPr>
  </w:style>
  <w:style w:type="paragraph" w:customStyle="1" w:styleId="xl115">
    <w:name w:val="xl11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b/>
      <w:bCs/>
      <w:sz w:val="20"/>
      <w:szCs w:val="20"/>
      <w:lang w:eastAsia="pt-BR"/>
    </w:rPr>
  </w:style>
  <w:style w:type="paragraph" w:customStyle="1" w:styleId="xl116">
    <w:name w:val="xl116"/>
    <w:basedOn w:val="Normal"/>
    <w:pPr>
      <w:spacing w:before="100" w:beforeAutospacing="1" w:after="100" w:afterAutospacing="1"/>
      <w:jc w:val="center"/>
    </w:pPr>
    <w:rPr>
      <w:rFonts w:ascii="Times New Roman" w:eastAsia="Times New Roman" w:hAnsi="Times New Roman"/>
      <w:b/>
      <w:bCs/>
      <w:sz w:val="20"/>
      <w:szCs w:val="20"/>
      <w:lang w:eastAsia="pt-BR"/>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sz w:val="20"/>
      <w:szCs w:val="20"/>
      <w:u w:val="single"/>
      <w:lang w:eastAsia="pt-BR"/>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u w:val="single"/>
      <w:lang w:eastAsia="pt-BR"/>
    </w:rPr>
  </w:style>
  <w:style w:type="paragraph" w:customStyle="1" w:styleId="xl119">
    <w:name w:val="xl119"/>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20"/>
      <w:szCs w:val="20"/>
      <w:lang w:eastAsia="pt-BR"/>
    </w:rPr>
  </w:style>
  <w:style w:type="paragraph" w:customStyle="1" w:styleId="xl120">
    <w:name w:val="xl120"/>
    <w:basedOn w:val="Normal"/>
    <w:pP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21">
    <w:name w:val="xl121"/>
    <w:basedOn w:val="Normal"/>
    <w:pP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22">
    <w:name w:val="xl122"/>
    <w:basedOn w:val="Normal"/>
    <w:pP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23">
    <w:name w:val="xl123"/>
    <w:basedOn w:val="Normal"/>
    <w:pP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24">
    <w:name w:val="xl1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20"/>
      <w:szCs w:val="20"/>
      <w:lang w:eastAsia="pt-BR"/>
    </w:rPr>
  </w:style>
  <w:style w:type="paragraph" w:customStyle="1" w:styleId="xl125">
    <w:name w:val="xl125"/>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b/>
      <w:bCs/>
      <w:sz w:val="20"/>
      <w:szCs w:val="20"/>
      <w:u w:val="single"/>
      <w:lang w:eastAsia="pt-BR"/>
    </w:rPr>
  </w:style>
  <w:style w:type="paragraph" w:customStyle="1" w:styleId="xl126">
    <w:name w:val="xl126"/>
    <w:basedOn w:val="Normal"/>
    <w:pPr>
      <w:spacing w:before="100" w:beforeAutospacing="1" w:after="100" w:afterAutospacing="1"/>
    </w:pPr>
    <w:rPr>
      <w:rFonts w:ascii="Times New Roman" w:eastAsia="Times New Roman" w:hAnsi="Times New Roman"/>
      <w:color w:val="FF0000"/>
      <w:sz w:val="20"/>
      <w:szCs w:val="20"/>
      <w:lang w:eastAsia="pt-BR"/>
    </w:rPr>
  </w:style>
  <w:style w:type="paragraph" w:customStyle="1" w:styleId="xl127">
    <w:name w:val="xl127"/>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28">
    <w:name w:val="xl1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29">
    <w:name w:val="xl12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20"/>
      <w:szCs w:val="20"/>
      <w:lang w:eastAsia="pt-BR"/>
    </w:rPr>
  </w:style>
  <w:style w:type="paragraph" w:customStyle="1" w:styleId="xl130">
    <w:name w:val="xl130"/>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20"/>
      <w:szCs w:val="20"/>
      <w:u w:val="single"/>
      <w:lang w:eastAsia="pt-BR"/>
    </w:rPr>
  </w:style>
  <w:style w:type="table" w:customStyle="1" w:styleId="Tabelacomgrade1">
    <w:name w:val="Tabela com grade1"/>
    <w:basedOn w:val="Tabelanormal"/>
    <w:next w:val="Tabelacomgrade"/>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3">
    <w:name w:val="Menção Pendente3"/>
    <w:basedOn w:val="Fontepargpadro"/>
    <w:uiPriority w:val="99"/>
    <w:semiHidden/>
    <w:unhideWhenUsed/>
    <w:rPr>
      <w:color w:val="605E5C"/>
      <w:shd w:val="clear" w:color="auto" w:fill="E1DFDD"/>
    </w:rPr>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cs="Tahoma"/>
      <w:i/>
      <w:iCs/>
      <w:color w:val="000000"/>
      <w:sz w:val="20"/>
      <w:szCs w:val="24"/>
    </w:rPr>
  </w:style>
  <w:style w:type="character" w:customStyle="1" w:styleId="CitaoChar">
    <w:name w:val="Citação Char"/>
    <w:basedOn w:val="Fontepargpadro"/>
    <w:link w:val="Citao"/>
    <w:rPr>
      <w:rFonts w:ascii="Arial" w:eastAsia="Calibri" w:hAnsi="Arial" w:cs="Tahoma"/>
      <w:i/>
      <w:iCs/>
      <w:color w:val="000000"/>
      <w:sz w:val="20"/>
      <w:szCs w:val="24"/>
      <w:shd w:val="clear" w:color="auto" w:fill="FFFFCC"/>
    </w:rPr>
  </w:style>
  <w:style w:type="character" w:customStyle="1" w:styleId="MenoPendente4">
    <w:name w:val="Menção Pendente4"/>
    <w:basedOn w:val="Fontepargpadro"/>
    <w:uiPriority w:val="99"/>
    <w:semiHidden/>
    <w:unhideWhenUsed/>
    <w:rPr>
      <w:color w:val="605E5C"/>
      <w:shd w:val="clear" w:color="auto" w:fill="E1DFDD"/>
    </w:rPr>
  </w:style>
  <w:style w:type="paragraph" w:styleId="CabealhodoSumrio">
    <w:name w:val="TOC Heading"/>
    <w:basedOn w:val="Ttulo1"/>
    <w:next w:val="Normal"/>
    <w:uiPriority w:val="39"/>
    <w:unhideWhenUsed/>
    <w:qFormat/>
    <w:pPr>
      <w:keepLines/>
      <w:spacing w:before="240" w:line="259" w:lineRule="auto"/>
      <w:outlineLvl w:val="9"/>
    </w:pPr>
    <w:rPr>
      <w:rFonts w:asciiTheme="majorHAnsi" w:eastAsiaTheme="majorEastAsia" w:hAnsiTheme="majorHAnsi" w:cstheme="majorBidi"/>
      <w:color w:val="365F91" w:themeColor="accent1" w:themeShade="BF"/>
      <w:sz w:val="32"/>
      <w:szCs w:val="32"/>
      <w:lang w:eastAsia="pt-BR"/>
    </w:rPr>
  </w:style>
  <w:style w:type="paragraph" w:styleId="Sumrio1">
    <w:name w:val="toc 1"/>
    <w:basedOn w:val="Normal"/>
    <w:next w:val="Normal"/>
    <w:autoRedefine/>
    <w:uiPriority w:val="39"/>
    <w:unhideWhenUsed/>
    <w:pPr>
      <w:spacing w:after="100"/>
    </w:pPr>
    <w:rPr>
      <w:rFonts w:ascii="Arial" w:hAnsi="Arial"/>
      <w:b/>
    </w:rPr>
  </w:style>
  <w:style w:type="character" w:customStyle="1" w:styleId="MenoPendente5">
    <w:name w:val="Menção Pendente5"/>
    <w:basedOn w:val="Fontepargpadro"/>
    <w:uiPriority w:val="99"/>
    <w:semiHidden/>
    <w:unhideWhenUsed/>
    <w:rPr>
      <w:color w:val="605E5C"/>
      <w:shd w:val="clear" w:color="auto" w:fill="E1DFDD"/>
    </w:rPr>
  </w:style>
  <w:style w:type="character" w:customStyle="1" w:styleId="PargrafodaListaChar">
    <w:name w:val="Parágrafo da Lista Char"/>
    <w:basedOn w:val="Fontepargpadro"/>
    <w:link w:val="PargrafodaLista"/>
    <w:uiPriority w:val="34"/>
    <w:qFormat/>
    <w:rPr>
      <w:rFonts w:ascii="Times New Roman" w:eastAsia="Times New Roman" w:hAnsi="Times New Roman" w:cs="Times New Roman"/>
      <w:sz w:val="20"/>
      <w:szCs w:val="20"/>
      <w:lang w:eastAsia="ar-SA"/>
    </w:rPr>
  </w:style>
  <w:style w:type="paragraph" w:customStyle="1" w:styleId="Nivel2">
    <w:name w:val="Nivel 2"/>
    <w:basedOn w:val="Normal"/>
    <w:link w:val="Nivel2Char"/>
    <w:qFormat/>
    <w:pPr>
      <w:autoSpaceDE w:val="0"/>
      <w:autoSpaceDN w:val="0"/>
      <w:adjustRightInd w:val="0"/>
      <w:spacing w:before="120" w:after="120" w:line="276" w:lineRule="auto"/>
      <w:jc w:val="both"/>
    </w:pPr>
    <w:rPr>
      <w:rFonts w:ascii="Arial" w:eastAsia="Times New Roman" w:hAnsi="Arial" w:cs="Arial"/>
      <w:sz w:val="20"/>
      <w:szCs w:val="20"/>
      <w:lang w:eastAsia="pt-BR"/>
    </w:rPr>
  </w:style>
  <w:style w:type="character" w:customStyle="1" w:styleId="Nivel2Char">
    <w:name w:val="Nivel 2 Char"/>
    <w:basedOn w:val="Fontepargpadro"/>
    <w:link w:val="Nivel2"/>
    <w:locked/>
    <w:rPr>
      <w:rFonts w:ascii="Arial" w:eastAsia="Times New Roman" w:hAnsi="Arial" w:cs="Arial"/>
      <w:sz w:val="20"/>
      <w:szCs w:val="20"/>
      <w:lang w:eastAsia="pt-BR"/>
    </w:rPr>
  </w:style>
  <w:style w:type="paragraph" w:customStyle="1" w:styleId="TableContents">
    <w:name w:val="Table Contents"/>
    <w:basedOn w:val="Standard"/>
    <w:pPr>
      <w:widowControl w:val="0"/>
      <w:suppressLineNumbers/>
    </w:pPr>
    <w:rPr>
      <w:rFonts w:eastAsia="SimSun" w:cs="Mangal"/>
      <w:lang w:eastAsia="zh-CN" w:bidi="hi-IN"/>
    </w:rPr>
  </w:style>
  <w:style w:type="paragraph" w:customStyle="1" w:styleId="Nvel2-Red">
    <w:name w:val="Nível 2 -Red"/>
    <w:basedOn w:val="Normal"/>
    <w:link w:val="Nvel2-RedChar"/>
    <w:qFormat/>
    <w:pPr>
      <w:numPr>
        <w:ilvl w:val="1"/>
        <w:numId w:val="44"/>
      </w:numPr>
      <w:spacing w:before="120" w:after="120" w:line="276" w:lineRule="auto"/>
      <w:ind w:left="0" w:firstLine="0"/>
      <w:jc w:val="both"/>
    </w:pPr>
    <w:rPr>
      <w:rFonts w:ascii="Arial" w:eastAsia="Times New Roman" w:hAnsi="Arial" w:cs="Arial"/>
      <w:i/>
      <w:iCs/>
      <w:color w:val="FF0000"/>
      <w:sz w:val="20"/>
      <w:szCs w:val="20"/>
      <w:lang w:eastAsia="pt-BR"/>
    </w:rPr>
  </w:style>
  <w:style w:type="paragraph" w:customStyle="1" w:styleId="Nvel3-R">
    <w:name w:val="Nível 3-R"/>
    <w:basedOn w:val="Normal"/>
    <w:link w:val="Nvel3-RChar"/>
    <w:qFormat/>
    <w:pPr>
      <w:numPr>
        <w:ilvl w:val="2"/>
        <w:numId w:val="44"/>
      </w:numPr>
      <w:spacing w:before="120" w:after="120" w:line="276" w:lineRule="auto"/>
      <w:ind w:left="425" w:firstLine="0"/>
      <w:jc w:val="both"/>
    </w:pPr>
    <w:rPr>
      <w:rFonts w:ascii="Arial" w:eastAsia="Times New Roman" w:hAnsi="Arial" w:cs="Arial"/>
      <w:i/>
      <w:iCs/>
      <w:color w:val="FF0000"/>
      <w:sz w:val="20"/>
      <w:szCs w:val="20"/>
      <w:lang w:eastAsia="pt-BR"/>
    </w:rPr>
  </w:style>
  <w:style w:type="paragraph" w:customStyle="1" w:styleId="Nivel01">
    <w:name w:val="Nivel 01"/>
    <w:basedOn w:val="Ttulo1"/>
    <w:next w:val="Normal"/>
    <w:link w:val="Nivel01Char"/>
    <w:qFormat/>
    <w:pPr>
      <w:keepNext/>
      <w:keepLines/>
      <w:numPr>
        <w:numId w:val="0"/>
      </w:numPr>
      <w:tabs>
        <w:tab w:val="clear" w:pos="284"/>
        <w:tab w:val="left" w:pos="567"/>
      </w:tabs>
      <w:suppressAutoHyphens w:val="0"/>
      <w:spacing w:before="240"/>
      <w:ind w:left="360" w:hanging="360"/>
      <w:contextualSpacing w:val="0"/>
    </w:pPr>
    <w:rPr>
      <w:sz w:val="20"/>
      <w:szCs w:val="20"/>
      <w:lang w:eastAsia="pt-BR"/>
    </w:rPr>
  </w:style>
  <w:style w:type="character" w:customStyle="1" w:styleId="Nivel01Char">
    <w:name w:val="Nivel 01 Char"/>
    <w:link w:val="Nivel01"/>
    <w:rPr>
      <w:rFonts w:ascii="Arial" w:eastAsia="Times New Roman" w:hAnsi="Arial" w:cs="Arial"/>
      <w:b/>
      <w:bCs/>
      <w:sz w:val="20"/>
      <w:szCs w:val="20"/>
      <w:lang w:eastAsia="pt-BR"/>
    </w:rPr>
  </w:style>
  <w:style w:type="paragraph" w:customStyle="1" w:styleId="Nivel3">
    <w:name w:val="Nivel 3"/>
    <w:basedOn w:val="Normal"/>
    <w:link w:val="Nivel3Char"/>
    <w:qFormat/>
    <w:pPr>
      <w:spacing w:before="120" w:after="120" w:line="276" w:lineRule="auto"/>
      <w:ind w:left="425"/>
      <w:jc w:val="both"/>
    </w:pPr>
    <w:rPr>
      <w:rFonts w:ascii="Arial" w:eastAsia="Times New Roman" w:hAnsi="Arial" w:cs="Arial"/>
      <w:color w:val="000000"/>
      <w:sz w:val="20"/>
      <w:szCs w:val="20"/>
      <w:lang w:eastAsia="pt-BR"/>
    </w:rPr>
  </w:style>
  <w:style w:type="paragraph" w:customStyle="1" w:styleId="Nivel4">
    <w:name w:val="Nivel 4"/>
    <w:basedOn w:val="Nivel3"/>
    <w:link w:val="Nivel4Char"/>
    <w:qFormat/>
    <w:pPr>
      <w:ind w:left="851"/>
    </w:pPr>
    <w:rPr>
      <w:color w:val="auto"/>
    </w:rPr>
  </w:style>
  <w:style w:type="paragraph" w:customStyle="1" w:styleId="Nivel5">
    <w:name w:val="Nivel 5"/>
    <w:basedOn w:val="Nivel4"/>
    <w:qFormat/>
    <w:pPr>
      <w:ind w:left="1276"/>
    </w:pPr>
  </w:style>
  <w:style w:type="character" w:customStyle="1" w:styleId="Nvel2-RedChar">
    <w:name w:val="Nível 2 -Red Char"/>
    <w:link w:val="Nvel2-Red"/>
    <w:rPr>
      <w:rFonts w:ascii="Arial" w:eastAsia="Times New Roman" w:hAnsi="Arial" w:cs="Arial"/>
      <w:i/>
      <w:iCs/>
      <w:color w:val="FF0000"/>
      <w:sz w:val="20"/>
      <w:szCs w:val="20"/>
      <w:lang w:eastAsia="pt-BR"/>
    </w:rPr>
  </w:style>
  <w:style w:type="character" w:customStyle="1" w:styleId="Nivel3Char">
    <w:name w:val="Nivel 3 Char"/>
    <w:link w:val="Nivel3"/>
    <w:rPr>
      <w:rFonts w:ascii="Arial" w:eastAsia="Times New Roman" w:hAnsi="Arial" w:cs="Arial"/>
      <w:color w:val="000000"/>
      <w:sz w:val="20"/>
      <w:szCs w:val="20"/>
      <w:lang w:eastAsia="pt-BR"/>
    </w:rPr>
  </w:style>
  <w:style w:type="character" w:customStyle="1" w:styleId="Nivel4Char">
    <w:name w:val="Nivel 4 Char"/>
    <w:link w:val="Nivel4"/>
    <w:rPr>
      <w:rFonts w:ascii="Arial" w:eastAsia="Times New Roman" w:hAnsi="Arial" w:cs="Arial"/>
      <w:sz w:val="20"/>
      <w:szCs w:val="20"/>
      <w:lang w:eastAsia="pt-BR"/>
    </w:rPr>
  </w:style>
  <w:style w:type="paragraph" w:customStyle="1" w:styleId="ou">
    <w:name w:val="ou"/>
    <w:basedOn w:val="PargrafodaLista"/>
    <w:link w:val="ouChar"/>
    <w:qFormat/>
    <w:pPr>
      <w:suppressAutoHyphens w:val="0"/>
      <w:spacing w:before="60" w:after="60" w:line="259" w:lineRule="auto"/>
      <w:ind w:left="0"/>
      <w:contextualSpacing w:val="0"/>
      <w:jc w:val="center"/>
    </w:pPr>
    <w:rPr>
      <w:rFonts w:ascii="Arial" w:eastAsia="Calibri" w:hAnsi="Arial" w:cs="Arial"/>
      <w:b/>
      <w:bCs/>
      <w:i/>
      <w:iCs/>
      <w:color w:val="FF0000"/>
      <w:sz w:val="24"/>
      <w:szCs w:val="24"/>
      <w:u w:val="single"/>
      <w:lang w:eastAsia="pt-BR"/>
    </w:rPr>
  </w:style>
  <w:style w:type="character" w:customStyle="1" w:styleId="ouChar">
    <w:name w:val="ou Char"/>
    <w:link w:val="ou"/>
    <w:rPr>
      <w:rFonts w:ascii="Arial" w:eastAsia="Calibri" w:hAnsi="Arial" w:cs="Arial"/>
      <w:b/>
      <w:bCs/>
      <w:i/>
      <w:iCs/>
      <w:color w:val="FF0000"/>
      <w:sz w:val="24"/>
      <w:szCs w:val="24"/>
      <w:u w:val="single"/>
      <w:lang w:eastAsia="pt-BR"/>
    </w:rPr>
  </w:style>
  <w:style w:type="character" w:customStyle="1" w:styleId="Nvel3-RChar">
    <w:name w:val="Nível 3-R Char"/>
    <w:link w:val="Nvel3-R"/>
    <w:rPr>
      <w:rFonts w:ascii="Arial" w:eastAsia="Times New Roman" w:hAnsi="Arial" w:cs="Arial"/>
      <w:i/>
      <w:iCs/>
      <w:color w:val="FF0000"/>
      <w:sz w:val="20"/>
      <w:szCs w:val="20"/>
      <w:lang w:eastAsia="pt-BR"/>
    </w:rPr>
  </w:style>
  <w:style w:type="paragraph" w:customStyle="1" w:styleId="Nvel4">
    <w:name w:val="Nível 4"/>
    <w:basedOn w:val="Normal"/>
    <w:qFormat/>
    <w:pPr>
      <w:spacing w:before="120" w:after="120" w:line="276" w:lineRule="auto"/>
      <w:ind w:left="567"/>
      <w:jc w:val="both"/>
    </w:pPr>
    <w:rPr>
      <w:rFonts w:ascii="Arial" w:eastAsia="Times New Roman" w:hAnsi="Arial" w:cs="Arial"/>
      <w:sz w:val="20"/>
      <w:szCs w:val="20"/>
      <w:lang w:eastAsia="pt-BR"/>
    </w:rPr>
  </w:style>
  <w:style w:type="character" w:customStyle="1" w:styleId="MenoPendente6">
    <w:name w:val="Menção Pendente6"/>
    <w:uiPriority w:val="99"/>
    <w:semiHidden/>
    <w:unhideWhenUsed/>
    <w:rPr>
      <w:color w:val="605E5C"/>
      <w:shd w:val="clear" w:color="auto" w:fill="E1DFDD"/>
    </w:rPr>
  </w:style>
  <w:style w:type="paragraph" w:customStyle="1" w:styleId="P">
    <w:name w:val="P"/>
    <w:basedOn w:val="Normal"/>
    <w:pPr>
      <w:widowControl w:val="0"/>
      <w:suppressAutoHyphens/>
      <w:jc w:val="both"/>
    </w:pPr>
    <w:rPr>
      <w:rFonts w:ascii="Times New Roman" w:eastAsia="Arial Unicode MS" w:hAnsi="Times New Roman" w:cs="Tahoma"/>
      <w:b/>
      <w:kern w:val="2"/>
      <w:sz w:val="24"/>
      <w:szCs w:val="24"/>
      <w:lang w:eastAsia="zh-CN" w:bidi="hi-IN"/>
    </w:rPr>
  </w:style>
  <w:style w:type="paragraph" w:customStyle="1" w:styleId="BodyText21">
    <w:name w:val="Body Text 21"/>
    <w:basedOn w:val="Normal"/>
    <w:pPr>
      <w:widowControl w:val="0"/>
      <w:suppressAutoHyphens/>
      <w:jc w:val="both"/>
    </w:pPr>
    <w:rPr>
      <w:rFonts w:ascii="Times New Roman" w:eastAsia="Arial Unicode MS" w:hAnsi="Times New Roman" w:cs="Tahoma"/>
      <w:kern w:val="2"/>
      <w:sz w:val="24"/>
      <w:szCs w:val="24"/>
      <w:lang w:eastAsia="zh-CN" w:bidi="hi-IN"/>
    </w:rPr>
  </w:style>
  <w:style w:type="paragraph" w:customStyle="1" w:styleId="Nvel2">
    <w:name w:val="Nível 2"/>
    <w:basedOn w:val="Normal"/>
    <w:next w:val="Normal"/>
    <w:pPr>
      <w:widowControl w:val="0"/>
      <w:suppressAutoHyphens/>
      <w:spacing w:after="120"/>
      <w:jc w:val="both"/>
    </w:pPr>
    <w:rPr>
      <w:rFonts w:ascii="Arial" w:eastAsia="Arial Unicode MS" w:hAnsi="Arial" w:cs="Arial"/>
      <w:b/>
      <w:kern w:val="2"/>
      <w:sz w:val="24"/>
      <w:szCs w:val="24"/>
      <w:lang w:eastAsia="zh-CN" w:bidi="hi-IN"/>
    </w:rPr>
  </w:style>
  <w:style w:type="character" w:customStyle="1" w:styleId="UnresolvedMention">
    <w:name w:val="Unresolved Mention"/>
    <w:basedOn w:val="Fontepargpadro"/>
    <w:uiPriority w:val="99"/>
    <w:semiHidden/>
    <w:unhideWhenUsed/>
    <w:rPr>
      <w:color w:val="605E5C"/>
      <w:shd w:val="clear" w:color="auto" w:fill="E1DFDD"/>
    </w:rPr>
  </w:style>
  <w:style w:type="paragraph" w:customStyle="1" w:styleId="textoprojetobasico">
    <w:name w:val="texto_projeto_basico"/>
    <w:pPr>
      <w:tabs>
        <w:tab w:val="left" w:pos="1080"/>
      </w:tabs>
      <w:suppressAutoHyphens/>
      <w:spacing w:after="0" w:line="240" w:lineRule="auto"/>
      <w:ind w:firstLine="48"/>
      <w:jc w:val="both"/>
    </w:pPr>
    <w:rPr>
      <w:rFonts w:ascii="Arial" w:eastAsia="Times New Roman" w:hAnsi="Arial" w:cs="Times New Roman"/>
      <w:sz w:val="24"/>
      <w:szCs w:val="24"/>
      <w:lang w:eastAsia="ar-SA"/>
    </w:rPr>
  </w:style>
  <w:style w:type="table" w:customStyle="1" w:styleId="Tabelacomgrade2">
    <w:name w:val="Tabela com grade2"/>
    <w:basedOn w:val="Tabelanormal"/>
    <w:next w:val="Tabelacomgrade"/>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1"/>
    <w:basedOn w:val="TableNormal"/>
    <w:pPr>
      <w:widowControl/>
      <w:spacing w:after="200" w:line="276" w:lineRule="auto"/>
    </w:pPr>
    <w:rPr>
      <w:rFonts w:ascii="Calibri" w:eastAsia="Calibri" w:hAnsi="Calibri" w:cs="Calibri"/>
      <w:lang w:val="pt-BR" w:eastAsia="pt-BR"/>
    </w:rPr>
    <w:tblPr>
      <w:tblStyleRowBandSize w:val="1"/>
      <w:tblStyleColBandSize w:val="1"/>
      <w:tblCellMar>
        <w:top w:w="0" w:type="dxa"/>
        <w:left w:w="115" w:type="dxa"/>
        <w:bottom w:w="0" w:type="dxa"/>
        <w:right w:w="115" w:type="dxa"/>
      </w:tblCellMar>
    </w:tblPr>
  </w:style>
  <w:style w:type="paragraph" w:customStyle="1" w:styleId="paragraph">
    <w:name w:val="paragraph"/>
    <w:basedOn w:val="Normal"/>
    <w:pPr>
      <w:spacing w:before="100" w:beforeAutospacing="1" w:after="100" w:afterAutospacing="1"/>
    </w:pPr>
    <w:rPr>
      <w:rFonts w:ascii="Times New Roman" w:eastAsia="Times New Roman" w:hAnsi="Times New Roman"/>
      <w:sz w:val="24"/>
      <w:szCs w:val="24"/>
      <w:lang w:eastAsia="pt-BR"/>
    </w:rPr>
  </w:style>
  <w:style w:type="character" w:customStyle="1" w:styleId="normaltextrun">
    <w:name w:val="normaltextrun"/>
    <w:basedOn w:val="Fontepargpadro"/>
  </w:style>
  <w:style w:type="character" w:customStyle="1" w:styleId="eop">
    <w:name w:val="eop"/>
    <w:basedOn w:val="Fontepargpadro"/>
  </w:style>
  <w:style w:type="table" w:customStyle="1" w:styleId="TableNormal1">
    <w:name w:val="Table Normal1"/>
    <w:uiPriority w:val="2"/>
    <w:semiHidden/>
    <w:unhideWhenUsed/>
    <w:qFormat/>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isselectedend">
    <w:name w:val="isselectedend"/>
    <w:basedOn w:val="Normal"/>
    <w:pPr>
      <w:spacing w:before="100" w:beforeAutospacing="1" w:after="100" w:afterAutospacing="1"/>
    </w:pPr>
    <w:rPr>
      <w:rFonts w:ascii="Times New Roman" w:eastAsia="Times New Roman" w:hAnsi="Times New Roman"/>
      <w:sz w:val="24"/>
      <w:szCs w:val="24"/>
      <w:lang w:eastAsia="pt-BR"/>
    </w:rPr>
  </w:style>
  <w:style w:type="character" w:customStyle="1" w:styleId="whitespace-normal">
    <w:name w:val="whitespace-normal"/>
    <w:basedOn w:val="Fontepargpadro"/>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83050">
      <w:bodyDiv w:val="1"/>
      <w:marLeft w:val="0"/>
      <w:marRight w:val="0"/>
      <w:marTop w:val="0"/>
      <w:marBottom w:val="0"/>
      <w:divBdr>
        <w:top w:val="none" w:sz="0" w:space="0" w:color="auto"/>
        <w:left w:val="none" w:sz="0" w:space="0" w:color="auto"/>
        <w:bottom w:val="none" w:sz="0" w:space="0" w:color="auto"/>
        <w:right w:val="none" w:sz="0" w:space="0" w:color="auto"/>
      </w:divBdr>
    </w:div>
    <w:div w:id="65690065">
      <w:bodyDiv w:val="1"/>
      <w:marLeft w:val="0"/>
      <w:marRight w:val="0"/>
      <w:marTop w:val="0"/>
      <w:marBottom w:val="0"/>
      <w:divBdr>
        <w:top w:val="none" w:sz="0" w:space="0" w:color="auto"/>
        <w:left w:val="none" w:sz="0" w:space="0" w:color="auto"/>
        <w:bottom w:val="none" w:sz="0" w:space="0" w:color="auto"/>
        <w:right w:val="none" w:sz="0" w:space="0" w:color="auto"/>
      </w:divBdr>
    </w:div>
    <w:div w:id="132796612">
      <w:bodyDiv w:val="1"/>
      <w:marLeft w:val="0"/>
      <w:marRight w:val="0"/>
      <w:marTop w:val="0"/>
      <w:marBottom w:val="0"/>
      <w:divBdr>
        <w:top w:val="none" w:sz="0" w:space="0" w:color="auto"/>
        <w:left w:val="none" w:sz="0" w:space="0" w:color="auto"/>
        <w:bottom w:val="none" w:sz="0" w:space="0" w:color="auto"/>
        <w:right w:val="none" w:sz="0" w:space="0" w:color="auto"/>
      </w:divBdr>
    </w:div>
    <w:div w:id="943266336">
      <w:bodyDiv w:val="1"/>
      <w:marLeft w:val="0"/>
      <w:marRight w:val="0"/>
      <w:marTop w:val="0"/>
      <w:marBottom w:val="0"/>
      <w:divBdr>
        <w:top w:val="none" w:sz="0" w:space="0" w:color="auto"/>
        <w:left w:val="none" w:sz="0" w:space="0" w:color="auto"/>
        <w:bottom w:val="none" w:sz="0" w:space="0" w:color="auto"/>
        <w:right w:val="none" w:sz="0" w:space="0" w:color="auto"/>
      </w:divBdr>
    </w:div>
    <w:div w:id="966276358">
      <w:bodyDiv w:val="1"/>
      <w:marLeft w:val="0"/>
      <w:marRight w:val="0"/>
      <w:marTop w:val="0"/>
      <w:marBottom w:val="0"/>
      <w:divBdr>
        <w:top w:val="none" w:sz="0" w:space="0" w:color="auto"/>
        <w:left w:val="none" w:sz="0" w:space="0" w:color="auto"/>
        <w:bottom w:val="none" w:sz="0" w:space="0" w:color="auto"/>
        <w:right w:val="none" w:sz="0" w:space="0" w:color="auto"/>
      </w:divBdr>
      <w:divsChild>
        <w:div w:id="1531452441">
          <w:marLeft w:val="0"/>
          <w:marRight w:val="0"/>
          <w:marTop w:val="0"/>
          <w:marBottom w:val="0"/>
          <w:divBdr>
            <w:top w:val="none" w:sz="0" w:space="0" w:color="auto"/>
            <w:left w:val="none" w:sz="0" w:space="0" w:color="auto"/>
            <w:bottom w:val="none" w:sz="0" w:space="0" w:color="auto"/>
            <w:right w:val="none" w:sz="0" w:space="0" w:color="auto"/>
          </w:divBdr>
        </w:div>
        <w:div w:id="1938709715">
          <w:marLeft w:val="0"/>
          <w:marRight w:val="0"/>
          <w:marTop w:val="0"/>
          <w:marBottom w:val="0"/>
          <w:divBdr>
            <w:top w:val="none" w:sz="0" w:space="0" w:color="auto"/>
            <w:left w:val="none" w:sz="0" w:space="0" w:color="auto"/>
            <w:bottom w:val="none" w:sz="0" w:space="0" w:color="auto"/>
            <w:right w:val="none" w:sz="0" w:space="0" w:color="auto"/>
          </w:divBdr>
        </w:div>
      </w:divsChild>
    </w:div>
    <w:div w:id="968172163">
      <w:bodyDiv w:val="1"/>
      <w:marLeft w:val="0"/>
      <w:marRight w:val="0"/>
      <w:marTop w:val="0"/>
      <w:marBottom w:val="0"/>
      <w:divBdr>
        <w:top w:val="none" w:sz="0" w:space="0" w:color="auto"/>
        <w:left w:val="none" w:sz="0" w:space="0" w:color="auto"/>
        <w:bottom w:val="none" w:sz="0" w:space="0" w:color="auto"/>
        <w:right w:val="none" w:sz="0" w:space="0" w:color="auto"/>
      </w:divBdr>
    </w:div>
    <w:div w:id="1196457948">
      <w:bodyDiv w:val="1"/>
      <w:marLeft w:val="0"/>
      <w:marRight w:val="0"/>
      <w:marTop w:val="0"/>
      <w:marBottom w:val="0"/>
      <w:divBdr>
        <w:top w:val="none" w:sz="0" w:space="0" w:color="auto"/>
        <w:left w:val="none" w:sz="0" w:space="0" w:color="auto"/>
        <w:bottom w:val="none" w:sz="0" w:space="0" w:color="auto"/>
        <w:right w:val="none" w:sz="0" w:space="0" w:color="auto"/>
      </w:divBdr>
      <w:divsChild>
        <w:div w:id="7466122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9182309">
      <w:bodyDiv w:val="1"/>
      <w:marLeft w:val="0"/>
      <w:marRight w:val="0"/>
      <w:marTop w:val="0"/>
      <w:marBottom w:val="0"/>
      <w:divBdr>
        <w:top w:val="none" w:sz="0" w:space="0" w:color="auto"/>
        <w:left w:val="none" w:sz="0" w:space="0" w:color="auto"/>
        <w:bottom w:val="none" w:sz="0" w:space="0" w:color="auto"/>
        <w:right w:val="none" w:sz="0" w:space="0" w:color="auto"/>
      </w:divBdr>
    </w:div>
    <w:div w:id="1648894881">
      <w:bodyDiv w:val="1"/>
      <w:marLeft w:val="0"/>
      <w:marRight w:val="0"/>
      <w:marTop w:val="0"/>
      <w:marBottom w:val="0"/>
      <w:divBdr>
        <w:top w:val="none" w:sz="0" w:space="0" w:color="auto"/>
        <w:left w:val="none" w:sz="0" w:space="0" w:color="auto"/>
        <w:bottom w:val="none" w:sz="0" w:space="0" w:color="auto"/>
        <w:right w:val="none" w:sz="0" w:space="0" w:color="auto"/>
      </w:divBdr>
    </w:div>
    <w:div w:id="1815247699">
      <w:bodyDiv w:val="1"/>
      <w:marLeft w:val="0"/>
      <w:marRight w:val="0"/>
      <w:marTop w:val="0"/>
      <w:marBottom w:val="0"/>
      <w:divBdr>
        <w:top w:val="none" w:sz="0" w:space="0" w:color="auto"/>
        <w:left w:val="none" w:sz="0" w:space="0" w:color="auto"/>
        <w:bottom w:val="none" w:sz="0" w:space="0" w:color="auto"/>
        <w:right w:val="none" w:sz="0" w:space="0" w:color="auto"/>
      </w:divBdr>
    </w:div>
    <w:div w:id="1827817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mpras.gov.br" TargetMode="External"/><Relationship Id="rId18" Type="http://schemas.openxmlformats.org/officeDocument/2006/relationships/hyperlink" Target="http://www.compras.gov.br" TargetMode="External"/><Relationship Id="rId26" Type="http://schemas.openxmlformats.org/officeDocument/2006/relationships/hyperlink" Target="http://www.compras.gov.br"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compras.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eader" Target="header1.xml"/><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compras.gov.br" TargetMode="External"/><Relationship Id="rId29" Type="http://schemas.openxmlformats.org/officeDocument/2006/relationships/hyperlink" Target="http://www.compras.gov.br" TargetMode="External"/><Relationship Id="rId11" Type="http://schemas.openxmlformats.org/officeDocument/2006/relationships/hyperlink" Target="http://www.compras.gov.br" TargetMode="External"/><Relationship Id="rId24" Type="http://schemas.openxmlformats.org/officeDocument/2006/relationships/hyperlink" Target="http://www.compras.gov.br" TargetMode="External"/><Relationship Id="rId32" Type="http://schemas.openxmlformats.org/officeDocument/2006/relationships/hyperlink" Target="http://www.compras.gov.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3/lei/l12846.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miraima.ce.gov.br/"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2.xml"/><Relationship Id="rId19" Type="http://schemas.openxmlformats.org/officeDocument/2006/relationships/hyperlink" Target="http://www.compras.gov.br" TargetMode="External"/><Relationship Id="rId4" Type="http://schemas.openxmlformats.org/officeDocument/2006/relationships/settings" Target="settings.xml"/><Relationship Id="rId9" Type="http://schemas.openxmlformats.org/officeDocument/2006/relationships/hyperlink" Target="http://www.compras.gov.br" TargetMode="External"/><Relationship Id="rId14" Type="http://schemas.openxmlformats.org/officeDocument/2006/relationships/hyperlink" Target="http://www.compras.gov.br" TargetMode="External"/><Relationship Id="rId22" Type="http://schemas.openxmlformats.org/officeDocument/2006/relationships/hyperlink" Target="http://www.compras.gov.br" TargetMode="External"/><Relationship Id="rId27" Type="http://schemas.openxmlformats.org/officeDocument/2006/relationships/hyperlink" Target="http://www.compras.gov.br" TargetMode="External"/><Relationship Id="rId30" Type="http://schemas.openxmlformats.org/officeDocument/2006/relationships/hyperlink" Target="http://municipios.tce.ce.gov.br/transparencia/"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footer" Target="footer1.xml"/><Relationship Id="rId8" Type="http://schemas.openxmlformats.org/officeDocument/2006/relationships/hyperlink" Target="http://www.compras.gov.br" TargetMode="Externa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licitacoes.tce.ce.gov.br/"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compras.gov.br" TargetMode="External"/><Relationship Id="rId17" Type="http://schemas.openxmlformats.org/officeDocument/2006/relationships/hyperlink" Target="http://www.compras.gov.br" TargetMode="External"/><Relationship Id="rId25" Type="http://schemas.openxmlformats.org/officeDocument/2006/relationships/hyperlink" Target="http://www.compras.gov.br" TargetMode="External"/><Relationship Id="rId33" Type="http://schemas.openxmlformats.org/officeDocument/2006/relationships/hyperlink" Target="http://www.compras.gov.br"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compras.gov.br"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Constituicao/Constituicao.htm"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ompras.gov.br" TargetMode="External"/><Relationship Id="rId23" Type="http://schemas.openxmlformats.org/officeDocument/2006/relationships/hyperlink" Target="http://www.compras.gov.br" TargetMode="External"/><Relationship Id="rId28" Type="http://schemas.openxmlformats.org/officeDocument/2006/relationships/hyperlink" Target="http://www.compras.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compras.gov.br" TargetMode="External"/><Relationship Id="rId31" Type="http://schemas.openxmlformats.org/officeDocument/2006/relationships/hyperlink" Target="http://www.compras.gov.br" TargetMode="External"/><Relationship Id="rId44" Type="http://schemas.openxmlformats.org/officeDocument/2006/relationships/hyperlink" Target="https://www.planalto.gov.br/ccivil_03/leis/l8078compilado.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25art159"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comprasgov.gov.br" TargetMode="External"/><Relationship Id="rId81" Type="http://schemas.openxmlformats.org/officeDocument/2006/relationships/hyperlink" Target="mailto:licitacao@miraima.ce.gov.br"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gabinete@miraima.ce.gov.br" TargetMode="External"/><Relationship Id="rId2" Type="http://schemas.openxmlformats.org/officeDocument/2006/relationships/image" Target="file:///C:\Documents%20and%20Settings\Administrador\Meus%20documentos\Minhas%20imagens\logomarcadeirau&#231;ubaAPROVADO.jpg" TargetMode="External"/><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3" Type="http://schemas.openxmlformats.org/officeDocument/2006/relationships/hyperlink" Target="mailto:gabinete@miraima.ce.gov.br" TargetMode="External"/><Relationship Id="rId2" Type="http://schemas.openxmlformats.org/officeDocument/2006/relationships/image" Target="file:///C:\Documents%20and%20Settings\Administrador\Meus%20documentos\Minhas%20imagens\logomarcadeirau&#231;ubaAPROVADO.jpg"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359F83-5204-4AE3-8171-52BCBEB7A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3426</TotalTime>
  <Pages>75</Pages>
  <Words>32593</Words>
  <Characters>176008</Characters>
  <Application>Microsoft Office Word</Application>
  <DocSecurity>0</DocSecurity>
  <Lines>1466</Lines>
  <Paragraphs>416</Paragraphs>
  <ScaleCrop>false</ScaleCrop>
  <HeadingPairs>
    <vt:vector size="2" baseType="variant">
      <vt:variant>
        <vt:lpstr>Título</vt:lpstr>
      </vt:variant>
      <vt:variant>
        <vt:i4>1</vt:i4>
      </vt:variant>
    </vt:vector>
  </HeadingPairs>
  <TitlesOfParts>
    <vt:vector size="1" baseType="lpstr">
      <vt:lpstr>Minuta Edital</vt:lpstr>
    </vt:vector>
  </TitlesOfParts>
  <Company/>
  <LinksUpToDate>false</LinksUpToDate>
  <CharactersWithSpaces>208185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Edital</dc:title>
  <dc:subject>Modelo</dc:subject>
  <dc:creator>Júnior Rodrigues</dc:creator>
  <cp:lastModifiedBy>ADMIN</cp:lastModifiedBy>
  <cp:revision>102</cp:revision>
  <cp:lastPrinted>2026-07-03T15:06:00Z</cp:lastPrinted>
  <dcterms:created xsi:type="dcterms:W3CDTF">2024-02-10T00:13:00Z</dcterms:created>
  <dcterms:modified xsi:type="dcterms:W3CDTF">2026-07-06T12:07:00Z</dcterms:modified>
</cp:coreProperties>
</file>