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00009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 xml:space="preserve">N° </w:t>
      </w:r>
      <w:bookmarkStart w:id="2" w:name="_Hlk192582280"/>
      <w:r>
        <w:rPr>
          <w:rFonts w:ascii="Cambria" w:hAnsi="Cambria" w:cstheme="minorHAnsi"/>
        </w:rPr>
        <w:t>132/2026- DL</w:t>
      </w:r>
      <w:bookmarkEnd w:id="2"/>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00009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de Saúde, neste ato representado pela Senhora ANTONIA MARIA ALVES PINHEIRO PINTO, Secretária de Saúde, nos termos do art. 75, inciso II combinado com o seu §3º, da Lei Federal nº 14.133, de 01 de abril de 2021 e do Decreto Municipal, torna público que, tem interesse em realizar a contratação direta para </w:t>
      </w:r>
      <w:r>
        <w:rPr>
          <w:rFonts w:ascii="Cambria" w:hAnsi="Cambria"/>
          <w:b/>
        </w:rPr>
        <w:t>CONTRATAÇÃO DE EMPRESA ESPECIALIZADA PARA FORNECIMENTO DE LINK DE ACESSO À INTERNET, INCLUINDO INSTALAÇÃO DE PONTOS, DISPONIBILIZAÇÃO DE EQUIPAMENTOS, CONFIGURAÇÃO, GERENCIAMENTO E MANUTENÇÃO PREVENTIVA E CORRETIVA, DE INTERESSE DA SECRETARIA DE SAÚDE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780" w:type="dxa"/>
        <w:jc w:val="center"/>
        <w:tblLayout w:type="fixed"/>
        <w:tblCellMar>
          <w:left w:w="0" w:type="dxa"/>
          <w:right w:w="0" w:type="dxa"/>
        </w:tblCellMar>
        <w:tblLook w:val="0000" w:firstRow="0" w:lastRow="0" w:firstColumn="0" w:lastColumn="0" w:noHBand="0" w:noVBand="0"/>
      </w:tblPr>
      <w:tblGrid>
        <w:gridCol w:w="2196"/>
        <w:gridCol w:w="7584"/>
      </w:tblGrid>
      <w:tr>
        <w:trPr>
          <w:cantSplit/>
          <w:trHeight w:val="428"/>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b/>
                <w:bCs/>
                <w:sz w:val="24"/>
                <w:szCs w:val="24"/>
                <w:lang w:val="en-US"/>
              </w:rPr>
            </w:pPr>
            <w:r>
              <w:rPr>
                <w:rFonts w:ascii="Cambria" w:hAnsi="Cambria"/>
                <w:b/>
                <w:bCs/>
                <w:sz w:val="24"/>
                <w:szCs w:val="24"/>
                <w:lang w:val="en-US"/>
              </w:rPr>
              <w:t>CONTRATAÇÃO DE EMPRESA ESPECIALIZADA PARA FORNECIMENTO DE LINK DE ACESSO À INTERNET, INCLUINDO INSTALAÇÃO DE PONTOS, DISPONIBILIZAÇÃO DE EQUIPAMENTOS, CONFIGURAÇÃO, GERENCIAMENTO E MANUTENÇÃO PREVENTIVA E CORRETIVA, DE INTERESSE DA SECRETARIA DE SAÚDE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bCs/>
                <w:sz w:val="24"/>
                <w:szCs w:val="24"/>
              </w:rPr>
              <w:t>Secretaria Municipal de Saúde</w:t>
            </w:r>
          </w:p>
        </w:tc>
      </w:tr>
      <w:tr>
        <w:trPr>
          <w:cantSplit/>
          <w:trHeight w:hRule="exact" w:val="701"/>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17/07/2026 às 08:00 Horas (Horário de Brasília)</w:t>
            </w:r>
          </w:p>
          <w:p>
            <w:pPr>
              <w:widowControl/>
              <w:autoSpaceDE/>
              <w:autoSpaceDN/>
              <w:snapToGrid w:val="0"/>
              <w:ind w:left="113"/>
              <w:jc w:val="both"/>
              <w:rPr>
                <w:rFonts w:ascii="Cambria" w:hAnsi="Cambria"/>
                <w:sz w:val="24"/>
                <w:szCs w:val="24"/>
                <w:highlight w:val="yellow"/>
                <w:lang w:val="pt-BR" w:eastAsia="pt-BR"/>
              </w:rPr>
            </w:pPr>
            <w:r>
              <w:rPr>
                <w:rFonts w:ascii="Cambria" w:hAnsi="Cambria"/>
                <w:sz w:val="24"/>
                <w:szCs w:val="24"/>
                <w:lang w:val="pt-BR" w:eastAsia="pt-BR"/>
              </w:rPr>
              <w:t>Término: 22/07/2026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highlight w:val="yellow"/>
                <w:lang w:val="pt-BR" w:eastAsia="pt-BR"/>
              </w:rPr>
            </w:pPr>
            <w:r>
              <w:rPr>
                <w:rFonts w:ascii="Cambria" w:hAnsi="Cambria"/>
                <w:sz w:val="24"/>
                <w:szCs w:val="24"/>
                <w:lang w:val="pt-BR" w:eastAsia="pt-BR"/>
              </w:rPr>
              <w:t>Início: 22/07/2026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00009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 xml:space="preserve">interessados em contratados em contratar com a Administração Pública devem, nos termos </w:t>
      </w:r>
      <w:r>
        <w:rPr>
          <w:rFonts w:ascii="Cambria" w:hAnsi="Cambria" w:cstheme="minorHAnsi"/>
          <w:sz w:val="24"/>
          <w:szCs w:val="24"/>
        </w:rPr>
        <w:lastRenderedPageBreak/>
        <w:t>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R$ 65.492,11 (sessenta e cinco mil quatrocentos e noventa e dois reais e onze centavos),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 xml:space="preserve">proposta mais </w:t>
      </w:r>
      <w:r>
        <w:rPr>
          <w:rFonts w:ascii="Cambria" w:hAnsi="Cambria" w:cstheme="minorHAnsi"/>
        </w:rPr>
        <w:lastRenderedPageBreak/>
        <w:t>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tabs>
          <w:tab w:val="left" w:pos="5808"/>
        </w:tabs>
        <w:jc w:val="both"/>
        <w:rPr>
          <w:rFonts w:ascii="Cambria" w:hAnsi="Cambria" w:cstheme="minorHAnsi"/>
        </w:rPr>
      </w:pPr>
      <w:r>
        <w:rPr>
          <w:rFonts w:ascii="Cambria" w:hAnsi="Cambria" w:cstheme="minorHAnsi"/>
        </w:rPr>
        <w:tab/>
      </w:r>
    </w:p>
    <w:p>
      <w:pPr>
        <w:pStyle w:val="Corpodetexto"/>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presente contratação tem como finalidade atender à necessidade da Secretaria de Saúde do Município de Miraíma/CE quanto à disponibilização de serviços de acesso à internet, incluindo instalação de pontos, disponibilização de equipamentos, configuração, gerenciamento e manutenção preventiva e corretiva, garantindo infraestrutura de conectividade adequada ao desempenho das atividades desenvolvidas pelo órgão.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 xml:space="preserve">O acesso à internet é indispensável para a utilização dos sistemas de gestão da saúde, prontuários eletrônicos, sistemas do Ministério da Saúde, plataformas governamentais, ferramentas de comunicação institucional e demais recursos tecnológicos utilizados na rotina </w:t>
      </w:r>
      <w:r>
        <w:rPr>
          <w:rFonts w:ascii="Cambria" w:hAnsi="Cambria" w:cstheme="minorHAnsi"/>
          <w:sz w:val="24"/>
          <w:szCs w:val="24"/>
        </w:rPr>
        <w:lastRenderedPageBreak/>
        <w:t>da Secretaria, possibilitando maior eficiência na execução dos serviços e no atendimento das demandas administrativas e assistenciais.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contratação contempla, ainda, toda a infraestrutura necessária à prestação dos serviços, incluindo instalação dos pontos de acesso, fornecimento dos equipamentos, configuração da rede, gerenciamento da solução e manutenção preventiva e corretiva, assegurando disponibilidade, estabilidade e segurança da conectividade durante toda a vigência contratual.</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interrupção desses serviços poderá comprometer o funcionamento dos sistemas institucionais, o registro e o acesso às informações, a comunicação entre os setores e unidades de saúde e a execução das atividades da Secretaria, ocasionando prejuízos à continuidade dos serviços prestados à população.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Dessa forma, a contratação mostra-se necessária para garantir infraestrutura tecnológica adequada, assegurando a continuidade das atividades da Secretaria de Saúde, a eficiência da gestão pública e a qualidade dos serviços de saúde prestados à população do Município de Miraíma/CE.</w:t>
      </w:r>
    </w:p>
    <w:p>
      <w:pPr>
        <w:pStyle w:val="PargrafodaLista"/>
        <w:tabs>
          <w:tab w:val="left" w:pos="2001"/>
        </w:tabs>
        <w:spacing w:before="1"/>
        <w:ind w:left="0" w:right="3" w:firstLine="567"/>
        <w:rPr>
          <w:rFonts w:ascii="Cambria" w:hAnsi="Cambria" w:cstheme="minorHAnsi"/>
          <w:sz w:val="24"/>
          <w:szCs w:val="24"/>
        </w:rPr>
      </w:pPr>
    </w:p>
    <w:p>
      <w:pPr>
        <w:pStyle w:val="PargrafodaLista"/>
        <w:numPr>
          <w:ilvl w:val="0"/>
          <w:numId w:val="6"/>
        </w:numPr>
        <w:shd w:val="clear" w:color="auto" w:fill="00009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tabs>
          <w:tab w:val="left" w:pos="2249"/>
        </w:tabs>
        <w:ind w:right="3"/>
        <w:jc w:val="both"/>
        <w:rPr>
          <w:rFonts w:ascii="Cambria" w:hAnsi="Cambria" w:cstheme="minorHAnsi"/>
        </w:rPr>
      </w:pPr>
      <w:r>
        <w:rPr>
          <w:rFonts w:ascii="Cambria" w:hAnsi="Cambria" w:cstheme="minorHAnsi"/>
        </w:rPr>
        <w:t>4.1. 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p>
      <w:pPr>
        <w:pStyle w:val="Corpodetexto"/>
        <w:tabs>
          <w:tab w:val="left" w:pos="2249"/>
        </w:tabs>
        <w:ind w:right="3"/>
        <w:jc w:val="both"/>
        <w:rPr>
          <w:rFonts w:ascii="Cambria" w:hAnsi="Cambria" w:cstheme="minorHAnsi"/>
        </w:rPr>
      </w:pPr>
    </w:p>
    <w:tbl>
      <w:tblPr>
        <w:tblW w:w="10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9"/>
        <w:gridCol w:w="6706"/>
        <w:gridCol w:w="1375"/>
        <w:gridCol w:w="1239"/>
      </w:tblGrid>
      <w:tr>
        <w:trPr>
          <w:trHeight w:val="268"/>
          <w:jc w:val="center"/>
        </w:trPr>
        <w:tc>
          <w:tcPr>
            <w:tcW w:w="851" w:type="dxa"/>
            <w:tcBorders>
              <w:top w:val="single" w:sz="4" w:space="0" w:color="auto"/>
              <w:left w:val="single" w:sz="4" w:space="0" w:color="auto"/>
              <w:bottom w:val="single" w:sz="4" w:space="0" w:color="auto"/>
              <w:right w:val="single" w:sz="4" w:space="0" w:color="auto"/>
            </w:tcBorders>
            <w:shd w:val="clear" w:color="auto" w:fill="000099"/>
            <w:vAlign w:val="center"/>
          </w:tcPr>
          <w:p>
            <w:pPr>
              <w:pStyle w:val="Corpodetexto"/>
              <w:jc w:val="center"/>
              <w:rPr>
                <w:rFonts w:ascii="Cambria" w:hAnsi="Cambria" w:cstheme="minorHAnsi"/>
                <w:b/>
                <w:sz w:val="22"/>
                <w:szCs w:val="22"/>
                <w:lang w:val="en-US"/>
              </w:rPr>
            </w:pPr>
            <w:r>
              <w:rPr>
                <w:rFonts w:ascii="Cambria" w:hAnsi="Cambria" w:cstheme="minorHAnsi"/>
                <w:b/>
                <w:sz w:val="22"/>
                <w:szCs w:val="22"/>
                <w:lang w:val="en-US"/>
              </w:rPr>
              <w:t>ITEM</w:t>
            </w:r>
          </w:p>
        </w:tc>
        <w:tc>
          <w:tcPr>
            <w:tcW w:w="6946"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sz w:val="22"/>
                <w:szCs w:val="22"/>
                <w:lang w:val="en-US"/>
              </w:rPr>
            </w:pPr>
            <w:r>
              <w:rPr>
                <w:rFonts w:ascii="Cambria" w:hAnsi="Cambria" w:cstheme="minorHAnsi"/>
                <w:b/>
                <w:sz w:val="22"/>
                <w:szCs w:val="22"/>
                <w:lang w:val="en-US"/>
              </w:rPr>
              <w:t>Especificação do Objeto</w:t>
            </w:r>
          </w:p>
        </w:tc>
        <w:tc>
          <w:tcPr>
            <w:tcW w:w="1417"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sz w:val="22"/>
                <w:szCs w:val="22"/>
                <w:lang w:val="en-US"/>
              </w:rPr>
            </w:pPr>
            <w:r>
              <w:rPr>
                <w:rFonts w:ascii="Cambria" w:hAnsi="Cambria" w:cstheme="minorHAnsi"/>
                <w:b/>
                <w:sz w:val="22"/>
                <w:szCs w:val="22"/>
                <w:lang w:val="en-US"/>
              </w:rPr>
              <w:t>UNID</w:t>
            </w:r>
          </w:p>
        </w:tc>
        <w:tc>
          <w:tcPr>
            <w:tcW w:w="1276"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sz w:val="22"/>
                <w:szCs w:val="22"/>
                <w:lang w:val="en-US"/>
              </w:rPr>
            </w:pPr>
            <w:r>
              <w:rPr>
                <w:rFonts w:ascii="Cambria" w:hAnsi="Cambria" w:cstheme="minorHAnsi"/>
                <w:b/>
                <w:sz w:val="22"/>
                <w:szCs w:val="22"/>
                <w:lang w:val="en-US"/>
              </w:rPr>
              <w:t>QUANT</w:t>
            </w:r>
          </w:p>
        </w:tc>
      </w:tr>
      <w:tr>
        <w:trPr>
          <w:trHeight w:val="666"/>
          <w:jc w:val="center"/>
        </w:trPr>
        <w:tc>
          <w:tcPr>
            <w:tcW w:w="851"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sz w:val="22"/>
                <w:szCs w:val="22"/>
                <w:lang w:val="pt-BR"/>
              </w:rPr>
            </w:pPr>
            <w:r>
              <w:rPr>
                <w:rFonts w:ascii="Cambria" w:hAnsi="Cambria" w:cstheme="minorHAnsi"/>
                <w:sz w:val="22"/>
                <w:szCs w:val="22"/>
                <w:lang w:val="pt-BR"/>
              </w:rPr>
              <w:t>01</w:t>
            </w:r>
          </w:p>
        </w:tc>
        <w:tc>
          <w:tcPr>
            <w:tcW w:w="6946" w:type="dxa"/>
            <w:tcBorders>
              <w:top w:val="single" w:sz="4" w:space="0" w:color="auto"/>
              <w:left w:val="single" w:sz="4" w:space="0" w:color="auto"/>
              <w:bottom w:val="single" w:sz="4" w:space="0" w:color="auto"/>
              <w:right w:val="single" w:sz="4" w:space="0" w:color="auto"/>
            </w:tcBorders>
            <w:vAlign w:val="center"/>
            <w:hideMark/>
          </w:tcPr>
          <w:p>
            <w:pPr>
              <w:pStyle w:val="Corpodetexto"/>
              <w:jc w:val="both"/>
              <w:rPr>
                <w:rFonts w:ascii="Cambria" w:hAnsi="Cambria" w:cstheme="minorHAnsi"/>
                <w:bCs/>
                <w:sz w:val="22"/>
                <w:szCs w:val="22"/>
                <w:lang w:val="en-US"/>
              </w:rPr>
            </w:pPr>
            <w:r>
              <w:rPr>
                <w:rFonts w:ascii="Cambria" w:hAnsi="Cambria" w:cstheme="minorHAnsi"/>
                <w:bCs/>
                <w:sz w:val="22"/>
                <w:szCs w:val="22"/>
                <w:lang w:val="en-US"/>
              </w:rPr>
              <w:t>FORNECIMENTO DE LINK DE ACESSO A INTERNET, VIA FIBRA ÓPTICA - SMS FORNECIMENTO DE LINKS DE ACESSO À INTERNET, VIA FIBRA ÓPTICA, COM VELOCIDADE TOTAL DE 14400 MBPS, DISPONIBILIDADE CONTÍNUA 24 HORAS POR DIA, 7 DIAS POR SEMANA, INCLUINDO INSTALAÇÃO, CONFIGURAÇÃO, SUPORTE TÉCNICO E MANUTENÇÃO, PELO PERÍODO DE 12 DOZE MESES, A SER PRESTADO NAS UNIDADES E LOCAIS INDICADOS NO TERMO DE REFERÊNCIA, PARA ATENDER ÀS NECESSIDADES DA SECRETARIA MUNICIPAL DE SAÚDE.</w:t>
            </w:r>
          </w:p>
        </w:tc>
        <w:tc>
          <w:tcPr>
            <w:tcW w:w="1417"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sz w:val="22"/>
                <w:szCs w:val="22"/>
                <w:lang w:val="en-US"/>
              </w:rPr>
            </w:pPr>
            <w:r>
              <w:rPr>
                <w:rFonts w:ascii="Cambria" w:hAnsi="Cambria" w:cstheme="minorHAnsi"/>
                <w:sz w:val="22"/>
                <w:szCs w:val="22"/>
                <w:lang w:val="en-US"/>
              </w:rPr>
              <w:t>MEGABYTE</w:t>
            </w:r>
          </w:p>
        </w:tc>
        <w:tc>
          <w:tcPr>
            <w:tcW w:w="1276"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sz w:val="22"/>
                <w:szCs w:val="22"/>
                <w:lang w:val="en-US"/>
              </w:rPr>
            </w:pPr>
            <w:r>
              <w:rPr>
                <w:rFonts w:ascii="Cambria" w:hAnsi="Cambria" w:cstheme="minorHAnsi"/>
                <w:sz w:val="22"/>
                <w:szCs w:val="22"/>
                <w:lang w:val="en-US"/>
              </w:rPr>
              <w:t>14400</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rPr>
        <w:t xml:space="preserve">0401.10.122.0014.2.008 – Recursos </w:t>
      </w:r>
      <w:r>
        <w:rPr>
          <w:rFonts w:ascii="Cambria" w:hAnsi="Cambria"/>
        </w:rPr>
        <w:lastRenderedPageBreak/>
        <w:t xml:space="preserve">Próprios – Secretaria de Saúde. Elemento de Despesa: </w:t>
      </w:r>
      <w:r>
        <w:rPr>
          <w:rFonts w:ascii="Cambria" w:eastAsia="Calibri" w:hAnsi="Cambria"/>
          <w:lang w:eastAsia="zh-CN"/>
        </w:rPr>
        <w:t>3.3.90.39.00 – Outros serv. de terceiro pessoa jurídica. Fonte de Recurso: 1500100200 – Receita de imposto e transf.  – Saúde</w:t>
      </w:r>
      <w:r>
        <w:rPr>
          <w:rFonts w:ascii="Cambria" w:eastAsia="Calibri" w:hAnsi="Cambria"/>
          <w:lang w:eastAsia="zh-CN"/>
        </w:rPr>
        <w:t>.</w:t>
      </w:r>
    </w:p>
    <w:p>
      <w:pPr>
        <w:pStyle w:val="Corpodetexto"/>
        <w:spacing w:before="90"/>
        <w:ind w:right="3"/>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2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000099"/>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lastRenderedPageBreak/>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aquisição do produto com empresa de demais porte.</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w:t>
      </w:r>
      <w:r>
        <w:rPr>
          <w:rFonts w:ascii="Cambria" w:hAnsi="Cambria" w:cstheme="minorHAnsi"/>
        </w:rPr>
        <w:lastRenderedPageBreak/>
        <w:t>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lastRenderedPageBreak/>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3"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lastRenderedPageBreak/>
        <w:t>10.13.10. As microempresas e empresas de pequeno porte deverão apresentar toda a documentação exigida para efeito de comprovação de regularidade fiscal e trabalhista, mesmo que esta apresente alguma restrição;</w:t>
      </w:r>
      <w:bookmarkEnd w:id="3"/>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4"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de fornecimento de link de internet.</w:t>
      </w:r>
    </w:p>
    <w:p>
      <w:pPr>
        <w:ind w:right="-35"/>
        <w:jc w:val="both"/>
        <w:rPr>
          <w:rFonts w:ascii="Cambria" w:hAnsi="Cambria"/>
          <w:b/>
          <w:sz w:val="24"/>
          <w:szCs w:val="24"/>
        </w:rPr>
      </w:pPr>
    </w:p>
    <w:bookmarkEnd w:id="4"/>
    <w:p>
      <w:pPr>
        <w:pStyle w:val="PargrafodaLista"/>
        <w:ind w:left="0"/>
        <w:rPr>
          <w:rFonts w:ascii="Cambria" w:hAnsi="Cambria"/>
          <w:sz w:val="24"/>
          <w:szCs w:val="24"/>
        </w:rPr>
      </w:pPr>
      <w:r>
        <w:rPr>
          <w:rFonts w:ascii="Cambria" w:hAnsi="Cambria" w:cs="Arial"/>
          <w:b/>
          <w:sz w:val="24"/>
          <w:szCs w:val="24"/>
        </w:rPr>
        <w:t>10.16</w:t>
      </w:r>
      <w:r>
        <w:rPr>
          <w:rFonts w:ascii="Cambria" w:hAnsi="Cambria" w:cs="Arial"/>
          <w:bCs/>
          <w:sz w:val="24"/>
          <w:szCs w:val="24"/>
        </w:rPr>
        <w:t>.</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b/>
          <w:bCs/>
          <w:szCs w:val="24"/>
        </w:rPr>
        <w:t>10.16.1.</w:t>
      </w:r>
      <w:r>
        <w:rPr>
          <w:rFonts w:ascii="Cambria" w:hAnsi="Cambria"/>
          <w:szCs w:val="24"/>
        </w:rPr>
        <w:t xml:space="preserve">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agente de contratação.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02 (Duas)</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 xml:space="preserve">A declaração do vencedor acontecerá no momento imediatamente posterior à fase de </w:t>
      </w:r>
      <w:r>
        <w:rPr>
          <w:rFonts w:ascii="Cambria" w:hAnsi="Cambria" w:cs="Arial"/>
          <w:bCs/>
          <w:sz w:val="24"/>
          <w:szCs w:val="24"/>
        </w:rPr>
        <w:lastRenderedPageBreak/>
        <w:t>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16</w:t>
      </w:r>
      <w:r>
        <w:rPr>
          <w:rFonts w:ascii="Cambria" w:hAnsi="Cambria" w:cstheme="minorHAnsi"/>
          <w:spacing w:val="-1"/>
        </w:rPr>
        <w:t xml:space="preserve"> </w:t>
      </w:r>
      <w:r>
        <w:rPr>
          <w:rFonts w:ascii="Cambria" w:hAnsi="Cambria" w:cstheme="minorHAnsi"/>
        </w:rPr>
        <w:t>de julho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000099"/>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tabs>
          <w:tab w:val="left" w:pos="3120"/>
        </w:tabs>
        <w:rPr>
          <w:rFonts w:ascii="Cambria" w:hAnsi="Cambria" w:cstheme="minorHAnsi"/>
          <w:b/>
          <w:bCs/>
          <w:sz w:val="24"/>
          <w:szCs w:val="24"/>
          <w:lang w:val="pt-BR"/>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
          <w:bCs/>
          <w:sz w:val="24"/>
          <w:szCs w:val="24"/>
          <w:lang w:val="en-US"/>
        </w:rPr>
      </w:pPr>
      <w:r>
        <w:rPr>
          <w:rFonts w:ascii="Cambria" w:hAnsi="Cambria"/>
          <w:b/>
          <w:sz w:val="24"/>
          <w:szCs w:val="24"/>
        </w:rPr>
        <w:t xml:space="preserve">1.1. </w:t>
      </w:r>
      <w:r>
        <w:rPr>
          <w:rFonts w:ascii="Cambria" w:hAnsi="Cambria"/>
          <w:b/>
          <w:bCs/>
          <w:sz w:val="24"/>
          <w:szCs w:val="24"/>
          <w:lang w:val="en-US"/>
        </w:rPr>
        <w:t>CONTRATAÇÃO DE EMPRESA ESPECIALIZADA PARA FORNECIMENTO DE LINK DE ACESSO À INTERNET, INCLUINDO INSTALAÇÃO DE PONTOS, DISPONIBILIZAÇÃO DE EQUIPAMENTOS, CONFIGURAÇÃO, GERENCIAMENTO E MANUTENÇÃO PREVENTIVA E CORRETIVA, DE INTERESSE DA SECRETARIA DE SAÚDE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2. JUSTIFICATIVA</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A presente contratação tem como finalidade atender à necessidade da Secretaria de Saúde do Município de Miraíma/CE quanto à disponibilização de serviços de acesso à internet, incluindo instalação de pontos, disponibilização de equipamentos, configuração, gerenciamento e manutenção preventiva e corretiva, garantindo infraestrutura de conectividade adequada ao desempenho das atividades desenvolvidas pelo órgão.</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O acesso à internet é indispensável para a utilização dos sistemas de gestão da saúde, prontuários eletrônicos, sistemas do Ministério da Saúde, plataformas governamentais, ferramentas de comunicação institucional e demais recursos tecnológicos utilizados na rotina da Secretaria, possibilitando maior eficiência na execução dos serviços e no atendimento das demandas administrativas e assistenciais.</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A contratação contempla, ainda, toda a infraestrutura necessária à prestação dos serviços, incluindo instalação dos pontos de acesso, fornecimento dos equipamentos, configuração da rede, gerenciamento da solução e manutenção preventiva e corretiva, assegurando disponibilidade, estabilidade e segurança da conectividade durante toda a vigência contratual.</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A interrupção desses serviços poderá comprometer o funcionamento dos sistemas institucionais, o registro e o acesso às informações, a comunicação entre os setores e unidades de saúde e a execução das atividades da Secretaria, ocasionando prejuízos à continuidade dos serviços prestados à população.</w:t>
      </w:r>
    </w:p>
    <w:p>
      <w:pPr>
        <w:ind w:firstLine="567"/>
        <w:jc w:val="both"/>
        <w:rPr>
          <w:rFonts w:ascii="Cambria" w:eastAsia="Calibri" w:hAnsi="Cambria"/>
          <w:bCs/>
          <w:sz w:val="24"/>
          <w:szCs w:val="24"/>
          <w:lang w:eastAsia="zh-CN"/>
        </w:rPr>
      </w:pPr>
      <w:r>
        <w:rPr>
          <w:rFonts w:ascii="Cambria" w:eastAsia="Calibri" w:hAnsi="Cambria"/>
          <w:bCs/>
          <w:sz w:val="24"/>
          <w:szCs w:val="24"/>
          <w:lang w:eastAsia="zh-CN"/>
        </w:rPr>
        <w:t>Dessa forma, a contratação mostra-se necessária para garantir infraestrutura tecnológica adequada, assegurando a continuidade das atividades da Secretaria de Saúde, a eficiência da gestão pública e a qualidade dos serviços de saúde prestados à população do Município de Miraíma/CE.</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p>
      <w:pPr>
        <w:pBdr>
          <w:top w:val="nil"/>
          <w:left w:val="nil"/>
          <w:bottom w:val="nil"/>
          <w:right w:val="nil"/>
          <w:between w:val="nil"/>
        </w:pBdr>
        <w:shd w:val="clear" w:color="auto" w:fill="F2F2F2"/>
        <w:spacing w:line="276" w:lineRule="auto"/>
        <w:jc w:val="both"/>
        <w:rPr>
          <w:rFonts w:ascii="Cambria" w:hAnsi="Cambria"/>
          <w:b/>
          <w:sz w:val="24"/>
          <w:szCs w:val="24"/>
        </w:rPr>
      </w:pPr>
    </w:p>
    <w:tbl>
      <w:tblPr>
        <w:tblW w:w="4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3446"/>
        <w:gridCol w:w="1235"/>
        <w:gridCol w:w="975"/>
        <w:gridCol w:w="1259"/>
        <w:gridCol w:w="1648"/>
      </w:tblGrid>
      <w:tr>
        <w:trPr>
          <w:trHeight w:val="315"/>
          <w:jc w:val="center"/>
        </w:trPr>
        <w:tc>
          <w:tcPr>
            <w:tcW w:w="406" w:type="pct"/>
            <w:vMerge w:val="restart"/>
            <w:shd w:val="clear" w:color="auto" w:fill="000099"/>
            <w:noWrap/>
            <w:vAlign w:val="center"/>
            <w:hideMark/>
          </w:tcPr>
          <w:p>
            <w:pPr>
              <w:jc w:val="center"/>
              <w:rPr>
                <w:rFonts w:ascii="Cambria" w:hAnsi="Cambria"/>
                <w:b/>
                <w:bCs/>
              </w:rPr>
            </w:pPr>
            <w:r>
              <w:rPr>
                <w:rFonts w:ascii="Cambria" w:hAnsi="Cambria"/>
                <w:b/>
                <w:bCs/>
              </w:rPr>
              <w:t>ITEM</w:t>
            </w:r>
          </w:p>
        </w:tc>
        <w:tc>
          <w:tcPr>
            <w:tcW w:w="1869" w:type="pct"/>
            <w:vMerge w:val="restart"/>
            <w:shd w:val="clear" w:color="auto" w:fill="000099"/>
            <w:vAlign w:val="center"/>
            <w:hideMark/>
          </w:tcPr>
          <w:p>
            <w:pPr>
              <w:jc w:val="center"/>
              <w:rPr>
                <w:rFonts w:ascii="Cambria" w:hAnsi="Cambria"/>
                <w:b/>
                <w:bCs/>
              </w:rPr>
            </w:pPr>
            <w:r>
              <w:rPr>
                <w:rFonts w:ascii="Cambria" w:hAnsi="Cambria"/>
                <w:b/>
                <w:bCs/>
              </w:rPr>
              <w:t>ESPECIFICAÇÃO</w:t>
            </w:r>
          </w:p>
        </w:tc>
        <w:tc>
          <w:tcPr>
            <w:tcW w:w="636" w:type="pct"/>
            <w:vMerge w:val="restart"/>
            <w:shd w:val="clear" w:color="auto" w:fill="000099"/>
            <w:noWrap/>
            <w:vAlign w:val="center"/>
            <w:hideMark/>
          </w:tcPr>
          <w:p>
            <w:pPr>
              <w:jc w:val="center"/>
              <w:rPr>
                <w:rFonts w:ascii="Cambria" w:hAnsi="Cambria"/>
                <w:b/>
                <w:bCs/>
              </w:rPr>
            </w:pPr>
            <w:r>
              <w:rPr>
                <w:rFonts w:ascii="Cambria" w:hAnsi="Cambria"/>
                <w:b/>
                <w:bCs/>
              </w:rPr>
              <w:t>UNIDADE</w:t>
            </w:r>
          </w:p>
        </w:tc>
        <w:tc>
          <w:tcPr>
            <w:tcW w:w="539" w:type="pct"/>
            <w:vMerge w:val="restart"/>
            <w:shd w:val="clear" w:color="auto" w:fill="000099"/>
            <w:noWrap/>
            <w:vAlign w:val="center"/>
            <w:hideMark/>
          </w:tcPr>
          <w:p>
            <w:pPr>
              <w:jc w:val="center"/>
              <w:rPr>
                <w:rFonts w:ascii="Cambria" w:hAnsi="Cambria"/>
                <w:b/>
                <w:bCs/>
              </w:rPr>
            </w:pPr>
            <w:r>
              <w:rPr>
                <w:rFonts w:ascii="Cambria" w:hAnsi="Cambria"/>
                <w:b/>
                <w:bCs/>
              </w:rPr>
              <w:t>QUANT</w:t>
            </w:r>
          </w:p>
        </w:tc>
        <w:tc>
          <w:tcPr>
            <w:tcW w:w="1551" w:type="pct"/>
            <w:gridSpan w:val="2"/>
            <w:shd w:val="clear" w:color="auto" w:fill="000099"/>
            <w:noWrap/>
            <w:vAlign w:val="center"/>
            <w:hideMark/>
          </w:tcPr>
          <w:p>
            <w:pPr>
              <w:jc w:val="center"/>
              <w:rPr>
                <w:rFonts w:ascii="Cambria" w:hAnsi="Cambria"/>
                <w:b/>
                <w:bCs/>
              </w:rPr>
            </w:pPr>
            <w:r>
              <w:rPr>
                <w:rFonts w:ascii="Cambria" w:hAnsi="Cambria"/>
                <w:b/>
                <w:bCs/>
              </w:rPr>
              <w:t>VALORES</w:t>
            </w:r>
          </w:p>
        </w:tc>
      </w:tr>
      <w:tr>
        <w:trPr>
          <w:trHeight w:val="285"/>
          <w:jc w:val="center"/>
        </w:trPr>
        <w:tc>
          <w:tcPr>
            <w:tcW w:w="406" w:type="pct"/>
            <w:vMerge/>
            <w:vAlign w:val="center"/>
            <w:hideMark/>
          </w:tcPr>
          <w:p>
            <w:pPr>
              <w:rPr>
                <w:rFonts w:ascii="Cambria" w:hAnsi="Cambria"/>
                <w:b/>
                <w:bCs/>
              </w:rPr>
            </w:pPr>
          </w:p>
        </w:tc>
        <w:tc>
          <w:tcPr>
            <w:tcW w:w="1869" w:type="pct"/>
            <w:vMerge/>
            <w:vAlign w:val="center"/>
            <w:hideMark/>
          </w:tcPr>
          <w:p>
            <w:pPr>
              <w:rPr>
                <w:rFonts w:ascii="Cambria" w:hAnsi="Cambria"/>
                <w:b/>
                <w:bCs/>
              </w:rPr>
            </w:pPr>
          </w:p>
        </w:tc>
        <w:tc>
          <w:tcPr>
            <w:tcW w:w="636" w:type="pct"/>
            <w:vMerge/>
            <w:vAlign w:val="center"/>
            <w:hideMark/>
          </w:tcPr>
          <w:p>
            <w:pPr>
              <w:rPr>
                <w:rFonts w:ascii="Cambria" w:hAnsi="Cambria"/>
                <w:b/>
                <w:bCs/>
              </w:rPr>
            </w:pPr>
          </w:p>
        </w:tc>
        <w:tc>
          <w:tcPr>
            <w:tcW w:w="539" w:type="pct"/>
            <w:vMerge/>
            <w:vAlign w:val="center"/>
            <w:hideMark/>
          </w:tcPr>
          <w:p>
            <w:pPr>
              <w:rPr>
                <w:rFonts w:ascii="Cambria" w:hAnsi="Cambria"/>
                <w:b/>
                <w:bCs/>
              </w:rPr>
            </w:pPr>
          </w:p>
        </w:tc>
        <w:tc>
          <w:tcPr>
            <w:tcW w:w="649" w:type="pct"/>
            <w:shd w:val="clear" w:color="auto" w:fill="000099"/>
            <w:noWrap/>
            <w:vAlign w:val="center"/>
            <w:hideMark/>
          </w:tcPr>
          <w:p>
            <w:pPr>
              <w:jc w:val="center"/>
              <w:rPr>
                <w:rFonts w:ascii="Cambria" w:hAnsi="Cambria"/>
                <w:b/>
                <w:bCs/>
              </w:rPr>
            </w:pPr>
            <w:r>
              <w:rPr>
                <w:rFonts w:ascii="Cambria" w:hAnsi="Cambria"/>
                <w:b/>
                <w:bCs/>
              </w:rPr>
              <w:t xml:space="preserve"> VAL. UNIT.</w:t>
            </w:r>
          </w:p>
        </w:tc>
        <w:tc>
          <w:tcPr>
            <w:tcW w:w="902" w:type="pct"/>
            <w:shd w:val="clear" w:color="auto" w:fill="000099"/>
            <w:noWrap/>
            <w:vAlign w:val="center"/>
            <w:hideMark/>
          </w:tcPr>
          <w:p>
            <w:pPr>
              <w:jc w:val="center"/>
              <w:rPr>
                <w:rFonts w:ascii="Cambria" w:hAnsi="Cambria"/>
                <w:b/>
                <w:bCs/>
              </w:rPr>
            </w:pPr>
            <w:r>
              <w:rPr>
                <w:rFonts w:ascii="Cambria" w:hAnsi="Cambria"/>
                <w:b/>
                <w:bCs/>
              </w:rPr>
              <w:t xml:space="preserve"> VAL. TOTAL</w:t>
            </w:r>
          </w:p>
        </w:tc>
      </w:tr>
      <w:tr>
        <w:trPr>
          <w:trHeight w:val="121"/>
          <w:jc w:val="center"/>
        </w:trPr>
        <w:tc>
          <w:tcPr>
            <w:tcW w:w="406" w:type="pct"/>
            <w:noWrap/>
            <w:vAlign w:val="center"/>
            <w:hideMark/>
          </w:tcPr>
          <w:p>
            <w:pPr>
              <w:jc w:val="center"/>
              <w:rPr>
                <w:rFonts w:ascii="Cambria" w:hAnsi="Cambria"/>
              </w:rPr>
            </w:pPr>
            <w:r>
              <w:rPr>
                <w:rFonts w:ascii="Cambria" w:hAnsi="Cambria"/>
              </w:rPr>
              <w:t>1</w:t>
            </w:r>
          </w:p>
        </w:tc>
        <w:tc>
          <w:tcPr>
            <w:tcW w:w="1869" w:type="pct"/>
            <w:vAlign w:val="center"/>
          </w:tcPr>
          <w:p>
            <w:pPr>
              <w:jc w:val="both"/>
              <w:rPr>
                <w:rFonts w:ascii="Cambria" w:eastAsia="Calibri" w:hAnsi="Cambria"/>
                <w:bCs/>
                <w:lang w:eastAsia="zh-CN"/>
              </w:rPr>
            </w:pPr>
            <w:r>
              <w:rPr>
                <w:rFonts w:ascii="Cambria" w:eastAsia="Calibri" w:hAnsi="Cambria"/>
                <w:bCs/>
                <w:lang w:eastAsia="zh-CN"/>
              </w:rPr>
              <w:t xml:space="preserve">FORNECIMENTO DE LINK DE ACESSO A INTERNET, VIA FIBRA ÓPTICA - SMS FORNECIMENTO DE LINKS DE ACESSO À INTERNET, VIA FIBRA ÓPTICA, COM VELOCIDADE TOTAL DE 14400 </w:t>
            </w:r>
            <w:r>
              <w:rPr>
                <w:rFonts w:ascii="Cambria" w:eastAsia="Calibri" w:hAnsi="Cambria"/>
                <w:bCs/>
                <w:lang w:eastAsia="zh-CN"/>
              </w:rPr>
              <w:lastRenderedPageBreak/>
              <w:t>MBPS, DISPONIBILIDADE CONTÍNUA 24 HORAS POR DIA, 7 DIAS POR SEMANA, INCLUINDO INSTALAÇÃO, CONFIGURAÇÃO, SUPORTE TÉCNICO E MANUTENÇÃO, PELO PERÍODO DE 12 DOZE MESES, A SER PRESTADO NAS UNIDADES E LOCAIS INDICADOS NO TERMO DE REFERÊNCIA, PARA ATENDER ÀS NECESSIDADES DA SECRETARIA MUNICIPAL DE SAÚDE</w:t>
            </w:r>
          </w:p>
        </w:tc>
        <w:tc>
          <w:tcPr>
            <w:tcW w:w="636" w:type="pct"/>
            <w:noWrap/>
            <w:vAlign w:val="center"/>
            <w:hideMark/>
          </w:tcPr>
          <w:p>
            <w:pPr>
              <w:jc w:val="center"/>
              <w:rPr>
                <w:rFonts w:ascii="Cambria" w:hAnsi="Cambria"/>
              </w:rPr>
            </w:pPr>
            <w:r>
              <w:rPr>
                <w:rFonts w:ascii="Cambria" w:hAnsi="Cambria"/>
              </w:rPr>
              <w:lastRenderedPageBreak/>
              <w:t xml:space="preserve">MEGABYTE </w:t>
            </w:r>
          </w:p>
        </w:tc>
        <w:tc>
          <w:tcPr>
            <w:tcW w:w="539" w:type="pct"/>
            <w:noWrap/>
            <w:vAlign w:val="center"/>
            <w:hideMark/>
          </w:tcPr>
          <w:p>
            <w:pPr>
              <w:jc w:val="center"/>
              <w:rPr>
                <w:rFonts w:ascii="Cambria" w:hAnsi="Cambria"/>
              </w:rPr>
            </w:pPr>
            <w:r>
              <w:rPr>
                <w:rFonts w:ascii="Cambria" w:hAnsi="Cambria"/>
              </w:rPr>
              <w:t>14400</w:t>
            </w:r>
          </w:p>
        </w:tc>
        <w:tc>
          <w:tcPr>
            <w:tcW w:w="649" w:type="pct"/>
            <w:noWrap/>
            <w:vAlign w:val="center"/>
          </w:tcPr>
          <w:p>
            <w:pPr>
              <w:jc w:val="center"/>
              <w:rPr>
                <w:rFonts w:ascii="Cambria" w:hAnsi="Cambria"/>
                <w:highlight w:val="yellow"/>
              </w:rPr>
            </w:pPr>
            <w:r>
              <w:rPr>
                <w:rFonts w:ascii="Cambria" w:hAnsi="Cambria"/>
              </w:rPr>
              <w:t>R$ 3,77</w:t>
            </w:r>
          </w:p>
        </w:tc>
        <w:tc>
          <w:tcPr>
            <w:tcW w:w="902" w:type="pct"/>
            <w:noWrap/>
            <w:vAlign w:val="center"/>
          </w:tcPr>
          <w:p>
            <w:pPr>
              <w:jc w:val="center"/>
              <w:rPr>
                <w:rFonts w:ascii="Cambria" w:hAnsi="Cambria"/>
                <w:highlight w:val="yellow"/>
              </w:rPr>
            </w:pPr>
            <w:r>
              <w:rPr>
                <w:rFonts w:ascii="Cambria" w:hAnsi="Cambria"/>
              </w:rPr>
              <w:t>R$ 54.288,00</w:t>
            </w:r>
          </w:p>
        </w:tc>
      </w:tr>
      <w:tr>
        <w:trPr>
          <w:trHeight w:val="225"/>
          <w:jc w:val="center"/>
        </w:trPr>
        <w:tc>
          <w:tcPr>
            <w:tcW w:w="5000" w:type="pct"/>
            <w:gridSpan w:val="6"/>
            <w:shd w:val="clear" w:color="auto" w:fill="000099"/>
            <w:noWrap/>
            <w:vAlign w:val="center"/>
            <w:hideMark/>
          </w:tcPr>
          <w:p>
            <w:pPr>
              <w:jc w:val="center"/>
              <w:rPr>
                <w:rFonts w:ascii="Cambria" w:hAnsi="Cambria"/>
                <w:b/>
                <w:bCs/>
              </w:rPr>
            </w:pPr>
            <w:r>
              <w:rPr>
                <w:rFonts w:ascii="Cambria" w:hAnsi="Cambria"/>
                <w:b/>
                <w:bCs/>
              </w:rPr>
              <w:lastRenderedPageBreak/>
              <w:t>VALOR GLOBAL: R$ 54.288,00 (cinquenta e quatro mil duzentos e oitenta e oito reais).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lastRenderedPageBreak/>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4.4.1.1.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similares</w:t>
      </w:r>
      <w:r>
        <w:rPr>
          <w:rFonts w:ascii="Cambria" w:hAnsi="Cambria"/>
          <w:bCs/>
          <w:sz w:val="24"/>
          <w:szCs w:val="24"/>
        </w:rPr>
        <w:t>.</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lastRenderedPageBreak/>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w:t>
      </w:r>
      <w:r>
        <w:rPr>
          <w:rFonts w:ascii="Cambria" w:hAnsi="Cambria"/>
          <w:sz w:val="24"/>
          <w:szCs w:val="24"/>
        </w:rPr>
        <w:lastRenderedPageBreak/>
        <w:t>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e</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As partes se obrigam reciprocamente a cumprir integralmente as disposições do instrumento convocatório, da Lei Federal nº. 14.133 de 01 de abril de 2021, alterada e consolidada e do </w:t>
      </w:r>
      <w:r>
        <w:rPr>
          <w:rFonts w:ascii="Cambria" w:hAnsi="Cambria"/>
          <w:bCs/>
          <w:sz w:val="24"/>
          <w:szCs w:val="24"/>
        </w:rPr>
        <w:t>Decreto Municipal n.º 053/2023 de 27 de dezembro de 2023</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w:t>
      </w:r>
      <w:r>
        <w:rPr>
          <w:rFonts w:ascii="Cambria" w:hAnsi="Cambria"/>
          <w:sz w:val="24"/>
          <w:szCs w:val="24"/>
        </w:rPr>
        <w:t xml:space="preserve"> O CONTRATADO obriga-se 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 </w:t>
      </w:r>
      <w:r>
        <w:rPr>
          <w:rFonts w:ascii="Cambria" w:hAnsi="Cambria"/>
          <w:sz w:val="24"/>
          <w:szCs w:val="24"/>
        </w:rPr>
        <w:t xml:space="preserve">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w:t>
      </w:r>
      <w:r>
        <w:rPr>
          <w:rFonts w:ascii="Cambria" w:hAnsi="Cambria"/>
          <w:sz w:val="24"/>
          <w:szCs w:val="24"/>
        </w:rPr>
        <w:lastRenderedPageBreak/>
        <w:t>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c)</w:t>
      </w:r>
      <w:r>
        <w:rPr>
          <w:rFonts w:ascii="Cambria" w:hAnsi="Cambria"/>
          <w:sz w:val="24"/>
          <w:szCs w:val="24"/>
        </w:rPr>
        <w:t xml:space="preserve"> aceitar, nas mesmas condições contratuais, os acréscimos ou supressões que se fizerem no 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10.2.2.</w:t>
      </w:r>
      <w:r>
        <w:rPr>
          <w:rFonts w:ascii="Cambria" w:hAnsi="Cambria"/>
          <w:sz w:val="24"/>
          <w:szCs w:val="24"/>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CONTRATADO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12.2.</w:t>
      </w:r>
      <w:r>
        <w:rPr>
          <w:rFonts w:ascii="Cambria" w:hAnsi="Cambria"/>
          <w:sz w:val="24"/>
          <w:szCs w:val="24"/>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eastAsia="Calibri" w:hAnsi="Cambria"/>
          <w:sz w:val="24"/>
          <w:szCs w:val="24"/>
          <w:lang w:eastAsia="zh-CN"/>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rPr>
        <w:t xml:space="preserve">0401.10.122.0014.2.008 – Recursos Próprios – Secretaria de Saúde. Elemento de Despesa: </w:t>
      </w:r>
      <w:r>
        <w:rPr>
          <w:rFonts w:ascii="Cambria" w:eastAsia="Calibri" w:hAnsi="Cambria"/>
          <w:sz w:val="24"/>
          <w:szCs w:val="24"/>
          <w:lang w:eastAsia="zh-CN"/>
        </w:rPr>
        <w:t>3.3.90.39.00 – Outros serv. de terceiro pessoa jurídica. Fonte de Recurso: 1500100200 – Receita de imposto e transf.  – Saúde</w:t>
      </w:r>
      <w:r>
        <w:rPr>
          <w:rFonts w:ascii="Cambria" w:eastAsia="Calibri" w:hAnsi="Cambria"/>
          <w:sz w:val="24"/>
          <w:szCs w:val="24"/>
          <w:lang w:eastAsia="zh-CN"/>
        </w:rPr>
        <w:t>.</w:t>
      </w:r>
    </w:p>
    <w:p>
      <w:pPr>
        <w:pBdr>
          <w:top w:val="nil"/>
          <w:left w:val="nil"/>
          <w:bottom w:val="nil"/>
          <w:right w:val="nil"/>
          <w:between w:val="nil"/>
        </w:pBdr>
        <w:jc w:val="both"/>
        <w:rPr>
          <w:rFonts w:ascii="Cambria" w:hAnsi="Cambria"/>
          <w:b/>
          <w:sz w:val="24"/>
          <w:szCs w:val="24"/>
          <w:u w:val="single"/>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lastRenderedPageBreak/>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Multa de 30% (trinta por cento) sobre o valor do contrato;</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02 (dois)anos;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lastRenderedPageBreak/>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17. DA ALOCAÇÃO DE RISCOS:</w:t>
      </w:r>
    </w:p>
    <w:p>
      <w:pPr>
        <w:shd w:val="clear" w:color="auto" w:fill="FFFFFF"/>
        <w:spacing w:line="276" w:lineRule="auto"/>
        <w:jc w:val="both"/>
        <w:rPr>
          <w:rFonts w:ascii="Cambria" w:hAnsi="Cambria"/>
          <w:sz w:val="24"/>
          <w:szCs w:val="24"/>
        </w:rPr>
      </w:pPr>
      <w:r>
        <w:rPr>
          <w:rFonts w:ascii="Cambria" w:hAnsi="Cambria"/>
          <w:b/>
          <w:bCs/>
          <w:sz w:val="24"/>
          <w:szCs w:val="24"/>
        </w:rPr>
        <w:t xml:space="preserve">17.1. </w:t>
      </w:r>
      <w:r>
        <w:rPr>
          <w:rFonts w:ascii="Cambria" w:hAnsi="Cambria"/>
          <w:sz w:val="24"/>
          <w:szCs w:val="24"/>
        </w:rPr>
        <w:t xml:space="preserve">Considerando a faculdade posta no inciso do art. 22 da </w:t>
      </w:r>
      <w:r>
        <w:rPr>
          <w:rFonts w:ascii="Cambria" w:hAnsi="Cambria"/>
          <w:bCs/>
          <w:sz w:val="24"/>
          <w:szCs w:val="24"/>
        </w:rPr>
        <w:t>Lei Federal n.º 14.133/2021 – Nova Lei de Licitações</w:t>
      </w:r>
      <w:r>
        <w:rPr>
          <w:rFonts w:ascii="Cambria" w:hAnsi="Cambria"/>
          <w:sz w:val="24"/>
          <w:szCs w:val="24"/>
        </w:rPr>
        <w:t xml:space="preserve">, fica dispensada a apresentação da alocação dos riscos, haja vista a baixa complexidade do objeto. </w:t>
      </w:r>
    </w:p>
    <w:p>
      <w:pPr>
        <w:tabs>
          <w:tab w:val="left" w:pos="3120"/>
        </w:tabs>
        <w:rPr>
          <w:rFonts w:ascii="Cambria" w:hAnsi="Cambria" w:cstheme="minorHAnsi"/>
          <w:b/>
          <w:bCs/>
          <w:sz w:val="24"/>
          <w:szCs w:val="24"/>
          <w:lang w:val="pt-BR"/>
        </w:rPr>
      </w:pPr>
    </w:p>
    <w:p>
      <w:pPr>
        <w:tabs>
          <w:tab w:val="left" w:pos="3120"/>
        </w:tabs>
        <w:rPr>
          <w:rFonts w:ascii="Cambria" w:hAnsi="Cambria" w:cstheme="minorHAnsi"/>
          <w:sz w:val="24"/>
          <w:szCs w:val="24"/>
        </w:rPr>
        <w:sectPr>
          <w:headerReference w:type="default" r:id="rId10"/>
          <w:footerReference w:type="default" r:id="rId11"/>
          <w:pgSz w:w="11910" w:h="16840"/>
          <w:pgMar w:top="1843" w:right="1137" w:bottom="1418" w:left="1134" w:header="534" w:footer="454" w:gutter="0"/>
          <w:cols w:space="720"/>
          <w:docGrid w:linePitch="299"/>
        </w:sectPr>
      </w:pPr>
      <w:r>
        <w:rPr>
          <w:rFonts w:ascii="Cambria" w:hAnsi="Cambria" w:cstheme="minorHAnsi"/>
          <w:sz w:val="24"/>
          <w:szCs w:val="24"/>
        </w:rPr>
        <w:tab/>
      </w:r>
    </w:p>
    <w:p>
      <w:pPr>
        <w:spacing w:line="275" w:lineRule="exact"/>
        <w:jc w:val="center"/>
        <w:rPr>
          <w:rFonts w:ascii="Cambria" w:hAnsi="Cambria" w:cstheme="minorHAnsi"/>
          <w:b/>
          <w:bCs/>
          <w:sz w:val="24"/>
          <w:szCs w:val="24"/>
        </w:rPr>
      </w:pPr>
    </w:p>
    <w:p>
      <w:pPr>
        <w:shd w:val="clear" w:color="auto" w:fill="000099"/>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000099"/>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000099"/>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orpodetexto"/>
        <w:shd w:val="clear" w:color="auto" w:fill="000099"/>
        <w:tabs>
          <w:tab w:val="left" w:pos="7371"/>
        </w:tabs>
        <w:spacing w:before="90"/>
        <w:ind w:right="3"/>
        <w:jc w:val="center"/>
        <w:rPr>
          <w:rFonts w:ascii="Cambria" w:hAnsi="Cambria" w:cstheme="minorHAnsi"/>
          <w:b/>
        </w:rPr>
      </w:pPr>
      <w:r>
        <w:rPr>
          <w:rFonts w:ascii="Cambria" w:hAnsi="Cambria" w:cstheme="minorHAnsi"/>
          <w:b/>
        </w:rPr>
        <w:lastRenderedPageBreak/>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w:t>
      </w:r>
      <w:bookmarkStart w:id="5" w:name="_GoBack"/>
      <w:bookmarkEnd w:id="5"/>
      <w:r>
        <w:rPr>
          <w:rFonts w:ascii="Cambria" w:hAnsi="Cambria"/>
          <w:spacing w:val="-4"/>
          <w:sz w:val="24"/>
          <w:szCs w:val="24"/>
        </w:rPr>
        <w:t xml:space="preserve">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A CONTRATANTE efetuará o pagamento após prestação dos serviços, conforme 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lastRenderedPageBreak/>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lang w:val="pt-BR"/>
        </w:rPr>
      </w:pPr>
      <w:r>
        <w:rPr>
          <w:rFonts w:ascii="Cambria" w:hAnsi="Cambria"/>
          <w:sz w:val="24"/>
          <w:szCs w:val="24"/>
          <w:lang w:val="pt-BR"/>
        </w:rPr>
        <w:t>6.2.2. A execução dos serviços ocorrerá de forma contínua, compreendendo a instalação, configuração, ativação, disponibilização, gerenciamento e manutenção preventiva e corretiva dos links de acesso à internet, conforme as necessidades da Contratante, iniciando-se mediante Ordem de Serviço emitida pela Secretaria, na qual constarão as informações necessárias à execução dos serviços.</w:t>
      </w:r>
    </w:p>
    <w:p>
      <w:pPr>
        <w:jc w:val="both"/>
        <w:rPr>
          <w:rFonts w:ascii="Cambria" w:hAnsi="Cambria"/>
          <w:sz w:val="24"/>
          <w:szCs w:val="24"/>
          <w:lang w:val="pt-BR"/>
        </w:rPr>
      </w:pPr>
      <w:r>
        <w:rPr>
          <w:rFonts w:ascii="Cambria" w:hAnsi="Cambria"/>
          <w:sz w:val="24"/>
          <w:szCs w:val="24"/>
          <w:lang w:val="pt-BR"/>
        </w:rPr>
        <w:t>A instalação dos pontos deverá observar os prazos estabelecidos neste Termo de Referência, bem como as especificações técnicas nele contidas, nos seus anexos e na proposta apresentada pela Contratada, considerando a conveniência e oportunidade administrativa, a necessidade e a disponibilidade financeira da Contratante.</w:t>
      </w:r>
    </w:p>
    <w:p>
      <w:pPr>
        <w:jc w:val="both"/>
        <w:rPr>
          <w:rFonts w:ascii="Cambria" w:hAnsi="Cambria"/>
          <w:sz w:val="24"/>
          <w:szCs w:val="24"/>
          <w:lang w:val="pt-BR"/>
        </w:rPr>
      </w:pPr>
      <w:r>
        <w:rPr>
          <w:rFonts w:ascii="Cambria" w:hAnsi="Cambria"/>
          <w:sz w:val="24"/>
          <w:szCs w:val="24"/>
          <w:lang w:val="pt-BR"/>
        </w:rPr>
        <w:t>A Contratada assumirá integral responsabilidade pelo pagamento de todos os impostos, taxas e quaisquer ônus de origem federal, estadual e municipal, bem como pelos encargos trabalhistas, previdenciários, fiscais e comerciais decorrentes da execução do contrato, inclusive aqueles relativos a terceiros, obrigando-se ainda a cumprir todas as demais obrigações previstas neste Termo de Referência e na legislação aplicável.</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w:t>
      </w:r>
      <w:r>
        <w:rPr>
          <w:rFonts w:ascii="Cambria" w:hAnsi="Cambria"/>
          <w:sz w:val="24"/>
          <w:szCs w:val="24"/>
        </w:rPr>
        <w:lastRenderedPageBreak/>
        <w:t>reclamações se obriga a atender prontamente, bem como dar ciência ao mesmo, 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w:t>
      </w:r>
      <w:r>
        <w:rPr>
          <w:rFonts w:ascii="Cambria" w:hAnsi="Cambria"/>
          <w:sz w:val="24"/>
          <w:szCs w:val="24"/>
        </w:rPr>
        <w:lastRenderedPageBreak/>
        <w:t>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lastRenderedPageBreak/>
        <w:t>8.7. Nenhuma sanção será aplicada sem o devido processo administrativo, que prevêdefesa prévia do interessado e recurso nos prazos definidos em lei, sendo-lhe franqueada vista ao 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lastRenderedPageBreak/>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r>
        <w:tc>
          <w:tcPr>
            <w:tcW w:w="4924" w:type="dxa"/>
            <w:vAlign w:val="center"/>
          </w:tcPr>
          <w:p>
            <w:pPr>
              <w:rPr>
                <w:rFonts w:ascii="Cambria" w:hAnsi="Cambria"/>
                <w:b/>
                <w:sz w:val="24"/>
                <w:szCs w:val="24"/>
              </w:rPr>
            </w:pPr>
          </w:p>
        </w:tc>
        <w:tc>
          <w:tcPr>
            <w:tcW w:w="4931" w:type="dxa"/>
            <w:vAlign w:val="center"/>
          </w:tcPr>
          <w:p>
            <w:pPr>
              <w:jc w:val="center"/>
              <w:rPr>
                <w:rFonts w:ascii="Cambria" w:hAnsi="Cambria"/>
                <w:b/>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lastRenderedPageBreak/>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2608"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264311119"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568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282259425"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875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10141638"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rPr>
        <w:b/>
        <w:noProof/>
        <w:color w:val="333399"/>
        <w:sz w:val="26"/>
        <w:szCs w:val="26"/>
      </w:rPr>
    </w:pPr>
    <w:r>
      <w:rPr>
        <w:noProof/>
        <w:lang w:val="pt-BR" w:eastAsia="pt-BR"/>
      </w:rPr>
      <w:drawing>
        <wp:anchor distT="0" distB="0" distL="114300" distR="114300" simplePos="0" relativeHeight="251661824" behindDoc="0" locked="0" layoutInCell="1" allowOverlap="1">
          <wp:simplePos x="0" y="0"/>
          <wp:positionH relativeFrom="margin">
            <wp:posOffset>1885950</wp:posOffset>
          </wp:positionH>
          <wp:positionV relativeFrom="paragraph">
            <wp:posOffset>-339090</wp:posOffset>
          </wp:positionV>
          <wp:extent cx="2118360" cy="1854200"/>
          <wp:effectExtent l="0" t="0" r="0" b="0"/>
          <wp:wrapThrough wrapText="bothSides">
            <wp:wrapPolygon edited="0">
              <wp:start x="10295" y="2885"/>
              <wp:lineTo x="6993" y="4660"/>
              <wp:lineTo x="5439" y="5770"/>
              <wp:lineTo x="5245" y="10430"/>
              <wp:lineTo x="2137" y="13537"/>
              <wp:lineTo x="1942" y="17310"/>
              <wp:lineTo x="19424" y="17310"/>
              <wp:lineTo x="18259" y="13981"/>
              <wp:lineTo x="15540" y="10430"/>
              <wp:lineTo x="15928" y="5548"/>
              <wp:lineTo x="14763" y="4438"/>
              <wp:lineTo x="11266" y="2885"/>
              <wp:lineTo x="10295" y="2885"/>
            </wp:wrapPolygon>
          </wp:wrapThrough>
          <wp:docPr id="11983815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66354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8360" cy="1854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5416550</wp:posOffset>
          </wp:positionH>
          <wp:positionV relativeFrom="paragraph">
            <wp:posOffset>-40640</wp:posOffset>
          </wp:positionV>
          <wp:extent cx="950595" cy="1021080"/>
          <wp:effectExtent l="0" t="0" r="0" b="0"/>
          <wp:wrapTight wrapText="bothSides">
            <wp:wrapPolygon edited="0">
              <wp:start x="6926" y="0"/>
              <wp:lineTo x="4329" y="1209"/>
              <wp:lineTo x="0" y="5239"/>
              <wp:lineTo x="0" y="14104"/>
              <wp:lineTo x="3463" y="19343"/>
              <wp:lineTo x="7359" y="21358"/>
              <wp:lineTo x="13852" y="21358"/>
              <wp:lineTo x="16882" y="19343"/>
              <wp:lineTo x="21210" y="15313"/>
              <wp:lineTo x="21210" y="5239"/>
              <wp:lineTo x="17315" y="1612"/>
              <wp:lineTo x="14717" y="0"/>
              <wp:lineTo x="6926" y="0"/>
            </wp:wrapPolygon>
          </wp:wrapTight>
          <wp:docPr id="19634954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788589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pPr>
  </w:p>
  <w:p>
    <w:pPr>
      <w:pStyle w:val="Cabealho"/>
    </w:pPr>
  </w:p>
  <w:p>
    <w:pPr>
      <w:pStyle w:val="Cabealho"/>
    </w:pPr>
  </w:p>
  <w:p>
    <w:pPr>
      <w:pStyle w:val="Cabealho"/>
    </w:pPr>
  </w:p>
  <w:p>
    <w:pPr>
      <w:tabs>
        <w:tab w:val="center" w:pos="4252"/>
        <w:tab w:val="right" w:pos="8504"/>
      </w:tabs>
      <w:rPr>
        <w:lang w:val="en-US"/>
      </w:rPr>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1225</TotalTime>
  <Pages>26</Pages>
  <Words>10347</Words>
  <Characters>55874</Characters>
  <Application>Microsoft Office Word</Application>
  <DocSecurity>0</DocSecurity>
  <Lines>465</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839</cp:revision>
  <cp:lastPrinted>2024-04-22T17:26:00Z</cp:lastPrinted>
  <dcterms:created xsi:type="dcterms:W3CDTF">2024-01-28T19:24:00Z</dcterms:created>
  <dcterms:modified xsi:type="dcterms:W3CDTF">2026-07-16T12:56:00Z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