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00009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 xml:space="preserve">N° </w:t>
      </w:r>
      <w:bookmarkStart w:id="2" w:name="_Hlk192582280"/>
      <w:r>
        <w:rPr>
          <w:rFonts w:ascii="Cambria" w:hAnsi="Cambria" w:cstheme="minorHAnsi"/>
        </w:rPr>
        <w:t>133/2026 - DL</w:t>
      </w:r>
      <w:bookmarkEnd w:id="2"/>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00009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Administração, neste ato representado pela Senhora</w:t>
      </w:r>
      <w:r>
        <w:t xml:space="preserve"> </w:t>
      </w:r>
      <w:r>
        <w:rPr>
          <w:rFonts w:ascii="Cambria" w:hAnsi="Cambria"/>
          <w:bCs/>
        </w:rPr>
        <w:t xml:space="preserve">NATALIA SOUZA VERAS, Secretária de admnistração, nos termos do art. 75, inciso II combinado com o seu §3º, da Lei Federal nº 14.133, de 01 de abril de 2021 e do Decreto Municipal, torna público que, tem interesse em realizar a contratação direta para </w:t>
      </w:r>
      <w:r>
        <w:rPr>
          <w:rFonts w:ascii="Cambria" w:hAnsi="Cambria"/>
          <w:b/>
        </w:rPr>
        <w:t>CONTRATAÇÃO DE EMPRESA ESPECIALIZADA PARA FORNECIMENTO DE LINK DE ACESSO À INTERNET, INCLUINDO INSTALAÇÃO DE PONTOS, DISPONIBILIZAÇÃO DE EQUIPAMENTOS, CONFIGURAÇÃO, GERENCIAMENTO E MANUTENÇÃO PREVENTIVA E CORRETIVA, DE INTERESSE DA SECRETARIA DE ADMINISTRAÇÃO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780" w:type="dxa"/>
        <w:jc w:val="center"/>
        <w:tblLayout w:type="fixed"/>
        <w:tblCellMar>
          <w:left w:w="0" w:type="dxa"/>
          <w:right w:w="0" w:type="dxa"/>
        </w:tblCellMar>
        <w:tblLook w:val="0000" w:firstRow="0" w:lastRow="0" w:firstColumn="0" w:lastColumn="0" w:noHBand="0" w:noVBand="0"/>
      </w:tblPr>
      <w:tblGrid>
        <w:gridCol w:w="2196"/>
        <w:gridCol w:w="7584"/>
      </w:tblGrid>
      <w:tr>
        <w:trPr>
          <w:cantSplit/>
          <w:trHeight w:val="428"/>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
                <w:sz w:val="24"/>
                <w:szCs w:val="24"/>
              </w:rPr>
              <w:t>CONTRATAÇÃO DE EMPRESA ESPECIALIZADA PARA FORNECIMENTO DE LINK DE ACESSO À INTERNET, INCLUINDO INSTALAÇÃO DE PONTOS, DISPONIBILIZAÇÃO DE EQUIPAMENTOS, CONFIGURAÇÃO, GERENCIAMENTO E MANUTENÇÃO PREVENTIVA E CORRETIVA, DE INTERESSE DA SECRETARIA DE ADMINISTRAÇÃO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bCs/>
                <w:sz w:val="24"/>
                <w:szCs w:val="24"/>
              </w:rPr>
              <w:t>Secretaria Municipal de Administração</w:t>
            </w:r>
          </w:p>
        </w:tc>
      </w:tr>
      <w:tr>
        <w:trPr>
          <w:cantSplit/>
          <w:trHeight w:hRule="exact" w:val="701"/>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17/07/2026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22</w:t>
            </w:r>
            <w:bookmarkStart w:id="3" w:name="_GoBack"/>
            <w:bookmarkEnd w:id="3"/>
            <w:r>
              <w:rPr>
                <w:rFonts w:ascii="Cambria" w:hAnsi="Cambria"/>
                <w:sz w:val="24"/>
                <w:szCs w:val="24"/>
                <w:lang w:val="pt-BR" w:eastAsia="pt-BR"/>
              </w:rPr>
              <w:t>/07/2026 às 07:59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22/07/2026 das 08:00 às 14:00 Horas (Horário de Brasília)</w:t>
            </w:r>
          </w:p>
        </w:tc>
      </w:tr>
    </w:tbl>
    <w:p>
      <w:pPr>
        <w:pStyle w:val="Corpodetexto"/>
        <w:spacing w:before="9"/>
        <w:jc w:val="both"/>
        <w:rPr>
          <w:rFonts w:ascii="Cambria" w:hAnsi="Cambria" w:cstheme="minorHAnsi"/>
        </w:rPr>
      </w:pPr>
    </w:p>
    <w:p>
      <w:pPr>
        <w:pStyle w:val="Corpodetexto"/>
        <w:spacing w:before="9"/>
        <w:jc w:val="both"/>
        <w:rPr>
          <w:rFonts w:ascii="Cambria" w:hAnsi="Cambria" w:cstheme="minorHAnsi"/>
        </w:rPr>
      </w:pPr>
    </w:p>
    <w:p>
      <w:pPr>
        <w:pStyle w:val="Corpodetexto"/>
        <w:numPr>
          <w:ilvl w:val="0"/>
          <w:numId w:val="6"/>
        </w:numPr>
        <w:shd w:val="clear" w:color="auto" w:fill="00009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lastRenderedPageBreak/>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R$ 65.492,11 (sessenta e cinco mil quatrocentos e noventa e dois reais e onze centavos),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lastRenderedPageBreak/>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tabs>
          <w:tab w:val="left" w:pos="5808"/>
        </w:tabs>
        <w:jc w:val="both"/>
        <w:rPr>
          <w:rFonts w:ascii="Cambria" w:hAnsi="Cambria" w:cstheme="minorHAnsi"/>
        </w:rPr>
      </w:pPr>
      <w:r>
        <w:rPr>
          <w:rFonts w:ascii="Cambria" w:hAnsi="Cambria" w:cstheme="minorHAnsi"/>
        </w:rPr>
        <w:tab/>
      </w:r>
    </w:p>
    <w:p>
      <w:pPr>
        <w:pStyle w:val="Corpodetexto"/>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presente contratação tem como finalidade atender à necessidade da Secretaria de Administração do Município de Miraíma/CE quanto à disponibilização de serviços de acesso à internet, incluindo instalação de pontos, disponibilização de equipamentos, configuração, gerenciamento e manutenção preventiva e corretiva, garantindo infraestrutura de conectividade adequada para o desempenho das atividades administrativas desenvolvidas pelo órgão.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lastRenderedPageBreak/>
        <w:t>O acesso à internet constitui ferramenta essencial para a execução das atividades da Secretaria de Administração, permitindo a utilização dos sistemas informatizados de gestão administrativa, recursos humanos, patrimônio, protocolo, transparência, comunicação institucional, bem como o acesso às plataformas eletrônicas dos Governos Federal, Estadual e Municipal, sistemas de prestação de informações aos órgãos de controle, envio e recebimento de documentos oficiais, realização de procedimentos administrativos e demais ferramentas tecnológicas indispensáveis ao funcionamento da Administração Pública.</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contratação também contempla a disponibilização de toda a infraestrutura necessária à prestação dos serviços, abrangendo a instalação dos pontos de acesso, o fornecimento dos equipamentos, a configuração da rede, o gerenciamento da solução e a execução de manutenção preventiva e corretiva, assegurando elevada disponibilidade, estabilidade, desempenho e segurança da conectividade durante toda a vigência contratual.</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ausência ou a interrupção desses serviços poderá comprometer significativamente o funcionamento da Secretaria de Administração, ocasionando indisponibilidade dos sistemas institucionais, dificuldades na tramitação de processos administrativos, interrupção da comunicação entre os diversos setores da Administração Municipal, atrasos na execução das rotinas administrativas, prejuízos ao atendimento das demandas internas e externas, além de comprometer a eficiência dos serviços prestados à população.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Dessa forma, a contratação de empresa especializada mostra-se necessária para assegurar a continuidade dos serviços públicos, garantindo infraestrutura tecnológica moderna, confiável, segura e compatível com as necessidades da Secretaria de Administração do Município de Miraíma/CE, contribuindo para o fortalecimento da gestão administrativa, o aumento da eficiência operacional e a adequada execução das atividades desenvolvidas pelo órgão.</w:t>
      </w:r>
    </w:p>
    <w:p>
      <w:pPr>
        <w:pStyle w:val="PargrafodaLista"/>
        <w:tabs>
          <w:tab w:val="left" w:pos="2001"/>
        </w:tabs>
        <w:spacing w:before="1"/>
        <w:ind w:left="0" w:right="3" w:firstLine="567"/>
        <w:rPr>
          <w:rFonts w:ascii="Cambria" w:hAnsi="Cambria" w:cstheme="minorHAnsi"/>
          <w:sz w:val="24"/>
          <w:szCs w:val="24"/>
        </w:rPr>
      </w:pPr>
    </w:p>
    <w:p>
      <w:pPr>
        <w:pStyle w:val="PargrafodaLista"/>
        <w:numPr>
          <w:ilvl w:val="0"/>
          <w:numId w:val="6"/>
        </w:numPr>
        <w:shd w:val="clear" w:color="auto" w:fill="00009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p>
      <w:pPr>
        <w:pStyle w:val="Corpodetexto"/>
        <w:tabs>
          <w:tab w:val="left" w:pos="2249"/>
        </w:tabs>
        <w:ind w:right="3"/>
        <w:jc w:val="both"/>
        <w:rPr>
          <w:rFonts w:ascii="Cambria" w:hAnsi="Cambria" w:cstheme="minorHAnsi"/>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946"/>
        <w:gridCol w:w="1417"/>
        <w:gridCol w:w="1276"/>
      </w:tblGrid>
      <w:tr>
        <w:trPr>
          <w:trHeight w:val="268"/>
        </w:trPr>
        <w:tc>
          <w:tcPr>
            <w:tcW w:w="851" w:type="dxa"/>
            <w:tcBorders>
              <w:top w:val="single" w:sz="4" w:space="0" w:color="auto"/>
              <w:left w:val="single" w:sz="4" w:space="0" w:color="auto"/>
              <w:bottom w:val="single" w:sz="4" w:space="0" w:color="auto"/>
              <w:right w:val="single" w:sz="4" w:space="0" w:color="auto"/>
            </w:tcBorders>
            <w:shd w:val="clear" w:color="auto" w:fill="00009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946"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1417"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6"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51"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946"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bCs/>
                <w:lang w:val="en-US"/>
              </w:rPr>
            </w:pPr>
            <w:r>
              <w:rPr>
                <w:rFonts w:ascii="Cambria" w:hAnsi="Cambria" w:cstheme="minorHAnsi"/>
                <w:bCs/>
                <w:lang w:val="en-US"/>
              </w:rPr>
              <w:t>FORNECIMENTO DE LINK DE ACESSO A INTERNET, VIA FIBRA ÓPTICA - SECRETARIA DE ADMINISTRAÇÃO FORNECIMENTO DE LINKS DE ACESSO À INTERNET, VIA FIBRA ÓPTICA, COM VELOCIDADE TOTAL DE 3600 MBPS, DISPONIBILIDADE CONTÍNUA 24 HORAS POR DIA, 7 DIAS POR SEMANA, INCLUINDO INSTALAÇÃO, CONFIGURAÇÃO, SUPORTE TÉCNICO E MANUTENÇÃO, PELO PERÍODO DE 12 DOZE MESES, A SER PRESTADO NAS UNIDADES E LOCAIS INDICADOS NO TERMO DE REFERÊNCIA, PARA ATENDER ÀS NECESSIDADES DA SECRETARIA DE ADMINISTRAÇÃO.</w:t>
            </w:r>
          </w:p>
        </w:tc>
        <w:tc>
          <w:tcPr>
            <w:tcW w:w="1417"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MEGABYTE</w:t>
            </w:r>
          </w:p>
        </w:tc>
        <w:tc>
          <w:tcPr>
            <w:tcW w:w="1276"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3600</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lastRenderedPageBreak/>
        <w:t>DA FORMA DE PAGAMENTO</w:t>
      </w:r>
    </w:p>
    <w:p>
      <w:pPr>
        <w:pStyle w:val="PargrafodaLista"/>
        <w:tabs>
          <w:tab w:val="left" w:pos="2250"/>
        </w:tabs>
        <w:ind w:left="0" w:right="3"/>
        <w:rPr>
          <w:rFonts w:ascii="Cambria" w:hAnsi="Cambria" w:cstheme="minorHAnsi"/>
          <w:sz w:val="24"/>
          <w:szCs w:val="24"/>
        </w:rPr>
      </w:pP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dotações orçamentárias previstas no orçamento de 2026: 1201.04.122.0014.2.066 - Funcionamento da Secretaria de Administração; Elemento de Despesas: 3.3.90.39.00 - Outros Serv. de Terc. Pessoa Jurídica; Fonte de Recursos: 1500000000.</w:t>
      </w:r>
    </w:p>
    <w:p>
      <w:pPr>
        <w:pStyle w:val="Corpodetexto"/>
        <w:spacing w:before="90"/>
        <w:ind w:right="3"/>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000099"/>
        <w:ind w:left="0" w:firstLine="0"/>
        <w:jc w:val="both"/>
        <w:rPr>
          <w:rFonts w:ascii="Cambria" w:hAnsi="Cambria" w:cstheme="minorHAnsi"/>
          <w:b/>
          <w:bCs/>
        </w:rPr>
      </w:pPr>
      <w:r>
        <w:rPr>
          <w:rFonts w:ascii="Cambria" w:hAnsi="Cambria" w:cstheme="minorHAnsi"/>
          <w:b/>
          <w:bCs/>
        </w:rPr>
        <w:lastRenderedPageBreak/>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lastRenderedPageBreak/>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É de exclusiva responsabilidade do usuário o sigilo da senha, bem como seu uso em </w:t>
      </w:r>
      <w:r>
        <w:rPr>
          <w:rFonts w:ascii="Cambria" w:hAnsi="Cambria" w:cstheme="minorHAnsi"/>
        </w:rPr>
        <w:lastRenderedPageBreak/>
        <w:t>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lastRenderedPageBreak/>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4"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4"/>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5"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fornecimento de link de internet.</w:t>
      </w:r>
    </w:p>
    <w:p>
      <w:pPr>
        <w:ind w:right="-35"/>
        <w:jc w:val="both"/>
        <w:rPr>
          <w:rFonts w:ascii="Cambria" w:hAnsi="Cambria"/>
          <w:b/>
          <w:sz w:val="24"/>
          <w:szCs w:val="24"/>
        </w:rPr>
      </w:pPr>
    </w:p>
    <w:bookmarkEnd w:id="5"/>
    <w:p>
      <w:pPr>
        <w:pStyle w:val="PargrafodaLista"/>
        <w:ind w:left="0"/>
        <w:rPr>
          <w:rFonts w:ascii="Cambria" w:hAnsi="Cambria"/>
          <w:sz w:val="24"/>
          <w:szCs w:val="24"/>
        </w:rPr>
      </w:pPr>
      <w:r>
        <w:rPr>
          <w:rFonts w:ascii="Cambria" w:hAnsi="Cambria" w:cs="Arial"/>
          <w:b/>
          <w:sz w:val="24"/>
          <w:szCs w:val="24"/>
        </w:rPr>
        <w:t>10.16</w:t>
      </w:r>
      <w:r>
        <w:rPr>
          <w:rFonts w:ascii="Cambria" w:hAnsi="Cambria" w:cs="Arial"/>
          <w:bCs/>
          <w:sz w:val="24"/>
          <w:szCs w:val="24"/>
        </w:rPr>
        <w:t>.</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b/>
          <w:bCs/>
          <w:szCs w:val="24"/>
        </w:rPr>
        <w:t>10.16.1.</w:t>
      </w:r>
      <w:r>
        <w:rPr>
          <w:rFonts w:ascii="Cambria" w:hAnsi="Cambria"/>
          <w:szCs w:val="24"/>
        </w:rPr>
        <w:t xml:space="preserve">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agente de contratação.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02 (Duas)</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lastRenderedPageBreak/>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w:t>
      </w:r>
      <w:r>
        <w:rPr>
          <w:rFonts w:ascii="Cambria" w:hAnsi="Cambria" w:cstheme="minorHAnsi"/>
          <w:spacing w:val="-2"/>
        </w:rPr>
        <w:t xml:space="preserve"> 16</w:t>
      </w:r>
      <w:r>
        <w:rPr>
          <w:rFonts w:ascii="Cambria" w:hAnsi="Cambria" w:cstheme="minorHAnsi"/>
          <w:spacing w:val="-1"/>
        </w:rPr>
        <w:t xml:space="preserve"> </w:t>
      </w:r>
      <w:r>
        <w:rPr>
          <w:rFonts w:ascii="Cambria" w:hAnsi="Cambria" w:cstheme="minorHAnsi"/>
        </w:rPr>
        <w:t>de julho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000099"/>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
          <w:bCs/>
          <w:sz w:val="24"/>
          <w:szCs w:val="24"/>
        </w:rPr>
      </w:pPr>
      <w:r>
        <w:rPr>
          <w:rFonts w:ascii="Cambria" w:hAnsi="Cambria"/>
          <w:b/>
          <w:sz w:val="24"/>
          <w:szCs w:val="24"/>
        </w:rPr>
        <w:t>1.1. CONTRATAÇÃO DE EMPRESA ESPECIALIZADA PARA FORNECIMENTO DE LINK DE ACESSO À INTERNET, INCLUINDO INSTALAÇÃO DE PONTOS, DISPONIBILIZAÇÃO DE EQUIPAMENTOS, CONFIGURAÇÃO, GERENCIAMENTO E MANUTENÇÃO PREVENTIVA E CORRETIVA, DE INTERESSE DA SECRETARIA DE ADMINISTRAÇÃO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2. JUSTIFICATIVA</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A presente contratação tem como finalidade atender à necessidade da Secretaria de Administração do Município de Miraíma/CE quanto à disponibilização de serviços de acesso à internet, incluindo instalação de pontos, disponibilização de equipamentos, configuração, gerenciamento e manutenção preventiva e corretiva, garantindo infraestrutura de conectividade adequada para o desempenho das atividades administrativas desenvolvidas pelo órgão.</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O acesso à internet constitui ferramenta essencial para a execução das atividades da Secretaria de Administração, permitindo a utilização dos sistemas informatizados de gestão administrativa, recursos humanos, patrimônio, protocolo, transparência, comunicação institucional, bem como o acesso às plataformas eletrônicas dos Governos Federal, Estadual e Municipal, sistemas de prestação de informações aos órgãos de controle, envio e recebimento de documentos oficiais, realização de procedimentos administrativos e demais ferramentas tecnológicas indispensáveis ao funcionamento da Administração Pública.</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A contratação também contempla a disponibilização de toda a infraestrutura necessária à prestação dos serviços, abrangendo a instalação dos pontos de acesso, o fornecimento dos equipamentos, a configuração da rede, o gerenciamento da solução e a execução de manutenção preventiva e corretiva, assegurando elevada disponibilidade, estabilidade, desempenho e segurança da conectividade durante toda a vigência contratual.</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A ausência ou a interrupção desses serviços poderá comprometer significativamente o funcionamento da Secretaria de Administração, ocasionando indisponibilidade dos sistemas institucionais, dificuldades na tramitação de processos administrativos, interrupção da comunicação entre os diversos setores da Administração Municipal, atrasos na execução das rotinas administrativas, prejuízos ao atendimento das demandas internas e externas, além de comprometer a eficiência dos serviços prestados à população.</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Dessa forma, a contratação de empresa especializada mostra-se necessária para assegurar a continuidade dos serviços públicos, garantindo infraestrutura tecnológica moderna, confiável, segura e compatível com as necessidades da Secretaria de Administração do Município de Miraíma/CE, contribuindo para o fortalecimento da gestão administrativa, o aumento da eficiência operacional e a adequada execução das atividades desenvolvidas pelo órgão.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p>
      <w:pPr>
        <w:pBdr>
          <w:top w:val="nil"/>
          <w:left w:val="nil"/>
          <w:bottom w:val="nil"/>
          <w:right w:val="nil"/>
          <w:between w:val="nil"/>
        </w:pBdr>
        <w:shd w:val="clear" w:color="auto" w:fill="F2F2F2"/>
        <w:spacing w:line="276" w:lineRule="auto"/>
        <w:jc w:val="both"/>
        <w:rPr>
          <w:rFonts w:ascii="Cambria" w:hAnsi="Cambria"/>
          <w:b/>
          <w:sz w:val="24"/>
          <w:szCs w:val="24"/>
        </w:rPr>
      </w:pPr>
    </w:p>
    <w:tbl>
      <w:tblPr>
        <w:tblW w:w="5458"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6"/>
        <w:gridCol w:w="3990"/>
        <w:gridCol w:w="1358"/>
        <w:gridCol w:w="1151"/>
        <w:gridCol w:w="1386"/>
        <w:gridCol w:w="1924"/>
      </w:tblGrid>
      <w:tr>
        <w:trPr>
          <w:trHeight w:val="315"/>
        </w:trPr>
        <w:tc>
          <w:tcPr>
            <w:tcW w:w="406" w:type="pct"/>
            <w:vMerge w:val="restart"/>
            <w:shd w:val="clear" w:color="auto" w:fill="000099"/>
            <w:noWrap/>
            <w:vAlign w:val="center"/>
            <w:hideMark/>
          </w:tcPr>
          <w:p>
            <w:pPr>
              <w:jc w:val="center"/>
              <w:rPr>
                <w:rFonts w:ascii="Cambria" w:hAnsi="Cambria"/>
                <w:b/>
                <w:bCs/>
                <w:sz w:val="24"/>
                <w:szCs w:val="24"/>
              </w:rPr>
            </w:pPr>
            <w:r>
              <w:rPr>
                <w:rFonts w:ascii="Cambria" w:hAnsi="Cambria"/>
                <w:b/>
                <w:bCs/>
                <w:sz w:val="24"/>
                <w:szCs w:val="24"/>
              </w:rPr>
              <w:t>ITEM</w:t>
            </w:r>
          </w:p>
        </w:tc>
        <w:tc>
          <w:tcPr>
            <w:tcW w:w="1869" w:type="pct"/>
            <w:vMerge w:val="restart"/>
            <w:shd w:val="clear" w:color="auto" w:fill="000099"/>
            <w:vAlign w:val="center"/>
            <w:hideMark/>
          </w:tcPr>
          <w:p>
            <w:pPr>
              <w:jc w:val="center"/>
              <w:rPr>
                <w:rFonts w:ascii="Cambria" w:hAnsi="Cambria"/>
                <w:b/>
                <w:bCs/>
                <w:sz w:val="24"/>
                <w:szCs w:val="24"/>
              </w:rPr>
            </w:pPr>
            <w:r>
              <w:rPr>
                <w:rFonts w:ascii="Cambria" w:hAnsi="Cambria"/>
                <w:b/>
                <w:bCs/>
                <w:sz w:val="24"/>
                <w:szCs w:val="24"/>
              </w:rPr>
              <w:t>ESPECIFICAÇÃO</w:t>
            </w:r>
          </w:p>
        </w:tc>
        <w:tc>
          <w:tcPr>
            <w:tcW w:w="636" w:type="pct"/>
            <w:vMerge w:val="restart"/>
            <w:shd w:val="clear" w:color="auto" w:fill="000099"/>
            <w:noWrap/>
            <w:vAlign w:val="center"/>
            <w:hideMark/>
          </w:tcPr>
          <w:p>
            <w:pPr>
              <w:jc w:val="center"/>
              <w:rPr>
                <w:rFonts w:ascii="Cambria" w:hAnsi="Cambria"/>
                <w:b/>
                <w:bCs/>
                <w:sz w:val="24"/>
                <w:szCs w:val="24"/>
              </w:rPr>
            </w:pPr>
            <w:r>
              <w:rPr>
                <w:rFonts w:ascii="Cambria" w:hAnsi="Cambria"/>
                <w:b/>
                <w:bCs/>
                <w:sz w:val="24"/>
                <w:szCs w:val="24"/>
              </w:rPr>
              <w:t>UNIDADE</w:t>
            </w:r>
          </w:p>
        </w:tc>
        <w:tc>
          <w:tcPr>
            <w:tcW w:w="539" w:type="pct"/>
            <w:vMerge w:val="restart"/>
            <w:shd w:val="clear" w:color="auto" w:fill="000099"/>
            <w:noWrap/>
            <w:vAlign w:val="center"/>
            <w:hideMark/>
          </w:tcPr>
          <w:p>
            <w:pPr>
              <w:jc w:val="center"/>
              <w:rPr>
                <w:rFonts w:ascii="Cambria" w:hAnsi="Cambria"/>
                <w:b/>
                <w:bCs/>
                <w:sz w:val="24"/>
                <w:szCs w:val="24"/>
              </w:rPr>
            </w:pPr>
            <w:r>
              <w:rPr>
                <w:rFonts w:ascii="Cambria" w:hAnsi="Cambria"/>
                <w:b/>
                <w:bCs/>
                <w:sz w:val="24"/>
                <w:szCs w:val="24"/>
              </w:rPr>
              <w:t>QUANT</w:t>
            </w:r>
          </w:p>
        </w:tc>
        <w:tc>
          <w:tcPr>
            <w:tcW w:w="1551" w:type="pct"/>
            <w:gridSpan w:val="2"/>
            <w:shd w:val="clear" w:color="auto" w:fill="000099"/>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869" w:type="pct"/>
            <w:vMerge/>
            <w:vAlign w:val="center"/>
            <w:hideMark/>
          </w:tcPr>
          <w:p>
            <w:pPr>
              <w:rPr>
                <w:rFonts w:ascii="Cambria" w:hAnsi="Cambria"/>
                <w:b/>
                <w:bCs/>
                <w:sz w:val="24"/>
                <w:szCs w:val="24"/>
              </w:rPr>
            </w:pPr>
          </w:p>
        </w:tc>
        <w:tc>
          <w:tcPr>
            <w:tcW w:w="636" w:type="pct"/>
            <w:vMerge/>
            <w:vAlign w:val="center"/>
            <w:hideMark/>
          </w:tcPr>
          <w:p>
            <w:pPr>
              <w:rPr>
                <w:rFonts w:ascii="Cambria" w:hAnsi="Cambria"/>
                <w:b/>
                <w:bCs/>
                <w:sz w:val="24"/>
                <w:szCs w:val="24"/>
              </w:rPr>
            </w:pPr>
          </w:p>
        </w:tc>
        <w:tc>
          <w:tcPr>
            <w:tcW w:w="539" w:type="pct"/>
            <w:vMerge/>
            <w:vAlign w:val="center"/>
            <w:hideMark/>
          </w:tcPr>
          <w:p>
            <w:pPr>
              <w:rPr>
                <w:rFonts w:ascii="Cambria" w:hAnsi="Cambria"/>
                <w:b/>
                <w:bCs/>
                <w:sz w:val="24"/>
                <w:szCs w:val="24"/>
              </w:rPr>
            </w:pPr>
          </w:p>
        </w:tc>
        <w:tc>
          <w:tcPr>
            <w:tcW w:w="649" w:type="pct"/>
            <w:shd w:val="clear" w:color="auto" w:fill="000099"/>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902" w:type="pct"/>
            <w:shd w:val="clear" w:color="auto" w:fill="000099"/>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869" w:type="pct"/>
            <w:vAlign w:val="center"/>
          </w:tcPr>
          <w:p>
            <w:pPr>
              <w:jc w:val="both"/>
              <w:rPr>
                <w:rFonts w:ascii="Cambria" w:eastAsia="Calibri" w:hAnsi="Cambria"/>
                <w:bCs/>
                <w:sz w:val="24"/>
                <w:szCs w:val="24"/>
                <w:lang w:eastAsia="zh-CN"/>
              </w:rPr>
            </w:pPr>
            <w:r>
              <w:rPr>
                <w:rFonts w:ascii="Cambria" w:eastAsia="Calibri" w:hAnsi="Cambria"/>
                <w:bCs/>
                <w:sz w:val="24"/>
                <w:szCs w:val="24"/>
                <w:lang w:eastAsia="zh-CN"/>
              </w:rPr>
              <w:t>FORNECIMENTO DE LINK DE ACESSO A INTERNET, VIA FIBRA ÓPTICA - SECRETARIA DE ADMINISTRAÇÃO FORNECIMENTO DE LINKS DE ACESSO À INTERNET, VIA FIBRA ÓPTICA, COM VELOCIDADE TOTAL DE 3600 MBPS, DISPONIBILIDADE CONTÍNUA 24 HORAS POR DIA, 7 DIAS POR SEMANA, INCLUINDO INSTALAÇÃO, CONFIGURAÇÃO, SUPORTE TÉCNICO E MANUTENÇÃO, PELO PERÍODO DE 12 DOZE MESES, A SER PRESTADO NAS UNIDADES E LOCAIS INDICADOS NO TERMO DE REFERÊNCIA, PARA ATENDER ÀS NECESSIDADES DA SECRETARIA DE ADMINISTRAÇÃO.</w:t>
            </w:r>
          </w:p>
        </w:tc>
        <w:tc>
          <w:tcPr>
            <w:tcW w:w="636" w:type="pct"/>
            <w:noWrap/>
            <w:vAlign w:val="center"/>
            <w:hideMark/>
          </w:tcPr>
          <w:p>
            <w:pPr>
              <w:jc w:val="center"/>
              <w:rPr>
                <w:rFonts w:ascii="Cambria" w:hAnsi="Cambria"/>
                <w:sz w:val="24"/>
                <w:szCs w:val="24"/>
              </w:rPr>
            </w:pPr>
            <w:r>
              <w:rPr>
                <w:rFonts w:ascii="Cambria" w:hAnsi="Cambria"/>
                <w:sz w:val="24"/>
                <w:szCs w:val="24"/>
              </w:rPr>
              <w:t xml:space="preserve">MEGABYTE </w:t>
            </w:r>
          </w:p>
        </w:tc>
        <w:tc>
          <w:tcPr>
            <w:tcW w:w="539" w:type="pct"/>
            <w:noWrap/>
            <w:vAlign w:val="center"/>
            <w:hideMark/>
          </w:tcPr>
          <w:p>
            <w:pPr>
              <w:jc w:val="center"/>
              <w:rPr>
                <w:rFonts w:ascii="Cambria" w:hAnsi="Cambria"/>
                <w:sz w:val="24"/>
                <w:szCs w:val="24"/>
              </w:rPr>
            </w:pPr>
            <w:r>
              <w:rPr>
                <w:rFonts w:ascii="Cambria" w:hAnsi="Cambria"/>
                <w:sz w:val="24"/>
                <w:szCs w:val="24"/>
              </w:rPr>
              <w:t>3600</w:t>
            </w:r>
          </w:p>
        </w:tc>
        <w:tc>
          <w:tcPr>
            <w:tcW w:w="649" w:type="pct"/>
            <w:noWrap/>
            <w:vAlign w:val="center"/>
          </w:tcPr>
          <w:p>
            <w:pPr>
              <w:jc w:val="center"/>
              <w:rPr>
                <w:rFonts w:ascii="Cambria" w:hAnsi="Cambria"/>
                <w:sz w:val="24"/>
                <w:szCs w:val="24"/>
                <w:highlight w:val="yellow"/>
              </w:rPr>
            </w:pPr>
            <w:r>
              <w:rPr>
                <w:rFonts w:ascii="Cambria" w:hAnsi="Cambria"/>
                <w:sz w:val="24"/>
                <w:szCs w:val="24"/>
              </w:rPr>
              <w:t>R$ 3,77</w:t>
            </w:r>
          </w:p>
        </w:tc>
        <w:tc>
          <w:tcPr>
            <w:tcW w:w="902" w:type="pct"/>
            <w:noWrap/>
            <w:vAlign w:val="center"/>
          </w:tcPr>
          <w:p>
            <w:pPr>
              <w:jc w:val="center"/>
              <w:rPr>
                <w:rFonts w:ascii="Cambria" w:hAnsi="Cambria"/>
                <w:sz w:val="24"/>
                <w:szCs w:val="24"/>
                <w:highlight w:val="yellow"/>
              </w:rPr>
            </w:pPr>
            <w:r>
              <w:rPr>
                <w:rFonts w:ascii="Cambria" w:hAnsi="Cambria"/>
                <w:sz w:val="24"/>
                <w:szCs w:val="24"/>
              </w:rPr>
              <w:t>R$ 13.572,00</w:t>
            </w:r>
          </w:p>
        </w:tc>
      </w:tr>
      <w:tr>
        <w:trPr>
          <w:trHeight w:val="225"/>
        </w:trPr>
        <w:tc>
          <w:tcPr>
            <w:tcW w:w="5000" w:type="pct"/>
            <w:gridSpan w:val="6"/>
            <w:shd w:val="clear" w:color="auto" w:fill="000099"/>
            <w:noWrap/>
            <w:vAlign w:val="center"/>
            <w:hideMark/>
          </w:tcPr>
          <w:p>
            <w:pPr>
              <w:jc w:val="center"/>
              <w:rPr>
                <w:rFonts w:ascii="Cambria" w:hAnsi="Cambria"/>
                <w:b/>
                <w:bCs/>
                <w:sz w:val="24"/>
                <w:szCs w:val="24"/>
              </w:rPr>
            </w:pPr>
            <w:r>
              <w:rPr>
                <w:rFonts w:ascii="Cambria" w:hAnsi="Cambria"/>
                <w:b/>
                <w:bCs/>
                <w:sz w:val="24"/>
                <w:szCs w:val="24"/>
              </w:rPr>
              <w:t>VALOR GLOBAL: R$ 13.572,00 (treze mil quinhentos e setenta e dois reais).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lastRenderedPageBreak/>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lastRenderedPageBreak/>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similares</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lastRenderedPageBreak/>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lastRenderedPageBreak/>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CONTRATADO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12. CONDIÇÕES DE PAGAMENTO: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w:t>
      </w:r>
      <w:r>
        <w:rPr>
          <w:rFonts w:ascii="Cambria" w:hAnsi="Cambria"/>
          <w:sz w:val="24"/>
          <w:szCs w:val="24"/>
        </w:rPr>
        <w:lastRenderedPageBreak/>
        <w:t>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1201.04.122.0014.2.066 - Funcionamento da Secretaria de Administração; Elemento de Despesas: 3.3.90.39.00 - Outros Serv. de Terc. Pessoa Jurídica; Fonte de Recursos: 1500000000.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w:t>
      </w:r>
      <w:r>
        <w:rPr>
          <w:rFonts w:ascii="Cambria" w:hAnsi="Cambria"/>
          <w:sz w:val="24"/>
          <w:szCs w:val="24"/>
        </w:rPr>
        <w:lastRenderedPageBreak/>
        <w:t>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17. DA ALOCAÇÃO DE RISCOS:</w:t>
      </w:r>
    </w:p>
    <w:p>
      <w:pPr>
        <w:shd w:val="clear" w:color="auto" w:fill="FFFFFF"/>
        <w:spacing w:line="276" w:lineRule="auto"/>
        <w:jc w:val="both"/>
        <w:rPr>
          <w:rFonts w:ascii="Cambria" w:hAnsi="Cambria"/>
          <w:sz w:val="24"/>
          <w:szCs w:val="24"/>
        </w:r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xml:space="preserve">, fica dispensada a apresentação da alocação dos riscos, haja vista a baixa complexidade do objeto. </w:t>
      </w:r>
    </w:p>
    <w:p>
      <w:pPr>
        <w:jc w:val="center"/>
        <w:rPr>
          <w:rFonts w:ascii="Cambria" w:hAnsi="Cambria" w:cstheme="minorHAnsi"/>
          <w:b/>
          <w:bCs/>
          <w:sz w:val="24"/>
          <w:szCs w:val="24"/>
        </w:rPr>
      </w:pPr>
    </w:p>
    <w:p>
      <w:pPr>
        <w:tabs>
          <w:tab w:val="center" w:pos="4819"/>
        </w:tabs>
        <w:rPr>
          <w:rFonts w:ascii="Cambria" w:hAnsi="Cambria" w:cstheme="minorHAnsi"/>
          <w:sz w:val="24"/>
          <w:szCs w:val="24"/>
        </w:rPr>
        <w:sectPr>
          <w:headerReference w:type="default" r:id="rId10"/>
          <w:footerReference w:type="default" r:id="rId11"/>
          <w:pgSz w:w="11910" w:h="16840"/>
          <w:pgMar w:top="1843" w:right="1137" w:bottom="1418" w:left="1134" w:header="534" w:footer="454" w:gutter="0"/>
          <w:cols w:space="720"/>
          <w:docGrid w:linePitch="299"/>
        </w:sectPr>
      </w:pPr>
      <w:r>
        <w:rPr>
          <w:rFonts w:ascii="Cambria" w:hAnsi="Cambria" w:cstheme="minorHAnsi"/>
          <w:sz w:val="24"/>
          <w:szCs w:val="24"/>
        </w:rPr>
        <w:tab/>
      </w:r>
    </w:p>
    <w:p>
      <w:pPr>
        <w:spacing w:line="275" w:lineRule="exact"/>
        <w:jc w:val="center"/>
        <w:rPr>
          <w:rFonts w:ascii="Cambria" w:hAnsi="Cambria" w:cstheme="minorHAnsi"/>
          <w:b/>
          <w:bCs/>
          <w:sz w:val="24"/>
          <w:szCs w:val="24"/>
        </w:rPr>
      </w:pPr>
    </w:p>
    <w:p>
      <w:pPr>
        <w:shd w:val="clear" w:color="auto" w:fill="000099"/>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000099"/>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000099"/>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orpodetexto"/>
        <w:shd w:val="clear" w:color="auto" w:fill="000099"/>
        <w:tabs>
          <w:tab w:val="left" w:pos="7371"/>
        </w:tabs>
        <w:spacing w:before="90"/>
        <w:ind w:right="3"/>
        <w:jc w:val="center"/>
        <w:rPr>
          <w:rFonts w:ascii="Cambria" w:hAnsi="Cambria" w:cstheme="minorHAnsi"/>
          <w:b/>
        </w:rPr>
      </w:pPr>
      <w:r>
        <w:rPr>
          <w:rFonts w:ascii="Cambria" w:hAnsi="Cambria" w:cstheme="minorHAnsi"/>
          <w:b/>
        </w:rPr>
        <w:lastRenderedPageBreak/>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lastRenderedPageBreak/>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lang w:val="pt-BR"/>
        </w:rPr>
      </w:pPr>
      <w:r>
        <w:rPr>
          <w:rFonts w:ascii="Cambria" w:hAnsi="Cambria"/>
          <w:sz w:val="24"/>
          <w:szCs w:val="24"/>
          <w:lang w:val="pt-BR"/>
        </w:rPr>
        <w:t>6.2.2. A execução dos serviços ocorrerá de forma contínua, compreendendo a instalação, configuração, ativação, disponibilização, gerenciamento e manutenção preventiva e corretiva dos links de acesso à internet, conforme as necessidades da Contratante, iniciando-se mediante Ordem de Serviço emitida pela Secretaria, na qual constarão as informações necessárias à execução dos serviços.</w:t>
      </w:r>
    </w:p>
    <w:p>
      <w:pPr>
        <w:jc w:val="both"/>
        <w:rPr>
          <w:rFonts w:ascii="Cambria" w:hAnsi="Cambria"/>
          <w:sz w:val="24"/>
          <w:szCs w:val="24"/>
          <w:lang w:val="pt-BR"/>
        </w:rPr>
      </w:pPr>
      <w:r>
        <w:rPr>
          <w:rFonts w:ascii="Cambria" w:hAnsi="Cambria"/>
          <w:sz w:val="24"/>
          <w:szCs w:val="24"/>
          <w:lang w:val="pt-BR"/>
        </w:rPr>
        <w:t>A instalação dos pontos deverá observar os prazos estabelecidos neste Termo de Referência, bem como as especificações técnicas nele contidas, nos seus anexos e na proposta apresentada pela Contratada, considerando a conveniência e oportunidade administrativa, a necessidade e a disponibilidade financeira da Contratante.</w:t>
      </w:r>
    </w:p>
    <w:p>
      <w:pPr>
        <w:jc w:val="both"/>
        <w:rPr>
          <w:rFonts w:ascii="Cambria" w:hAnsi="Cambria"/>
          <w:sz w:val="24"/>
          <w:szCs w:val="24"/>
          <w:lang w:val="pt-BR"/>
        </w:rPr>
      </w:pPr>
      <w:r>
        <w:rPr>
          <w:rFonts w:ascii="Cambria" w:hAnsi="Cambria"/>
          <w:sz w:val="24"/>
          <w:szCs w:val="24"/>
          <w:lang w:val="pt-BR"/>
        </w:rPr>
        <w:t>A Contratada assumirá integral responsabilidade pelo pagamento de todos os impostos, taxas e quaisquer ônus de origem federal, estadual e municipal, bem como pelos encargos trabalhistas, previdenciários, fiscais e comerciais decorrentes da execução do contrato, inclusive aqueles relativos a terceiros, obrigando-se ainda a cumprir todas as demais obrigações previstas neste Termo de Referência e na legislação aplicável.</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w:t>
      </w:r>
      <w:r>
        <w:rPr>
          <w:rFonts w:ascii="Cambria" w:hAnsi="Cambria"/>
          <w:sz w:val="24"/>
          <w:szCs w:val="24"/>
        </w:rPr>
        <w:lastRenderedPageBreak/>
        <w:t>reclamações se obriga a atender prontamente, bem como dar ciência ao mesmo, 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w:t>
      </w:r>
      <w:r>
        <w:rPr>
          <w:rFonts w:ascii="Cambria" w:hAnsi="Cambria"/>
          <w:sz w:val="24"/>
          <w:szCs w:val="24"/>
        </w:rPr>
        <w:lastRenderedPageBreak/>
        <w:t>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lastRenderedPageBreak/>
        <w:t>8.7. Nenhuma sanção será aplicada sem o devido processo administrativo, que prevêdefesa prévia do interessado e recurso nos prazos definidos em lei, sendo-lhe franqueada vista ao 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lastRenderedPageBreak/>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r>
        <w:tc>
          <w:tcPr>
            <w:tcW w:w="4924" w:type="dxa"/>
            <w:vAlign w:val="center"/>
          </w:tcPr>
          <w:p>
            <w:pPr>
              <w:rPr>
                <w:rFonts w:ascii="Cambria" w:hAnsi="Cambria"/>
                <w:b/>
                <w:sz w:val="24"/>
                <w:szCs w:val="24"/>
              </w:rPr>
            </w:pPr>
          </w:p>
        </w:tc>
        <w:tc>
          <w:tcPr>
            <w:tcW w:w="4931" w:type="dxa"/>
            <w:vAlign w:val="center"/>
          </w:tcPr>
          <w:p>
            <w:pPr>
              <w:jc w:val="center"/>
              <w:rPr>
                <w:rFonts w:ascii="Cambria" w:hAnsi="Cambria"/>
                <w:b/>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2608"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508351404"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568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637229667"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875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271989401"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rPr>
        <w:b/>
        <w:noProof/>
        <w:color w:val="333399"/>
        <w:sz w:val="26"/>
        <w:szCs w:val="26"/>
      </w:rPr>
    </w:pPr>
    <w:r>
      <w:rPr>
        <w:noProof/>
        <w:lang w:val="pt-BR" w:eastAsia="pt-BR"/>
      </w:rPr>
      <w:drawing>
        <wp:anchor distT="0" distB="0" distL="114300" distR="114300" simplePos="0" relativeHeight="251661824" behindDoc="0" locked="0" layoutInCell="1" allowOverlap="1">
          <wp:simplePos x="0" y="0"/>
          <wp:positionH relativeFrom="margin">
            <wp:posOffset>1885950</wp:posOffset>
          </wp:positionH>
          <wp:positionV relativeFrom="paragraph">
            <wp:posOffset>-339090</wp:posOffset>
          </wp:positionV>
          <wp:extent cx="2118360" cy="1854200"/>
          <wp:effectExtent l="0" t="0" r="0" b="0"/>
          <wp:wrapThrough wrapText="bothSides">
            <wp:wrapPolygon edited="0">
              <wp:start x="10295" y="2885"/>
              <wp:lineTo x="6993" y="4660"/>
              <wp:lineTo x="5439" y="5770"/>
              <wp:lineTo x="5245" y="10430"/>
              <wp:lineTo x="2137" y="13537"/>
              <wp:lineTo x="1942" y="17310"/>
              <wp:lineTo x="19424" y="17310"/>
              <wp:lineTo x="18259" y="13981"/>
              <wp:lineTo x="15540" y="10430"/>
              <wp:lineTo x="15928" y="5548"/>
              <wp:lineTo x="14763" y="4438"/>
              <wp:lineTo x="11266" y="2885"/>
              <wp:lineTo x="10295" y="2885"/>
            </wp:wrapPolygon>
          </wp:wrapThrough>
          <wp:docPr id="78777854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66354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8360" cy="1854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5416550</wp:posOffset>
          </wp:positionH>
          <wp:positionV relativeFrom="paragraph">
            <wp:posOffset>-40640</wp:posOffset>
          </wp:positionV>
          <wp:extent cx="950595" cy="1021080"/>
          <wp:effectExtent l="0" t="0" r="0" b="0"/>
          <wp:wrapTight wrapText="bothSides">
            <wp:wrapPolygon edited="0">
              <wp:start x="6926" y="0"/>
              <wp:lineTo x="4329" y="1209"/>
              <wp:lineTo x="0" y="5239"/>
              <wp:lineTo x="0" y="14104"/>
              <wp:lineTo x="3463" y="19343"/>
              <wp:lineTo x="7359" y="21358"/>
              <wp:lineTo x="13852" y="21358"/>
              <wp:lineTo x="16882" y="19343"/>
              <wp:lineTo x="21210" y="15313"/>
              <wp:lineTo x="21210" y="5239"/>
              <wp:lineTo x="17315" y="1612"/>
              <wp:lineTo x="14717" y="0"/>
              <wp:lineTo x="6926" y="0"/>
            </wp:wrapPolygon>
          </wp:wrapTight>
          <wp:docPr id="10326904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78858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pPr>
  </w:p>
  <w:p>
    <w:pPr>
      <w:pStyle w:val="Cabealho"/>
    </w:pPr>
  </w:p>
  <w:p>
    <w:pPr>
      <w:pStyle w:val="Cabealho"/>
    </w:pPr>
  </w:p>
  <w:p>
    <w:pPr>
      <w:pStyle w:val="Cabealho"/>
    </w:pPr>
  </w:p>
  <w:p>
    <w:pPr>
      <w:tabs>
        <w:tab w:val="center" w:pos="4252"/>
        <w:tab w:val="right" w:pos="8504"/>
      </w:tabs>
      <w:rPr>
        <w:lang w:val="en-US"/>
      </w:rPr>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1094</TotalTime>
  <Pages>25</Pages>
  <Words>10552</Words>
  <Characters>56985</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722</cp:revision>
  <cp:lastPrinted>2024-04-22T17:26:00Z</cp:lastPrinted>
  <dcterms:created xsi:type="dcterms:W3CDTF">2024-01-28T19:24:00Z</dcterms:created>
  <dcterms:modified xsi:type="dcterms:W3CDTF">2026-07-16T14:48:00Z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