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00009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 xml:space="preserve">N° </w:t>
      </w:r>
      <w:bookmarkStart w:id="2" w:name="_Hlk192582280"/>
      <w:r>
        <w:rPr>
          <w:rFonts w:ascii="Cambria" w:hAnsi="Cambria" w:cstheme="minorHAnsi"/>
        </w:rPr>
        <w:t>152/2026 - DL</w:t>
      </w:r>
      <w:bookmarkEnd w:id="2"/>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00009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xml:space="preserve">, atráves da Secretaria de Finanças, neste ato representado pela Senhora ROSA MARIA SÁ LIMA, Secretária de Finanças, nos termos do art. 75, inciso II combinado com o seu §3º, da Lei Federal nº 14.133, de 01 de abril de 2021 e do Decreto Municipal, torna público que, tem interesse em realizar a contratação direta para </w:t>
      </w:r>
      <w:r>
        <w:rPr>
          <w:rFonts w:ascii="Cambria" w:hAnsi="Cambria"/>
          <w:b/>
        </w:rPr>
        <w:t>CONTRATAÇÃO DE EMPRESA ESPECIALIZADA PARA FORNECIMENTO DE LINK DE ACESSO À INTERNET, INCLUINDO INSTALAÇÃO DE PONTOS, DISPONIBILIZAÇÃO DE EQUIPAMENTOS, CONFIGURAÇÃO, GERENCIAMENTO E MANUTENÇÃO PREVENTIVA E CORRETIVA, DE INTERESSE DA SECRETARIA MUNICIPAL DE FINANÇAS DO MUNICÍPIO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780" w:type="dxa"/>
        <w:jc w:val="center"/>
        <w:tblLayout w:type="fixed"/>
        <w:tblCellMar>
          <w:left w:w="0" w:type="dxa"/>
          <w:right w:w="0" w:type="dxa"/>
        </w:tblCellMar>
        <w:tblLook w:val="0000" w:firstRow="0" w:lastRow="0" w:firstColumn="0" w:lastColumn="0" w:noHBand="0" w:noVBand="0"/>
      </w:tblPr>
      <w:tblGrid>
        <w:gridCol w:w="2196"/>
        <w:gridCol w:w="7584"/>
      </w:tblGrid>
      <w:tr>
        <w:trPr>
          <w:cantSplit/>
          <w:trHeight w:val="428"/>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
                <w:sz w:val="24"/>
                <w:szCs w:val="24"/>
              </w:rPr>
              <w:t>CONTRATAÇÃO DE EMPRESA ESPECIALIZADA PARA FORNECIMENTO DE LINK DE ACESSO À INTERNET, INCLUINDO INSTALAÇÃO DE PONTOS, DISPONIBILIZAÇÃO DE EQUIPAMENTOS, CONFIGURAÇÃO, GERENCIAMENTO E MANUTENÇÃO PREVENTIVA E CORRETIVA, DE INTERESSE DA SECRETARIA MUNICIPAL DE FINANÇAS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bCs/>
                <w:sz w:val="24"/>
                <w:szCs w:val="24"/>
              </w:rPr>
              <w:t>Secretaria Municipal de Finanças</w:t>
            </w:r>
          </w:p>
        </w:tc>
      </w:tr>
      <w:tr>
        <w:trPr>
          <w:cantSplit/>
          <w:trHeight w:hRule="exact" w:val="701"/>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10/09/2026 às 08:00 Horas (Horário de Brasília)</w:t>
            </w:r>
          </w:p>
          <w:p>
            <w:pPr>
              <w:widowControl/>
              <w:autoSpaceDE/>
              <w:autoSpaceDN/>
              <w:snapToGrid w:val="0"/>
              <w:ind w:left="113"/>
              <w:jc w:val="both"/>
              <w:rPr>
                <w:rFonts w:ascii="Cambria" w:hAnsi="Cambria"/>
                <w:sz w:val="24"/>
                <w:szCs w:val="24"/>
                <w:highlight w:val="yellow"/>
                <w:lang w:val="pt-BR" w:eastAsia="pt-BR"/>
              </w:rPr>
            </w:pPr>
            <w:r>
              <w:rPr>
                <w:rFonts w:ascii="Cambria" w:hAnsi="Cambria"/>
                <w:sz w:val="24"/>
                <w:szCs w:val="24"/>
                <w:lang w:val="pt-BR" w:eastAsia="pt-BR"/>
              </w:rPr>
              <w:t>Término: 15/09/2026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58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highlight w:val="yellow"/>
                <w:lang w:val="pt-BR" w:eastAsia="pt-BR"/>
              </w:rPr>
            </w:pPr>
            <w:r>
              <w:rPr>
                <w:rFonts w:ascii="Cambria" w:hAnsi="Cambria"/>
                <w:sz w:val="24"/>
                <w:szCs w:val="24"/>
                <w:lang w:val="pt-BR" w:eastAsia="pt-BR"/>
              </w:rPr>
              <w:t>Início: 15</w:t>
            </w:r>
            <w:bookmarkStart w:id="3" w:name="_GoBack"/>
            <w:bookmarkEnd w:id="3"/>
            <w:r>
              <w:rPr>
                <w:rFonts w:ascii="Cambria" w:hAnsi="Cambria"/>
                <w:sz w:val="24"/>
                <w:szCs w:val="24"/>
                <w:lang w:val="pt-BR" w:eastAsia="pt-BR"/>
              </w:rPr>
              <w:t>/09/2026 das 09:00 às 15:00 Horas (Horário de Brasília)</w:t>
            </w:r>
          </w:p>
        </w:tc>
      </w:tr>
    </w:tbl>
    <w:p>
      <w:pPr>
        <w:pStyle w:val="Corpodetexto"/>
        <w:spacing w:before="9"/>
        <w:jc w:val="both"/>
        <w:rPr>
          <w:rFonts w:ascii="Cambria" w:hAnsi="Cambria" w:cstheme="minorHAnsi"/>
        </w:rPr>
      </w:pPr>
    </w:p>
    <w:p>
      <w:pPr>
        <w:pStyle w:val="Corpodetexto"/>
        <w:spacing w:before="9"/>
        <w:jc w:val="both"/>
        <w:rPr>
          <w:rFonts w:ascii="Cambria" w:hAnsi="Cambria" w:cstheme="minorHAnsi"/>
        </w:rPr>
      </w:pPr>
    </w:p>
    <w:p>
      <w:pPr>
        <w:pStyle w:val="Corpodetexto"/>
        <w:numPr>
          <w:ilvl w:val="0"/>
          <w:numId w:val="6"/>
        </w:numPr>
        <w:shd w:val="clear" w:color="auto" w:fill="00009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lastRenderedPageBreak/>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R$ 65.492,11 (sessenta e cinco mil quatrocentos e noventa e dois reais e onze centavos),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lastRenderedPageBreak/>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tabs>
          <w:tab w:val="left" w:pos="5808"/>
        </w:tabs>
        <w:jc w:val="both"/>
        <w:rPr>
          <w:rFonts w:ascii="Cambria" w:hAnsi="Cambria" w:cstheme="minorHAnsi"/>
        </w:rPr>
      </w:pPr>
      <w:r>
        <w:rPr>
          <w:rFonts w:ascii="Cambria" w:hAnsi="Cambria" w:cstheme="minorHAnsi"/>
        </w:rPr>
        <w:tab/>
      </w:r>
    </w:p>
    <w:p>
      <w:pPr>
        <w:pStyle w:val="Corpodetexto"/>
        <w:jc w:val="both"/>
        <w:rPr>
          <w:rFonts w:ascii="Cambria" w:hAnsi="Cambria" w:cstheme="minorHAnsi"/>
        </w:rPr>
      </w:pPr>
    </w:p>
    <w:p>
      <w:pPr>
        <w:pStyle w:val="Corpodetexto"/>
        <w:numPr>
          <w:ilvl w:val="0"/>
          <w:numId w:val="6"/>
        </w:numPr>
        <w:shd w:val="clear" w:color="auto" w:fill="00009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presente contratação tem como finalidade atender à necessidade da Secretaria Municipal de Finanças do Município de Miraíma/CE quanto à disponibilização de serviços de acesso à internet, incluindo instalação de pontos, disponibilização de equipamentos, configuração, gerenciamento e manutenção preventiva e corretiva, garantindo infraestrutura de conectividade adequada para o desempenho das atividades administrativas desenvolvidas pelo órgão.</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lastRenderedPageBreak/>
        <w:t>O acesso à internet é indispensável para a execução das atividades da Secretaria, permitindo a utilização dos sistemas de gestão financeira, contábil, tributária e orçamentária, plataformas eletrônicas dos Governos Federal, Estadual e Municipal, sistemas de arrecadação, emissão de documentos fiscais, prestação de contas, comunicação institucional e demais ferramentas tecnológicas necessárias ao funcionamento da Administração Pública.</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contratação também contempla a disponibilização da infraestrutura necessária à prestação dos serviços, incluindo instalação dos pontos de acesso, fornecimento dos equipamentos, configuração da rede, gerenciamento da solução e manutenção preventiva e corretiva, assegurando maior disponibilidade, estabilidade e segurança da conectividade durante toda a vigência contratual.</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ausência ou a interrupção desses serviços pode comprometer o funcionamento da Secretaria Municipal de Finanças, ocasionando indisponibilidade dos sistemas institucionais, dificuldades na execução das rotinas administrativas, atrasos no processamento de informações, prejuízos à arrecadação, ao controle financeiro e ao atendimento das demandas da Administração e da população.</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Dessa forma, a contratação de empresa especializada mostra-se necessária para garantir a continuidade dos serviços públicos, proporcionando infraestrutura tecnológica moderna, confiável e compatível com as necessidades da Secretaria Municipal de Finanças, contribuindo para a eficiência da gestão pública e para a adequada execução das atividades administrativas do Município de Miraíma/CE.</w:t>
      </w:r>
    </w:p>
    <w:p>
      <w:pPr>
        <w:pStyle w:val="PargrafodaLista"/>
        <w:tabs>
          <w:tab w:val="left" w:pos="2001"/>
        </w:tabs>
        <w:spacing w:before="1"/>
        <w:ind w:left="0" w:right="3" w:firstLine="567"/>
        <w:rPr>
          <w:rFonts w:ascii="Cambria" w:hAnsi="Cambria" w:cstheme="minorHAnsi"/>
          <w:sz w:val="24"/>
          <w:szCs w:val="24"/>
        </w:rPr>
      </w:pPr>
    </w:p>
    <w:p>
      <w:pPr>
        <w:pStyle w:val="PargrafodaLista"/>
        <w:numPr>
          <w:ilvl w:val="0"/>
          <w:numId w:val="6"/>
        </w:numPr>
        <w:shd w:val="clear" w:color="auto" w:fill="00009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tabs>
          <w:tab w:val="left" w:pos="2249"/>
        </w:tabs>
        <w:ind w:right="3"/>
        <w:jc w:val="both"/>
        <w:rPr>
          <w:rFonts w:ascii="Cambria" w:hAnsi="Cambria" w:cstheme="minorHAnsi"/>
        </w:rPr>
      </w:pPr>
      <w:r>
        <w:rPr>
          <w:rFonts w:ascii="Cambria" w:hAnsi="Cambria" w:cstheme="minorHAnsi"/>
        </w:rPr>
        <w:t>4.1. 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p>
      <w:pPr>
        <w:pStyle w:val="Corpodetexto"/>
        <w:tabs>
          <w:tab w:val="left" w:pos="2249"/>
        </w:tabs>
        <w:ind w:right="3"/>
        <w:jc w:val="both"/>
        <w:rPr>
          <w:rFonts w:ascii="Cambria" w:hAnsi="Cambria" w:cstheme="minorHAnsi"/>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6946"/>
        <w:gridCol w:w="1417"/>
        <w:gridCol w:w="1276"/>
      </w:tblGrid>
      <w:tr>
        <w:trPr>
          <w:trHeight w:val="268"/>
        </w:trPr>
        <w:tc>
          <w:tcPr>
            <w:tcW w:w="851" w:type="dxa"/>
            <w:tcBorders>
              <w:top w:val="single" w:sz="4" w:space="0" w:color="auto"/>
              <w:left w:val="single" w:sz="4" w:space="0" w:color="auto"/>
              <w:bottom w:val="single" w:sz="4" w:space="0" w:color="auto"/>
              <w:right w:val="single" w:sz="4" w:space="0" w:color="auto"/>
            </w:tcBorders>
            <w:shd w:val="clear" w:color="auto" w:fill="00009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946" w:type="dxa"/>
            <w:tcBorders>
              <w:top w:val="single" w:sz="4" w:space="0" w:color="auto"/>
              <w:left w:val="single" w:sz="4" w:space="0" w:color="auto"/>
              <w:bottom w:val="single" w:sz="4" w:space="0" w:color="auto"/>
              <w:right w:val="single" w:sz="4" w:space="0" w:color="auto"/>
            </w:tcBorders>
            <w:shd w:val="clear" w:color="auto" w:fill="00009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1417" w:type="dxa"/>
            <w:tcBorders>
              <w:top w:val="single" w:sz="4" w:space="0" w:color="auto"/>
              <w:left w:val="single" w:sz="4" w:space="0" w:color="auto"/>
              <w:bottom w:val="single" w:sz="4" w:space="0" w:color="auto"/>
              <w:right w:val="single" w:sz="4" w:space="0" w:color="auto"/>
            </w:tcBorders>
            <w:shd w:val="clear" w:color="auto" w:fill="00009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6" w:type="dxa"/>
            <w:tcBorders>
              <w:top w:val="single" w:sz="4" w:space="0" w:color="auto"/>
              <w:left w:val="single" w:sz="4" w:space="0" w:color="auto"/>
              <w:bottom w:val="single" w:sz="4" w:space="0" w:color="auto"/>
              <w:right w:val="single" w:sz="4" w:space="0" w:color="auto"/>
            </w:tcBorders>
            <w:shd w:val="clear" w:color="auto" w:fill="00009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51"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946"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bCs/>
                <w:lang w:val="en-US"/>
              </w:rPr>
            </w:pPr>
            <w:r>
              <w:rPr>
                <w:rFonts w:ascii="Cambria" w:hAnsi="Cambria"/>
                <w:bCs/>
              </w:rPr>
              <w:t>FORNECIMENTO DE LINK DE ACESSO A INTERNET, VIA FIBRA ÓPTICA - SECRETARIA DE FINANÇAS FORNECIMENTO DE LINKS DE ACESSO À INTERNET, VIA FIBRA ÓPTICA, COM VELOCIDADE TOTAL DE 3600 MBPS, DISPONIBILIDADE CONTÍNUA 24 HORAS POR DIA, 7 DIAS POR SEMANA, INCLUINDO INSTALAÇÃO, CONFIGURAÇÃO, SUPORTE TÉCNICO E MANUTENÇÃO, PELO PERÍODO DE 12 DOZE MESES, A SER PRESTADO NAS UNIDADES E LOCAIS INDICADOS NO TERMO DE REFERÊNCIA, PARA ATENDER ÀS NECESSIDADES DA SECRETARIA DE FINANÇAS.</w:t>
            </w:r>
          </w:p>
        </w:tc>
        <w:tc>
          <w:tcPr>
            <w:tcW w:w="1417"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MEGABYTE</w:t>
            </w:r>
          </w:p>
        </w:tc>
        <w:tc>
          <w:tcPr>
            <w:tcW w:w="1276"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3600</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 xml:space="preserve">5.1. O pagamento será feito na proporção da entrega dos serviços licitados, segundo as ordens de serviço expedidas pela Administração, de conformidade com as notas fiscais/faturas devidamente atestadas pelo gestor da despesa, acompanhadas das certidões Fiscais e </w:t>
      </w:r>
      <w:r>
        <w:rPr>
          <w:rFonts w:ascii="Cambria" w:hAnsi="Cambria" w:cstheme="minorHAnsi"/>
          <w:sz w:val="24"/>
          <w:szCs w:val="24"/>
        </w:rPr>
        <w:lastRenderedPageBreak/>
        <w:t>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rPr>
        <w:t>1101.28.123.0006.2.063 - Manutenção da Secretaria de Finanças</w:t>
      </w:r>
      <w:r>
        <w:rPr>
          <w:rFonts w:ascii="Cambria" w:hAnsi="Cambria" w:cstheme="minorHAnsi"/>
        </w:rPr>
        <w:t xml:space="preserve"> - Elemento de Despesas: 3.3.90.39.00 – Outros serv. De terc. Pessoa jurídica - Fonte de Recursos: P róprio.</w:t>
      </w:r>
    </w:p>
    <w:p>
      <w:pPr>
        <w:pStyle w:val="Corpodetexto"/>
        <w:spacing w:before="90"/>
        <w:ind w:right="3"/>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2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000099"/>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w:t>
      </w:r>
      <w:r>
        <w:rPr>
          <w:rFonts w:ascii="Cambria" w:hAnsi="Cambria" w:cstheme="minorHAnsi"/>
        </w:rPr>
        <w:lastRenderedPageBreak/>
        <w:t xml:space="preserve">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aquisição do produto com empresa de demais porte.</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w:t>
      </w:r>
      <w:r>
        <w:rPr>
          <w:rFonts w:ascii="Cambria" w:hAnsi="Cambria" w:cstheme="minorHAnsi"/>
        </w:rPr>
        <w:lastRenderedPageBreak/>
        <w:t xml:space="preserve">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O credenciamento do fornecedor e de seu representante legal junto ao sistema eletrônico implica a responsabilidade legal pelos atos praticados e a presunção de capacidade </w:t>
      </w:r>
      <w:r>
        <w:rPr>
          <w:rFonts w:ascii="Cambria" w:hAnsi="Cambria" w:cstheme="minorHAnsi"/>
        </w:rPr>
        <w:lastRenderedPageBreak/>
        <w:t>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4" w:name="_Hlk15926126"/>
      <w:r>
        <w:rPr>
          <w:rFonts w:ascii="Cambria" w:hAnsi="Cambria"/>
          <w:bCs/>
          <w:szCs w:val="24"/>
        </w:rPr>
        <w:lastRenderedPageBreak/>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4"/>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5"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de fornecimento de link de internet.</w:t>
      </w:r>
    </w:p>
    <w:p>
      <w:pPr>
        <w:ind w:right="-35"/>
        <w:jc w:val="both"/>
        <w:rPr>
          <w:rFonts w:ascii="Cambria" w:hAnsi="Cambria"/>
          <w:b/>
          <w:sz w:val="24"/>
          <w:szCs w:val="24"/>
        </w:rPr>
      </w:pPr>
    </w:p>
    <w:bookmarkEnd w:id="5"/>
    <w:p>
      <w:pPr>
        <w:pStyle w:val="PargrafodaLista"/>
        <w:ind w:left="0"/>
        <w:rPr>
          <w:rFonts w:ascii="Cambria" w:hAnsi="Cambria"/>
          <w:sz w:val="24"/>
          <w:szCs w:val="24"/>
        </w:rPr>
      </w:pPr>
      <w:r>
        <w:rPr>
          <w:rFonts w:ascii="Cambria" w:hAnsi="Cambria" w:cs="Arial"/>
          <w:b/>
          <w:sz w:val="24"/>
          <w:szCs w:val="24"/>
        </w:rPr>
        <w:t>10.16</w:t>
      </w:r>
      <w:r>
        <w:rPr>
          <w:rFonts w:ascii="Cambria" w:hAnsi="Cambria" w:cs="Arial"/>
          <w:bCs/>
          <w:sz w:val="24"/>
          <w:szCs w:val="24"/>
        </w:rPr>
        <w:t>.</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b/>
          <w:bCs/>
          <w:szCs w:val="24"/>
        </w:rPr>
        <w:t>10.16.1.</w:t>
      </w:r>
      <w:r>
        <w:rPr>
          <w:rFonts w:ascii="Cambria" w:hAnsi="Cambria"/>
          <w:szCs w:val="24"/>
        </w:rPr>
        <w:t xml:space="preserve">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agente de contratação.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02 (Duas)</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lastRenderedPageBreak/>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000099"/>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09 de setembro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000099"/>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4"/>
          <w:szCs w:val="24"/>
        </w:rPr>
      </w:pPr>
    </w:p>
    <w:p>
      <w:pPr>
        <w:rPr>
          <w:rFonts w:ascii="Cambria" w:hAnsi="Cambria" w:cstheme="minorHAnsi"/>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
          <w:bCs/>
          <w:sz w:val="24"/>
          <w:szCs w:val="24"/>
        </w:rPr>
      </w:pPr>
      <w:r>
        <w:rPr>
          <w:rFonts w:ascii="Cambria" w:hAnsi="Cambria"/>
          <w:b/>
          <w:sz w:val="24"/>
          <w:szCs w:val="24"/>
        </w:rPr>
        <w:t xml:space="preserve">1.1. </w:t>
      </w:r>
      <w:r>
        <w:rPr>
          <w:rFonts w:ascii="Cambria" w:hAnsi="Cambria"/>
          <w:b/>
          <w:sz w:val="24"/>
          <w:szCs w:val="24"/>
          <w:lang w:val="pt-BR"/>
        </w:rPr>
        <w:t>CONTRATAÇÃO DE EMPRESA ESPECIALIZADA PARA FORNECIMENTO DE LINK DE ACESSO À INTERNET, INCLUINDO INSTALAÇÃO DE PONTOS, DISPONIBILIZAÇÃO DE EQUIPAMENTOS, CONFIGURAÇÃO, GERENCIAMENTO E MANUTENÇÃO PREVENTIVA E CORRETIVA, DE INTERESSE DA SECRETARIA MUNICIPAL DE FINANÇAS DO MUNICÍPIO DE MIRAÍMA/CE</w:t>
      </w:r>
      <w:r>
        <w:rPr>
          <w:rFonts w:ascii="Cambria" w:hAnsi="Cambria"/>
          <w:b/>
          <w:sz w:val="24"/>
          <w:szCs w:val="24"/>
        </w:rPr>
        <w:t>.</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sz w:val="24"/>
          <w:szCs w:val="24"/>
        </w:rPr>
      </w:pPr>
      <w:r>
        <w:rPr>
          <w:rFonts w:ascii="Cambria" w:hAnsi="Cambria"/>
          <w:sz w:val="24"/>
          <w:szCs w:val="24"/>
        </w:rPr>
        <w:t>A presente contratação tem como finalidade atender à necessidade da Secretaria Municipal de Finanças do Município de Miraíma/CE quanto à disponibilização de serviços de acesso à internet, incluindo instalação de pontos, disponibilização de equipamentos, configuração, gerenciamento e manutenção preventiva e corretiva, garantindo infraestrutura de conectividade adequada para o desempenho das atividades administrativas desenvolvidas pelo órgão.</w:t>
      </w:r>
    </w:p>
    <w:p>
      <w:pPr>
        <w:pBdr>
          <w:top w:val="nil"/>
          <w:left w:val="nil"/>
          <w:bottom w:val="nil"/>
          <w:right w:val="nil"/>
          <w:between w:val="nil"/>
        </w:pBdr>
        <w:spacing w:line="276" w:lineRule="auto"/>
        <w:ind w:firstLine="567"/>
        <w:jc w:val="both"/>
        <w:rPr>
          <w:rFonts w:ascii="Cambria" w:hAnsi="Cambria"/>
          <w:sz w:val="24"/>
          <w:szCs w:val="24"/>
        </w:rPr>
      </w:pPr>
      <w:r>
        <w:rPr>
          <w:rFonts w:ascii="Cambria" w:hAnsi="Cambria"/>
          <w:sz w:val="24"/>
          <w:szCs w:val="24"/>
        </w:rPr>
        <w:t>O acesso à internet é indispensável para a execução das atividades da Secretaria, permitindo a utilização dos sistemas de gestão financeira, contábil, tributária e orçamentária, plataformas eletrônicas dos Governos Federal, Estadual e Municipal, sistemas de arrecadação, emissão de documentos fiscais, prestação de contas, comunicação institucional e demais ferramentas tecnológicas necessárias ao funcionamento da Administração Pública.</w:t>
      </w:r>
    </w:p>
    <w:p>
      <w:pPr>
        <w:pBdr>
          <w:top w:val="nil"/>
          <w:left w:val="nil"/>
          <w:bottom w:val="nil"/>
          <w:right w:val="nil"/>
          <w:between w:val="nil"/>
        </w:pBdr>
        <w:spacing w:line="276" w:lineRule="auto"/>
        <w:ind w:firstLine="567"/>
        <w:jc w:val="both"/>
        <w:rPr>
          <w:rFonts w:ascii="Cambria" w:hAnsi="Cambria"/>
          <w:sz w:val="24"/>
          <w:szCs w:val="24"/>
        </w:rPr>
      </w:pPr>
      <w:r>
        <w:rPr>
          <w:rFonts w:ascii="Cambria" w:hAnsi="Cambria"/>
          <w:sz w:val="24"/>
          <w:szCs w:val="24"/>
        </w:rPr>
        <w:t>A contratação também contempla a disponibilização da infraestrutura necessária à prestação dos serviços, incluindo instalação dos pontos de acesso, fornecimento dos equipamentos, configuração da rede, gerenciamento da solução e manutenção preventiva e corretiva, assegurando maior disponibilidade, estabilidade e segurança da conectividade durante toda a vigência contratual.</w:t>
      </w:r>
    </w:p>
    <w:p>
      <w:pPr>
        <w:pBdr>
          <w:top w:val="nil"/>
          <w:left w:val="nil"/>
          <w:bottom w:val="nil"/>
          <w:right w:val="nil"/>
          <w:between w:val="nil"/>
        </w:pBdr>
        <w:spacing w:line="276" w:lineRule="auto"/>
        <w:ind w:firstLine="567"/>
        <w:jc w:val="both"/>
        <w:rPr>
          <w:rFonts w:ascii="Cambria" w:hAnsi="Cambria"/>
          <w:sz w:val="24"/>
          <w:szCs w:val="24"/>
        </w:rPr>
      </w:pPr>
      <w:r>
        <w:rPr>
          <w:rFonts w:ascii="Cambria" w:hAnsi="Cambria"/>
          <w:sz w:val="24"/>
          <w:szCs w:val="24"/>
        </w:rPr>
        <w:t>A ausência ou a interrupção desses serviços pode comprometer o funcionamento da Secretaria Municipal de Finanças, ocasionando indisponibilidade dos sistemas institucionais, dificuldades na execução das rotinas administrativas, atrasos no processamento de informações, prejuízos à arrecadação, ao controle financeiro e ao atendimento das demandas da Administração e da população.</w:t>
      </w:r>
    </w:p>
    <w:p>
      <w:pPr>
        <w:pBdr>
          <w:top w:val="nil"/>
          <w:left w:val="nil"/>
          <w:bottom w:val="nil"/>
          <w:right w:val="nil"/>
          <w:between w:val="nil"/>
        </w:pBdr>
        <w:spacing w:line="276" w:lineRule="auto"/>
        <w:ind w:firstLine="567"/>
        <w:jc w:val="both"/>
        <w:rPr>
          <w:rFonts w:ascii="Cambria" w:hAnsi="Cambria"/>
          <w:sz w:val="24"/>
          <w:szCs w:val="24"/>
        </w:rPr>
      </w:pPr>
      <w:r>
        <w:rPr>
          <w:rFonts w:ascii="Cambria" w:hAnsi="Cambria"/>
          <w:sz w:val="24"/>
          <w:szCs w:val="24"/>
        </w:rPr>
        <w:t>Dessa forma, a contratação de empresa especializada mostra-se necessária para garantir a continuidade dos serviços públicos, proporcionando infraestrutura tecnológica moderna, confiável e compatível com as necessidades da Secretaria Municipal de Finanças, contribuindo para a eficiência da gestão pública e para a adequada execução das atividades administrativas do Município de Miraíma/CE.</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p>
      <w:pPr>
        <w:pBdr>
          <w:top w:val="nil"/>
          <w:left w:val="nil"/>
          <w:bottom w:val="nil"/>
          <w:right w:val="nil"/>
          <w:between w:val="nil"/>
        </w:pBdr>
        <w:shd w:val="clear" w:color="auto" w:fill="F2F2F2"/>
        <w:spacing w:line="276" w:lineRule="auto"/>
        <w:jc w:val="both"/>
        <w:rPr>
          <w:rFonts w:ascii="Cambria" w:hAnsi="Cambria"/>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8"/>
        <w:gridCol w:w="3610"/>
        <w:gridCol w:w="1334"/>
        <w:gridCol w:w="1009"/>
        <w:gridCol w:w="1361"/>
        <w:gridCol w:w="1717"/>
      </w:tblGrid>
      <w:tr>
        <w:trPr>
          <w:trHeight w:val="315"/>
          <w:jc w:val="center"/>
        </w:trPr>
        <w:tc>
          <w:tcPr>
            <w:tcW w:w="406" w:type="pct"/>
            <w:vMerge w:val="restart"/>
            <w:shd w:val="clear" w:color="auto" w:fill="000099"/>
            <w:noWrap/>
            <w:vAlign w:val="center"/>
            <w:hideMark/>
          </w:tcPr>
          <w:p>
            <w:pPr>
              <w:jc w:val="center"/>
              <w:rPr>
                <w:rFonts w:ascii="Cambria" w:hAnsi="Cambria"/>
                <w:b/>
                <w:bCs/>
                <w:sz w:val="24"/>
                <w:szCs w:val="24"/>
              </w:rPr>
            </w:pPr>
            <w:r>
              <w:rPr>
                <w:rFonts w:ascii="Cambria" w:hAnsi="Cambria"/>
                <w:b/>
                <w:bCs/>
                <w:sz w:val="24"/>
                <w:szCs w:val="24"/>
              </w:rPr>
              <w:t>ITEM</w:t>
            </w:r>
          </w:p>
        </w:tc>
        <w:tc>
          <w:tcPr>
            <w:tcW w:w="1869" w:type="pct"/>
            <w:vMerge w:val="restart"/>
            <w:shd w:val="clear" w:color="auto" w:fill="000099"/>
            <w:vAlign w:val="center"/>
            <w:hideMark/>
          </w:tcPr>
          <w:p>
            <w:pPr>
              <w:jc w:val="center"/>
              <w:rPr>
                <w:rFonts w:ascii="Cambria" w:hAnsi="Cambria"/>
                <w:b/>
                <w:bCs/>
                <w:sz w:val="24"/>
                <w:szCs w:val="24"/>
              </w:rPr>
            </w:pPr>
            <w:r>
              <w:rPr>
                <w:rFonts w:ascii="Cambria" w:hAnsi="Cambria"/>
                <w:b/>
                <w:bCs/>
                <w:sz w:val="24"/>
                <w:szCs w:val="24"/>
              </w:rPr>
              <w:t>ESPECIFICAÇÃO</w:t>
            </w:r>
          </w:p>
        </w:tc>
        <w:tc>
          <w:tcPr>
            <w:tcW w:w="636" w:type="pct"/>
            <w:vMerge w:val="restart"/>
            <w:shd w:val="clear" w:color="auto" w:fill="000099"/>
            <w:noWrap/>
            <w:vAlign w:val="center"/>
            <w:hideMark/>
          </w:tcPr>
          <w:p>
            <w:pPr>
              <w:jc w:val="center"/>
              <w:rPr>
                <w:rFonts w:ascii="Cambria" w:hAnsi="Cambria"/>
                <w:b/>
                <w:bCs/>
                <w:sz w:val="24"/>
                <w:szCs w:val="24"/>
              </w:rPr>
            </w:pPr>
            <w:r>
              <w:rPr>
                <w:rFonts w:ascii="Cambria" w:hAnsi="Cambria"/>
                <w:b/>
                <w:bCs/>
                <w:sz w:val="24"/>
                <w:szCs w:val="24"/>
              </w:rPr>
              <w:t>UNIDADE</w:t>
            </w:r>
          </w:p>
        </w:tc>
        <w:tc>
          <w:tcPr>
            <w:tcW w:w="539" w:type="pct"/>
            <w:vMerge w:val="restart"/>
            <w:shd w:val="clear" w:color="auto" w:fill="000099"/>
            <w:noWrap/>
            <w:vAlign w:val="center"/>
            <w:hideMark/>
          </w:tcPr>
          <w:p>
            <w:pPr>
              <w:jc w:val="center"/>
              <w:rPr>
                <w:rFonts w:ascii="Cambria" w:hAnsi="Cambria"/>
                <w:b/>
                <w:bCs/>
                <w:sz w:val="24"/>
                <w:szCs w:val="24"/>
              </w:rPr>
            </w:pPr>
            <w:r>
              <w:rPr>
                <w:rFonts w:ascii="Cambria" w:hAnsi="Cambria"/>
                <w:b/>
                <w:bCs/>
                <w:sz w:val="24"/>
                <w:szCs w:val="24"/>
              </w:rPr>
              <w:t>QUANT</w:t>
            </w:r>
          </w:p>
        </w:tc>
        <w:tc>
          <w:tcPr>
            <w:tcW w:w="1550" w:type="pct"/>
            <w:gridSpan w:val="2"/>
            <w:shd w:val="clear" w:color="auto" w:fill="000099"/>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jc w:val="center"/>
        </w:trPr>
        <w:tc>
          <w:tcPr>
            <w:tcW w:w="406" w:type="pct"/>
            <w:vMerge/>
            <w:vAlign w:val="center"/>
            <w:hideMark/>
          </w:tcPr>
          <w:p>
            <w:pPr>
              <w:rPr>
                <w:rFonts w:ascii="Cambria" w:hAnsi="Cambria"/>
                <w:b/>
                <w:bCs/>
                <w:sz w:val="24"/>
                <w:szCs w:val="24"/>
              </w:rPr>
            </w:pPr>
          </w:p>
        </w:tc>
        <w:tc>
          <w:tcPr>
            <w:tcW w:w="1869" w:type="pct"/>
            <w:vMerge/>
            <w:vAlign w:val="center"/>
            <w:hideMark/>
          </w:tcPr>
          <w:p>
            <w:pPr>
              <w:rPr>
                <w:rFonts w:ascii="Cambria" w:hAnsi="Cambria"/>
                <w:b/>
                <w:bCs/>
                <w:sz w:val="24"/>
                <w:szCs w:val="24"/>
              </w:rPr>
            </w:pPr>
          </w:p>
        </w:tc>
        <w:tc>
          <w:tcPr>
            <w:tcW w:w="636" w:type="pct"/>
            <w:vMerge/>
            <w:vAlign w:val="center"/>
            <w:hideMark/>
          </w:tcPr>
          <w:p>
            <w:pPr>
              <w:rPr>
                <w:rFonts w:ascii="Cambria" w:hAnsi="Cambria"/>
                <w:b/>
                <w:bCs/>
                <w:sz w:val="24"/>
                <w:szCs w:val="24"/>
              </w:rPr>
            </w:pPr>
          </w:p>
        </w:tc>
        <w:tc>
          <w:tcPr>
            <w:tcW w:w="539" w:type="pct"/>
            <w:vMerge/>
            <w:vAlign w:val="center"/>
            <w:hideMark/>
          </w:tcPr>
          <w:p>
            <w:pPr>
              <w:rPr>
                <w:rFonts w:ascii="Cambria" w:hAnsi="Cambria"/>
                <w:b/>
                <w:bCs/>
                <w:sz w:val="24"/>
                <w:szCs w:val="24"/>
              </w:rPr>
            </w:pPr>
          </w:p>
        </w:tc>
        <w:tc>
          <w:tcPr>
            <w:tcW w:w="649" w:type="pct"/>
            <w:shd w:val="clear" w:color="auto" w:fill="000099"/>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901" w:type="pct"/>
            <w:shd w:val="clear" w:color="auto" w:fill="000099"/>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jc w:val="center"/>
        </w:trPr>
        <w:tc>
          <w:tcPr>
            <w:tcW w:w="406" w:type="pct"/>
            <w:noWrap/>
            <w:vAlign w:val="center"/>
            <w:hideMark/>
          </w:tcPr>
          <w:p>
            <w:pPr>
              <w:jc w:val="center"/>
              <w:rPr>
                <w:rFonts w:ascii="Cambria" w:hAnsi="Cambria"/>
                <w:sz w:val="24"/>
                <w:szCs w:val="24"/>
              </w:rPr>
            </w:pPr>
            <w:r>
              <w:rPr>
                <w:rFonts w:ascii="Cambria" w:hAnsi="Cambria"/>
                <w:sz w:val="24"/>
                <w:szCs w:val="24"/>
              </w:rPr>
              <w:t>1</w:t>
            </w:r>
          </w:p>
        </w:tc>
        <w:tc>
          <w:tcPr>
            <w:tcW w:w="1869" w:type="pct"/>
            <w:vAlign w:val="center"/>
          </w:tcPr>
          <w:p>
            <w:pPr>
              <w:jc w:val="both"/>
              <w:rPr>
                <w:rFonts w:ascii="Cambria" w:eastAsia="Calibri" w:hAnsi="Cambria"/>
                <w:bCs/>
                <w:sz w:val="24"/>
                <w:szCs w:val="24"/>
                <w:lang w:eastAsia="zh-CN"/>
              </w:rPr>
            </w:pPr>
            <w:r>
              <w:rPr>
                <w:rFonts w:ascii="Cambria" w:eastAsia="Calibri" w:hAnsi="Cambria"/>
                <w:bCs/>
                <w:sz w:val="24"/>
                <w:szCs w:val="24"/>
                <w:lang w:eastAsia="zh-CN"/>
              </w:rPr>
              <w:t>FORNECIMENTO DE LINK DE ACESSO A INTERNET, VIA FIBRA ÓPTICA - SECRETARIA DE FINANÇAS FORNECIMENTO DE LINKS DE ACESSO À INTERNET, VIA FIBRA ÓPTICA, COM VELOCIDADE TOTAL DE 3600 MBPS, DISPONIBILIDADE CONTÍNUA 24 HORAS POR DIA, 7 DIAS POR SEMANA, INCLUINDO INSTALAÇÃO, CONFIGURAÇÃO, SUPORTE TÉCNICO E MANUTENÇÃO, PELO PERÍODO DE 12 DOZE MESES, A SER PRESTADO NAS UNIDADES E LOCAIS INDICADOS NO TERMO DE REFERÊNCIA, PARA ATENDER ÀS NECESSIDADES DA SECRETARIA DE FINANÇAS.</w:t>
            </w:r>
          </w:p>
        </w:tc>
        <w:tc>
          <w:tcPr>
            <w:tcW w:w="636" w:type="pct"/>
            <w:noWrap/>
            <w:vAlign w:val="center"/>
            <w:hideMark/>
          </w:tcPr>
          <w:p>
            <w:pPr>
              <w:jc w:val="center"/>
              <w:rPr>
                <w:rFonts w:ascii="Cambria" w:hAnsi="Cambria"/>
                <w:sz w:val="24"/>
                <w:szCs w:val="24"/>
              </w:rPr>
            </w:pPr>
            <w:r>
              <w:rPr>
                <w:rFonts w:ascii="Cambria" w:hAnsi="Cambria"/>
                <w:sz w:val="24"/>
                <w:szCs w:val="24"/>
              </w:rPr>
              <w:t xml:space="preserve">MEGABYTE </w:t>
            </w:r>
          </w:p>
        </w:tc>
        <w:tc>
          <w:tcPr>
            <w:tcW w:w="539" w:type="pct"/>
            <w:noWrap/>
            <w:vAlign w:val="center"/>
            <w:hideMark/>
          </w:tcPr>
          <w:p>
            <w:pPr>
              <w:jc w:val="center"/>
              <w:rPr>
                <w:rFonts w:ascii="Cambria" w:hAnsi="Cambria"/>
                <w:sz w:val="24"/>
                <w:szCs w:val="24"/>
              </w:rPr>
            </w:pPr>
            <w:r>
              <w:rPr>
                <w:rFonts w:ascii="Cambria" w:hAnsi="Cambria"/>
                <w:sz w:val="24"/>
                <w:szCs w:val="24"/>
              </w:rPr>
              <w:t>3600</w:t>
            </w:r>
          </w:p>
        </w:tc>
        <w:tc>
          <w:tcPr>
            <w:tcW w:w="649" w:type="pct"/>
            <w:noWrap/>
            <w:vAlign w:val="center"/>
          </w:tcPr>
          <w:p>
            <w:pPr>
              <w:jc w:val="center"/>
              <w:rPr>
                <w:rFonts w:ascii="Cambria" w:hAnsi="Cambria"/>
                <w:sz w:val="24"/>
                <w:szCs w:val="24"/>
                <w:highlight w:val="yellow"/>
              </w:rPr>
            </w:pPr>
            <w:r>
              <w:rPr>
                <w:rFonts w:ascii="Cambria" w:hAnsi="Cambria"/>
                <w:sz w:val="24"/>
                <w:szCs w:val="24"/>
              </w:rPr>
              <w:t>R$ 3,88</w:t>
            </w:r>
          </w:p>
        </w:tc>
        <w:tc>
          <w:tcPr>
            <w:tcW w:w="901" w:type="pct"/>
            <w:noWrap/>
            <w:vAlign w:val="center"/>
          </w:tcPr>
          <w:p>
            <w:pPr>
              <w:jc w:val="center"/>
              <w:rPr>
                <w:rFonts w:ascii="Cambria" w:hAnsi="Cambria"/>
                <w:sz w:val="24"/>
                <w:szCs w:val="24"/>
                <w:highlight w:val="yellow"/>
              </w:rPr>
            </w:pPr>
            <w:r>
              <w:rPr>
                <w:rFonts w:ascii="Cambria" w:hAnsi="Cambria"/>
                <w:sz w:val="24"/>
                <w:szCs w:val="24"/>
              </w:rPr>
              <w:t>R$ 13.968,00</w:t>
            </w:r>
          </w:p>
        </w:tc>
      </w:tr>
      <w:tr>
        <w:trPr>
          <w:trHeight w:val="225"/>
          <w:jc w:val="center"/>
        </w:trPr>
        <w:tc>
          <w:tcPr>
            <w:tcW w:w="5000" w:type="pct"/>
            <w:gridSpan w:val="6"/>
            <w:shd w:val="clear" w:color="auto" w:fill="000099"/>
            <w:noWrap/>
            <w:vAlign w:val="center"/>
            <w:hideMark/>
          </w:tcPr>
          <w:p>
            <w:pPr>
              <w:jc w:val="center"/>
              <w:rPr>
                <w:rFonts w:ascii="Cambria" w:hAnsi="Cambria"/>
                <w:b/>
                <w:bCs/>
                <w:sz w:val="24"/>
                <w:szCs w:val="24"/>
              </w:rPr>
            </w:pPr>
            <w:r>
              <w:rPr>
                <w:rFonts w:ascii="Cambria" w:hAnsi="Cambria"/>
                <w:b/>
                <w:bCs/>
                <w:sz w:val="24"/>
                <w:szCs w:val="24"/>
              </w:rPr>
              <w:t>VALOR GLOBAL: R$ 13.968,00 (três mil, novecentos e sessenta e oito reais).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lastRenderedPageBreak/>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lastRenderedPageBreak/>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4.4.1.1.</w:t>
      </w:r>
      <w:r>
        <w:rPr>
          <w:rFonts w:ascii="Cambria" w:hAnsi="Cambria"/>
          <w:bCs/>
          <w:sz w:val="24"/>
          <w:szCs w:val="24"/>
        </w:rPr>
        <w:t xml:space="preserve"> Comprovação de aptidão para desempenho de atividade pertinente e compatível em características com o objetivo da licitação, mediante apresentação de atestado(s) fornecido(s) por pessoa(s) jurídica(s) de direito público ou privado, </w:t>
      </w:r>
      <w:r>
        <w:rPr>
          <w:rFonts w:ascii="Cambria" w:hAnsi="Cambria"/>
          <w:sz w:val="24"/>
          <w:szCs w:val="24"/>
        </w:rPr>
        <w:t>comprovando a execução de serviços similares</w:t>
      </w:r>
      <w:r>
        <w:rPr>
          <w:rFonts w:ascii="Cambria" w:hAnsi="Cambria"/>
          <w:bCs/>
          <w:sz w:val="24"/>
          <w:szCs w:val="24"/>
        </w:rPr>
        <w:t>.</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lastRenderedPageBreak/>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14.133/2021</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COMPRA/AUTORIZAÇÃO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e</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lastRenderedPageBreak/>
        <w:t>10. RESPONSABILIDADES DA CONTRATADA: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As partes se obrigam reciprocamente a cumprir integralmente as disposições do instrumento convocatório, da Lei Federal nº. 14.133 de 01 de abril de 2021, alterada e consolidada e do </w:t>
      </w:r>
      <w:r>
        <w:rPr>
          <w:rFonts w:ascii="Cambria" w:hAnsi="Cambria"/>
          <w:bCs/>
          <w:sz w:val="24"/>
          <w:szCs w:val="24"/>
        </w:rPr>
        <w:t>Decreto Municipal n.º 053/2023 de 27 de dezembro de 2023</w:t>
      </w:r>
      <w:r>
        <w:rPr>
          <w:rFonts w:ascii="Cambria" w:hAnsi="Cambria"/>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w:t>
      </w:r>
      <w:r>
        <w:rPr>
          <w:rFonts w:ascii="Cambria" w:hAnsi="Cambria"/>
          <w:sz w:val="24"/>
          <w:szCs w:val="24"/>
        </w:rPr>
        <w:t xml:space="preserve"> O CONTRATADO obriga-se 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 </w:t>
      </w:r>
      <w:r>
        <w:rPr>
          <w:rFonts w:ascii="Cambria" w:hAnsi="Cambria"/>
          <w:sz w:val="24"/>
          <w:szCs w:val="24"/>
        </w:rPr>
        <w:t>Os serviços licitados deverão ser iniciados no prazo de até 05 (cinco) dias úteis, a contar da “ORDEM DE SERVIÇO”,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fornecimento/execução/prestação que lhes sejam imputáveis, inclusive com relação a terceiros, em decorrência da celebração do Contrato, e ainda:</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b)</w:t>
      </w:r>
      <w:r>
        <w:rPr>
          <w:rFonts w:ascii="Cambria" w:hAnsi="Cambria"/>
          <w:sz w:val="24"/>
          <w:szCs w:val="24"/>
        </w:rPr>
        <w:t xml:space="preserve"> responsabilizar-se pelos danos causados diretamente à Administração ou a terceiros, decorrentes de sua culpa ou dolo na execução do contrato, não excluindo ou reduzindo essa responsabilidade a fiscalização ou o acompanhamento pelo órgão interessado;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c)</w:t>
      </w:r>
      <w:r>
        <w:rPr>
          <w:rFonts w:ascii="Cambria" w:hAnsi="Cambria"/>
          <w:sz w:val="24"/>
          <w:szCs w:val="24"/>
        </w:rPr>
        <w:t xml:space="preserve"> aceitar, nas mesmas condições contratuais, os acréscimos ou supressões que se fizerem no fornecimento, até 25% (vinte e cinco por cento) do valor inicial atualizado do contrato, na forma da Lei nº 14.133/21;</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10.2.2.</w:t>
      </w:r>
      <w:r>
        <w:rPr>
          <w:rFonts w:ascii="Cambria" w:hAnsi="Cambria"/>
          <w:sz w:val="24"/>
          <w:szCs w:val="24"/>
        </w:rPr>
        <w:t xml:space="preserve"> O licitante vencedor guardará sigilo sobre informações e documentos fornecidos pelo Contratante, em decorrência dos produtos objeto do presente contrato, adotando medidas internas de segurança.</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CONTRATADO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lastRenderedPageBreak/>
        <w:t>12.1.</w:t>
      </w:r>
      <w:r>
        <w:rPr>
          <w:rFonts w:ascii="Cambria" w:hAnsi="Cambria"/>
          <w:sz w:val="24"/>
          <w:szCs w:val="24"/>
        </w:rPr>
        <w:t xml:space="preserve"> O pagamento será feito na proporção da entrega dos serviços licitados, segundo as ordens de compras/autorizações de fornecimento expedidas pela Administração, de conformidade com as notas fiscais/faturas devidamente atestadas pelo gestor da despesa, acompanhadas das certidões Fiscais e Trabalhistas do licitante vencedor, todas atualizadas, observadas as condições da proposta.</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12.2.</w:t>
      </w:r>
      <w:r>
        <w:rPr>
          <w:rFonts w:ascii="Cambria" w:hAnsi="Cambria"/>
          <w:sz w:val="24"/>
          <w:szCs w:val="24"/>
        </w:rPr>
        <w:t xml:space="preserve"> O pagamento será efetuado em até 30 (trinta) dias após o encaminhamento da documentação tratada no subitem anterior, através de crédito na conta bancária do fornecedor.</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sz w:val="24"/>
          <w:szCs w:val="24"/>
          <w:lang w:eastAsia="ar-SA"/>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bCs/>
          <w:sz w:val="24"/>
          <w:szCs w:val="24"/>
        </w:rPr>
        <w:t>1101.</w:t>
      </w:r>
      <w:r>
        <w:rPr>
          <w:rFonts w:ascii="Cambria" w:hAnsi="Cambria"/>
          <w:sz w:val="24"/>
          <w:szCs w:val="24"/>
        </w:rPr>
        <w:t>28.123.0006.2.063 - Manutenção da Secretaria de Finanças</w:t>
      </w:r>
      <w:r>
        <w:rPr>
          <w:rFonts w:ascii="Cambria" w:hAnsi="Cambria"/>
          <w:sz w:val="24"/>
          <w:szCs w:val="24"/>
          <w:lang w:eastAsia="ar-SA"/>
        </w:rPr>
        <w:t>; Elemento de Despesas: 3.3.90.39.00 - Outros Serv. de Terc. Pessoa Jurídica; Fonte de Recursos: 1500000000</w:t>
      </w:r>
      <w:r>
        <w:rPr>
          <w:rFonts w:ascii="Cambria" w:hAnsi="Cambria"/>
          <w:sz w:val="24"/>
          <w:szCs w:val="24"/>
          <w:lang w:eastAsia="ar-SA"/>
        </w:rPr>
        <w:t>.</w:t>
      </w:r>
    </w:p>
    <w:p>
      <w:pPr>
        <w:pBdr>
          <w:top w:val="nil"/>
          <w:left w:val="nil"/>
          <w:bottom w:val="nil"/>
          <w:right w:val="nil"/>
          <w:between w:val="nil"/>
        </w:pBdr>
        <w:jc w:val="both"/>
        <w:rPr>
          <w:rFonts w:ascii="Cambria" w:hAnsi="Cambria"/>
          <w:b/>
          <w:sz w:val="24"/>
          <w:szCs w:val="24"/>
          <w:u w:val="single"/>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Multa de 30% (trinta por cento) sobre o valor do contrato;</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 xml:space="preserve">Se não for possível o pagamento por meio de desconto, a CONTRATADA ficará obrigada a recolher a multa por meio de depósito em Conta Corrente em nome da PREFEITURA (o número da Conta será informado pela Tesouraria da PREFEITURA). Senão o fizer, será </w:t>
      </w:r>
      <w:r>
        <w:rPr>
          <w:rFonts w:ascii="Cambria" w:hAnsi="Cambria"/>
          <w:sz w:val="24"/>
          <w:szCs w:val="24"/>
        </w:rPr>
        <w:lastRenderedPageBreak/>
        <w:t>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000099"/>
        <w:spacing w:line="276" w:lineRule="auto"/>
        <w:jc w:val="both"/>
        <w:rPr>
          <w:rFonts w:ascii="Cambria" w:hAnsi="Cambria"/>
          <w:b/>
          <w:sz w:val="24"/>
          <w:szCs w:val="24"/>
        </w:rPr>
      </w:pPr>
      <w:r>
        <w:rPr>
          <w:rFonts w:ascii="Cambria" w:hAnsi="Cambria"/>
          <w:b/>
          <w:sz w:val="24"/>
          <w:szCs w:val="24"/>
        </w:rPr>
        <w:t>17. DA ALOCAÇÃO DE RISCOS:</w:t>
      </w:r>
    </w:p>
    <w:p>
      <w:pPr>
        <w:shd w:val="clear" w:color="auto" w:fill="FFFFFF"/>
        <w:spacing w:line="276" w:lineRule="auto"/>
        <w:jc w:val="both"/>
        <w:rPr>
          <w:rFonts w:ascii="Cambria" w:hAnsi="Cambria"/>
          <w:sz w:val="24"/>
          <w:szCs w:val="24"/>
        </w:rPr>
      </w:pPr>
      <w:r>
        <w:rPr>
          <w:rFonts w:ascii="Cambria" w:hAnsi="Cambria"/>
          <w:b/>
          <w:bCs/>
          <w:sz w:val="24"/>
          <w:szCs w:val="24"/>
        </w:rPr>
        <w:t xml:space="preserve">17.1. </w:t>
      </w:r>
      <w:r>
        <w:rPr>
          <w:rFonts w:ascii="Cambria" w:hAnsi="Cambria"/>
          <w:sz w:val="24"/>
          <w:szCs w:val="24"/>
        </w:rPr>
        <w:t xml:space="preserve">Considerando a faculdade posta no inciso do art. 22 da </w:t>
      </w:r>
      <w:r>
        <w:rPr>
          <w:rFonts w:ascii="Cambria" w:hAnsi="Cambria"/>
          <w:bCs/>
          <w:sz w:val="24"/>
          <w:szCs w:val="24"/>
        </w:rPr>
        <w:t>Lei Federal n.º 14.133/2021 – Nova Lei de Licitações</w:t>
      </w:r>
      <w:r>
        <w:rPr>
          <w:rFonts w:ascii="Cambria" w:hAnsi="Cambria"/>
          <w:sz w:val="24"/>
          <w:szCs w:val="24"/>
        </w:rPr>
        <w:t xml:space="preserve">, fica dispensada a apresentação da alocação dos riscos, haja vista a baixa complexidade do objeto. </w:t>
      </w:r>
    </w:p>
    <w:p>
      <w:pPr>
        <w:jc w:val="center"/>
        <w:rPr>
          <w:rFonts w:ascii="Cambria" w:hAnsi="Cambria" w:cstheme="minorHAnsi"/>
          <w:b/>
          <w:bCs/>
          <w:sz w:val="24"/>
          <w:szCs w:val="24"/>
        </w:rPr>
      </w:pPr>
    </w:p>
    <w:p>
      <w:pPr>
        <w:tabs>
          <w:tab w:val="center" w:pos="4819"/>
        </w:tabs>
        <w:rPr>
          <w:rFonts w:ascii="Cambria" w:hAnsi="Cambria" w:cstheme="minorHAnsi"/>
          <w:sz w:val="24"/>
          <w:szCs w:val="24"/>
        </w:rPr>
        <w:sectPr>
          <w:headerReference w:type="default" r:id="rId10"/>
          <w:footerReference w:type="default" r:id="rId11"/>
          <w:pgSz w:w="11910" w:h="16840"/>
          <w:pgMar w:top="1843" w:right="1137" w:bottom="1418" w:left="1134" w:header="534" w:footer="454" w:gutter="0"/>
          <w:cols w:space="720"/>
          <w:docGrid w:linePitch="299"/>
        </w:sectPr>
      </w:pPr>
      <w:r>
        <w:rPr>
          <w:rFonts w:ascii="Cambria" w:hAnsi="Cambria" w:cstheme="minorHAnsi"/>
          <w:sz w:val="24"/>
          <w:szCs w:val="24"/>
        </w:rPr>
        <w:tab/>
      </w:r>
    </w:p>
    <w:p>
      <w:pPr>
        <w:spacing w:line="275" w:lineRule="exact"/>
        <w:jc w:val="center"/>
        <w:rPr>
          <w:rFonts w:ascii="Cambria" w:hAnsi="Cambria" w:cstheme="minorHAnsi"/>
          <w:b/>
          <w:bCs/>
          <w:sz w:val="24"/>
          <w:szCs w:val="24"/>
        </w:rPr>
      </w:pPr>
    </w:p>
    <w:p>
      <w:pPr>
        <w:shd w:val="clear" w:color="auto" w:fill="000099"/>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000099"/>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000099"/>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orpodetexto"/>
        <w:shd w:val="clear" w:color="auto" w:fill="000099"/>
        <w:tabs>
          <w:tab w:val="left" w:pos="7371"/>
        </w:tabs>
        <w:spacing w:before="90"/>
        <w:ind w:right="3"/>
        <w:jc w:val="center"/>
        <w:rPr>
          <w:rFonts w:ascii="Cambria" w:hAnsi="Cambria" w:cstheme="minorHAnsi"/>
          <w:b/>
        </w:rPr>
      </w:pPr>
      <w:r>
        <w:rPr>
          <w:rFonts w:ascii="Cambria" w:hAnsi="Cambria" w:cstheme="minorHAnsi"/>
          <w:b/>
        </w:rPr>
        <w:lastRenderedPageBreak/>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lang w:val="pt-BR"/>
        </w:rPr>
      </w:pPr>
      <w:r>
        <w:rPr>
          <w:rFonts w:ascii="Cambria" w:hAnsi="Cambria"/>
          <w:sz w:val="24"/>
          <w:szCs w:val="24"/>
          <w:lang w:val="pt-BR"/>
        </w:rPr>
        <w:t>6.2.2. A execução dos serviços ocorrerá de forma contínua, compreendendo a instalação, configuração, ativação, disponibilização, gerenciamento e manutenção preventiva e corretiva dos links de acesso à internet, conforme as necessidades da Contratante, iniciando-se mediante Ordem de Serviço emitida pela Secretaria, na qual constarão as informações necessárias à execução dos serviços.</w:t>
      </w:r>
    </w:p>
    <w:p>
      <w:pPr>
        <w:jc w:val="both"/>
        <w:rPr>
          <w:rFonts w:ascii="Cambria" w:hAnsi="Cambria"/>
          <w:sz w:val="24"/>
          <w:szCs w:val="24"/>
          <w:lang w:val="pt-BR"/>
        </w:rPr>
      </w:pPr>
      <w:r>
        <w:rPr>
          <w:rFonts w:ascii="Cambria" w:hAnsi="Cambria"/>
          <w:sz w:val="24"/>
          <w:szCs w:val="24"/>
          <w:lang w:val="pt-BR"/>
        </w:rPr>
        <w:t>A instalação dos pontos deverá observar os prazos estabelecidos neste Termo de Referência, bem como as especificações técnicas nele contidas, nos seus anexos e na proposta apresentada pela Contratada, considerando a conveniência e oportunidade administrativa, a necessidade e a disponibilidade financeira da Contratante.</w:t>
      </w:r>
    </w:p>
    <w:p>
      <w:pPr>
        <w:jc w:val="both"/>
        <w:rPr>
          <w:rFonts w:ascii="Cambria" w:hAnsi="Cambria"/>
          <w:sz w:val="24"/>
          <w:szCs w:val="24"/>
          <w:lang w:val="pt-BR"/>
        </w:rPr>
      </w:pPr>
      <w:r>
        <w:rPr>
          <w:rFonts w:ascii="Cambria" w:hAnsi="Cambria"/>
          <w:sz w:val="24"/>
          <w:szCs w:val="24"/>
          <w:lang w:val="pt-BR"/>
        </w:rPr>
        <w:t>A Contratada assumirá integral responsabilidade pelo pagamento de todos os impostos, taxas e quaisquer ônus de origem federal, estadual e municipal, bem como pelos encargos trabalhistas, previdenciários, fiscais e comerciais decorrentes da execução do contrato, inclusive aqueles relativos a terceiros, obrigando-se ainda a cumprir todas as demais obrigações previstas neste Termo de Referência e na legislação aplicável.</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w:t>
      </w:r>
      <w:r>
        <w:rPr>
          <w:rFonts w:ascii="Cambria" w:hAnsi="Cambria"/>
          <w:sz w:val="24"/>
          <w:szCs w:val="24"/>
        </w:rPr>
        <w:lastRenderedPageBreak/>
        <w:t>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w:t>
      </w:r>
      <w:r>
        <w:rPr>
          <w:rFonts w:ascii="Cambria" w:hAnsi="Cambria"/>
          <w:sz w:val="24"/>
          <w:szCs w:val="24"/>
        </w:rPr>
        <w:lastRenderedPageBreak/>
        <w:t>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 xml:space="preserve">d) Declaração de inidoneidade do direito de licitar e contratar com a Administração Pública </w:t>
      </w:r>
      <w:r>
        <w:rPr>
          <w:rFonts w:ascii="Cambria" w:hAnsi="Cambria"/>
          <w:sz w:val="24"/>
          <w:szCs w:val="24"/>
        </w:rPr>
        <w:lastRenderedPageBreak/>
        <w:t>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8.7. Nenhuma sanção será aplicada sem o devido processo administrativo, que prevêdefesa prévia do interessado e recurso nos prazos definidos em lei, sendo-lhe franqueada vista ao 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lastRenderedPageBreak/>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shd w:val="clear" w:color="auto" w:fill="000099"/>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r>
        <w:tc>
          <w:tcPr>
            <w:tcW w:w="4924" w:type="dxa"/>
            <w:vAlign w:val="center"/>
          </w:tcPr>
          <w:p>
            <w:pPr>
              <w:rPr>
                <w:rFonts w:ascii="Cambria" w:hAnsi="Cambria"/>
                <w:b/>
                <w:sz w:val="24"/>
                <w:szCs w:val="24"/>
              </w:rPr>
            </w:pPr>
          </w:p>
        </w:tc>
        <w:tc>
          <w:tcPr>
            <w:tcW w:w="4931" w:type="dxa"/>
            <w:vAlign w:val="center"/>
          </w:tcPr>
          <w:p>
            <w:pPr>
              <w:jc w:val="center"/>
              <w:rPr>
                <w:rFonts w:ascii="Cambria" w:hAnsi="Cambria"/>
                <w:b/>
                <w:sz w:val="24"/>
                <w:szCs w:val="24"/>
              </w:rPr>
            </w:pPr>
          </w:p>
        </w:tc>
      </w:tr>
    </w:tbl>
    <w:p>
      <w:pPr>
        <w:jc w:val="both"/>
        <w:rPr>
          <w:rFonts w:ascii="Cambria" w:hAnsi="Cambria"/>
          <w:b/>
          <w:sz w:val="24"/>
          <w:szCs w:val="24"/>
        </w:rPr>
      </w:pPr>
      <w:r>
        <w:rPr>
          <w:rFonts w:ascii="Cambria" w:hAnsi="Cambria"/>
          <w:b/>
          <w:sz w:val="24"/>
          <w:szCs w:val="24"/>
        </w:rPr>
        <w:lastRenderedPageBreak/>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52608"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508351404"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568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637229667"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875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271989401"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rPr>
        <w:b/>
        <w:noProof/>
        <w:color w:val="333399"/>
        <w:sz w:val="26"/>
        <w:szCs w:val="26"/>
      </w:rPr>
    </w:pPr>
    <w:r>
      <w:rPr>
        <w:noProof/>
        <w:lang w:val="pt-BR" w:eastAsia="pt-BR"/>
      </w:rPr>
      <w:drawing>
        <wp:anchor distT="0" distB="0" distL="114300" distR="114300" simplePos="0" relativeHeight="251661824" behindDoc="0" locked="0" layoutInCell="1" allowOverlap="1">
          <wp:simplePos x="0" y="0"/>
          <wp:positionH relativeFrom="margin">
            <wp:posOffset>2023110</wp:posOffset>
          </wp:positionH>
          <wp:positionV relativeFrom="paragraph">
            <wp:posOffset>-339090</wp:posOffset>
          </wp:positionV>
          <wp:extent cx="2118360" cy="1854200"/>
          <wp:effectExtent l="0" t="0" r="0" b="0"/>
          <wp:wrapThrough wrapText="bothSides">
            <wp:wrapPolygon edited="0">
              <wp:start x="10295" y="2885"/>
              <wp:lineTo x="6993" y="4660"/>
              <wp:lineTo x="5439" y="5770"/>
              <wp:lineTo x="5245" y="10430"/>
              <wp:lineTo x="2137" y="13537"/>
              <wp:lineTo x="1942" y="17310"/>
              <wp:lineTo x="19424" y="17310"/>
              <wp:lineTo x="18259" y="13981"/>
              <wp:lineTo x="15540" y="10430"/>
              <wp:lineTo x="15928" y="5548"/>
              <wp:lineTo x="14763" y="4438"/>
              <wp:lineTo x="11266" y="2885"/>
              <wp:lineTo x="10295" y="2885"/>
            </wp:wrapPolygon>
          </wp:wrapThrough>
          <wp:docPr id="78777854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66354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8360" cy="1854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5416550</wp:posOffset>
          </wp:positionH>
          <wp:positionV relativeFrom="paragraph">
            <wp:posOffset>-40640</wp:posOffset>
          </wp:positionV>
          <wp:extent cx="950595" cy="1021080"/>
          <wp:effectExtent l="0" t="0" r="0" b="0"/>
          <wp:wrapTight wrapText="bothSides">
            <wp:wrapPolygon edited="0">
              <wp:start x="6926" y="0"/>
              <wp:lineTo x="4329" y="1209"/>
              <wp:lineTo x="0" y="5239"/>
              <wp:lineTo x="0" y="14104"/>
              <wp:lineTo x="3463" y="19343"/>
              <wp:lineTo x="7359" y="21358"/>
              <wp:lineTo x="13852" y="21358"/>
              <wp:lineTo x="16882" y="19343"/>
              <wp:lineTo x="21210" y="15313"/>
              <wp:lineTo x="21210" y="5239"/>
              <wp:lineTo x="17315" y="1612"/>
              <wp:lineTo x="14717" y="0"/>
              <wp:lineTo x="6926" y="0"/>
            </wp:wrapPolygon>
          </wp:wrapTight>
          <wp:docPr id="10326904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9788589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0595"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pPr>
  </w:p>
  <w:p>
    <w:pPr>
      <w:pStyle w:val="Cabealho"/>
    </w:pPr>
  </w:p>
  <w:p>
    <w:pPr>
      <w:pStyle w:val="Cabealho"/>
    </w:pPr>
  </w:p>
  <w:p>
    <w:pPr>
      <w:pStyle w:val="Cabealho"/>
    </w:pPr>
  </w:p>
  <w:p>
    <w:pPr>
      <w:tabs>
        <w:tab w:val="center" w:pos="4252"/>
        <w:tab w:val="right" w:pos="8504"/>
      </w:tabs>
      <w:rPr>
        <w:lang w:val="en-US"/>
      </w:rPr>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5"/>
  </w:num>
  <w:num w:numId="6">
    <w:abstractNumId w:val="28"/>
  </w:num>
  <w:num w:numId="7">
    <w:abstractNumId w:val="21"/>
  </w:num>
  <w:num w:numId="8">
    <w:abstractNumId w:val="22"/>
  </w:num>
  <w:num w:numId="9">
    <w:abstractNumId w:val="13"/>
  </w:num>
  <w:num w:numId="10">
    <w:abstractNumId w:val="29"/>
  </w:num>
  <w:num w:numId="11">
    <w:abstractNumId w:val="0"/>
  </w:num>
  <w:num w:numId="12">
    <w:abstractNumId w:val="11"/>
  </w:num>
  <w:num w:numId="13">
    <w:abstractNumId w:val="14"/>
  </w:num>
  <w:num w:numId="14">
    <w:abstractNumId w:val="5"/>
  </w:num>
  <w:num w:numId="15">
    <w:abstractNumId w:val="18"/>
  </w:num>
  <w:num w:numId="16">
    <w:abstractNumId w:val="27"/>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4"/>
  </w:num>
  <w:num w:numId="26">
    <w:abstractNumId w:val="1"/>
  </w:num>
  <w:num w:numId="27">
    <w:abstractNumId w:val="26"/>
  </w:num>
  <w:num w:numId="28">
    <w:abstractNumId w:val="10"/>
  </w:num>
  <w:num w:numId="29">
    <w:abstractNumId w:val="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1088</TotalTime>
  <Pages>26</Pages>
  <Words>10432</Words>
  <Characters>56337</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627</cp:revision>
  <cp:lastPrinted>2024-04-22T17:26:00Z</cp:lastPrinted>
  <dcterms:created xsi:type="dcterms:W3CDTF">2024-01-28T19:24:00Z</dcterms:created>
  <dcterms:modified xsi:type="dcterms:W3CDTF">2026-09-09T14:20:00Z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