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153/2026 - DL</w:t>
      </w:r>
    </w:p>
    <w:bookmarkEnd w:id="0"/>
    <w:p>
      <w:pPr>
        <w:jc w:val="center"/>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center"/>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Saúde, neste ato representado pelo Senhor FRANCISCO CICERO ALBUQUERQUE ARAUJO, Secretário de Saúde, nos termos do art. 75, inciso II combinado com o seu §3º, da Lei Federal nº 14.133, de 01 de abril de 2021 e do Decreto Municipal, torna público que, tem interesse em realizar a contratação direta para CONTRATAÇÃO DE EMPRESA ESPECIALIZADA PARA PRESTAÇÃO DE SERVIÇOS DE ASSESSORIA E CONSULTORIA PARA O PROCESSAMENTO E ENVIO DAS INFORMAÇÕES AO e-SOCIAL, DE INTERESSE DA SECRETARIA DE SAÚDE DO MUNICÍPIO DE MIRAÍMA/CE,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PARA PRESTAÇÃO DE SERVIÇOS DE ASSESSORIA E CONSULTORIA PARA O PROCESSAMENTO E ENVIO DAS INFORMAÇÕES AO e-SOCIAL, DE INTERESSE DA SECRETARIA DE SAÚDE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Saúde</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8"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4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highlight w:val="yellow"/>
                <w:lang w:val="pt-BR" w:eastAsia="pt-BR"/>
              </w:rPr>
            </w:pPr>
            <w:r>
              <w:rPr>
                <w:rFonts w:ascii="Cambria" w:hAnsi="Cambria"/>
                <w:sz w:val="24"/>
                <w:szCs w:val="24"/>
                <w:lang w:val="pt-BR" w:eastAsia="pt-BR"/>
              </w:rPr>
              <w:t>Início: 10/09/2026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15/09/2026 às 08:59 Horas (Horário de Brasília)</w:t>
            </w:r>
          </w:p>
        </w:tc>
      </w:tr>
      <w:tr>
        <w:trPr>
          <w:cantSplit/>
          <w:trHeight w:hRule="exact" w:val="724"/>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15/09/2026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lastRenderedPageBreak/>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lastRenderedPageBreak/>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presente contratação tem como finalidade garantir o cumprimento das obrigações legais da Secretaria de Saúde do Município de Miraíma/CE perante o Sistema de Escrituração Digital das Obrigações Fiscais, Previdenciárias e Trabalhistas – eSocial, instrumento instituído pelo Governo Federal para unificar o envio das informações trabalhistas, previdenciárias e fiscais dos órgãos públicos.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operacionalização do eSocial exige elevado grau de conhecimento técnico, atualização permanente acerca das normas vigentes e acompanhamento contínuo dos eventos enviados ao sistema, uma vez que falhas, inconsistências ou atrasos na transmissão das informações podem ocasionar pendências junto aos órgãos federais competentes, comprometendo a regularidade das obrigações acessórias do Município.</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 xml:space="preserve">A Secretaria de Saúde possui demanda contínua relacionada à gestão de pessoal, envolvendo servidores efetivos, contratados temporariamente, ocupantes de cargos comissionados e demais profissionais vinculados às unidades da rede municipal de saúde. Em razão da natureza essencial e ininterrupta dos serviços prestados à população, são frequentes as movimentações funcionais decorrentes de admissões, desligamentos, afastamentos, férias, licenças, alterações cadastrais e demais eventos que devem ser processados e transmitidos ao </w:t>
      </w:r>
      <w:r>
        <w:rPr>
          <w:rFonts w:ascii="Cambria" w:hAnsi="Cambria" w:cstheme="minorHAnsi"/>
          <w:sz w:val="24"/>
          <w:szCs w:val="24"/>
        </w:rPr>
        <w:lastRenderedPageBreak/>
        <w:t>eSocial dentro dos prazos legalmente estabelecidos.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Nesse contexto, torna-se necessária a contratação de empresa especializada para prestar serviços de assessoria e consultoria técnica, assegurando o correto processamento, validação, envio e acompanhamento das informações exigidas pelo sistema, bem como suporte técnico para atendimento das exigências legais e operacionais aplicáveis.</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A contratação proporcionará maior segurança, confiabilidade e conformidade na execução das rotinas relacionadas ao eSocial, contribuindo para a redução de inconsistências, mitigação de riscos de responsabilização administrativa e fortalecimento dos controles internos da Administração Pública.</w:t>
      </w:r>
    </w:p>
    <w:p>
      <w:pPr>
        <w:pStyle w:val="PargrafodaLista"/>
        <w:tabs>
          <w:tab w:val="left" w:pos="2001"/>
        </w:tabs>
        <w:spacing w:before="1"/>
        <w:ind w:left="0" w:right="3" w:firstLine="567"/>
        <w:rPr>
          <w:rFonts w:ascii="Cambria" w:hAnsi="Cambria" w:cstheme="minorHAnsi"/>
          <w:sz w:val="24"/>
          <w:szCs w:val="24"/>
        </w:rPr>
      </w:pPr>
      <w:r>
        <w:rPr>
          <w:rFonts w:ascii="Cambria" w:hAnsi="Cambria" w:cstheme="minorHAnsi"/>
          <w:sz w:val="24"/>
          <w:szCs w:val="24"/>
        </w:rPr>
        <w:t>Diante disso, a contratação de empresa especializada para prestação de serviços de assessoria e consultoria para o processamento e envio das informações ao eSocial mostra-se necessária e vantajosa para a Administração, por garantir o atendimento das exigências legais, a continuidade dos serviços administrativos e a adequada gestão das informações de pessoal da Secretaria de Saúde do Município de Miraíma/CE.</w:t>
      </w:r>
    </w:p>
    <w:p>
      <w:pPr>
        <w:pStyle w:val="PargrafodaLista"/>
        <w:tabs>
          <w:tab w:val="left" w:pos="2001"/>
        </w:tabs>
        <w:spacing w:before="1"/>
        <w:ind w:left="0" w:right="3"/>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widowControl/>
              <w:autoSpaceDE/>
              <w:autoSpaceDN/>
              <w:jc w:val="center"/>
              <w:rPr>
                <w:rFonts w:ascii="Cambria" w:hAnsi="Cambria"/>
                <w:b/>
                <w:bCs/>
                <w:sz w:val="24"/>
                <w:szCs w:val="24"/>
                <w:lang w:val="pt-BR" w:eastAsia="pt-BR"/>
              </w:rPr>
            </w:pPr>
            <w:r>
              <w:rPr>
                <w:rFonts w:ascii="Cambria" w:hAnsi="Cambria"/>
                <w:b/>
                <w:bCs/>
                <w:sz w:val="24"/>
                <w:szCs w:val="24"/>
                <w:lang w:val="pt-BR" w:eastAsia="pt-BR"/>
              </w:rPr>
              <w:t>ITEM</w:t>
            </w:r>
          </w:p>
        </w:tc>
        <w:tc>
          <w:tcPr>
            <w:tcW w:w="1771" w:type="pct"/>
            <w:vMerge w:val="restart"/>
            <w:tcBorders>
              <w:top w:val="single" w:sz="4" w:space="0" w:color="auto"/>
              <w:left w:val="single" w:sz="4" w:space="0" w:color="auto"/>
              <w:bottom w:val="single" w:sz="4" w:space="0" w:color="auto"/>
              <w:right w:val="single" w:sz="4" w:space="0" w:color="auto"/>
            </w:tcBorders>
            <w:shd w:val="clear" w:color="auto" w:fill="D8D8D8"/>
            <w:vAlign w:val="center"/>
            <w:hideMark/>
          </w:tcPr>
          <w:p>
            <w:pPr>
              <w:widowControl/>
              <w:autoSpaceDE/>
              <w:autoSpaceDN/>
              <w:jc w:val="center"/>
              <w:rPr>
                <w:rFonts w:ascii="Cambria" w:hAnsi="Cambria"/>
                <w:b/>
                <w:bCs/>
                <w:sz w:val="24"/>
                <w:szCs w:val="24"/>
                <w:lang w:val="pt-BR" w:eastAsia="pt-BR"/>
              </w:rPr>
            </w:pPr>
            <w:r>
              <w:rPr>
                <w:rFonts w:ascii="Cambria" w:hAnsi="Cambria"/>
                <w:b/>
                <w:bCs/>
                <w:sz w:val="24"/>
                <w:szCs w:val="24"/>
                <w:lang w:val="pt-BR" w:eastAsia="pt-BR"/>
              </w:rPr>
              <w:t>ESPECIFICAÇÃO</w:t>
            </w:r>
          </w:p>
        </w:tc>
        <w:tc>
          <w:tcPr>
            <w:tcW w:w="656" w:type="pct"/>
            <w:vMerge w:val="restar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widowControl/>
              <w:autoSpaceDE/>
              <w:autoSpaceDN/>
              <w:jc w:val="center"/>
              <w:rPr>
                <w:rFonts w:ascii="Cambria" w:hAnsi="Cambria"/>
                <w:b/>
                <w:bCs/>
                <w:sz w:val="24"/>
                <w:szCs w:val="24"/>
                <w:lang w:val="pt-BR" w:eastAsia="pt-BR"/>
              </w:rPr>
            </w:pPr>
            <w:r>
              <w:rPr>
                <w:rFonts w:ascii="Cambria" w:hAnsi="Cambria"/>
                <w:b/>
                <w:bCs/>
                <w:sz w:val="24"/>
                <w:szCs w:val="24"/>
                <w:lang w:val="pt-BR" w:eastAsia="pt-BR"/>
              </w:rPr>
              <w:t>UNIDADE</w:t>
            </w:r>
          </w:p>
        </w:tc>
        <w:tc>
          <w:tcPr>
            <w:tcW w:w="525" w:type="pct"/>
            <w:vMerge w:val="restar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widowControl/>
              <w:autoSpaceDE/>
              <w:autoSpaceDN/>
              <w:jc w:val="center"/>
              <w:rPr>
                <w:rFonts w:ascii="Cambria" w:hAnsi="Cambria"/>
                <w:b/>
                <w:bCs/>
                <w:sz w:val="24"/>
                <w:szCs w:val="24"/>
                <w:lang w:val="pt-BR" w:eastAsia="pt-BR"/>
              </w:rPr>
            </w:pPr>
            <w:r>
              <w:rPr>
                <w:rFonts w:ascii="Cambria" w:hAnsi="Cambria"/>
                <w:b/>
                <w:bCs/>
                <w:sz w:val="24"/>
                <w:szCs w:val="24"/>
                <w:lang w:val="pt-BR" w:eastAsia="pt-BR"/>
              </w:rPr>
              <w:t>QUANT</w:t>
            </w:r>
          </w:p>
        </w:tc>
        <w:tc>
          <w:tcPr>
            <w:tcW w:w="1641" w:type="pct"/>
            <w:gridSpan w:val="2"/>
            <w:tcBorders>
              <w:top w:val="single" w:sz="4" w:space="0" w:color="auto"/>
              <w:left w:val="single" w:sz="4" w:space="0" w:color="auto"/>
              <w:bottom w:val="single" w:sz="4" w:space="0" w:color="auto"/>
              <w:right w:val="single" w:sz="4" w:space="0" w:color="auto"/>
            </w:tcBorders>
            <w:shd w:val="clear" w:color="auto" w:fill="D8D8D8"/>
            <w:noWrap/>
            <w:vAlign w:val="center"/>
            <w:hideMark/>
          </w:tcPr>
          <w:p>
            <w:pPr>
              <w:widowControl/>
              <w:autoSpaceDE/>
              <w:autoSpaceDN/>
              <w:jc w:val="center"/>
              <w:rPr>
                <w:rFonts w:ascii="Cambria" w:hAnsi="Cambria"/>
                <w:b/>
                <w:bCs/>
                <w:sz w:val="24"/>
                <w:szCs w:val="24"/>
                <w:lang w:val="pt-BR" w:eastAsia="pt-BR"/>
              </w:rPr>
            </w:pPr>
            <w:r>
              <w:rPr>
                <w:rFonts w:ascii="Cambria" w:hAnsi="Cambria"/>
                <w:b/>
                <w:bCs/>
                <w:sz w:val="24"/>
                <w:szCs w:val="24"/>
                <w:lang w:val="pt-BR" w:eastAsia="pt-BR"/>
              </w:rPr>
              <w:t>VALORES</w:t>
            </w:r>
          </w:p>
        </w:tc>
      </w:tr>
      <w:tr>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pPr>
              <w:widowControl/>
              <w:autoSpaceDE/>
              <w:autoSpaceDN/>
              <w:rPr>
                <w:rFonts w:ascii="Cambria" w:hAnsi="Cambria"/>
                <w:b/>
                <w:bCs/>
                <w:sz w:val="24"/>
                <w:szCs w:val="24"/>
                <w:lang w:val="pt-BR"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pPr>
              <w:widowControl/>
              <w:autoSpaceDE/>
              <w:autoSpaceDN/>
              <w:rPr>
                <w:rFonts w:ascii="Cambria" w:hAnsi="Cambria"/>
                <w:b/>
                <w:bCs/>
                <w:sz w:val="24"/>
                <w:szCs w:val="24"/>
                <w:lang w:val="pt-BR"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pPr>
              <w:widowControl/>
              <w:autoSpaceDE/>
              <w:autoSpaceDN/>
              <w:rPr>
                <w:rFonts w:ascii="Cambria" w:hAnsi="Cambria"/>
                <w:b/>
                <w:bCs/>
                <w:sz w:val="24"/>
                <w:szCs w:val="24"/>
                <w:lang w:val="pt-BR" w:eastAsia="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pPr>
              <w:widowControl/>
              <w:autoSpaceDE/>
              <w:autoSpaceDN/>
              <w:rPr>
                <w:rFonts w:ascii="Cambria" w:hAnsi="Cambria"/>
                <w:b/>
                <w:bCs/>
                <w:sz w:val="24"/>
                <w:szCs w:val="24"/>
                <w:lang w:val="pt-BR" w:eastAsia="pt-BR"/>
              </w:rPr>
            </w:pPr>
          </w:p>
        </w:tc>
        <w:tc>
          <w:tcPr>
            <w:tcW w:w="774"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widowControl/>
              <w:autoSpaceDE/>
              <w:autoSpaceDN/>
              <w:jc w:val="center"/>
              <w:rPr>
                <w:rFonts w:ascii="Cambria" w:hAnsi="Cambria"/>
                <w:b/>
                <w:bCs/>
                <w:sz w:val="24"/>
                <w:szCs w:val="24"/>
                <w:lang w:val="pt-BR" w:eastAsia="pt-BR"/>
              </w:rPr>
            </w:pPr>
            <w:r>
              <w:rPr>
                <w:rFonts w:ascii="Cambria" w:hAnsi="Cambria"/>
                <w:b/>
                <w:bCs/>
                <w:sz w:val="24"/>
                <w:szCs w:val="24"/>
                <w:lang w:val="pt-BR" w:eastAsia="pt-BR"/>
              </w:rPr>
              <w:t xml:space="preserve"> VAL. UNIT.</w:t>
            </w:r>
          </w:p>
        </w:tc>
        <w:tc>
          <w:tcPr>
            <w:tcW w:w="867"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widowControl/>
              <w:autoSpaceDE/>
              <w:autoSpaceDN/>
              <w:jc w:val="center"/>
              <w:rPr>
                <w:rFonts w:ascii="Cambria" w:hAnsi="Cambria"/>
                <w:b/>
                <w:bCs/>
                <w:sz w:val="24"/>
                <w:szCs w:val="24"/>
                <w:lang w:val="pt-BR" w:eastAsia="pt-BR"/>
              </w:rPr>
            </w:pPr>
            <w:r>
              <w:rPr>
                <w:rFonts w:ascii="Cambria" w:hAnsi="Cambria"/>
                <w:b/>
                <w:bCs/>
                <w:sz w:val="24"/>
                <w:szCs w:val="24"/>
                <w:lang w:val="pt-BR" w:eastAsia="pt-BR"/>
              </w:rPr>
              <w:t xml:space="preserve"> VAL. TOTAL</w:t>
            </w:r>
          </w:p>
        </w:tc>
      </w:tr>
      <w:tr>
        <w:trPr>
          <w:trHeight w:val="121"/>
        </w:trPr>
        <w:tc>
          <w:tcPr>
            <w:tcW w:w="406" w:type="pct"/>
            <w:tcBorders>
              <w:top w:val="single" w:sz="4" w:space="0" w:color="auto"/>
              <w:left w:val="single" w:sz="4" w:space="0" w:color="auto"/>
              <w:bottom w:val="single" w:sz="4" w:space="0" w:color="auto"/>
              <w:right w:val="single" w:sz="4" w:space="0" w:color="auto"/>
            </w:tcBorders>
            <w:noWrap/>
            <w:vAlign w:val="center"/>
            <w:hideMark/>
          </w:tcPr>
          <w:p>
            <w:pPr>
              <w:widowControl/>
              <w:autoSpaceDE/>
              <w:autoSpaceDN/>
              <w:jc w:val="center"/>
              <w:rPr>
                <w:rFonts w:ascii="Cambria" w:hAnsi="Cambria"/>
                <w:sz w:val="24"/>
                <w:szCs w:val="24"/>
                <w:lang w:val="pt-BR" w:eastAsia="pt-BR"/>
              </w:rPr>
            </w:pPr>
            <w:r>
              <w:rPr>
                <w:rFonts w:ascii="Cambria" w:hAnsi="Cambria"/>
                <w:sz w:val="24"/>
                <w:szCs w:val="24"/>
                <w:lang w:val="pt-BR" w:eastAsia="pt-BR"/>
              </w:rPr>
              <w:t>1</w:t>
            </w:r>
          </w:p>
        </w:tc>
        <w:tc>
          <w:tcPr>
            <w:tcW w:w="1771" w:type="pct"/>
            <w:tcBorders>
              <w:top w:val="single" w:sz="4" w:space="0" w:color="auto"/>
              <w:left w:val="single" w:sz="4" w:space="0" w:color="auto"/>
              <w:bottom w:val="single" w:sz="4" w:space="0" w:color="auto"/>
              <w:right w:val="single" w:sz="4" w:space="0" w:color="auto"/>
            </w:tcBorders>
            <w:vAlign w:val="center"/>
            <w:hideMark/>
          </w:tcPr>
          <w:p>
            <w:pPr>
              <w:widowControl/>
              <w:autoSpaceDE/>
              <w:autoSpaceDN/>
              <w:jc w:val="both"/>
              <w:rPr>
                <w:rFonts w:ascii="Cambria" w:hAnsi="Cambria"/>
                <w:sz w:val="24"/>
                <w:szCs w:val="24"/>
                <w:lang w:val="pt-BR" w:eastAsia="pt-BR"/>
              </w:rPr>
            </w:pPr>
            <w:r>
              <w:rPr>
                <w:rFonts w:ascii="Cambria" w:hAnsi="Cambria"/>
                <w:sz w:val="24"/>
                <w:szCs w:val="24"/>
                <w:lang w:val="pt-BR" w:eastAsia="pt-BR"/>
              </w:rPr>
              <w:t>SERVIÇOS DE ASSESSORIA E CONSULTORIA PARA O PROCESSAMENTO E ENVIO DAS INFORMAÇÕES AO eSOCIAL, DE INTERESSE DA SECRETARIA DE EDUCAÇÃO DO MUNICÍPIO DE MIRAÍMA/CE.</w:t>
            </w:r>
          </w:p>
        </w:tc>
        <w:tc>
          <w:tcPr>
            <w:tcW w:w="656" w:type="pct"/>
            <w:tcBorders>
              <w:top w:val="single" w:sz="4" w:space="0" w:color="auto"/>
              <w:left w:val="single" w:sz="4" w:space="0" w:color="auto"/>
              <w:bottom w:val="single" w:sz="4" w:space="0" w:color="auto"/>
              <w:right w:val="single" w:sz="4" w:space="0" w:color="auto"/>
            </w:tcBorders>
            <w:noWrap/>
            <w:vAlign w:val="center"/>
            <w:hideMark/>
          </w:tcPr>
          <w:p>
            <w:pPr>
              <w:widowControl/>
              <w:autoSpaceDE/>
              <w:autoSpaceDN/>
              <w:jc w:val="center"/>
              <w:rPr>
                <w:rFonts w:ascii="Cambria" w:hAnsi="Cambria"/>
                <w:sz w:val="24"/>
                <w:szCs w:val="24"/>
                <w:lang w:val="pt-BR" w:eastAsia="pt-BR"/>
              </w:rPr>
            </w:pPr>
            <w:r>
              <w:rPr>
                <w:rFonts w:ascii="Cambria" w:hAnsi="Cambria"/>
                <w:sz w:val="24"/>
                <w:szCs w:val="24"/>
                <w:lang w:val="pt-BR" w:eastAsia="pt-BR"/>
              </w:rPr>
              <w:t>MÊS</w:t>
            </w:r>
          </w:p>
        </w:tc>
        <w:tc>
          <w:tcPr>
            <w:tcW w:w="525" w:type="pct"/>
            <w:tcBorders>
              <w:top w:val="single" w:sz="4" w:space="0" w:color="auto"/>
              <w:left w:val="single" w:sz="4" w:space="0" w:color="auto"/>
              <w:bottom w:val="single" w:sz="4" w:space="0" w:color="auto"/>
              <w:right w:val="single" w:sz="4" w:space="0" w:color="auto"/>
            </w:tcBorders>
            <w:noWrap/>
            <w:vAlign w:val="center"/>
            <w:hideMark/>
          </w:tcPr>
          <w:p>
            <w:pPr>
              <w:widowControl/>
              <w:autoSpaceDE/>
              <w:autoSpaceDN/>
              <w:jc w:val="center"/>
              <w:rPr>
                <w:rFonts w:ascii="Cambria" w:hAnsi="Cambria"/>
                <w:sz w:val="24"/>
                <w:szCs w:val="24"/>
                <w:lang w:val="pt-BR" w:eastAsia="pt-BR"/>
              </w:rPr>
            </w:pPr>
            <w:r>
              <w:rPr>
                <w:rFonts w:ascii="Cambria" w:hAnsi="Cambria"/>
                <w:sz w:val="24"/>
                <w:szCs w:val="24"/>
                <w:lang w:val="pt-BR" w:eastAsia="pt-BR"/>
              </w:rPr>
              <w:t>12</w:t>
            </w:r>
          </w:p>
        </w:tc>
        <w:tc>
          <w:tcPr>
            <w:tcW w:w="774" w:type="pct"/>
            <w:tcBorders>
              <w:top w:val="single" w:sz="4" w:space="0" w:color="auto"/>
              <w:left w:val="single" w:sz="4" w:space="0" w:color="auto"/>
              <w:bottom w:val="single" w:sz="4" w:space="0" w:color="auto"/>
              <w:right w:val="single" w:sz="4" w:space="0" w:color="auto"/>
            </w:tcBorders>
            <w:noWrap/>
            <w:vAlign w:val="center"/>
            <w:hideMark/>
          </w:tcPr>
          <w:p>
            <w:pPr>
              <w:widowControl/>
              <w:autoSpaceDE/>
              <w:autoSpaceDN/>
              <w:jc w:val="center"/>
              <w:rPr>
                <w:rFonts w:ascii="Cambria" w:hAnsi="Cambria"/>
                <w:sz w:val="24"/>
                <w:szCs w:val="24"/>
                <w:highlight w:val="yellow"/>
                <w:lang w:val="pt-BR" w:eastAsia="pt-BR"/>
              </w:rPr>
            </w:pPr>
            <w:r>
              <w:rPr>
                <w:rFonts w:ascii="Cambria" w:hAnsi="Cambria"/>
                <w:sz w:val="24"/>
                <w:szCs w:val="24"/>
                <w:lang w:val="pt-BR" w:eastAsia="pt-BR"/>
              </w:rPr>
              <w:t>R$ 4.725,00</w:t>
            </w:r>
          </w:p>
        </w:tc>
        <w:tc>
          <w:tcPr>
            <w:tcW w:w="867" w:type="pct"/>
            <w:tcBorders>
              <w:top w:val="single" w:sz="4" w:space="0" w:color="auto"/>
              <w:left w:val="single" w:sz="4" w:space="0" w:color="auto"/>
              <w:bottom w:val="single" w:sz="4" w:space="0" w:color="auto"/>
              <w:right w:val="single" w:sz="4" w:space="0" w:color="auto"/>
            </w:tcBorders>
            <w:noWrap/>
            <w:vAlign w:val="center"/>
            <w:hideMark/>
          </w:tcPr>
          <w:p>
            <w:pPr>
              <w:widowControl/>
              <w:autoSpaceDE/>
              <w:autoSpaceDN/>
              <w:jc w:val="center"/>
              <w:rPr>
                <w:rFonts w:ascii="Cambria" w:hAnsi="Cambria"/>
                <w:sz w:val="24"/>
                <w:szCs w:val="24"/>
                <w:highlight w:val="yellow"/>
                <w:lang w:val="pt-BR" w:eastAsia="pt-BR"/>
              </w:rPr>
            </w:pPr>
            <w:r>
              <w:rPr>
                <w:rFonts w:ascii="Cambria" w:hAnsi="Cambria"/>
                <w:sz w:val="24"/>
                <w:szCs w:val="24"/>
                <w:lang w:val="pt-BR" w:eastAsia="pt-BR"/>
              </w:rPr>
              <w:t>R$ 56.700,00</w:t>
            </w:r>
          </w:p>
        </w:tc>
      </w:tr>
      <w:tr>
        <w:trPr>
          <w:trHeight w:val="225"/>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pPr>
              <w:widowControl/>
              <w:autoSpaceDE/>
              <w:autoSpaceDN/>
              <w:jc w:val="center"/>
              <w:rPr>
                <w:rFonts w:ascii="Cambria" w:hAnsi="Cambria"/>
                <w:b/>
                <w:bCs/>
                <w:sz w:val="24"/>
                <w:szCs w:val="24"/>
                <w:lang w:val="pt-BR" w:eastAsia="pt-BR"/>
              </w:rPr>
            </w:pPr>
            <w:r>
              <w:rPr>
                <w:rFonts w:ascii="Cambria" w:hAnsi="Cambria"/>
                <w:b/>
                <w:bCs/>
                <w:sz w:val="24"/>
                <w:szCs w:val="24"/>
                <w:lang w:val="pt-BR" w:eastAsia="pt-BR"/>
              </w:rPr>
              <w:t>VALOR GLOBAL: R$ 56.700,00 (cinquenta e seis mil e setecentos reais)</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rPr>
        <w:t xml:space="preserve">0401.10.122.0014.2.008 – Recursos Próprios – Secretaria de Saúde. Elemento de Despesa: </w:t>
      </w:r>
      <w:r>
        <w:rPr>
          <w:rFonts w:ascii="Cambria" w:eastAsia="Calibri" w:hAnsi="Cambria"/>
          <w:lang w:eastAsia="zh-CN"/>
        </w:rPr>
        <w:t xml:space="preserve">3.3.90.39.00 – Outros serv. de terceiro </w:t>
      </w:r>
      <w:r>
        <w:rPr>
          <w:rFonts w:ascii="Cambria" w:eastAsia="Calibri" w:hAnsi="Cambria"/>
          <w:lang w:eastAsia="zh-CN"/>
        </w:rPr>
        <w:lastRenderedPageBreak/>
        <w:t>pessoa jurídica. Fonte de Recurso: 1500100200 – Receita de imposto e transf.  – Saúde</w:t>
      </w:r>
      <w:r>
        <w:rPr>
          <w:rFonts w:ascii="Cambria" w:eastAsia="Calibri" w:hAnsi="Cambria"/>
          <w:lang w:eastAsia="zh-CN"/>
        </w:rPr>
        <w:t>.</w:t>
      </w:r>
    </w:p>
    <w:p>
      <w:pPr>
        <w:pStyle w:val="Corpodetexto"/>
        <w:spacing w:before="90"/>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 xml:space="preserve">Microempresa – O empresário, a pessoa jurídica, ou a ela equiparada, que aufira, em cada ano calendário, receita bruta igual ou inferior a R$ 360.000,00 (trezentos sessenta mil </w:t>
      </w:r>
      <w:r>
        <w:rPr>
          <w:rFonts w:ascii="Cambria" w:hAnsi="Cambria" w:cstheme="minorHAnsi"/>
        </w:rPr>
        <w:lastRenderedPageBreak/>
        <w:t>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lastRenderedPageBreak/>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9"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w:t>
      </w:r>
      <w:r>
        <w:rPr>
          <w:rFonts w:ascii="Cambria" w:hAnsi="Cambria" w:cs="Arial"/>
          <w:sz w:val="24"/>
          <w:szCs w:val="24"/>
        </w:rPr>
        <w:lastRenderedPageBreak/>
        <w:t xml:space="preserve">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lastRenderedPageBreak/>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Comprovando a execução de serviços técnicos especializados compatíveis com o objeto da licitação, relacionados ao planejamento das contratações públicas, elaboração de documentos da fase preparatória, assessoria administrativa ou consultoria técnica correlata.</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 xml:space="preserve">10.16.11. Será inabilitado o licitante que não comprovar sua habilitação, seja por não apresentar quaisquer dos documentos exigidos, ou apresentá-los em desacordo com o </w:t>
      </w:r>
      <w:r>
        <w:rPr>
          <w:rFonts w:ascii="Cambria" w:hAnsi="Cambria" w:cs="Arial"/>
          <w:sz w:val="24"/>
          <w:szCs w:val="24"/>
        </w:rPr>
        <w:lastRenderedPageBreak/>
        <w:t>estabelecido neste Edital.</w:t>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09 de setembro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rPr>
          <w:rFonts w:ascii="Cambria" w:hAnsi="Cambria" w:cstheme="minorHAnsi"/>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1.1. </w:t>
      </w:r>
      <w:r>
        <w:rPr>
          <w:rFonts w:ascii="Cambria" w:hAnsi="Cambria"/>
          <w:bCs/>
          <w:sz w:val="24"/>
          <w:szCs w:val="24"/>
        </w:rPr>
        <w:t>CONTRATAÇÃO DE EMPRESA ESPECIALIZADA PARA PRESTAÇÃO DE SERVIÇOS DE ASSESSORIA E CONSULTORIA PARA O PROCESSAMENTO E ENVIO DAS INFORMAÇÕES AO e-SOCIAL, DE INTERESSE DA SECRETARIA DE SAÚDE DO MUNICÍPIO DE MIRAÍMA/CE</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presente contratação tem por finalidade garantir o adequado cumprimento das obrigações legais da Secretaria de Saúde do Município de Miraíma/CE perante o Sistema de Escrituração Digital das Obrigações Fiscais, Previdenciárias e Trabalhistas – eSocial, mediante a prestação de serviços especializados de assessoria e consultoria para o processamento, validação, acompanhamento e envio das informações exigidas pelos órgãos federais competentes.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Secretaria de Saúde possui uma estrutura administrativa complexa, composta por servidores efetivos, contratados temporariamente, ocupantes de cargos comissionados e demais profissionais vinculados às diversas unidades de saúde do Município. Em razão da natureza contínua e essencial dos serviços de saúde, são frequentes as movimentações funcionais relacionadas a admissões, desligamentos, afastamentos, férias, licenças, alterações cadastrais e demais eventos que impactam diretamente as obrigações a serem transmitidas ao eSocial.</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correta operacionalização do sistema exige conhecimento técnico especializado, constante atualização quanto às normas vigentes e acompanhamento permanente dos eventos enviados, uma vez que falhas, inconsistências ou atrasos podem ocasionar rejeições de informações, descumprimento de obrigações acessórias e possíveis responsabilizações perante os órgãos de controle e fiscalização.</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Nesse contexto, a contratação de empresa especializada mostra-se necessária para assegurar maior segurança, eficiência e conformidade na execução das rotinas relacionadas ao eSocial, proporcionando suporte técnico qualificado à Administração e contribuindo para a regularidade das informações trabalhistas, previdenciárias e fiscais da Secretaria de Saúde.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Dessa forma, a contratação pretendida é indispensável para garantir o atendimento das exigências legais aplicáveis, fortalecer os controles administrativos da gestão de pessoal e assegurar a continuidade e a regularidade das obrigações da Secretaria de Saúde do Município de Miraíma/CE perante os órgãos competentes.</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br w:type="page"/>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lastRenderedPageBreak/>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tcBorders>
              <w:top w:val="single" w:sz="4" w:space="0" w:color="auto"/>
              <w:left w:val="single" w:sz="4" w:space="0" w:color="auto"/>
              <w:bottom w:val="single" w:sz="4" w:space="0" w:color="auto"/>
              <w:right w:val="single" w:sz="4" w:space="0" w:color="auto"/>
            </w:tcBorders>
            <w:shd w:val="clear" w:color="auto"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1" w:type="pct"/>
            <w:gridSpan w:val="2"/>
            <w:tcBorders>
              <w:top w:val="single" w:sz="4" w:space="0" w:color="auto"/>
              <w:left w:val="single" w:sz="4" w:space="0" w:color="auto"/>
              <w:bottom w:val="single" w:sz="4" w:space="0" w:color="auto"/>
              <w:right w:val="single" w:sz="4" w:space="0" w:color="auto"/>
            </w:tcBorders>
            <w:shd w:val="clear" w:color="auto"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pPr>
              <w:rPr>
                <w:rFonts w:ascii="Cambria" w:hAnsi="Cambria"/>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pPr>
              <w:rPr>
                <w:rFonts w:ascii="Cambria" w:hAnsi="Cambria"/>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pPr>
              <w:rPr>
                <w:rFonts w:ascii="Cambria" w:hAnsi="Cambria"/>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pPr>
              <w:rPr>
                <w:rFonts w:ascii="Cambria" w:hAnsi="Cambria"/>
                <w:b/>
                <w:bCs/>
                <w:sz w:val="24"/>
                <w:szCs w:val="24"/>
              </w:rPr>
            </w:pPr>
          </w:p>
        </w:tc>
        <w:tc>
          <w:tcPr>
            <w:tcW w:w="774"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7" w:type="pct"/>
            <w:tcBorders>
              <w:top w:val="single" w:sz="4" w:space="0" w:color="auto"/>
              <w:left w:val="single" w:sz="4" w:space="0" w:color="auto"/>
              <w:bottom w:val="single" w:sz="4" w:space="0" w:color="auto"/>
              <w:right w:val="single" w:sz="4" w:space="0" w:color="auto"/>
            </w:tcBorders>
            <w:shd w:val="clear" w:color="auto"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tcBorders>
              <w:top w:val="single" w:sz="4" w:space="0" w:color="auto"/>
              <w:left w:val="single" w:sz="4" w:space="0" w:color="auto"/>
              <w:bottom w:val="single" w:sz="4" w:space="0" w:color="auto"/>
              <w:right w:val="single" w:sz="4" w:space="0" w:color="auto"/>
            </w:tcBorders>
            <w:noWrap/>
            <w:vAlign w:val="center"/>
            <w:hideMark/>
          </w:tcPr>
          <w:p>
            <w:pPr>
              <w:jc w:val="center"/>
              <w:rPr>
                <w:rFonts w:ascii="Cambria" w:hAnsi="Cambria"/>
                <w:sz w:val="24"/>
                <w:szCs w:val="24"/>
              </w:rPr>
            </w:pPr>
            <w:r>
              <w:rPr>
                <w:rFonts w:ascii="Cambria" w:hAnsi="Cambria"/>
                <w:sz w:val="24"/>
                <w:szCs w:val="24"/>
              </w:rPr>
              <w:t>1</w:t>
            </w:r>
          </w:p>
        </w:tc>
        <w:tc>
          <w:tcPr>
            <w:tcW w:w="1771" w:type="pct"/>
            <w:tcBorders>
              <w:top w:val="single" w:sz="4" w:space="0" w:color="auto"/>
              <w:left w:val="single" w:sz="4" w:space="0" w:color="auto"/>
              <w:bottom w:val="single" w:sz="4" w:space="0" w:color="auto"/>
              <w:right w:val="single" w:sz="4" w:space="0" w:color="auto"/>
            </w:tcBorders>
            <w:vAlign w:val="center"/>
            <w:hideMark/>
          </w:tcPr>
          <w:p>
            <w:pPr>
              <w:jc w:val="both"/>
              <w:rPr>
                <w:rFonts w:ascii="Cambria" w:hAnsi="Cambria"/>
                <w:sz w:val="24"/>
                <w:szCs w:val="24"/>
              </w:rPr>
            </w:pPr>
            <w:r>
              <w:rPr>
                <w:rFonts w:ascii="Cambria" w:hAnsi="Cambria"/>
                <w:sz w:val="24"/>
                <w:szCs w:val="24"/>
              </w:rPr>
              <w:t>SERVIÇOS DE ASSESSORIA E CONSULTORIA PARA O PROCESSAMENTO E ENVIO DAS INFORMAÇÕES AO eSOCIAL, DE INTERESSE DA SECRETARIA DE SAÚDE DO MUNICÍPIO DE MIRAÍMA/CE.</w:t>
            </w:r>
          </w:p>
        </w:tc>
        <w:tc>
          <w:tcPr>
            <w:tcW w:w="656" w:type="pct"/>
            <w:tcBorders>
              <w:top w:val="single" w:sz="4" w:space="0" w:color="auto"/>
              <w:left w:val="single" w:sz="4" w:space="0" w:color="auto"/>
              <w:bottom w:val="single" w:sz="4" w:space="0" w:color="auto"/>
              <w:right w:val="single" w:sz="4" w:space="0" w:color="auto"/>
            </w:tcBorders>
            <w:noWrap/>
            <w:vAlign w:val="center"/>
            <w:hideMark/>
          </w:tcPr>
          <w:p>
            <w:pPr>
              <w:jc w:val="center"/>
              <w:rPr>
                <w:rFonts w:ascii="Cambria" w:hAnsi="Cambria"/>
                <w:sz w:val="24"/>
                <w:szCs w:val="24"/>
              </w:rPr>
            </w:pPr>
            <w:r>
              <w:rPr>
                <w:rFonts w:ascii="Cambria" w:hAnsi="Cambria"/>
                <w:sz w:val="24"/>
                <w:szCs w:val="24"/>
              </w:rPr>
              <w:t>MÊS</w:t>
            </w:r>
          </w:p>
        </w:tc>
        <w:tc>
          <w:tcPr>
            <w:tcW w:w="525" w:type="pct"/>
            <w:tcBorders>
              <w:top w:val="single" w:sz="4" w:space="0" w:color="auto"/>
              <w:left w:val="single" w:sz="4" w:space="0" w:color="auto"/>
              <w:bottom w:val="single" w:sz="4" w:space="0" w:color="auto"/>
              <w:right w:val="single" w:sz="4" w:space="0" w:color="auto"/>
            </w:tcBorders>
            <w:noWrap/>
            <w:vAlign w:val="center"/>
            <w:hideMark/>
          </w:tcPr>
          <w:p>
            <w:pPr>
              <w:jc w:val="center"/>
              <w:rPr>
                <w:rFonts w:ascii="Cambria" w:hAnsi="Cambria"/>
                <w:sz w:val="24"/>
                <w:szCs w:val="24"/>
              </w:rPr>
            </w:pPr>
            <w:r>
              <w:rPr>
                <w:rFonts w:ascii="Cambria" w:hAnsi="Cambria"/>
                <w:sz w:val="24"/>
                <w:szCs w:val="24"/>
              </w:rPr>
              <w:t>12</w:t>
            </w:r>
          </w:p>
        </w:tc>
        <w:tc>
          <w:tcPr>
            <w:tcW w:w="774" w:type="pct"/>
            <w:tcBorders>
              <w:top w:val="single" w:sz="4" w:space="0" w:color="auto"/>
              <w:left w:val="single" w:sz="4" w:space="0" w:color="auto"/>
              <w:bottom w:val="single" w:sz="4" w:space="0" w:color="auto"/>
              <w:right w:val="single" w:sz="4" w:space="0" w:color="auto"/>
            </w:tcBorders>
            <w:noWrap/>
            <w:vAlign w:val="center"/>
            <w:hideMark/>
          </w:tcPr>
          <w:p>
            <w:pPr>
              <w:jc w:val="center"/>
              <w:rPr>
                <w:rFonts w:ascii="Cambria" w:hAnsi="Cambria"/>
                <w:sz w:val="24"/>
                <w:szCs w:val="24"/>
                <w:highlight w:val="yellow"/>
              </w:rPr>
            </w:pPr>
            <w:r>
              <w:rPr>
                <w:rFonts w:ascii="Cambria" w:hAnsi="Cambria"/>
                <w:sz w:val="24"/>
                <w:szCs w:val="24"/>
              </w:rPr>
              <w:t>R$ 4.725,00</w:t>
            </w:r>
          </w:p>
        </w:tc>
        <w:tc>
          <w:tcPr>
            <w:tcW w:w="867" w:type="pct"/>
            <w:tcBorders>
              <w:top w:val="single" w:sz="4" w:space="0" w:color="auto"/>
              <w:left w:val="single" w:sz="4" w:space="0" w:color="auto"/>
              <w:bottom w:val="single" w:sz="4" w:space="0" w:color="auto"/>
              <w:right w:val="single" w:sz="4" w:space="0" w:color="auto"/>
            </w:tcBorders>
            <w:noWrap/>
            <w:vAlign w:val="center"/>
            <w:hideMark/>
          </w:tcPr>
          <w:p>
            <w:pPr>
              <w:jc w:val="center"/>
              <w:rPr>
                <w:rFonts w:ascii="Cambria" w:hAnsi="Cambria"/>
                <w:sz w:val="24"/>
                <w:szCs w:val="24"/>
                <w:highlight w:val="yellow"/>
              </w:rPr>
            </w:pPr>
            <w:r>
              <w:rPr>
                <w:rFonts w:ascii="Cambria" w:hAnsi="Cambria"/>
                <w:sz w:val="24"/>
                <w:szCs w:val="24"/>
              </w:rPr>
              <w:t>R$ 56.700,00</w:t>
            </w:r>
          </w:p>
        </w:tc>
      </w:tr>
      <w:tr>
        <w:trPr>
          <w:trHeight w:val="225"/>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pPr>
              <w:jc w:val="center"/>
              <w:rPr>
                <w:rFonts w:ascii="Cambria" w:hAnsi="Cambria"/>
                <w:b/>
                <w:bCs/>
                <w:sz w:val="24"/>
                <w:szCs w:val="24"/>
              </w:rPr>
            </w:pPr>
            <w:r>
              <w:rPr>
                <w:rFonts w:ascii="Cambria" w:hAnsi="Cambria"/>
                <w:b/>
                <w:bCs/>
                <w:sz w:val="24"/>
                <w:szCs w:val="24"/>
              </w:rPr>
              <w:t>VALOR GLOBAL: R$ 56.700,00 (cinquenta e seis mil e setecentos reais)</w:t>
            </w:r>
          </w:p>
        </w:tc>
      </w:tr>
    </w:tbl>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sz w:val="24"/>
          <w:szCs w:val="24"/>
        </w:rPr>
      </w:pPr>
      <w:bookmarkStart w:id="4" w:name="_GoBack"/>
      <w:bookmarkEnd w:id="4"/>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w:t>
      </w:r>
      <w:r>
        <w:rPr>
          <w:rFonts w:ascii="Cambria" w:hAnsi="Cambria"/>
          <w:sz w:val="24"/>
          <w:szCs w:val="24"/>
        </w:rPr>
        <w:lastRenderedPageBreak/>
        <w:t>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4.3.2</w:t>
      </w:r>
      <w:r>
        <w:rPr>
          <w:rFonts w:ascii="Cambria" w:hAnsi="Cambria" w:cs="Times New Roman"/>
          <w:szCs w:val="24"/>
        </w:rPr>
        <w:t xml:space="preserve">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sz w:val="24"/>
          <w:szCs w:val="24"/>
        </w:rPr>
      </w:pPr>
      <w:r>
        <w:rPr>
          <w:rFonts w:ascii="Cambria" w:hAnsi="Cambria"/>
          <w:b/>
          <w:sz w:val="24"/>
          <w:szCs w:val="24"/>
        </w:rPr>
        <w:t>4.4.1.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Cs/>
          <w:sz w:val="24"/>
          <w:szCs w:val="24"/>
        </w:rPr>
        <w:t xml:space="preserve">4.4.1.1.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 </w:t>
      </w:r>
    </w:p>
    <w:p>
      <w:pPr>
        <w:ind w:right="-35"/>
        <w:jc w:val="both"/>
        <w:rPr>
          <w:rFonts w:ascii="Cambria" w:hAnsi="Cambria"/>
          <w:bCs/>
          <w:sz w:val="24"/>
          <w:szCs w:val="24"/>
        </w:rPr>
      </w:pPr>
      <w:r>
        <w:rPr>
          <w:rFonts w:ascii="Cambria" w:hAnsi="Cambria"/>
          <w:bCs/>
          <w:sz w:val="24"/>
          <w:szCs w:val="24"/>
        </w:rPr>
        <w:t xml:space="preserve">4.4.1.2. Para fins da comprovação de que trata este subitem são consideradas parcelas de maior relevância: </w:t>
      </w:r>
    </w:p>
    <w:p>
      <w:pPr>
        <w:ind w:right="-35"/>
        <w:jc w:val="both"/>
        <w:rPr>
          <w:rFonts w:ascii="Cambria" w:hAnsi="Cambria"/>
          <w:bCs/>
          <w:sz w:val="24"/>
          <w:szCs w:val="24"/>
        </w:rPr>
      </w:pPr>
      <w:r>
        <w:rPr>
          <w:rFonts w:ascii="Cambria" w:hAnsi="Cambria"/>
          <w:bCs/>
          <w:sz w:val="24"/>
          <w:szCs w:val="24"/>
        </w:rPr>
        <w:t xml:space="preserve">a) Prestação de serviços técnicos de assessoria e consultoria em controladoria governamental, controle interno, gestão administrativa, patrimonial, orçamentária e acompanhamento de </w:t>
      </w:r>
      <w:r>
        <w:rPr>
          <w:rFonts w:ascii="Cambria" w:hAnsi="Cambria"/>
          <w:bCs/>
          <w:sz w:val="24"/>
          <w:szCs w:val="24"/>
        </w:rPr>
        <w:lastRenderedPageBreak/>
        <w:t>rotinas administrativas no âmbito da Administração Pública;</w:t>
      </w:r>
    </w:p>
    <w:p>
      <w:pPr>
        <w:ind w:right="-35"/>
        <w:jc w:val="both"/>
        <w:rPr>
          <w:rFonts w:ascii="Cambria" w:hAnsi="Cambria"/>
          <w:bCs/>
          <w:sz w:val="24"/>
          <w:szCs w:val="24"/>
        </w:rPr>
      </w:pPr>
      <w:r>
        <w:rPr>
          <w:rFonts w:ascii="Cambria" w:hAnsi="Cambria"/>
          <w:bCs/>
          <w:sz w:val="24"/>
          <w:szCs w:val="24"/>
        </w:rPr>
        <w:t>b) Elaboração de relatórios técnicos, orientações administrativas, fluxos, rotinas e procedimentos internos relacionados ao controle e fiscalização da gestão pública.</w:t>
      </w:r>
    </w:p>
    <w:p>
      <w:pPr>
        <w:ind w:right="-35"/>
        <w:jc w:val="both"/>
        <w:rPr>
          <w:rFonts w:ascii="Cambria" w:hAnsi="Cambria"/>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10"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lastRenderedPageBreak/>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14.133/2023</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COMPRA/AUTORIZAÇÃO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10.2.1</w:t>
      </w:r>
      <w:r>
        <w:rPr>
          <w:rFonts w:ascii="Cambria" w:hAnsi="Cambria"/>
          <w:bCs/>
          <w:sz w:val="24"/>
          <w:szCs w:val="24"/>
        </w:rPr>
        <w:t xml:space="preserve">. Iniciar a execução dos serviços no prazo estabelecido pela Administração, a contar do </w:t>
      </w:r>
      <w:r>
        <w:rPr>
          <w:rFonts w:ascii="Cambria" w:hAnsi="Cambria"/>
          <w:bCs/>
          <w:sz w:val="24"/>
          <w:szCs w:val="24"/>
        </w:rPr>
        <w:lastRenderedPageBreak/>
        <w:t>recebimento da ORDEM DE SERVIÇO/AUTORIZAÇÃO DE EXECUÇÃO, observando rigorosamente as especificações contidas no Termo de Referência, nos anexos e nas disposições constantes de sua Proposta de Preços, assumindo a responsabilidade pelo pagamento de todos os impostos, taxas e quaisquer ônus de origem federal, estadual e municipal, bem como encargos trabalhistas, previdenciários, fiscais e comerciais decorrentes da execução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10.2.2. </w:t>
      </w:r>
      <w:r>
        <w:rPr>
          <w:rFonts w:ascii="Cambria" w:hAnsi="Cambria"/>
          <w:bCs/>
          <w:sz w:val="24"/>
          <w:szCs w:val="24"/>
        </w:rPr>
        <w:t>Executar os serviços de acordo com as especificações constantes neste Termo de Referência, garantindo a adequada prestação dos serviços técnicos especializados de assessoria e consultoria em controladoria governamental 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10.2.3. </w:t>
      </w:r>
      <w:r>
        <w:rPr>
          <w:rFonts w:ascii="Cambria" w:hAnsi="Cambria"/>
          <w:bCs/>
          <w:sz w:val="24"/>
          <w:szCs w:val="24"/>
        </w:rPr>
        <w:t>Disponibilizar equipe técnica qualificada para atendimento das demandas da PREFEITURA MUNICIPAL DE MIRAÍMA, mantendo profissionais com capacidade técnica compatível com o objeto contratado.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10.2.4. </w:t>
      </w:r>
      <w:r>
        <w:rPr>
          <w:rFonts w:ascii="Cambria" w:hAnsi="Cambria"/>
          <w:bCs/>
          <w:sz w:val="24"/>
          <w:szCs w:val="24"/>
        </w:rPr>
        <w:t>Prestar orientações técnicas sempre que solicitado pela Administração, visando o adequado acompanhamento das rotinas administrativas, patrimoniais, orçamentárias e de controle interno.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10.2.5. </w:t>
      </w:r>
      <w:r>
        <w:rPr>
          <w:rFonts w:ascii="Cambria" w:hAnsi="Cambria"/>
          <w:bCs/>
          <w:sz w:val="24"/>
          <w:szCs w:val="24"/>
        </w:rPr>
        <w:t>Elaborar relatórios técnicos, minutas, fluxos, orientações, pareceres administrativos e demais documentos relacionados ao objeto contratado, quando demandado pela Administração.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10.2.6. </w:t>
      </w:r>
      <w:r>
        <w:rPr>
          <w:rFonts w:ascii="Cambria" w:hAnsi="Cambria"/>
          <w:bCs/>
          <w:sz w:val="24"/>
          <w:szCs w:val="24"/>
        </w:rPr>
        <w:t>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10.2.7. </w:t>
      </w:r>
      <w:r>
        <w:rPr>
          <w:rFonts w:ascii="Cambria" w:hAnsi="Cambria"/>
          <w:bCs/>
          <w:sz w:val="24"/>
          <w:szCs w:val="24"/>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10.2.8. </w:t>
      </w:r>
      <w:r>
        <w:rPr>
          <w:rFonts w:ascii="Cambria" w:hAnsi="Cambria"/>
          <w:bCs/>
          <w:sz w:val="24"/>
          <w:szCs w:val="24"/>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10.2.9. </w:t>
      </w:r>
      <w:r>
        <w:rPr>
          <w:rFonts w:ascii="Cambria" w:hAnsi="Cambria"/>
          <w:bCs/>
          <w:sz w:val="24"/>
          <w:szCs w:val="24"/>
        </w:rPr>
        <w:t>Responsabilizar-se tecnicamente pelos serviços prestados, bem como pelos danos causados diretamente à Administração ou a terceiros decorrentes de sua culpa ou dolo na execução do contrato, não excluindo ou reduzindo essa responsabilidade a fiscalização ou o acompanhamento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10.2.10. </w:t>
      </w:r>
      <w:r>
        <w:rPr>
          <w:rFonts w:ascii="Cambria" w:hAnsi="Cambria"/>
          <w:bCs/>
          <w:sz w:val="24"/>
          <w:szCs w:val="24"/>
        </w:rPr>
        <w:t>Comunicar formalmente à Administração eventuais dificuldades, riscos, inconsistências ou irregularidades identificadas durante a execução dos serviços.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10.2.11. </w:t>
      </w:r>
      <w:r>
        <w:rPr>
          <w:rFonts w:ascii="Cambria" w:hAnsi="Cambria"/>
          <w:bCs/>
          <w:sz w:val="24"/>
          <w:szCs w:val="24"/>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11.2.</w:t>
      </w:r>
      <w:r>
        <w:rPr>
          <w:rFonts w:ascii="Cambria" w:hAnsi="Cambria"/>
          <w:sz w:val="24"/>
          <w:szCs w:val="24"/>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t>11.3.</w:t>
      </w:r>
      <w:r>
        <w:rPr>
          <w:rFonts w:ascii="Cambria" w:hAnsi="Cambria"/>
          <w:sz w:val="24"/>
          <w:szCs w:val="24"/>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sz w:val="24"/>
          <w:szCs w:val="24"/>
        </w:rPr>
        <w:lastRenderedPageBreak/>
        <w:t>11.4.</w:t>
      </w:r>
      <w:r>
        <w:rPr>
          <w:rFonts w:ascii="Cambria" w:hAnsi="Cambria"/>
          <w:sz w:val="24"/>
          <w:szCs w:val="24"/>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12.2.</w:t>
      </w:r>
      <w:r>
        <w:rPr>
          <w:rFonts w:ascii="Cambria" w:hAnsi="Cambria"/>
          <w:sz w:val="24"/>
          <w:szCs w:val="24"/>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c) Certificado de Regularidade do FGTS — CRF;</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d) Certidão Negativa de Débitos Trabalhistas — CNDT;</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12.3.</w:t>
      </w:r>
      <w:r>
        <w:rPr>
          <w:rFonts w:ascii="Cambria" w:hAnsi="Cambria"/>
          <w:sz w:val="24"/>
          <w:szCs w:val="24"/>
        </w:rPr>
        <w:t xml:space="preserve"> O pagamento será efetuado através de crédito em conta bancária indicada pela CONTRATADA, após verificação da regularidade da documentação apresentada e do atesto da execução dos serviços pela Administração.</w:t>
      </w:r>
    </w:p>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rPr>
        <w:t xml:space="preserve">0401.10.122.0014.2.008 – Recursos Próprios – Secretaria de Saúde. Elemento de Despesa: </w:t>
      </w:r>
      <w:r>
        <w:rPr>
          <w:rFonts w:ascii="Cambria" w:eastAsia="Calibri" w:hAnsi="Cambria"/>
          <w:sz w:val="24"/>
          <w:szCs w:val="24"/>
          <w:lang w:eastAsia="zh-CN"/>
        </w:rPr>
        <w:t>3.3.90.39.00 – Outros serv. de terceiro pessoa jurídica. Fonte de Recurso: 1500100200 – Receita de imposto e transf.  – Saúde.</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lastRenderedPageBreak/>
        <w:t xml:space="preserve">Multa de 30% (trinta por cento) sobre o valor do contrato;   </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tabs>
          <w:tab w:val="left" w:pos="567"/>
        </w:tabs>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rPr>
          <w:rFonts w:ascii="Cambria" w:hAnsi="Cambria" w:cstheme="minorHAnsi"/>
          <w:b/>
          <w:bCs/>
          <w:sz w:val="24"/>
          <w:szCs w:val="24"/>
        </w:rPr>
        <w:sectPr>
          <w:headerReference w:type="default" r:id="rId11"/>
          <w:footerReference w:type="default" r:id="rId12"/>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C.P.F. N°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w:t>
      </w:r>
      <w:r>
        <w:rPr>
          <w:rFonts w:ascii="Cambria" w:hAnsi="Cambria"/>
          <w:sz w:val="24"/>
          <w:szCs w:val="24"/>
        </w:rPr>
        <w:lastRenderedPageBreak/>
        <w:t>verificação do mesmo pelo setor responsável e após o encaminhamento da documentação 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w:t>
      </w:r>
      <w:r>
        <w:rPr>
          <w:rFonts w:ascii="Cambria" w:hAnsi="Cambria"/>
          <w:sz w:val="24"/>
          <w:szCs w:val="24"/>
        </w:rPr>
        <w:lastRenderedPageBreak/>
        <w:t>imediatamente e por escrito, de qualquer anormalidade que verificar quando da execução do 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w:t>
      </w:r>
      <w:r>
        <w:rPr>
          <w:rFonts w:ascii="Cambria" w:hAnsi="Cambria"/>
          <w:sz w:val="24"/>
          <w:szCs w:val="24"/>
        </w:rPr>
        <w:lastRenderedPageBreak/>
        <w:t>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8.7. Nenhuma sanção será aplicada sem o devido processo administrativo, que prevê defesa prévia do interessado e recurso nos prazos definidos em lei, sendo-lhe franqueada vista ao 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t xml:space="preserve">10.1. </w:t>
      </w:r>
      <w:r>
        <w:rPr>
          <w:rFonts w:ascii="Cambria" w:hAnsi="Cambria"/>
          <w:sz w:val="24"/>
          <w:szCs w:val="24"/>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lastRenderedPageBreak/>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bens entregues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lang w:val="pt-BR" w:eastAsia="pt-BR"/>
      </w:rPr>
      <w:pict>
        <v:group id="_x0000_s2087" style="position:absolute;left:0;text-align:left;margin-left:437.4pt;margin-top:-7.1pt;width:78.75pt;height:85.85pt;z-index:251667968" coordorigin="10275,240" coordsize="1575,1717">
          <v:oval id="_x0000_s2088"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9"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90" type="#_x0000_t202" style="position:absolute;left:10441;top:1019;width:1222;height:938;mso-width-relative:margin;mso-height-relative:margin" filled="f" stroked="f">
            <v:textbox style="mso-next-textbox:#_x0000_s2090">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r>
      <w:rPr>
        <w:b/>
        <w:noProof/>
        <w:color w:val="333399"/>
        <w:sz w:val="26"/>
        <w:szCs w:val="26"/>
        <w:lang w:val="pt-BR" w:eastAsia="pt-BR"/>
      </w:rPr>
      <w:drawing>
        <wp:anchor distT="0" distB="0" distL="114300" distR="114300" simplePos="0" relativeHeight="251666944" behindDoc="0" locked="0" layoutInCell="1" allowOverlap="1">
          <wp:simplePos x="0" y="0"/>
          <wp:positionH relativeFrom="margin">
            <wp:posOffset>2041525</wp:posOffset>
          </wp:positionH>
          <wp:positionV relativeFrom="paragraph">
            <wp:posOffset>-342900</wp:posOffset>
          </wp:positionV>
          <wp:extent cx="2038985" cy="1784985"/>
          <wp:effectExtent l="0" t="0" r="0" b="0"/>
          <wp:wrapThrough wrapText="bothSides">
            <wp:wrapPolygon edited="0">
              <wp:start x="10292" y="2766"/>
              <wp:lineTo x="7467" y="4380"/>
              <wp:lineTo x="5449" y="5994"/>
              <wp:lineTo x="5247" y="10604"/>
              <wp:lineTo x="2825" y="12909"/>
              <wp:lineTo x="2018" y="14062"/>
              <wp:lineTo x="2018" y="17520"/>
              <wp:lineTo x="19373" y="17520"/>
              <wp:lineTo x="18566" y="14292"/>
              <wp:lineTo x="15539" y="10604"/>
              <wp:lineTo x="15943" y="5533"/>
              <wp:lineTo x="14732" y="4380"/>
              <wp:lineTo x="11301" y="2766"/>
              <wp:lineTo x="10292" y="2766"/>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66354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1784985"/>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7">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8">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2">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6">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7"/>
  </w:num>
  <w:num w:numId="4">
    <w:abstractNumId w:val="16"/>
  </w:num>
  <w:num w:numId="5">
    <w:abstractNumId w:val="25"/>
  </w:num>
  <w:num w:numId="6">
    <w:abstractNumId w:val="28"/>
  </w:num>
  <w:num w:numId="7">
    <w:abstractNumId w:val="21"/>
  </w:num>
  <w:num w:numId="8">
    <w:abstractNumId w:val="22"/>
  </w:num>
  <w:num w:numId="9">
    <w:abstractNumId w:val="13"/>
  </w:num>
  <w:num w:numId="10">
    <w:abstractNumId w:val="29"/>
  </w:num>
  <w:num w:numId="11">
    <w:abstractNumId w:val="0"/>
  </w:num>
  <w:num w:numId="12">
    <w:abstractNumId w:val="11"/>
  </w:num>
  <w:num w:numId="13">
    <w:abstractNumId w:val="14"/>
  </w:num>
  <w:num w:numId="14">
    <w:abstractNumId w:val="5"/>
  </w:num>
  <w:num w:numId="15">
    <w:abstractNumId w:val="18"/>
  </w:num>
  <w:num w:numId="16">
    <w:abstractNumId w:val="27"/>
  </w:num>
  <w:num w:numId="17">
    <w:abstractNumId w:val="8"/>
  </w:num>
  <w:num w:numId="18">
    <w:abstractNumId w:val="12"/>
  </w:num>
  <w:num w:numId="19">
    <w:abstractNumId w:val="20"/>
  </w:num>
  <w:num w:numId="20">
    <w:abstractNumId w:val="7"/>
  </w:num>
  <w:num w:numId="21">
    <w:abstractNumId w:val="2"/>
  </w:num>
  <w:num w:numId="22">
    <w:abstractNumId w:val="9"/>
  </w:num>
  <w:num w:numId="23">
    <w:abstractNumId w:val="15"/>
  </w:num>
  <w:num w:numId="24">
    <w:abstractNumId w:val="19"/>
  </w:num>
  <w:num w:numId="25">
    <w:abstractNumId w:val="24"/>
  </w:num>
  <w:num w:numId="26">
    <w:abstractNumId w:val="1"/>
  </w:num>
  <w:num w:numId="27">
    <w:abstractNumId w:val="26"/>
  </w:num>
  <w:num w:numId="28">
    <w:abstractNumId w:val="10"/>
  </w:num>
  <w:num w:numId="29">
    <w:abstractNumId w:val="6"/>
  </w:num>
  <w:num w:numId="30">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1"/>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governamentais.gov.br" TargetMode="External"/><Relationship Id="rId4" Type="http://schemas.openxmlformats.org/officeDocument/2006/relationships/settings" Target="settings.xml"/><Relationship Id="rId9" Type="http://schemas.openxmlformats.org/officeDocument/2006/relationships/hyperlink" Target="https://bllcompras.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62216-4138-47C4-BF2C-9E9B03012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4723</TotalTime>
  <Pages>25</Pages>
  <Words>10684</Words>
  <Characters>57697</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135</cp:revision>
  <cp:lastPrinted>2024-04-22T17:26:00Z</cp:lastPrinted>
  <dcterms:created xsi:type="dcterms:W3CDTF">2024-01-28T19:24:00Z</dcterms:created>
  <dcterms:modified xsi:type="dcterms:W3CDTF">2026-09-09T14:58:00Z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