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276" w:lineRule="auto"/>
        <w:jc w:val="center"/>
        <w:rPr>
          <w:rFonts w:ascii="Cambria" w:hAnsi="Cambria"/>
          <w:b/>
          <w:sz w:val="24"/>
          <w:szCs w:val="24"/>
        </w:rPr>
      </w:pPr>
    </w:p>
    <w:p>
      <w:pPr>
        <w:jc w:val="center"/>
        <w:rPr>
          <w:rFonts w:ascii="Cambria" w:hAnsi="Cambria"/>
          <w:b/>
          <w:bCs/>
        </w:rPr>
      </w:pPr>
      <w:r>
        <w:rPr>
          <w:rFonts w:ascii="Cambria" w:hAnsi="Cambria"/>
          <w:b/>
          <w:bCs/>
        </w:rPr>
        <w:t>TERMO DE EDITAL</w:t>
      </w:r>
    </w:p>
    <w:p>
      <w:pPr>
        <w:jc w:val="center"/>
        <w:rPr>
          <w:rFonts w:ascii="Cambria" w:hAnsi="Cambria"/>
          <w:b/>
          <w:bCs/>
        </w:rPr>
      </w:pPr>
      <w:r>
        <w:rPr>
          <w:rFonts w:ascii="Cambria" w:hAnsi="Cambria"/>
          <w:b/>
          <w:bCs/>
        </w:rPr>
        <w:t xml:space="preserve">PREGÃO ELETRÔNICO Nº </w:t>
      </w:r>
      <w:r>
        <w:rPr>
          <w:rFonts w:ascii="Cambria" w:hAnsi="Cambria"/>
          <w:b/>
          <w:bCs/>
          <w:sz w:val="24"/>
          <w:szCs w:val="24"/>
          <w:lang w:val="pt-PT"/>
        </w:rPr>
        <w:t>160/2026 - PE</w:t>
      </w:r>
    </w:p>
    <w:p>
      <w:pPr>
        <w:jc w:val="center"/>
        <w:rPr>
          <w:rFonts w:ascii="Cambria" w:hAnsi="Cambria"/>
          <w:b/>
          <w:bCs/>
        </w:rPr>
      </w:pPr>
    </w:p>
    <w:tbl>
      <w:tblPr>
        <w:tblStyle w:val="Tabelacomgrade"/>
        <w:tblW w:w="9348"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348"/>
      </w:tblGrid>
      <w:tr>
        <w:trPr>
          <w:trHeight w:val="216"/>
        </w:trPr>
        <w:tc>
          <w:tcPr>
            <w:tcW w:w="9348" w:type="dxa"/>
            <w:shd w:val="clear" w:color="auto" w:fill="F2F2F2" w:themeFill="background1" w:themeFillShade="F2"/>
            <w:vAlign w:val="center"/>
          </w:tcPr>
          <w:p>
            <w:pPr>
              <w:jc w:val="center"/>
              <w:rPr>
                <w:rFonts w:ascii="Cambria" w:hAnsi="Cambria"/>
                <w:b/>
              </w:rPr>
            </w:pPr>
            <w:r>
              <w:rPr>
                <w:rFonts w:ascii="Cambria" w:hAnsi="Cambria"/>
                <w:b/>
                <w:color w:val="000000" w:themeColor="text1"/>
              </w:rPr>
              <w:t>PARTE ESPECÍFICA (QUADRO DE RESUMO)</w:t>
            </w:r>
          </w:p>
        </w:tc>
      </w:tr>
    </w:tbl>
    <w:p>
      <w:pPr>
        <w:ind w:left="68"/>
        <w:jc w:val="center"/>
        <w:rPr>
          <w:rFonts w:ascii="Cambria" w:hAnsi="Cambria"/>
          <w:bCs/>
        </w:rPr>
      </w:pPr>
    </w:p>
    <w:tbl>
      <w:tblPr>
        <w:tblStyle w:val="Tabelacomgrade"/>
        <w:tblW w:w="5162" w:type="pct"/>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1822"/>
        <w:gridCol w:w="1491"/>
        <w:gridCol w:w="1333"/>
        <w:gridCol w:w="2333"/>
        <w:gridCol w:w="2463"/>
      </w:tblGrid>
      <w:tr>
        <w:trPr>
          <w:trHeight w:val="228"/>
        </w:trPr>
        <w:tc>
          <w:tcPr>
            <w:tcW w:w="970" w:type="pct"/>
            <w:shd w:val="clear" w:color="auto" w:fill="F2F2F2" w:themeFill="background1" w:themeFillShade="F2"/>
            <w:vAlign w:val="center"/>
          </w:tcPr>
          <w:p>
            <w:pPr>
              <w:jc w:val="center"/>
              <w:rPr>
                <w:rFonts w:ascii="Cambria" w:hAnsi="Cambria"/>
                <w:b/>
              </w:rPr>
            </w:pPr>
            <w:r>
              <w:rPr>
                <w:rFonts w:ascii="Cambria" w:hAnsi="Cambria"/>
                <w:b/>
              </w:rPr>
              <w:t>1.MODALIDADE</w:t>
            </w:r>
          </w:p>
        </w:tc>
        <w:tc>
          <w:tcPr>
            <w:tcW w:w="795" w:type="pct"/>
            <w:shd w:val="clear" w:color="auto" w:fill="F2F2F2" w:themeFill="background1" w:themeFillShade="F2"/>
            <w:vAlign w:val="center"/>
          </w:tcPr>
          <w:p>
            <w:pPr>
              <w:jc w:val="center"/>
              <w:rPr>
                <w:rFonts w:ascii="Cambria" w:hAnsi="Cambria"/>
                <w:b/>
              </w:rPr>
            </w:pPr>
            <w:r>
              <w:rPr>
                <w:rFonts w:ascii="Cambria" w:hAnsi="Cambria"/>
                <w:b/>
              </w:rPr>
              <w:t>2.FORMATO</w:t>
            </w:r>
          </w:p>
        </w:tc>
        <w:tc>
          <w:tcPr>
            <w:tcW w:w="686" w:type="pct"/>
            <w:shd w:val="clear" w:color="auto" w:fill="F2F2F2" w:themeFill="background1" w:themeFillShade="F2"/>
            <w:vAlign w:val="center"/>
          </w:tcPr>
          <w:p>
            <w:pPr>
              <w:jc w:val="center"/>
              <w:rPr>
                <w:rFonts w:ascii="Cambria" w:hAnsi="Cambria"/>
                <w:b/>
              </w:rPr>
            </w:pPr>
            <w:r>
              <w:rPr>
                <w:rFonts w:ascii="Cambria" w:hAnsi="Cambria"/>
                <w:b/>
              </w:rPr>
              <w:t>3.Nº DO PROCESSO</w:t>
            </w:r>
          </w:p>
        </w:tc>
        <w:tc>
          <w:tcPr>
            <w:tcW w:w="1240" w:type="pct"/>
            <w:shd w:val="clear" w:color="auto" w:fill="F2F2F2" w:themeFill="background1" w:themeFillShade="F2"/>
            <w:vAlign w:val="center"/>
          </w:tcPr>
          <w:p>
            <w:pPr>
              <w:jc w:val="center"/>
              <w:rPr>
                <w:rFonts w:ascii="Cambria" w:hAnsi="Cambria"/>
                <w:b/>
              </w:rPr>
            </w:pPr>
            <w:r>
              <w:rPr>
                <w:rFonts w:ascii="Cambria" w:hAnsi="Cambria"/>
                <w:b/>
                <w:bCs/>
              </w:rPr>
              <w:t>4.ENDEREÇO/LOCAL DA DISPUTA:</w:t>
            </w:r>
          </w:p>
        </w:tc>
        <w:tc>
          <w:tcPr>
            <w:tcW w:w="1309" w:type="pct"/>
            <w:shd w:val="clear" w:color="auto" w:fill="F2F2F2" w:themeFill="background1" w:themeFillShade="F2"/>
            <w:vAlign w:val="center"/>
          </w:tcPr>
          <w:p>
            <w:pPr>
              <w:jc w:val="center"/>
              <w:rPr>
                <w:rFonts w:ascii="Cambria" w:hAnsi="Cambria"/>
                <w:b/>
              </w:rPr>
            </w:pPr>
            <w:r>
              <w:rPr>
                <w:rFonts w:ascii="Cambria" w:hAnsi="Cambria"/>
                <w:b/>
                <w:bCs/>
              </w:rPr>
              <w:t>5.NÚMERO NO COMPRASNET:</w:t>
            </w:r>
          </w:p>
        </w:tc>
      </w:tr>
      <w:tr>
        <w:trPr>
          <w:trHeight w:val="525"/>
        </w:trPr>
        <w:tc>
          <w:tcPr>
            <w:tcW w:w="970" w:type="pct"/>
            <w:vAlign w:val="center"/>
          </w:tcPr>
          <w:p>
            <w:pPr>
              <w:jc w:val="center"/>
              <w:rPr>
                <w:rFonts w:ascii="Cambria" w:hAnsi="Cambria"/>
              </w:rPr>
            </w:pPr>
            <w:r>
              <w:rPr>
                <w:rFonts w:ascii="Cambria" w:hAnsi="Cambria"/>
              </w:rPr>
              <w:t>PREGÃO</w:t>
            </w:r>
          </w:p>
        </w:tc>
        <w:tc>
          <w:tcPr>
            <w:tcW w:w="795" w:type="pct"/>
            <w:vAlign w:val="center"/>
          </w:tcPr>
          <w:p>
            <w:pPr>
              <w:jc w:val="center"/>
              <w:rPr>
                <w:rFonts w:ascii="Cambria" w:hAnsi="Cambria"/>
                <w:color w:val="000000" w:themeColor="text1"/>
              </w:rPr>
            </w:pPr>
            <w:r>
              <w:rPr>
                <w:rFonts w:ascii="Cambria" w:hAnsi="Cambria"/>
              </w:rPr>
              <w:t>ELETRÔNICO</w:t>
            </w:r>
          </w:p>
        </w:tc>
        <w:tc>
          <w:tcPr>
            <w:tcW w:w="686" w:type="pct"/>
            <w:vAlign w:val="center"/>
          </w:tcPr>
          <w:p>
            <w:pPr>
              <w:jc w:val="center"/>
              <w:rPr>
                <w:rFonts w:ascii="Cambria" w:hAnsi="Cambria"/>
              </w:rPr>
            </w:pPr>
            <w:r>
              <w:rPr>
                <w:rFonts w:ascii="Cambria" w:hAnsi="Cambria"/>
                <w:b/>
                <w:bCs/>
                <w:sz w:val="24"/>
                <w:szCs w:val="24"/>
                <w:lang w:val="pt-PT"/>
              </w:rPr>
              <w:t>160/2026 - PE</w:t>
            </w:r>
          </w:p>
        </w:tc>
        <w:tc>
          <w:tcPr>
            <w:tcW w:w="1240" w:type="pct"/>
            <w:vAlign w:val="center"/>
          </w:tcPr>
          <w:p>
            <w:pPr>
              <w:jc w:val="center"/>
              <w:rPr>
                <w:rFonts w:ascii="Cambria" w:hAnsi="Cambria"/>
              </w:rPr>
            </w:pPr>
            <w:r>
              <w:rPr>
                <w:rFonts w:ascii="Cambria" w:hAnsi="Cambria"/>
                <w:bCs/>
              </w:rPr>
              <w:t>www.compras.gov.br (comprasnet)</w:t>
            </w:r>
          </w:p>
        </w:tc>
        <w:tc>
          <w:tcPr>
            <w:tcW w:w="1309" w:type="pct"/>
            <w:vAlign w:val="center"/>
          </w:tcPr>
          <w:p>
            <w:pPr>
              <w:jc w:val="center"/>
              <w:rPr>
                <w:rFonts w:ascii="Cambria" w:hAnsi="Cambria"/>
                <w:b/>
              </w:rPr>
            </w:pPr>
            <w:r>
              <w:rPr>
                <w:rFonts w:ascii="Cambria" w:hAnsi="Cambria"/>
                <w:b/>
                <w:bCs/>
                <w:sz w:val="24"/>
                <w:szCs w:val="24"/>
                <w:lang w:val="pt-PT"/>
              </w:rPr>
              <w:t>160/2026 - PE</w:t>
            </w:r>
          </w:p>
        </w:tc>
      </w:tr>
    </w:tbl>
    <w:p>
      <w:pPr>
        <w:ind w:left="68"/>
        <w:jc w:val="center"/>
        <w:rPr>
          <w:rFonts w:ascii="Cambria" w:hAnsi="Cambria"/>
          <w:bCs/>
        </w:rPr>
      </w:pPr>
    </w:p>
    <w:tbl>
      <w:tblPr>
        <w:tblStyle w:val="Tabelacomgrade"/>
        <w:tblW w:w="5162" w:type="pct"/>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9442"/>
      </w:tblGrid>
      <w:tr>
        <w:trPr>
          <w:trHeight w:val="315"/>
        </w:trPr>
        <w:tc>
          <w:tcPr>
            <w:tcW w:w="5000" w:type="pct"/>
            <w:shd w:val="clear" w:color="auto" w:fill="F2F2F2" w:themeFill="background1" w:themeFillShade="F2"/>
            <w:vAlign w:val="center"/>
          </w:tcPr>
          <w:p>
            <w:pPr>
              <w:rPr>
                <w:rFonts w:ascii="Cambria" w:hAnsi="Cambria"/>
                <w:b/>
              </w:rPr>
            </w:pPr>
            <w:r>
              <w:rPr>
                <w:rFonts w:ascii="Cambria" w:hAnsi="Cambria"/>
                <w:b/>
              </w:rPr>
              <w:t>6.OBJETO:</w:t>
            </w:r>
          </w:p>
        </w:tc>
      </w:tr>
      <w:tr>
        <w:trPr>
          <w:trHeight w:val="206"/>
        </w:trPr>
        <w:tc>
          <w:tcPr>
            <w:tcW w:w="5000" w:type="pct"/>
            <w:vAlign w:val="center"/>
          </w:tcPr>
          <w:p>
            <w:pPr>
              <w:jc w:val="both"/>
              <w:rPr>
                <w:rFonts w:ascii="Cambria" w:hAnsi="Cambria"/>
              </w:rPr>
            </w:pPr>
            <w:r>
              <w:rPr>
                <w:rFonts w:ascii="Cambria" w:hAnsi="Cambria"/>
              </w:rPr>
              <w:t>AQUISIÇÃO DE MATERIAIS PERMANENTES ODONTOLÓGICOS, DESTINADOS AO ATENDIMENTO DAS NECESSIDADES DA SECRETARIA MUNICIPAL DE SAÚDE DO MUNICÍPIO DE MIRAÍMA/CE</w:t>
            </w:r>
          </w:p>
        </w:tc>
      </w:tr>
    </w:tbl>
    <w:p>
      <w:pPr>
        <w:ind w:left="68"/>
        <w:jc w:val="center"/>
        <w:rPr>
          <w:rFonts w:ascii="Cambria" w:hAnsi="Cambria"/>
          <w:bCs/>
        </w:rPr>
      </w:pPr>
    </w:p>
    <w:tbl>
      <w:tblPr>
        <w:tblStyle w:val="Tabelacomgrade"/>
        <w:tblW w:w="9348"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518"/>
        <w:gridCol w:w="1559"/>
        <w:gridCol w:w="1727"/>
        <w:gridCol w:w="1985"/>
        <w:gridCol w:w="1559"/>
      </w:tblGrid>
      <w:tr>
        <w:trPr>
          <w:trHeight w:val="291"/>
        </w:trPr>
        <w:tc>
          <w:tcPr>
            <w:tcW w:w="2518" w:type="dxa"/>
            <w:shd w:val="clear" w:color="auto" w:fill="F2F2F2" w:themeFill="background1" w:themeFillShade="F2"/>
            <w:vAlign w:val="center"/>
          </w:tcPr>
          <w:p>
            <w:pPr>
              <w:jc w:val="center"/>
              <w:rPr>
                <w:rFonts w:ascii="Cambria" w:hAnsi="Cambria"/>
                <w:b/>
              </w:rPr>
            </w:pPr>
            <w:r>
              <w:rPr>
                <w:rFonts w:ascii="Cambria" w:hAnsi="Cambria"/>
                <w:b/>
              </w:rPr>
              <w:t>7.DATA DA ABERTURA:</w:t>
            </w:r>
          </w:p>
        </w:tc>
        <w:tc>
          <w:tcPr>
            <w:tcW w:w="1559" w:type="dxa"/>
            <w:shd w:val="clear" w:color="auto" w:fill="F2F2F2" w:themeFill="background1" w:themeFillShade="F2"/>
            <w:vAlign w:val="center"/>
          </w:tcPr>
          <w:p>
            <w:pPr>
              <w:jc w:val="center"/>
              <w:rPr>
                <w:rFonts w:ascii="Cambria" w:hAnsi="Cambria"/>
                <w:b/>
              </w:rPr>
            </w:pPr>
            <w:r>
              <w:rPr>
                <w:rFonts w:ascii="Cambria" w:hAnsi="Cambria"/>
                <w:b/>
              </w:rPr>
              <w:t>8.HORA DA ABERTURA</w:t>
            </w:r>
          </w:p>
        </w:tc>
        <w:tc>
          <w:tcPr>
            <w:tcW w:w="1727" w:type="dxa"/>
            <w:shd w:val="clear" w:color="auto" w:fill="F2F2F2" w:themeFill="background1" w:themeFillShade="F2"/>
            <w:vAlign w:val="center"/>
          </w:tcPr>
          <w:p>
            <w:pPr>
              <w:jc w:val="center"/>
              <w:rPr>
                <w:rFonts w:ascii="Cambria" w:hAnsi="Cambria"/>
                <w:b/>
              </w:rPr>
            </w:pPr>
            <w:r>
              <w:rPr>
                <w:rFonts w:ascii="Cambria" w:hAnsi="Cambria"/>
                <w:b/>
                <w:bCs/>
              </w:rPr>
              <w:t>9.TIPO:</w:t>
            </w:r>
          </w:p>
        </w:tc>
        <w:tc>
          <w:tcPr>
            <w:tcW w:w="1985" w:type="dxa"/>
            <w:shd w:val="clear" w:color="auto" w:fill="F2F2F2" w:themeFill="background1" w:themeFillShade="F2"/>
            <w:vAlign w:val="center"/>
          </w:tcPr>
          <w:p>
            <w:pPr>
              <w:jc w:val="center"/>
              <w:rPr>
                <w:rFonts w:ascii="Cambria" w:hAnsi="Cambria"/>
                <w:b/>
              </w:rPr>
            </w:pPr>
            <w:r>
              <w:rPr>
                <w:rFonts w:ascii="Cambria" w:hAnsi="Cambria"/>
                <w:b/>
                <w:bCs/>
              </w:rPr>
              <w:t>10.CRITÉRIO DE JULGAMENTO:</w:t>
            </w:r>
          </w:p>
        </w:tc>
        <w:tc>
          <w:tcPr>
            <w:tcW w:w="1559" w:type="dxa"/>
            <w:shd w:val="clear" w:color="auto" w:fill="F2F2F2" w:themeFill="background1" w:themeFillShade="F2"/>
            <w:vAlign w:val="center"/>
          </w:tcPr>
          <w:p>
            <w:pPr>
              <w:jc w:val="center"/>
              <w:rPr>
                <w:rFonts w:ascii="Cambria" w:hAnsi="Cambria"/>
                <w:b/>
                <w:bCs/>
              </w:rPr>
            </w:pPr>
            <w:r>
              <w:rPr>
                <w:rFonts w:ascii="Cambria" w:hAnsi="Cambria"/>
                <w:b/>
                <w:bCs/>
              </w:rPr>
              <w:t>11.MODO DE DISPUTA</w:t>
            </w:r>
          </w:p>
        </w:tc>
      </w:tr>
      <w:tr>
        <w:trPr>
          <w:trHeight w:val="291"/>
        </w:trPr>
        <w:tc>
          <w:tcPr>
            <w:tcW w:w="2518" w:type="dxa"/>
            <w:vAlign w:val="center"/>
          </w:tcPr>
          <w:p>
            <w:pPr>
              <w:jc w:val="center"/>
              <w:rPr>
                <w:rFonts w:ascii="Cambria" w:hAnsi="Cambria"/>
                <w:b/>
              </w:rPr>
            </w:pPr>
            <w:r>
              <w:rPr>
                <w:rFonts w:ascii="Cambria" w:hAnsi="Cambria"/>
                <w:bCs/>
                <w:color w:val="000000"/>
              </w:rPr>
              <w:t>08 de outubro de 2026</w:t>
            </w:r>
          </w:p>
        </w:tc>
        <w:tc>
          <w:tcPr>
            <w:tcW w:w="1559" w:type="dxa"/>
            <w:vAlign w:val="center"/>
          </w:tcPr>
          <w:p>
            <w:pPr>
              <w:jc w:val="center"/>
              <w:rPr>
                <w:rFonts w:ascii="Cambria" w:hAnsi="Cambria"/>
                <w:b/>
              </w:rPr>
            </w:pPr>
            <w:r>
              <w:rPr>
                <w:rFonts w:ascii="Cambria" w:hAnsi="Cambria"/>
              </w:rPr>
              <w:t>09:00h</w:t>
            </w:r>
          </w:p>
        </w:tc>
        <w:tc>
          <w:tcPr>
            <w:tcW w:w="1727" w:type="dxa"/>
            <w:vAlign w:val="center"/>
          </w:tcPr>
          <w:p>
            <w:pPr>
              <w:jc w:val="center"/>
              <w:rPr>
                <w:rFonts w:ascii="Cambria" w:hAnsi="Cambria"/>
                <w:b/>
                <w:bCs/>
              </w:rPr>
            </w:pPr>
            <w:r>
              <w:rPr>
                <w:rFonts w:ascii="Cambria" w:hAnsi="Cambria"/>
              </w:rPr>
              <w:t>MENOR PREÇO</w:t>
            </w:r>
          </w:p>
        </w:tc>
        <w:tc>
          <w:tcPr>
            <w:tcW w:w="1985" w:type="dxa"/>
            <w:vAlign w:val="center"/>
          </w:tcPr>
          <w:p>
            <w:pPr>
              <w:jc w:val="center"/>
              <w:rPr>
                <w:rFonts w:ascii="Cambria" w:hAnsi="Cambria"/>
                <w:b/>
                <w:bCs/>
              </w:rPr>
            </w:pPr>
            <w:r>
              <w:rPr>
                <w:rFonts w:ascii="Cambria" w:hAnsi="Cambria"/>
              </w:rPr>
              <w:t>POR GRUPO</w:t>
            </w:r>
          </w:p>
        </w:tc>
        <w:tc>
          <w:tcPr>
            <w:tcW w:w="1559" w:type="dxa"/>
            <w:vAlign w:val="center"/>
          </w:tcPr>
          <w:p>
            <w:pPr>
              <w:jc w:val="center"/>
              <w:rPr>
                <w:rFonts w:ascii="Cambria" w:hAnsi="Cambria"/>
                <w:b/>
                <w:bCs/>
              </w:rPr>
            </w:pPr>
            <w:r>
              <w:rPr>
                <w:rFonts w:ascii="Cambria" w:hAnsi="Cambria"/>
              </w:rPr>
              <w:t>ABERTO</w:t>
            </w:r>
          </w:p>
        </w:tc>
      </w:tr>
      <w:tr>
        <w:trPr>
          <w:trHeight w:val="175"/>
        </w:trPr>
        <w:tc>
          <w:tcPr>
            <w:tcW w:w="9348" w:type="dxa"/>
            <w:gridSpan w:val="5"/>
            <w:vAlign w:val="center"/>
          </w:tcPr>
          <w:p>
            <w:pPr>
              <w:pStyle w:val="Nivel2"/>
              <w:numPr>
                <w:ilvl w:val="1"/>
                <w:numId w:val="25"/>
              </w:numPr>
              <w:spacing w:before="0" w:after="0"/>
              <w:rPr>
                <w:rFonts w:ascii="Cambria" w:hAnsi="Cambria"/>
              </w:rPr>
            </w:pPr>
            <w:r>
              <w:rPr>
                <w:rFonts w:ascii="Cambria" w:hAnsi="Cambria"/>
              </w:rPr>
              <w:t>Referência de Tempo: para todas as referências de tempo utilizadas pelo sistema será observado o horário de Brasília/DF.</w:t>
            </w:r>
          </w:p>
        </w:tc>
      </w:tr>
    </w:tbl>
    <w:p>
      <w:pPr>
        <w:jc w:val="both"/>
        <w:rPr>
          <w:rFonts w:ascii="Cambria" w:hAnsi="Cambria"/>
        </w:rPr>
      </w:pPr>
    </w:p>
    <w:tbl>
      <w:tblPr>
        <w:tblStyle w:val="Tabelacomgrade"/>
        <w:tblW w:w="9348"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348"/>
      </w:tblGrid>
      <w:tr>
        <w:trPr>
          <w:trHeight w:val="298"/>
        </w:trPr>
        <w:tc>
          <w:tcPr>
            <w:tcW w:w="9348" w:type="dxa"/>
            <w:shd w:val="clear" w:color="auto" w:fill="F2F2F2" w:themeFill="background1" w:themeFillShade="F2"/>
            <w:vAlign w:val="center"/>
          </w:tcPr>
          <w:p>
            <w:pPr>
              <w:rPr>
                <w:rFonts w:ascii="Cambria" w:hAnsi="Cambria"/>
                <w:b/>
              </w:rPr>
            </w:pPr>
            <w:r>
              <w:rPr>
                <w:rFonts w:ascii="Cambria" w:hAnsi="Cambria"/>
                <w:b/>
              </w:rPr>
              <w:t>12.ÓRGÃO GERENCIADOR:</w:t>
            </w:r>
          </w:p>
        </w:tc>
      </w:tr>
      <w:tr>
        <w:trPr>
          <w:trHeight w:val="33"/>
        </w:trPr>
        <w:tc>
          <w:tcPr>
            <w:tcW w:w="9348" w:type="dxa"/>
            <w:vAlign w:val="center"/>
          </w:tcPr>
          <w:p>
            <w:pPr>
              <w:pStyle w:val="PargrafodaLista"/>
              <w:numPr>
                <w:ilvl w:val="0"/>
                <w:numId w:val="26"/>
              </w:numPr>
              <w:tabs>
                <w:tab w:val="left" w:pos="236"/>
              </w:tabs>
              <w:suppressAutoHyphens/>
              <w:spacing w:after="0" w:line="240" w:lineRule="auto"/>
              <w:ind w:left="22" w:firstLine="0"/>
              <w:jc w:val="both"/>
              <w:rPr>
                <w:rFonts w:ascii="Cambria" w:hAnsi="Cambria"/>
              </w:rPr>
            </w:pPr>
            <w:r>
              <w:rPr>
                <w:rFonts w:ascii="Cambria" w:hAnsi="Cambria"/>
              </w:rPr>
              <w:t>SECRETARIA MUNICIPAL DE SAÚDE</w:t>
            </w:r>
          </w:p>
        </w:tc>
      </w:tr>
    </w:tbl>
    <w:p>
      <w:pPr>
        <w:jc w:val="both"/>
        <w:rPr>
          <w:rFonts w:ascii="Cambria" w:hAnsi="Cambria"/>
        </w:rPr>
      </w:pPr>
    </w:p>
    <w:tbl>
      <w:tblPr>
        <w:tblStyle w:val="Tabelacomgrade"/>
        <w:tblW w:w="9348"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518"/>
        <w:gridCol w:w="1985"/>
        <w:gridCol w:w="1726"/>
        <w:gridCol w:w="1701"/>
        <w:gridCol w:w="1418"/>
      </w:tblGrid>
      <w:tr>
        <w:tc>
          <w:tcPr>
            <w:tcW w:w="2518" w:type="dxa"/>
            <w:shd w:val="clear" w:color="auto" w:fill="F2F2F2" w:themeFill="background1" w:themeFillShade="F2"/>
            <w:vAlign w:val="center"/>
          </w:tcPr>
          <w:p>
            <w:pPr>
              <w:rPr>
                <w:rFonts w:ascii="Cambria" w:hAnsi="Cambria"/>
                <w:b/>
              </w:rPr>
            </w:pPr>
            <w:r>
              <w:rPr>
                <w:rFonts w:ascii="Cambria" w:hAnsi="Cambria"/>
                <w:b/>
              </w:rPr>
              <w:t>14.LICITAÇÃO EXCLUSIVA OU COM COTAS PARA ME E EPP?</w:t>
            </w:r>
          </w:p>
        </w:tc>
        <w:tc>
          <w:tcPr>
            <w:tcW w:w="1985" w:type="dxa"/>
            <w:shd w:val="clear" w:color="auto" w:fill="F2F2F2" w:themeFill="background1" w:themeFillShade="F2"/>
            <w:vAlign w:val="center"/>
          </w:tcPr>
          <w:p>
            <w:pPr>
              <w:jc w:val="both"/>
              <w:rPr>
                <w:rFonts w:ascii="Cambria" w:hAnsi="Cambria"/>
                <w:b/>
              </w:rPr>
            </w:pPr>
            <w:r>
              <w:rPr>
                <w:rFonts w:ascii="Cambria" w:hAnsi="Cambria"/>
                <w:b/>
              </w:rPr>
              <w:t>15.FORNECIMENTO:</w:t>
            </w:r>
          </w:p>
        </w:tc>
        <w:tc>
          <w:tcPr>
            <w:tcW w:w="1726" w:type="dxa"/>
            <w:shd w:val="clear" w:color="auto" w:fill="F2F2F2" w:themeFill="background1" w:themeFillShade="F2"/>
            <w:vAlign w:val="center"/>
          </w:tcPr>
          <w:p>
            <w:pPr>
              <w:jc w:val="both"/>
              <w:rPr>
                <w:rFonts w:ascii="Cambria" w:hAnsi="Cambria"/>
                <w:b/>
              </w:rPr>
            </w:pPr>
            <w:r>
              <w:rPr>
                <w:rFonts w:ascii="Cambria" w:hAnsi="Cambria"/>
                <w:b/>
              </w:rPr>
              <w:t>16. PRAZO PARA ENTREGA:</w:t>
            </w:r>
          </w:p>
        </w:tc>
        <w:tc>
          <w:tcPr>
            <w:tcW w:w="1701" w:type="dxa"/>
            <w:shd w:val="clear" w:color="auto" w:fill="F2F2F2" w:themeFill="background1" w:themeFillShade="F2"/>
            <w:vAlign w:val="center"/>
          </w:tcPr>
          <w:p>
            <w:pPr>
              <w:jc w:val="both"/>
              <w:rPr>
                <w:rFonts w:ascii="Cambria" w:hAnsi="Cambria"/>
                <w:b/>
              </w:rPr>
            </w:pPr>
            <w:r>
              <w:rPr>
                <w:rFonts w:ascii="Cambria" w:hAnsi="Cambria"/>
                <w:b/>
              </w:rPr>
              <w:t>17. VIGÊNCIA</w:t>
            </w:r>
          </w:p>
        </w:tc>
        <w:tc>
          <w:tcPr>
            <w:tcW w:w="1418" w:type="dxa"/>
            <w:shd w:val="clear" w:color="auto" w:fill="F2F2F2" w:themeFill="background1" w:themeFillShade="F2"/>
            <w:vAlign w:val="center"/>
          </w:tcPr>
          <w:p>
            <w:pPr>
              <w:jc w:val="both"/>
              <w:rPr>
                <w:rFonts w:ascii="Cambria" w:hAnsi="Cambria"/>
                <w:b/>
              </w:rPr>
            </w:pPr>
            <w:r>
              <w:rPr>
                <w:rFonts w:ascii="Cambria" w:hAnsi="Cambria"/>
                <w:b/>
              </w:rPr>
              <w:t>18.POSSIBILIDADE DE AMOSTRAS?</w:t>
            </w:r>
          </w:p>
        </w:tc>
      </w:tr>
      <w:tr>
        <w:trPr>
          <w:trHeight w:val="393"/>
        </w:trPr>
        <w:tc>
          <w:tcPr>
            <w:tcW w:w="2518" w:type="dxa"/>
            <w:vAlign w:val="center"/>
          </w:tcPr>
          <w:p>
            <w:pPr>
              <w:jc w:val="center"/>
              <w:rPr>
                <w:rFonts w:ascii="Cambria" w:hAnsi="Cambria"/>
              </w:rPr>
            </w:pPr>
            <w:r>
              <w:rPr>
                <w:rFonts w:ascii="Cambria" w:hAnsi="Cambria"/>
              </w:rPr>
              <w:t>SIM</w:t>
            </w:r>
          </w:p>
        </w:tc>
        <w:tc>
          <w:tcPr>
            <w:tcW w:w="1985" w:type="dxa"/>
            <w:vAlign w:val="center"/>
          </w:tcPr>
          <w:p>
            <w:pPr>
              <w:jc w:val="center"/>
              <w:rPr>
                <w:rFonts w:ascii="Cambria" w:hAnsi="Cambria"/>
              </w:rPr>
            </w:pPr>
            <w:r>
              <w:rPr>
                <w:rFonts w:ascii="Cambria" w:hAnsi="Cambria"/>
              </w:rPr>
              <w:t>PARCELADO</w:t>
            </w:r>
          </w:p>
        </w:tc>
        <w:tc>
          <w:tcPr>
            <w:tcW w:w="1726" w:type="dxa"/>
            <w:vAlign w:val="center"/>
          </w:tcPr>
          <w:p>
            <w:pPr>
              <w:jc w:val="center"/>
              <w:rPr>
                <w:rFonts w:ascii="Cambria" w:hAnsi="Cambria"/>
              </w:rPr>
            </w:pPr>
            <w:r>
              <w:rPr>
                <w:rFonts w:ascii="Cambria" w:hAnsi="Cambria"/>
              </w:rPr>
              <w:t xml:space="preserve">ATÉ </w:t>
            </w:r>
            <w:r>
              <w:rPr>
                <w:rFonts w:ascii="Cambria" w:hAnsi="Cambria"/>
                <w:lang w:val="pt-PT"/>
              </w:rPr>
              <w:t>10 (DEZ) DIAS ÚTEIS</w:t>
            </w:r>
          </w:p>
        </w:tc>
        <w:tc>
          <w:tcPr>
            <w:tcW w:w="1701" w:type="dxa"/>
            <w:vAlign w:val="center"/>
          </w:tcPr>
          <w:p>
            <w:pPr>
              <w:jc w:val="center"/>
              <w:rPr>
                <w:rFonts w:ascii="Cambria" w:hAnsi="Cambria"/>
              </w:rPr>
            </w:pPr>
            <w:r>
              <w:rPr>
                <w:rFonts w:ascii="Cambria" w:hAnsi="Cambria"/>
              </w:rPr>
              <w:t>PRESENTE NO CONTRATO</w:t>
            </w:r>
          </w:p>
        </w:tc>
        <w:tc>
          <w:tcPr>
            <w:tcW w:w="1418" w:type="dxa"/>
            <w:vAlign w:val="center"/>
          </w:tcPr>
          <w:p>
            <w:pPr>
              <w:jc w:val="center"/>
              <w:rPr>
                <w:rFonts w:ascii="Cambria" w:hAnsi="Cambria"/>
              </w:rPr>
            </w:pPr>
            <w:r>
              <w:rPr>
                <w:rFonts w:ascii="Cambria" w:hAnsi="Cambria"/>
              </w:rPr>
              <w:t>NÃO</w:t>
            </w:r>
          </w:p>
        </w:tc>
      </w:tr>
    </w:tbl>
    <w:p>
      <w:pPr>
        <w:jc w:val="both"/>
        <w:rPr>
          <w:rFonts w:ascii="Cambria" w:hAnsi="Cambria"/>
        </w:rPr>
      </w:pPr>
    </w:p>
    <w:tbl>
      <w:tblPr>
        <w:tblStyle w:val="Tabelacomgrade"/>
        <w:tblW w:w="9490"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490"/>
      </w:tblGrid>
      <w:tr>
        <w:trPr>
          <w:trHeight w:val="258"/>
        </w:trPr>
        <w:tc>
          <w:tcPr>
            <w:tcW w:w="9490" w:type="dxa"/>
            <w:shd w:val="clear" w:color="auto" w:fill="F2F2F2" w:themeFill="background1" w:themeFillShade="F2"/>
            <w:vAlign w:val="center"/>
          </w:tcPr>
          <w:p>
            <w:pPr>
              <w:jc w:val="both"/>
              <w:rPr>
                <w:rFonts w:ascii="Cambria" w:hAnsi="Cambria"/>
                <w:b/>
              </w:rPr>
            </w:pPr>
            <w:r>
              <w:rPr>
                <w:rFonts w:ascii="Cambria" w:hAnsi="Cambria"/>
                <w:b/>
              </w:rPr>
              <w:t>19.DOS ATENDIMENTOS, PEDIDOS DE ESCLARECIMENTOS, IMPUGNAÇÕES, RECURSOS E VISTAS AO PROCESSO</w:t>
            </w:r>
          </w:p>
        </w:tc>
      </w:tr>
      <w:tr>
        <w:trPr>
          <w:trHeight w:val="479"/>
        </w:trPr>
        <w:tc>
          <w:tcPr>
            <w:tcW w:w="9490" w:type="dxa"/>
            <w:vAlign w:val="center"/>
          </w:tcPr>
          <w:p>
            <w:pPr>
              <w:jc w:val="both"/>
              <w:rPr>
                <w:rFonts w:ascii="Cambria" w:hAnsi="Cambria"/>
              </w:rPr>
            </w:pPr>
            <w:r>
              <w:rPr>
                <w:rFonts w:ascii="Cambria" w:hAnsi="Cambria"/>
              </w:rPr>
              <w:t xml:space="preserve">Todos os </w:t>
            </w:r>
            <w:r>
              <w:rPr>
                <w:rFonts w:ascii="Cambria" w:hAnsi="Cambria"/>
                <w:b/>
              </w:rPr>
              <w:t>atendimentos</w:t>
            </w:r>
            <w:r>
              <w:rPr>
                <w:rFonts w:ascii="Cambria" w:hAnsi="Cambria"/>
              </w:rPr>
              <w:t xml:space="preserve"> e demais tratativas com o(a) Pregoeiro(a) serão realizados </w:t>
            </w:r>
            <w:r>
              <w:rPr>
                <w:rFonts w:ascii="Cambria" w:hAnsi="Cambria"/>
                <w:b/>
              </w:rPr>
              <w:t xml:space="preserve">exclusivamente </w:t>
            </w:r>
            <w:r>
              <w:rPr>
                <w:rFonts w:ascii="Cambria" w:hAnsi="Cambria"/>
              </w:rPr>
              <w:t xml:space="preserve">por meio virtual, mediante pedido formal a ser enviado através do e-mail: </w:t>
            </w:r>
            <w:r>
              <w:rPr>
                <w:rFonts w:ascii="Cambria" w:hAnsi="Cambria"/>
                <w:b/>
                <w:bCs/>
              </w:rPr>
              <w:t>licitacao@miraima.ce.gov.br</w:t>
            </w:r>
            <w:r>
              <w:rPr>
                <w:rFonts w:ascii="Cambria" w:hAnsi="Cambria"/>
              </w:rPr>
              <w:t xml:space="preserve">, assim como os </w:t>
            </w:r>
            <w:r>
              <w:rPr>
                <w:rFonts w:ascii="Cambria" w:hAnsi="Cambria"/>
                <w:b/>
              </w:rPr>
              <w:t xml:space="preserve">pedidos de esclarecimentos, impugnações, recursos e pedidos de vistas aos autos, </w:t>
            </w:r>
            <w:r>
              <w:rPr>
                <w:rFonts w:ascii="Cambria" w:hAnsi="Cambria"/>
                <w:bCs/>
              </w:rPr>
              <w:t>nos termos consignados no presente edital</w:t>
            </w:r>
            <w:r>
              <w:rPr>
                <w:rFonts w:ascii="Cambria" w:hAnsi="Cambria"/>
                <w:b/>
              </w:rPr>
              <w:t>.</w:t>
            </w:r>
          </w:p>
        </w:tc>
      </w:tr>
    </w:tbl>
    <w:p>
      <w:pPr>
        <w:jc w:val="both"/>
        <w:rPr>
          <w:rFonts w:ascii="Cambria" w:hAnsi="Cambria"/>
        </w:rPr>
      </w:pPr>
    </w:p>
    <w:tbl>
      <w:tblPr>
        <w:tblStyle w:val="Tabelacomgrade"/>
        <w:tblW w:w="9490"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490"/>
      </w:tblGrid>
      <w:tr>
        <w:trPr>
          <w:trHeight w:val="258"/>
        </w:trPr>
        <w:tc>
          <w:tcPr>
            <w:tcW w:w="9490" w:type="dxa"/>
            <w:shd w:val="clear" w:color="auto" w:fill="F2F2F2" w:themeFill="background1" w:themeFillShade="F2"/>
            <w:vAlign w:val="center"/>
          </w:tcPr>
          <w:p>
            <w:pPr>
              <w:jc w:val="both"/>
              <w:rPr>
                <w:rFonts w:ascii="Cambria" w:hAnsi="Cambria"/>
                <w:b/>
              </w:rPr>
            </w:pPr>
            <w:r>
              <w:rPr>
                <w:rFonts w:ascii="Cambria" w:hAnsi="Cambria"/>
                <w:b/>
              </w:rPr>
              <w:t>20.OBSERVAÇÕES IMPORTANTES E OBSERVÂNCIA OBRIGATÓRIA:</w:t>
            </w:r>
          </w:p>
        </w:tc>
      </w:tr>
      <w:tr>
        <w:trPr>
          <w:trHeight w:val="184"/>
        </w:trPr>
        <w:tc>
          <w:tcPr>
            <w:tcW w:w="9490" w:type="dxa"/>
            <w:vAlign w:val="center"/>
          </w:tcPr>
          <w:p>
            <w:pPr>
              <w:pStyle w:val="PargrafodaLista"/>
              <w:numPr>
                <w:ilvl w:val="0"/>
                <w:numId w:val="27"/>
              </w:numPr>
              <w:tabs>
                <w:tab w:val="left" w:pos="306"/>
              </w:tabs>
              <w:suppressAutoHyphens/>
              <w:spacing w:after="0"/>
              <w:ind w:left="0" w:firstLine="0"/>
              <w:jc w:val="both"/>
              <w:rPr>
                <w:rFonts w:ascii="Cambria" w:hAnsi="Cambria"/>
              </w:rPr>
            </w:pPr>
            <w:r>
              <w:rPr>
                <w:rFonts w:ascii="Cambria" w:hAnsi="Cambria"/>
              </w:rPr>
              <w:t>O presente edital se apresenta em duas partes (parte específica e parte geral), onde, na parte específica serão disciplinadas as definições singulares do objeto, qualificação técnica específica, peculiaridades e demais disposições do julgamento. Já na parte geral teremos as demais condições e entendimentos padronizados relativos ao procedimento.</w:t>
            </w:r>
          </w:p>
          <w:p>
            <w:pPr>
              <w:pStyle w:val="PargrafodaLista"/>
              <w:numPr>
                <w:ilvl w:val="0"/>
                <w:numId w:val="27"/>
              </w:numPr>
              <w:tabs>
                <w:tab w:val="left" w:pos="306"/>
              </w:tabs>
              <w:suppressAutoHyphens/>
              <w:spacing w:after="0"/>
              <w:ind w:left="0" w:firstLine="0"/>
              <w:jc w:val="both"/>
              <w:rPr>
                <w:rFonts w:ascii="Cambria" w:hAnsi="Cambria"/>
              </w:rPr>
            </w:pPr>
            <w:r>
              <w:rPr>
                <w:rFonts w:ascii="Cambria" w:hAnsi="Cambria"/>
              </w:rPr>
              <w:t>Existindo divergência entre as informações constantes da parte específica (quadro resumo) e dos demais campos do edital e seus anexos (parte geral), prevalecerão as informações constantes da parte específica.</w:t>
            </w:r>
          </w:p>
          <w:p>
            <w:pPr>
              <w:pStyle w:val="PargrafodaLista"/>
              <w:numPr>
                <w:ilvl w:val="0"/>
                <w:numId w:val="27"/>
              </w:numPr>
              <w:tabs>
                <w:tab w:val="left" w:pos="306"/>
              </w:tabs>
              <w:suppressAutoHyphens/>
              <w:spacing w:after="0"/>
              <w:ind w:left="0" w:firstLine="0"/>
              <w:jc w:val="both"/>
              <w:rPr>
                <w:rFonts w:ascii="Cambria" w:hAnsi="Cambria"/>
              </w:rPr>
            </w:pPr>
            <w:r>
              <w:rPr>
                <w:rFonts w:ascii="Cambria" w:hAnsi="Cambria"/>
              </w:rPr>
              <w:t xml:space="preserve">Havendo discrepância entre os textos constantes do edital e seus ANEXOS, inclusive quanto a especificação dos produtos, unidades e demais detalhamentos ante aqueles constantes da plataforma do Portal de Compras do Governo Federal www.compras.gov.br (comprasnet) </w:t>
            </w:r>
            <w:r>
              <w:rPr>
                <w:rFonts w:ascii="Cambria" w:hAnsi="Cambria"/>
              </w:rPr>
              <w:lastRenderedPageBreak/>
              <w:t>prevalecerão as informações constantes do edital e seus ANEXOS.</w:t>
            </w:r>
          </w:p>
          <w:p>
            <w:pPr>
              <w:pStyle w:val="PargrafodaLista"/>
              <w:numPr>
                <w:ilvl w:val="0"/>
                <w:numId w:val="27"/>
              </w:numPr>
              <w:tabs>
                <w:tab w:val="left" w:pos="306"/>
              </w:tabs>
              <w:suppressAutoHyphens/>
              <w:spacing w:after="0"/>
              <w:ind w:left="0" w:firstLine="0"/>
              <w:jc w:val="both"/>
              <w:rPr>
                <w:rFonts w:ascii="Cambria" w:hAnsi="Cambria"/>
              </w:rPr>
            </w:pPr>
            <w:r>
              <w:rPr>
                <w:rFonts w:ascii="Cambria" w:hAnsi="Cambria"/>
              </w:rPr>
              <w:t>Os Regulamentos de Licitações e Contratos da Prefeitura Municipal de Miraíma/CE, são parte integrante desse instrumento. Os regulamentos poderão ser obtidos no seguinte endereço eletrônico https://www.miraima.ce.gov.br/.</w:t>
            </w:r>
          </w:p>
        </w:tc>
      </w:tr>
    </w:tbl>
    <w:p>
      <w:pPr>
        <w:spacing w:line="276" w:lineRule="auto"/>
        <w:rPr>
          <w:rFonts w:ascii="Cambria" w:hAnsi="Cambria"/>
          <w:b/>
          <w:bCs/>
          <w:sz w:val="24"/>
          <w:szCs w:val="24"/>
        </w:rPr>
      </w:pPr>
    </w:p>
    <w:p>
      <w:pPr>
        <w:spacing w:line="276" w:lineRule="auto"/>
        <w:rPr>
          <w:rFonts w:ascii="Cambria" w:hAnsi="Cambria"/>
          <w:b/>
          <w:bCs/>
          <w:sz w:val="24"/>
          <w:szCs w:val="24"/>
        </w:rPr>
      </w:pPr>
    </w:p>
    <w:p>
      <w:pPr>
        <w:suppressAutoHyphens w:val="0"/>
        <w:spacing w:after="160" w:line="259" w:lineRule="auto"/>
        <w:rPr>
          <w:rFonts w:ascii="Cambria" w:hAnsi="Cambria"/>
          <w:b/>
          <w:bCs/>
          <w:sz w:val="24"/>
          <w:szCs w:val="24"/>
        </w:rPr>
      </w:pPr>
      <w:r>
        <w:rPr>
          <w:rFonts w:ascii="Cambria" w:hAnsi="Cambria"/>
          <w:b/>
          <w:bCs/>
          <w:sz w:val="24"/>
          <w:szCs w:val="24"/>
        </w:rPr>
        <w:br w:type="page"/>
      </w:r>
    </w:p>
    <w:p>
      <w:pPr>
        <w:spacing w:line="276" w:lineRule="auto"/>
        <w:rPr>
          <w:rFonts w:ascii="Cambria" w:hAnsi="Cambria"/>
          <w:b/>
          <w:bCs/>
          <w:sz w:val="24"/>
          <w:szCs w:val="24"/>
        </w:rPr>
      </w:pPr>
    </w:p>
    <w:p>
      <w:pPr>
        <w:spacing w:line="276" w:lineRule="auto"/>
        <w:jc w:val="center"/>
        <w:rPr>
          <w:rFonts w:ascii="Cambria" w:hAnsi="Cambria"/>
          <w:b/>
          <w:sz w:val="24"/>
          <w:szCs w:val="24"/>
        </w:rPr>
      </w:pPr>
      <w:r>
        <w:rPr>
          <w:rFonts w:ascii="Cambria" w:hAnsi="Cambria"/>
          <w:b/>
          <w:bCs/>
          <w:iCs/>
          <w:sz w:val="24"/>
          <w:szCs w:val="24"/>
        </w:rPr>
        <w:t>EDITAL</w:t>
      </w:r>
    </w:p>
    <w:p>
      <w:pPr>
        <w:spacing w:line="276" w:lineRule="auto"/>
        <w:ind w:firstLine="567"/>
        <w:jc w:val="center"/>
        <w:rPr>
          <w:rFonts w:ascii="Cambria" w:hAnsi="Cambria"/>
          <w:b/>
          <w:sz w:val="24"/>
          <w:szCs w:val="24"/>
        </w:rPr>
      </w:pPr>
    </w:p>
    <w:p>
      <w:pPr>
        <w:spacing w:line="276" w:lineRule="auto"/>
        <w:jc w:val="center"/>
        <w:rPr>
          <w:rFonts w:ascii="Cambria" w:hAnsi="Cambria"/>
          <w:b/>
          <w:sz w:val="24"/>
          <w:szCs w:val="24"/>
        </w:rPr>
      </w:pPr>
      <w:r>
        <w:rPr>
          <w:rFonts w:ascii="Cambria" w:hAnsi="Cambria"/>
          <w:b/>
          <w:sz w:val="24"/>
          <w:szCs w:val="24"/>
        </w:rPr>
        <w:t>PREFEITURA MUNICIPAL DE MIRAÍMA-CE</w:t>
      </w:r>
    </w:p>
    <w:p>
      <w:pPr>
        <w:spacing w:line="276" w:lineRule="auto"/>
        <w:jc w:val="center"/>
        <w:rPr>
          <w:rFonts w:ascii="Cambria" w:hAnsi="Cambria"/>
          <w:b/>
          <w:bCs/>
          <w:sz w:val="24"/>
          <w:szCs w:val="24"/>
        </w:rPr>
      </w:pPr>
      <w:r>
        <w:rPr>
          <w:rFonts w:ascii="Cambria" w:hAnsi="Cambria"/>
          <w:b/>
          <w:sz w:val="24"/>
          <w:szCs w:val="24"/>
        </w:rPr>
        <w:t>SECRETARIA DE SAÚDE</w:t>
      </w:r>
    </w:p>
    <w:p>
      <w:pPr>
        <w:spacing w:line="276" w:lineRule="auto"/>
        <w:jc w:val="center"/>
        <w:rPr>
          <w:rFonts w:ascii="Cambria" w:hAnsi="Cambria"/>
          <w:b/>
          <w:sz w:val="24"/>
          <w:szCs w:val="24"/>
        </w:rPr>
      </w:pPr>
    </w:p>
    <w:p>
      <w:pPr>
        <w:spacing w:line="276" w:lineRule="auto"/>
        <w:jc w:val="center"/>
        <w:rPr>
          <w:rFonts w:ascii="Cambria" w:hAnsi="Cambria"/>
          <w:b/>
          <w:sz w:val="24"/>
          <w:szCs w:val="24"/>
        </w:rPr>
      </w:pPr>
      <w:r>
        <w:rPr>
          <w:rFonts w:ascii="Cambria" w:hAnsi="Cambria"/>
          <w:b/>
          <w:sz w:val="24"/>
          <w:szCs w:val="24"/>
        </w:rPr>
        <w:t>PREGÃO ELETRÔNICO Nº 160/2026-PE</w:t>
      </w:r>
    </w:p>
    <w:p>
      <w:pPr>
        <w:spacing w:line="276" w:lineRule="auto"/>
        <w:jc w:val="center"/>
        <w:rPr>
          <w:rFonts w:ascii="Cambria" w:hAnsi="Cambria"/>
          <w:bCs/>
          <w:sz w:val="24"/>
          <w:szCs w:val="24"/>
        </w:rPr>
      </w:pPr>
      <w:r>
        <w:rPr>
          <w:rFonts w:ascii="Cambria" w:hAnsi="Cambria"/>
          <w:sz w:val="24"/>
          <w:szCs w:val="24"/>
        </w:rPr>
        <w:t>Processo Administrativo n</w:t>
      </w:r>
      <w:r>
        <w:rPr>
          <w:rFonts w:ascii="Cambria" w:hAnsi="Cambria"/>
          <w:bCs/>
          <w:sz w:val="24"/>
          <w:szCs w:val="24"/>
        </w:rPr>
        <w:t>° 0426081801</w:t>
      </w:r>
    </w:p>
    <w:p>
      <w:pPr>
        <w:spacing w:line="276" w:lineRule="auto"/>
        <w:ind w:firstLine="567"/>
        <w:jc w:val="center"/>
        <w:rPr>
          <w:rFonts w:ascii="Cambria" w:hAnsi="Cambria"/>
          <w:b/>
          <w:sz w:val="24"/>
          <w:szCs w:val="24"/>
        </w:rPr>
      </w:pPr>
    </w:p>
    <w:p>
      <w:pPr>
        <w:pStyle w:val="Nivel2"/>
        <w:numPr>
          <w:ilvl w:val="0"/>
          <w:numId w:val="0"/>
        </w:numPr>
        <w:spacing w:before="0" w:after="0"/>
        <w:ind w:firstLine="1134"/>
        <w:rPr>
          <w:rFonts w:ascii="Cambria" w:eastAsia="Times New Roman" w:hAnsi="Cambria" w:cs="Times New Roman"/>
          <w:color w:val="auto"/>
          <w:sz w:val="24"/>
          <w:szCs w:val="24"/>
        </w:rPr>
      </w:pPr>
      <w:r>
        <w:rPr>
          <w:rFonts w:ascii="Cambria" w:hAnsi="Cambria" w:cs="Times New Roman"/>
          <w:color w:val="auto"/>
          <w:sz w:val="24"/>
          <w:szCs w:val="24"/>
        </w:rPr>
        <w:t xml:space="preserve">Torna-se público que a Prefeitura Municipal de Miraíma, por meio da Secretaria de Saúde, </w:t>
      </w:r>
      <w:r>
        <w:rPr>
          <w:rFonts w:ascii="Cambria" w:hAnsi="Cambria" w:cs="Times New Roman"/>
          <w:sz w:val="24"/>
          <w:szCs w:val="24"/>
        </w:rPr>
        <w:t>sediada na Esplanada da Estação, 433, Centro, Miraíma-CE, realizará licitação, na modalid</w:t>
      </w:r>
      <w:r>
        <w:rPr>
          <w:rFonts w:ascii="Cambria" w:hAnsi="Cambria" w:cs="Times New Roman"/>
          <w:color w:val="auto"/>
          <w:sz w:val="24"/>
          <w:szCs w:val="24"/>
        </w:rPr>
        <w:t xml:space="preserve">ade </w:t>
      </w:r>
      <w:r>
        <w:rPr>
          <w:rFonts w:ascii="Cambria" w:hAnsi="Cambria" w:cs="Times New Roman"/>
          <w:sz w:val="24"/>
          <w:szCs w:val="24"/>
        </w:rPr>
        <w:t>PREGÃO, na forma ELETRÔNICA</w:t>
      </w:r>
      <w:r>
        <w:rPr>
          <w:rFonts w:ascii="Cambria" w:hAnsi="Cambria" w:cs="Times New Roman"/>
          <w:color w:val="auto"/>
          <w:sz w:val="24"/>
          <w:szCs w:val="24"/>
        </w:rPr>
        <w:t>,</w:t>
      </w:r>
      <w:r>
        <w:rPr>
          <w:rFonts w:ascii="Cambria" w:eastAsia="Times New Roman" w:hAnsi="Cambria" w:cs="Times New Roman"/>
          <w:color w:val="auto"/>
          <w:sz w:val="24"/>
          <w:szCs w:val="24"/>
        </w:rPr>
        <w:t xml:space="preserve"> </w:t>
      </w:r>
      <w:r>
        <w:rPr>
          <w:rFonts w:ascii="Cambria" w:hAnsi="Cambria" w:cs="Times New Roman"/>
          <w:color w:val="auto"/>
          <w:sz w:val="24"/>
          <w:szCs w:val="24"/>
        </w:rPr>
        <w:t xml:space="preserve">nos termos da </w:t>
      </w:r>
      <w:hyperlink r:id="rId8" w:history="1">
        <w:r>
          <w:rPr>
            <w:rStyle w:val="Hyperlink"/>
            <w:rFonts w:ascii="Cambria" w:hAnsi="Cambria" w:cs="Times New Roman"/>
            <w:color w:val="auto"/>
            <w:sz w:val="24"/>
            <w:szCs w:val="24"/>
          </w:rPr>
          <w:t>Lei nº 14.133, de 1º de abril de 2021</w:t>
        </w:r>
      </w:hyperlink>
      <w:r>
        <w:rPr>
          <w:rFonts w:ascii="Cambria" w:hAnsi="Cambria" w:cs="Times New Roman"/>
          <w:color w:val="auto"/>
          <w:sz w:val="24"/>
          <w:szCs w:val="24"/>
        </w:rPr>
        <w:t>, e demais legislação aplicável e, ainda, de acordo com as condições estabelecidas neste Edital</w:t>
      </w:r>
      <w:r>
        <w:rPr>
          <w:rFonts w:ascii="Cambria" w:eastAsia="Times New Roman" w:hAnsi="Cambria" w:cs="Times New Roman"/>
          <w:color w:val="auto"/>
          <w:sz w:val="24"/>
          <w:szCs w:val="24"/>
        </w:rPr>
        <w:t>.</w:t>
      </w:r>
    </w:p>
    <w:p>
      <w:pPr>
        <w:pStyle w:val="Nivel2"/>
        <w:numPr>
          <w:ilvl w:val="0"/>
          <w:numId w:val="0"/>
        </w:numPr>
        <w:spacing w:before="0" w:after="0"/>
        <w:ind w:firstLine="1134"/>
        <w:rPr>
          <w:rFonts w:ascii="Cambria" w:eastAsia="Times New Roman" w:hAnsi="Cambria" w:cs="Times New Roman"/>
          <w:color w:val="auto"/>
          <w:sz w:val="24"/>
          <w:szCs w:val="24"/>
        </w:rPr>
      </w:pPr>
    </w:p>
    <w:p>
      <w:pPr>
        <w:pStyle w:val="Nivel01"/>
        <w:numPr>
          <w:ilvl w:val="0"/>
          <w:numId w:val="6"/>
        </w:numPr>
        <w:spacing w:before="0" w:line="276" w:lineRule="auto"/>
        <w:rPr>
          <w:rFonts w:ascii="Cambria" w:hAnsi="Cambria" w:cs="Times New Roman"/>
          <w:sz w:val="24"/>
          <w:szCs w:val="24"/>
          <w:lang w:eastAsia="en-US"/>
        </w:rPr>
      </w:pPr>
      <w:r>
        <w:rPr>
          <w:rFonts w:ascii="Cambria" w:hAnsi="Cambria" w:cs="Times New Roman"/>
          <w:sz w:val="24"/>
          <w:szCs w:val="24"/>
          <w:lang w:eastAsia="en-US"/>
        </w:rPr>
        <w:t>DO OBJETO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objeto da presente licitação é a </w:t>
      </w:r>
      <w:r>
        <w:rPr>
          <w:rFonts w:ascii="Cambria" w:hAnsi="Cambria" w:cs="Times New Roman"/>
          <w:sz w:val="24"/>
          <w:szCs w:val="24"/>
        </w:rPr>
        <w:t>AQUISIÇÃO DE MATERIAIS PERMANENTES ODONTOLÓGICOS, DESTINADOS AO ATENDIMENTO DAS NECESSIDADES DA SECRETARIA MUNICIPAL DE SAÚDE DO MUNICÍPIO DE MIRAÍMA/CE,</w:t>
      </w:r>
      <w:r>
        <w:rPr>
          <w:rFonts w:ascii="Cambria" w:hAnsi="Cambria" w:cs="Times New Roman"/>
          <w:color w:val="auto"/>
          <w:sz w:val="24"/>
          <w:szCs w:val="24"/>
        </w:rPr>
        <w:t xml:space="preserve"> conforme condições, quantidades e exigências estabelecidas neste Edital e seus anexos.</w:t>
      </w:r>
    </w:p>
    <w:p>
      <w:pPr>
        <w:pStyle w:val="Nvel2-Red"/>
        <w:numPr>
          <w:ilvl w:val="1"/>
          <w:numId w:val="2"/>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A licitação será dividida em grupos, formados por um ou mais itens, conforme tabela constante do Termo de Referência, facultando-se ao licitante a participação em quantos grupos forem de seu interesse, devendo oferecer proposta para todos os itens que os compõem.</w:t>
      </w:r>
    </w:p>
    <w:p>
      <w:pPr>
        <w:pStyle w:val="Nvel2-Red"/>
        <w:numPr>
          <w:ilvl w:val="0"/>
          <w:numId w:val="0"/>
        </w:numPr>
        <w:spacing w:before="0" w:after="0"/>
        <w:rPr>
          <w:rFonts w:ascii="Cambria" w:hAnsi="Cambria" w:cs="Times New Roman"/>
          <w:i w:val="0"/>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PARTICIPAÇÃO NA LICITAÇÃO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9" w:history="1">
        <w:r>
          <w:rPr>
            <w:rStyle w:val="Hyperlink"/>
            <w:rFonts w:ascii="Cambria" w:hAnsi="Cambria" w:cs="Times New Roman"/>
            <w:color w:val="auto"/>
            <w:sz w:val="24"/>
            <w:szCs w:val="24"/>
          </w:rPr>
          <w:t>www.gov.br/compras</w:t>
        </w:r>
      </w:hyperlink>
      <w:r>
        <w:rPr>
          <w:rFonts w:ascii="Cambria" w:hAnsi="Cambria" w:cs="Times New Roman"/>
          <w:color w:val="auto"/>
          <w:sz w:val="24"/>
          <w:szCs w:val="24"/>
        </w:rPr>
        <w:t>).</w:t>
      </w:r>
    </w:p>
    <w:p>
      <w:pPr>
        <w:pStyle w:val="Nivel3"/>
        <w:spacing w:before="0" w:after="0"/>
        <w:ind w:left="851" w:hanging="504"/>
        <w:rPr>
          <w:rFonts w:ascii="Cambria" w:hAnsi="Cambria" w:cs="Times New Roman"/>
          <w:color w:val="auto"/>
          <w:sz w:val="24"/>
          <w:szCs w:val="24"/>
        </w:rPr>
      </w:pPr>
      <w:r>
        <w:rPr>
          <w:rFonts w:ascii="Cambria" w:hAnsi="Cambria" w:cs="Times New Roman"/>
          <w:color w:val="auto"/>
          <w:sz w:val="24"/>
          <w:szCs w:val="24"/>
        </w:rPr>
        <w:t>Os interessados deverão atender às condições exigidas no cadastramento no Sicaf até o terceiro dia útil anterior à data prevista para recebimento das propostas.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É de responsabilidade do cadastrado conferir a exatidão dos seus dados cadastrais nos Sistemas relacionados no item anterior e mantê-los atualizados junto </w:t>
      </w:r>
      <w:r>
        <w:rPr>
          <w:rFonts w:ascii="Cambria" w:hAnsi="Cambria" w:cs="Times New Roman"/>
          <w:color w:val="auto"/>
          <w:sz w:val="24"/>
          <w:szCs w:val="24"/>
        </w:rPr>
        <w:lastRenderedPageBreak/>
        <w:t>aos órgãos responsáveis pela informação, devendo proceder, imediatamente, à correção ou à alteração dos registros tão logo identifique incorreção ou aqueles se tornem desatualizados.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não observância do disposto no item anterior poderá ensejar desclassificação no momento da habilitação.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Não poderão disputar esta licitação:</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aquele que não atenda às condições deste Edital e seu(s) anexo(s);</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autor do anteprojeto, do projeto básico ou do projeto executivo, pessoa física ou jurídica, quando a licitação versar sobre serviços ou fornecimento de bens a ele relacionados;</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pessoa física ou jurídica que se encontre, ao tempo da licitação, impossibilitada de participar da licitação em decorrência de sanção que lhe foi imposta;</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empresas controladoras, controladas ou coligadas, nos termos da Lei nº 6.404, de 15 de dezembro de 1976, concorrendo entre si;</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agente público do órgão ou entidade licitante;</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Organizações da Sociedade Civil de Interesse Público - OSCIP, atuando nessa condição;</w:t>
      </w:r>
    </w:p>
    <w:p>
      <w:pPr>
        <w:pStyle w:val="Nivel3"/>
        <w:spacing w:before="0" w:after="0"/>
        <w:ind w:left="709" w:hanging="504"/>
        <w:rPr>
          <w:rFonts w:ascii="Cambria" w:hAnsi="Cambria" w:cs="Times New Roman"/>
          <w:color w:val="auto"/>
          <w:sz w:val="24"/>
          <w:szCs w:val="24"/>
        </w:rPr>
      </w:pPr>
      <w:r>
        <w:rPr>
          <w:rFonts w:ascii="Cambria" w:hAnsi="Cambria"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Pr>
            <w:rStyle w:val="Hyperlink"/>
            <w:rFonts w:ascii="Cambria" w:hAnsi="Cambria" w:cs="Times New Roman"/>
            <w:color w:val="auto"/>
            <w:sz w:val="24"/>
            <w:szCs w:val="24"/>
          </w:rPr>
          <w:t>§ 1º do art. 9º da Lei nº 14.133, de 2021</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 xml:space="preserve">O impedimento de que trata o 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_Ref113883003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2.5.4</w:t>
      </w:r>
      <w:r>
        <w:rPr>
          <w:rFonts w:ascii="Cambria" w:hAnsi="Cambria" w:cs="Times New Roman"/>
          <w:color w:val="auto"/>
          <w:sz w:val="24"/>
          <w:szCs w:val="24"/>
        </w:rPr>
        <w:fldChar w:fldCharType="end"/>
      </w:r>
      <w:r>
        <w:rPr>
          <w:rFonts w:ascii="Cambria" w:hAnsi="Cambria"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critério da Administração e exclusivamente a seu serviço, o autor dos projetos e a empresa a que se referem 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_Ref114659912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2.7.2</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_Ref114659913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2.7.3</w:t>
      </w:r>
      <w:r>
        <w:rPr>
          <w:rFonts w:ascii="Cambria" w:hAnsi="Cambria" w:cs="Times New Roman"/>
          <w:color w:val="auto"/>
          <w:sz w:val="24"/>
          <w:szCs w:val="24"/>
        </w:rPr>
        <w:fldChar w:fldCharType="end"/>
      </w:r>
      <w:r>
        <w:rPr>
          <w:rFonts w:ascii="Cambria" w:hAnsi="Cambria"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Equiparam-se aos autores do projeto as empresas integrantes do mesmo grupo econômico.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disposto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_Ref114659912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2.5.2</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_Ref114659913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2.5.3</w:t>
      </w:r>
      <w:r>
        <w:rPr>
          <w:rFonts w:ascii="Cambria" w:hAnsi="Cambria" w:cs="Times New Roman"/>
          <w:color w:val="auto"/>
          <w:sz w:val="24"/>
          <w:szCs w:val="24"/>
        </w:rPr>
        <w:fldChar w:fldCharType="end"/>
      </w:r>
      <w:r>
        <w:rPr>
          <w:rFonts w:ascii="Cambria" w:hAnsi="Cambria"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Pr>
            <w:rStyle w:val="Hyperlink"/>
            <w:rFonts w:ascii="Cambria" w:hAnsi="Cambria" w:cs="Times New Roman"/>
            <w:color w:val="auto"/>
            <w:sz w:val="24"/>
            <w:szCs w:val="24"/>
          </w:rPr>
          <w:t>Lei nº 14.133/2021</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vedação de que trata o 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_Ref113962336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2.5.8</w:t>
      </w:r>
      <w:r>
        <w:rPr>
          <w:rFonts w:ascii="Cambria" w:hAnsi="Cambria" w:cs="Times New Roman"/>
          <w:color w:val="auto"/>
          <w:sz w:val="24"/>
          <w:szCs w:val="24"/>
        </w:rPr>
        <w:fldChar w:fldCharType="end"/>
      </w:r>
      <w:r>
        <w:rPr>
          <w:rFonts w:ascii="Cambria" w:hAnsi="Cambria"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pPr>
        <w:pStyle w:val="Nivel2"/>
        <w:numPr>
          <w:ilvl w:val="0"/>
          <w:numId w:val="0"/>
        </w:numPr>
        <w:spacing w:before="0" w:after="0"/>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APRESENTAÇÃO DA PROPOSTA E DOS DOCUMENTOS DE HABILITAÇÃO</w:t>
      </w:r>
    </w:p>
    <w:p>
      <w:pPr>
        <w:pStyle w:val="Nvel2-Red"/>
        <w:numPr>
          <w:ilvl w:val="1"/>
          <w:numId w:val="2"/>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Na presente licitação, a fase de habilitação sucederá as fases de apresentação de propostas e lances e de julgamento.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Cambria" w:hAnsi="Cambria" w:cs="Times New Roman"/>
          <w:color w:val="auto"/>
          <w:sz w:val="24"/>
          <w:szCs w:val="24"/>
          <w:highlight w:val="yellow"/>
        </w:rPr>
        <w:fldChar w:fldCharType="begin"/>
      </w:r>
      <w:r>
        <w:rPr>
          <w:rFonts w:ascii="Cambria" w:hAnsi="Cambria" w:cs="Times New Roman"/>
          <w:color w:val="auto"/>
          <w:sz w:val="24"/>
          <w:szCs w:val="24"/>
        </w:rPr>
        <w:instrText xml:space="preserve"> REF _Ref114663777 \r \h </w:instrText>
      </w:r>
      <w:r>
        <w:rPr>
          <w:rFonts w:ascii="Cambria" w:hAnsi="Cambria" w:cs="Times New Roman"/>
          <w:color w:val="auto"/>
          <w:sz w:val="24"/>
          <w:szCs w:val="24"/>
          <w:highlight w:val="yellow"/>
        </w:rPr>
        <w:instrText xml:space="preserve"> \* MERGEFORMAT </w:instrText>
      </w:r>
      <w:r>
        <w:rPr>
          <w:rFonts w:ascii="Cambria" w:hAnsi="Cambria" w:cs="Times New Roman"/>
          <w:color w:val="auto"/>
          <w:sz w:val="24"/>
          <w:szCs w:val="24"/>
          <w:highlight w:val="yellow"/>
        </w:rPr>
      </w:r>
      <w:r>
        <w:rPr>
          <w:rFonts w:ascii="Cambria" w:hAnsi="Cambria" w:cs="Times New Roman"/>
          <w:color w:val="auto"/>
          <w:sz w:val="24"/>
          <w:szCs w:val="24"/>
          <w:highlight w:val="yellow"/>
        </w:rPr>
        <w:fldChar w:fldCharType="separate"/>
      </w:r>
      <w:r>
        <w:rPr>
          <w:rFonts w:ascii="Cambria" w:hAnsi="Cambria" w:cs="Times New Roman"/>
          <w:color w:val="auto"/>
          <w:sz w:val="24"/>
          <w:szCs w:val="24"/>
        </w:rPr>
        <w:t>7.1.1</w:t>
      </w:r>
      <w:r>
        <w:rPr>
          <w:rFonts w:ascii="Cambria" w:hAnsi="Cambria" w:cs="Times New Roman"/>
          <w:color w:val="auto"/>
          <w:sz w:val="24"/>
          <w:szCs w:val="24"/>
          <w:highlight w:val="yellow"/>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_Ref114663151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7.11.1</w:t>
      </w:r>
      <w:r>
        <w:rPr>
          <w:rFonts w:ascii="Cambria" w:hAnsi="Cambria" w:cs="Times New Roman"/>
          <w:color w:val="auto"/>
          <w:sz w:val="24"/>
          <w:szCs w:val="24"/>
        </w:rPr>
        <w:fldChar w:fldCharType="end"/>
      </w:r>
      <w:r>
        <w:rPr>
          <w:rFonts w:ascii="Cambria" w:hAnsi="Cambria" w:cs="Times New Roman"/>
          <w:color w:val="auto"/>
          <w:sz w:val="24"/>
          <w:szCs w:val="24"/>
        </w:rPr>
        <w:t xml:space="preserve"> deste Edital.</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No cadastramento da proposta inicial, o licitante declarará, em campo próprio do sistema, que:</w:t>
      </w:r>
    </w:p>
    <w:p>
      <w:pPr>
        <w:pStyle w:val="Nivel3"/>
        <w:spacing w:before="0" w:after="0"/>
        <w:ind w:left="0" w:firstLine="709"/>
        <w:rPr>
          <w:rFonts w:ascii="Cambria" w:hAnsi="Cambria" w:cs="Times New Roman"/>
          <w:color w:val="auto"/>
          <w:sz w:val="24"/>
          <w:szCs w:val="24"/>
        </w:rPr>
      </w:pPr>
      <w:r>
        <w:rPr>
          <w:rFonts w:ascii="Cambria" w:hAnsi="Cambria" w:cs="Times New Roman"/>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ivel3"/>
        <w:tabs>
          <w:tab w:val="left" w:pos="1134"/>
        </w:tabs>
        <w:spacing w:before="0" w:after="0"/>
        <w:ind w:left="1276" w:hanging="504"/>
        <w:rPr>
          <w:rFonts w:ascii="Cambria" w:hAnsi="Cambria" w:cs="Times New Roman"/>
          <w:color w:val="auto"/>
          <w:sz w:val="24"/>
          <w:szCs w:val="24"/>
        </w:rPr>
      </w:pPr>
      <w:r>
        <w:rPr>
          <w:rFonts w:ascii="Cambria" w:hAnsi="Cambria"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Pr>
            <w:rStyle w:val="Hyperlink"/>
            <w:rFonts w:ascii="Cambria" w:hAnsi="Cambria" w:cs="Times New Roman"/>
            <w:color w:val="auto"/>
            <w:sz w:val="24"/>
            <w:szCs w:val="24"/>
          </w:rPr>
          <w:t>artigo 7°, XXXIII, da Constituição</w:t>
        </w:r>
      </w:hyperlink>
      <w:r>
        <w:rPr>
          <w:rFonts w:ascii="Cambria" w:hAnsi="Cambria" w:cs="Times New Roman"/>
          <w:color w:val="auto"/>
          <w:sz w:val="24"/>
          <w:szCs w:val="24"/>
        </w:rPr>
        <w:t>;</w:t>
      </w:r>
    </w:p>
    <w:p>
      <w:pPr>
        <w:pStyle w:val="Nivel3"/>
        <w:tabs>
          <w:tab w:val="left" w:pos="1134"/>
        </w:tabs>
        <w:spacing w:before="0" w:after="0"/>
        <w:ind w:left="1276" w:hanging="504"/>
        <w:rPr>
          <w:rFonts w:ascii="Cambria" w:hAnsi="Cambria" w:cs="Times New Roman"/>
          <w:color w:val="auto"/>
          <w:sz w:val="24"/>
          <w:szCs w:val="24"/>
        </w:rPr>
      </w:pPr>
      <w:r>
        <w:rPr>
          <w:rFonts w:ascii="Cambria" w:hAnsi="Cambria" w:cs="Times New Roman"/>
          <w:color w:val="auto"/>
          <w:sz w:val="24"/>
          <w:szCs w:val="24"/>
        </w:rPr>
        <w:t xml:space="preserve">não possui empregados executando trabalho degradante ou forçado, observando o disposto nos </w:t>
      </w:r>
      <w:hyperlink r:id="rId13" w:history="1">
        <w:r>
          <w:rPr>
            <w:rStyle w:val="Hyperlink"/>
            <w:rFonts w:ascii="Cambria" w:hAnsi="Cambria" w:cs="Times New Roman"/>
            <w:color w:val="auto"/>
            <w:sz w:val="24"/>
            <w:szCs w:val="24"/>
          </w:rPr>
          <w:t>incisos III e IV do art. 1º e no inciso III do art. 5º da Constituição Federal</w:t>
        </w:r>
      </w:hyperlink>
      <w:r>
        <w:rPr>
          <w:rFonts w:ascii="Cambria" w:hAnsi="Cambria" w:cs="Times New Roman"/>
          <w:color w:val="auto"/>
          <w:sz w:val="24"/>
          <w:szCs w:val="24"/>
        </w:rPr>
        <w:t>;</w:t>
      </w:r>
    </w:p>
    <w:p>
      <w:pPr>
        <w:pStyle w:val="Nivel3"/>
        <w:tabs>
          <w:tab w:val="left" w:pos="1134"/>
        </w:tabs>
        <w:spacing w:before="0" w:after="0"/>
        <w:ind w:left="1276" w:hanging="504"/>
        <w:rPr>
          <w:rFonts w:ascii="Cambria" w:hAnsi="Cambria" w:cs="Times New Roman"/>
          <w:color w:val="auto"/>
          <w:sz w:val="24"/>
          <w:szCs w:val="24"/>
        </w:rPr>
      </w:pPr>
      <w:r>
        <w:rPr>
          <w:rFonts w:ascii="Cambria" w:hAnsi="Cambria" w:cs="Times New Roman"/>
          <w:color w:val="auto"/>
          <w:sz w:val="24"/>
          <w:szCs w:val="24"/>
        </w:rPr>
        <w:t>cumpre as exigências de reserva de cargos para pessoa com deficiência e para reabilitado da Previdência Social, previstas em lei e em outras normas específicas.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licitante organizado em cooperativa deverá declarar, ainda, em campo próprio do sistema eletrônico, que cumpre os requisitos estabelecidos no </w:t>
      </w:r>
      <w:hyperlink r:id="rId14" w:anchor="art16">
        <w:r>
          <w:rPr>
            <w:rStyle w:val="Hyperlink"/>
            <w:rFonts w:ascii="Cambria" w:hAnsi="Cambria" w:cs="Times New Roman"/>
            <w:color w:val="auto"/>
            <w:sz w:val="24"/>
            <w:szCs w:val="24"/>
          </w:rPr>
          <w:t>artigo 16 da Lei nº 14.133, de 2021</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Pr>
            <w:rStyle w:val="Hyperlink"/>
            <w:rFonts w:ascii="Cambria" w:hAnsi="Cambria" w:cs="Times New Roman"/>
            <w:color w:val="auto"/>
            <w:sz w:val="24"/>
            <w:szCs w:val="24"/>
          </w:rPr>
          <w:t>artigo 3° da Lei Complementar nº 123, de 2006</w:t>
        </w:r>
      </w:hyperlink>
      <w:r>
        <w:rPr>
          <w:rFonts w:ascii="Cambria" w:hAnsi="Cambria" w:cs="Times New Roman"/>
          <w:color w:val="auto"/>
          <w:sz w:val="24"/>
          <w:szCs w:val="24"/>
        </w:rPr>
        <w:t xml:space="preserve">, estando apto a usufruir do tratamento favorecido estabelecido em seus </w:t>
      </w:r>
      <w:hyperlink r:id="rId16" w:anchor="art42" w:history="1">
        <w:r>
          <w:rPr>
            <w:rStyle w:val="Hyperlink"/>
            <w:rFonts w:ascii="Cambria" w:hAnsi="Cambria" w:cs="Times New Roman"/>
            <w:color w:val="auto"/>
            <w:sz w:val="24"/>
            <w:szCs w:val="24"/>
          </w:rPr>
          <w:t>arts. 42 a 49</w:t>
        </w:r>
      </w:hyperlink>
      <w:r>
        <w:rPr>
          <w:rFonts w:ascii="Cambria" w:hAnsi="Cambria" w:cs="Times New Roman"/>
          <w:color w:val="auto"/>
          <w:sz w:val="24"/>
          <w:szCs w:val="24"/>
        </w:rPr>
        <w:t xml:space="preserve">, observado o disposto nos </w:t>
      </w:r>
      <w:hyperlink r:id="rId17" w:anchor="art4§1">
        <w:r>
          <w:rPr>
            <w:rStyle w:val="Hyperlink"/>
            <w:rFonts w:ascii="Cambria" w:hAnsi="Cambria" w:cs="Times New Roman"/>
            <w:color w:val="auto"/>
            <w:sz w:val="24"/>
            <w:szCs w:val="24"/>
          </w:rPr>
          <w:t>§§ 1º ao 3º do art. 4º, da Lei n.º 14.133, de 2021.</w:t>
        </w:r>
      </w:hyperlink>
    </w:p>
    <w:p>
      <w:pPr>
        <w:pStyle w:val="Nivel3"/>
        <w:tabs>
          <w:tab w:val="left" w:pos="709"/>
        </w:tabs>
        <w:spacing w:before="0" w:after="0"/>
        <w:ind w:left="1134" w:hanging="504"/>
        <w:rPr>
          <w:rFonts w:ascii="Cambria" w:hAnsi="Cambria" w:cs="Times New Roman"/>
          <w:color w:val="auto"/>
          <w:sz w:val="24"/>
          <w:szCs w:val="24"/>
        </w:rPr>
      </w:pPr>
      <w:r>
        <w:rPr>
          <w:rFonts w:ascii="Cambria" w:hAnsi="Cambria" w:cs="Times New Roman"/>
          <w:color w:val="auto"/>
          <w:sz w:val="24"/>
          <w:szCs w:val="24"/>
        </w:rPr>
        <w:t>nos grupos exclusivos para participação de microempresas e empresas de pequeno porte, a assinalação do campo “não” impedirá o prosseguimento no certame, para aquele grupo;</w:t>
      </w:r>
    </w:p>
    <w:p>
      <w:pPr>
        <w:pStyle w:val="Nivel3"/>
        <w:tabs>
          <w:tab w:val="left" w:pos="709"/>
        </w:tabs>
        <w:spacing w:before="0" w:after="0"/>
        <w:ind w:left="1134" w:hanging="504"/>
        <w:rPr>
          <w:rFonts w:ascii="Cambria" w:hAnsi="Cambria" w:cs="Times New Roman"/>
          <w:color w:val="auto"/>
          <w:sz w:val="24"/>
          <w:szCs w:val="24"/>
        </w:rPr>
      </w:pPr>
      <w:r>
        <w:rPr>
          <w:rFonts w:ascii="Cambria" w:hAnsi="Cambria"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Pr>
            <w:rStyle w:val="Hyperlink"/>
            <w:rFonts w:ascii="Cambria" w:hAnsi="Cambria" w:cs="Times New Roman"/>
            <w:color w:val="auto"/>
            <w:sz w:val="24"/>
            <w:szCs w:val="24"/>
          </w:rPr>
          <w:t>Lei Complementar nº 123, de 2006</w:t>
        </w:r>
      </w:hyperlink>
      <w:r>
        <w:rPr>
          <w:rFonts w:ascii="Cambria" w:hAnsi="Cambria" w:cs="Times New Roman"/>
          <w:color w:val="auto"/>
          <w:sz w:val="24"/>
          <w:szCs w:val="24"/>
        </w:rPr>
        <w:t>, mesmo que microempresa, empresa de pequeno porte ou sociedade cooperativa.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falsidade da declaração de que trata 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_Ref113968921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3.4</w:t>
      </w:r>
      <w:r>
        <w:rPr>
          <w:rFonts w:ascii="Cambria" w:hAnsi="Cambria" w:cs="Times New Roman"/>
          <w:color w:val="auto"/>
          <w:sz w:val="24"/>
          <w:szCs w:val="24"/>
        </w:rPr>
        <w:fldChar w:fldCharType="end"/>
      </w:r>
      <w:r>
        <w:rPr>
          <w:rFonts w:ascii="Cambria" w:hAnsi="Cambria" w:cs="Times New Roman"/>
          <w:color w:val="auto"/>
          <w:sz w:val="24"/>
          <w:szCs w:val="24"/>
        </w:rPr>
        <w:t xml:space="preserve"> ou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_Ref117000019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3.6</w:t>
      </w:r>
      <w:r>
        <w:rPr>
          <w:rFonts w:ascii="Cambria" w:hAnsi="Cambria" w:cs="Times New Roman"/>
          <w:color w:val="auto"/>
          <w:sz w:val="24"/>
          <w:szCs w:val="24"/>
        </w:rPr>
        <w:fldChar w:fldCharType="end"/>
      </w:r>
      <w:r>
        <w:rPr>
          <w:rFonts w:ascii="Cambria" w:hAnsi="Cambria" w:cs="Times New Roman"/>
          <w:color w:val="auto"/>
          <w:sz w:val="24"/>
          <w:szCs w:val="24"/>
        </w:rPr>
        <w:t xml:space="preserve"> sujeitará o licitante às sanções previstas na </w:t>
      </w:r>
      <w:hyperlink r:id="rId19" w:history="1">
        <w:r>
          <w:rPr>
            <w:rStyle w:val="Hyperlink"/>
            <w:rFonts w:ascii="Cambria" w:hAnsi="Cambria" w:cs="Times New Roman"/>
            <w:color w:val="auto"/>
            <w:sz w:val="24"/>
            <w:szCs w:val="24"/>
          </w:rPr>
          <w:t>Lei nº 14.133, de 2021</w:t>
        </w:r>
      </w:hyperlink>
      <w:r>
        <w:rPr>
          <w:rFonts w:ascii="Cambria" w:hAnsi="Cambria" w:cs="Times New Roman"/>
          <w:color w:val="auto"/>
          <w:sz w:val="24"/>
          <w:szCs w:val="24"/>
        </w:rPr>
        <w:t>, e neste Edital.</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Serão disponibilizados para acesso público os documentos que compõem a proposta dos licitantes convocados para apresentação de propostas, após a fase de envio de lances.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p>
    <w:p>
      <w:pPr>
        <w:pStyle w:val="Nivel3"/>
        <w:tabs>
          <w:tab w:val="left" w:pos="1134"/>
        </w:tabs>
        <w:spacing w:before="0" w:after="0"/>
        <w:ind w:left="993" w:hanging="504"/>
        <w:rPr>
          <w:rFonts w:ascii="Cambria" w:hAnsi="Cambria" w:cs="Times New Roman"/>
          <w:color w:val="auto"/>
          <w:sz w:val="24"/>
          <w:szCs w:val="24"/>
        </w:rPr>
      </w:pPr>
      <w:r>
        <w:rPr>
          <w:rFonts w:ascii="Cambria" w:hAnsi="Cambria"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pPr>
        <w:pStyle w:val="Nivel3"/>
        <w:tabs>
          <w:tab w:val="left" w:pos="1134"/>
        </w:tabs>
        <w:spacing w:before="0" w:after="0"/>
        <w:ind w:left="993" w:hanging="504"/>
        <w:rPr>
          <w:rFonts w:ascii="Cambria" w:hAnsi="Cambria" w:cs="Times New Roman"/>
          <w:color w:val="auto"/>
          <w:sz w:val="24"/>
          <w:szCs w:val="24"/>
        </w:rPr>
      </w:pPr>
      <w:r>
        <w:rPr>
          <w:rFonts w:ascii="Cambria" w:hAnsi="Cambria" w:cs="Times New Roman"/>
          <w:color w:val="auto"/>
          <w:sz w:val="24"/>
          <w:szCs w:val="24"/>
        </w:rPr>
        <w:t>os lances serão de envio automático pelo sistema, respeitado o valor final mínimo, caso estabelecido, e o intervalo de que trata o subitem acima.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valor final mínimo ou o percentual de desconto final máximo parametrizado no sistema poderá ser alterado pelo fornecedor durante a fase de disputa, sendo vedado:</w:t>
      </w:r>
    </w:p>
    <w:p>
      <w:pPr>
        <w:pStyle w:val="Nivel3"/>
        <w:tabs>
          <w:tab w:val="left" w:pos="1134"/>
        </w:tabs>
        <w:spacing w:before="0" w:after="0"/>
        <w:ind w:left="1134" w:hanging="504"/>
        <w:rPr>
          <w:rFonts w:ascii="Cambria" w:hAnsi="Cambria" w:cs="Times New Roman"/>
          <w:color w:val="auto"/>
          <w:sz w:val="24"/>
          <w:szCs w:val="24"/>
        </w:rPr>
      </w:pPr>
      <w:r>
        <w:rPr>
          <w:rFonts w:ascii="Cambria" w:hAnsi="Cambria" w:cs="Times New Roman"/>
          <w:color w:val="auto"/>
          <w:sz w:val="24"/>
          <w:szCs w:val="24"/>
        </w:rPr>
        <w:t>valor superior a lance já registrado pelo fornecedor no sistema, quando adotado o critério de julgamento por menor preço; e</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 percentual de desconto inferior a lance já registrado pelo fornecedor no sistema, quando adotado o critério de julgamento por maior desconto.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valor final mínimo ou o percentual de desconto final máximo parametrizado na forma do 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_Ref116992247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3.11</w:t>
      </w:r>
      <w:r>
        <w:rPr>
          <w:rFonts w:ascii="Cambria" w:hAnsi="Cambria" w:cs="Times New Roman"/>
          <w:color w:val="auto"/>
          <w:sz w:val="24"/>
          <w:szCs w:val="24"/>
        </w:rPr>
        <w:fldChar w:fldCharType="end"/>
      </w:r>
      <w:r>
        <w:rPr>
          <w:rFonts w:ascii="Cambria" w:hAnsi="Cambria"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pPr>
        <w:pStyle w:val="Nivel2"/>
        <w:spacing w:before="0" w:after="0"/>
        <w:rPr>
          <w:rFonts w:ascii="Cambria" w:eastAsia="Times New Roman" w:hAnsi="Cambria" w:cs="Times New Roman"/>
          <w:color w:val="auto"/>
          <w:sz w:val="24"/>
          <w:szCs w:val="24"/>
        </w:rPr>
      </w:pPr>
      <w:r>
        <w:rPr>
          <w:rFonts w:ascii="Cambria" w:eastAsia="Times New Roman" w:hAnsi="Cambria" w:cs="Times New Roman"/>
          <w:color w:val="auto"/>
          <w:sz w:val="24"/>
          <w:szCs w:val="24"/>
        </w:rPr>
        <w:t xml:space="preserve">Caberá ao licitante interessado em participar da licitação </w:t>
      </w:r>
      <w:r>
        <w:rPr>
          <w:rFonts w:ascii="Cambria" w:hAnsi="Cambria"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pPr>
        <w:pStyle w:val="Nivel2"/>
        <w:spacing w:before="0" w:after="0"/>
        <w:rPr>
          <w:rFonts w:ascii="Cambria" w:hAnsi="Cambria" w:cs="Times New Roman"/>
          <w:color w:val="auto"/>
          <w:sz w:val="24"/>
          <w:szCs w:val="24"/>
        </w:rPr>
      </w:pPr>
      <w:r>
        <w:rPr>
          <w:rFonts w:ascii="Cambria" w:eastAsia="Times New Roman" w:hAnsi="Cambria" w:cs="Times New Roman"/>
          <w:color w:val="auto"/>
          <w:sz w:val="24"/>
          <w:szCs w:val="24"/>
        </w:rPr>
        <w:t xml:space="preserve">O licitante deverá </w:t>
      </w:r>
      <w:r>
        <w:rPr>
          <w:rFonts w:ascii="Cambria" w:hAnsi="Cambria" w:cs="Times New Roman"/>
          <w:color w:val="auto"/>
          <w:sz w:val="24"/>
          <w:szCs w:val="24"/>
        </w:rPr>
        <w:t>comunicar imediatamente ao provedor do sistema qualquer acontecimento que possa comprometer o sigilo ou a segurança, para imediato bloqueio de acesso.</w:t>
      </w:r>
    </w:p>
    <w:p>
      <w:pPr>
        <w:pStyle w:val="Nivel2"/>
        <w:numPr>
          <w:ilvl w:val="0"/>
          <w:numId w:val="0"/>
        </w:numPr>
        <w:spacing w:before="0" w:after="0"/>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DO PREENCHIMENTO DA PROPOSTA</w:t>
      </w:r>
    </w:p>
    <w:p>
      <w:pPr>
        <w:pStyle w:val="Nivel2"/>
        <w:spacing w:before="0" w:after="0"/>
        <w:rPr>
          <w:rFonts w:ascii="Cambria" w:eastAsia="Times New Roman" w:hAnsi="Cambria" w:cs="Times New Roman"/>
          <w:color w:val="auto"/>
          <w:sz w:val="24"/>
          <w:szCs w:val="24"/>
        </w:rPr>
      </w:pPr>
      <w:r>
        <w:rPr>
          <w:rFonts w:ascii="Cambria" w:hAnsi="Cambria" w:cs="Times New Roman"/>
          <w:color w:val="auto"/>
          <w:sz w:val="24"/>
          <w:szCs w:val="24"/>
        </w:rPr>
        <w:t>O licitante deverá enviar sua proposta mediante o preenchimento, no sistema eletrônico, dos seguintes campos:</w:t>
      </w:r>
    </w:p>
    <w:p>
      <w:pPr>
        <w:pStyle w:val="Nvel3-R"/>
        <w:numPr>
          <w:ilvl w:val="2"/>
          <w:numId w:val="2"/>
        </w:numPr>
        <w:spacing w:before="0" w:after="0"/>
        <w:ind w:left="993"/>
        <w:rPr>
          <w:rFonts w:ascii="Cambria" w:hAnsi="Cambria" w:cs="Times New Roman"/>
          <w:i w:val="0"/>
          <w:color w:val="auto"/>
          <w:sz w:val="24"/>
          <w:szCs w:val="24"/>
        </w:rPr>
      </w:pPr>
      <w:r>
        <w:rPr>
          <w:rFonts w:ascii="Cambria" w:hAnsi="Cambria" w:cs="Times New Roman"/>
          <w:i w:val="0"/>
          <w:color w:val="auto"/>
          <w:sz w:val="24"/>
          <w:szCs w:val="24"/>
        </w:rPr>
        <w:t>Valor unitário e total do item;</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Marca;</w:t>
      </w:r>
    </w:p>
    <w:p>
      <w:pPr>
        <w:pStyle w:val="Nvel3-R"/>
        <w:numPr>
          <w:ilvl w:val="2"/>
          <w:numId w:val="2"/>
        </w:numPr>
        <w:spacing w:before="0" w:after="0"/>
        <w:ind w:left="993"/>
        <w:rPr>
          <w:rFonts w:ascii="Cambria" w:hAnsi="Cambria" w:cs="Times New Roman"/>
          <w:i w:val="0"/>
          <w:color w:val="auto"/>
          <w:sz w:val="24"/>
          <w:szCs w:val="24"/>
        </w:rPr>
      </w:pPr>
      <w:r>
        <w:rPr>
          <w:rFonts w:ascii="Cambria" w:hAnsi="Cambria" w:cs="Times New Roman"/>
          <w:i w:val="0"/>
          <w:color w:val="auto"/>
          <w:sz w:val="24"/>
          <w:szCs w:val="24"/>
        </w:rPr>
        <w:t xml:space="preserve">Fabricante;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Todas as especificações do objeto contidas na proposta vinculam o licitante.</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lastRenderedPageBreak/>
        <w:t xml:space="preserve"> </w:t>
      </w:r>
      <w:r>
        <w:rPr>
          <w:rFonts w:ascii="Cambria" w:hAnsi="Cambria" w:cs="Times New Roman"/>
          <w:sz w:val="24"/>
          <w:szCs w:val="24"/>
        </w:rPr>
        <w:t>O licitante NÃO poderá oferecer proposta em quantitativo inferior ao máximo previsto para cada item que compõe o grupo proposto.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Independentemente do percentual de tributo inserido na planilha, no pagamento serão retidos na fonte os percentuais estabelecidos na legislação vigente.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O prazo de validade da proposta não será inferior a </w:t>
      </w:r>
      <w:r>
        <w:rPr>
          <w:rFonts w:ascii="Cambria" w:hAnsi="Cambria" w:cs="Times New Roman"/>
          <w:b/>
          <w:bCs/>
          <w:color w:val="auto"/>
          <w:sz w:val="24"/>
          <w:szCs w:val="24"/>
        </w:rPr>
        <w:t>60 (sessenta)</w:t>
      </w:r>
      <w:r>
        <w:rPr>
          <w:rFonts w:ascii="Cambria" w:hAnsi="Cambria" w:cs="Times New Roman"/>
          <w:color w:val="auto"/>
          <w:sz w:val="24"/>
          <w:szCs w:val="24"/>
        </w:rPr>
        <w:t xml:space="preserve"> dias</w:t>
      </w:r>
      <w:r>
        <w:rPr>
          <w:rFonts w:ascii="Cambria" w:hAnsi="Cambria" w:cs="Times New Roman"/>
          <w:b/>
          <w:color w:val="auto"/>
          <w:sz w:val="24"/>
          <w:szCs w:val="24"/>
        </w:rPr>
        <w:t>,</w:t>
      </w:r>
      <w:r>
        <w:rPr>
          <w:rFonts w:ascii="Cambria" w:hAnsi="Cambria" w:cs="Times New Roman"/>
          <w:color w:val="auto"/>
          <w:sz w:val="24"/>
          <w:szCs w:val="24"/>
        </w:rPr>
        <w:t xml:space="preserve"> a contar da data de sua apresentação.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Os licitantes devem respeitar os preços máximos estabelecidos nas normas de regência de contratações públicas federais, quando participarem de licitações públicas;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Caso o critério de julgamento seja o de maior desconto, o preço já decorrente da aplicação do desconto ofertado deverá respeitar os preços máximos previstos no item 3.9.</w:t>
      </w:r>
    </w:p>
    <w:p>
      <w:pPr>
        <w:pStyle w:val="Nivel2"/>
        <w:spacing w:before="0" w:after="0"/>
        <w:rPr>
          <w:rFonts w:ascii="Cambria" w:eastAsia="Times New Roman" w:hAnsi="Cambria" w:cs="Times New Roman"/>
          <w:color w:val="auto"/>
          <w:sz w:val="24"/>
          <w:szCs w:val="24"/>
        </w:rPr>
      </w:pPr>
      <w:r>
        <w:rPr>
          <w:rFonts w:ascii="Cambria" w:hAnsi="Cambria" w:cs="Times New Roman"/>
          <w:color w:val="auto"/>
          <w:sz w:val="24"/>
          <w:szCs w:val="24"/>
        </w:rPr>
        <w:t xml:space="preserve">O descumprimento das regras supramencionadas pela Administração por parte dos contratados pode ensejar a responsabilização pelo Tribunal de Contas do Estado do Ceará e, após o devido processo legal, gerar as seguintes consequências: assinatura de prazo para a adoção das medidas necessárias ao exato cumprimento da lei, nos termos do </w:t>
      </w:r>
      <w:hyperlink r:id="rId20" w:history="1">
        <w:r>
          <w:rPr>
            <w:rStyle w:val="Hyperlink"/>
            <w:rFonts w:ascii="Cambria" w:hAnsi="Cambria" w:cs="Times New Roman"/>
            <w:color w:val="auto"/>
            <w:sz w:val="24"/>
            <w:szCs w:val="24"/>
          </w:rPr>
          <w:t>art. 71, inciso IX, da Constituição</w:t>
        </w:r>
      </w:hyperlink>
      <w:r>
        <w:rPr>
          <w:rFonts w:ascii="Cambria" w:hAnsi="Cambria"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pPr>
        <w:pStyle w:val="Nivel2"/>
        <w:numPr>
          <w:ilvl w:val="0"/>
          <w:numId w:val="0"/>
        </w:numPr>
        <w:spacing w:before="0" w:after="0"/>
        <w:rPr>
          <w:rFonts w:ascii="Cambria" w:eastAsia="Times New Roman"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ABERTURA DA SESSÃO, CLASSIFICAÇÃO DAS PROPOSTAS E FORMULAÇÃO DE LANCES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abertura da presente licitação dar-se-á automaticamente em sessão pública, por meio de sistema eletrônico, na data, horário e local indicados neste Edital.</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Os licitantes poderão retirar ou substituir a proposta ou os documentos de habilitação, quando for o caso, anteriormente inseridos no sistema, até a abertura da sessão pública.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sistema disponibilizará campo próprio para troca de mensagens entre o Pregoeiro e os licitantes.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lance deverá ser ofertado pelo </w:t>
      </w:r>
      <w:r>
        <w:rPr>
          <w:rFonts w:ascii="Cambria" w:hAnsi="Cambria" w:cs="Times New Roman"/>
          <w:b/>
          <w:color w:val="auto"/>
          <w:sz w:val="24"/>
          <w:szCs w:val="24"/>
        </w:rPr>
        <w:t>valor total do grupo.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licitantes poderão oferecer lances sucessivos, observando o horário fixado para abertura da sessão e as regras estabelecidas no Edital.</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licitante somente poderá oferecer lance </w:t>
      </w:r>
      <w:r>
        <w:rPr>
          <w:rFonts w:ascii="Cambria" w:hAnsi="Cambria" w:cs="Times New Roman"/>
          <w:iCs/>
          <w:color w:val="auto"/>
          <w:sz w:val="24"/>
          <w:szCs w:val="24"/>
        </w:rPr>
        <w:t>de valor</w:t>
      </w:r>
      <w:r>
        <w:rPr>
          <w:rFonts w:ascii="Cambria" w:hAnsi="Cambria" w:cs="Times New Roman"/>
          <w:color w:val="auto"/>
          <w:sz w:val="24"/>
          <w:szCs w:val="24"/>
        </w:rPr>
        <w:t xml:space="preserve"> </w:t>
      </w:r>
      <w:r>
        <w:rPr>
          <w:rFonts w:ascii="Cambria" w:hAnsi="Cambria" w:cs="Times New Roman"/>
          <w:iCs/>
          <w:color w:val="auto"/>
          <w:sz w:val="24"/>
          <w:szCs w:val="24"/>
        </w:rPr>
        <w:t>inferior</w:t>
      </w:r>
      <w:r>
        <w:rPr>
          <w:rFonts w:ascii="Cambria" w:hAnsi="Cambria" w:cs="Times New Roman"/>
          <w:color w:val="auto"/>
          <w:sz w:val="24"/>
          <w:szCs w:val="24"/>
        </w:rPr>
        <w:t xml:space="preserve"> </w:t>
      </w:r>
      <w:r>
        <w:rPr>
          <w:rFonts w:ascii="Cambria" w:hAnsi="Cambria" w:cs="Times New Roman"/>
          <w:iCs/>
          <w:color w:val="auto"/>
          <w:sz w:val="24"/>
          <w:szCs w:val="24"/>
        </w:rPr>
        <w:t>ou percentual de desconto superior</w:t>
      </w:r>
      <w:r>
        <w:rPr>
          <w:rFonts w:ascii="Cambria" w:hAnsi="Cambria" w:cs="Times New Roman"/>
          <w:color w:val="auto"/>
          <w:sz w:val="24"/>
          <w:szCs w:val="24"/>
        </w:rPr>
        <w:t xml:space="preserve"> ao último por ele ofertado e registrado pelo sistema.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Pr>
          <w:rFonts w:ascii="Cambria" w:hAnsi="Cambria" w:cs="Times New Roman"/>
          <w:i/>
          <w:iCs/>
          <w:color w:val="auto"/>
          <w:sz w:val="24"/>
          <w:szCs w:val="24"/>
        </w:rPr>
        <w:t xml:space="preserve"> </w:t>
      </w:r>
      <w:r>
        <w:rPr>
          <w:rFonts w:ascii="Cambria" w:hAnsi="Cambria" w:cs="Times New Roman"/>
          <w:iCs/>
          <w:color w:val="auto"/>
          <w:sz w:val="24"/>
          <w:szCs w:val="24"/>
        </w:rPr>
        <w:t>de</w:t>
      </w:r>
      <w:r>
        <w:rPr>
          <w:rFonts w:ascii="Cambria" w:hAnsi="Cambria" w:cs="Times New Roman"/>
          <w:i/>
          <w:iCs/>
          <w:color w:val="FF0000"/>
          <w:sz w:val="24"/>
          <w:szCs w:val="24"/>
        </w:rPr>
        <w:t xml:space="preserve"> </w:t>
      </w:r>
      <w:r>
        <w:rPr>
          <w:rFonts w:ascii="Cambria" w:hAnsi="Cambria" w:cs="Times New Roman"/>
          <w:b/>
          <w:sz w:val="24"/>
          <w:szCs w:val="24"/>
        </w:rPr>
        <w:t>0,2% (zero vírgula dois por cento).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licitante poderá, uma única vez, excluir seu último lance ofertado, no intervalo de quinze segundos após o registro no sistema, na hipótese de lance inconsistente ou inexequível.</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procedimento seguirá de acordo com o modo de disputa adotado.</w:t>
      </w:r>
    </w:p>
    <w:p>
      <w:pPr>
        <w:pStyle w:val="Nivel2"/>
        <w:spacing w:before="0" w:after="0"/>
        <w:rPr>
          <w:rFonts w:ascii="Cambria" w:hAnsi="Cambria" w:cs="Times New Roman"/>
          <w:color w:val="auto"/>
          <w:sz w:val="24"/>
          <w:szCs w:val="24"/>
        </w:rPr>
      </w:pPr>
      <w:r>
        <w:rPr>
          <w:rFonts w:ascii="Cambria" w:hAnsi="Cambria" w:cs="Times New Roman"/>
          <w:sz w:val="24"/>
          <w:szCs w:val="24"/>
        </w:rPr>
        <w:t>Para este edital será adotado para o envio de lances no pregão eletrônico o modo de disputa “aberto”, onde os licitantes apresentarão lances públicos e sucessivos, com prorrogações</w:t>
      </w:r>
      <w:r>
        <w:rPr>
          <w:rFonts w:ascii="Cambria" w:hAnsi="Cambria" w:cs="Times New Roman"/>
          <w:color w:val="auto"/>
          <w:sz w:val="24"/>
          <w:szCs w:val="24"/>
        </w:rPr>
        <w:t>.</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Após o reinício previsto no item supra, os licitantes serão convocados para apresentar lances intermediários.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Após o término dos prazos estabelecidos nos subitens anteriores, o sistema ordenará e divulgará os lances segundo a ordem crescente de valores.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Não serão aceitos dois ou mais lances de mesmo valor, prevalecendo aquele que for recebido e registrado em primeiro lugar.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Durante o transcurso da sessão pública, os licitantes serão informados, em tempo real, do valor do menor lance registrado, vedada a identificação do licitante.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No caso de desconexão com o Pregoeiro, no decorrer da etapa competitiva do Pregão, o sistema eletrônico poderá permanecer acessível aos licitantes para a recepção dos lances.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Caso o licitante não apresente lances, concorrerá com o valor de sua proposta.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Em relação aos grupos não exclusivos para participação de microempresas e empresas de pequeno porte, uma vez encerrada a etapa de lances</w:t>
      </w:r>
      <w:r>
        <w:rPr>
          <w:rFonts w:ascii="Cambria" w:eastAsia="Zurich BT" w:hAnsi="Cambria"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Pr>
          <w:rFonts w:ascii="Cambria" w:hAnsi="Cambria" w:cs="Times New Roman"/>
          <w:color w:val="auto"/>
          <w:sz w:val="24"/>
          <w:szCs w:val="24"/>
        </w:rPr>
        <w:t>participantes</w:t>
      </w:r>
      <w:r>
        <w:rPr>
          <w:rFonts w:ascii="Cambria" w:eastAsia="Zurich BT" w:hAnsi="Cambria"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21" w:anchor="art44">
        <w:r>
          <w:rPr>
            <w:rStyle w:val="Hyperlink"/>
            <w:rFonts w:ascii="Cambria" w:eastAsia="Zurich BT" w:hAnsi="Cambria" w:cs="Times New Roman"/>
            <w:color w:val="auto"/>
            <w:sz w:val="24"/>
            <w:szCs w:val="24"/>
          </w:rPr>
          <w:t>arts. 44 e 45 da Lei Complementar nº 123, de 2006</w:t>
        </w:r>
      </w:hyperlink>
      <w:r>
        <w:rPr>
          <w:rFonts w:ascii="Cambria" w:eastAsia="Zurich BT" w:hAnsi="Cambria" w:cs="Times New Roman"/>
          <w:color w:val="auto"/>
          <w:sz w:val="24"/>
          <w:szCs w:val="24"/>
        </w:rPr>
        <w:t xml:space="preserve">, regulamentada pelo </w:t>
      </w:r>
      <w:hyperlink r:id="rId22">
        <w:r>
          <w:rPr>
            <w:rStyle w:val="Hyperlink"/>
            <w:rFonts w:ascii="Cambria" w:eastAsia="Zurich BT" w:hAnsi="Cambria" w:cs="Times New Roman"/>
            <w:color w:val="auto"/>
            <w:sz w:val="24"/>
            <w:szCs w:val="24"/>
          </w:rPr>
          <w:t>Decreto nº 8.538, de 2015</w:t>
        </w:r>
      </w:hyperlink>
      <w:r>
        <w:rPr>
          <w:rFonts w:ascii="Cambria" w:eastAsia="Zurich BT" w:hAnsi="Cambria" w:cs="Times New Roman"/>
          <w:color w:val="auto"/>
          <w:sz w:val="24"/>
          <w:szCs w:val="24"/>
        </w:rPr>
        <w:t>.</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Nessas condições, as propostas de </w:t>
      </w:r>
      <w:r>
        <w:rPr>
          <w:rFonts w:ascii="Cambria" w:eastAsia="Zurich BT" w:hAnsi="Cambria" w:cs="Times New Roman"/>
          <w:color w:val="auto"/>
          <w:sz w:val="24"/>
          <w:szCs w:val="24"/>
        </w:rPr>
        <w:t xml:space="preserve">microempresas e empresas de pequeno porte </w:t>
      </w:r>
      <w:r>
        <w:rPr>
          <w:rFonts w:ascii="Cambria" w:hAnsi="Cambria" w:cs="Times New Roman"/>
          <w:color w:val="auto"/>
          <w:sz w:val="24"/>
          <w:szCs w:val="24"/>
        </w:rPr>
        <w:t>que se encontrarem na faixa de até 5% (cinco por cento) acima da melhor proposta ou melhor lance serão consideradas empatadas com a primeira colocada.</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Caso a </w:t>
      </w:r>
      <w:r>
        <w:rPr>
          <w:rFonts w:ascii="Cambria" w:eastAsia="Zurich BT" w:hAnsi="Cambria" w:cs="Times New Roman"/>
          <w:color w:val="auto"/>
          <w:sz w:val="24"/>
          <w:szCs w:val="24"/>
        </w:rPr>
        <w:t>microempresa ou a empresa de pequeno porte</w:t>
      </w:r>
      <w:r>
        <w:rPr>
          <w:rFonts w:ascii="Cambria" w:hAnsi="Cambria" w:cs="Times New Roman"/>
          <w:color w:val="auto"/>
          <w:sz w:val="24"/>
          <w:szCs w:val="24"/>
        </w:rPr>
        <w:t xml:space="preserve"> melhor classificada desista ou não se manifeste no prazo estabelecido, serão convocadas as demais licitantes </w:t>
      </w:r>
      <w:r>
        <w:rPr>
          <w:rFonts w:ascii="Cambria" w:eastAsia="Zurich BT" w:hAnsi="Cambria" w:cs="Times New Roman"/>
          <w:color w:val="auto"/>
          <w:sz w:val="24"/>
          <w:szCs w:val="24"/>
        </w:rPr>
        <w:t>microempresa e empresa de pequeno porte</w:t>
      </w:r>
      <w:r>
        <w:rPr>
          <w:rFonts w:ascii="Cambria" w:hAnsi="Cambria" w:cs="Times New Roman"/>
          <w:color w:val="auto"/>
          <w:sz w:val="24"/>
          <w:szCs w:val="24"/>
        </w:rPr>
        <w:t xml:space="preserve"> que se encontrem naquele intervalo de 5% (cinco por cento), na ordem de classificação, para o exercício do mesmo direito, no prazo estabelecido no subitem anterior.</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ivel2"/>
        <w:spacing w:before="0" w:after="0"/>
        <w:rPr>
          <w:rFonts w:ascii="Cambria" w:eastAsia="Times New Roman" w:hAnsi="Cambria" w:cs="Times New Roman"/>
          <w:color w:val="auto"/>
          <w:sz w:val="24"/>
          <w:szCs w:val="24"/>
        </w:rPr>
      </w:pPr>
      <w:r>
        <w:rPr>
          <w:rFonts w:ascii="Cambria" w:hAnsi="Cambria" w:cs="Times New Roman"/>
          <w:color w:val="auto"/>
          <w:sz w:val="24"/>
          <w:szCs w:val="24"/>
        </w:rPr>
        <w:lastRenderedPageBreak/>
        <w:t xml:space="preserve">Só poderá haver empate entre propostas iguais (não seguidas de lances), ou entre lances finais da fase fechada do modo de disputa aberto e fechado. </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Havendo eventual empate entre propostas ou lances, o critério de desempate será aquele previsto no </w:t>
      </w:r>
      <w:hyperlink r:id="rId23" w:anchor="art60" w:history="1">
        <w:r>
          <w:rPr>
            <w:rStyle w:val="Hyperlink"/>
            <w:rFonts w:ascii="Cambria" w:eastAsia="Arial" w:hAnsi="Cambria" w:cs="Times New Roman"/>
            <w:color w:val="auto"/>
            <w:sz w:val="24"/>
            <w:szCs w:val="24"/>
          </w:rPr>
          <w:t>art</w:t>
        </w:r>
        <w:r>
          <w:rPr>
            <w:rStyle w:val="Hyperlink"/>
            <w:rFonts w:ascii="Cambria" w:hAnsi="Cambria" w:cs="Times New Roman"/>
            <w:color w:val="auto"/>
            <w:sz w:val="24"/>
            <w:szCs w:val="24"/>
          </w:rPr>
          <w:t>. 60 da Lei nº 14.133, de 2021</w:t>
        </w:r>
      </w:hyperlink>
      <w:r>
        <w:rPr>
          <w:rFonts w:ascii="Cambria" w:hAnsi="Cambria" w:cs="Times New Roman"/>
          <w:color w:val="auto"/>
          <w:sz w:val="24"/>
          <w:szCs w:val="24"/>
        </w:rPr>
        <w:t>, nesta ordem:</w:t>
      </w:r>
    </w:p>
    <w:p>
      <w:pPr>
        <w:pStyle w:val="Nivel4"/>
        <w:spacing w:before="0" w:after="0"/>
        <w:ind w:left="567"/>
        <w:rPr>
          <w:rFonts w:ascii="Cambria" w:hAnsi="Cambria" w:cs="Times New Roman"/>
          <w:sz w:val="24"/>
          <w:szCs w:val="24"/>
        </w:rPr>
      </w:pPr>
      <w:r>
        <w:rPr>
          <w:rFonts w:ascii="Cambria" w:hAnsi="Cambria" w:cs="Times New Roman"/>
          <w:sz w:val="24"/>
          <w:szCs w:val="24"/>
        </w:rPr>
        <w:t>disputa final, hipótese em que os licitantes empatados poderão apresentar nova proposta em ato contínuo à classificação;</w:t>
      </w:r>
    </w:p>
    <w:p>
      <w:pPr>
        <w:pStyle w:val="Nivel4"/>
        <w:spacing w:before="0" w:after="0"/>
        <w:ind w:left="567"/>
        <w:rPr>
          <w:rFonts w:ascii="Cambria" w:hAnsi="Cambria" w:cs="Times New Roman"/>
          <w:sz w:val="24"/>
          <w:szCs w:val="24"/>
        </w:rPr>
      </w:pPr>
      <w:r>
        <w:rPr>
          <w:rFonts w:ascii="Cambria" w:hAnsi="Cambria" w:cs="Times New Roman"/>
          <w:sz w:val="24"/>
          <w:szCs w:val="24"/>
        </w:rPr>
        <w:t>avaliação do desempenho contratual prévio dos licitantes, para a qual deverão preferencialmente ser utilizados registros cadastrais para efeito de atesto de cumprimento de obrigações previstos nesta Lei;</w:t>
      </w:r>
    </w:p>
    <w:p>
      <w:pPr>
        <w:pStyle w:val="Nivel4"/>
        <w:spacing w:before="0" w:after="0"/>
        <w:ind w:left="567"/>
        <w:rPr>
          <w:rFonts w:ascii="Cambria" w:hAnsi="Cambria" w:cs="Times New Roman"/>
          <w:sz w:val="24"/>
          <w:szCs w:val="24"/>
        </w:rPr>
      </w:pPr>
      <w:r>
        <w:rPr>
          <w:rFonts w:ascii="Cambria" w:hAnsi="Cambria" w:cs="Times New Roman"/>
          <w:sz w:val="24"/>
          <w:szCs w:val="24"/>
        </w:rPr>
        <w:t>desenvolvimento pelo licitante de ações de equidade entre homens e mulheres no ambiente de trabalho, conforme regulamento;</w:t>
      </w:r>
    </w:p>
    <w:p>
      <w:pPr>
        <w:pStyle w:val="Nivel4"/>
        <w:spacing w:before="0" w:after="0"/>
        <w:ind w:left="567"/>
        <w:rPr>
          <w:rFonts w:ascii="Cambria" w:hAnsi="Cambria" w:cs="Times New Roman"/>
          <w:sz w:val="24"/>
          <w:szCs w:val="24"/>
        </w:rPr>
      </w:pPr>
      <w:r>
        <w:rPr>
          <w:rFonts w:ascii="Cambria" w:hAnsi="Cambria" w:cs="Times New Roman"/>
          <w:sz w:val="24"/>
          <w:szCs w:val="24"/>
        </w:rPr>
        <w:t>desenvolvimento pelo licitante de programa de integridade, conforme orientações dos órgãos de controle.</w:t>
      </w:r>
    </w:p>
    <w:p>
      <w:pPr>
        <w:pStyle w:val="Nivel3"/>
        <w:spacing w:before="0" w:after="0"/>
        <w:ind w:left="851" w:hanging="504"/>
        <w:rPr>
          <w:rFonts w:ascii="Cambria" w:hAnsi="Cambria" w:cs="Times New Roman"/>
          <w:color w:val="auto"/>
          <w:sz w:val="24"/>
          <w:szCs w:val="24"/>
        </w:rPr>
      </w:pPr>
      <w:r>
        <w:rPr>
          <w:rFonts w:ascii="Cambria" w:hAnsi="Cambria" w:cs="Times New Roman"/>
          <w:color w:val="auto"/>
          <w:sz w:val="24"/>
          <w:szCs w:val="24"/>
        </w:rPr>
        <w:t>Persistindo o empate, será assegurada preferência, sucessivamente, aos bens e serviços produzidos ou prestados por:</w:t>
      </w:r>
    </w:p>
    <w:p>
      <w:pPr>
        <w:pStyle w:val="Nivel4"/>
        <w:spacing w:before="0" w:after="0"/>
        <w:ind w:left="567"/>
        <w:rPr>
          <w:rFonts w:ascii="Cambria" w:hAnsi="Cambria" w:cs="Times New Roman"/>
          <w:sz w:val="24"/>
          <w:szCs w:val="24"/>
        </w:rPr>
      </w:pPr>
      <w:r>
        <w:rPr>
          <w:rFonts w:ascii="Cambria" w:hAnsi="Cambria"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ivel4"/>
        <w:spacing w:before="0" w:after="0"/>
        <w:ind w:left="567"/>
        <w:rPr>
          <w:rFonts w:ascii="Cambria" w:hAnsi="Cambria" w:cs="Times New Roman"/>
          <w:sz w:val="24"/>
          <w:szCs w:val="24"/>
        </w:rPr>
      </w:pPr>
      <w:r>
        <w:rPr>
          <w:rFonts w:ascii="Cambria" w:hAnsi="Cambria" w:cs="Times New Roman"/>
          <w:sz w:val="24"/>
          <w:szCs w:val="24"/>
        </w:rPr>
        <w:t>empresas brasileiras;</w:t>
      </w:r>
    </w:p>
    <w:p>
      <w:pPr>
        <w:pStyle w:val="Nivel4"/>
        <w:spacing w:before="0" w:after="0"/>
        <w:ind w:left="567"/>
        <w:rPr>
          <w:rFonts w:ascii="Cambria" w:hAnsi="Cambria" w:cs="Times New Roman"/>
          <w:sz w:val="24"/>
          <w:szCs w:val="24"/>
        </w:rPr>
      </w:pPr>
      <w:r>
        <w:rPr>
          <w:rFonts w:ascii="Cambria" w:hAnsi="Cambria" w:cs="Times New Roman"/>
          <w:sz w:val="24"/>
          <w:szCs w:val="24"/>
        </w:rPr>
        <w:t>empresas que invistam em pesquisa e no desenvolvimento de tecnologia no País;</w:t>
      </w:r>
    </w:p>
    <w:p>
      <w:pPr>
        <w:pStyle w:val="Nivel4"/>
        <w:spacing w:before="0" w:after="0"/>
        <w:ind w:left="567"/>
        <w:rPr>
          <w:rFonts w:ascii="Cambria" w:hAnsi="Cambria" w:cs="Times New Roman"/>
          <w:sz w:val="24"/>
          <w:szCs w:val="24"/>
        </w:rPr>
      </w:pPr>
      <w:r>
        <w:rPr>
          <w:rFonts w:ascii="Cambria" w:hAnsi="Cambria" w:cs="Times New Roman"/>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Pr>
            <w:rStyle w:val="Hyperlink"/>
            <w:rFonts w:ascii="Cambria" w:hAnsi="Cambria" w:cs="Times New Roman"/>
            <w:color w:val="auto"/>
            <w:sz w:val="24"/>
            <w:szCs w:val="24"/>
          </w:rPr>
          <w:t>Lei nº 12.187, de 29 de dezembro de 2009</w:t>
        </w:r>
      </w:hyperlink>
      <w:r>
        <w:rPr>
          <w:rFonts w:ascii="Cambria" w:hAnsi="Cambria" w:cs="Times New Roman"/>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3-R"/>
        <w:numPr>
          <w:ilvl w:val="2"/>
          <w:numId w:val="2"/>
        </w:numPr>
        <w:spacing w:before="0" w:after="0"/>
        <w:ind w:left="993"/>
        <w:rPr>
          <w:rFonts w:ascii="Cambria" w:hAnsi="Cambria" w:cs="Times New Roman"/>
          <w:color w:val="auto"/>
          <w:sz w:val="24"/>
          <w:szCs w:val="24"/>
        </w:rPr>
      </w:pPr>
      <w:r>
        <w:rPr>
          <w:rFonts w:ascii="Cambria" w:hAnsi="Cambria" w:cs="Times New Roman"/>
          <w:i w:val="0"/>
          <w:iCs w:val="0"/>
          <w:color w:val="auto"/>
          <w:sz w:val="24"/>
          <w:szCs w:val="24"/>
        </w:rPr>
        <w:t xml:space="preserve"> Não será admitida a previsão de preços diferentes em razão de local de entrega ou de acondicionamento, tamanho de lote ou qualquer outro motivo.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spacing w:before="0" w:after="0"/>
        <w:ind w:left="993" w:hanging="504"/>
        <w:rPr>
          <w:rFonts w:ascii="Cambria" w:eastAsia="Times New Roman" w:hAnsi="Cambria" w:cs="Times New Roman"/>
          <w:color w:val="auto"/>
          <w:sz w:val="24"/>
          <w:szCs w:val="24"/>
        </w:rPr>
      </w:pPr>
      <w:r>
        <w:rPr>
          <w:rFonts w:ascii="Cambria" w:eastAsia="Times New Roman" w:hAnsi="Cambria" w:cs="Times New Roman"/>
          <w:color w:val="auto"/>
          <w:sz w:val="24"/>
          <w:szCs w:val="24"/>
        </w:rPr>
        <w:t xml:space="preserve">A </w:t>
      </w:r>
      <w:r>
        <w:rPr>
          <w:rFonts w:ascii="Cambria" w:hAnsi="Cambria" w:cs="Times New Roman"/>
          <w:color w:val="auto"/>
          <w:sz w:val="24"/>
          <w:szCs w:val="24"/>
        </w:rPr>
        <w:t>negociação será realizada por meio do sistema, podendo ser acompanhada pelos demais licitantes.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O resultado da negociação será divulgado a todos os licitantes e anexado aos autos do processo licitatório.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pPr>
        <w:pStyle w:val="Nivel3"/>
        <w:spacing w:before="0" w:after="0"/>
        <w:ind w:left="993" w:hanging="504"/>
        <w:rPr>
          <w:rFonts w:ascii="Cambria" w:hAnsi="Cambria" w:cs="Times New Roman"/>
          <w:iCs/>
          <w:color w:val="auto"/>
          <w:sz w:val="24"/>
          <w:szCs w:val="24"/>
        </w:rPr>
      </w:pPr>
      <w:r>
        <w:rPr>
          <w:rFonts w:ascii="Cambria" w:hAnsi="Cambria" w:cs="Times New Roman"/>
          <w:color w:val="auto"/>
          <w:sz w:val="24"/>
          <w:szCs w:val="24"/>
        </w:rPr>
        <w:t>É facultado ao pregoeiro prorrogar o prazo estabelecido, a partir de solicitação fundamentada feita no chat pelo licitante, antes de findo o prazo.</w:t>
      </w:r>
    </w:p>
    <w:p>
      <w:pPr>
        <w:pStyle w:val="Nivel2"/>
        <w:spacing w:before="0" w:after="0"/>
        <w:rPr>
          <w:rFonts w:ascii="Cambria" w:eastAsia="Times New Roman" w:hAnsi="Cambria" w:cs="Times New Roman"/>
          <w:color w:val="auto"/>
          <w:sz w:val="24"/>
          <w:szCs w:val="24"/>
        </w:rPr>
      </w:pPr>
      <w:r>
        <w:rPr>
          <w:rFonts w:ascii="Cambria" w:hAnsi="Cambria" w:cs="Times New Roman"/>
          <w:color w:val="auto"/>
          <w:sz w:val="24"/>
          <w:szCs w:val="24"/>
        </w:rPr>
        <w:t>Após a negociação do preço, o Pregoeiro iniciará a fase de aceitação e julgamento da proposta.</w:t>
      </w:r>
    </w:p>
    <w:p>
      <w:pPr>
        <w:pStyle w:val="Nivel2"/>
        <w:numPr>
          <w:ilvl w:val="0"/>
          <w:numId w:val="0"/>
        </w:numPr>
        <w:spacing w:before="0" w:after="0"/>
        <w:rPr>
          <w:rFonts w:ascii="Cambria" w:eastAsia="Times New Roman"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FASE DE JULGAMENTO</w:t>
      </w:r>
    </w:p>
    <w:p>
      <w:pPr>
        <w:pStyle w:val="Nivel2"/>
        <w:spacing w:before="0" w:after="0"/>
        <w:rPr>
          <w:rFonts w:ascii="Cambria" w:hAnsi="Cambria" w:cs="Times New Roman"/>
          <w:b/>
          <w:bCs/>
          <w:color w:val="auto"/>
          <w:sz w:val="24"/>
          <w:szCs w:val="24"/>
          <w:lang w:eastAsia="ar-SA"/>
        </w:rPr>
      </w:pPr>
      <w:r>
        <w:rPr>
          <w:rFonts w:ascii="Cambria" w:hAnsi="Cambria" w:cs="Times New Roman"/>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history="1">
        <w:r>
          <w:rPr>
            <w:rStyle w:val="Hyperlink"/>
            <w:rFonts w:ascii="Cambria" w:hAnsi="Cambria" w:cs="Times New Roman"/>
            <w:color w:val="auto"/>
            <w:sz w:val="24"/>
            <w:szCs w:val="24"/>
          </w:rPr>
          <w:t>art. 14 da Lei nº 14.133/2021</w:t>
        </w:r>
      </w:hyperlink>
      <w:r>
        <w:rPr>
          <w:rFonts w:ascii="Cambria" w:hAnsi="Cambria" w:cs="Times New Roman"/>
          <w:color w:val="auto"/>
          <w:sz w:val="24"/>
          <w:szCs w:val="24"/>
        </w:rPr>
        <w:t xml:space="preserve">, legislação correlata e no 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_Ref117000692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2.7</w:t>
      </w:r>
      <w:r>
        <w:rPr>
          <w:rFonts w:ascii="Cambria" w:hAnsi="Cambria" w:cs="Times New Roman"/>
          <w:color w:val="auto"/>
          <w:sz w:val="24"/>
          <w:szCs w:val="24"/>
        </w:rPr>
        <w:fldChar w:fldCharType="end"/>
      </w:r>
      <w:r>
        <w:rPr>
          <w:rFonts w:ascii="Cambria" w:hAnsi="Cambria" w:cs="Times New Roman"/>
          <w:color w:val="auto"/>
          <w:sz w:val="24"/>
          <w:szCs w:val="24"/>
        </w:rPr>
        <w:t xml:space="preserve"> do edital, </w:t>
      </w:r>
      <w:r>
        <w:rPr>
          <w:rFonts w:ascii="Cambria" w:hAnsi="Cambria" w:cs="Times New Roman"/>
          <w:color w:val="auto"/>
          <w:sz w:val="24"/>
          <w:szCs w:val="24"/>
          <w:lang w:eastAsia="ar-SA"/>
        </w:rPr>
        <w:t>especialmente quanto à existência de sanção que impeça a participação no certame ou a futura contratação, mediante a consulta aos seguintes cadastros:</w:t>
      </w:r>
    </w:p>
    <w:p>
      <w:pPr>
        <w:pStyle w:val="Nivel3"/>
        <w:spacing w:before="0" w:after="0"/>
        <w:ind w:left="993" w:hanging="504"/>
        <w:rPr>
          <w:rFonts w:ascii="Cambria" w:hAnsi="Cambria" w:cs="Times New Roman"/>
          <w:color w:val="auto"/>
          <w:sz w:val="24"/>
          <w:szCs w:val="24"/>
          <w:lang w:eastAsia="ar-SA"/>
        </w:rPr>
      </w:pPr>
      <w:r>
        <w:rPr>
          <w:rFonts w:ascii="Cambria" w:hAnsi="Cambria" w:cs="Times New Roman"/>
          <w:color w:val="auto"/>
          <w:sz w:val="24"/>
          <w:szCs w:val="24"/>
          <w:lang w:eastAsia="ar-SA"/>
        </w:rPr>
        <w:t xml:space="preserve">SICAF;  </w:t>
      </w:r>
    </w:p>
    <w:p>
      <w:pPr>
        <w:pStyle w:val="Nivel3"/>
        <w:spacing w:before="0" w:after="0"/>
        <w:ind w:left="993" w:hanging="504"/>
        <w:rPr>
          <w:rFonts w:ascii="Cambria" w:hAnsi="Cambria" w:cs="Times New Roman"/>
          <w:color w:val="auto"/>
          <w:sz w:val="24"/>
          <w:szCs w:val="24"/>
          <w:lang w:eastAsia="ar-SA"/>
        </w:rPr>
      </w:pPr>
      <w:r>
        <w:rPr>
          <w:rFonts w:ascii="Cambria" w:hAnsi="Cambria" w:cs="Times New Roman"/>
          <w:color w:val="auto"/>
          <w:sz w:val="24"/>
          <w:szCs w:val="24"/>
          <w:lang w:eastAsia="ar-SA"/>
        </w:rPr>
        <w:t>Cadastro Nacional de Empresas Inidôneas e Suspensas - CEIS, mantido pela Controladoria-Geral da União (</w:t>
      </w:r>
      <w:hyperlink r:id="rId26" w:history="1">
        <w:r>
          <w:rPr>
            <w:rStyle w:val="Hyperlink"/>
            <w:rFonts w:ascii="Cambria" w:hAnsi="Cambria" w:cs="Times New Roman"/>
            <w:color w:val="auto"/>
            <w:sz w:val="24"/>
            <w:szCs w:val="24"/>
          </w:rPr>
          <w:t>https://www.portaltransparencia.gov.br/sancoes/ceis</w:t>
        </w:r>
      </w:hyperlink>
      <w:r>
        <w:rPr>
          <w:rFonts w:ascii="Cambria" w:hAnsi="Cambria" w:cs="Times New Roman"/>
          <w:color w:val="auto"/>
          <w:sz w:val="24"/>
          <w:szCs w:val="24"/>
          <w:lang w:eastAsia="ar-SA"/>
        </w:rPr>
        <w:t xml:space="preserve">); e </w:t>
      </w:r>
    </w:p>
    <w:p>
      <w:pPr>
        <w:pStyle w:val="Nivel3"/>
        <w:spacing w:before="0" w:after="0"/>
        <w:ind w:left="993" w:hanging="504"/>
        <w:rPr>
          <w:rFonts w:ascii="Cambria" w:hAnsi="Cambria" w:cs="Times New Roman"/>
          <w:color w:val="auto"/>
          <w:sz w:val="24"/>
          <w:szCs w:val="24"/>
          <w:lang w:eastAsia="ar-SA"/>
        </w:rPr>
      </w:pPr>
      <w:r>
        <w:rPr>
          <w:rFonts w:ascii="Cambria" w:hAnsi="Cambria" w:cs="Times New Roman"/>
          <w:color w:val="auto"/>
          <w:sz w:val="24"/>
          <w:szCs w:val="24"/>
          <w:lang w:eastAsia="ar-SA"/>
        </w:rPr>
        <w:t>Cadastro Nacional de Empresas Punidas – CNEP, mantido pela Controladoria-Geral da União (</w:t>
      </w:r>
      <w:hyperlink r:id="rId27" w:history="1">
        <w:r>
          <w:rPr>
            <w:rStyle w:val="Hyperlink"/>
            <w:rFonts w:ascii="Cambria" w:hAnsi="Cambria" w:cs="Times New Roman"/>
            <w:color w:val="auto"/>
            <w:sz w:val="24"/>
            <w:szCs w:val="24"/>
          </w:rPr>
          <w:t>https://www.portaltransparencia.gov.br/sancoes/cnep</w:t>
        </w:r>
      </w:hyperlink>
      <w:r>
        <w:rPr>
          <w:rFonts w:ascii="Cambria" w:hAnsi="Cambria" w:cs="Times New Roman"/>
          <w:color w:val="auto"/>
          <w:sz w:val="24"/>
          <w:szCs w:val="24"/>
          <w:lang w:eastAsia="ar-SA"/>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Pr>
            <w:rStyle w:val="Hyperlink"/>
            <w:rFonts w:ascii="Cambria" w:hAnsi="Cambria" w:cs="Times New Roman"/>
            <w:color w:val="auto"/>
            <w:sz w:val="24"/>
            <w:szCs w:val="24"/>
          </w:rPr>
          <w:t>artigo 12 da Lei n° 8.429, de 1992</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Pr>
            <w:rStyle w:val="Hyperlink"/>
            <w:rFonts w:ascii="Cambria" w:hAnsi="Cambria" w:cs="Times New Roman"/>
            <w:color w:val="auto"/>
            <w:sz w:val="24"/>
            <w:szCs w:val="24"/>
          </w:rPr>
          <w:t xml:space="preserve">IN nº 3/2018, art. 29, </w:t>
        </w:r>
        <w:r>
          <w:rPr>
            <w:rStyle w:val="Hyperlink"/>
            <w:rFonts w:ascii="Cambria" w:hAnsi="Cambria" w:cs="Times New Roman"/>
            <w:i/>
            <w:iCs/>
            <w:color w:val="auto"/>
            <w:sz w:val="24"/>
            <w:szCs w:val="24"/>
          </w:rPr>
          <w:t>caput</w:t>
        </w:r>
      </w:hyperlink>
      <w:r>
        <w:rPr>
          <w:rFonts w:ascii="Cambria" w:hAnsi="Cambria" w:cs="Times New Roman"/>
          <w:color w:val="auto"/>
          <w:sz w:val="24"/>
          <w:szCs w:val="24"/>
        </w:rPr>
        <w:t>)</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A tentativa de burla será verificada por meio dos vínculos societários, linhas de fornecimento similares, dentre outros. (</w:t>
      </w:r>
      <w:hyperlink r:id="rId30" w:history="1">
        <w:r>
          <w:rPr>
            <w:rStyle w:val="Hyperlink"/>
            <w:rFonts w:ascii="Cambria" w:hAnsi="Cambria" w:cs="Times New Roman"/>
            <w:color w:val="auto"/>
            <w:sz w:val="24"/>
            <w:szCs w:val="24"/>
          </w:rPr>
          <w:t>IN nº 3/2018, art. 29, §1º</w:t>
        </w:r>
      </w:hyperlink>
      <w:r>
        <w:rPr>
          <w:rFonts w:ascii="Cambria" w:hAnsi="Cambria" w:cs="Times New Roman"/>
          <w:color w:val="auto"/>
          <w:sz w:val="24"/>
          <w:szCs w:val="24"/>
        </w:rPr>
        <w:t>).</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O licitante será convocado para manifestação previamente a uma eventual desclassificação. (</w:t>
      </w:r>
      <w:hyperlink r:id="rId31" w:history="1">
        <w:r>
          <w:rPr>
            <w:rStyle w:val="Hyperlink"/>
            <w:rFonts w:ascii="Cambria" w:hAnsi="Cambria" w:cs="Times New Roman"/>
            <w:color w:val="auto"/>
            <w:sz w:val="24"/>
            <w:szCs w:val="24"/>
          </w:rPr>
          <w:t>IN nº 3/2018, art. 29, §2º</w:t>
        </w:r>
      </w:hyperlink>
      <w:r>
        <w:rPr>
          <w:rFonts w:ascii="Cambria" w:hAnsi="Cambria" w:cs="Times New Roman"/>
          <w:color w:val="auto"/>
          <w:sz w:val="24"/>
          <w:szCs w:val="24"/>
        </w:rPr>
        <w:t>).</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Constatada a existência de sanção, o licitante será reputado inabilitado, por falta de condição de participação.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Na hipótese de inversão das fases de habilitação e julgamento, caso atendidas as condições de participação, será iniciado o procedimento de habilitação.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 xml:space="preserve">Caso o licitante provisoriamente classificado em primeiro lugar tenha se utilizado de algum tratamento favorecido às ME/EPPs, o pregoeiro verificará se faz jus ao benefício, em conformidade com 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_Ref117015508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2.5.1</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_Ref117000019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3.6</w:t>
      </w:r>
      <w:r>
        <w:rPr>
          <w:rFonts w:ascii="Cambria" w:hAnsi="Cambria" w:cs="Times New Roman"/>
          <w:color w:val="auto"/>
          <w:sz w:val="24"/>
          <w:szCs w:val="24"/>
        </w:rPr>
        <w:fldChar w:fldCharType="end"/>
      </w:r>
      <w:r>
        <w:rPr>
          <w:rFonts w:ascii="Cambria" w:hAnsi="Cambria" w:cs="Times New Roman"/>
          <w:color w:val="auto"/>
          <w:sz w:val="24"/>
          <w:szCs w:val="24"/>
        </w:rPr>
        <w:t xml:space="preserve"> deste edital.</w:t>
      </w:r>
    </w:p>
    <w:p>
      <w:pPr>
        <w:pStyle w:val="Nivel2"/>
        <w:spacing w:before="0" w:after="0"/>
        <w:rPr>
          <w:rFonts w:ascii="Cambria" w:hAnsi="Cambria" w:cs="Times New Roman"/>
          <w:b/>
          <w:color w:val="auto"/>
          <w:sz w:val="24"/>
          <w:szCs w:val="24"/>
        </w:rPr>
      </w:pPr>
      <w:r>
        <w:rPr>
          <w:rFonts w:ascii="Cambria" w:hAnsi="Cambria"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Pr>
            <w:rStyle w:val="Hyperlink"/>
            <w:rFonts w:ascii="Cambria" w:hAnsi="Cambria" w:cs="Times New Roman"/>
            <w:color w:val="auto"/>
            <w:sz w:val="24"/>
            <w:szCs w:val="24"/>
          </w:rPr>
          <w:t>artigo 29 a 35 da IN SEGES nº 73, de 30 de setembro de 2022</w:t>
        </w:r>
      </w:hyperlink>
      <w:r>
        <w:rPr>
          <w:rFonts w:ascii="Cambria" w:hAnsi="Cambria" w:cs="Times New Roman"/>
          <w:color w:val="auto"/>
          <w:sz w:val="24"/>
          <w:szCs w:val="24"/>
        </w:rPr>
        <w:t>.</w:t>
      </w:r>
    </w:p>
    <w:p>
      <w:pPr>
        <w:pStyle w:val="Nivel2"/>
        <w:spacing w:before="0" w:after="0"/>
        <w:rPr>
          <w:rFonts w:ascii="Cambria" w:hAnsi="Cambria" w:cs="Times New Roman"/>
          <w:b/>
          <w:color w:val="auto"/>
          <w:sz w:val="24"/>
          <w:szCs w:val="24"/>
        </w:rPr>
      </w:pPr>
      <w:r>
        <w:rPr>
          <w:rFonts w:ascii="Cambria" w:hAnsi="Cambria" w:cs="Times New Roman"/>
          <w:color w:val="auto"/>
          <w:sz w:val="24"/>
          <w:szCs w:val="24"/>
        </w:rPr>
        <w:t xml:space="preserve">Será desclassificada a proposta vencedora que: </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contiver vícios insanáveis;</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não obedecer às especificações técnicas contidas no Termo de Referência;</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apresentar preços inexequíveis ou permanecerem acima do preço máximo definido para a contratação;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não tiverem sua exequibilidade demonstrada, quando exigido pela Administração;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apresentar desconformidade com quaisquer outras exigências deste Edital ou seus anexos, desde que insanável.</w:t>
      </w:r>
    </w:p>
    <w:p>
      <w:pPr>
        <w:pStyle w:val="Nivel2"/>
        <w:spacing w:before="0" w:after="0"/>
        <w:rPr>
          <w:rFonts w:ascii="Cambria" w:hAnsi="Cambria" w:cs="Times New Roman"/>
          <w:b/>
          <w:bCs/>
          <w:color w:val="auto"/>
          <w:sz w:val="24"/>
          <w:szCs w:val="24"/>
        </w:rPr>
      </w:pPr>
      <w:r>
        <w:rPr>
          <w:rFonts w:ascii="Cambria" w:hAnsi="Cambria" w:cs="Times New Roman"/>
          <w:color w:val="auto"/>
          <w:sz w:val="24"/>
          <w:szCs w:val="24"/>
        </w:rPr>
        <w:t>No caso de bens e serviços em geral, é indício de inexequibilidade das propostas valores inferiores a 50% (cinquenta por cento) do valor orçado pela Administração.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 xml:space="preserve">A inexequibilidade, na hipótese de que trata o </w:t>
      </w:r>
      <w:r>
        <w:rPr>
          <w:rFonts w:ascii="Cambria" w:hAnsi="Cambria" w:cs="Times New Roman"/>
          <w:b/>
          <w:bCs/>
          <w:color w:val="auto"/>
          <w:sz w:val="24"/>
          <w:szCs w:val="24"/>
        </w:rPr>
        <w:t>caput</w:t>
      </w:r>
      <w:r>
        <w:rPr>
          <w:rFonts w:ascii="Cambria" w:hAnsi="Cambria" w:cs="Times New Roman"/>
          <w:color w:val="auto"/>
          <w:sz w:val="24"/>
          <w:szCs w:val="24"/>
        </w:rPr>
        <w:t>, só será considerada após diligência do pregoeiro, que comprove:</w:t>
      </w:r>
    </w:p>
    <w:p>
      <w:pPr>
        <w:pStyle w:val="Nivel4"/>
        <w:spacing w:before="0" w:after="0"/>
        <w:ind w:left="567"/>
        <w:rPr>
          <w:rFonts w:ascii="Cambria" w:hAnsi="Cambria" w:cs="Times New Roman"/>
          <w:sz w:val="24"/>
          <w:szCs w:val="24"/>
        </w:rPr>
      </w:pPr>
      <w:r>
        <w:rPr>
          <w:rFonts w:ascii="Cambria" w:hAnsi="Cambria" w:cs="Times New Roman"/>
          <w:sz w:val="24"/>
          <w:szCs w:val="24"/>
        </w:rPr>
        <w:t>que o custo do licitante ultrapassa o valor da proposta; e</w:t>
      </w:r>
    </w:p>
    <w:p>
      <w:pPr>
        <w:pStyle w:val="Nivel4"/>
        <w:spacing w:before="0" w:after="0"/>
        <w:ind w:left="567"/>
        <w:rPr>
          <w:rFonts w:ascii="Cambria" w:hAnsi="Cambria" w:cs="Times New Roman"/>
          <w:sz w:val="24"/>
          <w:szCs w:val="24"/>
        </w:rPr>
      </w:pPr>
      <w:r>
        <w:rPr>
          <w:rFonts w:ascii="Cambria" w:hAnsi="Cambria" w:cs="Times New Roman"/>
          <w:sz w:val="24"/>
          <w:szCs w:val="24"/>
        </w:rPr>
        <w:t>inexistirem custos de oportunidade capazes de justificar o vulto da oferta.</w:t>
      </w:r>
    </w:p>
    <w:p>
      <w:pPr>
        <w:pStyle w:val="Nivel2"/>
        <w:spacing w:before="0" w:after="0"/>
        <w:rPr>
          <w:rFonts w:ascii="Cambria" w:hAnsi="Cambria" w:cs="Times New Roman"/>
          <w:b/>
          <w:bCs/>
          <w:color w:val="auto"/>
          <w:sz w:val="24"/>
          <w:szCs w:val="24"/>
        </w:rPr>
      </w:pPr>
      <w:r>
        <w:rPr>
          <w:rFonts w:ascii="Cambria" w:hAnsi="Cambria" w:cs="Times New Roman"/>
          <w:color w:val="auto"/>
          <w:sz w:val="24"/>
          <w:szCs w:val="24"/>
        </w:rPr>
        <w:t>Em contratação de serviços de engenharia, além das disposições acima, a análise de exequibilidade e sobrepreço considerará o seguinte:</w:t>
      </w:r>
    </w:p>
    <w:p>
      <w:pPr>
        <w:pStyle w:val="Nivel3"/>
        <w:spacing w:before="0" w:after="0"/>
        <w:ind w:left="993" w:hanging="504"/>
        <w:rPr>
          <w:rFonts w:ascii="Cambria" w:hAnsi="Cambria" w:cs="Times New Roman"/>
          <w:b/>
          <w:color w:val="auto"/>
          <w:sz w:val="24"/>
          <w:szCs w:val="24"/>
        </w:rPr>
      </w:pPr>
      <w:r>
        <w:rPr>
          <w:rFonts w:ascii="Cambria" w:hAnsi="Cambria" w:cs="Times New Roman"/>
          <w:color w:val="auto"/>
          <w:sz w:val="24"/>
          <w:szCs w:val="24"/>
        </w:rPr>
        <w:t>Nos regimes de execução por tarefa, empreitada por preço global ou empreitada integral, semi-integrada ou integrada, a caracterização do sobrepreço se dará pela superação do valor global estimado;</w:t>
      </w:r>
    </w:p>
    <w:p>
      <w:pPr>
        <w:pStyle w:val="Nivel3"/>
        <w:spacing w:before="0" w:after="0"/>
        <w:ind w:left="993" w:hanging="504"/>
        <w:rPr>
          <w:rFonts w:ascii="Cambria" w:hAnsi="Cambria" w:cs="Times New Roman"/>
          <w:b/>
          <w:color w:val="auto"/>
          <w:sz w:val="24"/>
          <w:szCs w:val="24"/>
        </w:rPr>
      </w:pPr>
      <w:r>
        <w:rPr>
          <w:rFonts w:ascii="Cambria" w:hAnsi="Cambria" w:cs="Times New Roman"/>
          <w:color w:val="auto"/>
          <w:sz w:val="24"/>
          <w:szCs w:val="24"/>
        </w:rPr>
        <w:t xml:space="preserve">No regime de empreitada por preço unitário, a caracterização do sobrepreço se dará pela superação do valor global estimado e </w:t>
      </w:r>
      <w:r>
        <w:rPr>
          <w:rFonts w:ascii="Cambria" w:hAnsi="Cambria" w:cs="Times New Roman"/>
          <w:iCs/>
          <w:color w:val="auto"/>
          <w:sz w:val="24"/>
          <w:szCs w:val="24"/>
        </w:rPr>
        <w:t>pela superação de custo unitário tido como relevante, conforme planilha anexa ao edital;</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ivel3"/>
        <w:spacing w:before="0" w:after="0"/>
        <w:ind w:left="993" w:hanging="504"/>
        <w:rPr>
          <w:rFonts w:ascii="Cambria" w:hAnsi="Cambria" w:cs="Times New Roman"/>
          <w:b/>
          <w:bCs/>
          <w:color w:val="auto"/>
          <w:sz w:val="24"/>
          <w:szCs w:val="24"/>
        </w:rPr>
      </w:pPr>
      <w:r>
        <w:rPr>
          <w:rFonts w:ascii="Cambria" w:hAnsi="Cambria" w:cs="Times New Roman"/>
          <w:color w:val="auto"/>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Nivel2"/>
        <w:spacing w:before="0" w:after="0"/>
        <w:rPr>
          <w:rFonts w:ascii="Cambria" w:hAnsi="Cambria" w:cs="Times New Roman"/>
          <w:b/>
          <w:color w:val="auto"/>
          <w:sz w:val="24"/>
          <w:szCs w:val="24"/>
        </w:rPr>
      </w:pPr>
      <w:r>
        <w:rPr>
          <w:rFonts w:ascii="Cambria" w:hAnsi="Cambria"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O ajuste de que trata este dispositivo se limita a sanar erros ou falhas que não alterem a substância das propostas;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Considera-se erro no preenchimento da planilha passível de correção a indicação de recolhimento de impostos e contribuições na forma do Simples Nacional, quando não cabível esse regime.</w:t>
      </w:r>
    </w:p>
    <w:p>
      <w:pPr>
        <w:pStyle w:val="Nivel3"/>
        <w:numPr>
          <w:ilvl w:val="0"/>
          <w:numId w:val="0"/>
        </w:numPr>
        <w:spacing w:before="0" w:after="0"/>
        <w:ind w:left="993"/>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FASE DE HABILITAÇÃO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Pr>
            <w:rStyle w:val="Hyperlink"/>
            <w:rFonts w:ascii="Cambria" w:hAnsi="Cambria" w:cs="Times New Roman"/>
            <w:color w:val="auto"/>
            <w:sz w:val="24"/>
            <w:szCs w:val="24"/>
          </w:rPr>
          <w:t>arts. 62 a 70 da Lei nº 14.133, de 2021</w:t>
        </w:r>
      </w:hyperlink>
      <w:r>
        <w:rPr>
          <w:rFonts w:ascii="Cambria" w:hAnsi="Cambria" w:cs="Times New Roman"/>
          <w:color w:val="auto"/>
          <w:sz w:val="24"/>
          <w:szCs w:val="24"/>
        </w:rPr>
        <w:t>.</w:t>
      </w:r>
    </w:p>
    <w:p>
      <w:pPr>
        <w:pStyle w:val="Nivel3"/>
        <w:tabs>
          <w:tab w:val="left" w:pos="993"/>
        </w:tabs>
        <w:spacing w:before="0" w:after="0"/>
        <w:ind w:left="993" w:hanging="504"/>
        <w:rPr>
          <w:rFonts w:ascii="Cambria" w:hAnsi="Cambria" w:cs="Times New Roman"/>
          <w:i/>
          <w:iCs/>
          <w:color w:val="auto"/>
          <w:sz w:val="24"/>
          <w:szCs w:val="24"/>
        </w:rPr>
      </w:pPr>
      <w:r>
        <w:rPr>
          <w:rFonts w:ascii="Cambria" w:hAnsi="Cambria" w:cs="Times New Roman"/>
          <w:color w:val="auto"/>
          <w:sz w:val="24"/>
          <w:szCs w:val="24"/>
        </w:rPr>
        <w:t>A documentação exigida para fins de habilitação jurídica, fiscal, social e trabalhista e econômico-ﬁnanceira, poderá ser substituída pelo registro cadastral no SICAF.</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pPr>
        <w:pStyle w:val="Nivel2"/>
        <w:spacing w:before="0" w:after="0"/>
        <w:rPr>
          <w:rFonts w:ascii="Cambria" w:hAnsi="Cambria" w:cs="Times New Roman"/>
          <w:i/>
          <w:iCs/>
          <w:color w:val="auto"/>
          <w:sz w:val="24"/>
          <w:szCs w:val="24"/>
        </w:rPr>
      </w:pPr>
      <w:r>
        <w:rPr>
          <w:rFonts w:ascii="Cambria" w:hAnsi="Cambria" w:cs="Times New Roman"/>
          <w:color w:val="auto"/>
          <w:sz w:val="24"/>
          <w:szCs w:val="24"/>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Pr>
            <w:rStyle w:val="Hyperlink"/>
            <w:rFonts w:ascii="Cambria" w:hAnsi="Cambria" w:cs="Times New Roman"/>
            <w:color w:val="auto"/>
            <w:sz w:val="24"/>
            <w:szCs w:val="24"/>
          </w:rPr>
          <w:t>Decreto nº 8.660, de 29 de janeiro de 2016</w:t>
        </w:r>
      </w:hyperlink>
      <w:r>
        <w:rPr>
          <w:rFonts w:ascii="Cambria" w:hAnsi="Cambria" w:cs="Times New Roman"/>
          <w:color w:val="auto"/>
          <w:sz w:val="24"/>
          <w:szCs w:val="24"/>
        </w:rPr>
        <w:t>, ou de outro que venha a substituí-lo, ou consularizados pelos respectivos consulados ou embaixadas.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documentos exigidos para fins de habilitação poderão ser apresentados em original ou por cópia.</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5" w:anchor="art63">
        <w:r>
          <w:rPr>
            <w:rStyle w:val="Hyperlink"/>
            <w:rFonts w:ascii="Cambria" w:hAnsi="Cambria" w:cs="Times New Roman"/>
            <w:color w:val="auto"/>
            <w:sz w:val="24"/>
            <w:szCs w:val="24"/>
          </w:rPr>
          <w:t>art. 63, I, da Lei nº 14.133/2021</w:t>
        </w:r>
      </w:hyperlink>
      <w:r>
        <w:rPr>
          <w:rFonts w:ascii="Cambria" w:hAnsi="Cambria" w:cs="Times New Roman"/>
          <w:color w:val="auto"/>
          <w:sz w:val="24"/>
          <w:szCs w:val="24"/>
        </w:rPr>
        <w:t>).</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A habilitação será verificada por meio do Sicaf, nos documentos por ele abrangidos.</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Pr>
            <w:rStyle w:val="Hyperlink"/>
            <w:rFonts w:ascii="Cambria" w:hAnsi="Cambria" w:cs="Times New Roman"/>
            <w:color w:val="auto"/>
            <w:sz w:val="24"/>
            <w:szCs w:val="24"/>
          </w:rPr>
          <w:t>IN nº 3/2018, art. 4º, §1º, e art. 6º, §4º</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Pr>
            <w:rStyle w:val="Hyperlink"/>
            <w:rFonts w:ascii="Cambria" w:hAnsi="Cambria" w:cs="Times New Roman"/>
            <w:color w:val="auto"/>
            <w:sz w:val="24"/>
            <w:szCs w:val="24"/>
          </w:rPr>
          <w:t xml:space="preserve">IN nº 3/2018, art. 7º, </w:t>
        </w:r>
        <w:r>
          <w:rPr>
            <w:rStyle w:val="Hyperlink"/>
            <w:rFonts w:ascii="Cambria" w:hAnsi="Cambria" w:cs="Times New Roman"/>
            <w:i/>
            <w:iCs/>
            <w:color w:val="auto"/>
            <w:sz w:val="24"/>
            <w:szCs w:val="24"/>
          </w:rPr>
          <w:t>caput</w:t>
        </w:r>
      </w:hyperlink>
      <w:r>
        <w:rPr>
          <w:rFonts w:ascii="Cambria" w:hAnsi="Cambria" w:cs="Times New Roman"/>
          <w:color w:val="auto"/>
          <w:sz w:val="24"/>
          <w:szCs w:val="24"/>
        </w:rPr>
        <w:t>).</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A não observância do disposto no item anterior poderá ensejar desclassificação no momento da habilitação. (</w:t>
      </w:r>
      <w:hyperlink r:id="rId38" w:history="1">
        <w:r>
          <w:rPr>
            <w:rStyle w:val="Hyperlink"/>
            <w:rFonts w:ascii="Cambria" w:hAnsi="Cambria" w:cs="Times New Roman"/>
            <w:color w:val="auto"/>
            <w:sz w:val="24"/>
            <w:szCs w:val="24"/>
          </w:rPr>
          <w:t>IN nº 3/2018, art. 7º, parágrafo único</w:t>
        </w:r>
      </w:hyperlink>
      <w:r>
        <w:rPr>
          <w:rFonts w:ascii="Cambria" w:hAnsi="Cambria" w:cs="Times New Roman"/>
          <w:color w:val="auto"/>
          <w:sz w:val="24"/>
          <w:szCs w:val="24"/>
        </w:rPr>
        <w:t>).</w:t>
      </w:r>
    </w:p>
    <w:p>
      <w:pPr>
        <w:pStyle w:val="Nivel2"/>
        <w:spacing w:before="0" w:after="0"/>
        <w:rPr>
          <w:rFonts w:ascii="Cambria" w:hAnsi="Cambria" w:cs="Times New Roman"/>
          <w:i/>
          <w:iCs/>
          <w:color w:val="auto"/>
          <w:sz w:val="24"/>
          <w:szCs w:val="24"/>
        </w:rPr>
      </w:pPr>
      <w:r>
        <w:rPr>
          <w:rFonts w:ascii="Cambria" w:hAnsi="Cambria" w:cs="Times New Roman"/>
          <w:color w:val="auto"/>
          <w:sz w:val="24"/>
          <w:szCs w:val="24"/>
        </w:rPr>
        <w:t>A verificação pelo pregoeiro, em sítios eletrônicos oficiais de órgãos e entidades emissores de certidões constitui meio legal de prova, para fins de habilitação.</w:t>
      </w:r>
    </w:p>
    <w:p>
      <w:pPr>
        <w:pStyle w:val="Nivel3"/>
        <w:spacing w:before="0" w:after="0"/>
        <w:ind w:left="993" w:hanging="504"/>
        <w:rPr>
          <w:rFonts w:ascii="Cambria" w:hAnsi="Cambria" w:cs="Times New Roman"/>
          <w:i/>
          <w:iCs/>
          <w:color w:val="auto"/>
          <w:sz w:val="24"/>
          <w:szCs w:val="24"/>
        </w:rPr>
      </w:pPr>
      <w:r>
        <w:rPr>
          <w:rFonts w:ascii="Cambria" w:hAnsi="Cambria" w:cs="Times New Roman"/>
          <w:color w:val="auto"/>
          <w:sz w:val="24"/>
          <w:szCs w:val="24"/>
        </w:rPr>
        <w:lastRenderedPageBreak/>
        <w:t xml:space="preserve">Os documentos exigidos para habilitação que não estejam contemplados no Sicaf serão enviados por meio do sistema, em formato digital, no prazo de </w:t>
      </w:r>
      <w:r>
        <w:rPr>
          <w:rFonts w:ascii="Cambria" w:hAnsi="Cambria" w:cs="Times New Roman"/>
          <w:b/>
          <w:color w:val="auto"/>
          <w:sz w:val="24"/>
          <w:szCs w:val="24"/>
        </w:rPr>
        <w:t xml:space="preserve">02 (DUAS) </w:t>
      </w:r>
      <w:bookmarkStart w:id="0" w:name="_GoBack"/>
      <w:r>
        <w:rPr>
          <w:rFonts w:ascii="Cambria" w:hAnsi="Cambria" w:cs="Times New Roman"/>
          <w:b/>
          <w:color w:val="auto"/>
          <w:sz w:val="24"/>
          <w:szCs w:val="24"/>
        </w:rPr>
        <w:t>HORAS</w:t>
      </w:r>
      <w:bookmarkEnd w:id="0"/>
      <w:r>
        <w:rPr>
          <w:rFonts w:ascii="Cambria" w:hAnsi="Cambria" w:cs="Times New Roman"/>
          <w:color w:val="auto"/>
          <w:sz w:val="24"/>
          <w:szCs w:val="24"/>
        </w:rPr>
        <w:t>, prorrogável por igual período, contado da solicitação do pregoeiro.</w:t>
      </w:r>
    </w:p>
    <w:p>
      <w:pPr>
        <w:pStyle w:val="Nivel3"/>
        <w:spacing w:before="0" w:after="0"/>
        <w:ind w:left="993" w:hanging="504"/>
        <w:rPr>
          <w:rFonts w:ascii="Cambria" w:hAnsi="Cambria" w:cs="Times New Roman"/>
          <w:i/>
          <w:iCs/>
          <w:color w:val="auto"/>
          <w:sz w:val="24"/>
          <w:szCs w:val="24"/>
        </w:rPr>
      </w:pPr>
      <w:r>
        <w:rPr>
          <w:rFonts w:ascii="Cambria" w:hAnsi="Cambria"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Pr>
            <w:rStyle w:val="Hyperlink"/>
            <w:rFonts w:ascii="Cambria" w:hAnsi="Cambria" w:cs="Times New Roman"/>
            <w:color w:val="auto"/>
            <w:sz w:val="24"/>
            <w:szCs w:val="24"/>
          </w:rPr>
          <w:t xml:space="preserve">§ 1º do art. 36 e no § 1º do art. 39 da </w:t>
        </w:r>
        <w:r>
          <w:rPr>
            <w:rStyle w:val="Hyperlink"/>
            <w:rFonts w:ascii="Cambria" w:hAnsi="Cambria" w:cs="Times New Roman"/>
            <w:i/>
            <w:iCs/>
            <w:color w:val="auto"/>
            <w:sz w:val="24"/>
            <w:szCs w:val="24"/>
          </w:rPr>
          <w:t>Instrução Normativa SEGES nº 73, de 30 de setembro de 2022</w:t>
        </w:r>
        <w:r>
          <w:rPr>
            <w:rStyle w:val="Hyperlink"/>
            <w:rFonts w:ascii="Cambria" w:hAnsi="Cambria" w:cs="Times New Roman"/>
            <w:color w:val="auto"/>
            <w:sz w:val="24"/>
            <w:szCs w:val="24"/>
          </w:rPr>
          <w:t>.</w:t>
        </w:r>
      </w:hyperlink>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 xml:space="preserve">A verificação no Sicaf ou a exigência dos documentos nele não contidos somente será feita em relação ao licitante vencedor. </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Os documentos relativos à regularidade fiscal que constem do Termo de Referência somente serão exigidos, em qualquer caso, em momento posterior ao julgamento das propostas, e apenas do licitante mais bem classificado.</w:t>
      </w:r>
    </w:p>
    <w:p>
      <w:pPr>
        <w:pStyle w:val="Nivel3"/>
        <w:spacing w:before="0" w:after="0"/>
        <w:ind w:left="993" w:hanging="504"/>
        <w:rPr>
          <w:rFonts w:ascii="Cambria" w:hAnsi="Cambria" w:cs="Times New Roman"/>
          <w:color w:val="auto"/>
          <w:sz w:val="24"/>
          <w:szCs w:val="24"/>
        </w:rPr>
      </w:pPr>
      <w:r>
        <w:rPr>
          <w:rFonts w:ascii="Cambria" w:hAnsi="Cambria"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ivel2"/>
        <w:spacing w:before="0" w:after="0"/>
        <w:rPr>
          <w:rFonts w:ascii="Cambria" w:hAnsi="Cambria" w:cs="Times New Roman"/>
          <w:i/>
          <w:color w:val="auto"/>
          <w:sz w:val="24"/>
          <w:szCs w:val="24"/>
        </w:rPr>
      </w:pPr>
      <w:r>
        <w:rPr>
          <w:rFonts w:ascii="Cambria" w:hAnsi="Cambria" w:cs="Times New Roman"/>
          <w:color w:val="auto"/>
          <w:sz w:val="24"/>
          <w:szCs w:val="24"/>
        </w:rPr>
        <w:t>Após a entrega dos documentos para habilitação, não será permitida a substituição ou a apresentação de novos documentos, salvo em sede de diligência, para (</w:t>
      </w:r>
      <w:hyperlink r:id="rId40" w:anchor="art64">
        <w:r>
          <w:rPr>
            <w:rStyle w:val="Hyperlink"/>
            <w:rFonts w:ascii="Cambria" w:hAnsi="Cambria" w:cs="Times New Roman"/>
            <w:color w:val="auto"/>
            <w:sz w:val="24"/>
            <w:szCs w:val="24"/>
          </w:rPr>
          <w:t>Lei 14.133/21, art. 64</w:t>
        </w:r>
      </w:hyperlink>
      <w:r>
        <w:rPr>
          <w:rFonts w:ascii="Cambria" w:hAnsi="Cambria" w:cs="Times New Roman"/>
          <w:color w:val="auto"/>
          <w:sz w:val="24"/>
          <w:szCs w:val="24"/>
        </w:rPr>
        <w:t xml:space="preserve">, e </w:t>
      </w:r>
      <w:hyperlink r:id="rId41">
        <w:r>
          <w:rPr>
            <w:rStyle w:val="Hyperlink"/>
            <w:rFonts w:ascii="Cambria" w:hAnsi="Cambria" w:cs="Times New Roman"/>
            <w:color w:val="auto"/>
            <w:sz w:val="24"/>
            <w:szCs w:val="24"/>
          </w:rPr>
          <w:t>IN 73/2022, art. 39, §4º</w:t>
        </w:r>
      </w:hyperlink>
      <w:r>
        <w:rPr>
          <w:rFonts w:ascii="Cambria" w:hAnsi="Cambria" w:cs="Times New Roman"/>
          <w:color w:val="auto"/>
          <w:sz w:val="24"/>
          <w:szCs w:val="24"/>
        </w:rPr>
        <w:t>):</w:t>
      </w:r>
    </w:p>
    <w:p>
      <w:pPr>
        <w:pStyle w:val="Nivel3"/>
        <w:tabs>
          <w:tab w:val="left" w:pos="993"/>
        </w:tabs>
        <w:spacing w:before="0" w:after="0"/>
        <w:ind w:left="851" w:hanging="504"/>
        <w:rPr>
          <w:rFonts w:ascii="Cambria" w:hAnsi="Cambria" w:cs="Times New Roman"/>
          <w:color w:val="auto"/>
          <w:sz w:val="24"/>
          <w:szCs w:val="24"/>
        </w:rPr>
      </w:pPr>
      <w:r>
        <w:rPr>
          <w:rFonts w:ascii="Cambria" w:hAnsi="Cambria" w:cs="Times New Roman"/>
          <w:color w:val="auto"/>
          <w:sz w:val="24"/>
          <w:szCs w:val="24"/>
        </w:rPr>
        <w:t>complementação de informações acerca dos documentos já apresentados pelos licitantes e desde que necessária para apurar fatos existentes à época da abertura do certame; e</w:t>
      </w:r>
    </w:p>
    <w:p>
      <w:pPr>
        <w:pStyle w:val="Nivel3"/>
        <w:tabs>
          <w:tab w:val="left" w:pos="993"/>
        </w:tabs>
        <w:spacing w:before="0" w:after="0"/>
        <w:ind w:left="851" w:hanging="504"/>
        <w:rPr>
          <w:rFonts w:ascii="Cambria" w:hAnsi="Cambria" w:cs="Times New Roman"/>
          <w:color w:val="auto"/>
          <w:sz w:val="24"/>
          <w:szCs w:val="24"/>
        </w:rPr>
      </w:pPr>
      <w:r>
        <w:rPr>
          <w:rFonts w:ascii="Cambria" w:hAnsi="Cambria" w:cs="Times New Roman"/>
          <w:color w:val="auto"/>
          <w:sz w:val="24"/>
          <w:szCs w:val="24"/>
        </w:rPr>
        <w:t>atualização de documentos cuja validade tenha expirado após a data de recebimento das propostas;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_Ref114663151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7.11.1</w:t>
      </w:r>
      <w:r>
        <w:rPr>
          <w:rFonts w:ascii="Cambria" w:hAnsi="Cambria" w:cs="Times New Roman"/>
          <w:color w:val="auto"/>
          <w:sz w:val="24"/>
          <w:szCs w:val="24"/>
        </w:rPr>
        <w:fldChar w:fldCharType="end"/>
      </w:r>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2" w:anchor="art4">
        <w:r>
          <w:rPr>
            <w:rStyle w:val="Hyperlink"/>
            <w:rFonts w:ascii="Cambria" w:hAnsi="Cambria" w:cs="Times New Roman"/>
            <w:color w:val="auto"/>
            <w:sz w:val="24"/>
            <w:szCs w:val="24"/>
          </w:rPr>
          <w:t>art. 4º do Decreto nº 8.538/2015</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pPr>
        <w:pStyle w:val="Nivel2"/>
        <w:numPr>
          <w:ilvl w:val="0"/>
          <w:numId w:val="0"/>
        </w:numPr>
        <w:spacing w:before="0" w:after="0"/>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DOS RECURSOS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3" w:anchor="art165" w:history="1">
        <w:r>
          <w:rPr>
            <w:rStyle w:val="Hyperlink"/>
            <w:rFonts w:ascii="Cambria" w:hAnsi="Cambria" w:cs="Times New Roman"/>
            <w:color w:val="auto"/>
            <w:sz w:val="24"/>
            <w:szCs w:val="24"/>
          </w:rPr>
          <w:t>art. 165 da Lei nº 14.133, de 2021</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prazo recursal é de 3 (três) dias úteis, contados da data de intimação ou de lavratura da ata.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Quando o recurso apresentado impugnar o julgamento das propostas ou o ato de habilitação ou inabilitação do licitante:</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a intenção de recorrer deverá ser manifestada imediatamente, sob pena de preclusão;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o prazo para a manifestação da intenção de recorrer não será inferior a 10 (dez) minutos.</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o prazo para apresentação das razões recursais será iniciado na data de intimação ou de lavratura da ata de habilitação ou inabilitação;</w:t>
      </w:r>
    </w:p>
    <w:p>
      <w:pPr>
        <w:pStyle w:val="Nivel3"/>
        <w:tabs>
          <w:tab w:val="left" w:pos="993"/>
        </w:tabs>
        <w:spacing w:before="0" w:after="0"/>
        <w:ind w:left="993" w:hanging="504"/>
        <w:rPr>
          <w:rFonts w:ascii="Cambria" w:hAnsi="Cambria" w:cs="Times New Roman"/>
          <w:color w:val="auto"/>
          <w:sz w:val="24"/>
          <w:szCs w:val="24"/>
        </w:rPr>
      </w:pPr>
      <w:r>
        <w:rPr>
          <w:rFonts w:ascii="Cambria" w:hAnsi="Cambria" w:cs="Times New Roman"/>
          <w:color w:val="auto"/>
          <w:sz w:val="24"/>
          <w:szCs w:val="24"/>
        </w:rPr>
        <w:t>na hipótese de adoção da inversão de fases prevista no </w:t>
      </w:r>
      <w:hyperlink r:id="rId44" w:anchor="art17§1" w:history="1">
        <w:r>
          <w:rPr>
            <w:rStyle w:val="Hyperlink"/>
            <w:rFonts w:ascii="Cambria" w:hAnsi="Cambria" w:cs="Times New Roman"/>
            <w:color w:val="auto"/>
            <w:sz w:val="24"/>
            <w:szCs w:val="24"/>
          </w:rPr>
          <w:t>§ 1º do art. 17 da Lei nº 14.133, de 2021</w:t>
        </w:r>
      </w:hyperlink>
      <w:r>
        <w:rPr>
          <w:rFonts w:ascii="Cambria" w:hAnsi="Cambria" w:cs="Times New Roman"/>
          <w:color w:val="auto"/>
          <w:sz w:val="24"/>
          <w:szCs w:val="24"/>
        </w:rPr>
        <w:t>, o prazo para apresentação das razões recursais será iniciado na data de intimação da ata de julgamento.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recursos deverão ser encaminhados em campo próprio do sistema.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Os recursos interpostos fora do prazo não serão conhecidos.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recurso e o pedido de reconsideração terão efeito suspensivo do ato ou da decisão recorrida até que sobrevenha decisão final da autoridade competente.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O acolhimento do recurso invalida tão somente os atos insuscetíveis de aproveitamento.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autos do processo permanecerão com vista franqueada aos interessados.</w:t>
      </w:r>
    </w:p>
    <w:p>
      <w:pPr>
        <w:pStyle w:val="Nivel2"/>
        <w:numPr>
          <w:ilvl w:val="0"/>
          <w:numId w:val="0"/>
        </w:numPr>
        <w:spacing w:before="0" w:after="0"/>
        <w:rPr>
          <w:rFonts w:ascii="Cambria" w:hAnsi="Cambria" w:cs="Times New Roman"/>
          <w:color w:val="auto"/>
          <w:sz w:val="24"/>
          <w:szCs w:val="24"/>
        </w:rPr>
      </w:pPr>
      <w:r>
        <w:rPr>
          <w:rFonts w:ascii="Cambria" w:hAnsi="Cambria" w:cs="Times New Roman"/>
          <w:color w:val="auto"/>
          <w:sz w:val="24"/>
          <w:szCs w:val="24"/>
        </w:rPr>
        <w:t xml:space="preserve"> </w:t>
      </w:r>
    </w:p>
    <w:p>
      <w:pPr>
        <w:pStyle w:val="Nivel01"/>
        <w:spacing w:before="0" w:line="276" w:lineRule="auto"/>
        <w:rPr>
          <w:rFonts w:ascii="Cambria" w:hAnsi="Cambria" w:cs="Times New Roman"/>
          <w:sz w:val="24"/>
          <w:szCs w:val="24"/>
        </w:rPr>
      </w:pPr>
      <w:r>
        <w:rPr>
          <w:rFonts w:ascii="Cambria" w:hAnsi="Cambria" w:cs="Times New Roman"/>
          <w:sz w:val="24"/>
          <w:szCs w:val="24"/>
        </w:rPr>
        <w:lastRenderedPageBreak/>
        <w:t>DAS INFRAÇÕES ADMINISTRATIVAS E SANÇÕES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Comete infração administrativa, nos termos da lei, o licitante que, com dolo ou culpa: </w:t>
      </w:r>
    </w:p>
    <w:p>
      <w:pPr>
        <w:pStyle w:val="Nivel3"/>
        <w:tabs>
          <w:tab w:val="left" w:pos="993"/>
        </w:tabs>
        <w:spacing w:before="0" w:after="0"/>
        <w:ind w:left="851" w:hanging="504"/>
        <w:rPr>
          <w:rFonts w:ascii="Cambria" w:hAnsi="Cambria" w:cs="Times New Roman"/>
          <w:color w:val="auto"/>
          <w:sz w:val="24"/>
          <w:szCs w:val="24"/>
        </w:rPr>
      </w:pPr>
      <w:r>
        <w:rPr>
          <w:rFonts w:ascii="Cambria" w:hAnsi="Cambria" w:cs="Times New Roman"/>
          <w:color w:val="auto"/>
          <w:sz w:val="24"/>
          <w:szCs w:val="24"/>
        </w:rPr>
        <w:t>deixar de entregar a documentação exigida para o certame ou não entregar qualquer documento que tenha sido solicitado pelo/a pregoeiro/a durante o certame;</w:t>
      </w:r>
    </w:p>
    <w:p>
      <w:pPr>
        <w:pStyle w:val="Nivel3"/>
        <w:tabs>
          <w:tab w:val="left" w:pos="993"/>
        </w:tabs>
        <w:spacing w:before="0" w:after="0"/>
        <w:ind w:left="851" w:hanging="504"/>
        <w:rPr>
          <w:rFonts w:ascii="Cambria" w:hAnsi="Cambria" w:cs="Times New Roman"/>
          <w:color w:val="auto"/>
          <w:sz w:val="24"/>
          <w:szCs w:val="24"/>
        </w:rPr>
      </w:pPr>
      <w:r>
        <w:rPr>
          <w:rFonts w:ascii="Cambria" w:hAnsi="Cambria" w:cs="Times New Roman"/>
          <w:color w:val="auto"/>
          <w:sz w:val="24"/>
          <w:szCs w:val="24"/>
        </w:rPr>
        <w:t>Salvo em decorrência de fato superveniente devidamente justificado, não mantiver a proposta em especial quando:</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não enviar a proposta adequada ao último lance ofertado ou após a negociação; </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recusar-se a enviar o detalhamento da proposta quando exigível; </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pedir para ser desclassificado quando encerrada a etapa competitiva; ou </w:t>
      </w:r>
    </w:p>
    <w:p>
      <w:pPr>
        <w:pStyle w:val="Nivel4"/>
        <w:spacing w:before="0" w:after="0"/>
        <w:ind w:left="567"/>
        <w:rPr>
          <w:rFonts w:ascii="Cambria" w:hAnsi="Cambria" w:cs="Times New Roman"/>
          <w:sz w:val="24"/>
          <w:szCs w:val="24"/>
        </w:rPr>
      </w:pPr>
      <w:r>
        <w:rPr>
          <w:rFonts w:ascii="Cambria" w:hAnsi="Cambria" w:cs="Times New Roman"/>
          <w:sz w:val="24"/>
          <w:szCs w:val="24"/>
        </w:rPr>
        <w:t>deixar de apresentar amostra;</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apresentar proposta ou amostra em desacordo com as especificações do edital; </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não celebrar o contrato ou não entregar a documentação exigida para a contratação, quando convocado dentro do prazo de validade de sua proposta;</w:t>
      </w:r>
    </w:p>
    <w:p>
      <w:pPr>
        <w:pStyle w:val="Nivel4"/>
        <w:spacing w:before="0" w:after="0"/>
        <w:ind w:left="567"/>
        <w:rPr>
          <w:rFonts w:ascii="Cambria" w:hAnsi="Cambria" w:cs="Times New Roman"/>
          <w:sz w:val="24"/>
          <w:szCs w:val="24"/>
        </w:rPr>
      </w:pPr>
      <w:r>
        <w:rPr>
          <w:rFonts w:ascii="Cambria" w:hAnsi="Cambria" w:cs="Times New Roman"/>
          <w:sz w:val="24"/>
          <w:szCs w:val="24"/>
        </w:rPr>
        <w:t>recusar-se, sem justificativa, a assinar o contrato ou a ata de registro de preço, ou a aceitar ou retirar o instrumento equivalente no prazo estabelecido pela Administração;</w:t>
      </w:r>
    </w:p>
    <w:p>
      <w:pPr>
        <w:pStyle w:val="Nivel3"/>
        <w:spacing w:before="0" w:after="0"/>
        <w:ind w:left="851" w:hanging="504"/>
        <w:rPr>
          <w:rFonts w:ascii="Cambria" w:hAnsi="Cambria" w:cs="Times New Roman"/>
          <w:color w:val="auto"/>
          <w:sz w:val="24"/>
          <w:szCs w:val="24"/>
        </w:rPr>
      </w:pPr>
      <w:r>
        <w:rPr>
          <w:rFonts w:ascii="Cambria" w:hAnsi="Cambria" w:cs="Times New Roman"/>
          <w:color w:val="auto"/>
          <w:sz w:val="24"/>
          <w:szCs w:val="24"/>
        </w:rPr>
        <w:t>apresentar declaração ou documentação falsa exigida para o certame ou prestar declaração falsa durante a licitação</w:t>
      </w:r>
    </w:p>
    <w:p>
      <w:pPr>
        <w:pStyle w:val="Nivel3"/>
        <w:spacing w:before="0" w:after="0"/>
        <w:ind w:left="851" w:hanging="504"/>
        <w:rPr>
          <w:rFonts w:ascii="Cambria" w:hAnsi="Cambria" w:cs="Times New Roman"/>
          <w:color w:val="auto"/>
          <w:sz w:val="24"/>
          <w:szCs w:val="24"/>
        </w:rPr>
      </w:pPr>
      <w:r>
        <w:rPr>
          <w:rFonts w:ascii="Cambria" w:hAnsi="Cambria" w:cs="Times New Roman"/>
          <w:color w:val="auto"/>
          <w:sz w:val="24"/>
          <w:szCs w:val="24"/>
        </w:rPr>
        <w:t>fraudar a licitação</w:t>
      </w:r>
    </w:p>
    <w:p>
      <w:pPr>
        <w:pStyle w:val="Nivel3"/>
        <w:spacing w:before="0" w:after="0"/>
        <w:ind w:left="851" w:hanging="504"/>
        <w:rPr>
          <w:rFonts w:ascii="Cambria" w:hAnsi="Cambria" w:cs="Times New Roman"/>
          <w:color w:val="auto"/>
          <w:sz w:val="24"/>
          <w:szCs w:val="24"/>
        </w:rPr>
      </w:pPr>
      <w:r>
        <w:rPr>
          <w:rFonts w:ascii="Cambria" w:hAnsi="Cambria" w:cs="Times New Roman"/>
          <w:color w:val="auto"/>
          <w:sz w:val="24"/>
          <w:szCs w:val="24"/>
        </w:rPr>
        <w:t>comportar-se de modo inidôneo ou cometer fraude de qualquer natureza, em especial quando:</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agir em conluio ou em desconformidade com a lei; </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induzir deliberadamente a erro no julgamento; </w:t>
      </w:r>
    </w:p>
    <w:p>
      <w:pPr>
        <w:pStyle w:val="Nivel4"/>
        <w:spacing w:before="0" w:after="0"/>
        <w:ind w:left="567"/>
        <w:rPr>
          <w:rFonts w:ascii="Cambria" w:hAnsi="Cambria" w:cs="Times New Roman"/>
          <w:sz w:val="24"/>
          <w:szCs w:val="24"/>
        </w:rPr>
      </w:pPr>
      <w:r>
        <w:rPr>
          <w:rFonts w:ascii="Cambria" w:hAnsi="Cambria" w:cs="Times New Roman"/>
          <w:sz w:val="24"/>
          <w:szCs w:val="24"/>
        </w:rPr>
        <w:t xml:space="preserve">apresentar amostra falsificada ou deteriorada; </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praticar atos ilícitos com vistas a frustrar os objetivos da licitação</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 xml:space="preserve">praticar ato lesivo previsto no </w:t>
      </w:r>
      <w:hyperlink r:id="rId45" w:anchor="art5" w:history="1">
        <w:r>
          <w:rPr>
            <w:rStyle w:val="Hyperlink"/>
            <w:rFonts w:ascii="Cambria" w:hAnsi="Cambria" w:cs="Times New Roman"/>
            <w:color w:val="auto"/>
            <w:sz w:val="24"/>
            <w:szCs w:val="24"/>
          </w:rPr>
          <w:t>art. 5º da Lei n.º 12.846, de 2013</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Com fulcro na </w:t>
      </w:r>
      <w:hyperlink r:id="rId46" w:history="1">
        <w:r>
          <w:rPr>
            <w:rStyle w:val="Hyperlink"/>
            <w:rFonts w:ascii="Cambria" w:hAnsi="Cambria" w:cs="Times New Roman"/>
            <w:color w:val="auto"/>
            <w:sz w:val="24"/>
            <w:szCs w:val="24"/>
          </w:rPr>
          <w:t>Lei nº 14.133, de 2021</w:t>
        </w:r>
      </w:hyperlink>
      <w:r>
        <w:rPr>
          <w:rFonts w:ascii="Cambria" w:hAnsi="Cambria" w:cs="Times New Roman"/>
          <w:color w:val="auto"/>
          <w:sz w:val="24"/>
          <w:szCs w:val="24"/>
        </w:rPr>
        <w:t xml:space="preserve">, a Administração poderá, garantida a prévia defesa, aplicar aos licitantes e/ou adjudicatários as seguintes sanções, sem prejuízo das responsabilidades civil e criminal: </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 xml:space="preserve">advertência; </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multa;</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impedimento de licitar e contratar e</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Na aplicação das sanções serão considerados:</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lastRenderedPageBreak/>
        <w:t>a natureza e a gravidade da infração cometida.</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as peculiaridades do caso concreto</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as circunstâncias agravantes ou atenuantes</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os danos que dela provierem para a Administração Pública</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a implantação ou o aperfeiçoamento de programa de integridade, conforme normas e orientações dos órgãos de controle.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multa será recolhida em percentual de 0,5% a 30% incidente sobre o valor do contrato licitado, recolhida no prazo máximo de </w:t>
      </w:r>
      <w:r>
        <w:rPr>
          <w:rFonts w:ascii="Cambria" w:hAnsi="Cambria" w:cs="Times New Roman"/>
          <w:b/>
          <w:bCs/>
          <w:color w:val="auto"/>
          <w:sz w:val="24"/>
          <w:szCs w:val="24"/>
        </w:rPr>
        <w:t>30 (trinta) dias</w:t>
      </w:r>
      <w:r>
        <w:rPr>
          <w:rFonts w:ascii="Cambria" w:hAnsi="Cambria" w:cs="Times New Roman"/>
          <w:color w:val="auto"/>
          <w:sz w:val="24"/>
          <w:szCs w:val="24"/>
        </w:rPr>
        <w:t xml:space="preserve"> úteis, a contar da comunicação oficial. </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 xml:space="preserve">Para as infrações previstas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_Ref114668085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9.1.1</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_Ref114668108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9.1.2</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_Ref114668139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9.1.3</w:t>
      </w:r>
      <w:r>
        <w:rPr>
          <w:rFonts w:ascii="Cambria" w:hAnsi="Cambria" w:cs="Times New Roman"/>
          <w:color w:val="auto"/>
          <w:sz w:val="24"/>
          <w:szCs w:val="24"/>
        </w:rPr>
        <w:fldChar w:fldCharType="end"/>
      </w:r>
      <w:r>
        <w:rPr>
          <w:rFonts w:ascii="Cambria" w:hAnsi="Cambria" w:cs="Times New Roman"/>
          <w:color w:val="auto"/>
          <w:sz w:val="24"/>
          <w:szCs w:val="24"/>
        </w:rPr>
        <w:t>, a multa será de 0,5% a 15% do valor do contrato licitado.</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 xml:space="preserve">Para as infrações previstas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9.1.4</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_Ref114668245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9.1.5</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_Ref114668247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9.1.6</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_Ref114668251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9.1.7</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_Ref114668252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9.1.8</w:t>
      </w:r>
      <w:r>
        <w:rPr>
          <w:rFonts w:ascii="Cambria" w:hAnsi="Cambria" w:cs="Times New Roman"/>
          <w:color w:val="auto"/>
          <w:sz w:val="24"/>
          <w:szCs w:val="24"/>
        </w:rPr>
        <w:fldChar w:fldCharType="end"/>
      </w:r>
      <w:r>
        <w:rPr>
          <w:rFonts w:ascii="Cambria" w:hAnsi="Cambria" w:cs="Times New Roman"/>
          <w:color w:val="auto"/>
          <w:sz w:val="24"/>
          <w:szCs w:val="24"/>
        </w:rPr>
        <w:t>, a multa será de 15% a 30% do valor do contrato licitado.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As sanções de advertência, impedimento de licitar e contratar e declaração de inidoneidade para licitar ou contratar poderão ser aplicadas, cumulativamente ou não, à penalidade de multa.</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Na aplicação da sanção de multa será facultada a defesa do interessado no prazo de 15 (quinze) dias úteis, contado da data de sua intimação.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sanção de impedimento de licitar e contratar será aplicada ao responsável em decorrência das infrações administrativas relacionadas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_Ref114668085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9.1.1</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_Ref114668108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9.1.2</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_Ref114668139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9.1.3</w:t>
      </w:r>
      <w:r>
        <w:rPr>
          <w:rFonts w:ascii="Cambria" w:hAnsi="Cambria" w:cs="Times New Roman"/>
          <w:color w:val="auto"/>
          <w:sz w:val="24"/>
          <w:szCs w:val="24"/>
        </w:rPr>
        <w:fldChar w:fldCharType="end"/>
      </w:r>
      <w:r>
        <w:rPr>
          <w:rFonts w:ascii="Cambria" w:hAnsi="Cambria"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Poderá ser aplicada ao responsável a sanção de declaração de inidoneidade para licitar ou contratar, em decorrência da prática das infrações dispostas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9.1.4</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_Ref114668245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9.1.5</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_Ref114668247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9.1.6</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_Ref114668251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9.1.7</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_Ref114668252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9.1.8</w:t>
      </w:r>
      <w:r>
        <w:rPr>
          <w:rFonts w:ascii="Cambria" w:hAnsi="Cambria" w:cs="Times New Roman"/>
          <w:color w:val="auto"/>
          <w:sz w:val="24"/>
          <w:szCs w:val="24"/>
        </w:rPr>
        <w:fldChar w:fldCharType="end"/>
      </w:r>
      <w:r>
        <w:rPr>
          <w:rFonts w:ascii="Cambria" w:hAnsi="Cambria" w:cs="Times New Roman"/>
          <w:color w:val="auto"/>
          <w:sz w:val="24"/>
          <w:szCs w:val="24"/>
        </w:rPr>
        <w:t xml:space="preserve">, bem como pelas infrações administrativas previstas nos itens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_Ref114668085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9.1.1</w:t>
      </w:r>
      <w:r>
        <w:rPr>
          <w:rFonts w:ascii="Cambria" w:hAnsi="Cambria" w:cs="Times New Roman"/>
          <w:color w:val="auto"/>
          <w:sz w:val="24"/>
          <w:szCs w:val="24"/>
        </w:rPr>
        <w:fldChar w:fldCharType="end"/>
      </w:r>
      <w:r>
        <w:rPr>
          <w:rFonts w:ascii="Cambria" w:hAnsi="Cambria" w:cs="Times New Roman"/>
          <w:color w:val="auto"/>
          <w:sz w:val="24"/>
          <w:szCs w:val="24"/>
        </w:rPr>
        <w:t xml:space="preserv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_Ref114668108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9.1.2</w:t>
      </w:r>
      <w:r>
        <w:rPr>
          <w:rFonts w:ascii="Cambria" w:hAnsi="Cambria" w:cs="Times New Roman"/>
          <w:color w:val="auto"/>
          <w:sz w:val="24"/>
          <w:szCs w:val="24"/>
        </w:rPr>
        <w:fldChar w:fldCharType="end"/>
      </w:r>
      <w:r>
        <w:rPr>
          <w:rFonts w:ascii="Cambria" w:hAnsi="Cambria" w:cs="Times New Roman"/>
          <w:color w:val="auto"/>
          <w:sz w:val="24"/>
          <w:szCs w:val="24"/>
        </w:rPr>
        <w:t xml:space="preserve"> e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_Ref114668139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9.1.3</w:t>
      </w:r>
      <w:r>
        <w:rPr>
          <w:rFonts w:ascii="Cambria" w:hAnsi="Cambria" w:cs="Times New Roman"/>
          <w:color w:val="auto"/>
          <w:sz w:val="24"/>
          <w:szCs w:val="24"/>
        </w:rPr>
        <w:fldChar w:fldCharType="end"/>
      </w:r>
      <w:r>
        <w:rPr>
          <w:rFonts w:ascii="Cambria" w:hAnsi="Cambria" w:cs="Times New Roman"/>
          <w:color w:val="auto"/>
          <w:sz w:val="24"/>
          <w:szCs w:val="24"/>
        </w:rPr>
        <w:t xml:space="preserve"> que justifiquem a imposição de penalidade mais grave que a sanção de impedimento de licitar e contratar, cuja duração observará o prazo previsto no </w:t>
      </w:r>
      <w:hyperlink r:id="rId47" w:anchor="art156§5" w:history="1">
        <w:r>
          <w:rPr>
            <w:rStyle w:val="Hyperlink"/>
            <w:rFonts w:ascii="Cambria" w:hAnsi="Cambria" w:cs="Times New Roman"/>
            <w:color w:val="auto"/>
            <w:sz w:val="24"/>
            <w:szCs w:val="24"/>
          </w:rPr>
          <w:t>art. 156, §5º, da Lei n.º 14.133/2021</w:t>
        </w:r>
      </w:hyperlink>
      <w:r>
        <w:rPr>
          <w:rFonts w:ascii="Cambria" w:hAnsi="Cambria" w:cs="Times New Roman"/>
          <w:color w:val="auto"/>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recusa injustificada do adjudicatário em assinar o contrato, ou em aceitar ou retirar o instrumento equivalente no prazo estabelecido pela Administração, descrita no item </w:t>
      </w:r>
      <w:r>
        <w:rPr>
          <w:rFonts w:ascii="Cambria" w:hAnsi="Cambria" w:cs="Times New Roman"/>
          <w:color w:val="auto"/>
          <w:sz w:val="24"/>
          <w:szCs w:val="24"/>
        </w:rPr>
        <w:fldChar w:fldCharType="begin"/>
      </w:r>
      <w:r>
        <w:rPr>
          <w:rFonts w:ascii="Cambria" w:hAnsi="Cambria" w:cs="Times New Roman"/>
          <w:color w:val="auto"/>
          <w:sz w:val="24"/>
          <w:szCs w:val="24"/>
        </w:rPr>
        <w:instrText xml:space="preserve"> REF _Ref114668139 \r \h  \* MERGEFORMAT </w:instrText>
      </w:r>
      <w:r>
        <w:rPr>
          <w:rFonts w:ascii="Cambria" w:hAnsi="Cambria" w:cs="Times New Roman"/>
          <w:color w:val="auto"/>
          <w:sz w:val="24"/>
          <w:szCs w:val="24"/>
        </w:rPr>
      </w:r>
      <w:r>
        <w:rPr>
          <w:rFonts w:ascii="Cambria" w:hAnsi="Cambria" w:cs="Times New Roman"/>
          <w:color w:val="auto"/>
          <w:sz w:val="24"/>
          <w:szCs w:val="24"/>
        </w:rPr>
        <w:fldChar w:fldCharType="separate"/>
      </w:r>
      <w:r>
        <w:rPr>
          <w:rFonts w:ascii="Cambria" w:hAnsi="Cambria" w:cs="Times New Roman"/>
          <w:color w:val="auto"/>
          <w:sz w:val="24"/>
          <w:szCs w:val="24"/>
        </w:rPr>
        <w:t>9.1.3</w:t>
      </w:r>
      <w:r>
        <w:rPr>
          <w:rFonts w:ascii="Cambria" w:hAnsi="Cambria" w:cs="Times New Roman"/>
          <w:color w:val="auto"/>
          <w:sz w:val="24"/>
          <w:szCs w:val="24"/>
        </w:rPr>
        <w:fldChar w:fldCharType="end"/>
      </w:r>
      <w:r>
        <w:rPr>
          <w:rFonts w:ascii="Cambria" w:hAnsi="Cambria"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8" w:history="1">
        <w:r>
          <w:rPr>
            <w:rStyle w:val="Hyperlink"/>
            <w:rFonts w:ascii="Cambria" w:hAnsi="Cambria" w:cs="Times New Roman"/>
            <w:color w:val="auto"/>
            <w:sz w:val="24"/>
            <w:szCs w:val="24"/>
          </w:rPr>
          <w:t>art. 45, §4º da IN SEGES/ME n.º 73, de 2022</w:t>
        </w:r>
      </w:hyperlink>
      <w:r>
        <w:rPr>
          <w:rFonts w:ascii="Cambria" w:hAnsi="Cambria" w:cs="Times New Roman"/>
          <w:color w:val="auto"/>
          <w:sz w:val="24"/>
          <w:szCs w:val="24"/>
        </w:rPr>
        <w:t xml:space="preserve">.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w:t>
      </w:r>
      <w:r>
        <w:rPr>
          <w:rFonts w:ascii="Cambria" w:hAnsi="Cambria" w:cs="Times New Roman"/>
          <w:color w:val="auto"/>
          <w:sz w:val="24"/>
          <w:szCs w:val="24"/>
        </w:rPr>
        <w:lastRenderedPageBreak/>
        <w:t xml:space="preserve">conhecidos e intimará o licitante ou o adjudicatário para, no prazo de 15 (quinze) dias úteis, contado da data de sua intimação, apresentar defesa escrita e especificar as provas que pretenda produzir.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recurso e o pedido de reconsideração terão efeito suspensivo do ato ou da decisão recorrida até que sobrevenha decisão final da autoridade competente.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aplicação das sanções previstas neste edital não exclui, em hipótese alguma, a obrigação de reparação integral dos danos causados.</w:t>
      </w:r>
    </w:p>
    <w:p>
      <w:pPr>
        <w:pStyle w:val="Nivel2"/>
        <w:numPr>
          <w:ilvl w:val="0"/>
          <w:numId w:val="0"/>
        </w:numPr>
        <w:spacing w:before="0" w:after="0"/>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 IMPUGNAÇÃO AO EDITAL E DO PEDIDO DE ESCLARECIMENTO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Qualquer pessoa é parte legítima para impugnar este Edital por irregularidade na aplicação da </w:t>
      </w:r>
      <w:hyperlink r:id="rId49" w:history="1">
        <w:r>
          <w:rPr>
            <w:rStyle w:val="Hyperlink"/>
            <w:rFonts w:ascii="Cambria" w:hAnsi="Cambria" w:cs="Times New Roman"/>
            <w:color w:val="auto"/>
            <w:sz w:val="24"/>
            <w:szCs w:val="24"/>
          </w:rPr>
          <w:t>Lei nº 14.133, de 2021</w:t>
        </w:r>
      </w:hyperlink>
      <w:r>
        <w:rPr>
          <w:rFonts w:ascii="Cambria" w:hAnsi="Cambria" w:cs="Times New Roman"/>
          <w:color w:val="auto"/>
          <w:sz w:val="24"/>
          <w:szCs w:val="24"/>
        </w:rPr>
        <w:t>, devendo protocolar o pedido até 3 (três) dias úteis antes da data da abertura do certame.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 impugnação e o pedido de esclarecimento poderão ser realizados por forma eletrônica, </w:t>
      </w:r>
      <w:r>
        <w:rPr>
          <w:rFonts w:ascii="Cambria" w:hAnsi="Cambria" w:cs="Times New Roman"/>
          <w:iCs/>
          <w:color w:val="auto"/>
          <w:sz w:val="24"/>
          <w:szCs w:val="24"/>
        </w:rPr>
        <w:t>pelo seguinte meio</w:t>
      </w:r>
      <w:r>
        <w:rPr>
          <w:rFonts w:ascii="Cambria" w:hAnsi="Cambria" w:cs="Times New Roman"/>
          <w:color w:val="auto"/>
          <w:sz w:val="24"/>
          <w:szCs w:val="24"/>
        </w:rPr>
        <w:t xml:space="preserve">: </w:t>
      </w:r>
      <w:hyperlink r:id="rId50" w:history="1">
        <w:r>
          <w:rPr>
            <w:rStyle w:val="Hyperlink"/>
            <w:rFonts w:ascii="Cambria" w:hAnsi="Cambria" w:cs="Times New Roman"/>
            <w:sz w:val="24"/>
            <w:szCs w:val="24"/>
          </w:rPr>
          <w:t>licitacao@miraima.ce.gov.br</w:t>
        </w:r>
      </w:hyperlink>
      <w:r>
        <w:rPr>
          <w:rStyle w:val="Hyperlink"/>
          <w:rFonts w:ascii="Cambria" w:hAnsi="Cambria" w:cs="Times New Roman"/>
          <w:sz w:val="24"/>
          <w:szCs w:val="24"/>
        </w:rPr>
        <w:t>.</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As impugnações e pedidos de esclarecimentos não suspendem os prazos previstos no certame.</w:t>
      </w:r>
    </w:p>
    <w:p>
      <w:pPr>
        <w:pStyle w:val="Nivel3"/>
        <w:tabs>
          <w:tab w:val="left" w:pos="851"/>
        </w:tabs>
        <w:spacing w:before="0" w:after="0"/>
        <w:ind w:left="851" w:hanging="504"/>
        <w:rPr>
          <w:rFonts w:ascii="Cambria" w:hAnsi="Cambria" w:cs="Times New Roman"/>
          <w:color w:val="auto"/>
          <w:sz w:val="24"/>
          <w:szCs w:val="24"/>
        </w:rPr>
      </w:pPr>
      <w:r>
        <w:rPr>
          <w:rFonts w:ascii="Cambria" w:hAnsi="Cambria" w:cs="Times New Roman"/>
          <w:color w:val="auto"/>
          <w:sz w:val="24"/>
          <w:szCs w:val="24"/>
        </w:rPr>
        <w:t>A concessão de efeito suspensivo à impugnação é medida excepcional e deverá ser motivada pelo agente de contratação, nos autos do processo de licitação.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Acolhida a impugnação, será definida e publicada nova data para a realização do certame.</w:t>
      </w:r>
    </w:p>
    <w:p>
      <w:pPr>
        <w:pStyle w:val="Nivel2"/>
        <w:numPr>
          <w:ilvl w:val="0"/>
          <w:numId w:val="0"/>
        </w:numPr>
        <w:spacing w:before="0" w:after="0"/>
        <w:rPr>
          <w:rFonts w:ascii="Cambria" w:hAnsi="Cambria" w:cs="Times New Roman"/>
          <w:color w:val="auto"/>
          <w:sz w:val="24"/>
          <w:szCs w:val="24"/>
        </w:rPr>
      </w:pPr>
    </w:p>
    <w:p>
      <w:pPr>
        <w:pStyle w:val="Nivel01"/>
        <w:spacing w:before="0" w:line="276" w:lineRule="auto"/>
        <w:rPr>
          <w:rFonts w:ascii="Cambria" w:hAnsi="Cambria" w:cs="Times New Roman"/>
          <w:sz w:val="24"/>
          <w:szCs w:val="24"/>
        </w:rPr>
      </w:pPr>
      <w:r>
        <w:rPr>
          <w:rFonts w:ascii="Cambria" w:hAnsi="Cambria" w:cs="Times New Roman"/>
          <w:sz w:val="24"/>
          <w:szCs w:val="24"/>
        </w:rPr>
        <w:t>DAS DISPOSIÇÕES GERAIS</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Será divulgada ata da sessão pública no sistema eletrônico.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Não havendo expediente ou ocorrendo qualquer fato superveniente que impeça a realização do certame na data marcada, a sessão será automaticamente transferida </w:t>
      </w:r>
      <w:r>
        <w:rPr>
          <w:rFonts w:ascii="Cambria" w:hAnsi="Cambria" w:cs="Times New Roman"/>
          <w:color w:val="auto"/>
          <w:sz w:val="24"/>
          <w:szCs w:val="24"/>
        </w:rPr>
        <w:lastRenderedPageBreak/>
        <w:t>para o primeiro dia útil subsequente, no mesmo horário anteriormente estabelecido, desde que não haja comunicação em contrário, pelo Pregoeiro.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Todas as referências de tempo no Edital, no aviso e durante a sessão pública observarão o horário de Brasília - DF.</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A homologação do resultado desta licitação não implicará direito à contratação.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Na contagem dos prazos estabelecidos neste Edital e seus Anexos, excluir-se-á o dia do início e incluir-se-á o do vencimento. Só se iniciam e vencem os prazos em dias de expediente na Administração.</w:t>
      </w:r>
    </w:p>
    <w:p>
      <w:pPr>
        <w:pStyle w:val="Nivel2"/>
        <w:spacing w:before="0" w:after="0"/>
        <w:rPr>
          <w:rFonts w:ascii="Cambria" w:hAnsi="Cambria" w:cs="Times New Roman"/>
          <w:color w:val="auto"/>
          <w:sz w:val="24"/>
          <w:szCs w:val="24"/>
        </w:rPr>
      </w:pPr>
      <w:r>
        <w:rPr>
          <w:rFonts w:ascii="Cambria" w:hAnsi="Cambria"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pPr>
        <w:pStyle w:val="Nivel2"/>
        <w:spacing w:before="0" w:after="0"/>
        <w:rPr>
          <w:rFonts w:ascii="Cambria" w:eastAsia="Times New Roman" w:hAnsi="Cambria" w:cs="Times New Roman"/>
          <w:color w:val="auto"/>
          <w:sz w:val="24"/>
          <w:szCs w:val="24"/>
        </w:rPr>
      </w:pPr>
      <w:r>
        <w:rPr>
          <w:rFonts w:ascii="Cambria" w:hAnsi="Cambria" w:cs="Times New Roman"/>
          <w:color w:val="auto"/>
          <w:sz w:val="24"/>
          <w:szCs w:val="24"/>
        </w:rPr>
        <w:t>Em caso de divergência entre disposições deste Edital e de seus anexos ou demais peças que compõem o processo, prevalecerá as deste Edital.</w:t>
      </w:r>
    </w:p>
    <w:p>
      <w:pPr>
        <w:pStyle w:val="Nivel2"/>
        <w:rPr>
          <w:rFonts w:ascii="Cambria" w:eastAsia="Times New Roman" w:hAnsi="Cambria" w:cs="Times New Roman"/>
          <w:color w:val="auto"/>
          <w:sz w:val="24"/>
          <w:szCs w:val="24"/>
        </w:rPr>
      </w:pPr>
      <w:r>
        <w:rPr>
          <w:rFonts w:ascii="Cambria" w:eastAsia="Times New Roman" w:hAnsi="Cambria" w:cs="Times New Roman"/>
          <w:color w:val="auto"/>
          <w:sz w:val="24"/>
          <w:szCs w:val="24"/>
        </w:rPr>
        <w:t>Em caso de divergência entre disposições deste Edital e de seus anexos e o sistema comprasnet, prevalecerá as deste edital.</w:t>
      </w:r>
    </w:p>
    <w:p>
      <w:pPr>
        <w:pStyle w:val="Nivel2"/>
        <w:spacing w:before="0" w:after="0"/>
        <w:rPr>
          <w:rFonts w:ascii="Cambria" w:eastAsia="Times New Roman" w:hAnsi="Cambria" w:cs="Times New Roman"/>
          <w:sz w:val="24"/>
          <w:szCs w:val="24"/>
        </w:rPr>
      </w:pPr>
      <w:r>
        <w:rPr>
          <w:rFonts w:ascii="Cambria" w:hAnsi="Cambria" w:cs="Times New Roman"/>
          <w:sz w:val="24"/>
          <w:szCs w:val="24"/>
        </w:rPr>
        <w:t xml:space="preserve">O Edital e seus anexos estão disponíveis, na íntegra, no Portal Nacional de Contratações Públicas (PNCP), no </w:t>
      </w:r>
      <w:r>
        <w:rPr>
          <w:rStyle w:val="Hyperlink"/>
          <w:rFonts w:ascii="Cambria" w:hAnsi="Cambria" w:cs="Times New Roman"/>
          <w:color w:val="auto"/>
          <w:sz w:val="24"/>
          <w:szCs w:val="24"/>
          <w:u w:val="none"/>
        </w:rPr>
        <w:t>site da Prefeitura Municipal de Miraíma - CE:</w:t>
      </w:r>
      <w:r>
        <w:rPr>
          <w:rStyle w:val="Hyperlink"/>
          <w:rFonts w:ascii="Cambria" w:hAnsi="Cambria" w:cs="Times New Roman"/>
          <w:sz w:val="24"/>
          <w:szCs w:val="24"/>
          <w:u w:val="none"/>
        </w:rPr>
        <w:t xml:space="preserve"> https://www.miraima.ce.gov.br</w:t>
      </w:r>
      <w:r>
        <w:rPr>
          <w:rStyle w:val="Hyperlink"/>
          <w:rFonts w:ascii="Cambria" w:hAnsi="Cambria" w:cs="Times New Roman"/>
          <w:color w:val="auto"/>
          <w:sz w:val="24"/>
          <w:szCs w:val="24"/>
          <w:u w:val="none"/>
        </w:rPr>
        <w:t>, no site do TCE/CE:</w:t>
      </w:r>
      <w:r>
        <w:rPr>
          <w:rStyle w:val="Hyperlink"/>
          <w:rFonts w:ascii="Cambria" w:hAnsi="Cambria" w:cs="Times New Roman"/>
          <w:sz w:val="24"/>
          <w:szCs w:val="24"/>
          <w:u w:val="none"/>
        </w:rPr>
        <w:t xml:space="preserve"> https://licitacoes.tce.ce.gov.br</w:t>
      </w:r>
      <w:r>
        <w:rPr>
          <w:rFonts w:ascii="Cambria" w:hAnsi="Cambria" w:cs="Times New Roman"/>
          <w:sz w:val="24"/>
          <w:szCs w:val="24"/>
        </w:rPr>
        <w:t xml:space="preserve"> e no portal gov.br - </w:t>
      </w:r>
      <w:hyperlink r:id="rId51" w:history="1">
        <w:r>
          <w:rPr>
            <w:rStyle w:val="Hyperlink"/>
            <w:rFonts w:ascii="Cambria" w:hAnsi="Cambria" w:cs="Times New Roman"/>
            <w:sz w:val="24"/>
            <w:szCs w:val="24"/>
            <w:u w:val="none"/>
          </w:rPr>
          <w:t>https://www.gov.br/compras/pt-br/</w:t>
        </w:r>
      </w:hyperlink>
      <w:r>
        <w:rPr>
          <w:rFonts w:ascii="Cambria" w:hAnsi="Cambria" w:cs="Times New Roman"/>
          <w:sz w:val="24"/>
          <w:szCs w:val="24"/>
        </w:rPr>
        <w:t>.</w:t>
      </w:r>
    </w:p>
    <w:p>
      <w:pPr>
        <w:pStyle w:val="Nivel2"/>
        <w:spacing w:before="0" w:after="0"/>
        <w:rPr>
          <w:rFonts w:ascii="Cambria" w:eastAsia="Times New Roman" w:hAnsi="Cambria" w:cs="Times New Roman"/>
          <w:sz w:val="24"/>
          <w:szCs w:val="24"/>
        </w:rPr>
      </w:pPr>
      <w:r>
        <w:rPr>
          <w:rFonts w:ascii="Cambria" w:hAnsi="Cambria" w:cs="Times New Roman"/>
          <w:sz w:val="24"/>
          <w:szCs w:val="24"/>
        </w:rPr>
        <w:t>Integram este Edital, para todos os fins e efeitos, os seguintes anexos:</w:t>
      </w:r>
    </w:p>
    <w:p>
      <w:pPr>
        <w:pStyle w:val="Nivel3"/>
        <w:spacing w:before="0" w:after="0"/>
        <w:ind w:left="284"/>
        <w:rPr>
          <w:rFonts w:ascii="Cambria" w:hAnsi="Cambria" w:cs="Times New Roman"/>
          <w:sz w:val="24"/>
          <w:szCs w:val="24"/>
        </w:rPr>
      </w:pPr>
    </w:p>
    <w:p>
      <w:pPr>
        <w:pStyle w:val="Nivel3"/>
        <w:spacing w:before="0" w:after="0"/>
        <w:ind w:left="284"/>
        <w:rPr>
          <w:rFonts w:ascii="Cambria" w:hAnsi="Cambria" w:cs="Times New Roman"/>
          <w:sz w:val="24"/>
          <w:szCs w:val="24"/>
        </w:rPr>
      </w:pPr>
      <w:r>
        <w:rPr>
          <w:rFonts w:ascii="Cambria" w:hAnsi="Cambria" w:cs="Times New Roman"/>
          <w:sz w:val="24"/>
          <w:szCs w:val="24"/>
        </w:rPr>
        <w:t>ANEXO I - Termo de Referência</w:t>
      </w:r>
    </w:p>
    <w:p>
      <w:pPr>
        <w:pStyle w:val="Nivel4"/>
        <w:spacing w:before="0" w:after="0"/>
        <w:ind w:left="567"/>
        <w:rPr>
          <w:rFonts w:ascii="Cambria" w:hAnsi="Cambria" w:cs="Times New Roman"/>
          <w:sz w:val="24"/>
          <w:szCs w:val="24"/>
        </w:rPr>
      </w:pPr>
      <w:r>
        <w:rPr>
          <w:rFonts w:ascii="Cambria" w:hAnsi="Cambria" w:cs="Times New Roman"/>
          <w:sz w:val="24"/>
          <w:szCs w:val="24"/>
        </w:rPr>
        <w:t>Apêndice do Anexo I – Estudo Técnico Preliminar</w:t>
      </w:r>
    </w:p>
    <w:p>
      <w:pPr>
        <w:pStyle w:val="Nvel3-R"/>
        <w:numPr>
          <w:ilvl w:val="2"/>
          <w:numId w:val="2"/>
        </w:numPr>
        <w:spacing w:before="0" w:after="0"/>
        <w:ind w:left="284" w:firstLine="0"/>
        <w:rPr>
          <w:rFonts w:ascii="Cambria" w:hAnsi="Cambria" w:cs="Times New Roman"/>
          <w:i w:val="0"/>
          <w:color w:val="auto"/>
          <w:sz w:val="24"/>
          <w:szCs w:val="24"/>
        </w:rPr>
      </w:pPr>
      <w:r>
        <w:rPr>
          <w:rFonts w:ascii="Cambria" w:hAnsi="Cambria" w:cs="Times New Roman"/>
          <w:i w:val="0"/>
          <w:color w:val="auto"/>
          <w:sz w:val="24"/>
          <w:szCs w:val="24"/>
        </w:rPr>
        <w:t>ANEXO II – Minuta de Termo de Contrato</w:t>
      </w:r>
    </w:p>
    <w:p>
      <w:pPr>
        <w:spacing w:line="276" w:lineRule="auto"/>
        <w:rPr>
          <w:rFonts w:ascii="Cambria" w:hAnsi="Cambria"/>
          <w:sz w:val="24"/>
          <w:szCs w:val="24"/>
          <w:highlight w:val="cyan"/>
        </w:rPr>
      </w:pPr>
    </w:p>
    <w:p>
      <w:pPr>
        <w:spacing w:line="276" w:lineRule="auto"/>
        <w:jc w:val="center"/>
        <w:rPr>
          <w:rFonts w:ascii="Cambria" w:eastAsia="MS Mincho" w:hAnsi="Cambria"/>
          <w:color w:val="000000"/>
          <w:sz w:val="24"/>
          <w:szCs w:val="24"/>
        </w:rPr>
      </w:pPr>
      <w:r>
        <w:rPr>
          <w:rFonts w:ascii="Cambria" w:eastAsia="MS Mincho" w:hAnsi="Cambria"/>
          <w:color w:val="000000"/>
          <w:sz w:val="24"/>
          <w:szCs w:val="24"/>
        </w:rPr>
        <w:t>Miraíma-CE, 22 de setembro de 2026.</w:t>
      </w:r>
    </w:p>
    <w:p>
      <w:pPr>
        <w:spacing w:line="276" w:lineRule="auto"/>
        <w:jc w:val="center"/>
        <w:rPr>
          <w:rFonts w:ascii="Cambria" w:eastAsia="MS Mincho" w:hAnsi="Cambria"/>
          <w:color w:val="000000"/>
          <w:sz w:val="24"/>
          <w:szCs w:val="24"/>
        </w:rPr>
      </w:pPr>
    </w:p>
    <w:p>
      <w:pPr>
        <w:spacing w:line="276" w:lineRule="auto"/>
        <w:jc w:val="center"/>
        <w:rPr>
          <w:rFonts w:ascii="Cambria" w:eastAsia="MS Mincho" w:hAnsi="Cambria"/>
          <w:color w:val="000000"/>
          <w:sz w:val="24"/>
          <w:szCs w:val="24"/>
        </w:rPr>
      </w:pPr>
    </w:p>
    <w:p>
      <w:pPr>
        <w:spacing w:line="276" w:lineRule="auto"/>
        <w:ind w:firstLine="567"/>
        <w:rPr>
          <w:rFonts w:ascii="Cambria" w:eastAsia="MS Mincho" w:hAnsi="Cambria"/>
          <w:color w:val="000000"/>
          <w:sz w:val="24"/>
          <w:szCs w:val="24"/>
        </w:rPr>
      </w:pPr>
    </w:p>
    <w:p>
      <w:pPr>
        <w:spacing w:line="276" w:lineRule="auto"/>
        <w:jc w:val="center"/>
        <w:rPr>
          <w:rFonts w:ascii="Cambria" w:eastAsia="MS Mincho" w:hAnsi="Cambria"/>
          <w:b/>
          <w:sz w:val="24"/>
          <w:szCs w:val="24"/>
        </w:rPr>
      </w:pPr>
      <w:r>
        <w:rPr>
          <w:rFonts w:ascii="Cambria" w:eastAsia="MS Mincho" w:hAnsi="Cambria"/>
          <w:b/>
          <w:sz w:val="24"/>
          <w:szCs w:val="24"/>
        </w:rPr>
        <w:t>ANTÔNIO ROBSON ALVES DOS SANTOS</w:t>
      </w:r>
    </w:p>
    <w:p>
      <w:pPr>
        <w:spacing w:line="276" w:lineRule="auto"/>
        <w:jc w:val="center"/>
        <w:rPr>
          <w:rFonts w:ascii="Cambria" w:eastAsia="MS Mincho" w:hAnsi="Cambria"/>
          <w:sz w:val="24"/>
          <w:szCs w:val="24"/>
        </w:rPr>
      </w:pPr>
      <w:r>
        <w:rPr>
          <w:rFonts w:ascii="Cambria" w:eastAsia="MS Mincho" w:hAnsi="Cambria"/>
          <w:sz w:val="24"/>
          <w:szCs w:val="24"/>
        </w:rPr>
        <w:t>Pregoeiro do Município de Miraíma-CE</w:t>
      </w:r>
    </w:p>
    <w:p>
      <w:pPr>
        <w:spacing w:line="276" w:lineRule="auto"/>
        <w:jc w:val="center"/>
        <w:rPr>
          <w:rFonts w:ascii="Cambria" w:eastAsia="MS Mincho" w:hAnsi="Cambria"/>
          <w:b/>
          <w:sz w:val="24"/>
          <w:szCs w:val="24"/>
        </w:rPr>
        <w:sectPr>
          <w:headerReference w:type="default" r:id="rId52"/>
          <w:footerReference w:type="even" r:id="rId53"/>
          <w:footerReference w:type="default" r:id="rId54"/>
          <w:pgSz w:w="11906" w:h="16838"/>
          <w:pgMar w:top="2354" w:right="1416" w:bottom="1418" w:left="1560" w:header="568" w:footer="339" w:gutter="0"/>
          <w:cols w:space="708"/>
          <w:docGrid w:linePitch="360"/>
        </w:sectPr>
      </w:pPr>
    </w:p>
    <w:p>
      <w:pPr>
        <w:spacing w:line="276" w:lineRule="auto"/>
        <w:jc w:val="center"/>
        <w:rPr>
          <w:rFonts w:ascii="Cambria" w:eastAsia="MS Mincho" w:hAnsi="Cambria"/>
          <w:b/>
          <w:sz w:val="24"/>
          <w:szCs w:val="24"/>
        </w:rPr>
      </w:pPr>
    </w:p>
    <w:p>
      <w:pPr>
        <w:spacing w:line="276" w:lineRule="auto"/>
        <w:jc w:val="center"/>
        <w:rPr>
          <w:rFonts w:ascii="Cambria" w:hAnsi="Cambria"/>
          <w:b/>
          <w:sz w:val="24"/>
          <w:szCs w:val="24"/>
        </w:rPr>
      </w:pPr>
      <w:r>
        <w:rPr>
          <w:rFonts w:ascii="Cambria" w:eastAsia="MS Mincho" w:hAnsi="Cambria"/>
          <w:b/>
          <w:sz w:val="24"/>
          <w:szCs w:val="24"/>
        </w:rPr>
        <w:t xml:space="preserve">ANEXO 01 - </w:t>
      </w:r>
      <w:r>
        <w:rPr>
          <w:rFonts w:ascii="Cambria" w:hAnsi="Cambria"/>
          <w:b/>
          <w:sz w:val="24"/>
          <w:szCs w:val="24"/>
        </w:rPr>
        <w:t>TERMO DE REFERÊNCIA</w:t>
      </w:r>
    </w:p>
    <w:p>
      <w:pPr>
        <w:spacing w:line="276" w:lineRule="auto"/>
        <w:jc w:val="center"/>
        <w:rPr>
          <w:rFonts w:ascii="Cambria" w:hAnsi="Cambria"/>
          <w:bCs/>
          <w:color w:val="000000"/>
          <w:sz w:val="24"/>
          <w:szCs w:val="24"/>
        </w:rPr>
      </w:pPr>
    </w:p>
    <w:p>
      <w:pPr>
        <w:pStyle w:val="Nivel01"/>
        <w:numPr>
          <w:ilvl w:val="0"/>
          <w:numId w:val="22"/>
        </w:numPr>
        <w:tabs>
          <w:tab w:val="num" w:pos="0"/>
        </w:tabs>
        <w:spacing w:before="0" w:line="276" w:lineRule="auto"/>
        <w:ind w:left="0" w:firstLine="0"/>
        <w:rPr>
          <w:rFonts w:ascii="Cambria" w:eastAsia="Arial" w:hAnsi="Cambria" w:cs="Times New Roman"/>
          <w:sz w:val="24"/>
          <w:szCs w:val="24"/>
        </w:rPr>
      </w:pPr>
      <w:r>
        <w:rPr>
          <w:rFonts w:ascii="Cambria" w:hAnsi="Cambria" w:cs="Times New Roman"/>
          <w:sz w:val="24"/>
          <w:szCs w:val="24"/>
        </w:rPr>
        <w:t>CONDIÇÕES GERAIS DA CONTRATAÇÃO</w:t>
      </w:r>
    </w:p>
    <w:p>
      <w:pPr>
        <w:pStyle w:val="Nivel2"/>
        <w:numPr>
          <w:ilvl w:val="1"/>
          <w:numId w:val="23"/>
        </w:numPr>
        <w:spacing w:before="0" w:after="0"/>
        <w:ind w:left="0" w:firstLine="0"/>
        <w:rPr>
          <w:rFonts w:ascii="Cambria" w:hAnsi="Cambria" w:cs="Times New Roman"/>
          <w:b/>
          <w:bCs/>
          <w:sz w:val="24"/>
          <w:szCs w:val="24"/>
        </w:rPr>
      </w:pPr>
      <w:r>
        <w:rPr>
          <w:rFonts w:ascii="Cambria" w:hAnsi="Cambria" w:cs="Times New Roman"/>
          <w:sz w:val="24"/>
          <w:szCs w:val="24"/>
        </w:rPr>
        <w:t>AQUISIÇÃO DE MATERIAIS PERMANENTES ODONTOLÓGICOS, DESTINADOS AO ATENDIMENTO DAS NECESSIDADES DA SECRETARIA MUNICIPAL DE SAÚDE DO MUNICÍPIO DE MIRAÍMA/CE, nos termos da tabela abaixo, conforme condições e exigências estabelecidas neste instrumento.</w:t>
      </w:r>
    </w:p>
    <w:p>
      <w:pPr>
        <w:pStyle w:val="Nivel2"/>
        <w:numPr>
          <w:ilvl w:val="0"/>
          <w:numId w:val="0"/>
        </w:numPr>
        <w:spacing w:before="0" w:after="0"/>
        <w:rPr>
          <w:rFonts w:ascii="Cambria" w:hAnsi="Cambria" w:cs="Times New Roman"/>
          <w:b/>
          <w:bCs/>
        </w:rPr>
      </w:pPr>
    </w:p>
    <w:tbl>
      <w:tblPr>
        <w:tblW w:w="104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5103"/>
        <w:gridCol w:w="709"/>
        <w:gridCol w:w="992"/>
        <w:gridCol w:w="1418"/>
        <w:gridCol w:w="1464"/>
      </w:tblGrid>
      <w:tr>
        <w:trPr>
          <w:trHeight w:val="355"/>
          <w:jc w:val="center"/>
        </w:trPr>
        <w:tc>
          <w:tcPr>
            <w:tcW w:w="10443" w:type="dxa"/>
            <w:gridSpan w:val="6"/>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rPr>
            </w:pPr>
            <w:r>
              <w:rPr>
                <w:rFonts w:ascii="Cambria" w:eastAsia="Arial" w:hAnsi="Cambria"/>
                <w:b/>
                <w:bCs/>
              </w:rPr>
              <w:t>GRUPO 01</w:t>
            </w:r>
          </w:p>
        </w:tc>
      </w:tr>
      <w:tr>
        <w:trPr>
          <w:trHeight w:val="355"/>
          <w:jc w:val="center"/>
        </w:trPr>
        <w:tc>
          <w:tcPr>
            <w:tcW w:w="757"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ITEM</w:t>
            </w:r>
          </w:p>
        </w:tc>
        <w:tc>
          <w:tcPr>
            <w:tcW w:w="5103"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ESPECIFICAÇÃO</w:t>
            </w:r>
          </w:p>
        </w:tc>
        <w:tc>
          <w:tcPr>
            <w:tcW w:w="709"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UND</w:t>
            </w:r>
          </w:p>
        </w:tc>
        <w:tc>
          <w:tcPr>
            <w:tcW w:w="992"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rPr>
            </w:pPr>
            <w:r>
              <w:rPr>
                <w:rFonts w:ascii="Cambria" w:eastAsia="Arial" w:hAnsi="Cambria"/>
                <w:b/>
                <w:bCs/>
              </w:rPr>
              <w:t>QUANT</w:t>
            </w:r>
          </w:p>
        </w:tc>
        <w:tc>
          <w:tcPr>
            <w:tcW w:w="2882" w:type="dxa"/>
            <w:gridSpan w:val="2"/>
            <w:tcBorders>
              <w:top w:val="single" w:sz="4" w:space="0" w:color="000000"/>
              <w:left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VLR MEDIO</w:t>
            </w:r>
          </w:p>
        </w:tc>
      </w:tr>
      <w:tr>
        <w:trPr>
          <w:trHeight w:val="324"/>
          <w:jc w:val="center"/>
        </w:trPr>
        <w:tc>
          <w:tcPr>
            <w:tcW w:w="757" w:type="dxa"/>
            <w:vMerge/>
            <w:tcBorders>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p>
        </w:tc>
        <w:tc>
          <w:tcPr>
            <w:tcW w:w="5103" w:type="dxa"/>
            <w:vMerge/>
            <w:tcBorders>
              <w:left w:val="single" w:sz="4" w:space="0" w:color="000000"/>
              <w:bottom w:val="single" w:sz="4" w:space="0" w:color="000000"/>
              <w:right w:val="single" w:sz="4" w:space="0" w:color="000000"/>
            </w:tcBorders>
            <w:vAlign w:val="center"/>
            <w:hideMark/>
          </w:tcPr>
          <w:p>
            <w:pPr>
              <w:widowControl w:val="0"/>
              <w:spacing w:line="276" w:lineRule="auto"/>
              <w:jc w:val="center"/>
              <w:rPr>
                <w:rFonts w:ascii="Cambria" w:eastAsia="Arial" w:hAnsi="Cambria"/>
                <w:color w:val="000000"/>
              </w:rPr>
            </w:pPr>
          </w:p>
        </w:tc>
        <w:tc>
          <w:tcPr>
            <w:tcW w:w="709" w:type="dxa"/>
            <w:vMerge/>
            <w:tcBorders>
              <w:left w:val="single" w:sz="4" w:space="0" w:color="000000"/>
              <w:bottom w:val="single" w:sz="4" w:space="0" w:color="000000"/>
              <w:right w:val="single" w:sz="4" w:space="0" w:color="000000"/>
            </w:tcBorders>
            <w:vAlign w:val="center"/>
            <w:hideMark/>
          </w:tcPr>
          <w:p>
            <w:pPr>
              <w:widowControl w:val="0"/>
              <w:spacing w:line="276" w:lineRule="auto"/>
              <w:jc w:val="center"/>
              <w:rPr>
                <w:rFonts w:ascii="Cambria" w:eastAsia="Arial" w:hAnsi="Cambria"/>
                <w:color w:val="000000"/>
              </w:rPr>
            </w:pPr>
          </w:p>
        </w:tc>
        <w:tc>
          <w:tcPr>
            <w:tcW w:w="992" w:type="dxa"/>
            <w:vMerge/>
            <w:tcBorders>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b/>
                <w:bCs/>
              </w:rPr>
            </w:pPr>
          </w:p>
        </w:tc>
        <w:tc>
          <w:tcPr>
            <w:tcW w:w="1418" w:type="dxa"/>
            <w:tcBorders>
              <w:left w:val="single" w:sz="4" w:space="0" w:color="000000"/>
              <w:bottom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UNIT</w:t>
            </w:r>
          </w:p>
        </w:tc>
        <w:tc>
          <w:tcPr>
            <w:tcW w:w="1464" w:type="dxa"/>
            <w:tcBorders>
              <w:left w:val="single" w:sz="4" w:space="0" w:color="000000"/>
              <w:bottom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TOTAL</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1</w:t>
            </w:r>
          </w:p>
        </w:tc>
        <w:tc>
          <w:tcPr>
            <w:tcW w:w="5103"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both"/>
              <w:rPr>
                <w:rFonts w:ascii="Cambria" w:eastAsia="Arial" w:hAnsi="Cambria"/>
                <w:color w:val="000000"/>
              </w:rPr>
            </w:pPr>
            <w:r>
              <w:rPr>
                <w:rFonts w:ascii="Cambria" w:eastAsia="Arial" w:hAnsi="Cambria"/>
                <w:b/>
                <w:bCs/>
                <w:color w:val="000000"/>
              </w:rPr>
              <w:t>CADEIRA ODONTOLÓGICA COMPLETA</w:t>
            </w:r>
            <w:r>
              <w:rPr>
                <w:rFonts w:ascii="Cambria" w:eastAsia="Arial" w:hAnsi="Cambria"/>
                <w:color w:val="000000"/>
              </w:rPr>
              <w:t xml:space="preserve"> O conjunto odontológico deve ser completo, com alimentação 127/220V e certificação NBR IEC 606011 Classe I, Tipo B A cadeira deve possuir estrutura em aço maciço com tratamento anticorrosivo e revestimento em poliestireno, sistema de elevação eletromecânico 24V com capacidade para suportar 200 kg, e pedal de comando IPX1 com três programações e retorno automático a zero O equipamento deve contar com estofamento anatômico, apoio de braço fixo e encosto de cabeça biarticulável com trava mecânica por alavanca O equipo deve ser ambidestro, suportado por braço mecânico com trava pneumática e bandeja em inox removível, e deve possuir capacidade para até cinco terminais, sendo fornecido com seringa tríplice autoclavável, terminal para alta rotação com spray e terminal para micromotor sem spray, todos acionados por pedal progressivo A unidade de água deve ser rebatível em 90°, e deve contar com cuba profunda removível, acionamento do fluxo via sensor de proximidade, suctor de saliva a ar Venturi e reservatório independente de 800 ml O refletor deve possuir tecnologia LED 4500K a 5500K, consumo de 7VA a 9VA e deve contar com modo de segurança contra fotopolimerização precoce de resinas, atendendo à norma ISO 9680:2014</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R$ 27.281,85</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R$ 27.281,85</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2</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color w:val="000000"/>
              </w:rPr>
              <w:t>COMPRESSOR ODONTOLÓGICO ISENTO DE ÓLEO OIL FREE</w:t>
            </w:r>
            <w:r>
              <w:rPr>
                <w:rFonts w:ascii="Cambria" w:eastAsia="Arial" w:hAnsi="Cambria"/>
                <w:color w:val="000000"/>
              </w:rPr>
              <w:t xml:space="preserve"> O compressor odontológico deve ser um equipamento de ar totalmente isento de óleo, montado sobre reservatório vertical fabricado de acordo com a norma NR 13 O equipamento deve possuir 1 motor de 1/2 HP 0,37 kW de 1730 RPM, 4 polos, 1 cilindro e relé de proteção contra sobrecarga do motor O reservatório </w:t>
            </w:r>
            <w:r>
              <w:rPr>
                <w:rFonts w:ascii="Cambria" w:eastAsia="Arial" w:hAnsi="Cambria"/>
                <w:color w:val="000000"/>
              </w:rPr>
              <w:lastRenderedPageBreak/>
              <w:t>deve ser de 29 litros, construído conforme a norma ASME, e deve contar com dreno para líquidos condensados, válvula de segurança que abre em casos de pane do pressostato e tratamento antioxidante, o que garante a produção de ar isento de impurezas e sem risco de contaminações, além de longa vida útil ao tanque O bloco compressor deve ser em ferro fundido O sistema deve contar com manômetro acoplado ao reservatório, válvula de retenção, pressostato automático liga/desliga, filtro de aspiração e registro de saída de ar de 1/4 de polegada, permitindo fechar o fluxo de ar sem esvaziar o tanque A pressão de trabalho deve variar entre a mínima de 80 lbf/pol² 5,5 bar e a máxima de 120 lbf/pol² 8,3 bar O equipamento deve possuir volume de ar deslocado de 12 pés³/min 340 l/min, tempo de carregamento do tanque de 4 minutos e 15 segundos, e tempo de recarregamento de 1 minuto O nível de ruído deve ser de 61 a 65 dBA medido a 1 metro de distância O equipamento deve contar com tensão bivolt 110/220V e dimensões de 440 mm de largura, 690 mm de altura e 440 mm de comprimento Por fim, o fornecedor deve oferecer garantia do fabricante contra defeitos de fabricação de, no mínimo, 36 trinta e seis meses a partir da data de entrega do produto</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R$ 3.871,33</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R$ 3.871,33</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227"/>
              <w:jc w:val="center"/>
              <w:rPr>
                <w:rFonts w:ascii="Cambria" w:eastAsia="Arial" w:hAnsi="Cambria"/>
                <w:b/>
                <w:bCs/>
                <w:color w:val="000000"/>
              </w:rPr>
            </w:pPr>
            <w:r>
              <w:rPr>
                <w:rFonts w:ascii="Cambria" w:eastAsia="Arial" w:hAnsi="Cambria"/>
                <w:b/>
                <w:bCs/>
                <w:color w:val="000000"/>
              </w:rPr>
              <w:lastRenderedPageBreak/>
              <w:t>3</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color w:val="000000"/>
              </w:rPr>
              <w:t>APARELHO DE RAIO X</w:t>
            </w:r>
            <w:r>
              <w:rPr>
                <w:rFonts w:ascii="Cambria" w:eastAsia="Arial" w:hAnsi="Cambria"/>
                <w:color w:val="000000"/>
              </w:rPr>
              <w:t xml:space="preserve"> – ODONTOLÓGICO PORTÁTIL Aparelho de Raio X Odontológico Intraoral Portátil, de alta frequência com tecnologia de corrente contínua DC e potência constante, leve e ergonômico, projetado para exames radiográficos intraorais Deve possuir tensão do tubo com faixa entre 60 kVp e 70 kVp, corrente do tubo com valor mínimo de 2,0 mA a 2,5 mA, ponto focal máximo de 0,4 mm x 0,4 mm e compatibilidade ampla com filmes radiográficos convencionais, sistemas de placas de fósforo e sensores digitais diretos CMOS/CCD O equipamento deve contar com painel de controle digital LCD ou LED intuitivo, com tempos de exposição préprogramados para diferentes grupos dentários e portes de pacientes adulto e infantil, além de permitir o ajuste manual do tempo de disparo Em termos de radioproteção e segurança sanitária, deve apresentar cabeçote blindado contra radiação de fuga, colimador limitador do feixe radiográfico e escudo/anteparo externo de proteção contra radiação retroespalhada para preservação do operador Deve ser alimentado por bateria interna recarregável de Lítio Liion, acompanhado de carregador bivolt automático 100–240 V e cabo de alimentação O design deve ser manual e ergonômico, </w:t>
            </w:r>
            <w:r>
              <w:rPr>
                <w:rFonts w:ascii="Cambria" w:eastAsia="Arial" w:hAnsi="Cambria"/>
                <w:color w:val="000000"/>
              </w:rPr>
              <w:lastRenderedPageBreak/>
              <w:t>com peso total máximo de até 2,5 kg, incluindo a bateria e o escudo protetor O item deve ser fornecido obrigatoriamente acompanhado de alça de apoio ou transporte, disparador remoto sem fio ou por cabo extensor para acionamento à distância e suporte, pedestal ou tripé de descanso apropriado para uso em bancada ou ambiente clínico O fornecedor deve garantir assistência técnica autorizada, suporte local e garantia integral mínima de 12 doze meses contra defeitos de fabricação, apresentando no momento do julgamento ou habilitação a comprovação de registro ativo e válido do equipamento na ANVISA, certificação de conformidade eletromédica INMETRO e manual do usuário em língua portuguesa</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R$ 13.066,00</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R$ 13.066,00</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227"/>
              <w:jc w:val="center"/>
              <w:rPr>
                <w:rFonts w:ascii="Cambria" w:eastAsia="Arial" w:hAnsi="Cambria"/>
                <w:b/>
                <w:bCs/>
                <w:color w:val="000000"/>
              </w:rPr>
            </w:pPr>
            <w:r>
              <w:rPr>
                <w:rFonts w:ascii="Cambria" w:eastAsia="Arial" w:hAnsi="Cambria"/>
                <w:b/>
                <w:bCs/>
                <w:color w:val="000000"/>
              </w:rPr>
              <w:lastRenderedPageBreak/>
              <w:t>4</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SISTEMA DE DIGITALIZAÇÃO DE IMAGENS RADIOGRÁFICAS ODONTOLÓGICAS</w:t>
            </w:r>
            <w:r>
              <w:rPr>
                <w:rFonts w:ascii="Cambria" w:eastAsia="Arial" w:hAnsi="Cambria"/>
              </w:rPr>
              <w:t xml:space="preserve"> Sistema de Digitalização de Imagens Radiográficas Odontológicas Intraorais por meio de Placas de Fósforo Fotoestimuláveis Tecnologia PSP / CR Equipamento compacto de mesa para leitura e escaneamento a laser de placas radiográficas intraorais flexíveis, reutilizáveis e ultrafinas, compatível com a rotina de exames radiográficos periapicais e interproximais Deve possuir resolução espacial adequada para diagnósticos de precisão, nível de profundidade de cinza elevado e ciclo rápido de leitura da imagem Deve apresentar compatibilidade para leitura de placas de fósforo de múltiplos tamanhos intraorais mínimo tamanhos 0, 1 e 2 e sistema automático de apagamento das placas após o escaneamento para imediata reautorização de reuso Interface de comunicação e conectividade Plug Play USB ou Rede para integração com microcomputador/notebook Acompanha conjunto inicial de placas de fósforo flexíveis, capas e envelopes protetores de biossegurança sanitária, além de software proprietário em português com licença aberta ou sem limite de exames/disparos para captura, edição, ajustes de brilho, contraste, medições e exportação de arquivos no padrão DICOM e formatos convencionais de imagem JPEG/PNG Alimentação bivolt automática Garantia mínima de 12 doze meses, suporte e assistência técnica autorizada, com apresentação obrigatória de registro ativo e válido na ANVISA e certificação de conformidade de segurança elétrica INMETRO na fase de habilitação</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R$ 11.296,01</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R$ 11.296,01</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227"/>
              <w:jc w:val="center"/>
              <w:rPr>
                <w:rFonts w:ascii="Cambria" w:eastAsia="Arial" w:hAnsi="Cambria"/>
                <w:b/>
                <w:bCs/>
                <w:color w:val="000000"/>
              </w:rPr>
            </w:pPr>
            <w:r>
              <w:rPr>
                <w:rFonts w:ascii="Cambria" w:eastAsia="Arial" w:hAnsi="Cambria"/>
                <w:b/>
                <w:bCs/>
                <w:color w:val="000000"/>
              </w:rPr>
              <w:t>5</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MICROMOTOR ELÉTRICO COM LOCALIZADOR DE ÁPICE</w:t>
            </w:r>
            <w:r>
              <w:rPr>
                <w:rFonts w:ascii="Cambria" w:eastAsia="Arial" w:hAnsi="Cambria"/>
              </w:rPr>
              <w:t xml:space="preserve"> Motor endodôntico elétrico de bancada ou portátil para tratamento endodôntico, integrado a </w:t>
            </w:r>
            <w:r>
              <w:rPr>
                <w:rFonts w:ascii="Cambria" w:eastAsia="Arial" w:hAnsi="Cambria"/>
              </w:rPr>
              <w:lastRenderedPageBreak/>
              <w:t>localizador apical de alta precisão Equipamento projetado para acionamento de limas automatizadas sistemas rotatórios e reciprocantes, com possibilidade de uso do localizador de ápice de forma simultânea ou independente Deve possuir painel/visor digital de alta resolução LCD ou LED para visualização clara de parâmetros operacionais, velocidade, torque e avanço da lima no canal radicular Apresenta amplitude de velocidade ajustável faixa aproximada de 100 a 1200 RPM e controle de torque programável faixa aproximada de 0,4 a 5,0 Ncm, com biblioteca préconfigurada de marcas/sistemas de limas do mercado e permissão para criação de programas customizados pelo usuário Deve contar com funções de segurança automatizadas, como autoreverse reversão automática do sentido ao atingir o torque limite ou o ápice, autostop e autoset/calibração Acompanha contraângulo endodôntico com cabeça reduzida, autoclavável, compatível com limas do tipo trava/pushbutton, podendo contar com iluminação por LED integrada O kit deve acompanhar obrigatoriamente todos os acessórios operacionais: cabo do localizador apical, clip labial, suporte de lima/suporte de gancho, fonte/carregador de alimentação bivolt automática 100–240 V ou bateria recarregável de Lítio Liion de longa duração Deve ser fornecido com garantia integral mínima de 12 doze meses contra defeitos de fabricação, rede de assistência técnica credenciada, acompanhado de manual do usuário em português, além da comprovação de registro ativo e válido do equipamento na ANVISA e certificado de conformidade eletromédica INMETRO na etapa de habilitação</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R$ 10.510,40</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R$ 10.510,40</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lastRenderedPageBreak/>
              <w:t>6</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MOCHO ERGONÔMICO COM REGULAGEM DE ALTURA PARA USO POR PROFISSIONAIS DE SAÚDE EM CONSULTÓRIO ODONTOLÓGICO</w:t>
            </w:r>
            <w:r>
              <w:rPr>
                <w:rFonts w:ascii="Cambria" w:eastAsia="Arial" w:hAnsi="Cambria"/>
              </w:rPr>
              <w:t xml:space="preserve"> Mocho ergonômico com regulagem de altura para uso por profissionais de saúde em consultório odontológico Assento e encosto ergonômicos, acolchoados com espuma injetada de alta densidade e indeformável, revestidos em material sintético couro ecológico, PVC ou poliuretano, sem costuras aparentes ou dobraduras que dificultem a higienização, permitindo a limpeza e desinfecção com produtos germicidas/hospitalares Encosto anatômico com regulagem de altura e aproximação/inclinac¸a~o em relação ao assento, proporcionando suporte lombar adequado Base de sustentação com cinco hastes pés mecânicos em estrela equipadas com rodízios duplos e giratórios de alta resistência e deslizamento suave </w:t>
            </w:r>
            <w:r>
              <w:rPr>
                <w:rFonts w:ascii="Cambria" w:eastAsia="Arial" w:hAnsi="Cambria"/>
              </w:rPr>
              <w:lastRenderedPageBreak/>
              <w:t>Sistema de elevação e ajuste de altura do assento por meio de coluna a gás pistão a gás, acionado por alavanca de fácil acesso sob o assento Estrutura geral de alta durabilidade, com capacidade de carga para no mínimo 120 kg Garantia integral mínima de 12 doze meses contra defeitos de fabricação e peças de reposição</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R$ 573,04</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R$ 573,04</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227"/>
              <w:jc w:val="center"/>
              <w:rPr>
                <w:rFonts w:ascii="Cambria" w:eastAsia="Arial" w:hAnsi="Cambria"/>
                <w:b/>
                <w:bCs/>
                <w:color w:val="000000"/>
              </w:rPr>
            </w:pPr>
            <w:r>
              <w:rPr>
                <w:rFonts w:ascii="Cambria" w:eastAsia="Arial" w:hAnsi="Cambria"/>
                <w:b/>
                <w:bCs/>
                <w:color w:val="000000"/>
              </w:rPr>
              <w:lastRenderedPageBreak/>
              <w:t>7</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DESTILADOR DE ÁGUA DE BANCADA</w:t>
            </w:r>
            <w:r>
              <w:rPr>
                <w:rFonts w:ascii="Cambria" w:eastAsia="Arial" w:hAnsi="Cambria"/>
              </w:rPr>
              <w:t xml:space="preserve"> Destilador de água de bancada, elétrico, portátil e compacto, projetado para o fornecimento de água purificada por destilação para uso em consultórios odontológicos e equipamentos de esterilização autoclaves Capacidade do reservatório/Cuba interna de fervura de no mínimo 3,8 a 4 litros, confeccionada integralmente em aço inoxidável para evitar contaminação e facilitar a higienização Rendimento de produção aproximado de 1 litro de água destilada por hora, reduzindo a concentração de sólidos totais dissolvidos TDS e microrganismos Deve possuir sistema de desligamento automático de segurança ao finalizar o ciclo de destilação ou no caso de superaquecimento e ausência de água no reservatório Acompanha recipiente/jarra coletora de água destilada em plástico atóxico resistente ou vidro, cabo de energia destacável e conjunto inicial de filtros de carvão ativado para retenção de impurezas voláteis e odores Alimentação elétrica bivolt ou 220V, com baixo consumo de energia Equipamento fornecido com garantia integral mínima de 12 doze meses contra defeitos de fabricação, assistência técnica autorizada, manual do usuário em língua portuguesa e comprovação de conformidade com normas de segurança elétrica vigentes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R$ 2.979,76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R$ 5.959,52</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8</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MESA AUXILIAR ODONTOLÓGICA</w:t>
            </w:r>
            <w:r>
              <w:rPr>
                <w:rFonts w:ascii="Cambria" w:eastAsia="Arial" w:hAnsi="Cambria"/>
              </w:rPr>
              <w:t xml:space="preserve"> Mesa auxiliar móvel tipo carrinho, projetada para apoio de instrumentais e insumos em consultório odontológico. Estrutura tubulada robusta confeccionada em aço inoxidável ou em aço carbono com tratamento anticorrosivo e acabamento em pintura eletrostática a pó tipo epóxi na cor branca. Composta por no mínimo 2 duas prateleiras/tampos planos superior e inferior, confeccionados em chapa de aço inox ou MDF/MDP melamínico de alta densidade revestido, com superfícies lisas, sem rebarbas, de fácil limpeza e resistentes à desinfecção com álcool 70 e germicidas hospitalares. Pés equipados com 4 quatro rodízios giratórios duplos de suave deslizamento, sendo pelo menos 2 dois deles com sistema de freio/trava de segurança acionável pelos pés. Dimensões nominais aproximadas: largura de 0,40 m a 0,50 m, comprimento de 0,60 m a 0,70 m e altura de 0,80 m a 0,85 m. Garantia </w:t>
            </w:r>
            <w:r>
              <w:rPr>
                <w:rFonts w:ascii="Cambria" w:eastAsia="Arial" w:hAnsi="Cambria"/>
              </w:rPr>
              <w:lastRenderedPageBreak/>
              <w:t>integral mínima de 12 doze meses contra defeitos de fabricação e estruturais.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R$ 766,00</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R$ 766,00</w:t>
            </w:r>
          </w:p>
        </w:tc>
      </w:tr>
      <w:tr>
        <w:trPr>
          <w:jc w:val="center"/>
        </w:trPr>
        <w:tc>
          <w:tcPr>
            <w:tcW w:w="10443" w:type="dxa"/>
            <w:gridSpan w:val="6"/>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Valor global: R$ 73.324,15 (Setenta e Três Mil, Trezentos e Vinte e Quatro Reais e Quinze Centavos)</w:t>
            </w:r>
          </w:p>
        </w:tc>
      </w:tr>
    </w:tbl>
    <w:p>
      <w:pPr>
        <w:pStyle w:val="Nivel2"/>
        <w:numPr>
          <w:ilvl w:val="0"/>
          <w:numId w:val="0"/>
        </w:numPr>
        <w:spacing w:before="0" w:after="0"/>
        <w:rPr>
          <w:rFonts w:ascii="Cambria" w:hAnsi="Cambria" w:cs="Times New Roman"/>
          <w:b/>
          <w:bCs/>
          <w:sz w:val="24"/>
          <w:szCs w:val="24"/>
        </w:rPr>
      </w:pPr>
    </w:p>
    <w:tbl>
      <w:tblPr>
        <w:tblW w:w="104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5103"/>
        <w:gridCol w:w="709"/>
        <w:gridCol w:w="992"/>
        <w:gridCol w:w="1418"/>
        <w:gridCol w:w="1464"/>
      </w:tblGrid>
      <w:tr>
        <w:trPr>
          <w:trHeight w:val="355"/>
          <w:jc w:val="center"/>
        </w:trPr>
        <w:tc>
          <w:tcPr>
            <w:tcW w:w="10443" w:type="dxa"/>
            <w:gridSpan w:val="6"/>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rPr>
            </w:pPr>
            <w:r>
              <w:rPr>
                <w:rFonts w:ascii="Cambria" w:eastAsia="Arial" w:hAnsi="Cambria"/>
                <w:b/>
                <w:bCs/>
              </w:rPr>
              <w:t>GRUPO 02</w:t>
            </w:r>
          </w:p>
        </w:tc>
      </w:tr>
      <w:tr>
        <w:trPr>
          <w:trHeight w:val="355"/>
          <w:jc w:val="center"/>
        </w:trPr>
        <w:tc>
          <w:tcPr>
            <w:tcW w:w="757"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ITEM</w:t>
            </w:r>
          </w:p>
        </w:tc>
        <w:tc>
          <w:tcPr>
            <w:tcW w:w="5103"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ESPECIFICAÇÃO</w:t>
            </w:r>
          </w:p>
        </w:tc>
        <w:tc>
          <w:tcPr>
            <w:tcW w:w="709"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r>
              <w:rPr>
                <w:rFonts w:ascii="Cambria" w:eastAsia="Arial" w:hAnsi="Cambria"/>
                <w:b/>
                <w:bCs/>
                <w:color w:val="000000"/>
              </w:rPr>
              <w:t>UND</w:t>
            </w:r>
          </w:p>
        </w:tc>
        <w:tc>
          <w:tcPr>
            <w:tcW w:w="992" w:type="dxa"/>
            <w:vMerge w:val="restart"/>
            <w:tcBorders>
              <w:top w:val="single" w:sz="4" w:space="0" w:color="000000"/>
              <w:left w:val="single" w:sz="4" w:space="0" w:color="000000"/>
              <w:right w:val="single" w:sz="4" w:space="0" w:color="000000"/>
            </w:tcBorders>
            <w:vAlign w:val="center"/>
          </w:tcPr>
          <w:p>
            <w:pPr>
              <w:widowControl w:val="0"/>
              <w:spacing w:line="276" w:lineRule="auto"/>
              <w:jc w:val="center"/>
              <w:rPr>
                <w:rFonts w:ascii="Cambria" w:eastAsia="Arial" w:hAnsi="Cambria"/>
                <w:b/>
                <w:bCs/>
              </w:rPr>
            </w:pPr>
            <w:r>
              <w:rPr>
                <w:rFonts w:ascii="Cambria" w:eastAsia="Arial" w:hAnsi="Cambria"/>
                <w:b/>
                <w:bCs/>
              </w:rPr>
              <w:t>QUANT</w:t>
            </w:r>
          </w:p>
        </w:tc>
        <w:tc>
          <w:tcPr>
            <w:tcW w:w="2882" w:type="dxa"/>
            <w:gridSpan w:val="2"/>
            <w:tcBorders>
              <w:top w:val="single" w:sz="4" w:space="0" w:color="000000"/>
              <w:left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VLR MEDIO</w:t>
            </w:r>
          </w:p>
        </w:tc>
      </w:tr>
      <w:tr>
        <w:trPr>
          <w:trHeight w:val="324"/>
          <w:jc w:val="center"/>
        </w:trPr>
        <w:tc>
          <w:tcPr>
            <w:tcW w:w="757" w:type="dxa"/>
            <w:vMerge/>
            <w:tcBorders>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b/>
                <w:bCs/>
                <w:color w:val="000000"/>
              </w:rPr>
            </w:pPr>
          </w:p>
        </w:tc>
        <w:tc>
          <w:tcPr>
            <w:tcW w:w="5103" w:type="dxa"/>
            <w:vMerge/>
            <w:tcBorders>
              <w:left w:val="single" w:sz="4" w:space="0" w:color="000000"/>
              <w:bottom w:val="single" w:sz="4" w:space="0" w:color="000000"/>
              <w:right w:val="single" w:sz="4" w:space="0" w:color="000000"/>
            </w:tcBorders>
            <w:vAlign w:val="center"/>
            <w:hideMark/>
          </w:tcPr>
          <w:p>
            <w:pPr>
              <w:widowControl w:val="0"/>
              <w:spacing w:line="276" w:lineRule="auto"/>
              <w:jc w:val="center"/>
              <w:rPr>
                <w:rFonts w:ascii="Cambria" w:eastAsia="Arial" w:hAnsi="Cambria"/>
                <w:color w:val="000000"/>
              </w:rPr>
            </w:pPr>
          </w:p>
        </w:tc>
        <w:tc>
          <w:tcPr>
            <w:tcW w:w="709" w:type="dxa"/>
            <w:vMerge/>
            <w:tcBorders>
              <w:left w:val="single" w:sz="4" w:space="0" w:color="000000"/>
              <w:bottom w:val="single" w:sz="4" w:space="0" w:color="000000"/>
              <w:right w:val="single" w:sz="4" w:space="0" w:color="000000"/>
            </w:tcBorders>
            <w:vAlign w:val="center"/>
            <w:hideMark/>
          </w:tcPr>
          <w:p>
            <w:pPr>
              <w:widowControl w:val="0"/>
              <w:spacing w:line="276" w:lineRule="auto"/>
              <w:jc w:val="center"/>
              <w:rPr>
                <w:rFonts w:ascii="Cambria" w:eastAsia="Arial" w:hAnsi="Cambria"/>
                <w:color w:val="000000"/>
              </w:rPr>
            </w:pPr>
          </w:p>
        </w:tc>
        <w:tc>
          <w:tcPr>
            <w:tcW w:w="992" w:type="dxa"/>
            <w:vMerge/>
            <w:tcBorders>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b/>
                <w:bCs/>
              </w:rPr>
            </w:pPr>
          </w:p>
        </w:tc>
        <w:tc>
          <w:tcPr>
            <w:tcW w:w="1418" w:type="dxa"/>
            <w:tcBorders>
              <w:left w:val="single" w:sz="4" w:space="0" w:color="000000"/>
              <w:bottom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UNIT</w:t>
            </w:r>
          </w:p>
        </w:tc>
        <w:tc>
          <w:tcPr>
            <w:tcW w:w="1464" w:type="dxa"/>
            <w:tcBorders>
              <w:left w:val="single" w:sz="4" w:space="0" w:color="000000"/>
              <w:bottom w:val="single" w:sz="4" w:space="0" w:color="000000"/>
              <w:right w:val="single" w:sz="4" w:space="0" w:color="000000"/>
            </w:tcBorders>
          </w:tcPr>
          <w:p>
            <w:pPr>
              <w:widowControl w:val="0"/>
              <w:spacing w:line="276" w:lineRule="auto"/>
              <w:jc w:val="center"/>
              <w:rPr>
                <w:rFonts w:ascii="Cambria" w:eastAsia="Arial" w:hAnsi="Cambria"/>
                <w:b/>
                <w:bCs/>
              </w:rPr>
            </w:pPr>
            <w:r>
              <w:rPr>
                <w:rFonts w:ascii="Cambria" w:eastAsia="Arial" w:hAnsi="Cambria"/>
                <w:b/>
                <w:bCs/>
              </w:rPr>
              <w:t>TOTAL</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227"/>
              <w:jc w:val="center"/>
              <w:rPr>
                <w:rFonts w:ascii="Cambria" w:eastAsia="Arial" w:hAnsi="Cambria"/>
                <w:b/>
                <w:bCs/>
                <w:color w:val="000000"/>
              </w:rPr>
            </w:pPr>
            <w:r>
              <w:rPr>
                <w:rFonts w:ascii="Cambria" w:eastAsia="Arial" w:hAnsi="Cambria"/>
                <w:b/>
                <w:bCs/>
                <w:color w:val="000000"/>
              </w:rPr>
              <w:t>1</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COMPUTADOR PORTÁTIL NOTEBOOK</w:t>
            </w:r>
            <w:r>
              <w:rPr>
                <w:rFonts w:ascii="Cambria" w:eastAsia="Arial" w:hAnsi="Cambria"/>
              </w:rPr>
              <w:t xml:space="preserve"> Computador portátil tipo notebook de alta performance, projetado para uso corporativo, administrativo e clínico Equipado com processador de arquitetura x86 de no mínimo 10 núcleos ou equivalente em desempenho com frequência base/turbo adequada e lançamento recente Memória RAM mínima de 16 GB DDR4 ou DDR5 expansível ou em dualchannel Armazenamento interno por unidade de estado sólido SSD de no mínimo 512 GB com tecnologia NVMe PCIe, garantindo alta velocidade de leitura e gravação Tela integrada de LED/WLED de no mínimo 15,6 polegadas, com resolução nativa Full HD 1920 x 1080 pixels, acabamento antirreflexo e câmera/webcam HD 720p ou superior com microfone integrado Teclado padrão ABNT2 com teclado numérico dedicado integrado e touchpad multitoque Conectividade sem fio integrada por WiFi 6 80211ax e Bluetooth 50 ou superior Interfaces de entrada e saída contendo no mínimo: 02 portas USB TipoA 32, 01 porta USB TipoC, 01 saída de vídeo HDMI, 01 conector combinado para fone de ouvido/microfone P3 e porta para rede local Ethernet RJ45 nativa ou via adaptador incluso Bateria recarregável de íons de lítio com autonomia compatível com o uso diário,</w:t>
            </w:r>
            <w:r>
              <w:rPr>
                <w:rFonts w:ascii="Cambria" w:hAnsi="Cambria"/>
              </w:rPr>
              <w:t xml:space="preserve"> </w:t>
            </w:r>
            <w:r>
              <w:rPr>
                <w:rFonts w:ascii="Cambria" w:eastAsia="Arial" w:hAnsi="Cambria"/>
              </w:rPr>
              <w:t>acompanhada de fonte/carregador de alimentação bivolt automática 100–240 V no padrão de plugues brasileiro Sistema operacional préinstalado em português Brasil em sua versão corporativa/profissional de 64 bits, com licença perpétua e suporte a atualizações oficiais O equipamento deve ser fornecido com garantia integral e assistência técnica do fabricante de no mínimo 12 doze meses, com certificação de conformidade e homologação emitidas pela ANATEL</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R$ 6.933,33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R$ 13.866,66</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2</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IMPRESSORA LASER COMUM</w:t>
            </w:r>
            <w:r>
              <w:rPr>
                <w:rFonts w:ascii="Cambria" w:eastAsia="Arial" w:hAnsi="Cambria"/>
              </w:rPr>
              <w:t xml:space="preserve"> Impressora monocromática de tecnologia eletrofotográfica a laser ou LED, projetada para uso corporativo e administrativo. Velocidade de impressão de no mínimo 28 a 30 páginas por minuto ppm em papel A4, com resolução óptica mínima de 1200 x 1200 dpi. Função de impressão frente e verso automática duplex integrado. Tempo de saída da </w:t>
            </w:r>
            <w:r>
              <w:rPr>
                <w:rFonts w:ascii="Cambria" w:eastAsia="Arial" w:hAnsi="Cambria"/>
              </w:rPr>
              <w:lastRenderedPageBreak/>
              <w:t>primeira página em até 8,5 segundos a partir do modo de espera. Capacidade de entrada de papel para no mínimo 150 a 250 folhas em gaveta/bandeja padrão, suportando gramaturas de 60 a 163 g/m² e tamanhos A4, Carta, Ofício e Envelopes. Conectividade abrangente contendo porta USB 2.0/3.0 de alta velocidade e interface de rede Ethernet RJ-45 rápida para compartilhamento em rede local, além de conectividade sem fio Wi-Fi integrada. Ciclo de trabalho mensal máximo suportado compatível com demandas de escritório mínimo de 15.000 a 20.000 páginas/mês. Acompanha cartucho de toner inicial ou de rendimento padrão, tambor de imagem, cabo de alimentação e cabo USB. Alimentação elétrica 110V/127V ou 220V/Bivolt. Garantia integral e assistência técnica autorizada do fabricante de no mínimo 12 doze meses, com certificação de conformidade e segurança do INMETRO.</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R$ 3.094,27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R$ 6.188,54</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lastRenderedPageBreak/>
              <w:t>3</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MESA DE ESCRITÓRIO</w:t>
            </w:r>
            <w:r>
              <w:rPr>
                <w:rFonts w:ascii="Cambria" w:eastAsia="Arial" w:hAnsi="Cambria"/>
              </w:rPr>
              <w:t xml:space="preserve"> Mesa para escritório de formato retangular, projetada para uso administrativo e corporativo Tampo confeccionado em madeira reconstituída tipo MDP ou MDF de alta densidade, com espessura mínima de 25 mm, revestido em laminado melamínico de baixa pressão BP em ambas as faces, com acabamento e bordas arredondadas ou retas protegidas por fita de PVC termoaplicada com espessura mínima de 2 mm na cor do móvel Dimensões nominais aproximadas do tampo: largura de 1,20 m a 1,40 m, profundidade de 0,60 m a 0,70 m e altura final padronizada de 0,74 m a 0,75 m em relação ao piso Estrutura de sustentação pés e travessas confeccionada em painéis do mesmo material madeira MDP/MDF de 15 mm a 25 mm ou em tubos de aço com tratamento anticorrosivo desengraxamento/fosfatização e pintura eletrostática a pó tipo epóxi, dotada de sapatas niveladoras de altura acopladas à base para compensação de imperfeições do piso O móvel deve apresentar montagem firme, resistente a cargas distributivas de uso diário, com superfícies de fácil limpeza e desinfecção Garantia integral e assistência técnica do fornecedor/fabricante de no mínimo 12 doze meses contra defeitos de fabricação e estruturais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R$ 977,75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R$ 1.955,50</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4</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ARMÁRIO VITRINE</w:t>
            </w:r>
            <w:r>
              <w:rPr>
                <w:rFonts w:ascii="Cambria" w:eastAsia="Arial" w:hAnsi="Cambria"/>
              </w:rPr>
              <w:t xml:space="preserve"> Armário vitrine de piso, confeccionado em chapa de aço de alta qualidade ou em madeira reconstituída tipo MDP/MDF de alta densidade revestida em laminado melamínico BP com tratamento antiferrugem e pintura eletrostática a pó tipo epóxi no caso de estrutura metálica. Estrutura vertical fechada, </w:t>
            </w:r>
            <w:r>
              <w:rPr>
                <w:rFonts w:ascii="Cambria" w:eastAsia="Arial" w:hAnsi="Cambria"/>
              </w:rPr>
              <w:lastRenderedPageBreak/>
              <w:t>dotada de portas superiores ou integrais com visor de vidro cristal transparente de no mínimo 3 mm a 4 mm de espessura, permitindo a visualização dos itens armazenados. Possui fechadura com chave em duplicata para travamento das portas, garantindo o controle de acesso a medicamentos e insumos estéreis. Parte interna composta por no mínimo 3 três a 4 quatro prateleiras distribuídas de forma proporcional, com capacidade para suportar peso distribuído de uso contínuo. Pés de sustentação rígidos com sapatas niveladoras para perfeito alinhamento em relação ao piso ou base elevada que facilite a higienização do ambiente. Superfícies lisas, laváveis e resistentes a desinfetantes de uso hospitalar. Dimensões nominais aproximadas: largura de 0,70 m a 0,90 m, profundidade de 0,40 m a 0,50 m e altura de 1,60 m a 1,80 m. Garantia integral mínima de 12 doze meses contra defeitos de fabricação e estruturais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R$ 1.743,33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R$ 3.486,66</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lastRenderedPageBreak/>
              <w:t>5</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CADEIRA FIXA DE ATENDIMENTO</w:t>
            </w:r>
            <w:r>
              <w:rPr>
                <w:rFonts w:ascii="Cambria" w:eastAsia="Arial" w:hAnsi="Cambria"/>
              </w:rPr>
              <w:t xml:space="preserve"> Cadeira fixa individual tipo aproximação/atendimento, sem braços ou com braços fixos incorporados, projetada para uso de pacientes e acompanhantes em ambiente clínico e administrativo. Estrutura de sustentação tubular contínua tipo S / cantilever ou de 4 quatro pés mecânicos, confeccionada em tubo de aço de alta resistência com tratamento anticorrosivo desengraxamento e fosfatização e acabamento em pintura eletrostática a pó tipo epóxi ou cromada, dotada de ponteiras plásticas antiderrapantes e protetoras de piso nas extremidades das bases. Assento e encosto anatômicos, confeccionados em concha única ou peças independentes de madeira compensada naval ou polipropileno injetado, estofados com espuma flexível de poliuretano injetado de alta densidade e alta resiliência. Revestimento integral em material sintético impermeável couro ecológico, PVC ou poliuretano, sem costuras profundas ou dobraduras que acumulem sujidade, permitindo a limpeza e higienização periódica com álcool 70 e desinfetantes hospitalares. Capacidade de carga para suporte de peso de no mínimo 120 kg. Garantia integral mínima de 12 doze meses contra defeitos de fabricação e falhas estruturais.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02</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 xml:space="preserve">R$ 370,00 </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R$ 740,00</w:t>
            </w:r>
          </w:p>
        </w:tc>
      </w:tr>
      <w:tr>
        <w:trPr>
          <w:jc w:val="center"/>
        </w:trPr>
        <w:tc>
          <w:tcPr>
            <w:tcW w:w="757" w:type="dxa"/>
            <w:tcBorders>
              <w:top w:val="single" w:sz="4" w:space="0" w:color="000000"/>
              <w:left w:val="single" w:sz="4" w:space="0" w:color="000000"/>
              <w:bottom w:val="single" w:sz="4" w:space="0" w:color="000000"/>
              <w:right w:val="single" w:sz="4" w:space="0" w:color="000000"/>
            </w:tcBorders>
            <w:vAlign w:val="center"/>
          </w:tcPr>
          <w:p>
            <w:pPr>
              <w:widowControl w:val="0"/>
              <w:ind w:left="86"/>
              <w:jc w:val="center"/>
              <w:rPr>
                <w:rFonts w:ascii="Cambria" w:eastAsia="Arial" w:hAnsi="Cambria"/>
                <w:b/>
                <w:bCs/>
                <w:color w:val="000000"/>
              </w:rPr>
            </w:pPr>
            <w:r>
              <w:rPr>
                <w:rFonts w:ascii="Cambria" w:eastAsia="Arial" w:hAnsi="Cambria"/>
                <w:b/>
                <w:bCs/>
                <w:color w:val="000000"/>
              </w:rPr>
              <w:t>6</w:t>
            </w:r>
          </w:p>
        </w:tc>
        <w:tc>
          <w:tcPr>
            <w:tcW w:w="5103" w:type="dxa"/>
            <w:tcBorders>
              <w:top w:val="single" w:sz="4" w:space="0" w:color="000000"/>
              <w:left w:val="single" w:sz="4" w:space="0" w:color="000000"/>
              <w:bottom w:val="single" w:sz="4" w:space="0" w:color="000000"/>
              <w:right w:val="single" w:sz="4" w:space="0" w:color="000000"/>
            </w:tcBorders>
            <w:vAlign w:val="center"/>
          </w:tcPr>
          <w:p>
            <w:pPr>
              <w:spacing w:line="276" w:lineRule="auto"/>
              <w:jc w:val="both"/>
              <w:rPr>
                <w:rFonts w:ascii="Cambria" w:eastAsia="Arial" w:hAnsi="Cambria"/>
              </w:rPr>
            </w:pPr>
            <w:r>
              <w:rPr>
                <w:rFonts w:ascii="Cambria" w:eastAsia="Arial" w:hAnsi="Cambria"/>
                <w:b/>
                <w:bCs/>
              </w:rPr>
              <w:t>ARMÁRIO ALTO FECHADO DE DUAS PORTAS</w:t>
            </w:r>
            <w:r>
              <w:rPr>
                <w:rFonts w:ascii="Cambria" w:eastAsia="Arial" w:hAnsi="Cambria"/>
              </w:rPr>
              <w:t xml:space="preserve"> Armário alto tipo corporativo/clínico de duas portas de abrir, projetado para armazenamento seguro de materiais, suprimentos e documentos. Estrutura e corpo confeccionados em chapa de aço de alta qualidade com tratamento antiferrugem desengraxamento/fosfatização </w:t>
            </w:r>
            <w:r>
              <w:rPr>
                <w:rFonts w:ascii="Cambria" w:eastAsia="Arial" w:hAnsi="Cambria"/>
              </w:rPr>
              <w:lastRenderedPageBreak/>
              <w:t>e pintura eletrostática a pó tipo epóxi, ou em painéis de madeira reconstituída tipo MDP/MDF de alta densidade com espessura mínima de 15 mm a 18 mm, revestidos em laminado melamínico de baixa pressão BP em ambas as faces, com bordas protegidas por fita de PVC termoaplicada. Abertura por meio de duas portas bater com dobradiças metálicas de alta durabilidade, dotadas de puxadores ergonômicos e fechadura central com chave em duplicata para controle e restrição de acesso. Parte interna composta por no mínimo 3 três a 4 quatro prateleiras internas sendo ao menos algumas reguláveis em altura, com capacidade de carga distribuída de no mínimo 20 kg a 30 kg por prateleira. Base de sustentação com sapatas niveladoras de altura para compensação de imperfeições do piso. Dimensões nominais aproximadas: largura de 0,80 m a 0,90 m, profundidade de 0,40 m a 0,50 m e altura de 1,60 m a 1,80 m. Garantia integral mínima de 12 doze meses contra defeitos de fabricação e falhas estruturais.</w:t>
            </w:r>
          </w:p>
        </w:tc>
        <w:tc>
          <w:tcPr>
            <w:tcW w:w="709"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UND</w:t>
            </w:r>
          </w:p>
        </w:tc>
        <w:tc>
          <w:tcPr>
            <w:tcW w:w="992"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01</w:t>
            </w:r>
          </w:p>
        </w:tc>
        <w:tc>
          <w:tcPr>
            <w:tcW w:w="1418"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R$ 1.302,33</w:t>
            </w:r>
          </w:p>
        </w:tc>
        <w:tc>
          <w:tcPr>
            <w:tcW w:w="1464" w:type="dxa"/>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t>R$ 1.302,33</w:t>
            </w:r>
          </w:p>
        </w:tc>
      </w:tr>
      <w:tr>
        <w:trPr>
          <w:jc w:val="center"/>
        </w:trPr>
        <w:tc>
          <w:tcPr>
            <w:tcW w:w="10443" w:type="dxa"/>
            <w:gridSpan w:val="6"/>
            <w:tcBorders>
              <w:top w:val="single" w:sz="4" w:space="0" w:color="000000"/>
              <w:left w:val="single" w:sz="4" w:space="0" w:color="000000"/>
              <w:bottom w:val="single" w:sz="4" w:space="0" w:color="000000"/>
              <w:right w:val="single" w:sz="4" w:space="0" w:color="000000"/>
            </w:tcBorders>
            <w:vAlign w:val="center"/>
          </w:tcPr>
          <w:p>
            <w:pPr>
              <w:widowControl w:val="0"/>
              <w:spacing w:line="276" w:lineRule="auto"/>
              <w:jc w:val="center"/>
              <w:rPr>
                <w:rFonts w:ascii="Cambria" w:eastAsia="Arial" w:hAnsi="Cambria"/>
                <w:color w:val="000000"/>
              </w:rPr>
            </w:pPr>
            <w:r>
              <w:rPr>
                <w:rFonts w:ascii="Cambria" w:eastAsia="Arial" w:hAnsi="Cambria"/>
                <w:color w:val="000000"/>
              </w:rPr>
              <w:lastRenderedPageBreak/>
              <w:t>Valor global: R$ 27.539,69 (Vinte e Sete Mil, Quinhentos e Trinta e Nove Reais e Sessenta e Nove Centavos)</w:t>
            </w:r>
          </w:p>
        </w:tc>
      </w:tr>
    </w:tbl>
    <w:p>
      <w:pPr>
        <w:pStyle w:val="Nivel2"/>
        <w:numPr>
          <w:ilvl w:val="0"/>
          <w:numId w:val="0"/>
        </w:numPr>
        <w:spacing w:before="0" w:after="0"/>
        <w:rPr>
          <w:rFonts w:ascii="Cambria" w:hAnsi="Cambria" w:cs="Times New Roman"/>
          <w:b/>
          <w:bCs/>
          <w:sz w:val="24"/>
          <w:szCs w:val="24"/>
        </w:rPr>
      </w:pPr>
    </w:p>
    <w:p>
      <w:pPr>
        <w:pStyle w:val="Nivel2"/>
        <w:numPr>
          <w:ilvl w:val="1"/>
          <w:numId w:val="23"/>
        </w:numPr>
        <w:spacing w:before="0" w:after="0"/>
        <w:ind w:left="0" w:firstLine="0"/>
        <w:rPr>
          <w:rFonts w:ascii="Cambria" w:hAnsi="Cambria" w:cs="Times New Roman"/>
          <w:sz w:val="24"/>
          <w:szCs w:val="24"/>
        </w:rPr>
      </w:pPr>
      <w:r>
        <w:rPr>
          <w:rFonts w:ascii="Cambria" w:hAnsi="Cambria" w:cs="Times New Roman"/>
          <w:sz w:val="24"/>
          <w:szCs w:val="24"/>
        </w:rPr>
        <w:t>Os bens objeto desta contratação são caracterizados como comuns.</w:t>
      </w:r>
    </w:p>
    <w:p>
      <w:pPr>
        <w:pStyle w:val="Nivel2"/>
        <w:numPr>
          <w:ilvl w:val="1"/>
          <w:numId w:val="23"/>
        </w:numPr>
        <w:spacing w:before="0" w:after="0"/>
        <w:ind w:left="0" w:firstLine="0"/>
        <w:rPr>
          <w:rFonts w:ascii="Cambria" w:hAnsi="Cambria" w:cs="Times New Roman"/>
          <w:sz w:val="24"/>
          <w:szCs w:val="24"/>
        </w:rPr>
      </w:pPr>
      <w:r>
        <w:rPr>
          <w:rFonts w:ascii="Cambria" w:hAnsi="Cambria" w:cs="Times New Roman"/>
          <w:sz w:val="24"/>
          <w:szCs w:val="24"/>
        </w:rPr>
        <w:t>O objeto desta contratação não se enquadra como sendo de bem de luxo, conforme Decreto Municipal nº 051/2023, de 27 de Dezembro de 2023.</w:t>
      </w:r>
    </w:p>
    <w:p>
      <w:pPr>
        <w:pStyle w:val="Nvel2-Red"/>
        <w:numPr>
          <w:ilvl w:val="1"/>
          <w:numId w:val="23"/>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O prazo de vigência da contratação é de 12 (doze) meses, contados da data de assinatura do contrato, prorrogável nas formas da lei.</w:t>
      </w:r>
    </w:p>
    <w:p>
      <w:pPr>
        <w:pStyle w:val="Nivel2"/>
        <w:numPr>
          <w:ilvl w:val="1"/>
          <w:numId w:val="23"/>
        </w:numPr>
        <w:spacing w:before="0" w:after="0"/>
        <w:ind w:left="0" w:firstLine="0"/>
        <w:rPr>
          <w:rFonts w:ascii="Cambria" w:hAnsi="Cambria" w:cs="Times New Roman"/>
          <w:sz w:val="24"/>
          <w:szCs w:val="24"/>
        </w:rPr>
      </w:pPr>
      <w:r>
        <w:rPr>
          <w:rFonts w:ascii="Cambria" w:hAnsi="Cambria" w:cs="Times New Roman"/>
          <w:sz w:val="24"/>
          <w:szCs w:val="24"/>
        </w:rPr>
        <w:t>O contrato oferece maior detalhamento das regras que serão aplicadas em relação à vigência da contratação.</w:t>
      </w:r>
    </w:p>
    <w:p>
      <w:pPr>
        <w:pStyle w:val="Nivel2"/>
        <w:numPr>
          <w:ilvl w:val="0"/>
          <w:numId w:val="0"/>
        </w:numPr>
        <w:spacing w:before="0" w:after="0"/>
        <w:ind w:left="999"/>
        <w:rPr>
          <w:rFonts w:ascii="Cambria" w:hAnsi="Cambria" w:cs="Times New Roman"/>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FUNDAMENTAÇÃO E DESCRIÇÃO DA NECESSIDADE DA CONTRATAÇÃO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 Fundamentação da Contratação e de seus quantitativos encontra-se pormenorizada em Tópico específico dos Estudos Técnicos Preliminares, apêndice deste Termo de Referência.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 objeto da contratação está previsto no Plano de Contratações Anual 2026, conforme detalhamento a seguir:</w:t>
      </w:r>
    </w:p>
    <w:p>
      <w:pPr>
        <w:pStyle w:val="Nivel3"/>
        <w:numPr>
          <w:ilvl w:val="0"/>
          <w:numId w:val="8"/>
        </w:numPr>
        <w:spacing w:before="0" w:after="0"/>
        <w:ind w:left="1276"/>
        <w:rPr>
          <w:rFonts w:ascii="Cambria" w:hAnsi="Cambria" w:cs="Times New Roman"/>
          <w:sz w:val="24"/>
          <w:szCs w:val="24"/>
        </w:rPr>
      </w:pPr>
      <w:r>
        <w:rPr>
          <w:rFonts w:ascii="Cambria" w:hAnsi="Cambria" w:cs="Times New Roman"/>
          <w:sz w:val="24"/>
          <w:szCs w:val="24"/>
        </w:rPr>
        <w:t>ID PCA no PNCP: 10517563000105-0-000001/2026;</w:t>
      </w:r>
    </w:p>
    <w:p>
      <w:pPr>
        <w:pStyle w:val="Nivel3"/>
        <w:numPr>
          <w:ilvl w:val="0"/>
          <w:numId w:val="8"/>
        </w:numPr>
        <w:spacing w:before="0" w:after="0"/>
        <w:ind w:left="1287"/>
        <w:rPr>
          <w:rFonts w:ascii="Cambria" w:hAnsi="Cambria" w:cs="Times New Roman"/>
          <w:sz w:val="24"/>
          <w:szCs w:val="24"/>
        </w:rPr>
      </w:pPr>
      <w:r>
        <w:rPr>
          <w:rFonts w:ascii="Cambria" w:hAnsi="Cambria" w:cs="Times New Roman"/>
          <w:sz w:val="24"/>
          <w:szCs w:val="24"/>
        </w:rPr>
        <w:t>Data de publicação no PNCP: 30/09/2026;</w:t>
      </w:r>
    </w:p>
    <w:p>
      <w:pPr>
        <w:pStyle w:val="Nivel3"/>
        <w:numPr>
          <w:ilvl w:val="0"/>
          <w:numId w:val="8"/>
        </w:numPr>
        <w:spacing w:before="0" w:after="0"/>
        <w:ind w:left="1287"/>
        <w:rPr>
          <w:rFonts w:ascii="Cambria" w:hAnsi="Cambria" w:cs="Times New Roman"/>
          <w:i/>
          <w:sz w:val="24"/>
          <w:szCs w:val="24"/>
        </w:rPr>
      </w:pPr>
      <w:r>
        <w:rPr>
          <w:rFonts w:ascii="Cambria" w:hAnsi="Cambria" w:cs="Times New Roman"/>
          <w:sz w:val="24"/>
          <w:szCs w:val="24"/>
        </w:rPr>
        <w:t>Id do item no PCA: 725;</w:t>
      </w:r>
    </w:p>
    <w:p>
      <w:pPr>
        <w:pStyle w:val="Nivel3"/>
        <w:numPr>
          <w:ilvl w:val="0"/>
          <w:numId w:val="0"/>
        </w:numPr>
        <w:spacing w:before="0" w:after="0"/>
        <w:ind w:left="1287"/>
        <w:rPr>
          <w:rFonts w:ascii="Cambria" w:hAnsi="Cambria" w:cs="Times New Roman"/>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lastRenderedPageBreak/>
        <w:t>DESCRIÇÃO DA SOLUÇÃO COMO UM TODO CONSIDERADO O CICLO DE VIDA DO OBJETO E ESPECIFICAÇÃO DO PRODUTO</w:t>
      </w:r>
    </w:p>
    <w:p>
      <w:pPr>
        <w:pStyle w:val="Nvel2-Red"/>
        <w:numPr>
          <w:ilvl w:val="1"/>
          <w:numId w:val="23"/>
        </w:numPr>
        <w:spacing w:before="0" w:after="0"/>
        <w:ind w:left="999"/>
        <w:rPr>
          <w:rFonts w:ascii="Cambria" w:hAnsi="Cambria" w:cs="Times New Roman"/>
          <w:i w:val="0"/>
          <w:color w:val="auto"/>
          <w:sz w:val="24"/>
          <w:szCs w:val="24"/>
        </w:rPr>
      </w:pPr>
      <w:r>
        <w:rPr>
          <w:rFonts w:ascii="Cambria" w:hAnsi="Cambria" w:cs="Times New Roman"/>
          <w:i w:val="0"/>
          <w:color w:val="auto"/>
          <w:sz w:val="24"/>
          <w:szCs w:val="24"/>
        </w:rPr>
        <w:t>A descrição da solução como um todo encontra-se pormenorizada em tópico específico dos Estudos Técnicos Preliminares, apêndice deste Termo de Referência.</w:t>
      </w:r>
    </w:p>
    <w:p>
      <w:pPr>
        <w:pStyle w:val="Nvel2-Red"/>
        <w:numPr>
          <w:ilvl w:val="0"/>
          <w:numId w:val="0"/>
        </w:numPr>
        <w:spacing w:before="0" w:after="0"/>
        <w:ind w:left="999"/>
        <w:rPr>
          <w:rFonts w:ascii="Cambria" w:hAnsi="Cambria" w:cs="Times New Roman"/>
          <w:i w:val="0"/>
          <w:color w:val="auto"/>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REQUISITOS DA CONTRATAÇÃO</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Subcontratação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Não é admitida a subcontratação do objeto contratual.</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Garantia da contratação</w:t>
      </w:r>
    </w:p>
    <w:p>
      <w:pPr>
        <w:pStyle w:val="Nvel2-Red"/>
        <w:numPr>
          <w:ilvl w:val="1"/>
          <w:numId w:val="23"/>
        </w:numPr>
        <w:spacing w:before="0" w:after="0"/>
        <w:ind w:left="999"/>
        <w:rPr>
          <w:rFonts w:ascii="Cambria" w:hAnsi="Cambria" w:cs="Times New Roman"/>
          <w:i w:val="0"/>
          <w:color w:val="auto"/>
          <w:sz w:val="24"/>
          <w:szCs w:val="24"/>
        </w:rPr>
      </w:pPr>
      <w:r>
        <w:rPr>
          <w:rFonts w:ascii="Cambria" w:hAnsi="Cambria" w:cs="Times New Roman"/>
          <w:i w:val="0"/>
          <w:color w:val="auto"/>
          <w:sz w:val="24"/>
          <w:szCs w:val="24"/>
        </w:rPr>
        <w:t>Não haverá exigência da garantia da contratação.</w:t>
      </w:r>
    </w:p>
    <w:p>
      <w:pPr>
        <w:pStyle w:val="Nvel2-Red"/>
        <w:numPr>
          <w:ilvl w:val="0"/>
          <w:numId w:val="0"/>
        </w:numPr>
        <w:spacing w:before="0" w:after="0"/>
        <w:ind w:left="999"/>
        <w:rPr>
          <w:rFonts w:ascii="Cambria" w:hAnsi="Cambria" w:cs="Times New Roman"/>
          <w:i w:val="0"/>
          <w:color w:val="auto"/>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MODELO DE EXECUÇÃO DO OBJETO</w:t>
      </w:r>
    </w:p>
    <w:p>
      <w:pPr>
        <w:pStyle w:val="Nvel1-SemNum"/>
        <w:spacing w:before="0" w:after="0"/>
        <w:rPr>
          <w:rFonts w:ascii="Cambria" w:hAnsi="Cambria" w:cs="Times New Roman"/>
          <w:color w:val="auto"/>
          <w:sz w:val="24"/>
          <w:szCs w:val="24"/>
        </w:rPr>
      </w:pPr>
      <w:r>
        <w:rPr>
          <w:rFonts w:ascii="Cambria" w:hAnsi="Cambria" w:cs="Times New Roman"/>
          <w:color w:val="auto"/>
          <w:sz w:val="24"/>
          <w:szCs w:val="24"/>
        </w:rPr>
        <w:t>Condições de Entrega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O prazo de entrega dos bens é de 15 (quinze) dias, contados do recebimento da ordem de fornecimento, de forma parcelada, </w:t>
      </w:r>
      <w:r>
        <w:rPr>
          <w:rFonts w:ascii="Cambria" w:hAnsi="Cambria" w:cs="Times New Roman"/>
          <w:iCs/>
          <w:sz w:val="24"/>
          <w:szCs w:val="24"/>
        </w:rPr>
        <w:t>em conformidade com as quantidades descriminadas na Ordem de Fornecimento</w:t>
      </w:r>
      <w:r>
        <w:rPr>
          <w:rFonts w:ascii="Cambria" w:hAnsi="Cambria" w:cs="Times New Roman"/>
          <w:sz w:val="24"/>
          <w:szCs w:val="24"/>
        </w:rPr>
        <w:t xml:space="preserve">. </w:t>
      </w:r>
    </w:p>
    <w:p>
      <w:pPr>
        <w:pStyle w:val="Nvel2-Red"/>
        <w:numPr>
          <w:ilvl w:val="1"/>
          <w:numId w:val="23"/>
        </w:numPr>
        <w:spacing w:before="0" w:after="0"/>
        <w:ind w:left="999"/>
        <w:rPr>
          <w:rFonts w:ascii="Cambria" w:hAnsi="Cambria" w:cs="Times New Roman"/>
          <w:i w:val="0"/>
          <w:color w:val="auto"/>
          <w:sz w:val="24"/>
          <w:szCs w:val="24"/>
        </w:rPr>
      </w:pPr>
      <w:r>
        <w:rPr>
          <w:rFonts w:ascii="Cambria" w:hAnsi="Cambria" w:cs="Times New Roman"/>
          <w:i w:val="0"/>
          <w:color w:val="auto"/>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Os bens deverão ser entregues nos endereços estipulados pela secretaria.</w:t>
      </w:r>
    </w:p>
    <w:p>
      <w:pPr>
        <w:pStyle w:val="Nivel2"/>
        <w:numPr>
          <w:ilvl w:val="0"/>
          <w:numId w:val="0"/>
        </w:numPr>
        <w:spacing w:before="0" w:after="0"/>
        <w:ind w:left="999"/>
        <w:rPr>
          <w:rFonts w:ascii="Cambria" w:hAnsi="Cambria" w:cs="Times New Roman"/>
          <w:sz w:val="24"/>
          <w:szCs w:val="24"/>
        </w:rPr>
      </w:pPr>
      <w:r>
        <w:rPr>
          <w:rFonts w:ascii="Cambria" w:hAnsi="Cambria" w:cs="Times New Roman"/>
          <w:sz w:val="24"/>
          <w:szCs w:val="24"/>
        </w:rPr>
        <w:t xml:space="preserve"> </w:t>
      </w: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MODELO DE GESTÃO DO CONTRATO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 contrato deverá ser executado fielmente pelas partes, de acordo com as cláusulas avençadas e as normas da Lei nº 14.133, de 2021, e cada parte responderá pelas consequências de sua inexecução total ou parcial.</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Em caso de impedimento, ordem de paralisação ou suspensão do contrato, o cronograma de execução será prorrogado automaticamente pelo tempo correspondente, anotadas tais circunstâncias mediante simples apostila.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As comunicações entre o órgão ou entidade e a contratada devem ser realizadas por escrito sempre que o ato exigir tal formalidade, admitindo-se o uso de mensagem eletrônica para esse fim.</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 órgão ou entidade poderá convocar representante da empresa para adoção de providências que devam ser cumpridas de imediato.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 Após a assinatura do contrato ou instrumento equivalente</w:t>
      </w:r>
      <w:r>
        <w:rPr>
          <w:rFonts w:ascii="Cambria" w:hAnsi="Cambria" w:cs="Times New Roman"/>
          <w:strike/>
          <w:sz w:val="24"/>
          <w:szCs w:val="24"/>
        </w:rPr>
        <w:t>,</w:t>
      </w:r>
      <w:r>
        <w:rPr>
          <w:rFonts w:ascii="Cambria" w:hAnsi="Cambria" w:cs="Times New Roman"/>
          <w:sz w:val="24"/>
          <w:szCs w:val="24"/>
        </w:rPr>
        <w:t xml:space="preserve"> o órgão ou entidade poderá convocar o representante da empresa contratada para reunião inicial para apresentação do plano de fiscalização, que conterá </w:t>
      </w:r>
      <w:r>
        <w:rPr>
          <w:rFonts w:ascii="Cambria" w:hAnsi="Cambria" w:cs="Times New Roman"/>
          <w:sz w:val="24"/>
          <w:szCs w:val="24"/>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numPr>
          <w:ilvl w:val="0"/>
          <w:numId w:val="0"/>
        </w:numPr>
        <w:spacing w:before="0" w:after="0"/>
        <w:rPr>
          <w:rFonts w:ascii="Cambria" w:hAnsi="Cambria" w:cs="Times New Roman"/>
          <w:b/>
          <w:sz w:val="24"/>
          <w:szCs w:val="24"/>
        </w:rPr>
      </w:pPr>
      <w:r>
        <w:rPr>
          <w:rFonts w:ascii="Cambria" w:hAnsi="Cambria" w:cs="Times New Roman"/>
          <w:b/>
          <w:sz w:val="24"/>
          <w:szCs w:val="24"/>
        </w:rPr>
        <w:t>Fiscalização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 execução do contrato deverá ser acompanhada e fiscalizada pelo(s) fiscal(is) do contrato, ou pelos respectivos substitutos (</w:t>
      </w:r>
      <w:hyperlink r:id="rId55" w:anchor="art117">
        <w:r>
          <w:rPr>
            <w:rStyle w:val="Hyperlink"/>
            <w:rFonts w:ascii="Cambria" w:hAnsi="Cambria" w:cs="Times New Roman"/>
            <w:sz w:val="24"/>
            <w:szCs w:val="24"/>
          </w:rPr>
          <w:t>Lei nº 14.133, de 2021, art. 117, caput</w:t>
        </w:r>
      </w:hyperlink>
      <w:r>
        <w:rPr>
          <w:rFonts w:ascii="Cambria" w:hAnsi="Cambria" w:cs="Times New Roman"/>
          <w:sz w:val="24"/>
          <w:szCs w:val="24"/>
        </w:rPr>
        <w:t>).</w:t>
      </w:r>
    </w:p>
    <w:p>
      <w:pPr>
        <w:pStyle w:val="Nivel2"/>
        <w:numPr>
          <w:ilvl w:val="0"/>
          <w:numId w:val="0"/>
        </w:numPr>
        <w:spacing w:before="0" w:after="0"/>
        <w:ind w:left="999"/>
        <w:rPr>
          <w:rFonts w:ascii="Cambria" w:hAnsi="Cambria" w:cs="Times New Roman"/>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CRITÉRIOS DE MEDIÇÃO E DE PAGAMENTO</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Recebimento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Os bens serão recebidos provisoriamente, de forma sumária, no ato da entrega, juntamente com a </w:t>
      </w:r>
      <w:r>
        <w:rPr>
          <w:rFonts w:ascii="Cambria" w:eastAsia="Calibri" w:hAnsi="Cambria" w:cs="Times New Roman"/>
          <w:sz w:val="24"/>
          <w:szCs w:val="24"/>
          <w:lang w:eastAsia="en-US"/>
        </w:rPr>
        <w:t>nota</w:t>
      </w:r>
      <w:r>
        <w:rPr>
          <w:rFonts w:ascii="Cambria" w:hAnsi="Cambria"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Cambria" w:hAnsi="Cambria" w:cs="Times New Roman"/>
          <w:color w:val="FF0000"/>
          <w:sz w:val="24"/>
          <w:szCs w:val="24"/>
          <w:lang w:eastAsia="en-US"/>
        </w:rPr>
        <w:t xml:space="preserve"> </w:t>
      </w:r>
      <w:r>
        <w:rPr>
          <w:rFonts w:ascii="Cambria" w:hAnsi="Cambria" w:cs="Times New Roman"/>
          <w:sz w:val="24"/>
          <w:szCs w:val="24"/>
          <w:lang w:eastAsia="en-US"/>
        </w:rPr>
        <w:t>e na proposta.</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Para as contratações decorrentes de despesas cujos valores não ultrapassem o limite de que trata o </w:t>
      </w:r>
      <w:hyperlink r:id="rId56" w:anchor="art75">
        <w:r>
          <w:rPr>
            <w:rStyle w:val="Hyperlink"/>
            <w:rFonts w:ascii="Cambria" w:hAnsi="Cambria" w:cs="Times New Roman"/>
            <w:sz w:val="24"/>
            <w:szCs w:val="24"/>
            <w:lang w:eastAsia="en-US"/>
          </w:rPr>
          <w:t>inciso II do art. 75 da Lei nº 14.133, de 2021</w:t>
        </w:r>
      </w:hyperlink>
      <w:r>
        <w:rPr>
          <w:rFonts w:ascii="Cambria" w:hAnsi="Cambria" w:cs="Times New Roman"/>
          <w:sz w:val="24"/>
          <w:szCs w:val="24"/>
          <w:lang w:eastAsia="en-US"/>
        </w:rPr>
        <w:t>, o prazo máximo para o recebimento definitivo será de até 05 (cinco) dias úteis.</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No caso de controvérsia sobre a execução do objeto, quanto à dimensão, qualidade e quantidade, deverá ser observado o teor do </w:t>
      </w:r>
      <w:hyperlink r:id="rId57" w:anchor="art143">
        <w:r>
          <w:rPr>
            <w:rStyle w:val="Hyperlink"/>
            <w:rFonts w:ascii="Cambria" w:hAnsi="Cambria" w:cs="Times New Roman"/>
            <w:sz w:val="24"/>
            <w:szCs w:val="24"/>
            <w:lang w:eastAsia="en-US"/>
          </w:rPr>
          <w:t>art. 143 da Lei nº 14.133, de 2021</w:t>
        </w:r>
      </w:hyperlink>
      <w:r>
        <w:rPr>
          <w:rFonts w:ascii="Cambria" w:hAnsi="Cambria" w:cs="Times New Roman"/>
          <w:sz w:val="24"/>
          <w:szCs w:val="24"/>
          <w:lang w:eastAsia="en-US"/>
        </w:rPr>
        <w:t>, comunicando-se à empresa para emissão de Nota Fiscal no que pertine à parcela incontroversa da execução do objeto, para efeito de liquidação e pagamento.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O prazo para a solução, pelo contratado, de inconsistências na execução do objeto ou de saneamento da nota fiscal ou de instrumento de cobrança </w:t>
      </w:r>
      <w:r>
        <w:rPr>
          <w:rFonts w:ascii="Cambria" w:hAnsi="Cambria" w:cs="Times New Roman"/>
          <w:sz w:val="24"/>
          <w:szCs w:val="24"/>
          <w:lang w:eastAsia="en-US"/>
        </w:rPr>
        <w:lastRenderedPageBreak/>
        <w:t>equivalente, verificadas pela Administração durante a análise prévia à liquidação de despesa, não será computado para os fins do recebimento definitivo.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Liquidação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Recebida a Nota Fiscal ou documento de cobrança equivalente, correrá o prazo de dez dias úteis para fins de liquidação, na forma desta seção, prorrogáveis por igual período, nos termos do art. 7º, §3</w:t>
      </w:r>
      <w:r>
        <w:rPr>
          <w:rStyle w:val="Hyperlink"/>
          <w:rFonts w:ascii="Cambria" w:hAnsi="Cambria" w:cs="Times New Roman"/>
          <w:sz w:val="24"/>
          <w:szCs w:val="24"/>
          <w:lang w:eastAsia="en-US"/>
        </w:rPr>
        <w:t>º da Instrução Normativa SEGES/ME nº 77/2022</w:t>
      </w:r>
      <w:r>
        <w:rPr>
          <w:rFonts w:ascii="Cambria" w:hAnsi="Cambria" w:cs="Times New Roman"/>
          <w:sz w:val="24"/>
          <w:szCs w:val="24"/>
          <w:lang w:eastAsia="en-US"/>
        </w:rPr>
        <w:t>.</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8" w:anchor="art75">
        <w:r>
          <w:rPr>
            <w:rStyle w:val="Hyperlink"/>
            <w:rFonts w:ascii="Cambria" w:hAnsi="Cambria" w:cs="Times New Roman"/>
            <w:sz w:val="24"/>
            <w:szCs w:val="24"/>
          </w:rPr>
          <w:t>inciso II do art. 75 da Lei nº 14.133, de 2021</w:t>
        </w:r>
      </w:hyperlink>
      <w:r>
        <w:rPr>
          <w:rFonts w:ascii="Cambria" w:hAnsi="Cambria" w:cs="Times New Roman"/>
          <w:sz w:val="24"/>
          <w:szCs w:val="24"/>
        </w:rPr>
        <w:t>.</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o prazo de validade;</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 xml:space="preserve">a data da emissão; </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 xml:space="preserve">os dados do contrato e do órgão contratante; </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 xml:space="preserve">o período respectivo de execução do contrato; </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 xml:space="preserve">o valor a pagar; e </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eventual destaque do valor de retenções tributárias cabíveis.</w:t>
      </w:r>
    </w:p>
    <w:p>
      <w:pPr>
        <w:pStyle w:val="Nivel2"/>
        <w:numPr>
          <w:ilvl w:val="1"/>
          <w:numId w:val="23"/>
        </w:numPr>
        <w:spacing w:before="0" w:after="0"/>
        <w:ind w:left="999" w:hanging="432"/>
        <w:rPr>
          <w:rFonts w:ascii="Cambria" w:hAnsi="Cambria" w:cs="Times New Roman"/>
          <w:sz w:val="24"/>
          <w:szCs w:val="24"/>
          <w:lang w:eastAsia="en-US"/>
        </w:rPr>
      </w:pPr>
      <w:r>
        <w:rPr>
          <w:rFonts w:ascii="Cambria" w:eastAsia="Calibri" w:hAnsi="Cambria" w:cs="Times New Roman"/>
          <w:sz w:val="24"/>
          <w:szCs w:val="24"/>
          <w:lang w:eastAsia="en-US"/>
        </w:rPr>
        <w:t xml:space="preserve"> Havendo erro na apresentação da nota fiscal ou instrumento de cobrança equivalente, ou circunstância que impeça a </w:t>
      </w:r>
      <w:r>
        <w:rPr>
          <w:rFonts w:ascii="Cambria" w:hAnsi="Cambria"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 A nota fiscal ou instrumento de cobrança equivalente deverá ser obrigatoriamente acompanhado da comprovação da regularidade fiscal, constatada por meio de consulta </w:t>
      </w:r>
      <w:r>
        <w:rPr>
          <w:rFonts w:ascii="Cambria" w:hAnsi="Cambria" w:cs="Times New Roman"/>
          <w:i/>
          <w:iCs/>
          <w:sz w:val="24"/>
          <w:szCs w:val="24"/>
          <w:lang w:eastAsia="en-US"/>
        </w:rPr>
        <w:t>on-line</w:t>
      </w:r>
      <w:r>
        <w:rPr>
          <w:rFonts w:ascii="Cambria" w:hAnsi="Cambria" w:cs="Times New Roman"/>
          <w:sz w:val="24"/>
          <w:szCs w:val="24"/>
          <w:lang w:eastAsia="en-US"/>
        </w:rPr>
        <w:t xml:space="preserve"> ao SICAF ou, na impossibilidade de acesso ao referido Sistema, mediante consulta aos sítios eletrônicos oficiais ou à documentação mencionada no </w:t>
      </w:r>
      <w:hyperlink r:id="rId59" w:anchor="art68">
        <w:r>
          <w:rPr>
            <w:rStyle w:val="Hyperlink"/>
            <w:rFonts w:ascii="Cambria" w:hAnsi="Cambria" w:cs="Times New Roman"/>
            <w:sz w:val="24"/>
            <w:szCs w:val="24"/>
            <w:lang w:eastAsia="en-US"/>
          </w:rPr>
          <w:t xml:space="preserve">art. 68 da Lei nº 14.133, de 2021.  </w:t>
        </w:r>
      </w:hyperlink>
      <w:r>
        <w:rPr>
          <w:rFonts w:ascii="Cambria" w:hAnsi="Cambria" w:cs="Times New Roman"/>
          <w:sz w:val="24"/>
          <w:szCs w:val="24"/>
          <w:lang w:eastAsia="en-US"/>
        </w:rPr>
        <w:t xml:space="preserve"> </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Havendo a efetiva execução do objeto, os pagamentos serão realizados normalmente, até que se decida pela rescisão do contrato, caso o contratado não regularize sua situação junto ao SICAF.  </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Prazo de pagamento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O pagamento será efetuado no prazo de até 30 (trinta) dias úteis contados da finalização da liquidação da despesa, conforme seção anterior, nos termos da </w:t>
      </w:r>
      <w:hyperlink r:id="rId60">
        <w:r>
          <w:rPr>
            <w:rStyle w:val="Hyperlink"/>
            <w:rFonts w:ascii="Cambria" w:hAnsi="Cambria" w:cs="Times New Roman"/>
            <w:sz w:val="24"/>
            <w:szCs w:val="24"/>
          </w:rPr>
          <w:t>Instrução Normativa SEGES/ME nº 77, de 2022</w:t>
        </w:r>
      </w:hyperlink>
      <w:r>
        <w:rPr>
          <w:rFonts w:ascii="Cambria" w:hAnsi="Cambria" w:cs="Times New Roman"/>
          <w:sz w:val="24"/>
          <w:szCs w:val="24"/>
        </w:rPr>
        <w:t>.</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Pr>
          <w:rFonts w:ascii="Cambria" w:hAnsi="Cambria" w:cs="Times New Roman"/>
          <w:sz w:val="24"/>
          <w:szCs w:val="24"/>
        </w:rPr>
        <w:t>Índice Geral de Preços – Mercado (IGP-M)</w:t>
      </w:r>
      <w:r>
        <w:rPr>
          <w:rFonts w:ascii="Cambria" w:hAnsi="Cambria" w:cs="Times New Roman"/>
          <w:sz w:val="24"/>
          <w:szCs w:val="24"/>
          <w:lang w:eastAsia="en-US"/>
        </w:rPr>
        <w:t xml:space="preserve"> de correção monetária.</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Forma de pagamento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O pagamento será realizado por meio de ordem bancária, para crédito em banco, agência e conta corrente indicados pelo contratado.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Será considerada data do pagamento o dia em que constar como emitida a ordem bancária para pagamento.</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Quando do pagamento, será efetuada a retenção tributária prevista na legislação aplicável.</w:t>
      </w:r>
    </w:p>
    <w:p>
      <w:pPr>
        <w:pStyle w:val="Nivel3"/>
        <w:numPr>
          <w:ilvl w:val="2"/>
          <w:numId w:val="23"/>
        </w:numPr>
        <w:spacing w:before="0" w:after="0"/>
        <w:ind w:left="1781" w:hanging="504"/>
        <w:rPr>
          <w:rFonts w:ascii="Cambria" w:hAnsi="Cambria" w:cs="Times New Roman"/>
          <w:sz w:val="24"/>
          <w:szCs w:val="24"/>
          <w:lang w:eastAsia="en-US"/>
        </w:rPr>
      </w:pPr>
      <w:r>
        <w:rPr>
          <w:rFonts w:ascii="Cambria" w:hAnsi="Cambria" w:cs="Times New Roman"/>
          <w:sz w:val="24"/>
          <w:szCs w:val="24"/>
          <w:lang w:eastAsia="en-US"/>
        </w:rPr>
        <w:t>Independentemente do percentual de tributo inserido na planilha, quando houver, serão retidos na fonte, quando da realização do pagamento, os percentuais estabelecidos na legislação vigente.</w:t>
      </w:r>
    </w:p>
    <w:p>
      <w:pPr>
        <w:pStyle w:val="Nivel2"/>
        <w:numPr>
          <w:ilvl w:val="1"/>
          <w:numId w:val="23"/>
        </w:numPr>
        <w:spacing w:before="0" w:after="0"/>
        <w:ind w:left="999" w:hanging="432"/>
        <w:rPr>
          <w:rFonts w:ascii="Cambria" w:hAnsi="Cambria" w:cs="Times New Roman"/>
          <w:sz w:val="24"/>
          <w:szCs w:val="24"/>
          <w:lang w:eastAsia="en-US"/>
        </w:rPr>
      </w:pPr>
      <w:r>
        <w:rPr>
          <w:rFonts w:ascii="Cambria" w:hAnsi="Cambria" w:cs="Times New Roman"/>
          <w:sz w:val="24"/>
          <w:szCs w:val="24"/>
          <w:lang w:eastAsia="en-US"/>
        </w:rPr>
        <w:t xml:space="preserve">O contratado regularmente optante pelo Simples Nacional, nos termos da </w:t>
      </w:r>
      <w:hyperlink r:id="rId61">
        <w:r>
          <w:rPr>
            <w:rStyle w:val="Hyperlink"/>
            <w:rFonts w:ascii="Cambria" w:hAnsi="Cambria" w:cs="Times New Roman"/>
            <w:sz w:val="24"/>
            <w:szCs w:val="24"/>
            <w:lang w:eastAsia="en-US"/>
          </w:rPr>
          <w:t>Lei Complementar nº 123, de 2006</w:t>
        </w:r>
      </w:hyperlink>
      <w:r>
        <w:rPr>
          <w:rFonts w:ascii="Cambria" w:hAnsi="Cambria"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2"/>
        <w:numPr>
          <w:ilvl w:val="0"/>
          <w:numId w:val="0"/>
        </w:numPr>
        <w:spacing w:before="0" w:after="0"/>
        <w:ind w:left="999"/>
        <w:rPr>
          <w:rFonts w:ascii="Cambria" w:hAnsi="Cambria" w:cs="Times New Roman"/>
          <w:sz w:val="24"/>
          <w:szCs w:val="24"/>
          <w:lang w:eastAsia="en-US"/>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FORMA E CRITÉRIOS DE SELEÇÃO DO FORNECEDOR E FORMA DE FORNECIMENTO</w:t>
      </w:r>
    </w:p>
    <w:p>
      <w:pPr>
        <w:pStyle w:val="Nvel1-SemNumPreto"/>
        <w:spacing w:before="0" w:after="0"/>
        <w:rPr>
          <w:rFonts w:ascii="Cambria" w:hAnsi="Cambria" w:cs="Times New Roman"/>
          <w:color w:val="auto"/>
          <w:sz w:val="24"/>
          <w:szCs w:val="24"/>
          <w:highlight w:val="yellow"/>
        </w:rPr>
      </w:pPr>
      <w:r>
        <w:rPr>
          <w:rFonts w:ascii="Cambria" w:hAnsi="Cambria" w:cs="Times New Roman"/>
          <w:color w:val="auto"/>
          <w:sz w:val="24"/>
          <w:szCs w:val="24"/>
        </w:rPr>
        <w:t>Forma de seleção e critério de julgamento da proposta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 fornecedor será selecionado por meio da realização de procedimento de LICITAÇÃO, na modalidade PREGÃO, sob a forma ELETRÔNICA, com adoção do critério de julgamento pelo MENOR PREÇO.</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Exigências de habilitação</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Para fins de habilitação, deverá o licitante comprovar os seguintes requisitos:</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Habilitação jurídica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Empresário individual:</w:t>
      </w:r>
      <w:r>
        <w:rPr>
          <w:rFonts w:ascii="Cambria" w:hAnsi="Cambria" w:cs="Times New Roman"/>
          <w:sz w:val="24"/>
          <w:szCs w:val="24"/>
        </w:rPr>
        <w:t xml:space="preserve"> inscrição no Registro Público de Empresas Mercantis, a cargo da Junta Comercial da respectiva sede; </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Microempreendedor Individual - MEI:</w:t>
      </w:r>
      <w:r>
        <w:rPr>
          <w:rFonts w:ascii="Cambria" w:hAnsi="Cambria" w:cs="Times New Roman"/>
          <w:sz w:val="24"/>
          <w:szCs w:val="24"/>
        </w:rPr>
        <w:t xml:space="preserve"> Certificado da Condição de Microempreendedor Individual - CCMEI, cuja aceitação ficará condicionada à verificação da autenticidade no sítio </w:t>
      </w:r>
      <w:hyperlink r:id="rId62">
        <w:r>
          <w:rPr>
            <w:rStyle w:val="Hyperlink"/>
            <w:rFonts w:ascii="Cambria" w:hAnsi="Cambria" w:cs="Times New Roman"/>
            <w:sz w:val="24"/>
            <w:szCs w:val="24"/>
          </w:rPr>
          <w:t>https://www.gov.br/empresas-e-negocios/pt-br/empreendedor</w:t>
        </w:r>
      </w:hyperlink>
      <w:r>
        <w:rPr>
          <w:rFonts w:ascii="Cambria" w:hAnsi="Cambria" w:cs="Times New Roman"/>
          <w:sz w:val="24"/>
          <w:szCs w:val="24"/>
        </w:rPr>
        <w:t xml:space="preserve">; </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Sociedade empresária estrangeira:</w:t>
      </w:r>
      <w:r>
        <w:rPr>
          <w:rFonts w:ascii="Cambria" w:hAnsi="Cambria"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Pr>
            <w:rStyle w:val="Hyperlink"/>
            <w:rFonts w:ascii="Cambria" w:hAnsi="Cambria" w:cs="Times New Roman"/>
            <w:sz w:val="24"/>
            <w:szCs w:val="24"/>
          </w:rPr>
          <w:t>Normativa DREI/ME n.º 77, de 18 de março de 2020</w:t>
        </w:r>
      </w:hyperlink>
      <w:r>
        <w:rPr>
          <w:rFonts w:ascii="Cambria" w:hAnsi="Cambria" w:cs="Times New Roman"/>
          <w:sz w:val="24"/>
          <w:szCs w:val="24"/>
        </w:rPr>
        <w:t>.</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 xml:space="preserve">Sociedade simples: </w:t>
      </w:r>
      <w:r>
        <w:rPr>
          <w:rFonts w:ascii="Cambria" w:hAnsi="Cambria" w:cs="Times New Roman"/>
          <w:sz w:val="24"/>
          <w:szCs w:val="24"/>
        </w:rPr>
        <w:t>inscrição do ato constitutivo no Registro Civil de Pessoas Jurídicas do local de sua sede, acompanhada de documento comprobatório de seus administradores;</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Filial, sucursal ou agência de sociedade simples ou empresária:</w:t>
      </w:r>
      <w:r>
        <w:rPr>
          <w:rFonts w:ascii="Cambria" w:hAnsi="Cambria"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b/>
          <w:bCs/>
          <w:sz w:val="24"/>
          <w:szCs w:val="24"/>
        </w:rPr>
        <w:t>Sociedade cooperativa:</w:t>
      </w:r>
      <w:r>
        <w:rPr>
          <w:rFonts w:ascii="Cambria" w:hAnsi="Cambria"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4" w:anchor="art107">
        <w:r>
          <w:rPr>
            <w:rStyle w:val="Hyperlink"/>
            <w:rFonts w:ascii="Cambria" w:hAnsi="Cambria" w:cs="Times New Roman"/>
            <w:sz w:val="24"/>
            <w:szCs w:val="24"/>
          </w:rPr>
          <w:t>art. 107 da Lei nº 5.764, de 16 de dezembro 1971</w:t>
        </w:r>
      </w:hyperlink>
      <w:r>
        <w:rPr>
          <w:rFonts w:ascii="Cambria" w:hAnsi="Cambria" w:cs="Times New Roman"/>
          <w:sz w:val="24"/>
          <w:szCs w:val="24"/>
        </w:rPr>
        <w:t>.</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lastRenderedPageBreak/>
        <w:t xml:space="preserve"> Os documentos apresentados deverão estar acompanhados de todas as alterações ou da consolidação respectiva.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Cédula de Identidade de todos os sócios, diretores ou do empresário individual, no caso de sociedade anônima pode ser apresentada a cédula de identidade de seus administradores, membros de conselho de administração e da diretoria acompanhadas dos atos que os nomearam.</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Habilitação fiscal, social e trabalhista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Prova de inscrição no Cadastro Nacional de Pessoas Jurídicas;</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Prova de regularidade com o Fundo de Garantia do Tempo de Serviço (FGTS);</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Prova de inscrição no cadastro de contribuintes Estadual/Distrital e/ou Municipal, relativo ao domicílio ou sede do fornecedor, pertinente ao seu ramo de atividade e compatível com o objeto contratual, conforme o caso; </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Prova de regularidade com a Fazenda Estadual/Distrital e Municipal</w:t>
      </w:r>
      <w:r>
        <w:rPr>
          <w:rFonts w:ascii="Cambria" w:hAnsi="Cambria" w:cs="Times New Roman"/>
          <w:color w:val="FF0000"/>
          <w:sz w:val="24"/>
          <w:szCs w:val="24"/>
        </w:rPr>
        <w:t xml:space="preserve"> </w:t>
      </w:r>
      <w:r>
        <w:rPr>
          <w:rFonts w:ascii="Cambria" w:hAnsi="Cambria" w:cs="Times New Roman"/>
          <w:sz w:val="24"/>
          <w:szCs w:val="24"/>
        </w:rPr>
        <w:t>do domicílio ou sede do fornecedor, relativa à atividade em cujo exercício contrata ou concorre;</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Caso o fornecedor seja considerado isento dos tributos </w:t>
      </w:r>
      <w:r>
        <w:rPr>
          <w:rFonts w:ascii="Cambria" w:hAnsi="Cambria" w:cs="Times New Roman"/>
          <w:iCs/>
          <w:sz w:val="24"/>
          <w:szCs w:val="24"/>
        </w:rPr>
        <w:t>Estadual/Distrital ou Municipal</w:t>
      </w:r>
      <w:r>
        <w:rPr>
          <w:rFonts w:ascii="Cambria" w:hAnsi="Cambria" w:cs="Times New Roman"/>
          <w:sz w:val="24"/>
          <w:szCs w:val="24"/>
        </w:rPr>
        <w:t xml:space="preserve"> relacionados ao objeto contratual, deverá comprovar tal condição mediante a apresentação de declaração da Fazenda respectiva do seu domicílio ou sede, ou outra equivalente, na forma da lei.</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Qualificação Econômico-Financeira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 xml:space="preserve">Certidão negativa de falência expedida pelo distribuidor da sede do fornecedor - </w:t>
      </w:r>
      <w:hyperlink r:id="rId65" w:anchor="art69">
        <w:r>
          <w:rPr>
            <w:rStyle w:val="Hyperlink"/>
            <w:rFonts w:ascii="Cambria" w:hAnsi="Cambria" w:cs="Times New Roman"/>
            <w:sz w:val="24"/>
            <w:szCs w:val="24"/>
          </w:rPr>
          <w:t>Lei nº 14.133, de 2021, art. 69, caput, inciso II</w:t>
        </w:r>
      </w:hyperlink>
      <w:r>
        <w:rPr>
          <w:rFonts w:ascii="Cambria" w:hAnsi="Cambria" w:cs="Times New Roman"/>
          <w:sz w:val="24"/>
          <w:szCs w:val="24"/>
        </w:rPr>
        <w:t>);</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lastRenderedPageBreak/>
        <w:t>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encerrados a mais de 03(três) meses da data de apresentação da proposta, acompanhado do Termo de Abertura e Encerramento do livro Diário, devidamente assinados por contabilista registrado no CRC, bem como por sócio, gerente ou diretor, devidamente averbados na Junta Comercial da sede ou domicílio do fornecedor ou em outro órgão equivalente, comprovando;</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Índices de Liquidez Geral (LG), Liquidez Corrente (LC), e Solvência Geral (SG) superiores a 1 (um);</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As empresas criadas no exercício financeiro da licitação deverão atender a todas as exigências da habilitação e poderão substituir os demonstrativos contábeis pelo balanço de abertura.</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Os documentos referidos acima limitar-se-ão ao último exercício no caso de a pessoa jurídica ter sido constituída há menos de 2 (dois) anos;</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Os documentos referidos acima deverão ser exigidos com base no limite definido pela Receita Federal do Brasil para transmissão da Escrituração Contábil Digital - ECD ao Sped.</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Caso a empresa licitante apresente resultado inferior ou igual a 1 (um) em qualquer dos índices de Liquidez Geral (LG), Solvência Geral (SG) e Liquidez Corrente (LC), será exigido para fins de habilitação patrimônio líquido mínimo de</w:t>
      </w:r>
      <w:r>
        <w:rPr>
          <w:rFonts w:ascii="Cambria" w:hAnsi="Cambria" w:cs="Times New Roman"/>
          <w:color w:val="0000FF"/>
          <w:sz w:val="24"/>
          <w:szCs w:val="24"/>
        </w:rPr>
        <w:t xml:space="preserve"> </w:t>
      </w:r>
      <w:r>
        <w:rPr>
          <w:rFonts w:ascii="Cambria" w:hAnsi="Cambria" w:cs="Times New Roman"/>
          <w:sz w:val="24"/>
          <w:szCs w:val="24"/>
        </w:rPr>
        <w:t>10%</w:t>
      </w:r>
      <w:r>
        <w:rPr>
          <w:rFonts w:ascii="Cambria" w:hAnsi="Cambria" w:cs="Times New Roman"/>
          <w:color w:val="FF0000"/>
          <w:sz w:val="24"/>
          <w:szCs w:val="24"/>
        </w:rPr>
        <w:t xml:space="preserve"> </w:t>
      </w:r>
      <w:r>
        <w:rPr>
          <w:rFonts w:ascii="Cambria" w:hAnsi="Cambria" w:cs="Times New Roman"/>
          <w:sz w:val="24"/>
          <w:szCs w:val="24"/>
        </w:rPr>
        <w:t>do valor total estimado da parcela pertinente.</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pPr>
        <w:pStyle w:val="Nvel1-SemNumPreto"/>
        <w:spacing w:before="0" w:after="0"/>
        <w:rPr>
          <w:rFonts w:ascii="Cambria" w:hAnsi="Cambria" w:cs="Times New Roman"/>
          <w:color w:val="auto"/>
          <w:sz w:val="24"/>
          <w:szCs w:val="24"/>
        </w:rPr>
      </w:pPr>
      <w:r>
        <w:rPr>
          <w:rFonts w:ascii="Cambria" w:hAnsi="Cambria" w:cs="Times New Roman"/>
          <w:color w:val="auto"/>
          <w:sz w:val="24"/>
          <w:szCs w:val="24"/>
        </w:rPr>
        <w:t>Qualificação Técnica</w:t>
      </w:r>
    </w:p>
    <w:p>
      <w:pPr>
        <w:pStyle w:val="Nvel2-Red"/>
        <w:numPr>
          <w:ilvl w:val="1"/>
          <w:numId w:val="23"/>
        </w:numPr>
        <w:spacing w:before="0" w:after="0"/>
        <w:ind w:left="999"/>
        <w:rPr>
          <w:rFonts w:ascii="Cambria" w:hAnsi="Cambria" w:cs="Times New Roman"/>
          <w:i w:val="0"/>
          <w:color w:val="auto"/>
          <w:sz w:val="24"/>
          <w:szCs w:val="24"/>
        </w:rPr>
      </w:pPr>
      <w:r>
        <w:rPr>
          <w:rFonts w:ascii="Cambria" w:hAnsi="Cambria" w:cs="Times New Roman"/>
          <w:i w:val="0"/>
          <w:color w:val="auto"/>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com identificação do assinante.</w:t>
      </w:r>
    </w:p>
    <w:p>
      <w:pPr>
        <w:pStyle w:val="Nvel3-R"/>
        <w:numPr>
          <w:ilvl w:val="2"/>
          <w:numId w:val="23"/>
        </w:numPr>
        <w:spacing w:before="0" w:after="0"/>
        <w:ind w:left="1781"/>
        <w:rPr>
          <w:rFonts w:ascii="Cambria" w:hAnsi="Cambria" w:cs="Times New Roman"/>
          <w:i w:val="0"/>
          <w:color w:val="auto"/>
          <w:sz w:val="24"/>
          <w:szCs w:val="24"/>
          <w:shd w:val="clear" w:color="auto" w:fill="FFFF00"/>
        </w:rPr>
      </w:pPr>
      <w:r>
        <w:rPr>
          <w:rFonts w:ascii="Cambria" w:hAnsi="Cambria" w:cs="Times New Roman"/>
          <w:i w:val="0"/>
          <w:color w:val="auto"/>
          <w:sz w:val="24"/>
          <w:szCs w:val="24"/>
        </w:rPr>
        <w:t>Os atestados de capacidade técnica poderão ser apresentados em nome da matriz ou da filial do fornecedor.</w:t>
      </w:r>
    </w:p>
    <w:p>
      <w:pPr>
        <w:pStyle w:val="Nvel3-R"/>
        <w:numPr>
          <w:ilvl w:val="2"/>
          <w:numId w:val="23"/>
        </w:numPr>
        <w:spacing w:before="0" w:after="0"/>
        <w:ind w:left="1781"/>
        <w:rPr>
          <w:rFonts w:ascii="Cambria" w:hAnsi="Cambria" w:cs="Times New Roman"/>
          <w:sz w:val="24"/>
          <w:szCs w:val="24"/>
        </w:rPr>
      </w:pPr>
      <w:r>
        <w:rPr>
          <w:rFonts w:ascii="Cambria" w:hAnsi="Cambria" w:cs="Times New Roman"/>
          <w:i w:val="0"/>
          <w:color w:val="auto"/>
          <w:sz w:val="24"/>
          <w:szCs w:val="24"/>
        </w:rPr>
        <w:t xml:space="preserve">O fornecedor disponibilizará todas as informações necessárias à comprovação da legitimidade dos atestados, apresentando, quando solicitado pela Administração, cópia do contrato que deu suporte à </w:t>
      </w:r>
      <w:r>
        <w:rPr>
          <w:rFonts w:ascii="Cambria" w:hAnsi="Cambria" w:cs="Times New Roman"/>
          <w:i w:val="0"/>
          <w:color w:val="auto"/>
          <w:sz w:val="24"/>
          <w:szCs w:val="24"/>
        </w:rPr>
        <w:lastRenderedPageBreak/>
        <w:t>contratação, endereço atual da contratante e local em que foi executado o objeto contratado, dentre outros documentos.</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Caso admitida a participação de cooperativas, será exigida a seguinte documentação complementar:</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6" w:anchor="art4">
        <w:r>
          <w:rPr>
            <w:rStyle w:val="Hyperlink"/>
            <w:rFonts w:ascii="Cambria" w:hAnsi="Cambria" w:cs="Times New Roman"/>
            <w:sz w:val="24"/>
            <w:szCs w:val="24"/>
          </w:rPr>
          <w:t>arts. 4º, inciso XI, 21, inciso I</w:t>
        </w:r>
      </w:hyperlink>
      <w:r>
        <w:rPr>
          <w:rFonts w:ascii="Cambria" w:hAnsi="Cambria" w:cs="Times New Roman"/>
          <w:sz w:val="24"/>
          <w:szCs w:val="24"/>
        </w:rPr>
        <w:t xml:space="preserve"> e </w:t>
      </w:r>
      <w:hyperlink r:id="rId67" w:anchor="art42">
        <w:r>
          <w:rPr>
            <w:rStyle w:val="Hyperlink"/>
            <w:rFonts w:ascii="Cambria" w:hAnsi="Cambria" w:cs="Times New Roman"/>
            <w:sz w:val="24"/>
            <w:szCs w:val="24"/>
          </w:rPr>
          <w:t>42, §§2º a 6º da Lei n. 5.764, de 1971</w:t>
        </w:r>
      </w:hyperlink>
      <w:r>
        <w:rPr>
          <w:rFonts w:ascii="Cambria" w:hAnsi="Cambria" w:cs="Times New Roman"/>
          <w:sz w:val="24"/>
          <w:szCs w:val="24"/>
        </w:rPr>
        <w:t>;</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A declaração de regularidade de situação do contribuinte individual – DRSCI, para cada um dos cooperados indicados;</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A comprovação do capital social proporcional ao número de cooperados necessários à execução contratual; </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O registro previsto na </w:t>
      </w:r>
      <w:hyperlink r:id="rId68" w:anchor="art107">
        <w:r>
          <w:rPr>
            <w:rStyle w:val="Hyperlink"/>
            <w:rFonts w:ascii="Cambria" w:hAnsi="Cambria" w:cs="Times New Roman"/>
            <w:sz w:val="24"/>
            <w:szCs w:val="24"/>
          </w:rPr>
          <w:t>Lei n. 5.764, de 1971, art. 107</w:t>
        </w:r>
      </w:hyperlink>
      <w:r>
        <w:rPr>
          <w:rFonts w:ascii="Cambria" w:hAnsi="Cambria" w:cs="Times New Roman"/>
          <w:sz w:val="24"/>
          <w:szCs w:val="24"/>
        </w:rPr>
        <w:t>;</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 A comprovação de integração das respectivas quotas-partes por parte dos cooperados que executarão o contrato; e</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pPr>
        <w:pStyle w:val="Nivel3"/>
        <w:numPr>
          <w:ilvl w:val="2"/>
          <w:numId w:val="23"/>
        </w:numPr>
        <w:spacing w:before="0" w:after="0"/>
        <w:ind w:left="1781" w:hanging="504"/>
        <w:rPr>
          <w:rFonts w:ascii="Cambria" w:hAnsi="Cambria" w:cs="Times New Roman"/>
          <w:sz w:val="24"/>
          <w:szCs w:val="24"/>
        </w:rPr>
      </w:pPr>
      <w:r>
        <w:rPr>
          <w:rFonts w:ascii="Cambria" w:hAnsi="Cambria" w:cs="Times New Roman"/>
          <w:sz w:val="24"/>
          <w:szCs w:val="24"/>
        </w:rPr>
        <w:t xml:space="preserve">A última auditoria contábil-financeira da cooperativa, conforme dispõe o </w:t>
      </w:r>
      <w:hyperlink r:id="rId69" w:anchor="art112">
        <w:r>
          <w:rPr>
            <w:rStyle w:val="Hyperlink"/>
            <w:rFonts w:ascii="Cambria" w:hAnsi="Cambria" w:cs="Times New Roman"/>
            <w:sz w:val="24"/>
            <w:szCs w:val="24"/>
          </w:rPr>
          <w:t>art. 112 da Lei n. 5.764, de 1971</w:t>
        </w:r>
      </w:hyperlink>
      <w:r>
        <w:rPr>
          <w:rFonts w:ascii="Cambria" w:hAnsi="Cambria" w:cs="Times New Roman"/>
          <w:sz w:val="24"/>
          <w:szCs w:val="24"/>
        </w:rPr>
        <w:t>, ou uma declaração, sob as penas da lei, de que tal auditoria não foi exigida pelo órgão fiscalizador.</w:t>
      </w:r>
    </w:p>
    <w:p>
      <w:pPr>
        <w:pStyle w:val="Nivel3"/>
        <w:numPr>
          <w:ilvl w:val="0"/>
          <w:numId w:val="0"/>
        </w:numPr>
        <w:spacing w:before="0" w:after="0"/>
        <w:ind w:left="1781"/>
        <w:rPr>
          <w:rFonts w:ascii="Cambria" w:hAnsi="Cambria" w:cs="Times New Roman"/>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ESTIMATIVAS DO VALOR DA CONTRATAÇÃO</w:t>
      </w:r>
    </w:p>
    <w:p>
      <w:pPr>
        <w:pStyle w:val="Nvel2-Red"/>
        <w:numPr>
          <w:ilvl w:val="1"/>
          <w:numId w:val="23"/>
        </w:numPr>
        <w:spacing w:before="0" w:after="0"/>
        <w:ind w:left="999"/>
        <w:rPr>
          <w:rFonts w:ascii="Cambria" w:hAnsi="Cambria" w:cs="Times New Roman"/>
          <w:b/>
          <w:bCs/>
          <w:i w:val="0"/>
          <w:sz w:val="24"/>
          <w:szCs w:val="24"/>
        </w:rPr>
      </w:pPr>
      <w:r>
        <w:rPr>
          <w:rFonts w:ascii="Cambria" w:hAnsi="Cambria" w:cs="Times New Roman"/>
          <w:i w:val="0"/>
          <w:color w:val="auto"/>
          <w:sz w:val="24"/>
          <w:szCs w:val="24"/>
        </w:rPr>
        <w:t xml:space="preserve">O custo estimado total da contratação é de </w:t>
      </w:r>
      <w:bookmarkStart w:id="1" w:name="_Hlk202859395"/>
      <w:r>
        <w:rPr>
          <w:rFonts w:ascii="Cambria" w:hAnsi="Cambria" w:cs="Times New Roman"/>
          <w:b/>
          <w:bCs/>
          <w:i w:val="0"/>
          <w:color w:val="auto"/>
          <w:sz w:val="24"/>
          <w:szCs w:val="24"/>
        </w:rPr>
        <w:t>R$ 100.863,84</w:t>
      </w:r>
      <w:r>
        <w:rPr>
          <w:rFonts w:ascii="Cambria" w:hAnsi="Cambria" w:cs="Times New Roman"/>
          <w:b/>
          <w:bCs/>
          <w:color w:val="auto"/>
          <w:sz w:val="24"/>
          <w:szCs w:val="24"/>
        </w:rPr>
        <w:t xml:space="preserve"> </w:t>
      </w:r>
      <w:r>
        <w:rPr>
          <w:rFonts w:ascii="Cambria" w:hAnsi="Cambria" w:cs="Times New Roman"/>
          <w:b/>
          <w:bCs/>
          <w:i w:val="0"/>
          <w:color w:val="auto"/>
          <w:sz w:val="24"/>
          <w:szCs w:val="24"/>
        </w:rPr>
        <w:t>(Cem Mil, Oitocentos e Sessenta e Três Reais e Oitenta e Quatro Centavos)</w:t>
      </w:r>
      <w:bookmarkEnd w:id="1"/>
      <w:r>
        <w:rPr>
          <w:rFonts w:ascii="Cambria" w:hAnsi="Cambria" w:cs="Times New Roman"/>
          <w:i w:val="0"/>
          <w:color w:val="auto"/>
          <w:sz w:val="24"/>
          <w:szCs w:val="24"/>
        </w:rPr>
        <w:t>, conforme custos unitários apostos na tabela acima.</w:t>
      </w:r>
    </w:p>
    <w:p>
      <w:pPr>
        <w:pStyle w:val="Nvel3-R"/>
        <w:numPr>
          <w:ilvl w:val="0"/>
          <w:numId w:val="0"/>
        </w:numPr>
        <w:spacing w:before="0" w:after="0"/>
        <w:rPr>
          <w:rFonts w:ascii="Cambria" w:eastAsia="MS Mincho" w:hAnsi="Cambria" w:cs="Times New Roman"/>
          <w:sz w:val="24"/>
          <w:szCs w:val="24"/>
        </w:rPr>
      </w:pPr>
    </w:p>
    <w:p>
      <w:pPr>
        <w:pStyle w:val="Nivel01"/>
        <w:numPr>
          <w:ilvl w:val="0"/>
          <w:numId w:val="23"/>
        </w:numPr>
        <w:spacing w:before="0" w:line="276" w:lineRule="auto"/>
        <w:rPr>
          <w:rFonts w:ascii="Cambria" w:hAnsi="Cambria" w:cs="Times New Roman"/>
          <w:sz w:val="24"/>
          <w:szCs w:val="24"/>
        </w:rPr>
      </w:pPr>
      <w:r>
        <w:rPr>
          <w:rFonts w:ascii="Cambria" w:hAnsi="Cambria" w:cs="Times New Roman"/>
          <w:sz w:val="24"/>
          <w:szCs w:val="24"/>
        </w:rPr>
        <w:t>ADEQUAÇÃO ORÇAMENTÁRIA</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As despesas decorrentes da presente contratação correrão à conta de recursos específicos consignados no Orçamento Municipal.</w:t>
      </w:r>
    </w:p>
    <w:p>
      <w:pPr>
        <w:pStyle w:val="Nivel2"/>
        <w:numPr>
          <w:ilvl w:val="1"/>
          <w:numId w:val="23"/>
        </w:numPr>
        <w:spacing w:before="0" w:after="0"/>
        <w:ind w:left="999" w:hanging="432"/>
        <w:rPr>
          <w:rFonts w:ascii="Cambria" w:hAnsi="Cambria" w:cs="Times New Roman"/>
          <w:sz w:val="24"/>
          <w:szCs w:val="24"/>
        </w:rPr>
      </w:pPr>
      <w:r>
        <w:rPr>
          <w:rFonts w:ascii="Cambria" w:hAnsi="Cambria" w:cs="Times New Roman"/>
          <w:sz w:val="24"/>
          <w:szCs w:val="24"/>
        </w:rPr>
        <w:t>A contratação será atendida pela seguinte dotação:</w:t>
      </w:r>
    </w:p>
    <w:p>
      <w:pPr>
        <w:pStyle w:val="PargrafodaLista"/>
        <w:numPr>
          <w:ilvl w:val="0"/>
          <w:numId w:val="5"/>
        </w:numPr>
        <w:spacing w:after="0"/>
        <w:jc w:val="both"/>
        <w:rPr>
          <w:rFonts w:ascii="Cambria" w:eastAsia="Arial" w:hAnsi="Cambria"/>
          <w:b/>
          <w:sz w:val="24"/>
          <w:szCs w:val="24"/>
        </w:rPr>
      </w:pPr>
      <w:r>
        <w:rPr>
          <w:rFonts w:ascii="Cambria" w:eastAsia="Arial" w:hAnsi="Cambria"/>
          <w:b/>
          <w:sz w:val="24"/>
          <w:szCs w:val="24"/>
        </w:rPr>
        <w:lastRenderedPageBreak/>
        <w:t>SECRETARIA DE SAÚDE</w:t>
      </w:r>
    </w:p>
    <w:p>
      <w:pPr>
        <w:pStyle w:val="PargrafodaLista"/>
        <w:numPr>
          <w:ilvl w:val="0"/>
          <w:numId w:val="5"/>
        </w:numPr>
        <w:spacing w:after="0"/>
        <w:jc w:val="both"/>
        <w:rPr>
          <w:rFonts w:ascii="Cambria" w:eastAsia="Arial" w:hAnsi="Cambria"/>
          <w:b/>
          <w:sz w:val="24"/>
          <w:szCs w:val="24"/>
        </w:rPr>
      </w:pPr>
      <w:r>
        <w:rPr>
          <w:rFonts w:ascii="Cambria" w:eastAsia="Arial" w:hAnsi="Cambria"/>
          <w:b/>
          <w:sz w:val="24"/>
          <w:szCs w:val="24"/>
        </w:rPr>
        <w:t xml:space="preserve">Dotação orçamentária: </w:t>
      </w:r>
      <w:r>
        <w:rPr>
          <w:rFonts w:ascii="Cambria" w:hAnsi="Cambria"/>
          <w:sz w:val="24"/>
          <w:szCs w:val="24"/>
        </w:rPr>
        <w:t>0401.10.301.0018.2.010 – Gestão da Atenção Básica - Elemento de despesa: 3.3.90.30.00 – Material de Consumo. Fonte de Recursos: 160100000.</w:t>
      </w:r>
    </w:p>
    <w:p>
      <w:pPr>
        <w:spacing w:line="276" w:lineRule="auto"/>
        <w:jc w:val="both"/>
        <w:rPr>
          <w:rFonts w:ascii="Cambria" w:hAnsi="Cambria"/>
          <w:sz w:val="24"/>
          <w:szCs w:val="24"/>
        </w:rPr>
      </w:pPr>
      <w:r>
        <w:rPr>
          <w:rFonts w:ascii="Cambria" w:hAnsi="Cambria"/>
          <w:sz w:val="24"/>
          <w:szCs w:val="24"/>
        </w:rPr>
        <w:t>A dotação relativa aos exercícios financeiros subsequentes será indicada após aprovação da Lei Orçamentária respectiva e liberação dos créditos correspondentes, mediante apostilamento.</w:t>
      </w:r>
    </w:p>
    <w:p>
      <w:pPr>
        <w:suppressAutoHyphens w:val="0"/>
        <w:spacing w:after="160" w:line="259" w:lineRule="auto"/>
        <w:rPr>
          <w:rFonts w:ascii="Cambria" w:hAnsi="Cambria"/>
          <w:b/>
          <w:sz w:val="24"/>
          <w:szCs w:val="24"/>
        </w:rPr>
      </w:pPr>
      <w:r>
        <w:rPr>
          <w:rFonts w:ascii="Cambria" w:hAnsi="Cambria"/>
          <w:b/>
          <w:sz w:val="24"/>
          <w:szCs w:val="24"/>
        </w:rPr>
        <w:br w:type="page"/>
      </w:r>
    </w:p>
    <w:p>
      <w:pPr>
        <w:suppressAutoHyphens w:val="0"/>
        <w:spacing w:after="160" w:line="259" w:lineRule="auto"/>
        <w:rPr>
          <w:rFonts w:ascii="Cambria" w:hAnsi="Cambria"/>
          <w:b/>
          <w:sz w:val="24"/>
          <w:szCs w:val="24"/>
        </w:rPr>
      </w:pPr>
      <w:r>
        <w:rPr>
          <w:rFonts w:ascii="Cambria" w:hAnsi="Cambria"/>
          <w:b/>
          <w:sz w:val="24"/>
          <w:szCs w:val="24"/>
        </w:rPr>
        <w:lastRenderedPageBreak/>
        <w:br w:type="page"/>
      </w:r>
    </w:p>
    <w:p>
      <w:pPr>
        <w:jc w:val="center"/>
        <w:rPr>
          <w:rFonts w:ascii="Cambria" w:hAnsi="Cambria"/>
          <w:b/>
          <w:sz w:val="24"/>
          <w:szCs w:val="24"/>
        </w:rPr>
      </w:pPr>
      <w:r>
        <w:rPr>
          <w:rFonts w:ascii="Cambria" w:hAnsi="Cambria"/>
          <w:b/>
          <w:sz w:val="24"/>
          <w:szCs w:val="24"/>
        </w:rPr>
        <w:lastRenderedPageBreak/>
        <w:t>APÊNDICE DO ANEXO I</w:t>
      </w:r>
    </w:p>
    <w:p>
      <w:pPr>
        <w:jc w:val="center"/>
        <w:rPr>
          <w:rFonts w:ascii="Cambria" w:hAnsi="Cambria"/>
          <w:b/>
          <w:sz w:val="24"/>
          <w:szCs w:val="24"/>
        </w:rPr>
      </w:pPr>
    </w:p>
    <w:p>
      <w:pPr>
        <w:jc w:val="center"/>
        <w:rPr>
          <w:rFonts w:ascii="Cambria" w:hAnsi="Cambria"/>
          <w:b/>
          <w:sz w:val="24"/>
          <w:szCs w:val="24"/>
        </w:rPr>
      </w:pPr>
    </w:p>
    <w:p>
      <w:pPr>
        <w:suppressAutoHyphens w:val="0"/>
        <w:spacing w:line="276" w:lineRule="auto"/>
        <w:jc w:val="center"/>
        <w:rPr>
          <w:rFonts w:ascii="Cambria" w:hAnsi="Cambria"/>
          <w:b/>
          <w:bCs/>
          <w:sz w:val="24"/>
          <w:szCs w:val="24"/>
        </w:rPr>
      </w:pPr>
      <w:r>
        <w:rPr>
          <w:rFonts w:ascii="Cambria" w:hAnsi="Cambria"/>
          <w:b/>
          <w:bCs/>
          <w:sz w:val="24"/>
          <w:szCs w:val="24"/>
        </w:rPr>
        <w:t>ESTUDO TÉCNICO PRELIMINAR</w:t>
      </w:r>
    </w:p>
    <w:p>
      <w:pPr>
        <w:spacing w:line="276" w:lineRule="auto"/>
        <w:jc w:val="both"/>
        <w:rPr>
          <w:rFonts w:ascii="Cambria" w:hAnsi="Cambria"/>
          <w:sz w:val="24"/>
          <w:szCs w:val="24"/>
        </w:rPr>
      </w:pPr>
    </w:p>
    <w:p>
      <w:pPr>
        <w:spacing w:line="276" w:lineRule="auto"/>
        <w:jc w:val="both"/>
        <w:rPr>
          <w:rFonts w:ascii="Cambria" w:hAnsi="Cambria"/>
          <w:sz w:val="24"/>
          <w:szCs w:val="24"/>
        </w:rPr>
      </w:pPr>
      <w:r>
        <w:rPr>
          <w:rFonts w:ascii="Cambria" w:hAnsi="Cambria"/>
          <w:b/>
          <w:sz w:val="24"/>
          <w:szCs w:val="24"/>
        </w:rPr>
        <w:t xml:space="preserve">ÓRGÃO INTERESSADO: </w:t>
      </w:r>
      <w:r>
        <w:rPr>
          <w:rFonts w:ascii="Cambria" w:hAnsi="Cambria"/>
          <w:sz w:val="24"/>
          <w:szCs w:val="24"/>
        </w:rPr>
        <w:t>Secretaria Municipal de Saúde</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1. Descrição da Necessidade da Contratação:</w:t>
      </w:r>
    </w:p>
    <w:p>
      <w:pPr>
        <w:spacing w:line="276" w:lineRule="auto"/>
        <w:ind w:firstLine="709"/>
        <w:jc w:val="both"/>
        <w:rPr>
          <w:rFonts w:ascii="Cambria" w:hAnsi="Cambria"/>
          <w:sz w:val="24"/>
          <w:szCs w:val="24"/>
        </w:rPr>
      </w:pPr>
      <w:r>
        <w:rPr>
          <w:rFonts w:ascii="Cambria" w:hAnsi="Cambria"/>
          <w:sz w:val="24"/>
          <w:szCs w:val="24"/>
        </w:rPr>
        <w:t>A presente contratação decorre da necessidade da Secretaria Municipal de Saúde de Miraíma/CE de adquirir materiais permanentes odontológicos destinados à estruturação, manutenção e melhoria dos serviços de saúde bucal ofertados à população no âmbito da rede municipal de saúde.</w:t>
      </w:r>
    </w:p>
    <w:p>
      <w:pPr>
        <w:spacing w:line="276" w:lineRule="auto"/>
        <w:ind w:firstLine="709"/>
        <w:jc w:val="both"/>
        <w:rPr>
          <w:rFonts w:ascii="Cambria" w:hAnsi="Cambria"/>
          <w:sz w:val="24"/>
          <w:szCs w:val="24"/>
        </w:rPr>
      </w:pPr>
      <w:r>
        <w:rPr>
          <w:rFonts w:ascii="Cambria" w:hAnsi="Cambria"/>
          <w:sz w:val="24"/>
          <w:szCs w:val="24"/>
        </w:rPr>
        <w:t>A disponibilidade de materiais e equipamentos permanentes adequados é indispensável para o regular funcionamento dos serviços odontológicos, proporcionando aos profissionais as condições necessárias para a realização dos procedimentos de forma segura, eficiente e compatível com as demandas de atendimento. A insuficiência, desgaste ou ausência desses materiais pode comprometer a execução das atividades, dificultando a prestação dos serviços e reduzindo a capacidade de atendimento das unidades de saúde.</w:t>
      </w:r>
    </w:p>
    <w:p>
      <w:pPr>
        <w:spacing w:line="276" w:lineRule="auto"/>
        <w:ind w:firstLine="709"/>
        <w:jc w:val="both"/>
        <w:rPr>
          <w:rFonts w:ascii="Cambria" w:hAnsi="Cambria"/>
          <w:sz w:val="24"/>
          <w:szCs w:val="24"/>
        </w:rPr>
      </w:pPr>
      <w:r>
        <w:rPr>
          <w:rFonts w:ascii="Cambria" w:hAnsi="Cambria"/>
          <w:sz w:val="24"/>
          <w:szCs w:val="24"/>
        </w:rPr>
        <w:t>Nesse contexto, a aquisição pretende suprir as necessidades identificadas pela Secretaria Municipal de Saúde, garantindo a disponibilidade dos materiais necessários ao desenvolvimento das atividades odontológicas e contribuindo para a adequada organização e funcionamento dos serviços.</w:t>
      </w:r>
    </w:p>
    <w:p>
      <w:pPr>
        <w:spacing w:line="276" w:lineRule="auto"/>
        <w:ind w:firstLine="709"/>
        <w:jc w:val="both"/>
        <w:rPr>
          <w:rFonts w:ascii="Cambria" w:hAnsi="Cambria"/>
          <w:sz w:val="24"/>
          <w:szCs w:val="24"/>
        </w:rPr>
      </w:pPr>
      <w:r>
        <w:rPr>
          <w:rFonts w:ascii="Cambria" w:hAnsi="Cambria"/>
          <w:sz w:val="24"/>
          <w:szCs w:val="24"/>
        </w:rPr>
        <w:t>A contratação também busca proporcionar melhores condições de trabalho aos profissionais, favorecer a continuidade dos atendimentos e assegurar maior eficiência na prestação da assistência odontológica aos usuários do Sistema Único de Saúde – SUS.</w:t>
      </w:r>
    </w:p>
    <w:p>
      <w:pPr>
        <w:spacing w:line="276" w:lineRule="auto"/>
        <w:ind w:firstLine="709"/>
        <w:jc w:val="both"/>
        <w:rPr>
          <w:rFonts w:ascii="Cambria" w:hAnsi="Cambria"/>
          <w:sz w:val="24"/>
          <w:szCs w:val="24"/>
        </w:rPr>
      </w:pPr>
      <w:r>
        <w:rPr>
          <w:rFonts w:ascii="Cambria" w:hAnsi="Cambria"/>
          <w:sz w:val="24"/>
          <w:szCs w:val="24"/>
        </w:rPr>
        <w:t>Dessa forma, a aquisição dos materiais permanentes odontológicos mostra-se necessária para fortalecer a estrutura dos serviços de saúde bucal do Município de Miraíma/CE, melhorar as condições de atendimento e garantir a continuidade e qualidade dos serviços disponibilizados à população, atendendo ao interesse público e às necessidades da Administração Municipal.</w:t>
      </w:r>
    </w:p>
    <w:p>
      <w:pPr>
        <w:spacing w:line="276" w:lineRule="auto"/>
        <w:ind w:firstLine="709"/>
        <w:jc w:val="both"/>
        <w:rPr>
          <w:rFonts w:ascii="Cambria" w:hAnsi="Cambria"/>
          <w:b/>
          <w:bCs/>
          <w:sz w:val="24"/>
          <w:szCs w:val="24"/>
        </w:rPr>
      </w:pPr>
    </w:p>
    <w:p>
      <w:pPr>
        <w:spacing w:line="276" w:lineRule="auto"/>
        <w:jc w:val="both"/>
        <w:rPr>
          <w:rFonts w:ascii="Cambria" w:hAnsi="Cambria"/>
          <w:b/>
          <w:bCs/>
          <w:sz w:val="24"/>
          <w:szCs w:val="24"/>
        </w:rPr>
      </w:pPr>
      <w:r>
        <w:rPr>
          <w:rFonts w:ascii="Cambria" w:hAnsi="Cambria"/>
          <w:b/>
          <w:bCs/>
          <w:sz w:val="24"/>
          <w:szCs w:val="24"/>
        </w:rPr>
        <w:t>2. Demonstração da Previsão da Contratação no Plano de Contratações Anual:</w:t>
      </w:r>
    </w:p>
    <w:p>
      <w:pPr>
        <w:spacing w:line="276" w:lineRule="auto"/>
        <w:ind w:firstLine="567"/>
        <w:jc w:val="both"/>
        <w:rPr>
          <w:rFonts w:ascii="Cambria" w:hAnsi="Cambria"/>
          <w:sz w:val="24"/>
          <w:szCs w:val="24"/>
        </w:rPr>
      </w:pPr>
      <w:r>
        <w:rPr>
          <w:rFonts w:ascii="Cambria" w:hAnsi="Cambria"/>
          <w:sz w:val="24"/>
          <w:szCs w:val="24"/>
        </w:rPr>
        <w:t>A presente contratação encontra-se prevista no Plano de Contratações Anual (PCA) do Município de Miraíma/CE, sob o ID nº 725, demonstrando que a aquisição de materiais permanentes odontológicos foi contemplada no planejamento das contratações da Administração Municipal.</w:t>
      </w:r>
    </w:p>
    <w:p>
      <w:pPr>
        <w:spacing w:line="276" w:lineRule="auto"/>
        <w:ind w:firstLine="567"/>
        <w:jc w:val="both"/>
        <w:rPr>
          <w:rFonts w:ascii="Cambria" w:hAnsi="Cambria"/>
          <w:sz w:val="24"/>
          <w:szCs w:val="24"/>
        </w:rPr>
      </w:pPr>
      <w:r>
        <w:rPr>
          <w:rFonts w:ascii="Cambria" w:hAnsi="Cambria"/>
          <w:sz w:val="24"/>
          <w:szCs w:val="24"/>
        </w:rPr>
        <w:t xml:space="preserve">A previsão no PCA evidencia o alinhamento da contratação com o planejamento institucional e com as necessidades da Secretaria Municipal de Saúde, contribuindo </w:t>
      </w:r>
      <w:r>
        <w:rPr>
          <w:rFonts w:ascii="Cambria" w:hAnsi="Cambria"/>
          <w:sz w:val="24"/>
          <w:szCs w:val="24"/>
        </w:rPr>
        <w:lastRenderedPageBreak/>
        <w:t>para a organização, transparência e racionalização das contratações públicas, em observância aos princípios e diretrizes estabelecidos pela Lei Federal nº 14.133/2021.</w:t>
      </w:r>
    </w:p>
    <w:p>
      <w:pPr>
        <w:spacing w:line="276" w:lineRule="auto"/>
        <w:ind w:firstLine="567"/>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3. Requisitos da Contratação:</w:t>
      </w:r>
    </w:p>
    <w:p>
      <w:pPr>
        <w:pStyle w:val="NormalWeb"/>
        <w:spacing w:before="0" w:beforeAutospacing="0" w:after="0" w:afterAutospacing="0" w:line="276" w:lineRule="auto"/>
        <w:ind w:firstLine="709"/>
        <w:jc w:val="both"/>
        <w:rPr>
          <w:rFonts w:ascii="Cambria" w:hAnsi="Cambria"/>
        </w:rPr>
      </w:pPr>
      <w:r>
        <w:rPr>
          <w:rFonts w:ascii="Cambria" w:hAnsi="Cambria"/>
        </w:rPr>
        <w:t>A contratação deverá observar requisitos que assegurem a aquisição de materiais permanentes odontológicos adequados às necessidades da Secretaria Municipal de Saúde de Miraíma/CE, garantindo qualidade, segurança, funcionalidade e compatibilidade com as atividades desenvolvidas nos serviços de saúde bucal.</w:t>
      </w:r>
    </w:p>
    <w:p>
      <w:pPr>
        <w:pStyle w:val="NormalWeb"/>
        <w:spacing w:before="0" w:beforeAutospacing="0" w:after="0" w:afterAutospacing="0" w:line="276" w:lineRule="auto"/>
        <w:ind w:firstLine="709"/>
        <w:jc w:val="both"/>
        <w:rPr>
          <w:rFonts w:ascii="Cambria" w:hAnsi="Cambria"/>
        </w:rPr>
      </w:pPr>
      <w:r>
        <w:rPr>
          <w:rFonts w:ascii="Cambria" w:hAnsi="Cambria"/>
        </w:rPr>
        <w:t>Os materiais a serem adquiridos deverão atender às especificações técnicas, características, padrões de qualidade e quantitativos definidos pela Administração, sendo novos, de primeiro uso e entregues em perfeitas condições de funcionamento e utilização, quando aplicável.</w:t>
      </w:r>
    </w:p>
    <w:p>
      <w:pPr>
        <w:pStyle w:val="NormalWeb"/>
        <w:spacing w:before="0" w:beforeAutospacing="0" w:after="0" w:afterAutospacing="0" w:line="276" w:lineRule="auto"/>
        <w:ind w:firstLine="709"/>
        <w:jc w:val="both"/>
        <w:rPr>
          <w:rFonts w:ascii="Cambria" w:hAnsi="Cambria"/>
        </w:rPr>
      </w:pPr>
      <w:r>
        <w:rPr>
          <w:rFonts w:ascii="Cambria" w:hAnsi="Cambria"/>
        </w:rPr>
        <w:t>Deverão ser observadas, ainda, as normas técnicas e regulamentações aplicáveis aos materiais e equipamentos odontológicos, especialmente aquelas relacionadas à segurança, qualidade, desempenho e utilização em estabelecimentos de saúde, bem como as exigências dos órgãos competentes, quando cabíveis.</w:t>
      </w:r>
    </w:p>
    <w:p>
      <w:pPr>
        <w:pStyle w:val="NormalWeb"/>
        <w:spacing w:before="0" w:beforeAutospacing="0" w:after="0" w:afterAutospacing="0" w:line="276" w:lineRule="auto"/>
        <w:ind w:firstLine="709"/>
        <w:jc w:val="both"/>
        <w:rPr>
          <w:rFonts w:ascii="Cambria" w:hAnsi="Cambria"/>
        </w:rPr>
      </w:pPr>
      <w:r>
        <w:rPr>
          <w:rFonts w:ascii="Cambria" w:hAnsi="Cambria"/>
        </w:rPr>
        <w:t>A contratada deverá realizar a entrega dos materiais no local indicado pela Secretaria Municipal de Saúde, dentro do prazo estabelecido, responsabilizando-se pelo adequado acondicionamento, transporte e integridade dos produtos até o recebimento definitivo pela Administração.</w:t>
      </w:r>
    </w:p>
    <w:p>
      <w:pPr>
        <w:pStyle w:val="NormalWeb"/>
        <w:spacing w:before="0" w:beforeAutospacing="0" w:after="0" w:afterAutospacing="0" w:line="276" w:lineRule="auto"/>
        <w:ind w:firstLine="709"/>
        <w:jc w:val="both"/>
        <w:rPr>
          <w:rFonts w:ascii="Cambria" w:hAnsi="Cambria"/>
        </w:rPr>
      </w:pPr>
      <w:r>
        <w:rPr>
          <w:rFonts w:ascii="Cambria" w:hAnsi="Cambria"/>
        </w:rPr>
        <w:t>Os materiais deverão possuir garantia contra defeitos de fabricação, quando aplicável, devendo a contratada realizar a substituição ou correção de itens que apresentem defeitos ou desconformidades em relação às especificações contratadas.</w:t>
      </w:r>
    </w:p>
    <w:p>
      <w:pPr>
        <w:pStyle w:val="NormalWeb"/>
        <w:spacing w:before="0" w:beforeAutospacing="0" w:after="0" w:afterAutospacing="0" w:line="276" w:lineRule="auto"/>
        <w:ind w:firstLine="709"/>
        <w:jc w:val="both"/>
        <w:rPr>
          <w:rFonts w:ascii="Cambria" w:hAnsi="Cambria"/>
        </w:rPr>
      </w:pPr>
      <w:r>
        <w:rPr>
          <w:rFonts w:ascii="Cambria" w:hAnsi="Cambria"/>
        </w:rPr>
        <w:t>Por fim, a contratação deverá observar as disposições da Lei Federal nº 14.133/2021, garantindo condições de competitividade, economicidade, qualidade e atendimento ao interesse público, sem estabelecimento de exigências que restrinjam indevidamente a participação de potenciais fornecedores.</w:t>
      </w:r>
    </w:p>
    <w:p>
      <w:pPr>
        <w:spacing w:line="276" w:lineRule="auto"/>
        <w:jc w:val="both"/>
        <w:rPr>
          <w:rFonts w:ascii="Cambria" w:hAnsi="Cambria"/>
          <w:b/>
          <w:bCs/>
          <w:sz w:val="24"/>
          <w:szCs w:val="24"/>
        </w:rPr>
      </w:pPr>
    </w:p>
    <w:p>
      <w:pPr>
        <w:spacing w:line="276" w:lineRule="auto"/>
        <w:jc w:val="both"/>
        <w:rPr>
          <w:rFonts w:ascii="Cambria" w:hAnsi="Cambria"/>
          <w:b/>
          <w:bCs/>
          <w:sz w:val="24"/>
          <w:szCs w:val="24"/>
        </w:rPr>
      </w:pPr>
      <w:r>
        <w:rPr>
          <w:rFonts w:ascii="Cambria" w:hAnsi="Cambria"/>
          <w:b/>
          <w:bCs/>
          <w:sz w:val="24"/>
          <w:szCs w:val="24"/>
        </w:rPr>
        <w:t>4. Estimativas das Quantidades para a Contratação:</w:t>
      </w:r>
    </w:p>
    <w:p>
      <w:pPr>
        <w:spacing w:line="276" w:lineRule="auto"/>
        <w:ind w:firstLine="709"/>
        <w:jc w:val="both"/>
        <w:rPr>
          <w:rFonts w:ascii="Cambria" w:hAnsi="Cambria"/>
          <w:sz w:val="24"/>
          <w:szCs w:val="24"/>
        </w:rPr>
      </w:pPr>
      <w:r>
        <w:rPr>
          <w:rFonts w:ascii="Cambria" w:hAnsi="Cambria"/>
          <w:sz w:val="24"/>
          <w:szCs w:val="24"/>
        </w:rPr>
        <w:t>As quantidades estimadas para a presente contratação foram definidas com base no levantamento das necessidades da Secretaria Municipal de Saúde de Miraíma/CE, considerando a demanda dos serviços odontológicos, a estrutura disponível nas unidades de saúde e a necessidade de manutenção e melhoria das condições de atendimento.</w:t>
      </w:r>
    </w:p>
    <w:p>
      <w:pPr>
        <w:spacing w:line="276" w:lineRule="auto"/>
        <w:ind w:firstLine="709"/>
        <w:jc w:val="both"/>
        <w:rPr>
          <w:rFonts w:ascii="Cambria" w:hAnsi="Cambria"/>
          <w:sz w:val="24"/>
          <w:szCs w:val="24"/>
        </w:rPr>
      </w:pPr>
      <w:r>
        <w:rPr>
          <w:rFonts w:ascii="Cambria" w:hAnsi="Cambria"/>
          <w:sz w:val="24"/>
          <w:szCs w:val="24"/>
        </w:rPr>
        <w:t>A estimativa busca contemplar a quantidade necessária de materiais permanentes odontológicos para atender adequadamente às atividades desenvolvidas pela rede municipal de saúde bucal, evitando tanto a insuficiência de equipamentos quanto a aquisição de quantitativos superiores à necessidade da Administração.</w:t>
      </w:r>
    </w:p>
    <w:p>
      <w:pPr>
        <w:spacing w:line="276" w:lineRule="auto"/>
        <w:ind w:firstLine="709"/>
        <w:jc w:val="both"/>
        <w:rPr>
          <w:rFonts w:ascii="Cambria" w:hAnsi="Cambria"/>
          <w:sz w:val="24"/>
          <w:szCs w:val="24"/>
        </w:rPr>
      </w:pPr>
      <w:r>
        <w:rPr>
          <w:rFonts w:ascii="Cambria" w:hAnsi="Cambria"/>
          <w:sz w:val="24"/>
          <w:szCs w:val="24"/>
        </w:rPr>
        <w:t xml:space="preserve">Os quantitativos, bem como as respectivas especificações dos materiais a serem adquiridos, serão apresentados no Termo de Referência, elaborados de acordo com as </w:t>
      </w:r>
      <w:r>
        <w:rPr>
          <w:rFonts w:ascii="Cambria" w:hAnsi="Cambria"/>
          <w:sz w:val="24"/>
          <w:szCs w:val="24"/>
        </w:rPr>
        <w:lastRenderedPageBreak/>
        <w:t>necessidades identificadas pela Secretaria Municipal de Saúde e com o planejamento da contratação.</w:t>
      </w:r>
    </w:p>
    <w:p>
      <w:pPr>
        <w:spacing w:line="276" w:lineRule="auto"/>
        <w:ind w:firstLine="709"/>
        <w:jc w:val="both"/>
        <w:rPr>
          <w:rFonts w:ascii="Cambria" w:hAnsi="Cambria"/>
          <w:sz w:val="24"/>
          <w:szCs w:val="24"/>
        </w:rPr>
      </w:pPr>
      <w:r>
        <w:rPr>
          <w:rFonts w:ascii="Cambria" w:hAnsi="Cambria"/>
          <w:sz w:val="24"/>
          <w:szCs w:val="24"/>
        </w:rPr>
        <w:t>Dessa forma, as quantidades estimadas têm por finalidade assegurar o atendimento das demandas existentes, garantir a continuidade dos serviços odontológicos e promover o uso eficiente dos recursos públicos, observando os princípios da economicidade, planejamento e interesse público previstos na Lei Federal nº 14.133/2021.</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5. Levantamento de Mercado:</w:t>
      </w:r>
    </w:p>
    <w:p>
      <w:pPr>
        <w:spacing w:line="276" w:lineRule="auto"/>
        <w:ind w:firstLine="709"/>
        <w:jc w:val="both"/>
        <w:rPr>
          <w:rFonts w:ascii="Cambria" w:hAnsi="Cambria"/>
          <w:sz w:val="24"/>
          <w:szCs w:val="24"/>
        </w:rPr>
      </w:pPr>
      <w:r>
        <w:rPr>
          <w:rFonts w:ascii="Cambria" w:hAnsi="Cambria"/>
          <w:sz w:val="24"/>
          <w:szCs w:val="24"/>
        </w:rPr>
        <w:t>Considerando a necessidade apresentada pela Secretaria Municipal de Saúde de Miraíma/CE, foram analisadas alternativas disponíveis no mercado para atendimento da demanda por materiais permanentes odontológicos, levando-se em consideração aspectos relacionados à economicidade, funcionalidade, disponibilidade dos equipamentos, manutenção, vida útil e continuidade dos serviços.</w:t>
      </w:r>
    </w:p>
    <w:p>
      <w:pPr>
        <w:spacing w:line="276" w:lineRule="auto"/>
        <w:ind w:firstLine="709"/>
        <w:jc w:val="both"/>
        <w:rPr>
          <w:rFonts w:ascii="Cambria" w:hAnsi="Cambria"/>
          <w:sz w:val="24"/>
          <w:szCs w:val="24"/>
        </w:rPr>
      </w:pPr>
      <w:r>
        <w:rPr>
          <w:rFonts w:ascii="Cambria" w:hAnsi="Cambria"/>
          <w:sz w:val="24"/>
          <w:szCs w:val="24"/>
        </w:rPr>
        <w:t>Foram identificadas as seguintes alternativas:</w:t>
      </w:r>
    </w:p>
    <w:p>
      <w:pPr>
        <w:spacing w:line="276" w:lineRule="auto"/>
        <w:ind w:firstLine="709"/>
        <w:jc w:val="both"/>
        <w:rPr>
          <w:rFonts w:ascii="Cambria" w:hAnsi="Cambria"/>
          <w:sz w:val="24"/>
          <w:szCs w:val="24"/>
        </w:rPr>
      </w:pPr>
    </w:p>
    <w:p>
      <w:pPr>
        <w:spacing w:line="276" w:lineRule="auto"/>
        <w:jc w:val="both"/>
        <w:rPr>
          <w:rFonts w:ascii="Cambria" w:hAnsi="Cambria"/>
          <w:sz w:val="24"/>
          <w:szCs w:val="24"/>
        </w:rPr>
      </w:pPr>
      <w:r>
        <w:rPr>
          <w:rFonts w:ascii="Cambria" w:hAnsi="Cambria"/>
          <w:b/>
          <w:bCs/>
          <w:sz w:val="24"/>
          <w:szCs w:val="24"/>
        </w:rPr>
        <w:t>Alternativa 1 – Aquisição direta por meio de Pregão Eletrônico</w:t>
      </w:r>
    </w:p>
    <w:p>
      <w:pPr>
        <w:spacing w:line="276" w:lineRule="auto"/>
        <w:ind w:firstLine="709"/>
        <w:jc w:val="both"/>
        <w:rPr>
          <w:rFonts w:ascii="Cambria" w:hAnsi="Cambria"/>
          <w:sz w:val="24"/>
          <w:szCs w:val="24"/>
        </w:rPr>
      </w:pPr>
      <w:r>
        <w:rPr>
          <w:rFonts w:ascii="Cambria" w:hAnsi="Cambria"/>
          <w:sz w:val="24"/>
          <w:szCs w:val="24"/>
        </w:rPr>
        <w:t xml:space="preserve">Consiste na aquisição dos materiais permanentes odontológicos pela Administração, mediante realização de </w:t>
      </w:r>
      <w:r>
        <w:rPr>
          <w:rFonts w:ascii="Cambria" w:hAnsi="Cambria"/>
          <w:b/>
          <w:bCs/>
          <w:sz w:val="24"/>
          <w:szCs w:val="24"/>
        </w:rPr>
        <w:t>Pregão Eletrônico</w:t>
      </w:r>
      <w:r>
        <w:rPr>
          <w:rFonts w:ascii="Cambria" w:hAnsi="Cambria"/>
          <w:sz w:val="24"/>
          <w:szCs w:val="24"/>
        </w:rPr>
        <w:t>, observadas as especificações e quantitativos definidos no Termo de Referência.</w:t>
      </w:r>
    </w:p>
    <w:p>
      <w:pPr>
        <w:spacing w:line="276" w:lineRule="auto"/>
        <w:ind w:firstLine="709"/>
        <w:jc w:val="both"/>
        <w:rPr>
          <w:rFonts w:ascii="Cambria" w:hAnsi="Cambria"/>
          <w:sz w:val="24"/>
          <w:szCs w:val="24"/>
        </w:rPr>
      </w:pPr>
      <w:r>
        <w:rPr>
          <w:rFonts w:ascii="Cambria" w:hAnsi="Cambria"/>
          <w:sz w:val="24"/>
          <w:szCs w:val="24"/>
        </w:rPr>
        <w:t>Essa alternativa possibilita que os equipamentos permaneçam incorporados ao patrimônio do Município, podendo ser utilizados de forma contínua nas unidades de saúde, conforme a necessidade da Administração. A aquisição também proporciona maior autonomia na utilização dos materiais, não ficando condicionada à vigência de contrato de locação.</w:t>
      </w:r>
    </w:p>
    <w:p>
      <w:pPr>
        <w:spacing w:line="276" w:lineRule="auto"/>
        <w:ind w:firstLine="709"/>
        <w:jc w:val="both"/>
        <w:rPr>
          <w:rFonts w:ascii="Cambria" w:hAnsi="Cambria"/>
          <w:sz w:val="24"/>
          <w:szCs w:val="24"/>
        </w:rPr>
      </w:pPr>
      <w:r>
        <w:rPr>
          <w:rFonts w:ascii="Cambria" w:hAnsi="Cambria"/>
          <w:sz w:val="24"/>
          <w:szCs w:val="24"/>
        </w:rPr>
        <w:t>Além disso, considerando que os materiais pretendidos possuem características padronizadas e são encontrados regularmente no mercado, o Pregão Eletrônico apresenta-se como solução adequada para promover a competitividade entre os fornecedores e buscar condições mais vantajosas para a Administração.</w:t>
      </w:r>
    </w:p>
    <w:p>
      <w:pPr>
        <w:spacing w:line="276" w:lineRule="auto"/>
        <w:ind w:firstLine="709"/>
        <w:jc w:val="both"/>
        <w:rPr>
          <w:rFonts w:ascii="Cambria" w:hAnsi="Cambria"/>
          <w:sz w:val="24"/>
          <w:szCs w:val="24"/>
        </w:rPr>
      </w:pPr>
    </w:p>
    <w:p>
      <w:pPr>
        <w:spacing w:line="276" w:lineRule="auto"/>
        <w:jc w:val="both"/>
        <w:rPr>
          <w:rFonts w:ascii="Cambria" w:hAnsi="Cambria"/>
          <w:sz w:val="24"/>
          <w:szCs w:val="24"/>
        </w:rPr>
      </w:pPr>
      <w:r>
        <w:rPr>
          <w:rFonts w:ascii="Cambria" w:hAnsi="Cambria"/>
          <w:b/>
          <w:bCs/>
          <w:sz w:val="24"/>
          <w:szCs w:val="24"/>
        </w:rPr>
        <w:t>Alternativa 2 – Locação dos aparelhos e equipamentos odontológicos</w:t>
      </w:r>
    </w:p>
    <w:p>
      <w:pPr>
        <w:spacing w:line="276" w:lineRule="auto"/>
        <w:ind w:firstLine="709"/>
        <w:jc w:val="both"/>
        <w:rPr>
          <w:rFonts w:ascii="Cambria" w:hAnsi="Cambria"/>
          <w:sz w:val="24"/>
          <w:szCs w:val="24"/>
        </w:rPr>
      </w:pPr>
      <w:r>
        <w:rPr>
          <w:rFonts w:ascii="Cambria" w:hAnsi="Cambria"/>
          <w:sz w:val="24"/>
          <w:szCs w:val="24"/>
        </w:rPr>
        <w:t>A segunda alternativa consiste na contratação de empresa especializada para disponibilização dos aparelhos e equipamentos odontológicos mediante locação, permanecendo os bens de propriedade da empresa contratada durante a vigência contratual.</w:t>
      </w:r>
    </w:p>
    <w:p>
      <w:pPr>
        <w:spacing w:line="276" w:lineRule="auto"/>
        <w:ind w:firstLine="709"/>
        <w:jc w:val="both"/>
        <w:rPr>
          <w:rFonts w:ascii="Cambria" w:hAnsi="Cambria"/>
          <w:sz w:val="24"/>
          <w:szCs w:val="24"/>
        </w:rPr>
      </w:pPr>
      <w:r>
        <w:rPr>
          <w:rFonts w:ascii="Cambria" w:hAnsi="Cambria"/>
          <w:sz w:val="24"/>
          <w:szCs w:val="24"/>
        </w:rPr>
        <w:t xml:space="preserve">Embora a locação possa reduzir, inicialmente, a necessidade de desembolso para aquisição dos equipamentos e possa incluir determinados serviços de manutenção, essa alternativa gera </w:t>
      </w:r>
      <w:r>
        <w:rPr>
          <w:rFonts w:ascii="Cambria" w:hAnsi="Cambria"/>
          <w:b/>
          <w:bCs/>
          <w:sz w:val="24"/>
          <w:szCs w:val="24"/>
        </w:rPr>
        <w:t>despesas periódicas durante todo o período de utilização</w:t>
      </w:r>
      <w:r>
        <w:rPr>
          <w:rFonts w:ascii="Cambria" w:hAnsi="Cambria"/>
          <w:sz w:val="24"/>
          <w:szCs w:val="24"/>
        </w:rPr>
        <w:t>, além de vincular a disponibilidade dos equipamentos à manutenção do contrato.</w:t>
      </w:r>
    </w:p>
    <w:p>
      <w:pPr>
        <w:spacing w:line="276" w:lineRule="auto"/>
        <w:ind w:firstLine="709"/>
        <w:jc w:val="both"/>
        <w:rPr>
          <w:rFonts w:ascii="Cambria" w:hAnsi="Cambria"/>
          <w:sz w:val="24"/>
          <w:szCs w:val="24"/>
        </w:rPr>
      </w:pPr>
      <w:r>
        <w:rPr>
          <w:rFonts w:ascii="Cambria" w:hAnsi="Cambria"/>
          <w:sz w:val="24"/>
          <w:szCs w:val="24"/>
        </w:rPr>
        <w:lastRenderedPageBreak/>
        <w:t>A locação também não resulta na incorporação dos bens ao patrimônio municipal e, ao final da vigência contratual, a Administração deverá devolver os equipamentos ou promover nova contratação para garantir a continuidade dos serviços, o que pode representar menor autonomia e maior dependência contratual.</w:t>
      </w:r>
    </w:p>
    <w:p>
      <w:pPr>
        <w:spacing w:line="276" w:lineRule="auto"/>
        <w:ind w:firstLine="709"/>
        <w:jc w:val="both"/>
        <w:rPr>
          <w:rFonts w:ascii="Cambria" w:hAnsi="Cambria"/>
          <w:sz w:val="24"/>
          <w:szCs w:val="24"/>
        </w:rPr>
      </w:pPr>
    </w:p>
    <w:p>
      <w:pPr>
        <w:spacing w:line="276" w:lineRule="auto"/>
        <w:ind w:firstLine="709"/>
        <w:jc w:val="both"/>
        <w:rPr>
          <w:rFonts w:ascii="Cambria" w:hAnsi="Cambria"/>
          <w:sz w:val="24"/>
          <w:szCs w:val="24"/>
        </w:rPr>
      </w:pPr>
      <w:r>
        <w:rPr>
          <w:rFonts w:ascii="Cambria" w:hAnsi="Cambria"/>
          <w:b/>
          <w:bCs/>
          <w:sz w:val="24"/>
          <w:szCs w:val="24"/>
        </w:rPr>
        <w:t>Análise das alternativas e escolha da solução</w:t>
      </w:r>
    </w:p>
    <w:p>
      <w:pPr>
        <w:spacing w:line="276" w:lineRule="auto"/>
        <w:ind w:firstLine="709"/>
        <w:jc w:val="both"/>
        <w:rPr>
          <w:rFonts w:ascii="Cambria" w:hAnsi="Cambria"/>
          <w:sz w:val="24"/>
          <w:szCs w:val="24"/>
        </w:rPr>
      </w:pPr>
      <w:r>
        <w:rPr>
          <w:rFonts w:ascii="Cambria" w:hAnsi="Cambria"/>
          <w:sz w:val="24"/>
          <w:szCs w:val="24"/>
        </w:rPr>
        <w:t xml:space="preserve">Após a análise das alternativas disponíveis, verifica-se que a </w:t>
      </w:r>
      <w:r>
        <w:rPr>
          <w:rFonts w:ascii="Cambria" w:hAnsi="Cambria"/>
          <w:b/>
          <w:bCs/>
          <w:sz w:val="24"/>
          <w:szCs w:val="24"/>
        </w:rPr>
        <w:t>aquisição direta por meio de Pregão Eletrônico se apresenta como a solução mais adequada e vantajosa</w:t>
      </w:r>
      <w:r>
        <w:rPr>
          <w:rFonts w:ascii="Cambria" w:hAnsi="Cambria"/>
          <w:sz w:val="24"/>
          <w:szCs w:val="24"/>
        </w:rPr>
        <w:t xml:space="preserve"> para o atendimento da necessidade identificada.</w:t>
      </w:r>
    </w:p>
    <w:p>
      <w:pPr>
        <w:spacing w:line="276" w:lineRule="auto"/>
        <w:ind w:firstLine="709"/>
        <w:jc w:val="both"/>
        <w:rPr>
          <w:rFonts w:ascii="Cambria" w:hAnsi="Cambria"/>
          <w:sz w:val="24"/>
          <w:szCs w:val="24"/>
        </w:rPr>
      </w:pPr>
      <w:r>
        <w:rPr>
          <w:rFonts w:ascii="Cambria" w:hAnsi="Cambria"/>
          <w:sz w:val="24"/>
          <w:szCs w:val="24"/>
        </w:rPr>
        <w:t xml:space="preserve">Por se tratar de </w:t>
      </w:r>
      <w:r>
        <w:rPr>
          <w:rFonts w:ascii="Cambria" w:hAnsi="Cambria"/>
          <w:b/>
          <w:bCs/>
          <w:sz w:val="24"/>
          <w:szCs w:val="24"/>
        </w:rPr>
        <w:t>materiais permanentes</w:t>
      </w:r>
      <w:r>
        <w:rPr>
          <w:rFonts w:ascii="Cambria" w:hAnsi="Cambria"/>
          <w:sz w:val="24"/>
          <w:szCs w:val="24"/>
        </w:rPr>
        <w:t>, cuja utilização está prevista para atender às demandas contínuas dos serviços odontológicos municipais, a aquisição permite que os bens sejam incorporados ao patrimônio do Município, garantindo maior autonomia, disponibilidade e aproveitamento durante sua vida útil.</w:t>
      </w:r>
    </w:p>
    <w:p>
      <w:pPr>
        <w:spacing w:line="276" w:lineRule="auto"/>
        <w:ind w:firstLine="709"/>
        <w:jc w:val="both"/>
        <w:rPr>
          <w:rFonts w:ascii="Cambria" w:hAnsi="Cambria"/>
          <w:sz w:val="24"/>
          <w:szCs w:val="24"/>
        </w:rPr>
      </w:pPr>
      <w:r>
        <w:rPr>
          <w:rFonts w:ascii="Cambria" w:hAnsi="Cambria"/>
          <w:sz w:val="24"/>
          <w:szCs w:val="24"/>
        </w:rPr>
        <w:t xml:space="preserve">Dessa forma, considerando a natureza permanente dos materiais, a necessidade de utilização contínua, a possibilidade de competição entre fornecedores e a busca pela economicidade e melhor aproveitamento dos recursos públicos, </w:t>
      </w:r>
      <w:r>
        <w:rPr>
          <w:rFonts w:ascii="Cambria" w:hAnsi="Cambria"/>
          <w:b/>
          <w:bCs/>
          <w:sz w:val="24"/>
          <w:szCs w:val="24"/>
        </w:rPr>
        <w:t>recomenda-se a adoção da Alternativa 1 – Aquisição direta por meio de Pregão Eletrônico</w:t>
      </w:r>
      <w:r>
        <w:rPr>
          <w:rFonts w:ascii="Cambria" w:hAnsi="Cambria"/>
          <w:sz w:val="24"/>
          <w:szCs w:val="24"/>
        </w:rPr>
        <w:t>, por apresentar maior adequação ao interesse público e às necessidades da Secretaria Municipal de Saúde de Miraíma/CE.</w:t>
      </w:r>
    </w:p>
    <w:p>
      <w:pPr>
        <w:spacing w:line="276" w:lineRule="auto"/>
        <w:jc w:val="both"/>
        <w:rPr>
          <w:rFonts w:ascii="Cambria" w:hAnsi="Cambria"/>
          <w:sz w:val="24"/>
          <w:szCs w:val="24"/>
          <w:lang w:eastAsia="pt-BR"/>
        </w:rPr>
      </w:pPr>
    </w:p>
    <w:p>
      <w:pPr>
        <w:jc w:val="both"/>
        <w:rPr>
          <w:rFonts w:ascii="Cambria" w:hAnsi="Cambria"/>
          <w:b/>
          <w:bCs/>
          <w:sz w:val="24"/>
          <w:szCs w:val="24"/>
        </w:rPr>
      </w:pPr>
      <w:r>
        <w:rPr>
          <w:rFonts w:ascii="Cambria" w:hAnsi="Cambria"/>
          <w:b/>
          <w:bCs/>
          <w:sz w:val="24"/>
          <w:szCs w:val="24"/>
        </w:rPr>
        <w:t>6. Estimativa do Valor da Contratação:</w:t>
      </w:r>
    </w:p>
    <w:p>
      <w:pPr>
        <w:spacing w:line="276" w:lineRule="auto"/>
        <w:ind w:firstLine="708"/>
        <w:jc w:val="both"/>
        <w:rPr>
          <w:rFonts w:ascii="Cambria" w:hAnsi="Cambria"/>
          <w:bCs/>
          <w:sz w:val="24"/>
          <w:szCs w:val="24"/>
        </w:rPr>
      </w:pPr>
      <w:r>
        <w:rPr>
          <w:rFonts w:ascii="Cambria" w:hAnsi="Cambria"/>
          <w:bCs/>
          <w:sz w:val="24"/>
          <w:szCs w:val="24"/>
        </w:rPr>
        <w:t>A estimativa do valor da presente contratação é de R$ 100.000,00 (cem mil reais), conforme previsão constante no Plano de Contratações Anual – PCA do Município de Miraíma/CE, destinado à aquisição de materiais permanentes odontológicos para atendimento das necessidades da Secretaria Municipal de Saúde.</w:t>
      </w:r>
    </w:p>
    <w:p>
      <w:pPr>
        <w:spacing w:line="276" w:lineRule="auto"/>
        <w:ind w:firstLine="708"/>
        <w:jc w:val="both"/>
        <w:rPr>
          <w:rFonts w:ascii="Cambria" w:hAnsi="Cambria"/>
          <w:bCs/>
          <w:sz w:val="24"/>
          <w:szCs w:val="24"/>
        </w:rPr>
      </w:pPr>
      <w:r>
        <w:rPr>
          <w:rFonts w:ascii="Cambria" w:hAnsi="Cambria"/>
          <w:bCs/>
          <w:sz w:val="24"/>
          <w:szCs w:val="24"/>
        </w:rPr>
        <w:t>O valor indicado corresponde à previsão orçamentária estabelecida no planejamento anual da Administração e servirá como referência inicial para o desenvolvimento da contratação, devendo o valor estimado definitivo ser obtido mediante pesquisa de preços, observadas as disposições da Lei Federal nº 14.133/2021 e da regulamentação aplicável.</w:t>
      </w:r>
    </w:p>
    <w:p>
      <w:pPr>
        <w:spacing w:line="276" w:lineRule="auto"/>
        <w:ind w:firstLine="708"/>
        <w:jc w:val="both"/>
        <w:rPr>
          <w:rFonts w:ascii="Cambria" w:hAnsi="Cambria"/>
          <w:bCs/>
          <w:sz w:val="24"/>
          <w:szCs w:val="24"/>
        </w:rPr>
      </w:pPr>
      <w:r>
        <w:rPr>
          <w:rFonts w:ascii="Cambria" w:hAnsi="Cambria"/>
          <w:bCs/>
          <w:sz w:val="24"/>
          <w:szCs w:val="24"/>
        </w:rPr>
        <w:t>A estimativa busca assegurar a compatibilidade da futura contratação com o planejamento municipal e a disponibilidade de recursos, permitindo a aquisição dos materiais necessários à adequada prestação dos serviços odontológicos da rede pública de saúde.</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7. Descrição da Solução:</w:t>
      </w:r>
    </w:p>
    <w:p>
      <w:pPr>
        <w:spacing w:line="276" w:lineRule="auto"/>
        <w:ind w:firstLine="567"/>
        <w:jc w:val="both"/>
        <w:rPr>
          <w:rFonts w:ascii="Cambria" w:hAnsi="Cambria"/>
          <w:sz w:val="24"/>
          <w:szCs w:val="24"/>
        </w:rPr>
      </w:pPr>
      <w:r>
        <w:rPr>
          <w:rFonts w:ascii="Cambria" w:hAnsi="Cambria"/>
          <w:sz w:val="24"/>
          <w:szCs w:val="24"/>
        </w:rPr>
        <w:t>A solução proposta consiste na aquisição de materiais permanentes odontológicos, por meio de Pregão Eletrônico, destinados ao atendimento das necessidades da Secretaria Municipal de Saúde de Miraíma/CE e à adequada estruturação dos serviços de saúde bucal da rede municipal.</w:t>
      </w:r>
    </w:p>
    <w:p>
      <w:pPr>
        <w:spacing w:line="276" w:lineRule="auto"/>
        <w:ind w:firstLine="567"/>
        <w:jc w:val="both"/>
        <w:rPr>
          <w:rFonts w:ascii="Cambria" w:hAnsi="Cambria"/>
          <w:sz w:val="24"/>
          <w:szCs w:val="24"/>
        </w:rPr>
      </w:pPr>
      <w:r>
        <w:rPr>
          <w:rFonts w:ascii="Cambria" w:hAnsi="Cambria"/>
          <w:sz w:val="24"/>
          <w:szCs w:val="24"/>
        </w:rPr>
        <w:lastRenderedPageBreak/>
        <w:t>A aquisição compreenderá materiais e equipamentos odontológicos novos, de primeiro uso, em conformidade com as especificações técnicas e quantitativos estabelecidos pela Administração, devendo ser entregues em perfeitas condições de uso e funcionamento, quando aplicável.</w:t>
      </w:r>
    </w:p>
    <w:p>
      <w:pPr>
        <w:spacing w:line="276" w:lineRule="auto"/>
        <w:ind w:firstLine="567"/>
        <w:jc w:val="both"/>
        <w:rPr>
          <w:rFonts w:ascii="Cambria" w:hAnsi="Cambria"/>
          <w:sz w:val="24"/>
          <w:szCs w:val="24"/>
        </w:rPr>
      </w:pPr>
      <w:r>
        <w:rPr>
          <w:rFonts w:ascii="Cambria" w:hAnsi="Cambria"/>
          <w:sz w:val="24"/>
          <w:szCs w:val="24"/>
        </w:rPr>
        <w:t>A solução permitirá a disponibilização dos equipamentos de forma contínua nas unidades de saúde, proporcionando aos profissionais melhores condições para a realização dos procedimentos odontológicos e contribuindo para a qualidade, segurança e eficiência dos atendimentos prestados à população.</w:t>
      </w:r>
    </w:p>
    <w:p>
      <w:pPr>
        <w:spacing w:line="276" w:lineRule="auto"/>
        <w:ind w:firstLine="567"/>
        <w:jc w:val="both"/>
        <w:rPr>
          <w:rFonts w:ascii="Cambria" w:hAnsi="Cambria"/>
          <w:sz w:val="24"/>
          <w:szCs w:val="24"/>
        </w:rPr>
      </w:pPr>
      <w:r>
        <w:rPr>
          <w:rFonts w:ascii="Cambria" w:hAnsi="Cambria"/>
          <w:sz w:val="24"/>
          <w:szCs w:val="24"/>
        </w:rPr>
        <w:t>Os materiais adquiridos serão incorporados ao patrimônio do Município, permitindo sua utilização durante toda a vida útil dos bens, observadas as condições de conservação, manutenção e garantia estabelecidas para cada item.</w:t>
      </w:r>
    </w:p>
    <w:p>
      <w:pPr>
        <w:spacing w:line="276" w:lineRule="auto"/>
        <w:ind w:firstLine="567"/>
        <w:jc w:val="both"/>
        <w:rPr>
          <w:rFonts w:ascii="Cambria" w:hAnsi="Cambria"/>
          <w:sz w:val="24"/>
          <w:szCs w:val="24"/>
        </w:rPr>
      </w:pPr>
      <w:r>
        <w:rPr>
          <w:rFonts w:ascii="Cambria" w:hAnsi="Cambria"/>
          <w:sz w:val="24"/>
          <w:szCs w:val="24"/>
        </w:rPr>
        <w:t>A execução da solução deverá contemplar, ainda, a entrega dos materiais nos locais indicados pela Secretaria Municipal de Saúde, devidamente acondicionados e protegidos contra danos durante o transporte, bem como a substituição dos itens que apresentarem defeitos, avarias ou desconformidades com as especificações contratadas.</w:t>
      </w:r>
    </w:p>
    <w:p>
      <w:pPr>
        <w:spacing w:line="276" w:lineRule="auto"/>
        <w:ind w:firstLine="567"/>
        <w:jc w:val="both"/>
        <w:rPr>
          <w:rFonts w:ascii="Cambria" w:hAnsi="Cambria"/>
          <w:sz w:val="24"/>
          <w:szCs w:val="24"/>
        </w:rPr>
      </w:pPr>
      <w:r>
        <w:rPr>
          <w:rFonts w:ascii="Cambria" w:hAnsi="Cambria"/>
          <w:sz w:val="24"/>
          <w:szCs w:val="24"/>
        </w:rPr>
        <w:t>Diante das alternativas analisadas, a aquisição mostra-se a solução mais adequada, por proporcionar maior autonomia à Administração, disponibilidade contínua dos equipamentos, incorporação dos bens ao patrimônio público e melhor aproveitamento dos recursos públicos, atendendo de forma satisfatória às necessidades dos serviços odontológicos municipais.</w:t>
      </w:r>
    </w:p>
    <w:p>
      <w:pPr>
        <w:spacing w:line="276" w:lineRule="auto"/>
        <w:ind w:firstLine="567"/>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8. Justificativas para o Parcelamento ou não da Contratação:</w:t>
      </w:r>
    </w:p>
    <w:p>
      <w:pPr>
        <w:spacing w:line="276" w:lineRule="auto"/>
        <w:ind w:firstLine="567"/>
        <w:jc w:val="both"/>
        <w:rPr>
          <w:rFonts w:ascii="Cambria" w:hAnsi="Cambria"/>
          <w:sz w:val="24"/>
          <w:szCs w:val="24"/>
        </w:rPr>
      </w:pPr>
      <w:r>
        <w:rPr>
          <w:rFonts w:ascii="Cambria" w:hAnsi="Cambria"/>
          <w:sz w:val="24"/>
          <w:szCs w:val="24"/>
        </w:rPr>
        <w:t>Considerando a natureza do objeto e as características dos materiais permanentes odontológicos a serem adquiridos, optou-se pelo parcelamento da contratação em lotes, agrupando-se os itens de acordo com suas características e finalidades, conforme especificações constantes no Termo de Referência.</w:t>
      </w:r>
    </w:p>
    <w:p>
      <w:pPr>
        <w:spacing w:line="276" w:lineRule="auto"/>
        <w:ind w:firstLine="567"/>
        <w:jc w:val="both"/>
        <w:rPr>
          <w:rFonts w:ascii="Cambria" w:hAnsi="Cambria"/>
          <w:sz w:val="24"/>
          <w:szCs w:val="24"/>
        </w:rPr>
      </w:pPr>
      <w:r>
        <w:rPr>
          <w:rFonts w:ascii="Cambria" w:hAnsi="Cambria"/>
          <w:sz w:val="24"/>
          <w:szCs w:val="24"/>
        </w:rPr>
        <w:t>A divisão por lotes mostra-se adequada por permitir uma melhor organização do fornecimento, reunindo materiais que possuem similaridade e relação entre si, sem comprometer a competitividade do certame. O agrupamento também facilita a gestão e fiscalização da contratação, possibilitando maior eficiência no recebimento, controle e utilização dos materiais pela Secretaria Municipal de Saúde.</w:t>
      </w:r>
    </w:p>
    <w:p>
      <w:pPr>
        <w:spacing w:line="276" w:lineRule="auto"/>
        <w:ind w:firstLine="567"/>
        <w:jc w:val="both"/>
        <w:rPr>
          <w:rFonts w:ascii="Cambria" w:hAnsi="Cambria"/>
          <w:sz w:val="24"/>
          <w:szCs w:val="24"/>
        </w:rPr>
      </w:pPr>
      <w:r>
        <w:rPr>
          <w:rFonts w:ascii="Cambria" w:hAnsi="Cambria"/>
          <w:sz w:val="24"/>
          <w:szCs w:val="24"/>
        </w:rPr>
        <w:t>A adoção do sistema por lotes busca, ainda, ampliar a eficiência da contratação e obter condições mais vantajosas para a Administração, evitando o fracionamento excessivo de itens que possuem características semelhantes ou que possam ser fornecidos conjuntamente.</w:t>
      </w:r>
    </w:p>
    <w:p>
      <w:pPr>
        <w:spacing w:line="276" w:lineRule="auto"/>
        <w:ind w:firstLine="567"/>
        <w:jc w:val="both"/>
        <w:rPr>
          <w:rFonts w:ascii="Cambria" w:hAnsi="Cambria"/>
          <w:sz w:val="24"/>
          <w:szCs w:val="24"/>
        </w:rPr>
      </w:pPr>
      <w:r>
        <w:rPr>
          <w:rFonts w:ascii="Cambria" w:hAnsi="Cambria"/>
          <w:sz w:val="24"/>
          <w:szCs w:val="24"/>
        </w:rPr>
        <w:t>Ressalta-se que a formação dos lotes deverá observar critérios técnicos e de mercado, de modo a não ocasionar restrição indevida à participação de potenciais fornecedores. Assim, o agrupamento será realizado de forma a preservar a competitividade e possibilitar a obtenção da proposta mais vantajosa para o Município.</w:t>
      </w:r>
    </w:p>
    <w:p>
      <w:pPr>
        <w:spacing w:line="276" w:lineRule="auto"/>
        <w:ind w:firstLine="567"/>
        <w:jc w:val="both"/>
        <w:rPr>
          <w:rFonts w:ascii="Cambria" w:hAnsi="Cambria"/>
          <w:sz w:val="24"/>
          <w:szCs w:val="24"/>
        </w:rPr>
      </w:pPr>
      <w:r>
        <w:rPr>
          <w:rFonts w:ascii="Cambria" w:hAnsi="Cambria"/>
          <w:sz w:val="24"/>
          <w:szCs w:val="24"/>
        </w:rPr>
        <w:lastRenderedPageBreak/>
        <w:t>Dessa forma, o parcelamento por lotes é considerado a solução mais adequada, por conciliar a necessidade de organização e eficiência na aquisição dos materiais com a busca pela economicidade, competitividade e adequada gestão da contratação.</w:t>
      </w:r>
    </w:p>
    <w:p>
      <w:pPr>
        <w:spacing w:line="276" w:lineRule="auto"/>
        <w:ind w:firstLine="567"/>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9. Demonstrativo dos Resultados Pretendidos:</w:t>
      </w:r>
    </w:p>
    <w:p>
      <w:pPr>
        <w:spacing w:line="276" w:lineRule="auto"/>
        <w:ind w:firstLine="567"/>
        <w:jc w:val="both"/>
        <w:rPr>
          <w:rFonts w:ascii="Cambria" w:hAnsi="Cambria"/>
          <w:sz w:val="24"/>
          <w:szCs w:val="24"/>
        </w:rPr>
      </w:pPr>
      <w:r>
        <w:rPr>
          <w:rFonts w:ascii="Cambria" w:hAnsi="Cambria"/>
          <w:sz w:val="24"/>
          <w:szCs w:val="24"/>
        </w:rPr>
        <w:t>Com a realização da presente contratação, pretende-se garantir a adequada estruturação e funcionamento dos serviços odontológicos da Secretaria Municipal de Saúde de Miraíma/CE, mediante a disponibilização de materiais permanentes adequados às necessidades das unidades de saúde.</w:t>
      </w:r>
    </w:p>
    <w:p>
      <w:pPr>
        <w:spacing w:line="276" w:lineRule="auto"/>
        <w:ind w:firstLine="567"/>
        <w:jc w:val="both"/>
        <w:rPr>
          <w:rFonts w:ascii="Cambria" w:hAnsi="Cambria"/>
          <w:sz w:val="24"/>
          <w:szCs w:val="24"/>
        </w:rPr>
      </w:pPr>
      <w:r>
        <w:rPr>
          <w:rFonts w:ascii="Cambria" w:hAnsi="Cambria"/>
          <w:sz w:val="24"/>
          <w:szCs w:val="24"/>
        </w:rPr>
        <w:t>Como resultados pretendidos, destacam-se:</w:t>
      </w:r>
    </w:p>
    <w:p>
      <w:pPr>
        <w:numPr>
          <w:ilvl w:val="0"/>
          <w:numId w:val="28"/>
        </w:numPr>
        <w:spacing w:line="276" w:lineRule="auto"/>
        <w:jc w:val="both"/>
        <w:rPr>
          <w:rFonts w:ascii="Cambria" w:hAnsi="Cambria"/>
          <w:sz w:val="24"/>
          <w:szCs w:val="24"/>
        </w:rPr>
      </w:pPr>
      <w:r>
        <w:rPr>
          <w:rFonts w:ascii="Cambria" w:hAnsi="Cambria"/>
          <w:sz w:val="24"/>
          <w:szCs w:val="24"/>
        </w:rPr>
        <w:t xml:space="preserve">Melhorar as condições de atendimento odontológico oferecido à população; </w:t>
      </w:r>
    </w:p>
    <w:p>
      <w:pPr>
        <w:numPr>
          <w:ilvl w:val="0"/>
          <w:numId w:val="28"/>
        </w:numPr>
        <w:spacing w:line="276" w:lineRule="auto"/>
        <w:jc w:val="both"/>
        <w:rPr>
          <w:rFonts w:ascii="Cambria" w:hAnsi="Cambria"/>
          <w:sz w:val="24"/>
          <w:szCs w:val="24"/>
        </w:rPr>
      </w:pPr>
      <w:r>
        <w:rPr>
          <w:rFonts w:ascii="Cambria" w:hAnsi="Cambria"/>
          <w:sz w:val="24"/>
          <w:szCs w:val="24"/>
        </w:rPr>
        <w:t xml:space="preserve">Proporcionar aos profissionais de saúde materiais e equipamentos adequados para a realização dos procedimentos; </w:t>
      </w:r>
    </w:p>
    <w:p>
      <w:pPr>
        <w:numPr>
          <w:ilvl w:val="0"/>
          <w:numId w:val="28"/>
        </w:numPr>
        <w:spacing w:line="276" w:lineRule="auto"/>
        <w:jc w:val="both"/>
        <w:rPr>
          <w:rFonts w:ascii="Cambria" w:hAnsi="Cambria"/>
          <w:sz w:val="24"/>
          <w:szCs w:val="24"/>
        </w:rPr>
      </w:pPr>
      <w:r>
        <w:rPr>
          <w:rFonts w:ascii="Cambria" w:hAnsi="Cambria"/>
          <w:sz w:val="24"/>
          <w:szCs w:val="24"/>
        </w:rPr>
        <w:t xml:space="preserve">Garantir maior segurança, qualidade e eficiência na prestação dos serviços odontológicos; </w:t>
      </w:r>
    </w:p>
    <w:p>
      <w:pPr>
        <w:numPr>
          <w:ilvl w:val="0"/>
          <w:numId w:val="28"/>
        </w:numPr>
        <w:spacing w:line="276" w:lineRule="auto"/>
        <w:jc w:val="both"/>
        <w:rPr>
          <w:rFonts w:ascii="Cambria" w:hAnsi="Cambria"/>
          <w:sz w:val="24"/>
          <w:szCs w:val="24"/>
        </w:rPr>
      </w:pPr>
      <w:r>
        <w:rPr>
          <w:rFonts w:ascii="Cambria" w:hAnsi="Cambria"/>
          <w:sz w:val="24"/>
          <w:szCs w:val="24"/>
        </w:rPr>
        <w:t xml:space="preserve">Assegurar a continuidade dos atendimentos de saúde bucal, reduzindo eventuais limitações decorrentes da falta ou insuficiência de equipamentos; </w:t>
      </w:r>
    </w:p>
    <w:p>
      <w:pPr>
        <w:numPr>
          <w:ilvl w:val="0"/>
          <w:numId w:val="28"/>
        </w:numPr>
        <w:spacing w:line="276" w:lineRule="auto"/>
        <w:jc w:val="both"/>
        <w:rPr>
          <w:rFonts w:ascii="Cambria" w:hAnsi="Cambria"/>
          <w:sz w:val="24"/>
          <w:szCs w:val="24"/>
        </w:rPr>
      </w:pPr>
      <w:r>
        <w:rPr>
          <w:rFonts w:ascii="Cambria" w:hAnsi="Cambria"/>
          <w:sz w:val="24"/>
          <w:szCs w:val="24"/>
        </w:rPr>
        <w:t xml:space="preserve">Promover melhores condições de trabalho aos profissionais envolvidos na assistência odontológica; </w:t>
      </w:r>
    </w:p>
    <w:p>
      <w:pPr>
        <w:numPr>
          <w:ilvl w:val="0"/>
          <w:numId w:val="28"/>
        </w:numPr>
        <w:spacing w:line="276" w:lineRule="auto"/>
        <w:jc w:val="both"/>
        <w:rPr>
          <w:rFonts w:ascii="Cambria" w:hAnsi="Cambria"/>
          <w:sz w:val="24"/>
          <w:szCs w:val="24"/>
        </w:rPr>
      </w:pPr>
      <w:r>
        <w:rPr>
          <w:rFonts w:ascii="Cambria" w:hAnsi="Cambria"/>
          <w:sz w:val="24"/>
          <w:szCs w:val="24"/>
        </w:rPr>
        <w:t xml:space="preserve">Possibilitar a ampliação e melhoria da capacidade de atendimento da rede municipal, conforme a demanda existente; </w:t>
      </w:r>
    </w:p>
    <w:p>
      <w:pPr>
        <w:numPr>
          <w:ilvl w:val="0"/>
          <w:numId w:val="28"/>
        </w:numPr>
        <w:spacing w:line="276" w:lineRule="auto"/>
        <w:jc w:val="both"/>
        <w:rPr>
          <w:rFonts w:ascii="Cambria" w:hAnsi="Cambria"/>
          <w:sz w:val="24"/>
          <w:szCs w:val="24"/>
        </w:rPr>
      </w:pPr>
      <w:r>
        <w:rPr>
          <w:rFonts w:ascii="Cambria" w:hAnsi="Cambria"/>
          <w:sz w:val="24"/>
          <w:szCs w:val="24"/>
        </w:rPr>
        <w:t xml:space="preserve">Garantir o adequado aproveitamento dos recursos públicos, mediante a aquisição de bens que serão incorporados ao patrimônio municipal e utilizados durante sua vida útil. </w:t>
      </w:r>
    </w:p>
    <w:p>
      <w:pPr>
        <w:spacing w:line="276" w:lineRule="auto"/>
        <w:ind w:firstLine="567"/>
        <w:jc w:val="both"/>
        <w:rPr>
          <w:rFonts w:ascii="Cambria" w:hAnsi="Cambria"/>
          <w:sz w:val="24"/>
          <w:szCs w:val="24"/>
        </w:rPr>
      </w:pPr>
      <w:r>
        <w:rPr>
          <w:rFonts w:ascii="Cambria" w:hAnsi="Cambria"/>
          <w:sz w:val="24"/>
          <w:szCs w:val="24"/>
        </w:rPr>
        <w:t>Dessa forma, espera-se que a contratação contribua para o fortalecimento da assistência odontológica municipal, proporcionando melhores condições de atendimento aos usuários do SUS e maior eficiência na aplicação dos recursos públicos.</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10. Providências Pré-Contratuais:</w:t>
      </w:r>
    </w:p>
    <w:p>
      <w:pPr>
        <w:spacing w:line="276" w:lineRule="auto"/>
        <w:ind w:firstLine="567"/>
        <w:jc w:val="both"/>
        <w:rPr>
          <w:rFonts w:ascii="Cambria" w:hAnsi="Cambria"/>
          <w:sz w:val="24"/>
          <w:szCs w:val="24"/>
        </w:rPr>
      </w:pPr>
      <w:r>
        <w:rPr>
          <w:rFonts w:ascii="Cambria" w:hAnsi="Cambria"/>
          <w:sz w:val="24"/>
          <w:szCs w:val="24"/>
        </w:rPr>
        <w:t>Antes da formalização da contratação, a Administração deverá adotar as providências necessárias para assegurar a adequada execução do objeto, incluindo a conclusão da fase preparatória, com a elaboração e aprovação dos documentos necessários à contratação, observando as disposições da Lei Federal nº 14.133/2021.</w:t>
      </w:r>
    </w:p>
    <w:p>
      <w:pPr>
        <w:spacing w:line="276" w:lineRule="auto"/>
        <w:ind w:firstLine="567"/>
        <w:jc w:val="both"/>
        <w:rPr>
          <w:rFonts w:ascii="Cambria" w:hAnsi="Cambria"/>
          <w:sz w:val="24"/>
          <w:szCs w:val="24"/>
        </w:rPr>
      </w:pPr>
      <w:r>
        <w:rPr>
          <w:rFonts w:ascii="Cambria" w:hAnsi="Cambria"/>
          <w:sz w:val="24"/>
          <w:szCs w:val="24"/>
        </w:rPr>
        <w:t>Deverá ser realizada a pesquisa de preços, a definição das especificações e quantitativos dos materiais, bem como a elaboração do Termo de Referência, contemplando as condições de fornecimento, entrega, recebimento, pagamento, garantia e demais obrigações da contratada.</w:t>
      </w:r>
    </w:p>
    <w:p>
      <w:pPr>
        <w:spacing w:line="276" w:lineRule="auto"/>
        <w:ind w:firstLine="567"/>
        <w:jc w:val="both"/>
        <w:rPr>
          <w:rFonts w:ascii="Cambria" w:hAnsi="Cambria"/>
          <w:sz w:val="24"/>
          <w:szCs w:val="24"/>
        </w:rPr>
      </w:pPr>
      <w:r>
        <w:rPr>
          <w:rFonts w:ascii="Cambria" w:hAnsi="Cambria"/>
          <w:sz w:val="24"/>
          <w:szCs w:val="24"/>
        </w:rPr>
        <w:t xml:space="preserve">A Secretaria Municipal de Saúde deverá, ainda, verificar previamente a disponibilidade dos locais e condições necessárias para o recebimento, </w:t>
      </w:r>
      <w:r>
        <w:rPr>
          <w:rFonts w:ascii="Cambria" w:hAnsi="Cambria"/>
          <w:sz w:val="24"/>
          <w:szCs w:val="24"/>
        </w:rPr>
        <w:lastRenderedPageBreak/>
        <w:t>armazenamento e utilização dos materiais, bem como indicar os servidores responsáveis pelo acompanhamento e fiscalização da execução contratual.</w:t>
      </w:r>
    </w:p>
    <w:p>
      <w:pPr>
        <w:spacing w:line="276" w:lineRule="auto"/>
        <w:ind w:firstLine="567"/>
        <w:jc w:val="both"/>
        <w:rPr>
          <w:rFonts w:ascii="Cambria" w:hAnsi="Cambria"/>
          <w:sz w:val="24"/>
          <w:szCs w:val="24"/>
        </w:rPr>
      </w:pPr>
      <w:r>
        <w:rPr>
          <w:rFonts w:ascii="Cambria" w:hAnsi="Cambria"/>
          <w:sz w:val="24"/>
          <w:szCs w:val="24"/>
        </w:rPr>
        <w:t>Por fim, deverão ser adotadas as providências administrativas necessárias à realização do Pregão Eletrônico por lotes, incluindo a verificação da disponibilidade orçamentária, autorização da contratação e demais atos previstos na legislação aplicável.</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11. Contratações Correlatas e/ou Interdependentes:</w:t>
      </w:r>
    </w:p>
    <w:p>
      <w:pPr>
        <w:spacing w:line="276" w:lineRule="auto"/>
        <w:ind w:firstLine="567"/>
        <w:jc w:val="both"/>
        <w:rPr>
          <w:rFonts w:ascii="Cambria" w:hAnsi="Cambria"/>
          <w:sz w:val="24"/>
          <w:szCs w:val="24"/>
        </w:rPr>
      </w:pPr>
      <w:r>
        <w:rPr>
          <w:rFonts w:ascii="Cambria" w:hAnsi="Cambria"/>
          <w:sz w:val="24"/>
          <w:szCs w:val="24"/>
        </w:rPr>
        <w:t>Não existe contratações correlatas e interdependentes</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12. Impactos Ambientais e Medidas Mitigadoras:</w:t>
      </w:r>
    </w:p>
    <w:p>
      <w:pPr>
        <w:spacing w:line="276" w:lineRule="auto"/>
        <w:ind w:firstLine="709"/>
        <w:jc w:val="both"/>
        <w:rPr>
          <w:rFonts w:ascii="Cambria" w:hAnsi="Cambria"/>
          <w:sz w:val="24"/>
          <w:szCs w:val="24"/>
        </w:rPr>
      </w:pPr>
      <w:r>
        <w:rPr>
          <w:rFonts w:ascii="Cambria" w:hAnsi="Cambria"/>
          <w:sz w:val="24"/>
          <w:szCs w:val="24"/>
        </w:rPr>
        <w:t>A aquisição de materiais permanentes odontológicos poderá gerar impactos ambientais relacionados principalmente à utilização de embalagens, geração de resíduos e eventual descarte dos equipamentos ao final de sua vida útil.</w:t>
      </w:r>
    </w:p>
    <w:p>
      <w:pPr>
        <w:spacing w:line="276" w:lineRule="auto"/>
        <w:ind w:firstLine="709"/>
        <w:jc w:val="both"/>
        <w:rPr>
          <w:rFonts w:ascii="Cambria" w:hAnsi="Cambria"/>
          <w:sz w:val="24"/>
          <w:szCs w:val="24"/>
        </w:rPr>
      </w:pPr>
      <w:r>
        <w:rPr>
          <w:rFonts w:ascii="Cambria" w:hAnsi="Cambria"/>
          <w:sz w:val="24"/>
          <w:szCs w:val="24"/>
        </w:rPr>
        <w:t>Como medidas mitigadoras, deverão ser observadas práticas de redução e correta destinação dos resíduos, priorizando, sempre que possível, materiais e equipamentos que apresentem maior durabilidade, eficiência e possibilidade de manutenção, evitando substituições prematuras e reduzindo a geração de resíduos.</w:t>
      </w:r>
    </w:p>
    <w:p>
      <w:pPr>
        <w:spacing w:line="276" w:lineRule="auto"/>
        <w:ind w:firstLine="709"/>
        <w:jc w:val="both"/>
        <w:rPr>
          <w:rFonts w:ascii="Cambria" w:hAnsi="Cambria"/>
          <w:sz w:val="24"/>
          <w:szCs w:val="24"/>
        </w:rPr>
      </w:pPr>
      <w:r>
        <w:rPr>
          <w:rFonts w:ascii="Cambria" w:hAnsi="Cambria"/>
          <w:sz w:val="24"/>
          <w:szCs w:val="24"/>
        </w:rPr>
        <w:t>As embalagens resultantes da entrega deverão ser destinadas de forma ambientalmente adequada, preferencialmente mediante reutilização ou reciclagem, quando tecnicamente possível. Os equipamentos e componentes que, ao final de sua vida útil, não possam mais ser utilizados deverão ser encaminhados para destinação ambientalmente adequada, observando-se a legislação aplicável.</w:t>
      </w:r>
    </w:p>
    <w:p>
      <w:pPr>
        <w:spacing w:line="276" w:lineRule="auto"/>
        <w:ind w:firstLine="709"/>
        <w:jc w:val="both"/>
        <w:rPr>
          <w:rFonts w:ascii="Cambria" w:hAnsi="Cambria"/>
          <w:sz w:val="24"/>
          <w:szCs w:val="24"/>
        </w:rPr>
      </w:pPr>
      <w:r>
        <w:rPr>
          <w:rFonts w:ascii="Cambria" w:hAnsi="Cambria"/>
          <w:sz w:val="24"/>
          <w:szCs w:val="24"/>
        </w:rPr>
        <w:t>A contratada deverá realizar o fornecimento e transporte dos materiais de forma a evitar danos, desperdícios e geração desnecessária de resíduos, enquanto a Administração deverá promover o adequado armazenamento, conservação e utilização dos bens, visando prolongar sua vida útil.</w:t>
      </w:r>
    </w:p>
    <w:p>
      <w:pPr>
        <w:spacing w:line="276" w:lineRule="auto"/>
        <w:ind w:firstLine="709"/>
        <w:jc w:val="both"/>
        <w:rPr>
          <w:rFonts w:ascii="Cambria" w:hAnsi="Cambria"/>
          <w:sz w:val="24"/>
          <w:szCs w:val="24"/>
        </w:rPr>
      </w:pPr>
      <w:r>
        <w:rPr>
          <w:rFonts w:ascii="Cambria" w:hAnsi="Cambria"/>
          <w:sz w:val="24"/>
          <w:szCs w:val="24"/>
        </w:rPr>
        <w:t>Dessa forma, embora a contratação apresente impactos ambientais de baixa magnitude, serão adotadas medidas para reduzir a geração de resíduos, promover o uso racional dos recursos e assegurar a destinação ambientalmente adequada dos materiais e equipamentos, em observância aos princípios da sustentabilidade nas contratações públicas.</w:t>
      </w:r>
    </w:p>
    <w:p>
      <w:pPr>
        <w:spacing w:line="276" w:lineRule="auto"/>
        <w:jc w:val="both"/>
        <w:rPr>
          <w:rFonts w:ascii="Cambria" w:hAnsi="Cambria"/>
          <w:sz w:val="24"/>
          <w:szCs w:val="24"/>
        </w:rPr>
      </w:pPr>
    </w:p>
    <w:p>
      <w:pPr>
        <w:spacing w:line="276" w:lineRule="auto"/>
        <w:jc w:val="both"/>
        <w:rPr>
          <w:rFonts w:ascii="Cambria" w:hAnsi="Cambria"/>
          <w:b/>
          <w:bCs/>
          <w:sz w:val="24"/>
          <w:szCs w:val="24"/>
        </w:rPr>
      </w:pPr>
      <w:r>
        <w:rPr>
          <w:rFonts w:ascii="Cambria" w:hAnsi="Cambria"/>
          <w:b/>
          <w:bCs/>
          <w:sz w:val="24"/>
          <w:szCs w:val="24"/>
        </w:rPr>
        <w:t>13. Posicionamento Conclusivo:</w:t>
      </w:r>
    </w:p>
    <w:p>
      <w:pPr>
        <w:spacing w:line="276" w:lineRule="auto"/>
        <w:ind w:firstLine="709"/>
        <w:jc w:val="both"/>
        <w:rPr>
          <w:rFonts w:ascii="Cambria" w:hAnsi="Cambria"/>
          <w:sz w:val="24"/>
          <w:szCs w:val="24"/>
        </w:rPr>
      </w:pPr>
      <w:r>
        <w:rPr>
          <w:rFonts w:ascii="Cambria" w:hAnsi="Cambria"/>
          <w:sz w:val="24"/>
          <w:szCs w:val="24"/>
        </w:rPr>
        <w:t>Diante das informações levantadas e das alternativas analisadas, conclui-se pela viabilidade da contratação para aquisição de materiais permanentes odontológicos, destinados ao atendimento das necessidades da Secretaria Municipal de Saúde de Miraíma/CE.</w:t>
      </w:r>
    </w:p>
    <w:p>
      <w:pPr>
        <w:spacing w:line="276" w:lineRule="auto"/>
        <w:ind w:firstLine="709"/>
        <w:jc w:val="both"/>
        <w:rPr>
          <w:rFonts w:ascii="Cambria" w:hAnsi="Cambria"/>
          <w:sz w:val="24"/>
          <w:szCs w:val="24"/>
        </w:rPr>
      </w:pPr>
      <w:r>
        <w:rPr>
          <w:rFonts w:ascii="Cambria" w:hAnsi="Cambria"/>
          <w:sz w:val="24"/>
          <w:szCs w:val="24"/>
        </w:rPr>
        <w:t xml:space="preserve">A solução escolhida, consistente na aquisição dos materiais por meio de Pregão Eletrônico, com julgamento por lotes, mostra-se adequada às necessidades da </w:t>
      </w:r>
      <w:r>
        <w:rPr>
          <w:rFonts w:ascii="Cambria" w:hAnsi="Cambria"/>
          <w:sz w:val="24"/>
          <w:szCs w:val="24"/>
        </w:rPr>
        <w:lastRenderedPageBreak/>
        <w:t>Administração, considerando a natureza permanente dos bens, a necessidade de utilização contínua nos serviços odontológicos e a possibilidade de incorporação dos equipamentos ao patrimônio municipal.</w:t>
      </w:r>
    </w:p>
    <w:p>
      <w:pPr>
        <w:spacing w:line="276" w:lineRule="auto"/>
        <w:ind w:firstLine="709"/>
        <w:jc w:val="both"/>
        <w:rPr>
          <w:rFonts w:ascii="Cambria" w:hAnsi="Cambria"/>
          <w:sz w:val="24"/>
          <w:szCs w:val="24"/>
        </w:rPr>
      </w:pPr>
      <w:r>
        <w:rPr>
          <w:rFonts w:ascii="Cambria" w:hAnsi="Cambria"/>
          <w:sz w:val="24"/>
          <w:szCs w:val="24"/>
        </w:rPr>
        <w:t>A contratação permitirá melhores condições para a prestação dos serviços de saúde bucal, proporcionando aos profissionais materiais adequados para o desenvolvimento de suas atividades e contribuindo para a qualidade, segurança, continuidade e eficiência do atendimento à população.</w:t>
      </w:r>
    </w:p>
    <w:p>
      <w:pPr>
        <w:spacing w:line="276" w:lineRule="auto"/>
        <w:ind w:firstLine="709"/>
        <w:jc w:val="both"/>
        <w:rPr>
          <w:rFonts w:ascii="Cambria" w:hAnsi="Cambria"/>
          <w:sz w:val="24"/>
          <w:szCs w:val="24"/>
        </w:rPr>
      </w:pPr>
      <w:r>
        <w:rPr>
          <w:rFonts w:ascii="Cambria" w:hAnsi="Cambria"/>
          <w:sz w:val="24"/>
          <w:szCs w:val="24"/>
        </w:rPr>
        <w:t>Assim, considerando os aspectos técnicos, operacionais e econômicos analisados neste Estudo Técnico Preliminar, considera-se a contratação viável, necessária e adequada ao interesse público, devendo ser observados, na fase subsequente, os requisitos, especificações, quantitativos e demais condições estabelecidos no Termo de Referência, em conformidade com a Lei Federal nº 14.133/2021.</w:t>
      </w:r>
    </w:p>
    <w:p>
      <w:pPr>
        <w:jc w:val="center"/>
        <w:rPr>
          <w:rFonts w:ascii="Cambria" w:hAnsi="Cambria"/>
          <w:b/>
          <w:sz w:val="24"/>
          <w:szCs w:val="24"/>
        </w:rPr>
        <w:sectPr>
          <w:pgSz w:w="11906" w:h="16838"/>
          <w:pgMar w:top="2354" w:right="1416" w:bottom="1418" w:left="1560" w:header="568" w:footer="339" w:gutter="0"/>
          <w:cols w:space="708"/>
          <w:docGrid w:linePitch="360"/>
        </w:sectPr>
      </w:pPr>
    </w:p>
    <w:p>
      <w:pPr>
        <w:spacing w:line="276" w:lineRule="auto"/>
        <w:rPr>
          <w:rFonts w:ascii="Cambria" w:hAnsi="Cambria"/>
          <w:b/>
          <w:sz w:val="24"/>
          <w:szCs w:val="24"/>
        </w:rPr>
      </w:pPr>
    </w:p>
    <w:p>
      <w:pPr>
        <w:spacing w:line="276" w:lineRule="auto"/>
        <w:jc w:val="center"/>
        <w:rPr>
          <w:rFonts w:ascii="Cambria" w:hAnsi="Cambria"/>
          <w:b/>
          <w:sz w:val="24"/>
          <w:szCs w:val="24"/>
        </w:rPr>
      </w:pPr>
      <w:r>
        <w:rPr>
          <w:rFonts w:ascii="Cambria" w:hAnsi="Cambria"/>
          <w:b/>
          <w:sz w:val="24"/>
          <w:szCs w:val="24"/>
        </w:rPr>
        <w:t>ANEXO II – MINUTA DE TERMO DE CONTRATO</w:t>
      </w:r>
    </w:p>
    <w:p>
      <w:pPr>
        <w:pStyle w:val="Prembulo"/>
        <w:spacing w:before="0" w:after="0" w:line="276" w:lineRule="auto"/>
        <w:ind w:right="-170"/>
        <w:rPr>
          <w:rFonts w:ascii="Cambria" w:hAnsi="Cambria" w:cs="Times New Roman"/>
          <w:bCs w:val="0"/>
          <w:sz w:val="24"/>
          <w:szCs w:val="24"/>
        </w:rPr>
      </w:pPr>
    </w:p>
    <w:p>
      <w:pPr>
        <w:pStyle w:val="Prembulo"/>
        <w:spacing w:before="0" w:after="0" w:line="276" w:lineRule="auto"/>
        <w:ind w:right="-170"/>
        <w:rPr>
          <w:rFonts w:ascii="Cambria" w:hAnsi="Cambria" w:cs="Times New Roman"/>
          <w:bCs w:val="0"/>
          <w:sz w:val="24"/>
          <w:szCs w:val="24"/>
        </w:rPr>
      </w:pPr>
      <w:r>
        <w:rPr>
          <w:rFonts w:ascii="Cambria" w:hAnsi="Cambria" w:cs="Times New Roman"/>
          <w:bCs w:val="0"/>
          <w:sz w:val="24"/>
          <w:szCs w:val="24"/>
        </w:rPr>
        <w:t xml:space="preserve">CONTRATO ADMINISTRATIVO Nº ______________, QUE FAZEM ENTRE SI A PREFEITURA MUNICIPAL DE MIRAÍMA-CE, ATRAVÉS DA SECRETARIA _______ E _____________. </w:t>
      </w:r>
    </w:p>
    <w:p>
      <w:pPr>
        <w:spacing w:line="276" w:lineRule="auto"/>
        <w:jc w:val="both"/>
        <w:rPr>
          <w:rFonts w:ascii="Cambria" w:eastAsia="Arial" w:hAnsi="Cambria"/>
          <w:iCs/>
          <w:sz w:val="24"/>
          <w:szCs w:val="24"/>
        </w:rPr>
      </w:pPr>
    </w:p>
    <w:p>
      <w:pPr>
        <w:pStyle w:val="Prembulo"/>
        <w:spacing w:before="0" w:after="0" w:line="276" w:lineRule="auto"/>
        <w:ind w:left="0"/>
        <w:rPr>
          <w:rFonts w:ascii="Cambria" w:hAnsi="Cambria" w:cs="Times New Roman"/>
          <w:sz w:val="24"/>
          <w:szCs w:val="24"/>
        </w:rPr>
      </w:pPr>
      <w:r>
        <w:rPr>
          <w:rFonts w:ascii="Cambria" w:hAnsi="Cambria" w:cs="Times New Roman"/>
          <w:iCs/>
          <w:sz w:val="24"/>
          <w:szCs w:val="24"/>
        </w:rPr>
        <w:t>A Prefeitura Municipal de Miraíma-CE</w:t>
      </w:r>
      <w:r>
        <w:rPr>
          <w:rFonts w:ascii="Cambria" w:hAnsi="Cambria" w:cs="Times New Roman"/>
          <w:sz w:val="24"/>
          <w:szCs w:val="24"/>
        </w:rPr>
        <w:t xml:space="preserve">, com sede na Esplanada da Estação, 433, Centro, Miraíma – CE, inscrito(a) no CNPJ sob o N° 10.517.563/0001-05, através da Secretaria ________, neste ato representado(a) pelo(a) ___________, doravante denominado CONTRATANTE, e a Empresa _____________, </w:t>
      </w:r>
      <w:r>
        <w:rPr>
          <w:rFonts w:ascii="Cambria" w:hAnsi="Cambria" w:cs="Times New Roman"/>
          <w:iCs/>
          <w:sz w:val="24"/>
          <w:szCs w:val="24"/>
        </w:rPr>
        <w:t>inscrito(a) no CNPJ/MF sob o nº ............................, sediado(a) na</w:t>
      </w:r>
      <w:r>
        <w:rPr>
          <w:rFonts w:ascii="Cambria" w:hAnsi="Cambria" w:cs="Times New Roman"/>
          <w:sz w:val="24"/>
          <w:szCs w:val="24"/>
        </w:rPr>
        <w:t xml:space="preserve"> ..................................., </w:t>
      </w:r>
      <w:r>
        <w:rPr>
          <w:rFonts w:ascii="Cambria" w:hAnsi="Cambria" w:cs="Times New Roman"/>
          <w:iCs/>
          <w:sz w:val="24"/>
          <w:szCs w:val="24"/>
        </w:rPr>
        <w:t>em</w:t>
      </w:r>
      <w:r>
        <w:rPr>
          <w:rFonts w:ascii="Cambria" w:hAnsi="Cambria" w:cs="Times New Roman"/>
          <w:sz w:val="24"/>
          <w:szCs w:val="24"/>
        </w:rPr>
        <w:t xml:space="preserve"> ............................. doravante designado CONTRATADO, </w:t>
      </w:r>
      <w:r>
        <w:rPr>
          <w:rFonts w:ascii="Cambria" w:hAnsi="Cambria" w:cs="Times New Roman"/>
          <w:iCs/>
          <w:sz w:val="24"/>
          <w:szCs w:val="24"/>
        </w:rPr>
        <w:t>neste ato representado pelo Sr. _______________, inscrito no CPF Nº ______________,</w:t>
      </w:r>
      <w:r>
        <w:rPr>
          <w:rFonts w:ascii="Cambria" w:hAnsi="Cambria" w:cs="Times New Roman"/>
          <w:i/>
          <w:iCs/>
          <w:sz w:val="24"/>
          <w:szCs w:val="24"/>
        </w:rPr>
        <w:t xml:space="preserve"> </w:t>
      </w:r>
      <w:r>
        <w:rPr>
          <w:rFonts w:ascii="Cambria" w:hAnsi="Cambria" w:cs="Times New Roman"/>
          <w:iCs/>
          <w:sz w:val="24"/>
          <w:szCs w:val="24"/>
        </w:rPr>
        <w:t>e</w:t>
      </w:r>
      <w:r>
        <w:rPr>
          <w:rFonts w:ascii="Cambria" w:hAnsi="Cambria" w:cs="Times New Roman"/>
          <w:sz w:val="24"/>
          <w:szCs w:val="24"/>
        </w:rPr>
        <w:t xml:space="preserve">m observância às disposições da Lei nº 14.133, de 1º de abril de 2021, e demais legislação aplicável, resolvem celebrar o presente Termo de Contrato, decorrente </w:t>
      </w:r>
      <w:r>
        <w:rPr>
          <w:rFonts w:ascii="Cambria" w:hAnsi="Cambria" w:cs="Times New Roman"/>
          <w:iCs/>
          <w:sz w:val="24"/>
          <w:szCs w:val="24"/>
        </w:rPr>
        <w:t>do Pregão Eletrônico n. .../...</w:t>
      </w:r>
      <w:r>
        <w:rPr>
          <w:rFonts w:ascii="Cambria" w:hAnsi="Cambria" w:cs="Times New Roman"/>
          <w:sz w:val="24"/>
          <w:szCs w:val="24"/>
        </w:rPr>
        <w:t>, mediante as cláusulas e condições a seguir enunciadas.</w:t>
      </w:r>
    </w:p>
    <w:p>
      <w:pPr>
        <w:pStyle w:val="Prembulo"/>
        <w:spacing w:before="0" w:after="0" w:line="276" w:lineRule="auto"/>
        <w:ind w:left="0"/>
        <w:rPr>
          <w:rFonts w:ascii="Cambria" w:hAnsi="Cambria" w:cs="Times New Roman"/>
          <w:sz w:val="24"/>
          <w:szCs w:val="24"/>
        </w:rPr>
      </w:pPr>
    </w:p>
    <w:p>
      <w:pPr>
        <w:pStyle w:val="Nivel01"/>
        <w:numPr>
          <w:ilvl w:val="0"/>
          <w:numId w:val="9"/>
        </w:numPr>
        <w:spacing w:before="0" w:line="276" w:lineRule="auto"/>
        <w:rPr>
          <w:rFonts w:ascii="Cambria" w:hAnsi="Cambria" w:cs="Times New Roman"/>
          <w:color w:val="FFFFFF" w:themeColor="background1"/>
          <w:sz w:val="24"/>
          <w:szCs w:val="24"/>
        </w:rPr>
      </w:pPr>
      <w:r>
        <w:rPr>
          <w:rFonts w:ascii="Cambria" w:hAnsi="Cambria" w:cs="Times New Roman"/>
          <w:sz w:val="24"/>
          <w:szCs w:val="24"/>
        </w:rPr>
        <w:t>CLÁUSULA PRIMEIRA – OBJETO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 objeto do presente instrumento é a contratação de </w:t>
      </w:r>
      <w:r>
        <w:rPr>
          <w:rFonts w:ascii="Cambria" w:hAnsi="Cambria" w:cs="Times New Roman"/>
          <w:color w:val="FF0000"/>
          <w:sz w:val="24"/>
          <w:szCs w:val="24"/>
        </w:rPr>
        <w:t>..........................</w:t>
      </w:r>
      <w:r>
        <w:rPr>
          <w:rFonts w:ascii="Cambria" w:hAnsi="Cambria" w:cs="Times New Roman"/>
          <w:sz w:val="24"/>
          <w:szCs w:val="24"/>
        </w:rPr>
        <w:t>, nas condições estabelecidas no Termo de Referência.</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Objeto da contratação:</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color w:val="000000"/>
                <w:szCs w:val="24"/>
              </w:rPr>
            </w:pPr>
            <w:r>
              <w:rPr>
                <w:rFonts w:ascii="Cambria" w:eastAsia="Arial" w:hAnsi="Cambria"/>
                <w:b/>
                <w:bCs/>
                <w:color w:val="000000" w:themeColor="text1"/>
                <w:szCs w:val="24"/>
              </w:rPr>
              <w:t>ITEM</w:t>
            </w:r>
          </w:p>
          <w:p>
            <w:pPr>
              <w:widowControl w:val="0"/>
              <w:spacing w:line="276" w:lineRule="auto"/>
              <w:jc w:val="center"/>
              <w:rPr>
                <w:rFonts w:ascii="Cambria" w:eastAsia="Arial" w:hAnsi="Cambria"/>
                <w:b/>
                <w:bCs/>
                <w:color w:val="000000"/>
                <w:szCs w:val="24"/>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color w:val="000000"/>
                <w:szCs w:val="24"/>
              </w:rPr>
            </w:pPr>
            <w:r>
              <w:rPr>
                <w:rFonts w:ascii="Cambria" w:eastAsia="Arial" w:hAnsi="Cambria"/>
                <w:b/>
                <w:bCs/>
                <w:color w:val="000000" w:themeColor="text1"/>
                <w:szCs w:val="24"/>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color w:val="000000"/>
                <w:szCs w:val="24"/>
              </w:rPr>
            </w:pPr>
            <w:r>
              <w:rPr>
                <w:rFonts w:ascii="Cambria" w:eastAsia="Arial" w:hAnsi="Cambria"/>
                <w:b/>
                <w:bCs/>
                <w:color w:val="000000" w:themeColor="text1"/>
                <w:szCs w:val="24"/>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szCs w:val="24"/>
              </w:rPr>
            </w:pPr>
            <w:r>
              <w:rPr>
                <w:rFonts w:ascii="Cambria" w:eastAsia="Arial" w:hAnsi="Cambria"/>
                <w:b/>
                <w:bCs/>
                <w:szCs w:val="24"/>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szCs w:val="24"/>
              </w:rPr>
            </w:pPr>
            <w:r>
              <w:rPr>
                <w:rFonts w:ascii="Cambria" w:eastAsia="Arial" w:hAnsi="Cambria"/>
                <w:b/>
                <w:bCs/>
                <w:szCs w:val="24"/>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szCs w:val="24"/>
              </w:rPr>
            </w:pPr>
            <w:r>
              <w:rPr>
                <w:rFonts w:ascii="Cambria" w:eastAsia="Arial" w:hAnsi="Cambria"/>
                <w:b/>
                <w:bCs/>
                <w:szCs w:val="24"/>
              </w:rPr>
              <w:t>VALOR TOTAL</w:t>
            </w:r>
          </w:p>
        </w:tc>
      </w:tr>
      <w:t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color w:val="000000"/>
                <w:szCs w:val="24"/>
              </w:rPr>
            </w:pPr>
            <w:r>
              <w:rPr>
                <w:rFonts w:ascii="Cambria" w:eastAsia="Arial" w:hAnsi="Cambria"/>
                <w:b/>
                <w:bCs/>
                <w:color w:val="000000" w:themeColor="text1"/>
                <w:szCs w:val="24"/>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r>
      <w:t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color w:val="000000"/>
                <w:szCs w:val="24"/>
              </w:rPr>
            </w:pPr>
            <w:r>
              <w:rPr>
                <w:rFonts w:ascii="Cambria" w:eastAsia="Arial" w:hAnsi="Cambria"/>
                <w:b/>
                <w:bCs/>
                <w:color w:val="000000" w:themeColor="text1"/>
                <w:szCs w:val="24"/>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r>
      <w:t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color w:val="000000"/>
                <w:szCs w:val="24"/>
              </w:rPr>
            </w:pPr>
            <w:r>
              <w:rPr>
                <w:rFonts w:ascii="Cambria" w:eastAsia="Arial" w:hAnsi="Cambria"/>
                <w:b/>
                <w:bCs/>
                <w:color w:val="000000" w:themeColor="text1"/>
                <w:szCs w:val="24"/>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r>
      <w:t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b/>
                <w:bCs/>
                <w:color w:val="000000"/>
                <w:szCs w:val="24"/>
              </w:rPr>
            </w:pPr>
            <w:r>
              <w:rPr>
                <w:rFonts w:ascii="Cambria" w:eastAsia="Arial" w:hAnsi="Cambria"/>
                <w:b/>
                <w:bCs/>
                <w:color w:val="000000" w:themeColor="text1"/>
                <w:szCs w:val="24"/>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jc w:val="center"/>
              <w:rPr>
                <w:rFonts w:ascii="Cambria" w:eastAsia="Arial" w:hAnsi="Cambria"/>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pPr>
              <w:widowControl w:val="0"/>
              <w:spacing w:line="276" w:lineRule="auto"/>
              <w:rPr>
                <w:rFonts w:ascii="Cambria" w:eastAsia="Arial" w:hAnsi="Cambria"/>
                <w:color w:val="000000"/>
                <w:szCs w:val="24"/>
              </w:rPr>
            </w:pPr>
          </w:p>
        </w:tc>
      </w:tr>
    </w:tbl>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Vinculam esta contratação, independentemente de transcrição:</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O Termo de Referência;</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O Edital da Licitação;</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A Proposta do contratado;</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Eventuais anexos dos documentos supracitados.</w:t>
      </w:r>
    </w:p>
    <w:p>
      <w:pPr>
        <w:pStyle w:val="Nivel3"/>
        <w:numPr>
          <w:ilvl w:val="0"/>
          <w:numId w:val="0"/>
        </w:numPr>
        <w:spacing w:before="0" w:after="0"/>
        <w:ind w:left="284"/>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SEGUNDA – VIGÊNCIA E PRORROGAÇÃO</w:t>
      </w:r>
    </w:p>
    <w:p>
      <w:pPr>
        <w:pStyle w:val="Nivel2"/>
        <w:numPr>
          <w:ilvl w:val="1"/>
          <w:numId w:val="24"/>
        </w:numPr>
        <w:spacing w:before="0" w:after="0"/>
        <w:ind w:left="0" w:firstLine="0"/>
        <w:rPr>
          <w:rFonts w:ascii="Cambria" w:hAnsi="Cambria" w:cs="Times New Roman"/>
          <w:color w:val="auto"/>
          <w:sz w:val="24"/>
          <w:szCs w:val="24"/>
        </w:rPr>
      </w:pPr>
      <w:r>
        <w:rPr>
          <w:rFonts w:ascii="Cambria" w:hAnsi="Cambria" w:cs="Times New Roman"/>
          <w:color w:val="auto"/>
          <w:sz w:val="24"/>
          <w:szCs w:val="24"/>
        </w:rPr>
        <w:t xml:space="preserve">O prazo de vigência da contratação é de 12 (doze) meses, </w:t>
      </w:r>
      <w:r>
        <w:rPr>
          <w:rFonts w:ascii="Cambria" w:hAnsi="Cambria" w:cs="Times New Roman"/>
          <w:iCs/>
          <w:color w:val="auto"/>
          <w:sz w:val="24"/>
          <w:szCs w:val="24"/>
        </w:rPr>
        <w:t xml:space="preserve">contados da data de assinatura do contrato, </w:t>
      </w:r>
      <w:r>
        <w:rPr>
          <w:rFonts w:ascii="Cambria" w:hAnsi="Cambria" w:cs="Times New Roman"/>
          <w:color w:val="auto"/>
          <w:sz w:val="24"/>
          <w:szCs w:val="24"/>
        </w:rPr>
        <w:t>prorrogável nas formas da lei.</w:t>
      </w:r>
    </w:p>
    <w:p>
      <w:pPr>
        <w:pStyle w:val="Nvel3-R"/>
        <w:numPr>
          <w:ilvl w:val="2"/>
          <w:numId w:val="24"/>
        </w:numPr>
        <w:spacing w:before="0" w:after="0"/>
        <w:ind w:left="284" w:firstLine="0"/>
        <w:rPr>
          <w:rFonts w:ascii="Cambria" w:hAnsi="Cambria" w:cs="Times New Roman"/>
          <w:i w:val="0"/>
          <w:color w:val="auto"/>
          <w:sz w:val="24"/>
          <w:szCs w:val="24"/>
        </w:rPr>
      </w:pPr>
      <w:r>
        <w:rPr>
          <w:rFonts w:ascii="Cambria" w:hAnsi="Cambria" w:cs="Times New Roman"/>
          <w:i w:val="0"/>
          <w:color w:val="auto"/>
          <w:sz w:val="24"/>
          <w:szCs w:val="24"/>
        </w:rPr>
        <w:lastRenderedPageBreak/>
        <w:t>A prorrogação de que trata este item é condicionada ao ateste, pela autoridade competente, de que as condições e os preços permanecem vantajosos para a Administração, permitida a negociação com o contratado.</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O contratado não tem direito subjetivo à prorrogação contratual.</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A prorrogação de contrato deverá ser promovida mediante celebração de termo aditivo.</w:t>
      </w:r>
    </w:p>
    <w:p>
      <w:pPr>
        <w:pStyle w:val="Nvel2-Red"/>
        <w:numPr>
          <w:ilvl w:val="1"/>
          <w:numId w:val="24"/>
        </w:numPr>
        <w:spacing w:before="0" w:after="0"/>
        <w:ind w:left="0" w:firstLine="0"/>
        <w:rPr>
          <w:rFonts w:ascii="Cambria" w:hAnsi="Cambria" w:cs="Times New Roman"/>
          <w:i w:val="0"/>
          <w:sz w:val="24"/>
          <w:szCs w:val="24"/>
        </w:rPr>
      </w:pPr>
      <w:r>
        <w:rPr>
          <w:rFonts w:ascii="Cambria" w:hAnsi="Cambria"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pPr>
        <w:pStyle w:val="Nvel2-Red"/>
        <w:numPr>
          <w:ilvl w:val="0"/>
          <w:numId w:val="0"/>
        </w:numPr>
        <w:spacing w:before="0" w:after="0"/>
        <w:rPr>
          <w:rFonts w:ascii="Cambria" w:hAnsi="Cambria" w:cs="Times New Roman"/>
          <w:i w:val="0"/>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TERCEIRA – MODELOS DE EXECUÇÃO E GESTÃO CONTRATUAIS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QUARTA – SUBCONTRATAÇÃO</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Não será admitida a subcontratação do objeto contratual.</w:t>
      </w:r>
    </w:p>
    <w:p>
      <w:pPr>
        <w:pStyle w:val="Nvel2-Red"/>
        <w:numPr>
          <w:ilvl w:val="0"/>
          <w:numId w:val="0"/>
        </w:numPr>
        <w:spacing w:before="0" w:after="0"/>
        <w:rPr>
          <w:rFonts w:ascii="Cambria" w:hAnsi="Cambria" w:cs="Times New Roman"/>
          <w:i w:val="0"/>
          <w:color w:val="auto"/>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QUINTA – PREÇO</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O valor total da contratação é de R$..........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O valor acima é meramente estimativo, de forma que os pagamentos devidos ao contratado dependerão dos quantitativos efetivamente fornecidos.</w:t>
      </w:r>
    </w:p>
    <w:p>
      <w:pPr>
        <w:pStyle w:val="Nvel2-Red"/>
        <w:numPr>
          <w:ilvl w:val="0"/>
          <w:numId w:val="0"/>
        </w:numPr>
        <w:spacing w:before="0" w:after="0"/>
        <w:rPr>
          <w:rFonts w:ascii="Cambria" w:hAnsi="Cambria" w:cs="Times New Roman"/>
          <w:i w:val="0"/>
          <w:color w:val="auto"/>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SEXTA - PAGAMENTO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 prazo para pagamento </w:t>
      </w:r>
      <w:r>
        <w:rPr>
          <w:rFonts w:ascii="Cambria" w:hAnsi="Cambria" w:cs="Times New Roman"/>
          <w:color w:val="auto"/>
          <w:sz w:val="24"/>
          <w:szCs w:val="24"/>
          <w:lang w:eastAsia="en-US"/>
        </w:rPr>
        <w:t>ao contratado</w:t>
      </w:r>
      <w:r>
        <w:rPr>
          <w:rFonts w:ascii="Cambria" w:hAnsi="Cambria" w:cs="Times New Roman"/>
          <w:sz w:val="24"/>
          <w:szCs w:val="24"/>
        </w:rPr>
        <w:t xml:space="preserve"> e demais condições a ele referentes encontram-se definidos no Termo de Referência, anexo a este Contrato.</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SÉTIMA - REAJUSTE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Os preços inicialmente contratados são fixos e irreajustáveis no prazo de um ano contado da data do orçamento estimado.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Após o interregno de um ano, por interesse e iniciativa das partes, os preços iniciais serão reajustados, mediante a aplicação, pelo contratante, do Índice Geral de Preços de Mercado (IGPM)</w:t>
      </w:r>
      <w:r>
        <w:rPr>
          <w:rFonts w:ascii="Cambria" w:hAnsi="Cambria" w:cs="Times New Roman"/>
          <w:i/>
          <w:iCs/>
          <w:sz w:val="24"/>
          <w:szCs w:val="24"/>
        </w:rPr>
        <w:t>,</w:t>
      </w:r>
      <w:r>
        <w:rPr>
          <w:rFonts w:ascii="Cambria" w:hAnsi="Cambria" w:cs="Times New Roman"/>
          <w:sz w:val="24"/>
          <w:szCs w:val="24"/>
        </w:rPr>
        <w:t xml:space="preserve"> exclusivamente para as obrigações iniciadas e concluídas após a ocorrência da anualidade.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Nos reajustes subsequentes ao primeiro, o interregno mínimo de um ano será contado a partir dos efeitos financeiros do último reajuste.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Pr>
          <w:rFonts w:ascii="Cambria" w:eastAsia="Times New Roman" w:hAnsi="Cambria" w:cs="Times New Roman"/>
          <w:sz w:val="24"/>
          <w:szCs w:val="24"/>
        </w:rPr>
        <w:t xml:space="preserve">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Nas aferições finais, o(s) índice(s) utilizado(s) para reajuste será(ão), obrigatoriamente, o(s) definitivo(s).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Na ausência de previsão legal quanto ao índice substituto, as partes elegerão novo índice oficial, para reajustamento do preço do valor remanescente, por meio de termo aditivo.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reajuste será realizado por apostilamento.</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OITAVA - OBRIGAÇÕES DO CONTRATANTE </w:t>
      </w:r>
    </w:p>
    <w:p>
      <w:pPr>
        <w:pStyle w:val="Nivel2"/>
        <w:numPr>
          <w:ilvl w:val="1"/>
          <w:numId w:val="24"/>
        </w:numPr>
        <w:spacing w:before="0" w:after="0"/>
        <w:ind w:left="0" w:firstLine="0"/>
        <w:rPr>
          <w:rFonts w:ascii="Cambria" w:hAnsi="Cambria" w:cs="Times New Roman"/>
          <w:b/>
          <w:bCs/>
          <w:sz w:val="24"/>
          <w:szCs w:val="24"/>
        </w:rPr>
      </w:pPr>
      <w:r>
        <w:rPr>
          <w:rFonts w:ascii="Cambria" w:hAnsi="Cambria" w:cs="Times New Roman"/>
          <w:sz w:val="24"/>
          <w:szCs w:val="24"/>
        </w:rPr>
        <w:t>São obrigações do Contratante: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Exigir o cumprimento de todas as obrigações assumidas pelo Contratado, de acordo com o contrato e seus anexos;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Receber o objeto no prazo e condições estabelecidas no Termo de Referência;</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Notificar o Contratado, por escrito, sobre vícios, defeitos ou incorreções verificadas no objeto fornecido, para que seja por ele substituído, reparado ou corrigido, no total ou em parte, às suas expensas;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Acompanhar e fiscalizar a execução do contrato e o cumprimento das obrigações pelo Contratado;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Efetuar o pagamento ao Contratado do valor correspondente ao fornecimento do objeto, no prazo, forma e condições estabelecidos no presente Contrato e no Termo de Referência.</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Aplicar ao Contratado as sanções previstas na lei e neste Contrato;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Cientificar a Procuradoria Municipal para adoção das medidas cabíveis quando do descumprimento de obrigações pelo Contratado;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Responder eventuais pedidos de reestabelecimento do equilíbrio econômico-financeiro feitos pelo contratado.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Notificar os emitentes das garantias quanto ao início de processo administrativo para apuração de descumprimento de cláusulas contratuais.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NONA - OBRIGAÇÕES DO CONTRATADO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Entregar o objeto, quando for o caso, acompanhado do manual do usuário, com uma versão em português, e da relação da rede de assistência técnica autorizada;</w:t>
      </w:r>
    </w:p>
    <w:p>
      <w:pPr>
        <w:pStyle w:val="Nivel2"/>
        <w:numPr>
          <w:ilvl w:val="1"/>
          <w:numId w:val="24"/>
        </w:numPr>
        <w:spacing w:before="0" w:after="0"/>
        <w:ind w:left="0" w:firstLine="0"/>
        <w:rPr>
          <w:rFonts w:ascii="Cambria" w:hAnsi="Cambria" w:cs="Times New Roman"/>
          <w:color w:val="000000" w:themeColor="text1"/>
          <w:sz w:val="24"/>
          <w:szCs w:val="24"/>
        </w:rPr>
      </w:pPr>
      <w:r>
        <w:rPr>
          <w:rFonts w:ascii="Cambria" w:hAnsi="Cambria" w:cs="Times New Roman"/>
          <w:sz w:val="24"/>
          <w:szCs w:val="24"/>
        </w:rPr>
        <w:t>Responsabilizar-se pelos vícios e danos decorrentes do objeto, de acordo com o Código de Defesa do Consumidor (</w:t>
      </w:r>
      <w:hyperlink r:id="rId70" w:history="1">
        <w:r>
          <w:rPr>
            <w:rStyle w:val="Hyperlink"/>
            <w:rFonts w:ascii="Cambria" w:hAnsi="Cambria" w:cs="Times New Roman"/>
            <w:sz w:val="24"/>
            <w:szCs w:val="24"/>
          </w:rPr>
          <w:t>Lei nº 8.078, de 1990</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Comunicar ao contratante, no prazo máximo de 24 (vinte e quatro) horas que antecede a data da entrega, os motivos que impossibilitem o cumprimento do prazo previsto, com a devida comprovação;</w:t>
      </w:r>
    </w:p>
    <w:p>
      <w:pPr>
        <w:pStyle w:val="Nivel2"/>
        <w:numPr>
          <w:ilvl w:val="1"/>
          <w:numId w:val="24"/>
        </w:numPr>
        <w:spacing w:before="0" w:after="0"/>
        <w:ind w:left="0" w:firstLine="0"/>
        <w:rPr>
          <w:rFonts w:ascii="Cambria" w:hAnsi="Cambria" w:cs="Times New Roman"/>
          <w:color w:val="000000" w:themeColor="text1"/>
          <w:sz w:val="24"/>
          <w:szCs w:val="24"/>
        </w:rPr>
      </w:pPr>
      <w:r>
        <w:rPr>
          <w:rFonts w:ascii="Cambria" w:hAnsi="Cambria" w:cs="Times New Roman"/>
          <w:color w:val="000000" w:themeColor="text1"/>
          <w:sz w:val="24"/>
          <w:szCs w:val="24"/>
        </w:rPr>
        <w:t xml:space="preserve">Atender </w:t>
      </w:r>
      <w:r>
        <w:rPr>
          <w:rFonts w:ascii="Cambria" w:hAnsi="Cambria" w:cs="Times New Roman"/>
          <w:sz w:val="24"/>
          <w:szCs w:val="24"/>
        </w:rPr>
        <w:t>às</w:t>
      </w:r>
      <w:r>
        <w:rPr>
          <w:rFonts w:ascii="Cambria" w:hAnsi="Cambria" w:cs="Times New Roman"/>
          <w:color w:val="000000" w:themeColor="text1"/>
          <w:sz w:val="24"/>
          <w:szCs w:val="24"/>
        </w:rPr>
        <w:t xml:space="preserve"> determinações regulares emitidas pelo fiscal ou gestor do contrato ou autoridade superior (</w:t>
      </w:r>
      <w:hyperlink r:id="rId71" w:anchor="art137" w:history="1">
        <w:r>
          <w:rPr>
            <w:rStyle w:val="Hyperlink"/>
            <w:rFonts w:ascii="Cambria" w:hAnsi="Cambria" w:cs="Times New Roman"/>
            <w:sz w:val="24"/>
            <w:szCs w:val="24"/>
          </w:rPr>
          <w:t>art. 137, II, da Lei n.º 14.133, de 2021</w:t>
        </w:r>
      </w:hyperlink>
      <w:r>
        <w:rPr>
          <w:rFonts w:ascii="Cambria" w:hAnsi="Cambria" w:cs="Times New Roman"/>
          <w:color w:val="000000" w:themeColor="text1"/>
          <w:sz w:val="24"/>
          <w:szCs w:val="24"/>
        </w:rPr>
        <w:t xml:space="preserve">) e </w:t>
      </w:r>
      <w:r>
        <w:rPr>
          <w:rFonts w:ascii="Cambria" w:hAnsi="Cambria" w:cs="Times New Roman"/>
          <w:sz w:val="24"/>
          <w:szCs w:val="24"/>
        </w:rPr>
        <w:t>prestar todo esclarecimento ou informação por eles solicitados</w:t>
      </w:r>
      <w:r>
        <w:rPr>
          <w:rFonts w:ascii="Cambria" w:hAnsi="Cambria" w:cs="Times New Roman"/>
          <w:color w:val="000000" w:themeColor="text1"/>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lastRenderedPageBreak/>
        <w:t>Comunicar ao Fiscal do contrato, no prazo de 24 (vinte e quatro) horas, qualquer ocorrência anormal ou acidente que se verifique no local da execução do objeto contratual.</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Paralisar, por determinação do contratante, qualquer atividade que não esteja sendo executada de acordo com a boa técnica ou que ponha em risco a segurança de pessoas ou bens de terceiros.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Manter durante toda a vigência do contrato, em compatibilidade com as obrigações assumidas, todas as condições exigidas para habilitação na licitação; </w:t>
      </w:r>
    </w:p>
    <w:p>
      <w:pPr>
        <w:pStyle w:val="Nivel2"/>
        <w:numPr>
          <w:ilvl w:val="1"/>
          <w:numId w:val="24"/>
        </w:numPr>
        <w:spacing w:before="0" w:after="0"/>
        <w:ind w:left="0" w:firstLine="0"/>
        <w:rPr>
          <w:rFonts w:ascii="Cambria" w:hAnsi="Cambria" w:cs="Times New Roman"/>
          <w:b/>
          <w:bCs/>
          <w:sz w:val="24"/>
          <w:szCs w:val="24"/>
        </w:rPr>
      </w:pPr>
      <w:r>
        <w:rPr>
          <w:rFonts w:ascii="Cambria" w:hAnsi="Cambria"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Pr>
            <w:rStyle w:val="Hyperlink"/>
            <w:rFonts w:ascii="Cambria" w:hAnsi="Cambria" w:cs="Times New Roman"/>
            <w:sz w:val="24"/>
            <w:szCs w:val="24"/>
          </w:rPr>
          <w:t>art. 116, da Lei n.º 14.133, de 2021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Comprovar a reserva de cargos a que se refere a cláusula acima, no prazo fixado pelo fiscal do contrato, com a indicação dos empregados que preencheram as referidas vagas (</w:t>
      </w:r>
      <w:hyperlink r:id="rId73" w:anchor="art116" w:history="1">
        <w:r>
          <w:rPr>
            <w:rStyle w:val="Hyperlink"/>
            <w:rFonts w:ascii="Cambria" w:hAnsi="Cambria" w:cs="Times New Roman"/>
            <w:sz w:val="24"/>
            <w:szCs w:val="24"/>
          </w:rPr>
          <w:t>art. 116, parágrafo único, da Lei n.º 14.133, de 2021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  Guardar sigilo sobre todas as informações obtidas em decorrência do cumprimento do contrato;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Pr>
            <w:rStyle w:val="Hyperlink"/>
            <w:rFonts w:ascii="Cambria" w:hAnsi="Cambria" w:cs="Times New Roman"/>
            <w:sz w:val="24"/>
            <w:szCs w:val="24"/>
          </w:rPr>
          <w:t>art. 124, II, d, da Lei nº 14.133, de 2021.</w:t>
        </w:r>
      </w:hyperlink>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Cumprir, além dos postulados legais vigentes de âmbito federal, estadual ou municipal, as normas de segurança do contratante;</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vel2-Red"/>
        <w:numPr>
          <w:ilvl w:val="0"/>
          <w:numId w:val="0"/>
        </w:numPr>
        <w:spacing w:before="0" w:after="0"/>
        <w:rPr>
          <w:rFonts w:ascii="Cambria" w:hAnsi="Cambria" w:cs="Times New Roman"/>
          <w:i w:val="0"/>
          <w:color w:val="auto"/>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GARANTIA DE EXECUÇÃO </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 xml:space="preserve">  Não haverá exigência de garantia contratual da execução.</w:t>
      </w:r>
    </w:p>
    <w:p>
      <w:pPr>
        <w:pStyle w:val="Nvel2-Red"/>
        <w:numPr>
          <w:ilvl w:val="0"/>
          <w:numId w:val="0"/>
        </w:numPr>
        <w:spacing w:before="0" w:after="0"/>
        <w:rPr>
          <w:rFonts w:ascii="Cambria" w:hAnsi="Cambria" w:cs="Times New Roman"/>
          <w:i w:val="0"/>
          <w:color w:val="auto"/>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PRIMEIRA – INFRAÇÕES E SANÇÕES ADMINISTRATIVAS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Comete infração administrativa, nos termos da </w:t>
      </w:r>
      <w:hyperlink r:id="rId75" w:history="1">
        <w:r>
          <w:rPr>
            <w:rStyle w:val="Hyperlink"/>
            <w:rFonts w:ascii="Cambria" w:hAnsi="Cambria" w:cs="Times New Roman"/>
            <w:sz w:val="24"/>
            <w:szCs w:val="24"/>
          </w:rPr>
          <w:t>Lei nº 14.133, de 2021</w:t>
        </w:r>
      </w:hyperlink>
      <w:r>
        <w:rPr>
          <w:rFonts w:ascii="Cambria" w:hAnsi="Cambria" w:cs="Times New Roman"/>
          <w:sz w:val="24"/>
          <w:szCs w:val="24"/>
        </w:rPr>
        <w:t>, o contratado que:</w:t>
      </w:r>
    </w:p>
    <w:p>
      <w:pPr>
        <w:numPr>
          <w:ilvl w:val="2"/>
          <w:numId w:val="10"/>
        </w:numPr>
        <w:spacing w:line="276" w:lineRule="auto"/>
        <w:ind w:left="709" w:hanging="425"/>
        <w:jc w:val="both"/>
        <w:rPr>
          <w:rFonts w:ascii="Cambria" w:eastAsia="Arial" w:hAnsi="Cambria"/>
          <w:sz w:val="24"/>
          <w:szCs w:val="24"/>
        </w:rPr>
      </w:pPr>
      <w:r>
        <w:rPr>
          <w:rFonts w:ascii="Cambria" w:eastAsia="Arial" w:hAnsi="Cambria"/>
          <w:sz w:val="24"/>
          <w:szCs w:val="24"/>
        </w:rPr>
        <w:t>Der causa à inexecução parcial do contrato;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der causa à inexecução parcial do contrato que cause grave dano à Administração ou ao funcionamento dos serviços públicos ou ao interesse coletivo;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der causa à inexecução total do contrato;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lastRenderedPageBreak/>
        <w:t>ensejar o retardamento da execução ou da entrega do objeto da contratação sem motivo justificado;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apresentar documentação falsa ou prestar declaração falsa durante a execução do contrato;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praticar ato fraudulento na execução do contrato;</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comportar-se de modo inidôneo ou cometer fraude de qualquer natureza;</w:t>
      </w:r>
    </w:p>
    <w:p>
      <w:pPr>
        <w:numPr>
          <w:ilvl w:val="2"/>
          <w:numId w:val="10"/>
        </w:numPr>
        <w:spacing w:line="276" w:lineRule="auto"/>
        <w:ind w:left="284" w:firstLine="0"/>
        <w:jc w:val="both"/>
        <w:rPr>
          <w:rFonts w:ascii="Cambria" w:eastAsia="Arial" w:hAnsi="Cambria"/>
          <w:sz w:val="24"/>
          <w:szCs w:val="24"/>
        </w:rPr>
      </w:pPr>
      <w:r>
        <w:rPr>
          <w:rFonts w:ascii="Cambria" w:eastAsia="Arial" w:hAnsi="Cambria"/>
          <w:sz w:val="24"/>
          <w:szCs w:val="24"/>
        </w:rPr>
        <w:t xml:space="preserve">praticar ato lesivo previsto no </w:t>
      </w:r>
      <w:hyperlink r:id="rId76" w:anchor="art5" w:history="1">
        <w:r>
          <w:rPr>
            <w:rStyle w:val="Hyperlink"/>
            <w:rFonts w:ascii="Cambria" w:eastAsia="Arial" w:hAnsi="Cambria"/>
            <w:sz w:val="24"/>
            <w:szCs w:val="24"/>
          </w:rPr>
          <w:t>art. 5º da Lei nº 12.846, de 1º de agosto de 2013</w:t>
        </w:r>
      </w:hyperlink>
      <w:r>
        <w:rPr>
          <w:rFonts w:ascii="Cambria" w:eastAsia="Arial" w:hAnsi="Cambria"/>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Serão aplicadas ao contratado que incorrer nas infrações acima descritas as seguintes sanções:</w:t>
      </w:r>
    </w:p>
    <w:p>
      <w:pPr>
        <w:pStyle w:val="PargrafodaLista"/>
        <w:numPr>
          <w:ilvl w:val="0"/>
          <w:numId w:val="11"/>
        </w:numPr>
        <w:suppressAutoHyphens/>
        <w:spacing w:after="0"/>
        <w:ind w:left="709"/>
        <w:jc w:val="both"/>
        <w:rPr>
          <w:rFonts w:ascii="Cambria" w:eastAsia="Arial" w:hAnsi="Cambria"/>
          <w:sz w:val="24"/>
          <w:szCs w:val="24"/>
        </w:rPr>
      </w:pPr>
      <w:r>
        <w:rPr>
          <w:rFonts w:ascii="Cambria" w:eastAsia="Arial" w:hAnsi="Cambria"/>
          <w:b/>
          <w:bCs/>
          <w:sz w:val="24"/>
          <w:szCs w:val="24"/>
        </w:rPr>
        <w:t>Advertência</w:t>
      </w:r>
      <w:r>
        <w:rPr>
          <w:rFonts w:ascii="Cambria" w:eastAsia="Arial" w:hAnsi="Cambria"/>
          <w:sz w:val="24"/>
          <w:szCs w:val="24"/>
        </w:rPr>
        <w:t>, quando o contratado der causa à inexecução parcial do contrato, sempre que não se justificar a imposição de penalidade mais grave (</w:t>
      </w:r>
      <w:hyperlink r:id="rId77" w:anchor="art156§2" w:history="1">
        <w:r>
          <w:rPr>
            <w:rStyle w:val="Hyperlink"/>
            <w:rFonts w:ascii="Cambria" w:eastAsia="Arial" w:hAnsi="Cambria"/>
            <w:sz w:val="24"/>
            <w:szCs w:val="24"/>
          </w:rPr>
          <w:t>art. 156, §2º, da Lei nº 14.133, de 2021</w:t>
        </w:r>
      </w:hyperlink>
      <w:r>
        <w:rPr>
          <w:rFonts w:ascii="Cambria" w:eastAsia="Arial" w:hAnsi="Cambria"/>
          <w:sz w:val="24"/>
          <w:szCs w:val="24"/>
        </w:rPr>
        <w:t>);</w:t>
      </w:r>
    </w:p>
    <w:p>
      <w:pPr>
        <w:pStyle w:val="PargrafodaLista"/>
        <w:numPr>
          <w:ilvl w:val="0"/>
          <w:numId w:val="11"/>
        </w:numPr>
        <w:suppressAutoHyphens/>
        <w:spacing w:after="0"/>
        <w:ind w:left="284" w:firstLine="0"/>
        <w:jc w:val="both"/>
        <w:rPr>
          <w:rFonts w:ascii="Cambria" w:eastAsia="Arial" w:hAnsi="Cambria"/>
          <w:sz w:val="24"/>
          <w:szCs w:val="24"/>
        </w:rPr>
      </w:pPr>
      <w:r>
        <w:rPr>
          <w:rFonts w:ascii="Cambria" w:eastAsia="Arial" w:hAnsi="Cambria"/>
          <w:b/>
          <w:bCs/>
          <w:sz w:val="24"/>
          <w:szCs w:val="24"/>
        </w:rPr>
        <w:t>Impedimento de licitar e contratar</w:t>
      </w:r>
      <w:r>
        <w:rPr>
          <w:rFonts w:ascii="Cambria" w:eastAsia="Arial" w:hAnsi="Cambria"/>
          <w:sz w:val="24"/>
          <w:szCs w:val="24"/>
        </w:rPr>
        <w:t>, quando praticadas as condutas descritas nas alíneas “b”, “c” e “d” do subitem acima deste Contrato, sempre que não se justificar a imposição de penalidade mais grave (</w:t>
      </w:r>
      <w:hyperlink r:id="rId78" w:anchor="art156§4" w:history="1">
        <w:r>
          <w:rPr>
            <w:rStyle w:val="Hyperlink"/>
            <w:rFonts w:ascii="Cambria" w:eastAsia="Arial" w:hAnsi="Cambria"/>
            <w:sz w:val="24"/>
            <w:szCs w:val="24"/>
          </w:rPr>
          <w:t>art. 156, § 4º, da Lei nº 14.133, de 2021</w:t>
        </w:r>
      </w:hyperlink>
      <w:r>
        <w:rPr>
          <w:rFonts w:ascii="Cambria" w:eastAsia="Arial" w:hAnsi="Cambria"/>
          <w:sz w:val="24"/>
          <w:szCs w:val="24"/>
        </w:rPr>
        <w:t>);</w:t>
      </w:r>
    </w:p>
    <w:p>
      <w:pPr>
        <w:pStyle w:val="PargrafodaLista"/>
        <w:numPr>
          <w:ilvl w:val="0"/>
          <w:numId w:val="11"/>
        </w:numPr>
        <w:suppressAutoHyphens/>
        <w:spacing w:after="0"/>
        <w:ind w:left="284" w:firstLine="0"/>
        <w:jc w:val="both"/>
        <w:rPr>
          <w:rFonts w:ascii="Cambria" w:eastAsia="Arial" w:hAnsi="Cambria"/>
          <w:sz w:val="24"/>
          <w:szCs w:val="24"/>
        </w:rPr>
      </w:pPr>
      <w:r>
        <w:rPr>
          <w:rFonts w:ascii="Cambria" w:eastAsia="Arial" w:hAnsi="Cambria"/>
          <w:b/>
          <w:bCs/>
          <w:sz w:val="24"/>
          <w:szCs w:val="24"/>
        </w:rPr>
        <w:t>Declaração de inidoneidade para licitar e contratar</w:t>
      </w:r>
      <w:r>
        <w:rPr>
          <w:rFonts w:ascii="Cambria" w:eastAsia="Arial" w:hAnsi="Cambria"/>
          <w:sz w:val="24"/>
          <w:szCs w:val="24"/>
        </w:rPr>
        <w:t>, quando praticadas as condutas descritas nas alíneas “e”, “f”, “g” e “h” do subitem acima deste Contrato, bem como nas alíneas “b”, “c” e “d”, que justifiquem a imposição de penalidade mais grave (</w:t>
      </w:r>
      <w:hyperlink r:id="rId79" w:anchor="art156§5" w:history="1">
        <w:r>
          <w:rPr>
            <w:rStyle w:val="Hyperlink"/>
            <w:rFonts w:ascii="Cambria" w:eastAsia="Arial" w:hAnsi="Cambria"/>
            <w:sz w:val="24"/>
            <w:szCs w:val="24"/>
          </w:rPr>
          <w:t>art. 156, §5º, da Lei nº 14.133, de 2021</w:t>
        </w:r>
      </w:hyperlink>
      <w:r>
        <w:rPr>
          <w:rFonts w:ascii="Cambria" w:eastAsia="Arial" w:hAnsi="Cambria"/>
          <w:sz w:val="24"/>
          <w:szCs w:val="24"/>
        </w:rPr>
        <w:t>).</w:t>
      </w:r>
    </w:p>
    <w:p>
      <w:pPr>
        <w:pStyle w:val="PargrafodaLista"/>
        <w:numPr>
          <w:ilvl w:val="0"/>
          <w:numId w:val="11"/>
        </w:numPr>
        <w:suppressAutoHyphens/>
        <w:spacing w:after="0"/>
        <w:ind w:left="284" w:firstLine="0"/>
        <w:jc w:val="both"/>
        <w:rPr>
          <w:rFonts w:ascii="Cambria" w:eastAsia="Arial" w:hAnsi="Cambria"/>
          <w:sz w:val="24"/>
          <w:szCs w:val="24"/>
        </w:rPr>
      </w:pPr>
      <w:r>
        <w:rPr>
          <w:rFonts w:ascii="Cambria" w:eastAsia="Arial" w:hAnsi="Cambria"/>
          <w:b/>
          <w:bCs/>
          <w:sz w:val="24"/>
          <w:szCs w:val="24"/>
        </w:rPr>
        <w:t>Multa:</w:t>
      </w:r>
    </w:p>
    <w:p>
      <w:pPr>
        <w:pStyle w:val="PargrafodaLista"/>
        <w:numPr>
          <w:ilvl w:val="1"/>
          <w:numId w:val="11"/>
        </w:numPr>
        <w:suppressAutoHyphens/>
        <w:spacing w:after="0"/>
        <w:ind w:left="567" w:firstLine="0"/>
        <w:jc w:val="both"/>
        <w:rPr>
          <w:rFonts w:ascii="Cambria" w:eastAsia="Arial" w:hAnsi="Cambria"/>
          <w:sz w:val="24"/>
          <w:szCs w:val="24"/>
        </w:rPr>
      </w:pPr>
      <w:r>
        <w:rPr>
          <w:rFonts w:ascii="Cambria" w:eastAsia="Arial" w:hAnsi="Cambria"/>
          <w:sz w:val="24"/>
          <w:szCs w:val="24"/>
        </w:rPr>
        <w:t>Moratória de 0,5% (cinco décimos por cento) por dia de atraso injustificado sobre o valor da parcela inadimplida, até o limite de 30% (trinta por cento) do contrato ou instrumento equivalente;</w:t>
      </w:r>
    </w:p>
    <w:p>
      <w:pPr>
        <w:pStyle w:val="PargrafodaLista"/>
        <w:numPr>
          <w:ilvl w:val="1"/>
          <w:numId w:val="11"/>
        </w:numPr>
        <w:suppressAutoHyphens/>
        <w:spacing w:after="0"/>
        <w:ind w:left="567" w:firstLine="0"/>
        <w:jc w:val="both"/>
        <w:rPr>
          <w:rFonts w:ascii="Cambria" w:eastAsia="Arial" w:hAnsi="Cambria"/>
          <w:sz w:val="24"/>
          <w:szCs w:val="24"/>
        </w:rPr>
      </w:pPr>
      <w:r>
        <w:rPr>
          <w:rFonts w:ascii="Cambria" w:eastAsia="Arial" w:hAnsi="Cambria"/>
          <w:sz w:val="24"/>
          <w:szCs w:val="24"/>
        </w:rPr>
        <w:t>Compensatória, para as infrações descritas nas alíneas “e” a “h” do subitem 11.1, de 10% a 30% do valor do Contrato.</w:t>
      </w:r>
    </w:p>
    <w:p>
      <w:pPr>
        <w:pStyle w:val="PargrafodaLista"/>
        <w:numPr>
          <w:ilvl w:val="1"/>
          <w:numId w:val="11"/>
        </w:numPr>
        <w:suppressAutoHyphens/>
        <w:spacing w:after="0"/>
        <w:ind w:left="567" w:firstLine="0"/>
        <w:jc w:val="both"/>
        <w:rPr>
          <w:rFonts w:ascii="Cambria" w:eastAsia="Arial" w:hAnsi="Cambria"/>
          <w:sz w:val="24"/>
          <w:szCs w:val="24"/>
        </w:rPr>
      </w:pPr>
      <w:r>
        <w:rPr>
          <w:rFonts w:ascii="Cambria" w:eastAsia="Arial" w:hAnsi="Cambria"/>
          <w:sz w:val="24"/>
          <w:szCs w:val="24"/>
        </w:rPr>
        <w:t xml:space="preserve">Compensatória, para a inexecução total do contrato prevista na alínea “c” do subitem 11.1, de 5% a 15% do valor do Contrato. </w:t>
      </w:r>
    </w:p>
    <w:p>
      <w:pPr>
        <w:pStyle w:val="PargrafodaLista"/>
        <w:numPr>
          <w:ilvl w:val="1"/>
          <w:numId w:val="11"/>
        </w:numPr>
        <w:suppressAutoHyphens/>
        <w:spacing w:after="0"/>
        <w:ind w:left="567" w:firstLine="0"/>
        <w:jc w:val="both"/>
        <w:rPr>
          <w:rFonts w:ascii="Cambria" w:eastAsia="Arial" w:hAnsi="Cambria"/>
          <w:sz w:val="24"/>
          <w:szCs w:val="24"/>
        </w:rPr>
      </w:pPr>
      <w:r>
        <w:rPr>
          <w:rFonts w:ascii="Cambria" w:eastAsia="Arial" w:hAnsi="Cambria"/>
          <w:sz w:val="24"/>
          <w:szCs w:val="24"/>
        </w:rPr>
        <w:t>Para infração descrita na alínea “b” do subitem 11.1, a multa será de 10% a 30%  do valor do Contrato.</w:t>
      </w:r>
    </w:p>
    <w:p>
      <w:pPr>
        <w:pStyle w:val="PargrafodaLista"/>
        <w:numPr>
          <w:ilvl w:val="1"/>
          <w:numId w:val="11"/>
        </w:numPr>
        <w:suppressAutoHyphens/>
        <w:spacing w:after="0"/>
        <w:ind w:left="567" w:firstLine="0"/>
        <w:jc w:val="both"/>
        <w:rPr>
          <w:rFonts w:ascii="Cambria" w:eastAsia="Arial" w:hAnsi="Cambria"/>
          <w:sz w:val="24"/>
          <w:szCs w:val="24"/>
        </w:rPr>
      </w:pPr>
      <w:r>
        <w:rPr>
          <w:rFonts w:ascii="Cambria" w:eastAsia="Arial" w:hAnsi="Cambria"/>
          <w:sz w:val="24"/>
          <w:szCs w:val="24"/>
        </w:rPr>
        <w:t>Para infrações descritas na alínea “d” do subitem 11.1, a multa será de 5% a 15%  do valor do Contrato.</w:t>
      </w:r>
    </w:p>
    <w:p>
      <w:pPr>
        <w:pStyle w:val="PargrafodaLista"/>
        <w:numPr>
          <w:ilvl w:val="1"/>
          <w:numId w:val="11"/>
        </w:numPr>
        <w:suppressAutoHyphens/>
        <w:spacing w:after="0"/>
        <w:ind w:left="567" w:firstLine="0"/>
        <w:jc w:val="both"/>
        <w:rPr>
          <w:rFonts w:ascii="Cambria" w:hAnsi="Cambria"/>
          <w:sz w:val="24"/>
          <w:szCs w:val="24"/>
        </w:rPr>
      </w:pPr>
      <w:r>
        <w:rPr>
          <w:rFonts w:ascii="Cambria" w:eastAsia="Arial" w:hAnsi="Cambria"/>
          <w:sz w:val="24"/>
          <w:szCs w:val="24"/>
        </w:rPr>
        <w:t>Para a infração descrita na alínea “a” do subitem 11.1, a multa será de 5% a 15% do valor do Contrato.</w:t>
      </w:r>
    </w:p>
    <w:p>
      <w:pPr>
        <w:spacing w:line="276" w:lineRule="auto"/>
        <w:ind w:left="851"/>
        <w:contextualSpacing/>
        <w:jc w:val="both"/>
        <w:rPr>
          <w:rFonts w:ascii="Cambria" w:eastAsia="Arial" w:hAnsi="Cambria"/>
          <w:sz w:val="24"/>
          <w:szCs w:val="24"/>
        </w:rPr>
      </w:pP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A aplicação das sanções previstas neste Contrato não exclui, em hipótese alguma, a obrigação de reparação integral do dano causado ao Contratante (</w:t>
      </w:r>
      <w:hyperlink r:id="rId80" w:anchor="art156§9" w:history="1">
        <w:r>
          <w:rPr>
            <w:rStyle w:val="Hyperlink"/>
            <w:rFonts w:ascii="Cambria" w:hAnsi="Cambria" w:cs="Times New Roman"/>
            <w:sz w:val="24"/>
            <w:szCs w:val="24"/>
          </w:rPr>
          <w:t>art. 156, §9º, da Lei nº 14.133, de 2021</w:t>
        </w:r>
      </w:hyperlink>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Todas as sanções previstas neste Contrato poderão ser aplicadas cumulativamente com a multa (</w:t>
      </w:r>
      <w:hyperlink r:id="rId81" w:anchor="art156§7" w:history="1">
        <w:r>
          <w:rPr>
            <w:rStyle w:val="Hyperlink"/>
            <w:rFonts w:ascii="Cambria" w:hAnsi="Cambria" w:cs="Times New Roman"/>
            <w:sz w:val="24"/>
            <w:szCs w:val="24"/>
          </w:rPr>
          <w:t>art. 156, §7º, da Lei nº 14.133, de 2021</w:t>
        </w:r>
      </w:hyperlink>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lastRenderedPageBreak/>
        <w:t>Antes da aplicação da multa será facultada a defesa do interessado no prazo de 15 (quinze) dias úteis, contado da data de sua intimação (</w:t>
      </w:r>
      <w:hyperlink r:id="rId82" w:anchor="art157" w:history="1">
        <w:r>
          <w:rPr>
            <w:rStyle w:val="Hyperlink"/>
            <w:rFonts w:ascii="Cambria" w:hAnsi="Cambria" w:cs="Times New Roman"/>
            <w:sz w:val="24"/>
            <w:szCs w:val="24"/>
          </w:rPr>
          <w:t>art. 157, da Lei nº 14.133, de 2021</w:t>
        </w:r>
      </w:hyperlink>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3" w:anchor="art156§8" w:history="1">
        <w:r>
          <w:rPr>
            <w:rStyle w:val="Hyperlink"/>
            <w:rFonts w:ascii="Cambria" w:hAnsi="Cambria" w:cs="Times New Roman"/>
            <w:sz w:val="24"/>
            <w:szCs w:val="24"/>
          </w:rPr>
          <w:t>art. 156, §8º, da Lei nº 14.133, de 2021</w:t>
        </w:r>
      </w:hyperlink>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 xml:space="preserve">Previamente ao encaminhamento à cobrança judicial, a multa poderá ser recolhida </w:t>
      </w:r>
      <w:r>
        <w:rPr>
          <w:rFonts w:ascii="Cambria" w:hAnsi="Cambria" w:cs="Times New Roman"/>
          <w:color w:val="auto"/>
          <w:sz w:val="24"/>
          <w:szCs w:val="24"/>
        </w:rPr>
        <w:t xml:space="preserve">administrativamente no prazo máximo de </w:t>
      </w:r>
      <w:r>
        <w:rPr>
          <w:rFonts w:ascii="Cambria" w:hAnsi="Cambria" w:cs="Times New Roman"/>
          <w:iCs/>
          <w:color w:val="auto"/>
          <w:sz w:val="24"/>
          <w:szCs w:val="24"/>
        </w:rPr>
        <w:t xml:space="preserve">05 (cinco) </w:t>
      </w:r>
      <w:r>
        <w:rPr>
          <w:rFonts w:ascii="Cambria" w:hAnsi="Cambria" w:cs="Times New Roman"/>
          <w:color w:val="auto"/>
          <w:sz w:val="24"/>
          <w:szCs w:val="24"/>
        </w:rPr>
        <w:t xml:space="preserve">dias úteis, a contar da data do recebimento </w:t>
      </w:r>
      <w:r>
        <w:rPr>
          <w:rFonts w:ascii="Cambria" w:hAnsi="Cambria" w:cs="Times New Roman"/>
          <w:sz w:val="24"/>
          <w:szCs w:val="24"/>
        </w:rPr>
        <w:t>da comunicação enviada pela autoridade competente.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A aplicação das sanções realizar-se-á em processo administrativo que assegure o contraditório e a ampla defesa ao Contratado, observando-se o procedimento previsto no </w:t>
      </w:r>
      <w:r>
        <w:rPr>
          <w:rFonts w:ascii="Cambria" w:hAnsi="Cambria" w:cs="Times New Roman"/>
          <w:b/>
          <w:bCs/>
          <w:sz w:val="24"/>
          <w:szCs w:val="24"/>
        </w:rPr>
        <w:t xml:space="preserve">caput </w:t>
      </w:r>
      <w:r>
        <w:rPr>
          <w:rFonts w:ascii="Cambria" w:hAnsi="Cambria" w:cs="Times New Roman"/>
          <w:sz w:val="24"/>
          <w:szCs w:val="24"/>
        </w:rPr>
        <w:t xml:space="preserve">e parágrafos do </w:t>
      </w:r>
      <w:hyperlink r:id="rId84" w:anchor="art158" w:history="1">
        <w:r>
          <w:rPr>
            <w:rStyle w:val="Hyperlink"/>
            <w:rFonts w:ascii="Cambria" w:hAnsi="Cambria" w:cs="Times New Roman"/>
            <w:sz w:val="24"/>
            <w:szCs w:val="24"/>
          </w:rPr>
          <w:t>art. 158 da Lei nº 14.133, de 2021</w:t>
        </w:r>
      </w:hyperlink>
      <w:r>
        <w:rPr>
          <w:rFonts w:ascii="Cambria" w:hAnsi="Cambria" w:cs="Times New Roman"/>
          <w:sz w:val="24"/>
          <w:szCs w:val="24"/>
        </w:rPr>
        <w:t>, para as penalidades de impedimento de licitar e contratar e de declaração de inidoneidade para licitar ou contratar.</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Na aplicação das sanções serão considerados (</w:t>
      </w:r>
      <w:hyperlink r:id="rId85" w:anchor="art156§1" w:history="1">
        <w:r>
          <w:rPr>
            <w:rStyle w:val="Hyperlink"/>
            <w:rFonts w:ascii="Cambria" w:hAnsi="Cambria" w:cs="Times New Roman"/>
            <w:sz w:val="24"/>
            <w:szCs w:val="24"/>
          </w:rPr>
          <w:t>art. 156, §1º, da Lei nº 14.133, de 2021</w:t>
        </w:r>
      </w:hyperlink>
      <w:r>
        <w:rPr>
          <w:rFonts w:ascii="Cambria" w:hAnsi="Cambria" w:cs="Times New Roman"/>
          <w:sz w:val="24"/>
          <w:szCs w:val="24"/>
        </w:rPr>
        <w:t>):</w:t>
      </w:r>
    </w:p>
    <w:p>
      <w:pPr>
        <w:numPr>
          <w:ilvl w:val="0"/>
          <w:numId w:val="12"/>
        </w:numPr>
        <w:spacing w:line="276" w:lineRule="auto"/>
        <w:ind w:left="709" w:hanging="425"/>
        <w:contextualSpacing/>
        <w:jc w:val="both"/>
        <w:rPr>
          <w:rFonts w:ascii="Cambria" w:eastAsia="Arial" w:hAnsi="Cambria"/>
          <w:sz w:val="24"/>
          <w:szCs w:val="24"/>
        </w:rPr>
      </w:pPr>
      <w:r>
        <w:rPr>
          <w:rFonts w:ascii="Cambria" w:eastAsia="Arial" w:hAnsi="Cambria"/>
          <w:sz w:val="24"/>
          <w:szCs w:val="24"/>
        </w:rPr>
        <w:t>a natureza e a gravidade da infração cometida;</w:t>
      </w:r>
    </w:p>
    <w:p>
      <w:pPr>
        <w:numPr>
          <w:ilvl w:val="0"/>
          <w:numId w:val="12"/>
        </w:numPr>
        <w:spacing w:line="276" w:lineRule="auto"/>
        <w:ind w:left="284" w:firstLine="0"/>
        <w:contextualSpacing/>
        <w:jc w:val="both"/>
        <w:rPr>
          <w:rFonts w:ascii="Cambria" w:eastAsia="Arial" w:hAnsi="Cambria"/>
          <w:sz w:val="24"/>
          <w:szCs w:val="24"/>
        </w:rPr>
      </w:pPr>
      <w:r>
        <w:rPr>
          <w:rFonts w:ascii="Cambria" w:eastAsia="Arial" w:hAnsi="Cambria"/>
          <w:sz w:val="24"/>
          <w:szCs w:val="24"/>
        </w:rPr>
        <w:t>as peculiaridades do caso concreto;</w:t>
      </w:r>
    </w:p>
    <w:p>
      <w:pPr>
        <w:numPr>
          <w:ilvl w:val="0"/>
          <w:numId w:val="12"/>
        </w:numPr>
        <w:spacing w:line="276" w:lineRule="auto"/>
        <w:ind w:left="284" w:firstLine="0"/>
        <w:contextualSpacing/>
        <w:jc w:val="both"/>
        <w:rPr>
          <w:rFonts w:ascii="Cambria" w:eastAsia="Arial" w:hAnsi="Cambria"/>
          <w:sz w:val="24"/>
          <w:szCs w:val="24"/>
        </w:rPr>
      </w:pPr>
      <w:r>
        <w:rPr>
          <w:rFonts w:ascii="Cambria" w:eastAsia="Arial" w:hAnsi="Cambria"/>
          <w:sz w:val="24"/>
          <w:szCs w:val="24"/>
        </w:rPr>
        <w:t>as circunstâncias agravantes ou atenuantes;</w:t>
      </w:r>
    </w:p>
    <w:p>
      <w:pPr>
        <w:numPr>
          <w:ilvl w:val="0"/>
          <w:numId w:val="12"/>
        </w:numPr>
        <w:spacing w:line="276" w:lineRule="auto"/>
        <w:ind w:left="284" w:firstLine="0"/>
        <w:contextualSpacing/>
        <w:jc w:val="both"/>
        <w:rPr>
          <w:rFonts w:ascii="Cambria" w:eastAsia="Arial" w:hAnsi="Cambria"/>
          <w:sz w:val="24"/>
          <w:szCs w:val="24"/>
        </w:rPr>
      </w:pPr>
      <w:r>
        <w:rPr>
          <w:rFonts w:ascii="Cambria" w:eastAsia="Arial" w:hAnsi="Cambria"/>
          <w:sz w:val="24"/>
          <w:szCs w:val="24"/>
        </w:rPr>
        <w:t>os danos que dela provierem para o Contratante;</w:t>
      </w:r>
    </w:p>
    <w:p>
      <w:pPr>
        <w:numPr>
          <w:ilvl w:val="0"/>
          <w:numId w:val="12"/>
        </w:numPr>
        <w:spacing w:line="276" w:lineRule="auto"/>
        <w:ind w:left="284" w:firstLine="0"/>
        <w:contextualSpacing/>
        <w:jc w:val="both"/>
        <w:rPr>
          <w:rFonts w:ascii="Cambria" w:eastAsia="Arial" w:hAnsi="Cambria"/>
          <w:sz w:val="24"/>
          <w:szCs w:val="24"/>
        </w:rPr>
      </w:pPr>
      <w:r>
        <w:rPr>
          <w:rFonts w:ascii="Cambria" w:eastAsia="Arial" w:hAnsi="Cambria"/>
          <w:sz w:val="24"/>
          <w:szCs w:val="24"/>
        </w:rPr>
        <w:t>a implantação ou o aperfeiçoamento de programa de integridade, conforme normas e orientações dos órgãos de controle.</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Os atos previstos como infrações administrativas na </w:t>
      </w:r>
      <w:hyperlink r:id="rId86" w:history="1">
        <w:r>
          <w:rPr>
            <w:rStyle w:val="Hyperlink"/>
            <w:rFonts w:ascii="Cambria" w:hAnsi="Cambria" w:cs="Times New Roman"/>
            <w:sz w:val="24"/>
            <w:szCs w:val="24"/>
          </w:rPr>
          <w:t>Lei nº 14.133, de 2021</w:t>
        </w:r>
      </w:hyperlink>
      <w:r>
        <w:rPr>
          <w:rFonts w:ascii="Cambria" w:hAnsi="Cambria" w:cs="Times New Roman"/>
          <w:sz w:val="24"/>
          <w:szCs w:val="24"/>
        </w:rPr>
        <w:t xml:space="preserve">, ou em outras leis de licitações e contratos da Administração Pública que também sejam tipificados como atos lesivos na </w:t>
      </w:r>
      <w:hyperlink r:id="rId87" w:history="1">
        <w:r>
          <w:rPr>
            <w:rStyle w:val="Hyperlink"/>
            <w:rFonts w:ascii="Cambria" w:hAnsi="Cambria" w:cs="Times New Roman"/>
            <w:sz w:val="24"/>
            <w:szCs w:val="24"/>
          </w:rPr>
          <w:t>Lei nº 12.846, de 2013</w:t>
        </w:r>
      </w:hyperlink>
      <w:r>
        <w:rPr>
          <w:rFonts w:ascii="Cambria" w:hAnsi="Cambria" w:cs="Times New Roman"/>
          <w:sz w:val="24"/>
          <w:szCs w:val="24"/>
        </w:rPr>
        <w:t>, serão apurados e julgados conjuntamente, nos mesmos autos, observados o rito procedimental e autoridade competente definidos na referida Lei (</w:t>
      </w:r>
      <w:hyperlink r:id="rId88" w:history="1">
        <w:r>
          <w:rPr>
            <w:rStyle w:val="Hyperlink"/>
            <w:rFonts w:ascii="Cambria" w:hAnsi="Cambria" w:cs="Times New Roman"/>
            <w:sz w:val="24"/>
            <w:szCs w:val="24"/>
          </w:rPr>
          <w:t>art. 159</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i/>
          <w:iCs/>
          <w:sz w:val="24"/>
          <w:szCs w:val="24"/>
        </w:rPr>
      </w:pPr>
      <w:r>
        <w:rPr>
          <w:rFonts w:ascii="Cambria" w:hAnsi="Cambria"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9" w:anchor="art160" w:history="1">
        <w:r>
          <w:rPr>
            <w:rStyle w:val="Hyperlink"/>
            <w:rFonts w:ascii="Cambria" w:hAnsi="Cambria" w:cs="Times New Roman"/>
            <w:sz w:val="24"/>
            <w:szCs w:val="24"/>
          </w:rPr>
          <w:t>art. 160, da Lei nº 14.133, de 2021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i/>
          <w:iCs/>
          <w:sz w:val="24"/>
          <w:szCs w:val="24"/>
        </w:rPr>
      </w:pPr>
      <w:r>
        <w:rPr>
          <w:rFonts w:ascii="Cambria" w:hAnsi="Cambria" w:cs="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w:t>
      </w:r>
      <w:r>
        <w:rPr>
          <w:rFonts w:ascii="Cambria" w:hAnsi="Cambria" w:cs="Times New Roman"/>
          <w:sz w:val="24"/>
          <w:szCs w:val="24"/>
        </w:rPr>
        <w:lastRenderedPageBreak/>
        <w:t>Inidôneas e Suspensas (Ceis) e no Cadastro Nacional de Empresas Punidas (Cnep), instituídos no âmbito do Poder Executivo Federal. (</w:t>
      </w:r>
      <w:hyperlink r:id="rId90" w:anchor="art161" w:history="1">
        <w:r>
          <w:rPr>
            <w:rStyle w:val="Hyperlink"/>
            <w:rFonts w:ascii="Cambria" w:hAnsi="Cambria" w:cs="Times New Roman"/>
            <w:sz w:val="24"/>
            <w:szCs w:val="24"/>
          </w:rPr>
          <w:t>Art. 161, da Lei nº 14.133, de 2021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i/>
          <w:iCs/>
          <w:sz w:val="24"/>
          <w:szCs w:val="24"/>
        </w:rPr>
      </w:pPr>
      <w:r>
        <w:rPr>
          <w:rFonts w:ascii="Cambria" w:hAnsi="Cambria" w:cs="Times New Roman"/>
          <w:sz w:val="24"/>
          <w:szCs w:val="24"/>
        </w:rPr>
        <w:t xml:space="preserve">As sanções de impedimento de licitar e contratar e declaração de inidoneidade para licitar ou contratar são passíveis de reabilitação na forma do </w:t>
      </w:r>
      <w:hyperlink r:id="rId91" w:anchor="163" w:history="1">
        <w:r>
          <w:rPr>
            <w:rStyle w:val="Hyperlink"/>
            <w:rFonts w:ascii="Cambria" w:hAnsi="Cambria" w:cs="Times New Roman"/>
            <w:sz w:val="24"/>
            <w:szCs w:val="24"/>
          </w:rPr>
          <w:t>art. 163 da Lei nº 14.133/21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2" w:history="1">
        <w:r>
          <w:rPr>
            <w:rStyle w:val="Hyperlink"/>
            <w:rFonts w:ascii="Cambria" w:hAnsi="Cambria" w:cs="Times New Roman"/>
            <w:sz w:val="24"/>
            <w:szCs w:val="24"/>
          </w:rPr>
          <w:t>Normativa SEGES/ME nº 26, de 13 de abril de 2022</w:t>
        </w:r>
      </w:hyperlink>
      <w:r>
        <w:rPr>
          <w:rFonts w:ascii="Cambria" w:hAnsi="Cambria" w:cs="Times New Roman"/>
          <w:sz w:val="24"/>
          <w:szCs w:val="24"/>
        </w:rPr>
        <w:t xml:space="preserve">. </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SEGUNDA– DA EXTINÇÃO CONTRATUAL </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O contrato será extinto quando vencido o prazo nele estipulado, independentemente de terem sido cumpridas ou não as obrigações de ambas as partes contraentes.</w:t>
      </w:r>
    </w:p>
    <w:p>
      <w:pPr>
        <w:pStyle w:val="Nvel3-R"/>
        <w:numPr>
          <w:ilvl w:val="2"/>
          <w:numId w:val="24"/>
        </w:numPr>
        <w:spacing w:before="0" w:after="0"/>
        <w:ind w:left="284" w:firstLine="0"/>
        <w:rPr>
          <w:rFonts w:ascii="Cambria" w:hAnsi="Cambria" w:cs="Times New Roman"/>
          <w:i w:val="0"/>
          <w:color w:val="auto"/>
          <w:sz w:val="24"/>
          <w:szCs w:val="24"/>
        </w:rPr>
      </w:pPr>
      <w:r>
        <w:rPr>
          <w:rFonts w:ascii="Cambria" w:hAnsi="Cambria" w:cs="Times New Roman"/>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pPr>
        <w:pStyle w:val="Nvel3-R"/>
        <w:numPr>
          <w:ilvl w:val="2"/>
          <w:numId w:val="24"/>
        </w:numPr>
        <w:spacing w:before="0" w:after="0"/>
        <w:ind w:left="284" w:firstLine="0"/>
        <w:rPr>
          <w:rFonts w:ascii="Cambria" w:hAnsi="Cambria" w:cs="Times New Roman"/>
          <w:i w:val="0"/>
          <w:color w:val="auto"/>
          <w:sz w:val="24"/>
          <w:szCs w:val="24"/>
        </w:rPr>
      </w:pPr>
      <w:r>
        <w:rPr>
          <w:rFonts w:ascii="Cambria" w:hAnsi="Cambria" w:cs="Times New Roman"/>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pPr>
        <w:pStyle w:val="Nvel3-R"/>
        <w:numPr>
          <w:ilvl w:val="2"/>
          <w:numId w:val="24"/>
        </w:numPr>
        <w:spacing w:before="0" w:after="0"/>
        <w:ind w:left="284" w:firstLine="0"/>
        <w:rPr>
          <w:rFonts w:ascii="Cambria" w:hAnsi="Cambria" w:cs="Times New Roman"/>
          <w:sz w:val="24"/>
          <w:szCs w:val="24"/>
        </w:rPr>
      </w:pPr>
      <w:r>
        <w:rPr>
          <w:rFonts w:ascii="Cambria" w:hAnsi="Cambria" w:cs="Times New Roman"/>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 contrato poderá ser extinto antes de cumpridas as obrigações nele estipuladas, ou antes do prazo nele fixado, por algum dos motivos previstos no </w:t>
      </w:r>
      <w:hyperlink r:id="rId93" w:anchor="art137" w:history="1">
        <w:r>
          <w:rPr>
            <w:rStyle w:val="Hyperlink"/>
            <w:rFonts w:ascii="Cambria" w:hAnsi="Cambria" w:cs="Times New Roman"/>
            <w:sz w:val="24"/>
            <w:szCs w:val="24"/>
          </w:rPr>
          <w:t>artigo 137 da Lei nº 14.133/21</w:t>
        </w:r>
      </w:hyperlink>
      <w:r>
        <w:rPr>
          <w:rFonts w:ascii="Cambria" w:hAnsi="Cambria" w:cs="Times New Roman"/>
          <w:sz w:val="24"/>
          <w:szCs w:val="24"/>
        </w:rPr>
        <w:t xml:space="preserve">, bem como amigavelmente, </w:t>
      </w:r>
      <w:r>
        <w:rPr>
          <w:rFonts w:ascii="Cambria" w:hAnsi="Cambria" w:cs="Times New Roman"/>
          <w:color w:val="000000" w:themeColor="text1"/>
          <w:sz w:val="24"/>
          <w:szCs w:val="24"/>
        </w:rPr>
        <w:t>assegurados o contraditório e a ampla defesa</w:t>
      </w:r>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 xml:space="preserve">Nesta hipótese, aplicam-se também os </w:t>
      </w:r>
      <w:hyperlink r:id="rId94" w:anchor="art138" w:history="1">
        <w:r>
          <w:rPr>
            <w:rStyle w:val="Hyperlink"/>
            <w:rFonts w:ascii="Cambria" w:hAnsi="Cambria" w:cs="Times New Roman"/>
            <w:sz w:val="24"/>
            <w:szCs w:val="24"/>
          </w:rPr>
          <w:t>artigos 138 e 139 da mesma Lei</w:t>
        </w:r>
      </w:hyperlink>
      <w:r>
        <w:rPr>
          <w:rFonts w:ascii="Cambria" w:hAnsi="Cambria" w:cs="Times New Roman"/>
          <w:sz w:val="24"/>
          <w:szCs w:val="24"/>
        </w:rPr>
        <w:t>.</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A alteração social ou a modificação da finalidade ou da estrutura da empresa não ensejará a extinção se não restringir sua capacidade de concluir o contrato.</w:t>
      </w:r>
    </w:p>
    <w:p>
      <w:pPr>
        <w:pStyle w:val="Nivel4"/>
        <w:numPr>
          <w:ilvl w:val="3"/>
          <w:numId w:val="24"/>
        </w:numPr>
        <w:spacing w:before="0" w:after="0"/>
        <w:ind w:left="567" w:firstLine="0"/>
        <w:rPr>
          <w:rFonts w:ascii="Cambria" w:hAnsi="Cambria" w:cs="Times New Roman"/>
          <w:sz w:val="24"/>
          <w:szCs w:val="24"/>
        </w:rPr>
      </w:pPr>
      <w:r>
        <w:rPr>
          <w:rFonts w:ascii="Cambria" w:hAnsi="Cambria" w:cs="Times New Roman"/>
          <w:color w:val="000000" w:themeColor="text1"/>
          <w:sz w:val="24"/>
          <w:szCs w:val="24"/>
        </w:rPr>
        <w:t xml:space="preserve">Se a </w:t>
      </w:r>
      <w:r>
        <w:rPr>
          <w:rFonts w:ascii="Cambria" w:hAnsi="Cambria" w:cs="Times New Roman"/>
          <w:sz w:val="24"/>
          <w:szCs w:val="24"/>
        </w:rPr>
        <w:t>operação</w:t>
      </w:r>
      <w:r>
        <w:rPr>
          <w:rFonts w:ascii="Cambria" w:hAnsi="Cambria" w:cs="Times New Roman"/>
          <w:color w:val="000000" w:themeColor="text1"/>
          <w:sz w:val="24"/>
          <w:szCs w:val="24"/>
        </w:rPr>
        <w:t xml:space="preserve"> </w:t>
      </w:r>
      <w:r>
        <w:rPr>
          <w:rFonts w:ascii="Cambria" w:hAnsi="Cambria" w:cs="Times New Roman"/>
          <w:sz w:val="24"/>
          <w:szCs w:val="24"/>
        </w:rPr>
        <w:t>implicar mudança da pessoa jurídica contratada, deverá ser formalizado termo aditivo para alteração subjetiva.</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termo de extinção, sempre que possível, será precedido:</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Balanço dos eventos contratuais já cumpridos ou parcialmente cumpridos;</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t>Relação dos pagamentos já efetuados e ainda devidos;</w:t>
      </w:r>
    </w:p>
    <w:p>
      <w:pPr>
        <w:pStyle w:val="Nivel3"/>
        <w:numPr>
          <w:ilvl w:val="2"/>
          <w:numId w:val="24"/>
        </w:numPr>
        <w:spacing w:before="0" w:after="0"/>
        <w:ind w:left="284" w:firstLine="0"/>
        <w:rPr>
          <w:rFonts w:ascii="Cambria" w:hAnsi="Cambria" w:cs="Times New Roman"/>
          <w:sz w:val="24"/>
          <w:szCs w:val="24"/>
        </w:rPr>
      </w:pPr>
      <w:r>
        <w:rPr>
          <w:rFonts w:ascii="Cambria" w:hAnsi="Cambria" w:cs="Times New Roman"/>
          <w:sz w:val="24"/>
          <w:szCs w:val="24"/>
        </w:rPr>
        <w:lastRenderedPageBreak/>
        <w:t>Indenizações e multas.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A extinção do contrato não configura óbice para o reconhecimento do desequilíbrio econômico-financeiro, hipótese em que será concedida indenização por meio de termo indenizatório (</w:t>
      </w:r>
      <w:hyperlink r:id="rId95" w:anchor="art131">
        <w:r>
          <w:rPr>
            <w:rStyle w:val="Hyperlink"/>
            <w:rFonts w:ascii="Cambria" w:hAnsi="Cambria" w:cs="Times New Roman"/>
            <w:sz w:val="24"/>
            <w:szCs w:val="24"/>
          </w:rPr>
          <w:t xml:space="preserve">art. 131, </w:t>
        </w:r>
        <w:r>
          <w:rPr>
            <w:rStyle w:val="Hyperlink"/>
            <w:rFonts w:ascii="Cambria" w:hAnsi="Cambria" w:cs="Times New Roman"/>
            <w:i/>
            <w:iCs/>
            <w:sz w:val="24"/>
            <w:szCs w:val="24"/>
          </w:rPr>
          <w:t xml:space="preserve">caput, </w:t>
        </w:r>
        <w:r>
          <w:rPr>
            <w:rStyle w:val="Hyperlink"/>
            <w:rFonts w:ascii="Cambria" w:hAnsi="Cambria" w:cs="Times New Roman"/>
            <w:sz w:val="24"/>
            <w:szCs w:val="24"/>
          </w:rPr>
          <w:t>da Lei n.º 14.133, de 2021</w:t>
        </w:r>
      </w:hyperlink>
      <w:r>
        <w:rPr>
          <w:rFonts w:ascii="Cambria" w:hAnsi="Cambria" w:cs="Times New Roman"/>
          <w:sz w:val="24"/>
          <w:szCs w:val="24"/>
        </w:rPr>
        <w:t xml:space="preserve">).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TERCEIRA – DOTAÇÃO ORÇAMENTÁRIA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As despesas decorrentes da presente contratação correrão à conta de recursos específicos consignados no Orçamento Geral da União deste exercício, na dotação abaixo discriminada:</w:t>
      </w:r>
    </w:p>
    <w:p>
      <w:pPr>
        <w:pStyle w:val="Nivel2"/>
        <w:numPr>
          <w:ilvl w:val="0"/>
          <w:numId w:val="0"/>
        </w:numPr>
        <w:spacing w:before="0" w:after="0"/>
        <w:ind w:left="709"/>
        <w:rPr>
          <w:rFonts w:ascii="Cambria" w:hAnsi="Cambria" w:cs="Times New Roman"/>
          <w:sz w:val="24"/>
          <w:szCs w:val="24"/>
        </w:rPr>
      </w:pPr>
      <w:r>
        <w:rPr>
          <w:rFonts w:ascii="Cambria" w:hAnsi="Cambria" w:cs="Times New Roman"/>
          <w:sz w:val="24"/>
          <w:szCs w:val="24"/>
        </w:rPr>
        <w:t xml:space="preserve">Órgão: </w:t>
      </w:r>
    </w:p>
    <w:p>
      <w:pPr>
        <w:pStyle w:val="Nivel2"/>
        <w:numPr>
          <w:ilvl w:val="0"/>
          <w:numId w:val="0"/>
        </w:numPr>
        <w:spacing w:before="0" w:after="0"/>
        <w:ind w:left="709"/>
        <w:rPr>
          <w:rFonts w:ascii="Cambria" w:hAnsi="Cambria" w:cs="Times New Roman"/>
          <w:sz w:val="24"/>
          <w:szCs w:val="24"/>
        </w:rPr>
      </w:pPr>
      <w:r>
        <w:rPr>
          <w:rFonts w:ascii="Cambria" w:hAnsi="Cambria" w:cs="Times New Roman"/>
          <w:sz w:val="24"/>
          <w:szCs w:val="24"/>
        </w:rPr>
        <w:t xml:space="preserve">Unidade Orçamentária: </w:t>
      </w:r>
    </w:p>
    <w:p>
      <w:pPr>
        <w:pStyle w:val="Nivel2"/>
        <w:numPr>
          <w:ilvl w:val="0"/>
          <w:numId w:val="0"/>
        </w:numPr>
        <w:spacing w:before="0" w:after="0"/>
        <w:ind w:left="709"/>
        <w:rPr>
          <w:rFonts w:ascii="Cambria" w:hAnsi="Cambria" w:cs="Times New Roman"/>
          <w:sz w:val="24"/>
          <w:szCs w:val="24"/>
        </w:rPr>
      </w:pPr>
      <w:r>
        <w:rPr>
          <w:rFonts w:ascii="Cambria" w:hAnsi="Cambria" w:cs="Times New Roman"/>
          <w:sz w:val="24"/>
          <w:szCs w:val="24"/>
        </w:rPr>
        <w:t xml:space="preserve">Programa de Trabalho: </w:t>
      </w:r>
    </w:p>
    <w:p>
      <w:pPr>
        <w:pStyle w:val="Nivel2"/>
        <w:numPr>
          <w:ilvl w:val="0"/>
          <w:numId w:val="0"/>
        </w:numPr>
        <w:spacing w:before="0" w:after="0"/>
        <w:ind w:left="709"/>
        <w:rPr>
          <w:rFonts w:ascii="Cambria" w:hAnsi="Cambria" w:cs="Times New Roman"/>
          <w:sz w:val="24"/>
          <w:szCs w:val="24"/>
        </w:rPr>
      </w:pPr>
      <w:r>
        <w:rPr>
          <w:rFonts w:ascii="Cambria" w:hAnsi="Cambria" w:cs="Times New Roman"/>
          <w:sz w:val="24"/>
          <w:szCs w:val="24"/>
        </w:rPr>
        <w:t xml:space="preserve">Elemento de Despesa: </w:t>
      </w:r>
    </w:p>
    <w:p>
      <w:pPr>
        <w:pStyle w:val="Nivel3"/>
        <w:numPr>
          <w:ilvl w:val="0"/>
          <w:numId w:val="0"/>
        </w:numPr>
        <w:spacing w:before="0" w:after="0"/>
        <w:ind w:left="709"/>
        <w:rPr>
          <w:rFonts w:ascii="Cambria" w:hAnsi="Cambria" w:cs="Times New Roman"/>
          <w:sz w:val="24"/>
          <w:szCs w:val="24"/>
        </w:rPr>
      </w:pPr>
      <w:r>
        <w:rPr>
          <w:rFonts w:ascii="Cambria" w:hAnsi="Cambria" w:cs="Times New Roman"/>
          <w:sz w:val="24"/>
          <w:szCs w:val="24"/>
        </w:rPr>
        <w:t xml:space="preserve">Fonte de Recursos: </w:t>
      </w:r>
    </w:p>
    <w:p>
      <w:pPr>
        <w:pStyle w:val="Nvel2-Red"/>
        <w:numPr>
          <w:ilvl w:val="1"/>
          <w:numId w:val="24"/>
        </w:numPr>
        <w:spacing w:before="0" w:after="0"/>
        <w:ind w:left="0" w:firstLine="0"/>
        <w:rPr>
          <w:rFonts w:ascii="Cambria" w:hAnsi="Cambria" w:cs="Times New Roman"/>
          <w:i w:val="0"/>
          <w:color w:val="auto"/>
          <w:sz w:val="24"/>
          <w:szCs w:val="24"/>
        </w:rPr>
      </w:pPr>
      <w:r>
        <w:rPr>
          <w:rFonts w:ascii="Cambria" w:hAnsi="Cambria"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pPr>
        <w:pStyle w:val="Nvel2-Red"/>
        <w:numPr>
          <w:ilvl w:val="0"/>
          <w:numId w:val="0"/>
        </w:numPr>
        <w:spacing w:before="0" w:after="0"/>
        <w:rPr>
          <w:rFonts w:ascii="Cambria" w:hAnsi="Cambria" w:cs="Times New Roman"/>
          <w:i w:val="0"/>
          <w:color w:val="auto"/>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QUARTA – DOS CASOS OMISSOS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Os casos omissos serão decididos pelo contratante, segundo as disposições contidas na Lei </w:t>
      </w:r>
      <w:hyperlink r:id="rId96" w:history="1">
        <w:r>
          <w:rPr>
            <w:rStyle w:val="Hyperlink"/>
            <w:rFonts w:ascii="Cambria" w:hAnsi="Cambria" w:cs="Times New Roman"/>
            <w:sz w:val="24"/>
            <w:szCs w:val="24"/>
          </w:rPr>
          <w:t>nº 14.133, de 2021</w:t>
        </w:r>
      </w:hyperlink>
      <w:r>
        <w:rPr>
          <w:rFonts w:ascii="Cambria" w:hAnsi="Cambria" w:cs="Times New Roman"/>
          <w:sz w:val="24"/>
          <w:szCs w:val="24"/>
        </w:rPr>
        <w:t xml:space="preserve">, e demais normas federais aplicáveis e, subsidiariamente, segundo as disposições contidas na </w:t>
      </w:r>
      <w:hyperlink r:id="rId97" w:history="1">
        <w:r>
          <w:rPr>
            <w:rStyle w:val="Hyperlink"/>
            <w:rFonts w:ascii="Cambria" w:hAnsi="Cambria" w:cs="Times New Roman"/>
            <w:sz w:val="24"/>
            <w:szCs w:val="24"/>
          </w:rPr>
          <w:t>Lei nº 8.078, de 1990 – Código de Defesa do Consumidor</w:t>
        </w:r>
      </w:hyperlink>
      <w:r>
        <w:rPr>
          <w:rFonts w:ascii="Cambria" w:hAnsi="Cambria" w:cs="Times New Roman"/>
          <w:sz w:val="24"/>
          <w:szCs w:val="24"/>
        </w:rPr>
        <w:t xml:space="preserve"> – e normas e princípios gerais dos contratos.</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DÉCIMA QUINTA – ALTERAÇÕES</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Eventuais alterações contratuais reger-se-ão pela disciplina dos </w:t>
      </w:r>
      <w:hyperlink r:id="rId98" w:anchor="art124" w:history="1">
        <w:r>
          <w:rPr>
            <w:rStyle w:val="Hyperlink"/>
            <w:rFonts w:ascii="Cambria" w:hAnsi="Cambria" w:cs="Times New Roman"/>
            <w:sz w:val="24"/>
            <w:szCs w:val="24"/>
          </w:rPr>
          <w:t>arts. 124 e seguintes da Lei nº 14.133, de 2021</w:t>
        </w:r>
      </w:hyperlink>
      <w:r>
        <w:rPr>
          <w:rFonts w:ascii="Cambria" w:hAnsi="Cambria" w:cs="Times New Roman"/>
          <w:sz w:val="24"/>
          <w:szCs w:val="24"/>
        </w:rPr>
        <w:t>.</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w:t>
      </w:r>
      <w:r>
        <w:rPr>
          <w:rFonts w:ascii="Cambria" w:hAnsi="Cambria" w:cs="Times New Roman"/>
          <w:sz w:val="24"/>
          <w:szCs w:val="24"/>
        </w:rPr>
        <w:lastRenderedPageBreak/>
        <w:t>hipótese em que a formalização do aditivo deverá ocorrer no prazo máximo de 1 (um) mês (art. 132 da Lei nº 14.133, de 2021).</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Registros que não caracterizam alteração do contrato podem ser realizados por simples apostila, dispensada a celebração de termo aditivo, na forma do </w:t>
      </w:r>
      <w:hyperlink r:id="rId99" w:anchor="art136" w:history="1">
        <w:r>
          <w:rPr>
            <w:rStyle w:val="Hyperlink"/>
            <w:rFonts w:ascii="Cambria" w:hAnsi="Cambria" w:cs="Times New Roman"/>
            <w:sz w:val="24"/>
            <w:szCs w:val="24"/>
          </w:rPr>
          <w:t>art. 136 da Lei nº 14.133, de 2021</w:t>
        </w:r>
      </w:hyperlink>
      <w:r>
        <w:rPr>
          <w:rFonts w:ascii="Cambria" w:hAnsi="Cambria" w:cs="Times New Roman"/>
          <w:sz w:val="24"/>
          <w:szCs w:val="24"/>
        </w:rPr>
        <w:t>.</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CLÁUSULA DÉCIMA SEXTA – PUBLICAÇÃO</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sz w:val="24"/>
          <w:szCs w:val="24"/>
        </w:rPr>
        <w:t xml:space="preserve">Incumbirá ao contratante divulgar o presente instrumento no Portal Nacional de Contratações Públicas (PNCP), na forma prevista no </w:t>
      </w:r>
      <w:hyperlink r:id="rId100" w:anchor="art94" w:history="1">
        <w:r>
          <w:rPr>
            <w:rStyle w:val="Hyperlink"/>
            <w:rFonts w:ascii="Cambria" w:hAnsi="Cambria" w:cs="Times New Roman"/>
            <w:sz w:val="24"/>
            <w:szCs w:val="24"/>
          </w:rPr>
          <w:t>art. 94 da Lei 14.133, de 2021</w:t>
        </w:r>
      </w:hyperlink>
      <w:r>
        <w:rPr>
          <w:rFonts w:ascii="Cambria" w:hAnsi="Cambria" w:cs="Times New Roman"/>
          <w:sz w:val="24"/>
          <w:szCs w:val="24"/>
        </w:rPr>
        <w:t xml:space="preserve">, bem como no respectivo sítio oficial na Internet, em atenção ao art. 91, </w:t>
      </w:r>
      <w:r>
        <w:rPr>
          <w:rFonts w:ascii="Cambria" w:hAnsi="Cambria" w:cs="Times New Roman"/>
          <w:i/>
          <w:sz w:val="24"/>
          <w:szCs w:val="24"/>
        </w:rPr>
        <w:t>caput,</w:t>
      </w:r>
      <w:r>
        <w:rPr>
          <w:rFonts w:ascii="Cambria" w:hAnsi="Cambria" w:cs="Times New Roman"/>
          <w:sz w:val="24"/>
          <w:szCs w:val="24"/>
        </w:rPr>
        <w:t xml:space="preserve"> da Lei n.º 14.133, de 2021, e ao </w:t>
      </w:r>
      <w:hyperlink r:id="rId101" w:anchor="art8§2" w:history="1">
        <w:r>
          <w:rPr>
            <w:rStyle w:val="Hyperlink"/>
            <w:rFonts w:ascii="Cambria" w:hAnsi="Cambria" w:cs="Times New Roman"/>
            <w:sz w:val="24"/>
            <w:szCs w:val="24"/>
          </w:rPr>
          <w:t>art. 8º, §2º, da Lei n. 12.527, de 2011</w:t>
        </w:r>
      </w:hyperlink>
      <w:r>
        <w:rPr>
          <w:rFonts w:ascii="Cambria" w:hAnsi="Cambria" w:cs="Times New Roman"/>
          <w:sz w:val="24"/>
          <w:szCs w:val="24"/>
        </w:rPr>
        <w:t xml:space="preserve">, c/c </w:t>
      </w:r>
      <w:hyperlink r:id="rId102" w:anchor="art7§3" w:history="1">
        <w:r>
          <w:rPr>
            <w:rStyle w:val="Hyperlink"/>
            <w:rFonts w:ascii="Cambria" w:hAnsi="Cambria" w:cs="Times New Roman"/>
            <w:sz w:val="24"/>
            <w:szCs w:val="24"/>
          </w:rPr>
          <w:t>art. 7º, §3º, inciso V, do Decreto n. 7.724, de 2012</w:t>
        </w:r>
      </w:hyperlink>
      <w:r>
        <w:rPr>
          <w:rFonts w:ascii="Cambria" w:hAnsi="Cambria" w:cs="Times New Roman"/>
          <w:sz w:val="24"/>
          <w:szCs w:val="24"/>
        </w:rPr>
        <w:t>.</w:t>
      </w:r>
    </w:p>
    <w:p>
      <w:pPr>
        <w:pStyle w:val="Nivel2"/>
        <w:numPr>
          <w:ilvl w:val="0"/>
          <w:numId w:val="0"/>
        </w:numPr>
        <w:spacing w:before="0" w:after="0"/>
        <w:rPr>
          <w:rFonts w:ascii="Cambria" w:hAnsi="Cambria" w:cs="Times New Roman"/>
          <w:sz w:val="24"/>
          <w:szCs w:val="24"/>
        </w:rPr>
      </w:pPr>
    </w:p>
    <w:p>
      <w:pPr>
        <w:pStyle w:val="Nivel01"/>
        <w:numPr>
          <w:ilvl w:val="0"/>
          <w:numId w:val="24"/>
        </w:numPr>
        <w:spacing w:before="0" w:line="276" w:lineRule="auto"/>
        <w:ind w:left="0" w:firstLine="0"/>
        <w:rPr>
          <w:rFonts w:ascii="Cambria" w:hAnsi="Cambria" w:cs="Times New Roman"/>
          <w:color w:val="FFFFFF" w:themeColor="background1"/>
          <w:sz w:val="24"/>
          <w:szCs w:val="24"/>
        </w:rPr>
      </w:pPr>
      <w:r>
        <w:rPr>
          <w:rFonts w:ascii="Cambria" w:hAnsi="Cambria" w:cs="Times New Roman"/>
          <w:sz w:val="24"/>
          <w:szCs w:val="24"/>
        </w:rPr>
        <w:t xml:space="preserve">CLÁUSULA DÉCIMA SÉTIMA– FORO </w:t>
      </w:r>
    </w:p>
    <w:p>
      <w:pPr>
        <w:pStyle w:val="Nivel2"/>
        <w:numPr>
          <w:ilvl w:val="1"/>
          <w:numId w:val="24"/>
        </w:numPr>
        <w:spacing w:before="0" w:after="0"/>
        <w:ind w:left="0" w:firstLine="0"/>
        <w:rPr>
          <w:rFonts w:ascii="Cambria" w:hAnsi="Cambria" w:cs="Times New Roman"/>
          <w:sz w:val="24"/>
          <w:szCs w:val="24"/>
        </w:rPr>
      </w:pPr>
      <w:r>
        <w:rPr>
          <w:rFonts w:ascii="Cambria" w:hAnsi="Cambria" w:cs="Times New Roman"/>
          <w:color w:val="auto"/>
          <w:sz w:val="24"/>
          <w:szCs w:val="24"/>
          <w:lang w:eastAsia="en-US"/>
        </w:rPr>
        <w:t>Fica eleito o Foro da Comarca Vinculada de Miraíma-CE</w:t>
      </w:r>
      <w:r>
        <w:rPr>
          <w:rFonts w:ascii="Cambria" w:hAnsi="Cambria" w:cs="Times New Roman"/>
          <w:sz w:val="24"/>
          <w:szCs w:val="24"/>
        </w:rPr>
        <w:t xml:space="preserve"> para dirimir os litígios que decorrerem da execução deste Termo de Contrato que não puderem ser compostos pela conciliação, conforme </w:t>
      </w:r>
      <w:hyperlink r:id="rId103" w:anchor="art92§1" w:history="1">
        <w:r>
          <w:rPr>
            <w:rStyle w:val="Hyperlink"/>
            <w:rFonts w:ascii="Cambria" w:hAnsi="Cambria" w:cs="Times New Roman"/>
            <w:sz w:val="24"/>
            <w:szCs w:val="24"/>
          </w:rPr>
          <w:t>art. 92, §1º, da Lei nº 14.133/21</w:t>
        </w:r>
      </w:hyperlink>
      <w:r>
        <w:rPr>
          <w:rFonts w:ascii="Cambria" w:hAnsi="Cambria" w:cs="Times New Roman"/>
          <w:sz w:val="24"/>
          <w:szCs w:val="24"/>
        </w:rPr>
        <w:t>.</w:t>
      </w:r>
    </w:p>
    <w:p>
      <w:pPr>
        <w:pStyle w:val="Nivel2"/>
        <w:numPr>
          <w:ilvl w:val="0"/>
          <w:numId w:val="0"/>
        </w:numPr>
        <w:spacing w:before="0" w:after="0"/>
        <w:rPr>
          <w:rFonts w:ascii="Cambria" w:hAnsi="Cambria" w:cs="Times New Roman"/>
          <w:sz w:val="24"/>
          <w:szCs w:val="24"/>
        </w:rPr>
      </w:pPr>
    </w:p>
    <w:p>
      <w:pPr>
        <w:pStyle w:val="Nivel2"/>
        <w:numPr>
          <w:ilvl w:val="0"/>
          <w:numId w:val="0"/>
        </w:numPr>
        <w:spacing w:before="0" w:after="0"/>
        <w:ind w:firstLine="567"/>
        <w:jc w:val="center"/>
        <w:rPr>
          <w:rFonts w:ascii="Cambria" w:hAnsi="Cambria" w:cs="Times New Roman"/>
          <w:iCs/>
          <w:sz w:val="24"/>
          <w:szCs w:val="24"/>
        </w:rPr>
      </w:pPr>
      <w:r>
        <w:rPr>
          <w:rFonts w:ascii="Cambria" w:hAnsi="Cambria" w:cs="Times New Roman"/>
          <w:sz w:val="24"/>
          <w:szCs w:val="24"/>
        </w:rPr>
        <w:t>Miraíma-CE, ___ de _______ de ______.</w:t>
      </w:r>
    </w:p>
    <w:p>
      <w:pPr>
        <w:pStyle w:val="Nivel2"/>
        <w:numPr>
          <w:ilvl w:val="0"/>
          <w:numId w:val="0"/>
        </w:numPr>
        <w:spacing w:before="0" w:after="0"/>
        <w:ind w:firstLine="567"/>
        <w:jc w:val="center"/>
        <w:rPr>
          <w:rFonts w:ascii="Cambria" w:hAnsi="Cambria" w:cs="Times New Roman"/>
          <w:iCs/>
          <w:sz w:val="24"/>
          <w:szCs w:val="24"/>
        </w:rPr>
      </w:pPr>
    </w:p>
    <w:p>
      <w:pPr>
        <w:spacing w:line="276" w:lineRule="auto"/>
        <w:ind w:firstLine="567"/>
        <w:jc w:val="center"/>
        <w:rPr>
          <w:rFonts w:ascii="Cambria" w:hAnsi="Cambria"/>
          <w:bCs/>
          <w:sz w:val="24"/>
          <w:szCs w:val="24"/>
        </w:rPr>
      </w:pPr>
      <w:r>
        <w:rPr>
          <w:rFonts w:ascii="Cambria" w:hAnsi="Cambria"/>
          <w:bCs/>
          <w:sz w:val="24"/>
          <w:szCs w:val="24"/>
        </w:rPr>
        <w:t>_________________________</w:t>
      </w:r>
    </w:p>
    <w:p>
      <w:pPr>
        <w:spacing w:line="276" w:lineRule="auto"/>
        <w:ind w:firstLine="567"/>
        <w:jc w:val="center"/>
        <w:rPr>
          <w:rFonts w:ascii="Cambria" w:hAnsi="Cambria"/>
          <w:bCs/>
          <w:sz w:val="24"/>
          <w:szCs w:val="24"/>
        </w:rPr>
      </w:pPr>
      <w:r>
        <w:rPr>
          <w:rFonts w:ascii="Cambria" w:hAnsi="Cambria"/>
          <w:bCs/>
          <w:sz w:val="24"/>
          <w:szCs w:val="24"/>
        </w:rPr>
        <w:t>Representante legal do CONTRATANTE</w:t>
      </w:r>
    </w:p>
    <w:p>
      <w:pPr>
        <w:spacing w:line="276" w:lineRule="auto"/>
        <w:ind w:firstLine="567"/>
        <w:jc w:val="center"/>
        <w:rPr>
          <w:rFonts w:ascii="Cambria" w:hAnsi="Cambria"/>
          <w:bCs/>
          <w:sz w:val="24"/>
          <w:szCs w:val="24"/>
        </w:rPr>
      </w:pPr>
    </w:p>
    <w:p>
      <w:pPr>
        <w:spacing w:line="276" w:lineRule="auto"/>
        <w:ind w:firstLine="567"/>
        <w:jc w:val="center"/>
        <w:rPr>
          <w:rFonts w:ascii="Cambria" w:hAnsi="Cambria"/>
          <w:sz w:val="24"/>
          <w:szCs w:val="24"/>
        </w:rPr>
      </w:pPr>
      <w:r>
        <w:rPr>
          <w:rFonts w:ascii="Cambria" w:hAnsi="Cambria"/>
          <w:sz w:val="24"/>
          <w:szCs w:val="24"/>
        </w:rPr>
        <w:t>_________________________</w:t>
      </w:r>
    </w:p>
    <w:p>
      <w:pPr>
        <w:spacing w:line="276" w:lineRule="auto"/>
        <w:ind w:firstLine="567"/>
        <w:jc w:val="center"/>
        <w:rPr>
          <w:rFonts w:ascii="Cambria" w:hAnsi="Cambria"/>
          <w:sz w:val="24"/>
          <w:szCs w:val="24"/>
        </w:rPr>
      </w:pPr>
      <w:r>
        <w:rPr>
          <w:rFonts w:ascii="Cambria" w:hAnsi="Cambria"/>
          <w:bCs/>
          <w:sz w:val="24"/>
          <w:szCs w:val="24"/>
        </w:rPr>
        <w:t>Representante</w:t>
      </w:r>
      <w:r>
        <w:rPr>
          <w:rFonts w:ascii="Cambria" w:hAnsi="Cambria"/>
          <w:sz w:val="24"/>
          <w:szCs w:val="24"/>
        </w:rPr>
        <w:t xml:space="preserve"> legal do CONTRATADO</w:t>
      </w:r>
    </w:p>
    <w:p>
      <w:pPr>
        <w:spacing w:line="276" w:lineRule="auto"/>
        <w:ind w:firstLine="567"/>
        <w:jc w:val="both"/>
        <w:rPr>
          <w:rFonts w:ascii="Cambria" w:hAnsi="Cambria"/>
          <w:i/>
          <w:iCs/>
          <w:color w:val="FF0000"/>
          <w:sz w:val="24"/>
          <w:szCs w:val="24"/>
        </w:rPr>
      </w:pPr>
    </w:p>
    <w:p>
      <w:pPr>
        <w:spacing w:line="276" w:lineRule="auto"/>
        <w:ind w:firstLine="567"/>
        <w:jc w:val="both"/>
        <w:rPr>
          <w:rFonts w:ascii="Cambria" w:hAnsi="Cambria"/>
          <w:b/>
          <w:iCs/>
          <w:sz w:val="24"/>
          <w:szCs w:val="24"/>
        </w:rPr>
      </w:pPr>
      <w:r>
        <w:rPr>
          <w:rFonts w:ascii="Cambria" w:hAnsi="Cambria"/>
          <w:b/>
          <w:iCs/>
          <w:sz w:val="24"/>
          <w:szCs w:val="24"/>
        </w:rPr>
        <w:t>TESTEMUNHAS:</w:t>
      </w:r>
    </w:p>
    <w:p>
      <w:pPr>
        <w:spacing w:line="276" w:lineRule="auto"/>
        <w:ind w:firstLine="567"/>
        <w:rPr>
          <w:rFonts w:ascii="Cambria" w:hAnsi="Cambria"/>
          <w:iCs/>
          <w:sz w:val="24"/>
          <w:szCs w:val="24"/>
        </w:rPr>
      </w:pPr>
    </w:p>
    <w:p>
      <w:pPr>
        <w:pStyle w:val="PargrafodaLista"/>
        <w:numPr>
          <w:ilvl w:val="0"/>
          <w:numId w:val="13"/>
        </w:numPr>
        <w:spacing w:after="0"/>
        <w:rPr>
          <w:rFonts w:ascii="Cambria" w:hAnsi="Cambria"/>
          <w:iCs/>
          <w:sz w:val="24"/>
          <w:szCs w:val="24"/>
        </w:rPr>
      </w:pPr>
      <w:r>
        <w:rPr>
          <w:rFonts w:ascii="Cambria" w:hAnsi="Cambria"/>
          <w:iCs/>
          <w:sz w:val="24"/>
          <w:szCs w:val="24"/>
        </w:rPr>
        <w:t>______________________________________ CPF: _______________________</w:t>
      </w:r>
    </w:p>
    <w:p>
      <w:pPr>
        <w:pStyle w:val="PargrafodaLista"/>
        <w:spacing w:after="0"/>
        <w:ind w:left="927"/>
        <w:rPr>
          <w:rFonts w:ascii="Cambria" w:hAnsi="Cambria"/>
          <w:iCs/>
          <w:sz w:val="24"/>
          <w:szCs w:val="24"/>
        </w:rPr>
      </w:pPr>
    </w:p>
    <w:p>
      <w:pPr>
        <w:pStyle w:val="PargrafodaLista"/>
        <w:numPr>
          <w:ilvl w:val="0"/>
          <w:numId w:val="13"/>
        </w:numPr>
        <w:spacing w:after="0"/>
        <w:rPr>
          <w:rFonts w:ascii="Cambria" w:hAnsi="Cambria"/>
          <w:sz w:val="24"/>
          <w:szCs w:val="24"/>
        </w:rPr>
      </w:pPr>
      <w:r>
        <w:rPr>
          <w:rFonts w:ascii="Cambria" w:hAnsi="Cambria"/>
          <w:iCs/>
          <w:sz w:val="24"/>
          <w:szCs w:val="24"/>
        </w:rPr>
        <w:t>______________________________________ CPF: _______________________</w:t>
      </w:r>
    </w:p>
    <w:p>
      <w:pPr>
        <w:suppressAutoHyphens w:val="0"/>
        <w:spacing w:after="160" w:line="259" w:lineRule="auto"/>
        <w:rPr>
          <w:rFonts w:ascii="Cambria" w:hAnsi="Cambria"/>
          <w:b/>
          <w:bCs/>
          <w:sz w:val="24"/>
          <w:szCs w:val="24"/>
        </w:rPr>
      </w:pPr>
      <w:r>
        <w:rPr>
          <w:rFonts w:ascii="Cambria" w:hAnsi="Cambria"/>
          <w:b/>
          <w:bCs/>
          <w:sz w:val="24"/>
          <w:szCs w:val="24"/>
        </w:rPr>
        <w:br w:type="page"/>
      </w:r>
    </w:p>
    <w:p>
      <w:pPr>
        <w:spacing w:line="276" w:lineRule="auto"/>
        <w:rPr>
          <w:rFonts w:ascii="Cambria" w:hAnsi="Cambria"/>
          <w:b/>
          <w:bCs/>
          <w:sz w:val="24"/>
          <w:szCs w:val="24"/>
        </w:rPr>
      </w:pPr>
    </w:p>
    <w:p>
      <w:pPr>
        <w:spacing w:line="276" w:lineRule="auto"/>
        <w:jc w:val="center"/>
        <w:rPr>
          <w:rFonts w:ascii="Cambria" w:hAnsi="Cambria"/>
          <w:b/>
          <w:bCs/>
          <w:sz w:val="24"/>
          <w:szCs w:val="24"/>
        </w:rPr>
      </w:pPr>
    </w:p>
    <w:p>
      <w:pPr>
        <w:spacing w:line="276" w:lineRule="auto"/>
        <w:jc w:val="center"/>
        <w:rPr>
          <w:rFonts w:ascii="Cambria" w:hAnsi="Cambria"/>
          <w:b/>
          <w:bCs/>
          <w:sz w:val="24"/>
          <w:szCs w:val="24"/>
        </w:rPr>
      </w:pPr>
      <w:r>
        <w:rPr>
          <w:rFonts w:ascii="Cambria" w:hAnsi="Cambria"/>
          <w:b/>
          <w:bCs/>
          <w:sz w:val="24"/>
          <w:szCs w:val="24"/>
        </w:rPr>
        <w:t xml:space="preserve">AVISO DE PREGÃO ELETRÔNICO </w:t>
      </w:r>
      <w:r>
        <w:rPr>
          <w:rFonts w:ascii="Cambria" w:hAnsi="Cambria"/>
          <w:b/>
          <w:color w:val="000000"/>
          <w:sz w:val="24"/>
          <w:szCs w:val="24"/>
        </w:rPr>
        <w:t>Nº 160/2026-PE</w:t>
      </w:r>
    </w:p>
    <w:p>
      <w:pPr>
        <w:spacing w:line="276" w:lineRule="auto"/>
        <w:jc w:val="both"/>
        <w:rPr>
          <w:rFonts w:ascii="Cambria" w:hAnsi="Cambria"/>
          <w:sz w:val="24"/>
          <w:szCs w:val="24"/>
        </w:rPr>
      </w:pPr>
    </w:p>
    <w:p>
      <w:pPr>
        <w:spacing w:line="276" w:lineRule="auto"/>
        <w:jc w:val="both"/>
        <w:rPr>
          <w:rFonts w:ascii="Cambria" w:hAnsi="Cambria"/>
          <w:sz w:val="24"/>
          <w:szCs w:val="24"/>
        </w:rPr>
      </w:pPr>
      <w:r>
        <w:rPr>
          <w:rFonts w:ascii="Cambria" w:hAnsi="Cambria"/>
          <w:sz w:val="24"/>
          <w:szCs w:val="24"/>
        </w:rPr>
        <w:t xml:space="preserve">ESTADO DO CEARÁ – PREFEITURA MUNICIPAL DE MIRAÍMA – SECRETARIA DE SAÚDE – AVISO DE PREGÃO ELETRÔNICO Nº 160/2026-PE. A Prefeitura Municipal de Miraíma-CE, por meio do Pregoeiro, torna público que se encontra à disposição dos interessados o EDITAL DO PREGÃO ELETRÔNICO Nº 160/2026-PE, que tem como objeto a AQUISIÇÃO DE MATERIAIS PERMANENTES ODONTOLÓGICOS, DESTINADOS AO ATENDIMENTO DAS NECESSIDADES DA SECRETARIA MUNICIPAL DE SAÚDE DO MUNICÍPIO DE MIRAÍMA/CE. Esta licitação está sujeita às disposições da Lei Federal nº 14.133/2021. O Edital poderá ser obtido no site </w:t>
      </w:r>
      <w:hyperlink r:id="rId104" w:history="1">
        <w:r>
          <w:rPr>
            <w:rStyle w:val="Hyperlink"/>
            <w:rFonts w:ascii="Cambria" w:hAnsi="Cambria"/>
            <w:sz w:val="24"/>
            <w:szCs w:val="24"/>
          </w:rPr>
          <w:t>www.gov.br/compras/pt-br</w:t>
        </w:r>
      </w:hyperlink>
      <w:r>
        <w:rPr>
          <w:rFonts w:ascii="Cambria" w:hAnsi="Cambria"/>
          <w:sz w:val="24"/>
          <w:szCs w:val="24"/>
        </w:rPr>
        <w:t xml:space="preserve">, </w:t>
      </w:r>
      <w:r>
        <w:rPr>
          <w:rStyle w:val="Hyperlink"/>
          <w:rFonts w:ascii="Cambria" w:hAnsi="Cambria"/>
          <w:sz w:val="24"/>
          <w:szCs w:val="24"/>
        </w:rPr>
        <w:t>www.miraima.ce.gov.br</w:t>
      </w:r>
      <w:r>
        <w:rPr>
          <w:rStyle w:val="Hyperlink"/>
          <w:rFonts w:ascii="Cambria" w:hAnsi="Cambria"/>
          <w:sz w:val="24"/>
          <w:szCs w:val="24"/>
          <w:u w:val="none"/>
        </w:rPr>
        <w:t>,</w:t>
      </w:r>
      <w:r>
        <w:rPr>
          <w:rFonts w:ascii="Cambria" w:hAnsi="Cambria"/>
          <w:sz w:val="24"/>
          <w:szCs w:val="24"/>
        </w:rPr>
        <w:t xml:space="preserve"> </w:t>
      </w:r>
      <w:hyperlink r:id="rId105" w:history="1">
        <w:r>
          <w:rPr>
            <w:rStyle w:val="Hyperlink"/>
            <w:rFonts w:ascii="Cambria" w:hAnsi="Cambria"/>
            <w:sz w:val="24"/>
            <w:szCs w:val="24"/>
          </w:rPr>
          <w:t>https://licitacoes.tce.ce.gov.br/</w:t>
        </w:r>
      </w:hyperlink>
      <w:r>
        <w:rPr>
          <w:rStyle w:val="Hyperlink"/>
          <w:rFonts w:ascii="Cambria" w:hAnsi="Cambria"/>
          <w:color w:val="auto"/>
          <w:sz w:val="24"/>
          <w:szCs w:val="24"/>
          <w:u w:val="none"/>
        </w:rPr>
        <w:t xml:space="preserve"> e</w:t>
      </w:r>
      <w:r>
        <w:rPr>
          <w:rFonts w:ascii="Cambria" w:hAnsi="Cambria"/>
          <w:sz w:val="24"/>
          <w:szCs w:val="24"/>
        </w:rPr>
        <w:t xml:space="preserve"> </w:t>
      </w:r>
      <w:hyperlink r:id="rId106" w:history="1">
        <w:r>
          <w:rPr>
            <w:rStyle w:val="Hyperlink"/>
            <w:rFonts w:ascii="Cambria" w:hAnsi="Cambria"/>
            <w:sz w:val="24"/>
            <w:szCs w:val="24"/>
          </w:rPr>
          <w:t>www.gov.br/pncp/pt-br</w:t>
        </w:r>
      </w:hyperlink>
      <w:r>
        <w:rPr>
          <w:rFonts w:ascii="Cambria" w:hAnsi="Cambria"/>
          <w:sz w:val="24"/>
          <w:szCs w:val="24"/>
        </w:rPr>
        <w:t xml:space="preserve">. O recebimento das propostas através do site do Governo Federal dar-se-á até às 08h59min do dia 08/10/2026. Abertura das Propostas: 08/10/2026 às 09h00min. Início da Disputa de Lances às 09h00min do dia 08/10/2026 (horário de Brasília). Solicitações de esclarecimento acerca do edital deverão ser enviadas ao endereço eletrônico de e-mail: </w:t>
      </w:r>
      <w:hyperlink r:id="rId107" w:history="1">
        <w:r>
          <w:rPr>
            <w:rStyle w:val="Hyperlink"/>
            <w:rFonts w:ascii="Cambria" w:hAnsi="Cambria"/>
            <w:sz w:val="24"/>
            <w:szCs w:val="24"/>
          </w:rPr>
          <w:t>licitacao@miraima.ce.gov.br</w:t>
        </w:r>
      </w:hyperlink>
      <w:r>
        <w:rPr>
          <w:rFonts w:ascii="Cambria" w:hAnsi="Cambria"/>
          <w:sz w:val="24"/>
          <w:szCs w:val="24"/>
        </w:rPr>
        <w:t>. ANTÔNIO ROBSON ALVES DOS SANTOS – Pregoeiro. Prefeitura Municipal de Miraíma, 22 de setembro de 2026.</w:t>
      </w:r>
    </w:p>
    <w:p>
      <w:pPr>
        <w:spacing w:line="276" w:lineRule="auto"/>
        <w:jc w:val="both"/>
        <w:rPr>
          <w:rFonts w:ascii="Cambria" w:hAnsi="Cambria"/>
          <w:sz w:val="24"/>
          <w:szCs w:val="24"/>
        </w:rPr>
      </w:pPr>
    </w:p>
    <w:p>
      <w:pPr>
        <w:spacing w:line="276" w:lineRule="auto"/>
        <w:jc w:val="center"/>
        <w:rPr>
          <w:rFonts w:ascii="Cambria" w:hAnsi="Cambria"/>
          <w:sz w:val="24"/>
          <w:szCs w:val="24"/>
        </w:rPr>
      </w:pPr>
      <w:r>
        <w:rPr>
          <w:rFonts w:ascii="Cambria" w:hAnsi="Cambria"/>
          <w:sz w:val="24"/>
          <w:szCs w:val="24"/>
        </w:rPr>
        <w:t>Miraíma-CE, 22 de setembro de 2026.</w:t>
      </w:r>
    </w:p>
    <w:p>
      <w:pPr>
        <w:spacing w:line="276" w:lineRule="auto"/>
        <w:jc w:val="center"/>
        <w:rPr>
          <w:rFonts w:ascii="Cambria" w:hAnsi="Cambria"/>
          <w:sz w:val="24"/>
          <w:szCs w:val="24"/>
        </w:rPr>
      </w:pPr>
    </w:p>
    <w:p>
      <w:pPr>
        <w:spacing w:line="276" w:lineRule="auto"/>
        <w:jc w:val="center"/>
        <w:rPr>
          <w:rFonts w:ascii="Cambria" w:hAnsi="Cambria"/>
          <w:sz w:val="24"/>
          <w:szCs w:val="24"/>
        </w:rPr>
      </w:pPr>
    </w:p>
    <w:p>
      <w:pPr>
        <w:spacing w:line="276" w:lineRule="auto"/>
        <w:jc w:val="center"/>
        <w:rPr>
          <w:rFonts w:ascii="Cambria" w:hAnsi="Cambria"/>
          <w:sz w:val="24"/>
          <w:szCs w:val="24"/>
        </w:rPr>
      </w:pPr>
    </w:p>
    <w:p>
      <w:pPr>
        <w:spacing w:line="276" w:lineRule="auto"/>
        <w:jc w:val="center"/>
        <w:rPr>
          <w:rFonts w:ascii="Cambria" w:hAnsi="Cambria"/>
          <w:b/>
          <w:sz w:val="24"/>
          <w:szCs w:val="24"/>
        </w:rPr>
      </w:pPr>
      <w:r>
        <w:rPr>
          <w:rFonts w:ascii="Cambria" w:hAnsi="Cambria"/>
          <w:b/>
          <w:sz w:val="24"/>
          <w:szCs w:val="24"/>
        </w:rPr>
        <w:t>ANTÔNIO ROBSON ALVES DOS SANTOS</w:t>
      </w:r>
    </w:p>
    <w:p>
      <w:pPr>
        <w:spacing w:line="276" w:lineRule="auto"/>
        <w:jc w:val="center"/>
        <w:rPr>
          <w:rFonts w:ascii="Cambria" w:hAnsi="Cambria"/>
          <w:sz w:val="24"/>
          <w:szCs w:val="24"/>
        </w:rPr>
      </w:pPr>
      <w:r>
        <w:rPr>
          <w:rFonts w:ascii="Cambria" w:hAnsi="Cambria"/>
          <w:sz w:val="24"/>
          <w:szCs w:val="24"/>
        </w:rPr>
        <w:t>Pregoeiro do Município de Miraíma-CE</w:t>
      </w:r>
    </w:p>
    <w:p>
      <w:pPr>
        <w:spacing w:line="276" w:lineRule="auto"/>
        <w:rPr>
          <w:rFonts w:ascii="Cambria" w:hAnsi="Cambria"/>
          <w:b/>
          <w:bCs/>
          <w:sz w:val="24"/>
          <w:szCs w:val="24"/>
        </w:rPr>
      </w:pPr>
    </w:p>
    <w:sectPr>
      <w:pgSz w:w="11906" w:h="16838"/>
      <w:pgMar w:top="2354" w:right="1416" w:bottom="1418" w:left="1560" w:header="568" w:footer="3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1292251070"/>
      <w:docPartObj>
        <w:docPartGallery w:val="Page Numbers (Top of Page)"/>
        <w:docPartUnique/>
      </w:docPartObj>
    </w:sdtPr>
    <w:sdtContent>
      <w:p>
        <w:pPr>
          <w:pStyle w:val="Rodap"/>
          <w:jc w:val="center"/>
          <w:rPr>
            <w:szCs w:val="22"/>
          </w:rPr>
        </w:pPr>
        <w:r>
          <w:rPr>
            <w:noProof/>
            <w:sz w:val="18"/>
            <w:lang w:eastAsia="pt-BR"/>
            <w14:ligatures w14:val="standardContextual"/>
          </w:rPr>
          <w:drawing>
            <wp:anchor distT="0" distB="0" distL="114300" distR="114300" simplePos="0" relativeHeight="251665408"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14:ligatures w14:val="standardContextual"/>
          </w:rPr>
          <w:drawing>
            <wp:anchor distT="0" distB="0" distL="114300" distR="114300" simplePos="0" relativeHeight="25166643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3"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14:ligatures w14:val="standardContextual"/>
          </w:rPr>
          <w:drawing>
            <wp:anchor distT="0" distB="0" distL="114300" distR="114300" simplePos="0" relativeHeight="251667456"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9" name="Imagem 9"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2"/>
          </w:rPr>
          <w:t>Esplanada da Estação, 433 – Centro – Miraíma – CE</w:t>
        </w:r>
      </w:p>
      <w:p>
        <w:pPr>
          <w:pStyle w:val="Rodap"/>
          <w:jc w:val="center"/>
          <w:rPr>
            <w:szCs w:val="22"/>
          </w:rPr>
        </w:pPr>
        <w:r>
          <w:rPr>
            <w:szCs w:val="22"/>
          </w:rPr>
          <w:t xml:space="preserve">Telefone: 88 36301167 – E-mail: </w:t>
        </w:r>
        <w:hyperlink r:id="rId3" w:history="1">
          <w:r>
            <w:rPr>
              <w:rStyle w:val="Hyperlink"/>
              <w:szCs w:val="22"/>
            </w:rPr>
            <w:t>licitação@miraima.ce.gov.br</w:t>
          </w:r>
        </w:hyperlink>
        <w:r>
          <w:rPr>
            <w:szCs w:val="22"/>
          </w:rPr>
          <w:t xml:space="preserve"> </w:t>
        </w:r>
      </w:p>
      <w:p>
        <w:pPr>
          <w:pStyle w:val="Rodap"/>
          <w:jc w:val="center"/>
          <w:rPr>
            <w:b/>
            <w:bCs/>
            <w:sz w:val="22"/>
            <w:szCs w:val="24"/>
          </w:rPr>
        </w:pPr>
        <w:r>
          <w:rPr>
            <w:b/>
            <w:szCs w:val="22"/>
          </w:rPr>
          <w:t>CNPJ/MF</w:t>
        </w:r>
        <w:r>
          <w:rPr>
            <w:szCs w:val="22"/>
          </w:rPr>
          <w:t xml:space="preserve"> nº 10.517.563/0001-05 - </w:t>
        </w:r>
        <w:r>
          <w:rPr>
            <w:b/>
            <w:szCs w:val="22"/>
          </w:rPr>
          <w:t>CGF nº</w:t>
        </w:r>
        <w:r>
          <w:rPr>
            <w:szCs w:val="22"/>
          </w:rPr>
          <w:t xml:space="preserve"> 06.920.294-0</w:t>
        </w:r>
        <w:r>
          <w:rPr>
            <w:noProof/>
            <w:sz w:val="18"/>
            <w:lang w:eastAsia="pt-BR"/>
          </w:rPr>
          <w:drawing>
            <wp:anchor distT="0" distB="0" distL="114300" distR="114300" simplePos="0" relativeHeight="251660288"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59264"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r>
      <w:rPr>
        <w:noProof/>
        <w:lang w:eastAsia="pt-BR"/>
        <w14:ligatures w14:val="standardContextual"/>
      </w:rPr>
      <w:drawing>
        <wp:anchor distT="0" distB="0" distL="114300" distR="114300" simplePos="0" relativeHeight="251668480" behindDoc="0" locked="0" layoutInCell="1" allowOverlap="1">
          <wp:simplePos x="0" y="0"/>
          <wp:positionH relativeFrom="margin">
            <wp:posOffset>1903095</wp:posOffset>
          </wp:positionH>
          <wp:positionV relativeFrom="paragraph">
            <wp:posOffset>-351790</wp:posOffset>
          </wp:positionV>
          <wp:extent cx="1863090" cy="1630680"/>
          <wp:effectExtent l="0" t="0" r="0" b="0"/>
          <wp:wrapThrough wrapText="bothSides">
            <wp:wrapPolygon edited="0">
              <wp:start x="10160" y="2776"/>
              <wp:lineTo x="6847" y="4794"/>
              <wp:lineTo x="5521" y="6056"/>
              <wp:lineTo x="5521" y="11355"/>
              <wp:lineTo x="2650" y="13121"/>
              <wp:lineTo x="1988" y="13879"/>
              <wp:lineTo x="1988" y="16907"/>
              <wp:lineTo x="2650" y="17159"/>
              <wp:lineTo x="8613" y="17664"/>
              <wp:lineTo x="12368" y="17664"/>
              <wp:lineTo x="18552" y="17159"/>
              <wp:lineTo x="19656" y="16907"/>
              <wp:lineTo x="18994" y="15393"/>
              <wp:lineTo x="16123" y="11355"/>
              <wp:lineTo x="16123" y="5551"/>
              <wp:lineTo x="14798" y="4290"/>
              <wp:lineTo x="11264" y="2776"/>
              <wp:lineTo x="10160" y="2776"/>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309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pict>
        <v:group id="_x0000_s2049" style="position:absolute;left:0;text-align:left;margin-left:411.35pt;margin-top:-6.65pt;width:78.75pt;height:85.85pt;z-index:251662336;mso-position-horizontal-relative:text;mso-position-vertical-relative:text" coordorigin="10275,240" coordsize="1575,1717">
          <v:oval id="_x0000_s2050"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51"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52" type="#_x0000_t202" style="position:absolute;left:10441;top:1019;width:1222;height:938;mso-width-relative:margin;mso-height-relative:margin" filled="f" stroked="f">
            <v:textbox style="mso-next-textbox:#_x0000_s2052">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nsid w:val="07C12D18"/>
    <w:multiLevelType w:val="hybridMultilevel"/>
    <w:tmpl w:val="7DCC8ED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DB1596"/>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B0621D0"/>
    <w:multiLevelType w:val="multilevel"/>
    <w:tmpl w:val="4C4A06BA"/>
    <w:lvl w:ilvl="0">
      <w:start w:val="1"/>
      <w:numFmt w:val="decimalZero"/>
      <w:lvlText w:val="%1."/>
      <w:lvlJc w:val="left"/>
      <w:pPr>
        <w:ind w:left="624" w:hanging="624"/>
      </w:pPr>
      <w:rPr>
        <w:rFonts w:hint="default"/>
        <w:color w:val="000000" w:themeColor="text1"/>
      </w:rPr>
    </w:lvl>
    <w:lvl w:ilvl="1">
      <w:start w:val="1"/>
      <w:numFmt w:val="decimalZero"/>
      <w:lvlText w:val="%1.%2."/>
      <w:lvlJc w:val="left"/>
      <w:pPr>
        <w:ind w:left="3698" w:hanging="720"/>
      </w:pPr>
      <w:rPr>
        <w:rFonts w:hint="default"/>
        <w:color w:val="000000" w:themeColor="text1"/>
      </w:rPr>
    </w:lvl>
    <w:lvl w:ilvl="2">
      <w:start w:val="1"/>
      <w:numFmt w:val="decimal"/>
      <w:lvlText w:val="%1.%2.%3."/>
      <w:lvlJc w:val="left"/>
      <w:pPr>
        <w:ind w:left="6676" w:hanging="720"/>
      </w:pPr>
      <w:rPr>
        <w:rFonts w:hint="default"/>
      </w:rPr>
    </w:lvl>
    <w:lvl w:ilvl="3">
      <w:start w:val="1"/>
      <w:numFmt w:val="decimal"/>
      <w:lvlText w:val="%1.%2.%3.%4."/>
      <w:lvlJc w:val="left"/>
      <w:pPr>
        <w:ind w:left="10014" w:hanging="108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6330" w:hanging="144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646" w:hanging="1800"/>
      </w:pPr>
      <w:rPr>
        <w:rFonts w:hint="default"/>
      </w:rPr>
    </w:lvl>
    <w:lvl w:ilvl="8">
      <w:start w:val="1"/>
      <w:numFmt w:val="decimal"/>
      <w:lvlText w:val="%1.%2.%3.%4.%5.%6.%7.%8.%9."/>
      <w:lvlJc w:val="left"/>
      <w:pPr>
        <w:ind w:left="25624" w:hanging="1800"/>
      </w:pPr>
      <w:rPr>
        <w:rFonts w:hint="default"/>
      </w:rPr>
    </w:lvl>
  </w:abstractNum>
  <w:abstractNum w:abstractNumId="4">
    <w:nsid w:val="0BDC1F1D"/>
    <w:multiLevelType w:val="multilevel"/>
    <w:tmpl w:val="0D5E1F64"/>
    <w:lvl w:ilvl="0">
      <w:start w:val="1"/>
      <w:numFmt w:val="decimalZero"/>
      <w:lvlText w:val="%1."/>
      <w:lvlJc w:val="left"/>
      <w:pPr>
        <w:ind w:left="720" w:hanging="360"/>
      </w:pPr>
      <w:rPr>
        <w:rFonts w:eastAsiaTheme="majorEastAsia" w:hint="default"/>
      </w:rPr>
    </w:lvl>
    <w:lvl w:ilvl="1">
      <w:start w:val="1"/>
      <w:numFmt w:val="decimalZero"/>
      <w:isLgl/>
      <w:lvlText w:val="%1.%2"/>
      <w:lvlJc w:val="left"/>
      <w:pPr>
        <w:ind w:left="3554" w:hanging="576"/>
      </w:pPr>
      <w:rPr>
        <w:rFonts w:hint="default"/>
        <w:b w:val="0"/>
      </w:rPr>
    </w:lvl>
    <w:lvl w:ilvl="2">
      <w:start w:val="1"/>
      <w:numFmt w:val="decimal"/>
      <w:isLgl/>
      <w:lvlText w:val="%1.%2.%3"/>
      <w:lvlJc w:val="left"/>
      <w:pPr>
        <w:ind w:left="6316" w:hanging="720"/>
      </w:pPr>
      <w:rPr>
        <w:rFonts w:hint="default"/>
        <w:b w:val="0"/>
      </w:rPr>
    </w:lvl>
    <w:lvl w:ilvl="3">
      <w:start w:val="1"/>
      <w:numFmt w:val="decimal"/>
      <w:isLgl/>
      <w:lvlText w:val="%1.%2.%3.%4"/>
      <w:lvlJc w:val="left"/>
      <w:pPr>
        <w:ind w:left="9294" w:hanging="1080"/>
      </w:pPr>
      <w:rPr>
        <w:rFonts w:hint="default"/>
        <w:b w:val="0"/>
      </w:rPr>
    </w:lvl>
    <w:lvl w:ilvl="4">
      <w:start w:val="1"/>
      <w:numFmt w:val="decimal"/>
      <w:isLgl/>
      <w:lvlText w:val="%1.%2.%3.%4.%5"/>
      <w:lvlJc w:val="left"/>
      <w:pPr>
        <w:ind w:left="11912" w:hanging="1080"/>
      </w:pPr>
      <w:rPr>
        <w:rFonts w:hint="default"/>
        <w:b w:val="0"/>
      </w:rPr>
    </w:lvl>
    <w:lvl w:ilvl="5">
      <w:start w:val="1"/>
      <w:numFmt w:val="decimal"/>
      <w:isLgl/>
      <w:lvlText w:val="%1.%2.%3.%4.%5.%6"/>
      <w:lvlJc w:val="left"/>
      <w:pPr>
        <w:ind w:left="14890" w:hanging="1440"/>
      </w:pPr>
      <w:rPr>
        <w:rFonts w:hint="default"/>
        <w:b w:val="0"/>
      </w:rPr>
    </w:lvl>
    <w:lvl w:ilvl="6">
      <w:start w:val="1"/>
      <w:numFmt w:val="decimal"/>
      <w:isLgl/>
      <w:lvlText w:val="%1.%2.%3.%4.%5.%6.%7"/>
      <w:lvlJc w:val="left"/>
      <w:pPr>
        <w:ind w:left="17508" w:hanging="1440"/>
      </w:pPr>
      <w:rPr>
        <w:rFonts w:hint="default"/>
        <w:b w:val="0"/>
      </w:rPr>
    </w:lvl>
    <w:lvl w:ilvl="7">
      <w:start w:val="1"/>
      <w:numFmt w:val="decimal"/>
      <w:isLgl/>
      <w:lvlText w:val="%1.%2.%3.%4.%5.%6.%7.%8"/>
      <w:lvlJc w:val="left"/>
      <w:pPr>
        <w:ind w:left="20486" w:hanging="1800"/>
      </w:pPr>
      <w:rPr>
        <w:rFonts w:hint="default"/>
        <w:b w:val="0"/>
      </w:rPr>
    </w:lvl>
    <w:lvl w:ilvl="8">
      <w:start w:val="1"/>
      <w:numFmt w:val="decimal"/>
      <w:isLgl/>
      <w:lvlText w:val="%1.%2.%3.%4.%5.%6.%7.%8.%9"/>
      <w:lvlJc w:val="left"/>
      <w:pPr>
        <w:ind w:left="23104" w:hanging="1800"/>
      </w:pPr>
      <w:rPr>
        <w:rFonts w:hint="default"/>
        <w:b w:val="0"/>
      </w:rPr>
    </w:lvl>
  </w:abstractNum>
  <w:abstractNum w:abstractNumId="5">
    <w:nsid w:val="0EBA31F4"/>
    <w:multiLevelType w:val="multilevel"/>
    <w:tmpl w:val="5970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9068F"/>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nsid w:val="18BE742B"/>
    <w:multiLevelType w:val="hybridMultilevel"/>
    <w:tmpl w:val="1BD62356"/>
    <w:lvl w:ilvl="0" w:tplc="1C3CA606">
      <w:start w:val="1"/>
      <w:numFmt w:val="upperRoman"/>
      <w:lvlText w:val="%1)"/>
      <w:lvlJc w:val="left"/>
      <w:pPr>
        <w:ind w:left="3555" w:hanging="720"/>
      </w:pPr>
      <w:rPr>
        <w:rFonts w:hint="default"/>
        <w:i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
    <w:nsid w:val="1D5C100D"/>
    <w:multiLevelType w:val="multilevel"/>
    <w:tmpl w:val="3E8CED42"/>
    <w:lvl w:ilvl="0">
      <w:start w:val="1"/>
      <w:numFmt w:val="decimal"/>
      <w:pStyle w:val="Nivel01"/>
      <w:lvlText w:val="%1."/>
      <w:lvlJc w:val="left"/>
      <w:pPr>
        <w:ind w:left="360" w:hanging="360"/>
      </w:pPr>
      <w:rPr>
        <w:b/>
        <w:color w:val="000000" w:themeColor="text1"/>
      </w:rPr>
    </w:lvl>
    <w:lvl w:ilvl="1">
      <w:start w:val="1"/>
      <w:numFmt w:val="decimal"/>
      <w:pStyle w:val="Nivel2"/>
      <w:lvlText w:val="%1.%2."/>
      <w:lvlJc w:val="left"/>
      <w:pPr>
        <w:ind w:left="3410" w:hanging="432"/>
      </w:pPr>
      <w:rPr>
        <w:b w:val="0"/>
        <w:i w:val="0"/>
        <w:strike w:val="0"/>
        <w:color w:val="auto"/>
        <w:sz w:val="24"/>
        <w:szCs w:val="22"/>
        <w:u w:val="none"/>
      </w:rPr>
    </w:lvl>
    <w:lvl w:ilvl="2">
      <w:start w:val="1"/>
      <w:numFmt w:val="decimal"/>
      <w:pStyle w:val="Nivel3"/>
      <w:lvlText w:val="%1.%2.%3."/>
      <w:lvlJc w:val="left"/>
      <w:pPr>
        <w:ind w:left="3482" w:hanging="504"/>
      </w:pPr>
      <w:rPr>
        <w:rFonts w:ascii="Cambria" w:hAnsi="Cambria" w:cs="Times New Roman"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B04421"/>
    <w:multiLevelType w:val="multilevel"/>
    <w:tmpl w:val="4B94E500"/>
    <w:lvl w:ilvl="0">
      <w:start w:val="1"/>
      <w:numFmt w:val="decimal"/>
      <w:lvlText w:val="%1."/>
      <w:lvlJc w:val="left"/>
      <w:pPr>
        <w:ind w:left="720" w:hanging="360"/>
      </w:pPr>
      <w:rPr>
        <w:b/>
        <w:bCs/>
      </w:rPr>
    </w:lvl>
    <w:lvl w:ilvl="1">
      <w:start w:val="2"/>
      <w:numFmt w:val="decimal"/>
      <w:pStyle w:val="Nvel2-Red"/>
      <w:isLgl/>
      <w:lvlText w:val="%1.%2."/>
      <w:lvlJc w:val="left"/>
      <w:pPr>
        <w:ind w:left="435" w:hanging="435"/>
      </w:pPr>
      <w:rPr>
        <w:rFonts w:hint="default"/>
      </w:rPr>
    </w:lvl>
    <w:lvl w:ilvl="2">
      <w:start w:val="1"/>
      <w:numFmt w:val="decimal"/>
      <w:pStyle w:val="Nvel3-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4B2C72"/>
    <w:multiLevelType w:val="hybridMultilevel"/>
    <w:tmpl w:val="9B84B4BA"/>
    <w:lvl w:ilvl="0" w:tplc="DF4872C0">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nsid w:val="535472E2"/>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55AD16ED"/>
    <w:multiLevelType w:val="multilevel"/>
    <w:tmpl w:val="6428CC90"/>
    <w:lvl w:ilvl="0">
      <w:start w:val="1"/>
      <w:numFmt w:val="decimalZero"/>
      <w:lvlText w:val="%1."/>
      <w:lvlJc w:val="left"/>
      <w:pPr>
        <w:ind w:left="624" w:hanging="624"/>
      </w:pPr>
      <w:rPr>
        <w:rFonts w:hint="default"/>
        <w:b w:val="0"/>
      </w:rPr>
    </w:lvl>
    <w:lvl w:ilvl="1">
      <w:start w:val="1"/>
      <w:numFmt w:val="decimalZero"/>
      <w:lvlText w:val="%1.%2."/>
      <w:lvlJc w:val="left"/>
      <w:pPr>
        <w:ind w:left="3698" w:hanging="720"/>
      </w:pPr>
      <w:rPr>
        <w:rFonts w:hint="default"/>
        <w:b w:val="0"/>
        <w:color w:val="000000" w:themeColor="text1"/>
      </w:rPr>
    </w:lvl>
    <w:lvl w:ilvl="2">
      <w:start w:val="1"/>
      <w:numFmt w:val="decimal"/>
      <w:lvlText w:val="%1.%2.%3."/>
      <w:lvlJc w:val="left"/>
      <w:pPr>
        <w:ind w:left="6676" w:hanging="720"/>
      </w:pPr>
      <w:rPr>
        <w:rFonts w:hint="default"/>
        <w:b w:val="0"/>
      </w:rPr>
    </w:lvl>
    <w:lvl w:ilvl="3">
      <w:start w:val="1"/>
      <w:numFmt w:val="decimal"/>
      <w:lvlText w:val="%1.%2.%3.%4."/>
      <w:lvlJc w:val="left"/>
      <w:pPr>
        <w:ind w:left="10014" w:hanging="1080"/>
      </w:pPr>
      <w:rPr>
        <w:rFonts w:hint="default"/>
        <w:b w:val="0"/>
      </w:rPr>
    </w:lvl>
    <w:lvl w:ilvl="4">
      <w:start w:val="1"/>
      <w:numFmt w:val="decimal"/>
      <w:lvlText w:val="%1.%2.%3.%4.%5."/>
      <w:lvlJc w:val="left"/>
      <w:pPr>
        <w:ind w:left="12992" w:hanging="1080"/>
      </w:pPr>
      <w:rPr>
        <w:rFonts w:hint="default"/>
        <w:b w:val="0"/>
      </w:rPr>
    </w:lvl>
    <w:lvl w:ilvl="5">
      <w:start w:val="1"/>
      <w:numFmt w:val="decimal"/>
      <w:lvlText w:val="%1.%2.%3.%4.%5.%6."/>
      <w:lvlJc w:val="left"/>
      <w:pPr>
        <w:ind w:left="16330" w:hanging="1440"/>
      </w:pPr>
      <w:rPr>
        <w:rFonts w:hint="default"/>
        <w:b w:val="0"/>
      </w:rPr>
    </w:lvl>
    <w:lvl w:ilvl="6">
      <w:start w:val="1"/>
      <w:numFmt w:val="decimal"/>
      <w:lvlText w:val="%1.%2.%3.%4.%5.%6.%7."/>
      <w:lvlJc w:val="left"/>
      <w:pPr>
        <w:ind w:left="19308" w:hanging="1440"/>
      </w:pPr>
      <w:rPr>
        <w:rFonts w:hint="default"/>
        <w:b w:val="0"/>
      </w:rPr>
    </w:lvl>
    <w:lvl w:ilvl="7">
      <w:start w:val="1"/>
      <w:numFmt w:val="decimal"/>
      <w:lvlText w:val="%1.%2.%3.%4.%5.%6.%7.%8."/>
      <w:lvlJc w:val="left"/>
      <w:pPr>
        <w:ind w:left="22646" w:hanging="1800"/>
      </w:pPr>
      <w:rPr>
        <w:rFonts w:hint="default"/>
        <w:b w:val="0"/>
      </w:rPr>
    </w:lvl>
    <w:lvl w:ilvl="8">
      <w:start w:val="1"/>
      <w:numFmt w:val="decimal"/>
      <w:lvlText w:val="%1.%2.%3.%4.%5.%6.%7.%8.%9."/>
      <w:lvlJc w:val="left"/>
      <w:pPr>
        <w:ind w:left="25984" w:hanging="2160"/>
      </w:pPr>
      <w:rPr>
        <w:rFonts w:hint="default"/>
        <w:b w:val="0"/>
      </w:rPr>
    </w:lvl>
  </w:abstractNum>
  <w:abstractNum w:abstractNumId="13">
    <w:nsid w:val="58B55869"/>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C32235D"/>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5CAC72BF"/>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5FE05E55"/>
    <w:multiLevelType w:val="hybridMultilevel"/>
    <w:tmpl w:val="6AACB7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27D10E1"/>
    <w:multiLevelType w:val="hybridMultilevel"/>
    <w:tmpl w:val="63C887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DE419AB"/>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714E1DE7"/>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729C0D68"/>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767129DE"/>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7A252DFC"/>
    <w:multiLevelType w:val="hybridMultilevel"/>
    <w:tmpl w:val="63C88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7BD01C60"/>
    <w:multiLevelType w:val="hybridMultilevel"/>
    <w:tmpl w:val="B07AD0C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8"/>
  </w:num>
  <w:num w:numId="5">
    <w:abstractNumId w:val="1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3"/>
  </w:num>
  <w:num w:numId="12">
    <w:abstractNumId w:val="6"/>
  </w:num>
  <w:num w:numId="13">
    <w:abstractNumId w:val="10"/>
  </w:num>
  <w:num w:numId="14">
    <w:abstractNumId w:val="23"/>
  </w:num>
  <w:num w:numId="15">
    <w:abstractNumId w:val="2"/>
  </w:num>
  <w:num w:numId="16">
    <w:abstractNumId w:val="19"/>
  </w:num>
  <w:num w:numId="17">
    <w:abstractNumId w:val="11"/>
  </w:num>
  <w:num w:numId="18">
    <w:abstractNumId w:val="16"/>
  </w:num>
  <w:num w:numId="19">
    <w:abstractNumId w:val="21"/>
  </w:num>
  <w:num w:numId="20">
    <w:abstractNumId w:val="15"/>
  </w:num>
  <w:num w:numId="21">
    <w:abstractNumId w:val="20"/>
  </w:num>
  <w:num w:numId="22">
    <w:abstractNumId w:val="4"/>
  </w:num>
  <w:num w:numId="23">
    <w:abstractNumId w:val="12"/>
  </w:num>
  <w:num w:numId="24">
    <w:abstractNumId w:val="3"/>
  </w:num>
  <w:num w:numId="25">
    <w:abstractNumId w:val="14"/>
  </w:num>
  <w:num w:numId="26">
    <w:abstractNumId w:val="1"/>
  </w:num>
  <w:num w:numId="27">
    <w:abstractNumId w:val="24"/>
  </w:num>
  <w:num w:numId="2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EC905CE7-AB9C-40FB-8587-D6ABA365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keepNext/>
      <w:suppressAutoHyphens w:val="0"/>
      <w:ind w:left="456" w:hanging="456"/>
      <w:jc w:val="both"/>
      <w:outlineLvl w:val="1"/>
    </w:pPr>
    <w:rPr>
      <w:rFonts w:ascii="Bookman Old Style" w:hAnsi="Bookman Old Style" w:cs="Bookman Old Style"/>
      <w:color w:val="000000"/>
      <w:sz w:val="24"/>
      <w:u w:val="single"/>
      <w:lang w:eastAsia="zh-CN"/>
    </w:rPr>
  </w:style>
  <w:style w:type="paragraph" w:styleId="Ttulo3">
    <w:name w:val="heading 3"/>
    <w:basedOn w:val="Normal"/>
    <w:next w:val="Normal"/>
    <w:link w:val="Ttulo3Char"/>
    <w:uiPriority w:val="9"/>
    <w:semiHidden/>
    <w:unhideWhenUsed/>
    <w:qFormat/>
    <w:pPr>
      <w:keepNext/>
      <w:suppressAutoHyphens w:val="0"/>
      <w:ind w:left="3569" w:hanging="456"/>
      <w:jc w:val="center"/>
      <w:outlineLvl w:val="2"/>
    </w:pPr>
    <w:rPr>
      <w:rFonts w:ascii="Arial Narrow" w:hAnsi="Arial Narrow" w:cs="Arial Narrow"/>
      <w:i/>
      <w:color w:val="000000"/>
      <w:sz w:val="38"/>
      <w:lang w:eastAsia="zh-CN"/>
    </w:rPr>
  </w:style>
  <w:style w:type="paragraph" w:styleId="Ttulo4">
    <w:name w:val="heading 4"/>
    <w:basedOn w:val="Normal"/>
    <w:next w:val="Normal"/>
    <w:link w:val="Ttulo4Char"/>
    <w:uiPriority w:val="9"/>
    <w:semiHidden/>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har"/>
    <w:uiPriority w:val="9"/>
    <w:qFormat/>
    <w:pPr>
      <w:keepNext/>
      <w:numPr>
        <w:ilvl w:val="4"/>
        <w:numId w:val="3"/>
      </w:numPr>
      <w:suppressAutoHyphens w:val="0"/>
      <w:spacing w:line="360" w:lineRule="auto"/>
      <w:jc w:val="both"/>
      <w:outlineLvl w:val="4"/>
    </w:pPr>
    <w:rPr>
      <w:rFonts w:ascii="Arial" w:eastAsia="Lucida Sans Unicode" w:hAnsi="Arial" w:cs="StarSymbol"/>
      <w:b/>
      <w:noProof/>
      <w:sz w:val="23"/>
      <w:szCs w:val="24"/>
      <w:lang w:eastAsia="pt-BR"/>
    </w:rPr>
  </w:style>
  <w:style w:type="paragraph" w:styleId="Ttulo6">
    <w:name w:val="heading 6"/>
    <w:basedOn w:val="Normal"/>
    <w:next w:val="Normal"/>
    <w:link w:val="Ttulo6Char"/>
    <w:uiPriority w:val="9"/>
    <w:semiHidden/>
    <w:unhideWhenUsed/>
    <w:qFormat/>
    <w:pPr>
      <w:keepNext/>
      <w:suppressAutoHyphens w:val="0"/>
      <w:ind w:left="6613" w:hanging="456"/>
      <w:jc w:val="both"/>
      <w:outlineLvl w:val="5"/>
    </w:pPr>
    <w:rPr>
      <w:b/>
      <w:sz w:val="22"/>
      <w:lang w:val="es-ES_tradnl" w:eastAsia="zh-CN"/>
    </w:rPr>
  </w:style>
  <w:style w:type="paragraph" w:styleId="Ttulo7">
    <w:name w:val="heading 7"/>
    <w:basedOn w:val="Normal"/>
    <w:next w:val="Normal"/>
    <w:link w:val="Ttulo7Char"/>
    <w:qFormat/>
    <w:pPr>
      <w:keepNext/>
      <w:pBdr>
        <w:top w:val="double" w:sz="6" w:space="1" w:color="000000"/>
        <w:left w:val="double" w:sz="6" w:space="1" w:color="000000"/>
        <w:bottom w:val="double" w:sz="6" w:space="1" w:color="000000"/>
        <w:right w:val="double" w:sz="6" w:space="1" w:color="000000"/>
      </w:pBdr>
      <w:suppressAutoHyphens w:val="0"/>
      <w:ind w:left="7627" w:hanging="456"/>
      <w:jc w:val="both"/>
      <w:outlineLvl w:val="6"/>
    </w:pPr>
    <w:rPr>
      <w:rFonts w:ascii="Arial" w:hAnsi="Arial" w:cs="Arial"/>
      <w:color w:val="000000"/>
      <w:sz w:val="28"/>
      <w:lang w:eastAsia="zh-CN"/>
    </w:rPr>
  </w:style>
  <w:style w:type="paragraph" w:styleId="Ttulo8">
    <w:name w:val="heading 8"/>
    <w:basedOn w:val="Normal"/>
    <w:next w:val="Normal"/>
    <w:link w:val="Ttulo8Char"/>
    <w:qFormat/>
    <w:pPr>
      <w:keepNext/>
      <w:suppressAutoHyphens w:val="0"/>
      <w:ind w:left="8642" w:hanging="456"/>
      <w:jc w:val="center"/>
      <w:outlineLvl w:val="7"/>
    </w:pPr>
    <w:rPr>
      <w:color w:val="000000"/>
      <w:sz w:val="24"/>
      <w:lang w:eastAsia="zh-CN"/>
    </w:rPr>
  </w:style>
  <w:style w:type="paragraph" w:styleId="Ttulo9">
    <w:name w:val="heading 9"/>
    <w:basedOn w:val="Normal"/>
    <w:next w:val="Normal"/>
    <w:link w:val="Ttulo9Char"/>
    <w:qFormat/>
    <w:pPr>
      <w:keepNext/>
      <w:suppressAutoHyphens w:val="0"/>
      <w:ind w:left="9657" w:hanging="456"/>
      <w:jc w:val="center"/>
      <w:outlineLvl w:val="8"/>
    </w:pPr>
    <w:rPr>
      <w:rFonts w:ascii="Lucida Sans Unicode" w:hAnsi="Lucida Sans Unicode" w:cs="Lucida Sans Unicode"/>
      <w:b/>
      <w:color w:val="000000"/>
      <w:sz w:val="1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Char,Cabeçalho superior,Heading 1a,h,he,HeaderNN,Ofício Circular,hd,Cabeçalho1"/>
    <w:basedOn w:val="Normal"/>
    <w:link w:val="CabealhoChar"/>
    <w:uiPriority w:val="99"/>
    <w:unhideWhenUsed/>
    <w:pPr>
      <w:tabs>
        <w:tab w:val="center" w:pos="4252"/>
        <w:tab w:val="right" w:pos="8504"/>
      </w:tabs>
      <w:suppressAutoHyphens w:val="0"/>
      <w:spacing w:after="200" w:line="276" w:lineRule="auto"/>
    </w:pPr>
    <w:rPr>
      <w:rFonts w:ascii="Calibri" w:eastAsia="Calibri" w:hAnsi="Calibri"/>
      <w:sz w:val="22"/>
      <w:szCs w:val="22"/>
      <w:lang w:eastAsia="en-US"/>
    </w:rPr>
  </w:style>
  <w:style w:type="character" w:customStyle="1" w:styleId="CabealhoChar">
    <w:name w:val="Cabeçalho Char"/>
    <w:aliases w:val="encabezado Char, Char Char,Char Char,Cabeçalho superior Char,Heading 1a Char,h Char,he Char,HeaderNN Char,Ofício Circular Char,hd Char,Cabeçalho1 Char"/>
    <w:basedOn w:val="Fontepargpadro"/>
    <w:link w:val="Cabealho"/>
    <w:uiPriority w:val="99"/>
    <w:rPr>
      <w:rFonts w:ascii="Calibri" w:eastAsia="Calibri" w:hAnsi="Calibri" w:cs="Times New Roman"/>
      <w:kern w:val="0"/>
      <w14:ligatures w14:val="none"/>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kern w:val="0"/>
      <w:sz w:val="20"/>
      <w:szCs w:val="20"/>
      <w:lang w:eastAsia="ar-SA"/>
      <w14:ligatures w14:val="none"/>
    </w:rPr>
  </w:style>
  <w:style w:type="table" w:styleId="Tabelacomgrade">
    <w:name w:val="Table Grid"/>
    <w:basedOn w:val="Tabelanormal"/>
    <w:uiPriority w:val="39"/>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body"/>
    <w:basedOn w:val="Normal"/>
    <w:pPr>
      <w:suppressAutoHyphens w:val="0"/>
      <w:spacing w:before="100" w:beforeAutospacing="1" w:after="100" w:afterAutospacing="1"/>
    </w:pPr>
    <w:rPr>
      <w:sz w:val="24"/>
      <w:szCs w:val="24"/>
      <w:lang w:eastAsia="pt-BR"/>
    </w:rPr>
  </w:style>
  <w:style w:type="paragraph" w:styleId="PargrafodaLista">
    <w:name w:val="List Paragraph"/>
    <w:basedOn w:val="Normal"/>
    <w:link w:val="PargrafodaListaChar"/>
    <w:uiPriority w:val="34"/>
    <w:qFormat/>
    <w:pPr>
      <w:suppressAutoHyphens w:val="0"/>
      <w:spacing w:after="200" w:line="276" w:lineRule="auto"/>
      <w:ind w:left="720"/>
      <w:contextualSpacing/>
    </w:pPr>
    <w:rPr>
      <w:rFonts w:ascii="Calibri" w:eastAsia="Calibri" w:hAnsi="Calibri"/>
      <w:sz w:val="22"/>
      <w:szCs w:val="22"/>
      <w:lang w:eastAsia="en-US"/>
    </w:rPr>
  </w:style>
  <w:style w:type="character" w:customStyle="1" w:styleId="PargrafodaListaChar">
    <w:name w:val="Parágrafo da Lista Char"/>
    <w:basedOn w:val="Fontepargpadro"/>
    <w:link w:val="PargrafodaLista"/>
    <w:uiPriority w:val="34"/>
    <w:rPr>
      <w:rFonts w:ascii="Calibri" w:eastAsia="Calibri" w:hAnsi="Calibri" w:cs="Times New Roman"/>
      <w:kern w:val="0"/>
      <w14:ligatures w14:val="none"/>
    </w:rPr>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kern w:val="0"/>
      <w:sz w:val="32"/>
      <w:szCs w:val="32"/>
      <w:lang w:eastAsia="ar-SA"/>
      <w14:ligatures w14:val="none"/>
    </w:rPr>
  </w:style>
  <w:style w:type="paragraph" w:customStyle="1" w:styleId="WW-NormalWeb">
    <w:name w:val="WW-Normal (Web)"/>
    <w:basedOn w:val="Normal"/>
    <w:pPr>
      <w:spacing w:before="100" w:after="100"/>
    </w:pPr>
    <w:rPr>
      <w:rFonts w:ascii="Arial" w:hAnsi="Arial" w:cs="Arial"/>
      <w:sz w:val="24"/>
      <w:lang w:eastAsia="zh-CN"/>
    </w:rPr>
  </w:style>
  <w:style w:type="paragraph" w:customStyle="1" w:styleId="Pregaoquadromiolo">
    <w:name w:val="Pregao quadro miolo"/>
    <w:basedOn w:val="Normal"/>
    <w:pPr>
      <w:suppressAutoHyphens w:val="0"/>
      <w:spacing w:line="260" w:lineRule="exact"/>
    </w:pPr>
    <w:rPr>
      <w:rFonts w:ascii="Arial" w:hAnsi="Arial" w:cs="Arial"/>
      <w:szCs w:val="24"/>
      <w:lang w:eastAsia="pt-BR"/>
    </w:rPr>
  </w:style>
  <w:style w:type="character" w:styleId="Hyperlink">
    <w:name w:val="Hyperlink"/>
    <w:rPr>
      <w:color w:val="000080"/>
      <w:u w:val="single"/>
    </w:rPr>
  </w:style>
  <w:style w:type="paragraph" w:styleId="Textodecomentrio">
    <w:name w:val="annotation text"/>
    <w:basedOn w:val="Normal"/>
    <w:link w:val="TextodecomentrioChar"/>
    <w:uiPriority w:val="99"/>
    <w:unhideWhenUsed/>
    <w:qFormat/>
    <w:pPr>
      <w:suppressAutoHyphens w:val="0"/>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kern w:val="0"/>
      <w:sz w:val="20"/>
      <w:szCs w:val="20"/>
      <w:lang w:eastAsia="pt-BR"/>
      <w14:ligatures w14:val="none"/>
    </w:rPr>
  </w:style>
  <w:style w:type="paragraph" w:customStyle="1" w:styleId="Nvel2-Red">
    <w:name w:val="Nível 2 -Red"/>
    <w:basedOn w:val="Normal"/>
    <w:link w:val="Nvel2-RedChar"/>
    <w:qFormat/>
    <w:pPr>
      <w:numPr>
        <w:ilvl w:val="1"/>
        <w:numId w:val="1"/>
      </w:numPr>
      <w:suppressAutoHyphens w:val="0"/>
      <w:spacing w:before="120" w:after="120" w:line="276" w:lineRule="auto"/>
      <w:ind w:left="0" w:firstLine="0"/>
      <w:jc w:val="both"/>
    </w:pPr>
    <w:rPr>
      <w:rFonts w:ascii="Arial" w:eastAsiaTheme="minorEastAsia" w:hAnsi="Arial" w:cs="Arial"/>
      <w:i/>
      <w:iCs/>
      <w:color w:val="FF0000"/>
      <w:lang w:eastAsia="pt-BR"/>
    </w:rPr>
  </w:style>
  <w:style w:type="paragraph" w:customStyle="1" w:styleId="Nvel3-R">
    <w:name w:val="Nível 3-R"/>
    <w:basedOn w:val="Normal"/>
    <w:link w:val="Nvel3-RChar"/>
    <w:qFormat/>
    <w:pPr>
      <w:numPr>
        <w:ilvl w:val="2"/>
        <w:numId w:val="1"/>
      </w:numPr>
      <w:suppressAutoHyphens w:val="0"/>
      <w:spacing w:before="120" w:after="120" w:line="276" w:lineRule="auto"/>
      <w:ind w:left="425" w:firstLine="0"/>
      <w:jc w:val="both"/>
    </w:pPr>
    <w:rPr>
      <w:rFonts w:ascii="Arial" w:eastAsiaTheme="minorEastAsia" w:hAnsi="Arial" w:cs="Arial"/>
      <w:i/>
      <w:iCs/>
      <w:color w:val="FF0000"/>
      <w:lang w:eastAsia="pt-BR"/>
    </w:rPr>
  </w:style>
  <w:style w:type="character" w:styleId="Refdecomentrio">
    <w:name w:val="annotation reference"/>
    <w:basedOn w:val="Fontepargpadro"/>
    <w:unhideWhenUsed/>
    <w:qFormat/>
    <w:rPr>
      <w:sz w:val="16"/>
      <w:szCs w:val="16"/>
    </w:rPr>
  </w:style>
  <w:style w:type="paragraph" w:customStyle="1" w:styleId="Nivel01">
    <w:name w:val="Nivel 01"/>
    <w:basedOn w:val="Ttulo1"/>
    <w:next w:val="Normal"/>
    <w:link w:val="Nivel01Char"/>
    <w:qFormat/>
    <w:pPr>
      <w:numPr>
        <w:numId w:val="2"/>
      </w:numPr>
      <w:tabs>
        <w:tab w:val="left" w:pos="567"/>
      </w:tabs>
      <w:suppressAutoHyphens w:val="0"/>
      <w:jc w:val="both"/>
    </w:pPr>
    <w:rPr>
      <w:rFonts w:ascii="Arial" w:hAnsi="Arial" w:cs="Arial"/>
      <w:b/>
      <w:bCs/>
      <w:color w:val="auto"/>
      <w:sz w:val="20"/>
      <w:szCs w:val="20"/>
      <w:lang w:eastAsia="pt-BR"/>
    </w:rPr>
  </w:style>
  <w:style w:type="character" w:customStyle="1" w:styleId="Nivel01Char">
    <w:name w:val="Nivel 01 Char"/>
    <w:basedOn w:val="Fontepargpadro"/>
    <w:link w:val="Nivel01"/>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pPr>
      <w:numPr>
        <w:ilvl w:val="1"/>
        <w:numId w:val="2"/>
      </w:numPr>
      <w:suppressAutoHyphens w:val="0"/>
      <w:spacing w:before="120" w:after="120" w:line="276" w:lineRule="auto"/>
      <w:ind w:left="0" w:firstLine="0"/>
      <w:jc w:val="both"/>
    </w:pPr>
    <w:rPr>
      <w:rFonts w:ascii="Arial" w:eastAsiaTheme="minorEastAsia" w:hAnsi="Arial" w:cs="Arial"/>
      <w:color w:val="000000"/>
      <w:lang w:eastAsia="pt-BR"/>
    </w:rPr>
  </w:style>
  <w:style w:type="paragraph" w:customStyle="1" w:styleId="Nivel3">
    <w:name w:val="Nivel 3"/>
    <w:basedOn w:val="Normal"/>
    <w:link w:val="Nivel3Char"/>
    <w:qFormat/>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pPr>
      <w:numPr>
        <w:ilvl w:val="3"/>
      </w:numPr>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2Char">
    <w:name w:val="Nivel 2 Char"/>
    <w:basedOn w:val="Fontepargpadro"/>
    <w:link w:val="Nivel2"/>
    <w:locked/>
    <w:rPr>
      <w:rFonts w:ascii="Arial" w:eastAsiaTheme="minorEastAsia" w:hAnsi="Arial" w:cs="Arial"/>
      <w:color w:val="000000"/>
      <w:kern w:val="0"/>
      <w:sz w:val="20"/>
      <w:szCs w:val="20"/>
      <w:lang w:eastAsia="pt-BR"/>
      <w14:ligatures w14:val="none"/>
    </w:rPr>
  </w:style>
  <w:style w:type="character" w:customStyle="1" w:styleId="Nvel2-RedChar">
    <w:name w:val="Nível 2 -Red Char"/>
    <w:basedOn w:val="Nivel2Char"/>
    <w:link w:val="Nvel2-Red"/>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Pr>
      <w:rFonts w:ascii="Arial" w:eastAsiaTheme="minorEastAsia" w:hAnsi="Arial" w:cs="Arial"/>
      <w:kern w:val="0"/>
      <w:sz w:val="20"/>
      <w:szCs w:val="20"/>
      <w:lang w:eastAsia="pt-BR"/>
      <w14:ligatures w14:val="none"/>
    </w:rPr>
  </w:style>
  <w:style w:type="paragraph" w:customStyle="1" w:styleId="ou">
    <w:name w:val="ou"/>
    <w:basedOn w:val="PargrafodaLista"/>
    <w:link w:val="ouChar"/>
    <w:qFormat/>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Pr>
      <w:rFonts w:ascii="Arial" w:eastAsia="Calibri" w:hAnsi="Arial" w:cs="Arial"/>
      <w:b/>
      <w:bCs/>
      <w:i/>
      <w:iCs/>
      <w:color w:val="FF0000"/>
      <w:kern w:val="0"/>
      <w:sz w:val="24"/>
      <w:szCs w:val="24"/>
      <w:u w:val="single"/>
      <w:lang w:eastAsia="pt-BR"/>
      <w14:ligatures w14:val="none"/>
    </w:rPr>
  </w:style>
  <w:style w:type="character" w:customStyle="1" w:styleId="Nvel3-RChar">
    <w:name w:val="Nível 3-R Char"/>
    <w:basedOn w:val="Nivel3Char"/>
    <w:link w:val="Nvel3-R"/>
    <w:rPr>
      <w:rFonts w:ascii="Arial" w:eastAsiaTheme="minorEastAsia" w:hAnsi="Arial" w:cs="Arial"/>
      <w:i/>
      <w:iCs/>
      <w:color w:val="FF0000"/>
      <w:kern w:val="0"/>
      <w:sz w:val="20"/>
      <w:szCs w:val="20"/>
      <w:lang w:eastAsia="pt-BR"/>
      <w14:ligatures w14:val="none"/>
    </w:rPr>
  </w:style>
  <w:style w:type="paragraph" w:styleId="NormalWeb">
    <w:name w:val="Normal (Web)"/>
    <w:basedOn w:val="Normal"/>
    <w:uiPriority w:val="99"/>
    <w:unhideWhenUsed/>
    <w:pPr>
      <w:suppressAutoHyphens w:val="0"/>
      <w:spacing w:before="100" w:beforeAutospacing="1" w:after="100" w:afterAutospacing="1"/>
    </w:pPr>
    <w:rPr>
      <w:sz w:val="24"/>
      <w:szCs w:val="24"/>
      <w:lang w:eastAsia="pt-BR"/>
    </w:rPr>
  </w:style>
  <w:style w:type="paragraph" w:customStyle="1" w:styleId="Nvel4">
    <w:name w:val="Nível 4"/>
    <w:basedOn w:val="Normal"/>
    <w:qFormat/>
    <w:pPr>
      <w:suppressAutoHyphens w:val="0"/>
      <w:spacing w:before="120" w:after="120" w:line="276" w:lineRule="auto"/>
      <w:ind w:left="567"/>
      <w:jc w:val="both"/>
    </w:pPr>
    <w:rPr>
      <w:rFonts w:ascii="Arial" w:hAnsi="Arial" w:cs="Arial"/>
      <w:lang w:eastAsia="pt-BR"/>
    </w:rPr>
  </w:style>
  <w:style w:type="paragraph" w:styleId="SemEspaamento">
    <w:name w:val="No Spacing"/>
    <w:uiPriority w:val="1"/>
    <w:qFormat/>
    <w:pPr>
      <w:spacing w:after="0" w:line="240" w:lineRule="auto"/>
    </w:pPr>
    <w:rPr>
      <w:rFonts w:ascii="Calibri" w:eastAsia="Calibri" w:hAnsi="Calibri" w:cs="Times New Roman"/>
      <w:kern w:val="0"/>
      <w14:ligatures w14:val="none"/>
    </w:rPr>
  </w:style>
  <w:style w:type="character" w:styleId="Forte">
    <w:name w:val="Strong"/>
    <w:uiPriority w:val="22"/>
    <w:qFormat/>
    <w:rPr>
      <w:rFonts w:ascii="Verdana" w:hAnsi="Verdana" w:hint="default"/>
      <w:b w:val="0"/>
      <w:bCs w:val="0"/>
      <w:sz w:val="18"/>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leNormal">
    <w:name w:val="Table Normal"/>
    <w:uiPriority w:val="2"/>
    <w:semiHidden/>
    <w:unhideWhenUsed/>
    <w:qFormat/>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autoSpaceDE w:val="0"/>
      <w:autoSpaceDN w:val="0"/>
      <w:spacing w:before="35"/>
      <w:jc w:val="right"/>
    </w:pPr>
    <w:rPr>
      <w:rFonts w:ascii="Arial MT" w:eastAsia="Arial MT" w:hAnsi="Arial MT" w:cs="Arial MT"/>
      <w:sz w:val="22"/>
      <w:szCs w:val="22"/>
      <w:lang w:val="pt-PT" w:eastAsia="en-US"/>
    </w:rPr>
  </w:style>
  <w:style w:type="paragraph" w:styleId="Corpodetexto">
    <w:name w:val="Body Text"/>
    <w:basedOn w:val="Normal"/>
    <w:link w:val="CorpodetextoChar"/>
    <w:uiPriority w:val="1"/>
    <w:qFormat/>
    <w:pPr>
      <w:widowControl w:val="0"/>
      <w:suppressAutoHyphens w:val="0"/>
      <w:autoSpaceDE w:val="0"/>
      <w:autoSpaceDN w:val="0"/>
    </w:pPr>
    <w:rPr>
      <w:sz w:val="24"/>
      <w:szCs w:val="24"/>
      <w:lang w:val="pt-PT" w:eastAsia="en-US"/>
    </w:rPr>
  </w:style>
  <w:style w:type="character" w:customStyle="1" w:styleId="CorpodetextoChar">
    <w:name w:val="Corpo de texto Char"/>
    <w:basedOn w:val="Fontepargpadro"/>
    <w:link w:val="Corpodetexto"/>
    <w:uiPriority w:val="1"/>
    <w:rPr>
      <w:rFonts w:ascii="Times New Roman" w:eastAsia="Times New Roman" w:hAnsi="Times New Roman" w:cs="Times New Roman"/>
      <w:kern w:val="0"/>
      <w:sz w:val="24"/>
      <w:szCs w:val="24"/>
      <w:lang w:val="pt-PT"/>
      <w14:ligatures w14:val="none"/>
    </w:rPr>
  </w:style>
  <w:style w:type="paragraph" w:customStyle="1" w:styleId="WW-Textoembloco">
    <w:name w:val="WW-Texto em bloco"/>
    <w:basedOn w:val="Normal"/>
    <w:pPr>
      <w:ind w:left="1701" w:right="3170"/>
      <w:jc w:val="both"/>
    </w:pPr>
    <w:rPr>
      <w:sz w:val="24"/>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kern w:val="0"/>
      <w:sz w:val="16"/>
      <w:szCs w:val="16"/>
      <w:lang w:eastAsia="ar-SA"/>
      <w14:ligatures w14:val="none"/>
    </w:rPr>
  </w:style>
  <w:style w:type="paragraph" w:customStyle="1" w:styleId="Contedodatabela">
    <w:name w:val="Conteúdo da tabela"/>
    <w:basedOn w:val="Normal"/>
    <w:pPr>
      <w:widowControl w:val="0"/>
      <w:suppressLineNumbers/>
    </w:pPr>
    <w:rPr>
      <w:rFonts w:eastAsia="Lucida Sans Unicode"/>
      <w:sz w:val="24"/>
    </w:rPr>
  </w:style>
  <w:style w:type="character" w:customStyle="1" w:styleId="Ttulo5Char">
    <w:name w:val="Título 5 Char"/>
    <w:basedOn w:val="Fontepargpadro"/>
    <w:link w:val="Ttulo5"/>
    <w:uiPriority w:val="9"/>
    <w:rPr>
      <w:rFonts w:ascii="Arial" w:eastAsia="Lucida Sans Unicode" w:hAnsi="Arial" w:cs="StarSymbol"/>
      <w:b/>
      <w:noProof/>
      <w:kern w:val="0"/>
      <w:sz w:val="23"/>
      <w:szCs w:val="24"/>
      <w:lang w:eastAsia="pt-BR"/>
      <w14:ligatures w14:val="none"/>
    </w:rPr>
  </w:style>
  <w:style w:type="character" w:customStyle="1" w:styleId="WW-Fontepargpadro">
    <w:name w:val="WW-Fonte parág. padrã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kern w:val="0"/>
      <w:sz w:val="20"/>
      <w:szCs w:val="20"/>
      <w:lang w:eastAsia="ar-SA"/>
      <w14:ligatures w14:val="none"/>
    </w:rPr>
  </w:style>
  <w:style w:type="character" w:customStyle="1" w:styleId="normaltextrun">
    <w:name w:val="normaltextrun"/>
    <w:basedOn w:val="Fontepargpadro"/>
  </w:style>
  <w:style w:type="character" w:customStyle="1" w:styleId="eop">
    <w:name w:val="eop"/>
    <w:basedOn w:val="Fontepargpadro"/>
  </w:style>
  <w:style w:type="paragraph" w:customStyle="1" w:styleId="Nvel01-SemNumerao">
    <w:name w:val="Nível 01-Sem Numeração"/>
    <w:basedOn w:val="Normal"/>
    <w:link w:val="Nvel01-SemNumeraoChar"/>
    <w:autoRedefine/>
    <w:uiPriority w:val="1"/>
    <w:qFormat/>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Pr>
      <w:rFonts w:ascii="Arial" w:eastAsiaTheme="majorEastAsia" w:hAnsi="Arial" w:cs="Arial"/>
      <w:b/>
      <w:bCs/>
      <w:kern w:val="0"/>
      <w:sz w:val="20"/>
      <w:szCs w:val="20"/>
      <w:lang w:eastAsia="pt-BR"/>
      <w14:ligatures w14:val="none"/>
    </w:rPr>
  </w:style>
  <w:style w:type="character" w:customStyle="1" w:styleId="ng-star-inserted">
    <w:name w:val="ng-star-inserted"/>
    <w:basedOn w:val="Fontepargpadro"/>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Pr>
      <w:rFonts w:ascii="Arial" w:eastAsia="Arial" w:hAnsi="Arial" w:cs="Arial"/>
      <w:bCs/>
      <w:kern w:val="0"/>
      <w:sz w:val="20"/>
      <w:szCs w:val="20"/>
      <w:lang w:eastAsia="pt-BR"/>
      <w14:ligatures w14:val="none"/>
    </w:rPr>
  </w:style>
  <w:style w:type="paragraph" w:customStyle="1" w:styleId="WW-Corpodetexto3">
    <w:name w:val="WW-Corpo de texto 3"/>
    <w:basedOn w:val="Normal"/>
    <w:pPr>
      <w:spacing w:after="120"/>
    </w:pPr>
    <w:rPr>
      <w:sz w:val="16"/>
      <w:szCs w:val="16"/>
    </w:rPr>
  </w:style>
  <w:style w:type="character" w:customStyle="1" w:styleId="Ttulo4Char">
    <w:name w:val="Título 4 Char"/>
    <w:basedOn w:val="Fontepargpadro"/>
    <w:link w:val="Ttulo4"/>
    <w:uiPriority w:val="9"/>
    <w:semiHidden/>
    <w:rPr>
      <w:rFonts w:asciiTheme="majorHAnsi" w:eastAsiaTheme="majorEastAsia" w:hAnsiTheme="majorHAnsi" w:cstheme="majorBidi"/>
      <w:b/>
      <w:bCs/>
      <w:i/>
      <w:iCs/>
      <w:color w:val="4472C4" w:themeColor="accent1"/>
      <w:kern w:val="0"/>
      <w:sz w:val="20"/>
      <w:szCs w:val="20"/>
      <w:lang w:eastAsia="ar-SA"/>
      <w14:ligatures w14:val="none"/>
    </w:rPr>
  </w:style>
  <w:style w:type="character" w:customStyle="1" w:styleId="Ttulo2Char">
    <w:name w:val="Título 2 Char"/>
    <w:basedOn w:val="Fontepargpadro"/>
    <w:link w:val="Ttulo2"/>
    <w:uiPriority w:val="9"/>
    <w:rPr>
      <w:rFonts w:ascii="Bookman Old Style" w:eastAsia="Times New Roman" w:hAnsi="Bookman Old Style" w:cs="Bookman Old Style"/>
      <w:color w:val="000000"/>
      <w:kern w:val="0"/>
      <w:sz w:val="24"/>
      <w:szCs w:val="20"/>
      <w:u w:val="single"/>
      <w:lang w:eastAsia="zh-CN"/>
      <w14:ligatures w14:val="none"/>
    </w:rPr>
  </w:style>
  <w:style w:type="character" w:customStyle="1" w:styleId="Ttulo3Char">
    <w:name w:val="Título 3 Char"/>
    <w:basedOn w:val="Fontepargpadro"/>
    <w:link w:val="Ttulo3"/>
    <w:uiPriority w:val="9"/>
    <w:semiHidden/>
    <w:rPr>
      <w:rFonts w:ascii="Arial Narrow" w:eastAsia="Times New Roman" w:hAnsi="Arial Narrow" w:cs="Arial Narrow"/>
      <w:i/>
      <w:color w:val="000000"/>
      <w:kern w:val="0"/>
      <w:sz w:val="38"/>
      <w:szCs w:val="20"/>
      <w:lang w:eastAsia="zh-CN"/>
      <w14:ligatures w14:val="none"/>
    </w:rPr>
  </w:style>
  <w:style w:type="character" w:customStyle="1" w:styleId="Ttulo6Char">
    <w:name w:val="Título 6 Char"/>
    <w:basedOn w:val="Fontepargpadro"/>
    <w:link w:val="Ttulo6"/>
    <w:uiPriority w:val="9"/>
    <w:semiHidden/>
    <w:rPr>
      <w:rFonts w:ascii="Times New Roman" w:eastAsia="Times New Roman" w:hAnsi="Times New Roman" w:cs="Times New Roman"/>
      <w:b/>
      <w:kern w:val="0"/>
      <w:szCs w:val="20"/>
      <w:lang w:val="es-ES_tradnl" w:eastAsia="zh-CN"/>
      <w14:ligatures w14:val="none"/>
    </w:rPr>
  </w:style>
  <w:style w:type="character" w:customStyle="1" w:styleId="Ttulo7Char">
    <w:name w:val="Título 7 Char"/>
    <w:basedOn w:val="Fontepargpadro"/>
    <w:link w:val="Ttulo7"/>
    <w:rPr>
      <w:rFonts w:ascii="Arial" w:eastAsia="Times New Roman" w:hAnsi="Arial" w:cs="Arial"/>
      <w:color w:val="000000"/>
      <w:kern w:val="0"/>
      <w:sz w:val="28"/>
      <w:szCs w:val="20"/>
      <w:lang w:eastAsia="zh-CN"/>
      <w14:ligatures w14:val="none"/>
    </w:rPr>
  </w:style>
  <w:style w:type="character" w:customStyle="1" w:styleId="Ttulo8Char">
    <w:name w:val="Título 8 Char"/>
    <w:basedOn w:val="Fontepargpadro"/>
    <w:link w:val="Ttulo8"/>
    <w:rPr>
      <w:rFonts w:ascii="Times New Roman" w:eastAsia="Times New Roman" w:hAnsi="Times New Roman" w:cs="Times New Roman"/>
      <w:color w:val="000000"/>
      <w:kern w:val="0"/>
      <w:sz w:val="24"/>
      <w:szCs w:val="20"/>
      <w:lang w:eastAsia="zh-CN"/>
      <w14:ligatures w14:val="none"/>
    </w:rPr>
  </w:style>
  <w:style w:type="character" w:customStyle="1" w:styleId="Ttulo9Char">
    <w:name w:val="Título 9 Char"/>
    <w:basedOn w:val="Fontepargpadro"/>
    <w:link w:val="Ttulo9"/>
    <w:rPr>
      <w:rFonts w:ascii="Lucida Sans Unicode" w:eastAsia="Times New Roman" w:hAnsi="Lucida Sans Unicode" w:cs="Lucida Sans Unicode"/>
      <w:b/>
      <w:color w:val="000000"/>
      <w:kern w:val="0"/>
      <w:sz w:val="12"/>
      <w:szCs w:val="20"/>
      <w:lang w:eastAsia="zh-CN"/>
      <w14:ligatures w14:val="none"/>
    </w:rPr>
  </w:style>
  <w:style w:type="character" w:customStyle="1" w:styleId="WW8Num1z3">
    <w:name w:val="WW8Num1z3"/>
    <w:qFormat/>
  </w:style>
  <w:style w:type="paragraph" w:customStyle="1" w:styleId="Nvel1-SemNum">
    <w:name w:val="Nível 1-Sem Num"/>
    <w:basedOn w:val="Nivel01"/>
    <w:link w:val="Nvel1-SemNumChar"/>
    <w:autoRedefine/>
    <w:qFormat/>
    <w:pPr>
      <w:numPr>
        <w:numId w:val="0"/>
      </w:numPr>
      <w:spacing w:after="120" w:line="276" w:lineRule="auto"/>
      <w:outlineLvl w:val="1"/>
    </w:pPr>
    <w:rPr>
      <w:color w:val="FF0000"/>
    </w:rPr>
  </w:style>
  <w:style w:type="character" w:customStyle="1" w:styleId="Nvel1-SemNumChar">
    <w:name w:val="Nível 1-Sem Num Char"/>
    <w:basedOn w:val="Nivel01Char"/>
    <w:link w:val="Nvel1-SemNum"/>
    <w:rPr>
      <w:rFonts w:ascii="Arial" w:eastAsiaTheme="majorEastAsia" w:hAnsi="Arial" w:cs="Arial"/>
      <w:b/>
      <w:bCs/>
      <w:color w:val="FF0000"/>
      <w:kern w:val="0"/>
      <w:sz w:val="20"/>
      <w:szCs w:val="20"/>
      <w:lang w:eastAsia="pt-BR"/>
      <w14:ligatures w14:val="none"/>
    </w:rPr>
  </w:style>
  <w:style w:type="character" w:customStyle="1" w:styleId="findhit">
    <w:name w:val="findhit"/>
    <w:basedOn w:val="Fontepargpadro"/>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rPr>
      <w:rFonts w:ascii="Arial" w:eastAsiaTheme="majorEastAsia" w:hAnsi="Arial" w:cs="Arial"/>
      <w:b/>
      <w:bCs/>
      <w:color w:val="FF0000"/>
      <w:kern w:val="0"/>
      <w:sz w:val="20"/>
      <w:szCs w:val="20"/>
      <w:lang w:eastAsia="zh-CN" w:bidi="hi-IN"/>
      <w14:ligatures w14:val="none"/>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Nivel1">
    <w:name w:val="Nivel 1"/>
    <w:basedOn w:val="Nivel2"/>
    <w:next w:val="Nivel2"/>
    <w:qFormat/>
    <w:pPr>
      <w:numPr>
        <w:ilvl w:val="0"/>
        <w:numId w:val="0"/>
      </w:numPr>
      <w:tabs>
        <w:tab w:val="num" w:pos="0"/>
        <w:tab w:val="num" w:pos="360"/>
      </w:tabs>
      <w:ind w:left="644" w:hanging="432"/>
    </w:pPr>
    <w:rPr>
      <w:rFonts w:ascii="Ecofont_Spranq_eco_Sans" w:eastAsia="Arial Unicode MS" w:hAnsi="Ecofont_Spranq_eco_San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33781">
      <w:bodyDiv w:val="1"/>
      <w:marLeft w:val="0"/>
      <w:marRight w:val="0"/>
      <w:marTop w:val="0"/>
      <w:marBottom w:val="0"/>
      <w:divBdr>
        <w:top w:val="none" w:sz="0" w:space="0" w:color="auto"/>
        <w:left w:val="none" w:sz="0" w:space="0" w:color="auto"/>
        <w:bottom w:val="none" w:sz="0" w:space="0" w:color="auto"/>
        <w:right w:val="none" w:sz="0" w:space="0" w:color="auto"/>
      </w:divBdr>
    </w:div>
    <w:div w:id="57441410">
      <w:bodyDiv w:val="1"/>
      <w:marLeft w:val="0"/>
      <w:marRight w:val="0"/>
      <w:marTop w:val="0"/>
      <w:marBottom w:val="0"/>
      <w:divBdr>
        <w:top w:val="none" w:sz="0" w:space="0" w:color="auto"/>
        <w:left w:val="none" w:sz="0" w:space="0" w:color="auto"/>
        <w:bottom w:val="none" w:sz="0" w:space="0" w:color="auto"/>
        <w:right w:val="none" w:sz="0" w:space="0" w:color="auto"/>
      </w:divBdr>
    </w:div>
    <w:div w:id="63602328">
      <w:bodyDiv w:val="1"/>
      <w:marLeft w:val="0"/>
      <w:marRight w:val="0"/>
      <w:marTop w:val="0"/>
      <w:marBottom w:val="0"/>
      <w:divBdr>
        <w:top w:val="none" w:sz="0" w:space="0" w:color="auto"/>
        <w:left w:val="none" w:sz="0" w:space="0" w:color="auto"/>
        <w:bottom w:val="none" w:sz="0" w:space="0" w:color="auto"/>
        <w:right w:val="none" w:sz="0" w:space="0" w:color="auto"/>
      </w:divBdr>
    </w:div>
    <w:div w:id="66221865">
      <w:bodyDiv w:val="1"/>
      <w:marLeft w:val="0"/>
      <w:marRight w:val="0"/>
      <w:marTop w:val="0"/>
      <w:marBottom w:val="0"/>
      <w:divBdr>
        <w:top w:val="none" w:sz="0" w:space="0" w:color="auto"/>
        <w:left w:val="none" w:sz="0" w:space="0" w:color="auto"/>
        <w:bottom w:val="none" w:sz="0" w:space="0" w:color="auto"/>
        <w:right w:val="none" w:sz="0" w:space="0" w:color="auto"/>
      </w:divBdr>
    </w:div>
    <w:div w:id="141578472">
      <w:bodyDiv w:val="1"/>
      <w:marLeft w:val="0"/>
      <w:marRight w:val="0"/>
      <w:marTop w:val="0"/>
      <w:marBottom w:val="0"/>
      <w:divBdr>
        <w:top w:val="none" w:sz="0" w:space="0" w:color="auto"/>
        <w:left w:val="none" w:sz="0" w:space="0" w:color="auto"/>
        <w:bottom w:val="none" w:sz="0" w:space="0" w:color="auto"/>
        <w:right w:val="none" w:sz="0" w:space="0" w:color="auto"/>
      </w:divBdr>
    </w:div>
    <w:div w:id="159515752">
      <w:bodyDiv w:val="1"/>
      <w:marLeft w:val="0"/>
      <w:marRight w:val="0"/>
      <w:marTop w:val="0"/>
      <w:marBottom w:val="0"/>
      <w:divBdr>
        <w:top w:val="none" w:sz="0" w:space="0" w:color="auto"/>
        <w:left w:val="none" w:sz="0" w:space="0" w:color="auto"/>
        <w:bottom w:val="none" w:sz="0" w:space="0" w:color="auto"/>
        <w:right w:val="none" w:sz="0" w:space="0" w:color="auto"/>
      </w:divBdr>
    </w:div>
    <w:div w:id="181668481">
      <w:bodyDiv w:val="1"/>
      <w:marLeft w:val="0"/>
      <w:marRight w:val="0"/>
      <w:marTop w:val="0"/>
      <w:marBottom w:val="0"/>
      <w:divBdr>
        <w:top w:val="none" w:sz="0" w:space="0" w:color="auto"/>
        <w:left w:val="none" w:sz="0" w:space="0" w:color="auto"/>
        <w:bottom w:val="none" w:sz="0" w:space="0" w:color="auto"/>
        <w:right w:val="none" w:sz="0" w:space="0" w:color="auto"/>
      </w:divBdr>
    </w:div>
    <w:div w:id="248656714">
      <w:bodyDiv w:val="1"/>
      <w:marLeft w:val="0"/>
      <w:marRight w:val="0"/>
      <w:marTop w:val="0"/>
      <w:marBottom w:val="0"/>
      <w:divBdr>
        <w:top w:val="none" w:sz="0" w:space="0" w:color="auto"/>
        <w:left w:val="none" w:sz="0" w:space="0" w:color="auto"/>
        <w:bottom w:val="none" w:sz="0" w:space="0" w:color="auto"/>
        <w:right w:val="none" w:sz="0" w:space="0" w:color="auto"/>
      </w:divBdr>
    </w:div>
    <w:div w:id="257101466">
      <w:bodyDiv w:val="1"/>
      <w:marLeft w:val="0"/>
      <w:marRight w:val="0"/>
      <w:marTop w:val="0"/>
      <w:marBottom w:val="0"/>
      <w:divBdr>
        <w:top w:val="none" w:sz="0" w:space="0" w:color="auto"/>
        <w:left w:val="none" w:sz="0" w:space="0" w:color="auto"/>
        <w:bottom w:val="none" w:sz="0" w:space="0" w:color="auto"/>
        <w:right w:val="none" w:sz="0" w:space="0" w:color="auto"/>
      </w:divBdr>
    </w:div>
    <w:div w:id="267276929">
      <w:bodyDiv w:val="1"/>
      <w:marLeft w:val="0"/>
      <w:marRight w:val="0"/>
      <w:marTop w:val="0"/>
      <w:marBottom w:val="0"/>
      <w:divBdr>
        <w:top w:val="none" w:sz="0" w:space="0" w:color="auto"/>
        <w:left w:val="none" w:sz="0" w:space="0" w:color="auto"/>
        <w:bottom w:val="none" w:sz="0" w:space="0" w:color="auto"/>
        <w:right w:val="none" w:sz="0" w:space="0" w:color="auto"/>
      </w:divBdr>
    </w:div>
    <w:div w:id="274138492">
      <w:bodyDiv w:val="1"/>
      <w:marLeft w:val="0"/>
      <w:marRight w:val="0"/>
      <w:marTop w:val="0"/>
      <w:marBottom w:val="0"/>
      <w:divBdr>
        <w:top w:val="none" w:sz="0" w:space="0" w:color="auto"/>
        <w:left w:val="none" w:sz="0" w:space="0" w:color="auto"/>
        <w:bottom w:val="none" w:sz="0" w:space="0" w:color="auto"/>
        <w:right w:val="none" w:sz="0" w:space="0" w:color="auto"/>
      </w:divBdr>
    </w:div>
    <w:div w:id="319234002">
      <w:bodyDiv w:val="1"/>
      <w:marLeft w:val="0"/>
      <w:marRight w:val="0"/>
      <w:marTop w:val="0"/>
      <w:marBottom w:val="0"/>
      <w:divBdr>
        <w:top w:val="none" w:sz="0" w:space="0" w:color="auto"/>
        <w:left w:val="none" w:sz="0" w:space="0" w:color="auto"/>
        <w:bottom w:val="none" w:sz="0" w:space="0" w:color="auto"/>
        <w:right w:val="none" w:sz="0" w:space="0" w:color="auto"/>
      </w:divBdr>
    </w:div>
    <w:div w:id="323778399">
      <w:bodyDiv w:val="1"/>
      <w:marLeft w:val="0"/>
      <w:marRight w:val="0"/>
      <w:marTop w:val="0"/>
      <w:marBottom w:val="0"/>
      <w:divBdr>
        <w:top w:val="none" w:sz="0" w:space="0" w:color="auto"/>
        <w:left w:val="none" w:sz="0" w:space="0" w:color="auto"/>
        <w:bottom w:val="none" w:sz="0" w:space="0" w:color="auto"/>
        <w:right w:val="none" w:sz="0" w:space="0" w:color="auto"/>
      </w:divBdr>
    </w:div>
    <w:div w:id="326786001">
      <w:bodyDiv w:val="1"/>
      <w:marLeft w:val="0"/>
      <w:marRight w:val="0"/>
      <w:marTop w:val="0"/>
      <w:marBottom w:val="0"/>
      <w:divBdr>
        <w:top w:val="none" w:sz="0" w:space="0" w:color="auto"/>
        <w:left w:val="none" w:sz="0" w:space="0" w:color="auto"/>
        <w:bottom w:val="none" w:sz="0" w:space="0" w:color="auto"/>
        <w:right w:val="none" w:sz="0" w:space="0" w:color="auto"/>
      </w:divBdr>
    </w:div>
    <w:div w:id="329142226">
      <w:bodyDiv w:val="1"/>
      <w:marLeft w:val="0"/>
      <w:marRight w:val="0"/>
      <w:marTop w:val="0"/>
      <w:marBottom w:val="0"/>
      <w:divBdr>
        <w:top w:val="none" w:sz="0" w:space="0" w:color="auto"/>
        <w:left w:val="none" w:sz="0" w:space="0" w:color="auto"/>
        <w:bottom w:val="none" w:sz="0" w:space="0" w:color="auto"/>
        <w:right w:val="none" w:sz="0" w:space="0" w:color="auto"/>
      </w:divBdr>
    </w:div>
    <w:div w:id="353043928">
      <w:bodyDiv w:val="1"/>
      <w:marLeft w:val="0"/>
      <w:marRight w:val="0"/>
      <w:marTop w:val="0"/>
      <w:marBottom w:val="0"/>
      <w:divBdr>
        <w:top w:val="none" w:sz="0" w:space="0" w:color="auto"/>
        <w:left w:val="none" w:sz="0" w:space="0" w:color="auto"/>
        <w:bottom w:val="none" w:sz="0" w:space="0" w:color="auto"/>
        <w:right w:val="none" w:sz="0" w:space="0" w:color="auto"/>
      </w:divBdr>
    </w:div>
    <w:div w:id="422144840">
      <w:bodyDiv w:val="1"/>
      <w:marLeft w:val="0"/>
      <w:marRight w:val="0"/>
      <w:marTop w:val="0"/>
      <w:marBottom w:val="0"/>
      <w:divBdr>
        <w:top w:val="none" w:sz="0" w:space="0" w:color="auto"/>
        <w:left w:val="none" w:sz="0" w:space="0" w:color="auto"/>
        <w:bottom w:val="none" w:sz="0" w:space="0" w:color="auto"/>
        <w:right w:val="none" w:sz="0" w:space="0" w:color="auto"/>
      </w:divBdr>
    </w:div>
    <w:div w:id="503328582">
      <w:bodyDiv w:val="1"/>
      <w:marLeft w:val="0"/>
      <w:marRight w:val="0"/>
      <w:marTop w:val="0"/>
      <w:marBottom w:val="0"/>
      <w:divBdr>
        <w:top w:val="none" w:sz="0" w:space="0" w:color="auto"/>
        <w:left w:val="none" w:sz="0" w:space="0" w:color="auto"/>
        <w:bottom w:val="none" w:sz="0" w:space="0" w:color="auto"/>
        <w:right w:val="none" w:sz="0" w:space="0" w:color="auto"/>
      </w:divBdr>
    </w:div>
    <w:div w:id="504713544">
      <w:bodyDiv w:val="1"/>
      <w:marLeft w:val="0"/>
      <w:marRight w:val="0"/>
      <w:marTop w:val="0"/>
      <w:marBottom w:val="0"/>
      <w:divBdr>
        <w:top w:val="none" w:sz="0" w:space="0" w:color="auto"/>
        <w:left w:val="none" w:sz="0" w:space="0" w:color="auto"/>
        <w:bottom w:val="none" w:sz="0" w:space="0" w:color="auto"/>
        <w:right w:val="none" w:sz="0" w:space="0" w:color="auto"/>
      </w:divBdr>
    </w:div>
    <w:div w:id="506091341">
      <w:bodyDiv w:val="1"/>
      <w:marLeft w:val="0"/>
      <w:marRight w:val="0"/>
      <w:marTop w:val="0"/>
      <w:marBottom w:val="0"/>
      <w:divBdr>
        <w:top w:val="none" w:sz="0" w:space="0" w:color="auto"/>
        <w:left w:val="none" w:sz="0" w:space="0" w:color="auto"/>
        <w:bottom w:val="none" w:sz="0" w:space="0" w:color="auto"/>
        <w:right w:val="none" w:sz="0" w:space="0" w:color="auto"/>
      </w:divBdr>
    </w:div>
    <w:div w:id="526990364">
      <w:bodyDiv w:val="1"/>
      <w:marLeft w:val="0"/>
      <w:marRight w:val="0"/>
      <w:marTop w:val="0"/>
      <w:marBottom w:val="0"/>
      <w:divBdr>
        <w:top w:val="none" w:sz="0" w:space="0" w:color="auto"/>
        <w:left w:val="none" w:sz="0" w:space="0" w:color="auto"/>
        <w:bottom w:val="none" w:sz="0" w:space="0" w:color="auto"/>
        <w:right w:val="none" w:sz="0" w:space="0" w:color="auto"/>
      </w:divBdr>
    </w:div>
    <w:div w:id="557283550">
      <w:bodyDiv w:val="1"/>
      <w:marLeft w:val="0"/>
      <w:marRight w:val="0"/>
      <w:marTop w:val="0"/>
      <w:marBottom w:val="0"/>
      <w:divBdr>
        <w:top w:val="none" w:sz="0" w:space="0" w:color="auto"/>
        <w:left w:val="none" w:sz="0" w:space="0" w:color="auto"/>
        <w:bottom w:val="none" w:sz="0" w:space="0" w:color="auto"/>
        <w:right w:val="none" w:sz="0" w:space="0" w:color="auto"/>
      </w:divBdr>
    </w:div>
    <w:div w:id="563223696">
      <w:bodyDiv w:val="1"/>
      <w:marLeft w:val="0"/>
      <w:marRight w:val="0"/>
      <w:marTop w:val="0"/>
      <w:marBottom w:val="0"/>
      <w:divBdr>
        <w:top w:val="none" w:sz="0" w:space="0" w:color="auto"/>
        <w:left w:val="none" w:sz="0" w:space="0" w:color="auto"/>
        <w:bottom w:val="none" w:sz="0" w:space="0" w:color="auto"/>
        <w:right w:val="none" w:sz="0" w:space="0" w:color="auto"/>
      </w:divBdr>
    </w:div>
    <w:div w:id="611133491">
      <w:bodyDiv w:val="1"/>
      <w:marLeft w:val="0"/>
      <w:marRight w:val="0"/>
      <w:marTop w:val="0"/>
      <w:marBottom w:val="0"/>
      <w:divBdr>
        <w:top w:val="none" w:sz="0" w:space="0" w:color="auto"/>
        <w:left w:val="none" w:sz="0" w:space="0" w:color="auto"/>
        <w:bottom w:val="none" w:sz="0" w:space="0" w:color="auto"/>
        <w:right w:val="none" w:sz="0" w:space="0" w:color="auto"/>
      </w:divBdr>
    </w:div>
    <w:div w:id="632641040">
      <w:bodyDiv w:val="1"/>
      <w:marLeft w:val="0"/>
      <w:marRight w:val="0"/>
      <w:marTop w:val="0"/>
      <w:marBottom w:val="0"/>
      <w:divBdr>
        <w:top w:val="none" w:sz="0" w:space="0" w:color="auto"/>
        <w:left w:val="none" w:sz="0" w:space="0" w:color="auto"/>
        <w:bottom w:val="none" w:sz="0" w:space="0" w:color="auto"/>
        <w:right w:val="none" w:sz="0" w:space="0" w:color="auto"/>
      </w:divBdr>
    </w:div>
    <w:div w:id="672298247">
      <w:bodyDiv w:val="1"/>
      <w:marLeft w:val="0"/>
      <w:marRight w:val="0"/>
      <w:marTop w:val="0"/>
      <w:marBottom w:val="0"/>
      <w:divBdr>
        <w:top w:val="none" w:sz="0" w:space="0" w:color="auto"/>
        <w:left w:val="none" w:sz="0" w:space="0" w:color="auto"/>
        <w:bottom w:val="none" w:sz="0" w:space="0" w:color="auto"/>
        <w:right w:val="none" w:sz="0" w:space="0" w:color="auto"/>
      </w:divBdr>
    </w:div>
    <w:div w:id="697387251">
      <w:bodyDiv w:val="1"/>
      <w:marLeft w:val="0"/>
      <w:marRight w:val="0"/>
      <w:marTop w:val="0"/>
      <w:marBottom w:val="0"/>
      <w:divBdr>
        <w:top w:val="none" w:sz="0" w:space="0" w:color="auto"/>
        <w:left w:val="none" w:sz="0" w:space="0" w:color="auto"/>
        <w:bottom w:val="none" w:sz="0" w:space="0" w:color="auto"/>
        <w:right w:val="none" w:sz="0" w:space="0" w:color="auto"/>
      </w:divBdr>
    </w:div>
    <w:div w:id="703285716">
      <w:bodyDiv w:val="1"/>
      <w:marLeft w:val="0"/>
      <w:marRight w:val="0"/>
      <w:marTop w:val="0"/>
      <w:marBottom w:val="0"/>
      <w:divBdr>
        <w:top w:val="none" w:sz="0" w:space="0" w:color="auto"/>
        <w:left w:val="none" w:sz="0" w:space="0" w:color="auto"/>
        <w:bottom w:val="none" w:sz="0" w:space="0" w:color="auto"/>
        <w:right w:val="none" w:sz="0" w:space="0" w:color="auto"/>
      </w:divBdr>
    </w:div>
    <w:div w:id="743382396">
      <w:bodyDiv w:val="1"/>
      <w:marLeft w:val="0"/>
      <w:marRight w:val="0"/>
      <w:marTop w:val="0"/>
      <w:marBottom w:val="0"/>
      <w:divBdr>
        <w:top w:val="none" w:sz="0" w:space="0" w:color="auto"/>
        <w:left w:val="none" w:sz="0" w:space="0" w:color="auto"/>
        <w:bottom w:val="none" w:sz="0" w:space="0" w:color="auto"/>
        <w:right w:val="none" w:sz="0" w:space="0" w:color="auto"/>
      </w:divBdr>
    </w:div>
    <w:div w:id="775563397">
      <w:bodyDiv w:val="1"/>
      <w:marLeft w:val="0"/>
      <w:marRight w:val="0"/>
      <w:marTop w:val="0"/>
      <w:marBottom w:val="0"/>
      <w:divBdr>
        <w:top w:val="none" w:sz="0" w:space="0" w:color="auto"/>
        <w:left w:val="none" w:sz="0" w:space="0" w:color="auto"/>
        <w:bottom w:val="none" w:sz="0" w:space="0" w:color="auto"/>
        <w:right w:val="none" w:sz="0" w:space="0" w:color="auto"/>
      </w:divBdr>
    </w:div>
    <w:div w:id="783234730">
      <w:bodyDiv w:val="1"/>
      <w:marLeft w:val="0"/>
      <w:marRight w:val="0"/>
      <w:marTop w:val="0"/>
      <w:marBottom w:val="0"/>
      <w:divBdr>
        <w:top w:val="none" w:sz="0" w:space="0" w:color="auto"/>
        <w:left w:val="none" w:sz="0" w:space="0" w:color="auto"/>
        <w:bottom w:val="none" w:sz="0" w:space="0" w:color="auto"/>
        <w:right w:val="none" w:sz="0" w:space="0" w:color="auto"/>
      </w:divBdr>
    </w:div>
    <w:div w:id="805898202">
      <w:bodyDiv w:val="1"/>
      <w:marLeft w:val="0"/>
      <w:marRight w:val="0"/>
      <w:marTop w:val="0"/>
      <w:marBottom w:val="0"/>
      <w:divBdr>
        <w:top w:val="none" w:sz="0" w:space="0" w:color="auto"/>
        <w:left w:val="none" w:sz="0" w:space="0" w:color="auto"/>
        <w:bottom w:val="none" w:sz="0" w:space="0" w:color="auto"/>
        <w:right w:val="none" w:sz="0" w:space="0" w:color="auto"/>
      </w:divBdr>
    </w:div>
    <w:div w:id="818964917">
      <w:bodyDiv w:val="1"/>
      <w:marLeft w:val="0"/>
      <w:marRight w:val="0"/>
      <w:marTop w:val="0"/>
      <w:marBottom w:val="0"/>
      <w:divBdr>
        <w:top w:val="none" w:sz="0" w:space="0" w:color="auto"/>
        <w:left w:val="none" w:sz="0" w:space="0" w:color="auto"/>
        <w:bottom w:val="none" w:sz="0" w:space="0" w:color="auto"/>
        <w:right w:val="none" w:sz="0" w:space="0" w:color="auto"/>
      </w:divBdr>
    </w:div>
    <w:div w:id="858547439">
      <w:bodyDiv w:val="1"/>
      <w:marLeft w:val="0"/>
      <w:marRight w:val="0"/>
      <w:marTop w:val="0"/>
      <w:marBottom w:val="0"/>
      <w:divBdr>
        <w:top w:val="none" w:sz="0" w:space="0" w:color="auto"/>
        <w:left w:val="none" w:sz="0" w:space="0" w:color="auto"/>
        <w:bottom w:val="none" w:sz="0" w:space="0" w:color="auto"/>
        <w:right w:val="none" w:sz="0" w:space="0" w:color="auto"/>
      </w:divBdr>
    </w:div>
    <w:div w:id="868955169">
      <w:bodyDiv w:val="1"/>
      <w:marLeft w:val="0"/>
      <w:marRight w:val="0"/>
      <w:marTop w:val="0"/>
      <w:marBottom w:val="0"/>
      <w:divBdr>
        <w:top w:val="none" w:sz="0" w:space="0" w:color="auto"/>
        <w:left w:val="none" w:sz="0" w:space="0" w:color="auto"/>
        <w:bottom w:val="none" w:sz="0" w:space="0" w:color="auto"/>
        <w:right w:val="none" w:sz="0" w:space="0" w:color="auto"/>
      </w:divBdr>
    </w:div>
    <w:div w:id="953898474">
      <w:bodyDiv w:val="1"/>
      <w:marLeft w:val="0"/>
      <w:marRight w:val="0"/>
      <w:marTop w:val="0"/>
      <w:marBottom w:val="0"/>
      <w:divBdr>
        <w:top w:val="none" w:sz="0" w:space="0" w:color="auto"/>
        <w:left w:val="none" w:sz="0" w:space="0" w:color="auto"/>
        <w:bottom w:val="none" w:sz="0" w:space="0" w:color="auto"/>
        <w:right w:val="none" w:sz="0" w:space="0" w:color="auto"/>
      </w:divBdr>
    </w:div>
    <w:div w:id="1006905814">
      <w:bodyDiv w:val="1"/>
      <w:marLeft w:val="0"/>
      <w:marRight w:val="0"/>
      <w:marTop w:val="0"/>
      <w:marBottom w:val="0"/>
      <w:divBdr>
        <w:top w:val="none" w:sz="0" w:space="0" w:color="auto"/>
        <w:left w:val="none" w:sz="0" w:space="0" w:color="auto"/>
        <w:bottom w:val="none" w:sz="0" w:space="0" w:color="auto"/>
        <w:right w:val="none" w:sz="0" w:space="0" w:color="auto"/>
      </w:divBdr>
    </w:div>
    <w:div w:id="1047296843">
      <w:bodyDiv w:val="1"/>
      <w:marLeft w:val="0"/>
      <w:marRight w:val="0"/>
      <w:marTop w:val="0"/>
      <w:marBottom w:val="0"/>
      <w:divBdr>
        <w:top w:val="none" w:sz="0" w:space="0" w:color="auto"/>
        <w:left w:val="none" w:sz="0" w:space="0" w:color="auto"/>
        <w:bottom w:val="none" w:sz="0" w:space="0" w:color="auto"/>
        <w:right w:val="none" w:sz="0" w:space="0" w:color="auto"/>
      </w:divBdr>
    </w:div>
    <w:div w:id="1053579452">
      <w:bodyDiv w:val="1"/>
      <w:marLeft w:val="0"/>
      <w:marRight w:val="0"/>
      <w:marTop w:val="0"/>
      <w:marBottom w:val="0"/>
      <w:divBdr>
        <w:top w:val="none" w:sz="0" w:space="0" w:color="auto"/>
        <w:left w:val="none" w:sz="0" w:space="0" w:color="auto"/>
        <w:bottom w:val="none" w:sz="0" w:space="0" w:color="auto"/>
        <w:right w:val="none" w:sz="0" w:space="0" w:color="auto"/>
      </w:divBdr>
    </w:div>
    <w:div w:id="1056078410">
      <w:bodyDiv w:val="1"/>
      <w:marLeft w:val="0"/>
      <w:marRight w:val="0"/>
      <w:marTop w:val="0"/>
      <w:marBottom w:val="0"/>
      <w:divBdr>
        <w:top w:val="none" w:sz="0" w:space="0" w:color="auto"/>
        <w:left w:val="none" w:sz="0" w:space="0" w:color="auto"/>
        <w:bottom w:val="none" w:sz="0" w:space="0" w:color="auto"/>
        <w:right w:val="none" w:sz="0" w:space="0" w:color="auto"/>
      </w:divBdr>
    </w:div>
    <w:div w:id="1065685436">
      <w:bodyDiv w:val="1"/>
      <w:marLeft w:val="0"/>
      <w:marRight w:val="0"/>
      <w:marTop w:val="0"/>
      <w:marBottom w:val="0"/>
      <w:divBdr>
        <w:top w:val="none" w:sz="0" w:space="0" w:color="auto"/>
        <w:left w:val="none" w:sz="0" w:space="0" w:color="auto"/>
        <w:bottom w:val="none" w:sz="0" w:space="0" w:color="auto"/>
        <w:right w:val="none" w:sz="0" w:space="0" w:color="auto"/>
      </w:divBdr>
    </w:div>
    <w:div w:id="1080978729">
      <w:bodyDiv w:val="1"/>
      <w:marLeft w:val="0"/>
      <w:marRight w:val="0"/>
      <w:marTop w:val="0"/>
      <w:marBottom w:val="0"/>
      <w:divBdr>
        <w:top w:val="none" w:sz="0" w:space="0" w:color="auto"/>
        <w:left w:val="none" w:sz="0" w:space="0" w:color="auto"/>
        <w:bottom w:val="none" w:sz="0" w:space="0" w:color="auto"/>
        <w:right w:val="none" w:sz="0" w:space="0" w:color="auto"/>
      </w:divBdr>
    </w:div>
    <w:div w:id="1206287753">
      <w:bodyDiv w:val="1"/>
      <w:marLeft w:val="0"/>
      <w:marRight w:val="0"/>
      <w:marTop w:val="0"/>
      <w:marBottom w:val="0"/>
      <w:divBdr>
        <w:top w:val="none" w:sz="0" w:space="0" w:color="auto"/>
        <w:left w:val="none" w:sz="0" w:space="0" w:color="auto"/>
        <w:bottom w:val="none" w:sz="0" w:space="0" w:color="auto"/>
        <w:right w:val="none" w:sz="0" w:space="0" w:color="auto"/>
      </w:divBdr>
    </w:div>
    <w:div w:id="1251163771">
      <w:bodyDiv w:val="1"/>
      <w:marLeft w:val="0"/>
      <w:marRight w:val="0"/>
      <w:marTop w:val="0"/>
      <w:marBottom w:val="0"/>
      <w:divBdr>
        <w:top w:val="none" w:sz="0" w:space="0" w:color="auto"/>
        <w:left w:val="none" w:sz="0" w:space="0" w:color="auto"/>
        <w:bottom w:val="none" w:sz="0" w:space="0" w:color="auto"/>
        <w:right w:val="none" w:sz="0" w:space="0" w:color="auto"/>
      </w:divBdr>
    </w:div>
    <w:div w:id="1273244454">
      <w:bodyDiv w:val="1"/>
      <w:marLeft w:val="0"/>
      <w:marRight w:val="0"/>
      <w:marTop w:val="0"/>
      <w:marBottom w:val="0"/>
      <w:divBdr>
        <w:top w:val="none" w:sz="0" w:space="0" w:color="auto"/>
        <w:left w:val="none" w:sz="0" w:space="0" w:color="auto"/>
        <w:bottom w:val="none" w:sz="0" w:space="0" w:color="auto"/>
        <w:right w:val="none" w:sz="0" w:space="0" w:color="auto"/>
      </w:divBdr>
    </w:div>
    <w:div w:id="1298606370">
      <w:bodyDiv w:val="1"/>
      <w:marLeft w:val="0"/>
      <w:marRight w:val="0"/>
      <w:marTop w:val="0"/>
      <w:marBottom w:val="0"/>
      <w:divBdr>
        <w:top w:val="none" w:sz="0" w:space="0" w:color="auto"/>
        <w:left w:val="none" w:sz="0" w:space="0" w:color="auto"/>
        <w:bottom w:val="none" w:sz="0" w:space="0" w:color="auto"/>
        <w:right w:val="none" w:sz="0" w:space="0" w:color="auto"/>
      </w:divBdr>
    </w:div>
    <w:div w:id="1352679797">
      <w:bodyDiv w:val="1"/>
      <w:marLeft w:val="0"/>
      <w:marRight w:val="0"/>
      <w:marTop w:val="0"/>
      <w:marBottom w:val="0"/>
      <w:divBdr>
        <w:top w:val="none" w:sz="0" w:space="0" w:color="auto"/>
        <w:left w:val="none" w:sz="0" w:space="0" w:color="auto"/>
        <w:bottom w:val="none" w:sz="0" w:space="0" w:color="auto"/>
        <w:right w:val="none" w:sz="0" w:space="0" w:color="auto"/>
      </w:divBdr>
    </w:div>
    <w:div w:id="1383675291">
      <w:bodyDiv w:val="1"/>
      <w:marLeft w:val="0"/>
      <w:marRight w:val="0"/>
      <w:marTop w:val="0"/>
      <w:marBottom w:val="0"/>
      <w:divBdr>
        <w:top w:val="none" w:sz="0" w:space="0" w:color="auto"/>
        <w:left w:val="none" w:sz="0" w:space="0" w:color="auto"/>
        <w:bottom w:val="none" w:sz="0" w:space="0" w:color="auto"/>
        <w:right w:val="none" w:sz="0" w:space="0" w:color="auto"/>
      </w:divBdr>
    </w:div>
    <w:div w:id="1385254765">
      <w:bodyDiv w:val="1"/>
      <w:marLeft w:val="0"/>
      <w:marRight w:val="0"/>
      <w:marTop w:val="0"/>
      <w:marBottom w:val="0"/>
      <w:divBdr>
        <w:top w:val="none" w:sz="0" w:space="0" w:color="auto"/>
        <w:left w:val="none" w:sz="0" w:space="0" w:color="auto"/>
        <w:bottom w:val="none" w:sz="0" w:space="0" w:color="auto"/>
        <w:right w:val="none" w:sz="0" w:space="0" w:color="auto"/>
      </w:divBdr>
    </w:div>
    <w:div w:id="1392459127">
      <w:bodyDiv w:val="1"/>
      <w:marLeft w:val="0"/>
      <w:marRight w:val="0"/>
      <w:marTop w:val="0"/>
      <w:marBottom w:val="0"/>
      <w:divBdr>
        <w:top w:val="none" w:sz="0" w:space="0" w:color="auto"/>
        <w:left w:val="none" w:sz="0" w:space="0" w:color="auto"/>
        <w:bottom w:val="none" w:sz="0" w:space="0" w:color="auto"/>
        <w:right w:val="none" w:sz="0" w:space="0" w:color="auto"/>
      </w:divBdr>
    </w:div>
    <w:div w:id="1398819557">
      <w:bodyDiv w:val="1"/>
      <w:marLeft w:val="0"/>
      <w:marRight w:val="0"/>
      <w:marTop w:val="0"/>
      <w:marBottom w:val="0"/>
      <w:divBdr>
        <w:top w:val="none" w:sz="0" w:space="0" w:color="auto"/>
        <w:left w:val="none" w:sz="0" w:space="0" w:color="auto"/>
        <w:bottom w:val="none" w:sz="0" w:space="0" w:color="auto"/>
        <w:right w:val="none" w:sz="0" w:space="0" w:color="auto"/>
      </w:divBdr>
    </w:div>
    <w:div w:id="1408646089">
      <w:bodyDiv w:val="1"/>
      <w:marLeft w:val="0"/>
      <w:marRight w:val="0"/>
      <w:marTop w:val="0"/>
      <w:marBottom w:val="0"/>
      <w:divBdr>
        <w:top w:val="none" w:sz="0" w:space="0" w:color="auto"/>
        <w:left w:val="none" w:sz="0" w:space="0" w:color="auto"/>
        <w:bottom w:val="none" w:sz="0" w:space="0" w:color="auto"/>
        <w:right w:val="none" w:sz="0" w:space="0" w:color="auto"/>
      </w:divBdr>
    </w:div>
    <w:div w:id="1428112453">
      <w:bodyDiv w:val="1"/>
      <w:marLeft w:val="0"/>
      <w:marRight w:val="0"/>
      <w:marTop w:val="0"/>
      <w:marBottom w:val="0"/>
      <w:divBdr>
        <w:top w:val="none" w:sz="0" w:space="0" w:color="auto"/>
        <w:left w:val="none" w:sz="0" w:space="0" w:color="auto"/>
        <w:bottom w:val="none" w:sz="0" w:space="0" w:color="auto"/>
        <w:right w:val="none" w:sz="0" w:space="0" w:color="auto"/>
      </w:divBdr>
    </w:div>
    <w:div w:id="1448768518">
      <w:bodyDiv w:val="1"/>
      <w:marLeft w:val="0"/>
      <w:marRight w:val="0"/>
      <w:marTop w:val="0"/>
      <w:marBottom w:val="0"/>
      <w:divBdr>
        <w:top w:val="none" w:sz="0" w:space="0" w:color="auto"/>
        <w:left w:val="none" w:sz="0" w:space="0" w:color="auto"/>
        <w:bottom w:val="none" w:sz="0" w:space="0" w:color="auto"/>
        <w:right w:val="none" w:sz="0" w:space="0" w:color="auto"/>
      </w:divBdr>
    </w:div>
    <w:div w:id="1485707484">
      <w:bodyDiv w:val="1"/>
      <w:marLeft w:val="0"/>
      <w:marRight w:val="0"/>
      <w:marTop w:val="0"/>
      <w:marBottom w:val="0"/>
      <w:divBdr>
        <w:top w:val="none" w:sz="0" w:space="0" w:color="auto"/>
        <w:left w:val="none" w:sz="0" w:space="0" w:color="auto"/>
        <w:bottom w:val="none" w:sz="0" w:space="0" w:color="auto"/>
        <w:right w:val="none" w:sz="0" w:space="0" w:color="auto"/>
      </w:divBdr>
    </w:div>
    <w:div w:id="1525435912">
      <w:bodyDiv w:val="1"/>
      <w:marLeft w:val="0"/>
      <w:marRight w:val="0"/>
      <w:marTop w:val="0"/>
      <w:marBottom w:val="0"/>
      <w:divBdr>
        <w:top w:val="none" w:sz="0" w:space="0" w:color="auto"/>
        <w:left w:val="none" w:sz="0" w:space="0" w:color="auto"/>
        <w:bottom w:val="none" w:sz="0" w:space="0" w:color="auto"/>
        <w:right w:val="none" w:sz="0" w:space="0" w:color="auto"/>
      </w:divBdr>
    </w:div>
    <w:div w:id="1540849335">
      <w:bodyDiv w:val="1"/>
      <w:marLeft w:val="0"/>
      <w:marRight w:val="0"/>
      <w:marTop w:val="0"/>
      <w:marBottom w:val="0"/>
      <w:divBdr>
        <w:top w:val="none" w:sz="0" w:space="0" w:color="auto"/>
        <w:left w:val="none" w:sz="0" w:space="0" w:color="auto"/>
        <w:bottom w:val="none" w:sz="0" w:space="0" w:color="auto"/>
        <w:right w:val="none" w:sz="0" w:space="0" w:color="auto"/>
      </w:divBdr>
    </w:div>
    <w:div w:id="1551452310">
      <w:bodyDiv w:val="1"/>
      <w:marLeft w:val="0"/>
      <w:marRight w:val="0"/>
      <w:marTop w:val="0"/>
      <w:marBottom w:val="0"/>
      <w:divBdr>
        <w:top w:val="none" w:sz="0" w:space="0" w:color="auto"/>
        <w:left w:val="none" w:sz="0" w:space="0" w:color="auto"/>
        <w:bottom w:val="none" w:sz="0" w:space="0" w:color="auto"/>
        <w:right w:val="none" w:sz="0" w:space="0" w:color="auto"/>
      </w:divBdr>
    </w:div>
    <w:div w:id="1570573038">
      <w:bodyDiv w:val="1"/>
      <w:marLeft w:val="0"/>
      <w:marRight w:val="0"/>
      <w:marTop w:val="0"/>
      <w:marBottom w:val="0"/>
      <w:divBdr>
        <w:top w:val="none" w:sz="0" w:space="0" w:color="auto"/>
        <w:left w:val="none" w:sz="0" w:space="0" w:color="auto"/>
        <w:bottom w:val="none" w:sz="0" w:space="0" w:color="auto"/>
        <w:right w:val="none" w:sz="0" w:space="0" w:color="auto"/>
      </w:divBdr>
    </w:div>
    <w:div w:id="1597445960">
      <w:bodyDiv w:val="1"/>
      <w:marLeft w:val="0"/>
      <w:marRight w:val="0"/>
      <w:marTop w:val="0"/>
      <w:marBottom w:val="0"/>
      <w:divBdr>
        <w:top w:val="none" w:sz="0" w:space="0" w:color="auto"/>
        <w:left w:val="none" w:sz="0" w:space="0" w:color="auto"/>
        <w:bottom w:val="none" w:sz="0" w:space="0" w:color="auto"/>
        <w:right w:val="none" w:sz="0" w:space="0" w:color="auto"/>
      </w:divBdr>
    </w:div>
    <w:div w:id="1637300897">
      <w:bodyDiv w:val="1"/>
      <w:marLeft w:val="0"/>
      <w:marRight w:val="0"/>
      <w:marTop w:val="0"/>
      <w:marBottom w:val="0"/>
      <w:divBdr>
        <w:top w:val="none" w:sz="0" w:space="0" w:color="auto"/>
        <w:left w:val="none" w:sz="0" w:space="0" w:color="auto"/>
        <w:bottom w:val="none" w:sz="0" w:space="0" w:color="auto"/>
        <w:right w:val="none" w:sz="0" w:space="0" w:color="auto"/>
      </w:divBdr>
    </w:div>
    <w:div w:id="1653217122">
      <w:bodyDiv w:val="1"/>
      <w:marLeft w:val="0"/>
      <w:marRight w:val="0"/>
      <w:marTop w:val="0"/>
      <w:marBottom w:val="0"/>
      <w:divBdr>
        <w:top w:val="none" w:sz="0" w:space="0" w:color="auto"/>
        <w:left w:val="none" w:sz="0" w:space="0" w:color="auto"/>
        <w:bottom w:val="none" w:sz="0" w:space="0" w:color="auto"/>
        <w:right w:val="none" w:sz="0" w:space="0" w:color="auto"/>
      </w:divBdr>
    </w:div>
    <w:div w:id="1664503818">
      <w:bodyDiv w:val="1"/>
      <w:marLeft w:val="0"/>
      <w:marRight w:val="0"/>
      <w:marTop w:val="0"/>
      <w:marBottom w:val="0"/>
      <w:divBdr>
        <w:top w:val="none" w:sz="0" w:space="0" w:color="auto"/>
        <w:left w:val="none" w:sz="0" w:space="0" w:color="auto"/>
        <w:bottom w:val="none" w:sz="0" w:space="0" w:color="auto"/>
        <w:right w:val="none" w:sz="0" w:space="0" w:color="auto"/>
      </w:divBdr>
    </w:div>
    <w:div w:id="1719166377">
      <w:bodyDiv w:val="1"/>
      <w:marLeft w:val="0"/>
      <w:marRight w:val="0"/>
      <w:marTop w:val="0"/>
      <w:marBottom w:val="0"/>
      <w:divBdr>
        <w:top w:val="none" w:sz="0" w:space="0" w:color="auto"/>
        <w:left w:val="none" w:sz="0" w:space="0" w:color="auto"/>
        <w:bottom w:val="none" w:sz="0" w:space="0" w:color="auto"/>
        <w:right w:val="none" w:sz="0" w:space="0" w:color="auto"/>
      </w:divBdr>
    </w:div>
    <w:div w:id="1720783315">
      <w:bodyDiv w:val="1"/>
      <w:marLeft w:val="0"/>
      <w:marRight w:val="0"/>
      <w:marTop w:val="0"/>
      <w:marBottom w:val="0"/>
      <w:divBdr>
        <w:top w:val="none" w:sz="0" w:space="0" w:color="auto"/>
        <w:left w:val="none" w:sz="0" w:space="0" w:color="auto"/>
        <w:bottom w:val="none" w:sz="0" w:space="0" w:color="auto"/>
        <w:right w:val="none" w:sz="0" w:space="0" w:color="auto"/>
      </w:divBdr>
    </w:div>
    <w:div w:id="1798644156">
      <w:bodyDiv w:val="1"/>
      <w:marLeft w:val="0"/>
      <w:marRight w:val="0"/>
      <w:marTop w:val="0"/>
      <w:marBottom w:val="0"/>
      <w:divBdr>
        <w:top w:val="none" w:sz="0" w:space="0" w:color="auto"/>
        <w:left w:val="none" w:sz="0" w:space="0" w:color="auto"/>
        <w:bottom w:val="none" w:sz="0" w:space="0" w:color="auto"/>
        <w:right w:val="none" w:sz="0" w:space="0" w:color="auto"/>
      </w:divBdr>
    </w:div>
    <w:div w:id="1828592418">
      <w:bodyDiv w:val="1"/>
      <w:marLeft w:val="0"/>
      <w:marRight w:val="0"/>
      <w:marTop w:val="0"/>
      <w:marBottom w:val="0"/>
      <w:divBdr>
        <w:top w:val="none" w:sz="0" w:space="0" w:color="auto"/>
        <w:left w:val="none" w:sz="0" w:space="0" w:color="auto"/>
        <w:bottom w:val="none" w:sz="0" w:space="0" w:color="auto"/>
        <w:right w:val="none" w:sz="0" w:space="0" w:color="auto"/>
      </w:divBdr>
    </w:div>
    <w:div w:id="1831824238">
      <w:bodyDiv w:val="1"/>
      <w:marLeft w:val="0"/>
      <w:marRight w:val="0"/>
      <w:marTop w:val="0"/>
      <w:marBottom w:val="0"/>
      <w:divBdr>
        <w:top w:val="none" w:sz="0" w:space="0" w:color="auto"/>
        <w:left w:val="none" w:sz="0" w:space="0" w:color="auto"/>
        <w:bottom w:val="none" w:sz="0" w:space="0" w:color="auto"/>
        <w:right w:val="none" w:sz="0" w:space="0" w:color="auto"/>
      </w:divBdr>
    </w:div>
    <w:div w:id="1839810603">
      <w:bodyDiv w:val="1"/>
      <w:marLeft w:val="0"/>
      <w:marRight w:val="0"/>
      <w:marTop w:val="0"/>
      <w:marBottom w:val="0"/>
      <w:divBdr>
        <w:top w:val="none" w:sz="0" w:space="0" w:color="auto"/>
        <w:left w:val="none" w:sz="0" w:space="0" w:color="auto"/>
        <w:bottom w:val="none" w:sz="0" w:space="0" w:color="auto"/>
        <w:right w:val="none" w:sz="0" w:space="0" w:color="auto"/>
      </w:divBdr>
    </w:div>
    <w:div w:id="1899853428">
      <w:bodyDiv w:val="1"/>
      <w:marLeft w:val="0"/>
      <w:marRight w:val="0"/>
      <w:marTop w:val="0"/>
      <w:marBottom w:val="0"/>
      <w:divBdr>
        <w:top w:val="none" w:sz="0" w:space="0" w:color="auto"/>
        <w:left w:val="none" w:sz="0" w:space="0" w:color="auto"/>
        <w:bottom w:val="none" w:sz="0" w:space="0" w:color="auto"/>
        <w:right w:val="none" w:sz="0" w:space="0" w:color="auto"/>
      </w:divBdr>
    </w:div>
    <w:div w:id="1995911971">
      <w:bodyDiv w:val="1"/>
      <w:marLeft w:val="0"/>
      <w:marRight w:val="0"/>
      <w:marTop w:val="0"/>
      <w:marBottom w:val="0"/>
      <w:divBdr>
        <w:top w:val="none" w:sz="0" w:space="0" w:color="auto"/>
        <w:left w:val="none" w:sz="0" w:space="0" w:color="auto"/>
        <w:bottom w:val="none" w:sz="0" w:space="0" w:color="auto"/>
        <w:right w:val="none" w:sz="0" w:space="0" w:color="auto"/>
      </w:divBdr>
    </w:div>
    <w:div w:id="2102991612">
      <w:bodyDiv w:val="1"/>
      <w:marLeft w:val="0"/>
      <w:marRight w:val="0"/>
      <w:marTop w:val="0"/>
      <w:marBottom w:val="0"/>
      <w:divBdr>
        <w:top w:val="none" w:sz="0" w:space="0" w:color="auto"/>
        <w:left w:val="none" w:sz="0" w:space="0" w:color="auto"/>
        <w:bottom w:val="none" w:sz="0" w:space="0" w:color="auto"/>
        <w:right w:val="none" w:sz="0" w:space="0" w:color="auto"/>
      </w:divBdr>
    </w:div>
    <w:div w:id="2115781972">
      <w:bodyDiv w:val="1"/>
      <w:marLeft w:val="0"/>
      <w:marRight w:val="0"/>
      <w:marTop w:val="0"/>
      <w:marBottom w:val="0"/>
      <w:divBdr>
        <w:top w:val="none" w:sz="0" w:space="0" w:color="auto"/>
        <w:left w:val="none" w:sz="0" w:space="0" w:color="auto"/>
        <w:bottom w:val="none" w:sz="0" w:space="0" w:color="auto"/>
        <w:right w:val="none" w:sz="0" w:space="0" w:color="auto"/>
      </w:divBdr>
    </w:div>
    <w:div w:id="2121027606">
      <w:bodyDiv w:val="1"/>
      <w:marLeft w:val="0"/>
      <w:marRight w:val="0"/>
      <w:marTop w:val="0"/>
      <w:marBottom w:val="0"/>
      <w:divBdr>
        <w:top w:val="none" w:sz="0" w:space="0" w:color="auto"/>
        <w:left w:val="none" w:sz="0" w:space="0" w:color="auto"/>
        <w:bottom w:val="none" w:sz="0" w:space="0" w:color="auto"/>
        <w:right w:val="none" w:sz="0" w:space="0" w:color="auto"/>
      </w:divBdr>
    </w:div>
    <w:div w:id="2124424380">
      <w:bodyDiv w:val="1"/>
      <w:marLeft w:val="0"/>
      <w:marRight w:val="0"/>
      <w:marTop w:val="0"/>
      <w:marBottom w:val="0"/>
      <w:divBdr>
        <w:top w:val="none" w:sz="0" w:space="0" w:color="auto"/>
        <w:left w:val="none" w:sz="0" w:space="0" w:color="auto"/>
        <w:bottom w:val="none" w:sz="0" w:space="0" w:color="auto"/>
        <w:right w:val="none" w:sz="0" w:space="0" w:color="auto"/>
      </w:divBdr>
    </w:div>
    <w:div w:id="2124886332">
      <w:bodyDiv w:val="1"/>
      <w:marLeft w:val="0"/>
      <w:marRight w:val="0"/>
      <w:marTop w:val="0"/>
      <w:marBottom w:val="0"/>
      <w:divBdr>
        <w:top w:val="none" w:sz="0" w:space="0" w:color="auto"/>
        <w:left w:val="none" w:sz="0" w:space="0" w:color="auto"/>
        <w:bottom w:val="none" w:sz="0" w:space="0" w:color="auto"/>
        <w:right w:val="none" w:sz="0" w:space="0" w:color="auto"/>
      </w:divBdr>
    </w:div>
    <w:div w:id="214211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07" Type="http://schemas.openxmlformats.org/officeDocument/2006/relationships/hyperlink" Target="mailto:licitacao@miraima.ce.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oter" Target="footer1.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licitacoes.tce.ce.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footer" Target="footer2.xml"/><Relationship Id="rId62" Type="http://schemas.openxmlformats.org/officeDocument/2006/relationships/hyperlink" Target="https://www.gov.br/empresas-e-negocios/pt-br/empreendedor"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25art159"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gov.br/pncp/pt-br"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theme" Target="theme/theme1.xm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mailto:licitacao@miraima.ce.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gov.br/compras/pt-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gov.br/compras/pt-br/acesso-a-informacao/legislacao/instrucoes-normativas/instrucao-normativa-seges-me-no-26-de-13-de-abril-de-2022"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231;&#227;o@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F67CF-B833-4940-BE67-660B21F1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59</Pages>
  <Words>22275</Words>
  <Characters>120286</Characters>
  <Application>Microsoft Office Word</Application>
  <DocSecurity>0</DocSecurity>
  <Lines>1002</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Lairlo Fontenele</dc:creator>
  <cp:lastModifiedBy>ADMIN</cp:lastModifiedBy>
  <cp:revision>20</cp:revision>
  <cp:lastPrinted>2024-06-04T18:34:00Z</cp:lastPrinted>
  <dcterms:created xsi:type="dcterms:W3CDTF">2024-06-06T16:03:00Z</dcterms:created>
  <dcterms:modified xsi:type="dcterms:W3CDTF">2026-09-22T13:06:00Z</dcterms:modified>
</cp:coreProperties>
</file>