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2026.02.25.02 -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Saúde, neste ato representado pela Senhora ANTONIA MARIA ALVES PINHEIRO PINTO, Secretaria de Saúde, nos termos do art. 75, inciso II combinado com o seu §3º, da Lei Federal nº 14.133, de 01 de abril de 2021 e do Decreto Municipal, torna público que, tem interesse em realizar a contratação direta para CONTRATAÇÃO DE SERVIÇOS DE DEDETIZAÇÃO DE PRAGAS E INSETOS, DESCUPINIZAÇÃO E DESRATIZAÇÃO, DE INTERESSE DA SECRETARIA DE SAÚDE DO MUNICÍPIO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lang w:val="pt-BR" w:eastAsia="ar-SA"/>
              </w:rPr>
            </w:pPr>
            <w:r>
              <w:rPr>
                <w:rFonts w:ascii="Cambria" w:hAnsi="Cambria"/>
                <w:bCs/>
              </w:rPr>
              <w:t>CONTRATAÇÃO DE SERVIÇOS DE DEDETIZAÇÃO DE PRAGAS E INSETOS, DESCUPINIZAÇÃO E DESRATIZAÇÃO, DE INTERESSE DA SECRETARIA DE SAÚDE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r>
              <w:rPr>
                <w:rFonts w:ascii="Cambria" w:hAnsi="Cambria"/>
                <w:lang w:val="pt-BR" w:eastAsia="pt-BR"/>
              </w:rPr>
              <w:t>Secretaria Municipal do Saúde</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hyperlink r:id="rId7" w:history="1">
              <w:r>
                <w:rPr>
                  <w:rStyle w:val="Hyperlink"/>
                  <w:rFonts w:ascii="Cambria" w:hAnsi="Cambria"/>
                  <w:lang w:val="pt-BR" w:eastAsia="pt-BR"/>
                </w:rPr>
                <w:t>www.compras.gov.br</w:t>
              </w:r>
            </w:hyperlink>
            <w:r>
              <w:rPr>
                <w:rFonts w:ascii="Cambria" w:hAnsi="Cambria"/>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r>
              <w:rPr>
                <w:rFonts w:ascii="Cambria" w:hAnsi="Cambria"/>
                <w:lang w:val="pt-BR" w:eastAsia="pt-BR"/>
              </w:rPr>
              <w:t>Início: 11/03/2026 às 08:00 Horas (Horário de Brasília)</w:t>
            </w:r>
          </w:p>
          <w:p>
            <w:pPr>
              <w:widowControl/>
              <w:autoSpaceDE/>
              <w:autoSpaceDN/>
              <w:snapToGrid w:val="0"/>
              <w:ind w:left="113"/>
              <w:jc w:val="both"/>
              <w:rPr>
                <w:rFonts w:ascii="Cambria" w:hAnsi="Cambria"/>
                <w:lang w:val="pt-BR" w:eastAsia="pt-BR"/>
              </w:rPr>
            </w:pPr>
            <w:r>
              <w:rPr>
                <w:rFonts w:ascii="Cambria" w:hAnsi="Cambria"/>
                <w:lang w:val="pt-BR" w:eastAsia="pt-BR"/>
              </w:rPr>
              <w:t>Término: 16/03/2026 às 08:59 Horas (Horário de Brasília)</w:t>
            </w:r>
          </w:p>
        </w:tc>
      </w:tr>
      <w:tr>
        <w:trPr>
          <w:cantSplit/>
          <w:trHeight w:hRule="exact" w:val="655"/>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r>
              <w:rPr>
                <w:rFonts w:ascii="Cambria" w:hAnsi="Cambria"/>
                <w:lang w:val="pt-BR" w:eastAsia="pt-BR"/>
              </w:rPr>
              <w:t>Início: 16/03/2026 das 09:00 às 15</w:t>
            </w:r>
            <w:bookmarkStart w:id="2" w:name="_GoBack"/>
            <w:bookmarkEnd w:id="2"/>
            <w:r>
              <w:rPr>
                <w:rFonts w:ascii="Cambria" w:hAnsi="Cambria"/>
                <w:lang w:val="pt-BR" w:eastAsia="pt-BR"/>
              </w:rPr>
              <w:t>:00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lastRenderedPageBreak/>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lastRenderedPageBreak/>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contratação de serviços de dedetização de pragas e insetos, descupinização e desratização justifica-se pela necessidade de manutenção das condições adequadas de higiene, salubridade e segurança sanitária nas unidades de saúde e demais prédios vinculados à Secretaria de Saúde do Município de Miraíma/CE.</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Ambientes destinados à prestação de serviços de saúde exigem rigoroso controle sanitário, tendo em vista o fluxo constante de pacientes, profissionais de saúde e demais usuários. A presença de pragas urbanas, como insetos, cupins e roedores, pode representar risco à saúde pública, uma vez que esses agentes podem atuar como transmissores de doenças e comprometer as condições de limpeza e segurança dos ambientes de atendimento.</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Além dos riscos sanitários, a infestação de pragas pode ocasionar danos à estrutura física das edificações, mobiliários, equipamentos e documentos, gerando prejuízos ao patrimônio público e comprometendo o funcionamento regular das unidades de saúde.</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Dessa forma, a contratação de empresa especializada torna-se necessária para garantir a execução adequada e periódica dos serviços de controle de pragas urbanas, utilizando técnicas apropriadas, produtos devidamente regularizados e profissionais capacitados, assegurando maior eficiência e segurança na execução das atividades.</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 xml:space="preserve">Assim, a presente contratação visa contribuir para a manutenção de ambientes </w:t>
      </w:r>
      <w:r>
        <w:rPr>
          <w:rFonts w:ascii="Cambria" w:hAnsi="Cambria" w:cstheme="minorHAnsi"/>
          <w:sz w:val="24"/>
          <w:szCs w:val="24"/>
        </w:rPr>
        <w:lastRenderedPageBreak/>
        <w:t>adequados à prestação dos serviços de saúde, promovendo melhores condições sanitárias nas unidades de atendimento e garantindo maior proteção à saúde da população atendida pela rede municipal de saúde de Miraíma/CE.</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lang w:val="en-US"/>
              </w:rPr>
            </w:pPr>
            <w:r>
              <w:rPr>
                <w:rFonts w:ascii="Cambria" w:hAnsi="Cambria" w:cstheme="minorHAnsi"/>
              </w:rPr>
              <w:t>CONTRATAÇÃO DE SERVIÇOS DE DEDETIZAÇÃO DE PRAGAS E INSETOS, DESCUPINIZAÇÃO E DESRATIZAÇÃO, DE INTERESSE DA SECRETARIA DE SAÚDE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m²</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9000</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rPr>
        <w:t xml:space="preserve">0401.10.122.0014.2.008 – Recursos Próprios – Secretaria de Saúde. Elemento de Despesa: </w:t>
      </w:r>
      <w:r>
        <w:rPr>
          <w:rFonts w:ascii="Cambria" w:eastAsia="Calibri" w:hAnsi="Cambria"/>
          <w:lang w:eastAsia="zh-CN"/>
        </w:rPr>
        <w:t>3.3.90.39.00 – Outros serv. de terceiro pessoa jurídica. Fonte de Recurso: 1500100200 – Receita de imposto e transf.  – Saúde.</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lastRenderedPageBreak/>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 xml:space="preserve">cujo titular ou sócio participe com mais de 10% (dez por cento) do capital de outra empresa não beneficiada por esta Lei Complementar, desde que a receita bruta global ultrapasse o limite de que trata o art. 3º, inciso II, da Lei Complementar nº 123, de 14 de </w:t>
      </w:r>
      <w:r>
        <w:rPr>
          <w:rFonts w:ascii="Cambria" w:hAnsi="Cambria" w:cstheme="minorHAnsi"/>
        </w:rPr>
        <w:lastRenderedPageBreak/>
        <w:t>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w:t>
      </w:r>
      <w:r>
        <w:rPr>
          <w:rFonts w:ascii="Cambria" w:hAnsi="Cambria" w:cstheme="minorHAnsi"/>
        </w:rPr>
        <w:lastRenderedPageBreak/>
        <w:t xml:space="preserve">(comprasnet)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lastRenderedPageBreak/>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3"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3"/>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4"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assessoria jurídica</w:t>
      </w:r>
      <w:r>
        <w:rPr>
          <w:rFonts w:ascii="Cambria" w:hAnsi="Cambria"/>
          <w:bCs/>
          <w:sz w:val="24"/>
          <w:szCs w:val="24"/>
        </w:rPr>
        <w:t>.</w:t>
      </w:r>
    </w:p>
    <w:p>
      <w:pPr>
        <w:ind w:right="-35"/>
        <w:jc w:val="both"/>
        <w:rPr>
          <w:rFonts w:ascii="Cambria" w:hAnsi="Cambria"/>
          <w:sz w:val="24"/>
          <w:szCs w:val="24"/>
        </w:rPr>
      </w:pPr>
    </w:p>
    <w:bookmarkEnd w:id="4"/>
    <w:p>
      <w:pPr>
        <w:pStyle w:val="PargrafodaLista"/>
        <w:ind w:left="0"/>
        <w:rPr>
          <w:rFonts w:ascii="Cambria" w:hAnsi="Cambria"/>
          <w:sz w:val="24"/>
          <w:szCs w:val="24"/>
        </w:rPr>
      </w:pPr>
      <w:r>
        <w:rPr>
          <w:rFonts w:ascii="Cambria" w:hAnsi="Cambria" w:cs="Arial"/>
          <w:bCs/>
          <w:sz w:val="24"/>
          <w:szCs w:val="24"/>
        </w:rPr>
        <w:lastRenderedPageBreak/>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jc w:val="center"/>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10</w:t>
      </w:r>
      <w:r>
        <w:rPr>
          <w:rFonts w:ascii="Cambria" w:hAnsi="Cambria" w:cstheme="minorHAnsi"/>
          <w:spacing w:val="-1"/>
        </w:rPr>
        <w:t xml:space="preserve"> </w:t>
      </w:r>
      <w:r>
        <w:rPr>
          <w:rFonts w:ascii="Cambria" w:hAnsi="Cambria" w:cstheme="minorHAnsi"/>
        </w:rPr>
        <w:t>de março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SERVIÇOS DE DEDETIZAÇÃO DE PRAGAS E INSETOS, DESCUPINIZAÇÃO E DESRATIZAÇÃO, DE INTERESSE DA SECRETARIA MUNICIPAL DE SAÚDE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serviços de dedetização de pragas e insetos, descupinização e desratização justifica-se pela necessidade de manutenção das condições adequadas de higiene, salubridade e segurança sanitária nas unidades de saúde e demais prédios vinculados à Secretaria de Saúde do Município de Miraíma/CE.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Ambientes destinados à prestação de serviços de saúde exigem rigoroso controle sanitário, tendo em vista o fluxo constante de pacientes, profissionais de saúde e demais usuários. A presença de pragas urbanas, como insetos, cupins e roedores, pode representar risco à saúde pública, uma vez que esses agentes podem atuar como transmissores de doenças e comprometer as condições de limpeza e segurança dos ambientes de atendimento.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Além dos riscos sanitários, a infestação de pragas pode ocasionar danos à estrutura física das edificações, mobiliários, equipamentos e documentos, gerando prejuízos ao patrimônio público e comprometendo o funcionamento regular das unidades de saúde.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contratação de empresa especializada torna-se necessária para garantir a execução adequada e periódica dos serviços de controle de pragas urbanas, utilizando técnicas apropriadas, produtos devidamente regularizados e profissionais capacitados, assegurando maior eficiência e segurança na execução das atividades.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presente contratação visa contribuir para a manutenção de ambientes adequados à prestação dos serviços de saúde, promovendo melhores condições sanitárias nas unidades de atendimento e garantindo maior proteção à saúde da população atendida pela rede municipal de saúde de Miraíma/CE.</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1"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7"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sz w:val="24"/>
                <w:szCs w:val="24"/>
              </w:rPr>
            </w:pPr>
            <w:r>
              <w:rPr>
                <w:rFonts w:ascii="Cambria" w:hAnsi="Cambria"/>
                <w:sz w:val="24"/>
                <w:szCs w:val="24"/>
              </w:rPr>
              <w:t>CONTRATAÇÃO DE SERVIÇOS DE DEDETIZAÇÃO DE PRAGAS E INSETOS, DESCUPINIZAÇÃO E DESRATIZAÇÃO, DE INTERESSE DA SECRETARIA MUNICIPAL DE SAÚDE DO MUNICÍPIO DE MIRAÍMA/CE</w:t>
            </w:r>
          </w:p>
        </w:tc>
        <w:tc>
          <w:tcPr>
            <w:tcW w:w="656" w:type="pct"/>
            <w:noWrap/>
            <w:vAlign w:val="center"/>
            <w:hideMark/>
          </w:tcPr>
          <w:p>
            <w:pPr>
              <w:jc w:val="center"/>
              <w:rPr>
                <w:rFonts w:ascii="Cambria" w:hAnsi="Cambria"/>
                <w:sz w:val="24"/>
                <w:szCs w:val="24"/>
              </w:rPr>
            </w:pPr>
            <w:r>
              <w:rPr>
                <w:rFonts w:ascii="Cambria" w:hAnsi="Cambria"/>
                <w:sz w:val="24"/>
                <w:szCs w:val="24"/>
              </w:rPr>
              <w:t xml:space="preserve">M² </w:t>
            </w:r>
          </w:p>
        </w:tc>
        <w:tc>
          <w:tcPr>
            <w:tcW w:w="525" w:type="pct"/>
            <w:noWrap/>
            <w:vAlign w:val="center"/>
            <w:hideMark/>
          </w:tcPr>
          <w:p>
            <w:pPr>
              <w:jc w:val="center"/>
              <w:rPr>
                <w:rFonts w:ascii="Cambria" w:hAnsi="Cambria"/>
                <w:sz w:val="24"/>
                <w:szCs w:val="24"/>
              </w:rPr>
            </w:pPr>
            <w:r>
              <w:rPr>
                <w:rFonts w:ascii="Cambria" w:hAnsi="Cambria"/>
                <w:sz w:val="24"/>
                <w:szCs w:val="24"/>
              </w:rPr>
              <w:t>9000</w:t>
            </w:r>
          </w:p>
        </w:tc>
        <w:tc>
          <w:tcPr>
            <w:tcW w:w="774" w:type="pct"/>
            <w:noWrap/>
            <w:vAlign w:val="center"/>
          </w:tcPr>
          <w:p>
            <w:pPr>
              <w:jc w:val="center"/>
              <w:rPr>
                <w:rFonts w:ascii="Cambria" w:hAnsi="Cambria"/>
                <w:sz w:val="24"/>
                <w:szCs w:val="24"/>
                <w:highlight w:val="yellow"/>
              </w:rPr>
            </w:pPr>
            <w:r>
              <w:rPr>
                <w:rFonts w:ascii="Cambria" w:hAnsi="Cambria"/>
                <w:sz w:val="24"/>
                <w:szCs w:val="24"/>
              </w:rPr>
              <w:t>R$ 1,63</w:t>
            </w:r>
          </w:p>
        </w:tc>
        <w:tc>
          <w:tcPr>
            <w:tcW w:w="867" w:type="pct"/>
            <w:noWrap/>
            <w:vAlign w:val="center"/>
          </w:tcPr>
          <w:p>
            <w:pPr>
              <w:jc w:val="center"/>
              <w:rPr>
                <w:rFonts w:ascii="Cambria" w:hAnsi="Cambria"/>
                <w:sz w:val="24"/>
                <w:szCs w:val="24"/>
                <w:highlight w:val="yellow"/>
              </w:rPr>
            </w:pPr>
            <w:r>
              <w:rPr>
                <w:rFonts w:ascii="Cambria" w:hAnsi="Cambria"/>
                <w:sz w:val="24"/>
                <w:szCs w:val="24"/>
              </w:rPr>
              <w:t>R$ 14.670,00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VALOR GLOBAL: R$ 14.670,00 (Quatorze Mil, Seiscentos e Setenta Reais)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lastRenderedPageBreak/>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similares</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lastRenderedPageBreak/>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w:t>
      </w:r>
      <w:r>
        <w:rPr>
          <w:rFonts w:ascii="Cambria" w:hAnsi="Cambria"/>
          <w:sz w:val="24"/>
          <w:szCs w:val="24"/>
        </w:rPr>
        <w:lastRenderedPageBreak/>
        <w:t>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w:t>
      </w:r>
      <w:r>
        <w:rPr>
          <w:rFonts w:ascii="Cambria" w:hAnsi="Cambria"/>
          <w:sz w:val="24"/>
          <w:szCs w:val="24"/>
        </w:rPr>
        <w:lastRenderedPageBreak/>
        <w:t>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p>
    <w:p>
      <w:pPr>
        <w:pBdr>
          <w:top w:val="nil"/>
          <w:left w:val="nil"/>
          <w:bottom w:val="nil"/>
          <w:right w:val="nil"/>
          <w:between w:val="nil"/>
        </w:pBdr>
        <w:jc w:val="both"/>
        <w:rPr>
          <w:rFonts w:ascii="Cambria" w:hAnsi="Cambria"/>
          <w:bCs/>
          <w:sz w:val="24"/>
          <w:szCs w:val="24"/>
        </w:rPr>
      </w:pPr>
      <w:r>
        <w:rPr>
          <w:rFonts w:ascii="Cambria" w:hAnsi="Cambria"/>
          <w:sz w:val="24"/>
          <w:szCs w:val="24"/>
        </w:rPr>
        <w:t xml:space="preserve">0401.10.122.0014.2.008 – Recursos Próprios – Secretaria de Saúde. Elemento de Despesa: </w:t>
      </w:r>
      <w:r>
        <w:rPr>
          <w:rFonts w:ascii="Cambria" w:eastAsia="Calibri" w:hAnsi="Cambria"/>
          <w:sz w:val="24"/>
          <w:szCs w:val="24"/>
          <w:lang w:eastAsia="zh-CN"/>
        </w:rPr>
        <w:t xml:space="preserve">3.3.90.39.00 – Outros serv. de terceiro pessoa jurídica. Fonte de Recurso: 1500100200 – Receita de imposto e transf.  – Saúde. </w:t>
      </w:r>
    </w:p>
    <w:p>
      <w:pPr>
        <w:pBdr>
          <w:top w:val="nil"/>
          <w:left w:val="nil"/>
          <w:bottom w:val="nil"/>
          <w:right w:val="nil"/>
          <w:between w:val="nil"/>
        </w:pBdr>
        <w:jc w:val="both"/>
        <w:rPr>
          <w:rFonts w:ascii="Cambria" w:hAnsi="Cambria"/>
          <w:bCs/>
          <w:sz w:val="24"/>
          <w:szCs w:val="24"/>
        </w:rPr>
      </w:pP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 xml:space="preserve">A CONTRATADA sujeitar-se-á, em caso de inadimplência de suas obrigações, definidas </w:t>
      </w:r>
      <w:r>
        <w:rPr>
          <w:rFonts w:ascii="Cambria" w:hAnsi="Cambria"/>
          <w:sz w:val="24"/>
          <w:szCs w:val="24"/>
        </w:rPr>
        <w:lastRenderedPageBreak/>
        <w:t>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w:t>
      </w:r>
      <w:r>
        <w:rPr>
          <w:rFonts w:ascii="Cambria" w:hAnsi="Cambria"/>
          <w:sz w:val="24"/>
          <w:szCs w:val="24"/>
        </w:rPr>
        <w:lastRenderedPageBreak/>
        <w:t>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17. DA ALOCAÇÃO DE RISCOS:</w:t>
      </w:r>
    </w:p>
    <w:p>
      <w:pPr>
        <w:shd w:val="clear" w:color="auto" w:fill="FFFFFF"/>
        <w:spacing w:line="276" w:lineRule="auto"/>
        <w:jc w:val="both"/>
        <w:rPr>
          <w:rFonts w:ascii="Cambria" w:hAnsi="Cambria"/>
          <w:sz w:val="24"/>
          <w:szCs w:val="24"/>
        </w:r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xml:space="preserve">, fica dispensada a apresentação da alocação dos riscos, haja vista a baixa complexidade do objeto. </w:t>
      </w:r>
    </w:p>
    <w:p>
      <w:pP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rPr>
      <w:pict>
        <v:group id="_x0000_s2081" style="position:absolute;left:0;text-align:left;margin-left:432.15pt;margin-top:-7.1pt;width:78.75pt;height:85.85pt;z-index:251660800" coordorigin="10275,240" coordsize="1575,1717">
          <v:oval id="_x0000_s2082"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3"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84" type="#_x0000_t202" style="position:absolute;left:10441;top:1019;width:1222;height:938;mso-width-relative:margin;mso-height-relative:margin" filled="f" stroked="f">
            <v:textbox style="mso-next-textbox:#_x0000_s2084">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noProof/>
        <w:lang w:val="pt-BR" w:eastAsia="pt-BR"/>
      </w:rPr>
      <w:drawing>
        <wp:anchor distT="0" distB="0" distL="114300" distR="114300" simplePos="0" relativeHeight="251658752" behindDoc="0" locked="0" layoutInCell="1" allowOverlap="1">
          <wp:simplePos x="0" y="0"/>
          <wp:positionH relativeFrom="margin">
            <wp:posOffset>2124075</wp:posOffset>
          </wp:positionH>
          <wp:positionV relativeFrom="paragraph">
            <wp:posOffset>-238760</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700826412" name="Imagem 170082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33550" cy="1517650"/>
                  </a:xfrm>
                  <a:prstGeom prst="rect">
                    <a:avLst/>
                  </a:prstGeom>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700</TotalTime>
  <Pages>24</Pages>
  <Words>10113</Words>
  <Characters>54616</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115</cp:revision>
  <cp:lastPrinted>2024-04-22T17:26:00Z</cp:lastPrinted>
  <dcterms:created xsi:type="dcterms:W3CDTF">2024-01-28T19:24:00Z</dcterms:created>
  <dcterms:modified xsi:type="dcterms:W3CDTF">2026-03-10T14:52:00Z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